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FC052">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sz w:val="52"/>
          <w:szCs w:val="52"/>
          <w:highlight w:val="none"/>
          <w:lang w:eastAsia="zh-CN"/>
        </w:rPr>
      </w:pPr>
    </w:p>
    <w:p w14:paraId="3DEC3FF5">
      <w:pPr>
        <w:pStyle w:val="21"/>
        <w:rPr>
          <w:rFonts w:hint="eastAsia" w:ascii="宋体" w:hAnsi="宋体" w:eastAsia="宋体" w:cs="宋体"/>
          <w:b/>
          <w:bCs/>
          <w:sz w:val="52"/>
          <w:szCs w:val="52"/>
          <w:highlight w:val="none"/>
        </w:rPr>
      </w:pPr>
    </w:p>
    <w:p w14:paraId="428CAAF7">
      <w:pPr>
        <w:pStyle w:val="21"/>
        <w:rPr>
          <w:rFonts w:hint="eastAsia" w:ascii="宋体" w:hAnsi="宋体" w:eastAsia="宋体" w:cs="宋体"/>
          <w:b/>
          <w:bCs/>
          <w:sz w:val="52"/>
          <w:szCs w:val="52"/>
          <w:highlight w:val="none"/>
        </w:rPr>
      </w:pPr>
    </w:p>
    <w:p w14:paraId="00CFA9D7">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sz w:val="52"/>
          <w:szCs w:val="52"/>
          <w:highlight w:val="none"/>
        </w:rPr>
      </w:pPr>
      <w:bookmarkStart w:id="0" w:name="_Hlk9544796"/>
      <w:r>
        <w:rPr>
          <w:rFonts w:hint="eastAsia" w:ascii="宋体" w:hAnsi="宋体" w:eastAsia="宋体" w:cs="宋体"/>
          <w:b/>
          <w:bCs/>
          <w:sz w:val="52"/>
          <w:szCs w:val="52"/>
          <w:highlight w:val="none"/>
        </w:rPr>
        <w:t>公开招标文件</w:t>
      </w:r>
    </w:p>
    <w:p w14:paraId="28B9CF58">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sz w:val="52"/>
          <w:szCs w:val="52"/>
          <w:highlight w:val="none"/>
        </w:rPr>
      </w:pPr>
      <w:r>
        <w:rPr>
          <w:rFonts w:hint="eastAsia" w:ascii="宋体" w:hAnsi="宋体" w:eastAsia="宋体" w:cs="宋体"/>
          <w:b/>
          <w:bCs/>
          <w:sz w:val="52"/>
          <w:szCs w:val="52"/>
          <w:highlight w:val="none"/>
        </w:rPr>
        <w:t>（货物类）</w:t>
      </w:r>
    </w:p>
    <w:bookmarkEnd w:id="0"/>
    <w:p w14:paraId="3F35B284">
      <w:pPr>
        <w:tabs>
          <w:tab w:val="left" w:pos="315"/>
          <w:tab w:val="left" w:pos="8820"/>
        </w:tabs>
        <w:spacing w:before="312" w:beforeLines="100" w:after="156" w:afterLines="50" w:line="500" w:lineRule="exact"/>
        <w:ind w:right="267" w:rightChars="127"/>
        <w:jc w:val="center"/>
        <w:rPr>
          <w:rFonts w:hint="eastAsia" w:ascii="宋体" w:hAnsi="宋体" w:eastAsia="宋体" w:cs="宋体"/>
          <w:bCs/>
          <w:sz w:val="44"/>
          <w:szCs w:val="44"/>
          <w:highlight w:val="none"/>
        </w:rPr>
      </w:pPr>
    </w:p>
    <w:p w14:paraId="65E4DF27">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sz w:val="44"/>
          <w:szCs w:val="44"/>
          <w:highlight w:val="none"/>
        </w:rPr>
      </w:pPr>
    </w:p>
    <w:p w14:paraId="21AA9263">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sz w:val="44"/>
          <w:szCs w:val="44"/>
          <w:highlight w:val="none"/>
        </w:rPr>
      </w:pPr>
    </w:p>
    <w:p w14:paraId="5D31079F">
      <w:pPr>
        <w:tabs>
          <w:tab w:val="left" w:pos="315"/>
          <w:tab w:val="left" w:pos="8820"/>
        </w:tabs>
        <w:spacing w:before="312" w:beforeLines="100" w:after="156" w:afterLines="50" w:line="240" w:lineRule="auto"/>
        <w:ind w:right="267" w:rightChars="127"/>
        <w:jc w:val="center"/>
        <w:rPr>
          <w:rFonts w:hint="eastAsia" w:ascii="宋体" w:hAnsi="宋体" w:eastAsia="宋体" w:cs="宋体"/>
          <w:b/>
          <w:bCs/>
          <w:sz w:val="44"/>
          <w:szCs w:val="44"/>
          <w:highlight w:val="none"/>
          <w:lang w:eastAsia="zh-CN"/>
        </w:rPr>
      </w:pPr>
    </w:p>
    <w:p w14:paraId="26E3E84C">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sz w:val="44"/>
          <w:szCs w:val="44"/>
          <w:highlight w:val="none"/>
        </w:rPr>
      </w:pPr>
    </w:p>
    <w:p w14:paraId="5F76D5E8">
      <w:pPr>
        <w:tabs>
          <w:tab w:val="left" w:pos="2410"/>
        </w:tabs>
        <w:autoSpaceDE w:val="0"/>
        <w:autoSpaceDN w:val="0"/>
        <w:adjustRightInd w:val="0"/>
        <w:snapToGrid w:val="0"/>
        <w:spacing w:line="360" w:lineRule="auto"/>
        <w:ind w:firstLine="642" w:firstLineChars="200"/>
        <w:rPr>
          <w:rFonts w:hint="default" w:ascii="宋体" w:hAnsi="宋体" w:eastAsia="宋体" w:cs="宋体"/>
          <w:b/>
          <w:spacing w:val="20"/>
          <w:kern w:val="0"/>
          <w:sz w:val="28"/>
          <w:szCs w:val="28"/>
          <w:highlight w:val="none"/>
          <w:lang w:val="en-US" w:eastAsia="zh-CN"/>
        </w:rPr>
      </w:pPr>
      <w:bookmarkStart w:id="1" w:name="_Toc21035"/>
      <w:r>
        <w:rPr>
          <w:rFonts w:hint="eastAsia" w:ascii="宋体" w:hAnsi="宋体" w:eastAsia="宋体" w:cs="宋体"/>
          <w:b/>
          <w:spacing w:val="20"/>
          <w:kern w:val="0"/>
          <w:sz w:val="28"/>
          <w:szCs w:val="28"/>
          <w:highlight w:val="none"/>
        </w:rPr>
        <w:t>项目名称：</w:t>
      </w:r>
      <w:bookmarkEnd w:id="1"/>
      <w:r>
        <w:rPr>
          <w:rFonts w:hint="eastAsia" w:ascii="宋体" w:hAnsi="宋体" w:eastAsia="宋体" w:cs="宋体"/>
          <w:b/>
          <w:spacing w:val="20"/>
          <w:kern w:val="0"/>
          <w:sz w:val="28"/>
          <w:szCs w:val="28"/>
          <w:highlight w:val="none"/>
          <w:u w:val="single"/>
        </w:rPr>
        <w:t>安徽交通职业技术学院接触网综合实训基地项目</w:t>
      </w:r>
      <w:r>
        <w:rPr>
          <w:rFonts w:hint="eastAsia" w:ascii="宋体" w:hAnsi="宋体" w:eastAsia="宋体" w:cs="宋体"/>
          <w:b/>
          <w:spacing w:val="20"/>
          <w:kern w:val="0"/>
          <w:sz w:val="28"/>
          <w:szCs w:val="28"/>
          <w:highlight w:val="none"/>
          <w:u w:val="single"/>
          <w:lang w:eastAsia="zh-CN"/>
        </w:rPr>
        <w:t>（</w:t>
      </w:r>
      <w:r>
        <w:rPr>
          <w:rFonts w:hint="eastAsia" w:ascii="宋体" w:hAnsi="宋体" w:eastAsia="宋体" w:cs="宋体"/>
          <w:b/>
          <w:spacing w:val="20"/>
          <w:kern w:val="0"/>
          <w:sz w:val="28"/>
          <w:szCs w:val="28"/>
          <w:highlight w:val="none"/>
          <w:u w:val="single"/>
          <w:lang w:val="en-US" w:eastAsia="zh-CN"/>
        </w:rPr>
        <w:t>二次）</w:t>
      </w:r>
    </w:p>
    <w:p w14:paraId="14C7C20A">
      <w:pPr>
        <w:tabs>
          <w:tab w:val="left" w:pos="2410"/>
        </w:tabs>
        <w:autoSpaceDE w:val="0"/>
        <w:autoSpaceDN w:val="0"/>
        <w:adjustRightInd w:val="0"/>
        <w:snapToGrid w:val="0"/>
        <w:spacing w:line="360" w:lineRule="auto"/>
        <w:ind w:firstLine="642" w:firstLineChars="200"/>
        <w:rPr>
          <w:rFonts w:hint="default" w:ascii="宋体" w:hAnsi="宋体" w:eastAsia="宋体" w:cs="宋体"/>
          <w:b/>
          <w:spacing w:val="20"/>
          <w:kern w:val="0"/>
          <w:sz w:val="28"/>
          <w:szCs w:val="28"/>
          <w:highlight w:val="none"/>
          <w:lang w:val="en-US" w:eastAsia="zh-CN"/>
        </w:rPr>
      </w:pPr>
      <w:bookmarkStart w:id="2" w:name="_Toc11263"/>
      <w:r>
        <w:rPr>
          <w:rFonts w:hint="eastAsia" w:ascii="宋体" w:hAnsi="宋体" w:eastAsia="宋体" w:cs="宋体"/>
          <w:b/>
          <w:spacing w:val="20"/>
          <w:kern w:val="0"/>
          <w:sz w:val="28"/>
          <w:szCs w:val="28"/>
          <w:highlight w:val="none"/>
        </w:rPr>
        <w:t>项目编号：</w:t>
      </w:r>
      <w:bookmarkEnd w:id="2"/>
      <w:r>
        <w:rPr>
          <w:rFonts w:hint="eastAsia" w:ascii="宋体" w:hAnsi="宋体" w:eastAsia="宋体" w:cs="宋体"/>
          <w:b/>
          <w:spacing w:val="20"/>
          <w:kern w:val="0"/>
          <w:sz w:val="28"/>
          <w:szCs w:val="28"/>
          <w:highlight w:val="none"/>
          <w:u w:val="single"/>
          <w:lang w:val="en-US" w:eastAsia="zh-CN"/>
        </w:rPr>
        <w:t>BJJZ-AH-20250</w:t>
      </w:r>
      <w:r>
        <w:rPr>
          <w:rFonts w:hint="eastAsia" w:ascii="宋体" w:hAnsi="宋体" w:eastAsia="宋体" w:cs="宋体"/>
          <w:b/>
          <w:color w:val="auto"/>
          <w:spacing w:val="20"/>
          <w:kern w:val="0"/>
          <w:sz w:val="28"/>
          <w:szCs w:val="28"/>
          <w:highlight w:val="none"/>
          <w:u w:val="single"/>
          <w:lang w:val="en-US" w:eastAsia="zh-CN"/>
        </w:rPr>
        <w:t>41-2</w:t>
      </w:r>
    </w:p>
    <w:p w14:paraId="35502BE9">
      <w:pPr>
        <w:tabs>
          <w:tab w:val="left" w:pos="2410"/>
        </w:tabs>
        <w:autoSpaceDE w:val="0"/>
        <w:autoSpaceDN w:val="0"/>
        <w:adjustRightInd w:val="0"/>
        <w:snapToGrid w:val="0"/>
        <w:spacing w:line="360" w:lineRule="auto"/>
        <w:ind w:firstLine="642" w:firstLineChars="200"/>
        <w:rPr>
          <w:rFonts w:hint="eastAsia" w:ascii="宋体" w:hAnsi="宋体" w:eastAsia="宋体" w:cs="宋体"/>
          <w:b/>
          <w:spacing w:val="20"/>
          <w:kern w:val="0"/>
          <w:sz w:val="28"/>
          <w:szCs w:val="28"/>
          <w:highlight w:val="none"/>
          <w:u w:val="single"/>
          <w:lang w:eastAsia="zh-CN"/>
        </w:rPr>
      </w:pPr>
      <w:r>
        <w:rPr>
          <w:rFonts w:hint="eastAsia" w:ascii="宋体" w:hAnsi="宋体" w:eastAsia="宋体" w:cs="宋体"/>
          <w:b/>
          <w:spacing w:val="20"/>
          <w:kern w:val="0"/>
          <w:sz w:val="28"/>
          <w:szCs w:val="28"/>
          <w:highlight w:val="none"/>
          <w:lang w:val="en-US" w:eastAsia="zh-CN"/>
        </w:rPr>
        <w:t>招 标</w:t>
      </w:r>
      <w:r>
        <w:rPr>
          <w:rFonts w:hint="eastAsia" w:ascii="宋体" w:hAnsi="宋体" w:eastAsia="宋体" w:cs="宋体"/>
          <w:b/>
          <w:spacing w:val="20"/>
          <w:kern w:val="0"/>
          <w:sz w:val="28"/>
          <w:szCs w:val="28"/>
          <w:highlight w:val="none"/>
        </w:rPr>
        <w:t xml:space="preserve"> 人：</w:t>
      </w:r>
      <w:r>
        <w:rPr>
          <w:rFonts w:hint="eastAsia" w:ascii="宋体" w:hAnsi="宋体" w:eastAsia="宋体" w:cs="宋体"/>
          <w:b/>
          <w:spacing w:val="20"/>
          <w:kern w:val="0"/>
          <w:sz w:val="28"/>
          <w:szCs w:val="28"/>
          <w:highlight w:val="none"/>
          <w:u w:val="single"/>
        </w:rPr>
        <w:t>安徽交通职业技术学院</w:t>
      </w:r>
    </w:p>
    <w:p w14:paraId="324FE1F5">
      <w:pPr>
        <w:tabs>
          <w:tab w:val="left" w:pos="2410"/>
        </w:tabs>
        <w:autoSpaceDE w:val="0"/>
        <w:autoSpaceDN w:val="0"/>
        <w:adjustRightInd w:val="0"/>
        <w:snapToGrid w:val="0"/>
        <w:spacing w:line="360" w:lineRule="auto"/>
        <w:ind w:firstLine="642" w:firstLineChars="200"/>
        <w:rPr>
          <w:rFonts w:hint="eastAsia" w:ascii="宋体" w:hAnsi="宋体" w:eastAsia="宋体" w:cs="宋体"/>
          <w:b/>
          <w:bCs/>
          <w:sz w:val="44"/>
          <w:szCs w:val="44"/>
          <w:highlight w:val="none"/>
        </w:rPr>
      </w:pPr>
      <w:r>
        <w:rPr>
          <w:rFonts w:hint="eastAsia" w:ascii="宋体" w:hAnsi="宋体" w:eastAsia="宋体" w:cs="宋体"/>
          <w:b/>
          <w:spacing w:val="20"/>
          <w:kern w:val="0"/>
          <w:sz w:val="28"/>
          <w:szCs w:val="28"/>
          <w:highlight w:val="none"/>
          <w:lang w:val="en-US" w:eastAsia="zh-CN"/>
        </w:rPr>
        <w:t>招标</w:t>
      </w:r>
      <w:r>
        <w:rPr>
          <w:rFonts w:hint="eastAsia" w:ascii="宋体" w:hAnsi="宋体" w:eastAsia="宋体" w:cs="宋体"/>
          <w:b/>
          <w:spacing w:val="20"/>
          <w:kern w:val="0"/>
          <w:sz w:val="28"/>
          <w:szCs w:val="28"/>
          <w:highlight w:val="none"/>
        </w:rPr>
        <w:t>代理机构：</w:t>
      </w:r>
      <w:r>
        <w:rPr>
          <w:rFonts w:hint="eastAsia" w:ascii="宋体" w:hAnsi="宋体" w:eastAsia="宋体" w:cs="宋体"/>
          <w:b/>
          <w:spacing w:val="20"/>
          <w:kern w:val="0"/>
          <w:sz w:val="28"/>
          <w:szCs w:val="28"/>
          <w:highlight w:val="none"/>
          <w:u w:val="single"/>
        </w:rPr>
        <w:t>北京市建壮咨询有限公司</w:t>
      </w:r>
    </w:p>
    <w:p w14:paraId="0DBFE4F1">
      <w:pPr>
        <w:tabs>
          <w:tab w:val="left" w:pos="2410"/>
        </w:tabs>
        <w:autoSpaceDE w:val="0"/>
        <w:autoSpaceDN w:val="0"/>
        <w:adjustRightInd w:val="0"/>
        <w:snapToGrid w:val="0"/>
        <w:spacing w:line="360" w:lineRule="auto"/>
        <w:ind w:firstLine="2890" w:firstLineChars="900"/>
        <w:jc w:val="both"/>
        <w:rPr>
          <w:rFonts w:hint="eastAsia" w:ascii="宋体" w:hAnsi="宋体" w:eastAsia="宋体" w:cs="宋体"/>
          <w:b/>
          <w:spacing w:val="20"/>
          <w:kern w:val="0"/>
          <w:sz w:val="28"/>
          <w:szCs w:val="28"/>
          <w:highlight w:val="none"/>
        </w:rPr>
      </w:pPr>
      <w:r>
        <w:rPr>
          <w:rFonts w:hint="eastAsia" w:ascii="宋体" w:hAnsi="宋体" w:eastAsia="宋体" w:cs="宋体"/>
          <w:b/>
          <w:spacing w:val="20"/>
          <w:kern w:val="0"/>
          <w:sz w:val="28"/>
          <w:szCs w:val="28"/>
          <w:highlight w:val="none"/>
        </w:rPr>
        <w:t>二〇二</w:t>
      </w:r>
      <w:r>
        <w:rPr>
          <w:rFonts w:hint="eastAsia" w:ascii="宋体" w:hAnsi="宋体" w:eastAsia="宋体" w:cs="宋体"/>
          <w:b/>
          <w:spacing w:val="20"/>
          <w:kern w:val="0"/>
          <w:sz w:val="28"/>
          <w:szCs w:val="28"/>
          <w:highlight w:val="none"/>
          <w:lang w:val="en-US" w:eastAsia="zh-CN"/>
        </w:rPr>
        <w:t>五</w:t>
      </w:r>
      <w:r>
        <w:rPr>
          <w:rFonts w:hint="eastAsia" w:ascii="宋体" w:hAnsi="宋体" w:eastAsia="宋体" w:cs="宋体"/>
          <w:b/>
          <w:spacing w:val="20"/>
          <w:kern w:val="0"/>
          <w:sz w:val="28"/>
          <w:szCs w:val="28"/>
          <w:highlight w:val="none"/>
        </w:rPr>
        <w:t>年</w:t>
      </w:r>
      <w:r>
        <w:rPr>
          <w:rFonts w:hint="eastAsia" w:ascii="宋体" w:hAnsi="宋体" w:eastAsia="宋体" w:cs="宋体"/>
          <w:b/>
          <w:spacing w:val="20"/>
          <w:kern w:val="0"/>
          <w:sz w:val="28"/>
          <w:szCs w:val="28"/>
          <w:highlight w:val="none"/>
          <w:lang w:val="en-US" w:eastAsia="zh-CN"/>
        </w:rPr>
        <w:t>十</w:t>
      </w:r>
      <w:r>
        <w:rPr>
          <w:rFonts w:hint="eastAsia" w:ascii="宋体" w:hAnsi="宋体" w:eastAsia="宋体" w:cs="宋体"/>
          <w:b/>
          <w:spacing w:val="20"/>
          <w:kern w:val="0"/>
          <w:sz w:val="28"/>
          <w:szCs w:val="28"/>
          <w:highlight w:val="none"/>
        </w:rPr>
        <w:t>月</w:t>
      </w:r>
    </w:p>
    <w:p w14:paraId="29CDD00C">
      <w:pPr>
        <w:tabs>
          <w:tab w:val="left" w:pos="2410"/>
        </w:tabs>
        <w:autoSpaceDE w:val="0"/>
        <w:autoSpaceDN w:val="0"/>
        <w:adjustRightInd w:val="0"/>
        <w:snapToGrid w:val="0"/>
        <w:spacing w:line="360" w:lineRule="auto"/>
        <w:jc w:val="both"/>
        <w:rPr>
          <w:rFonts w:hint="eastAsia" w:ascii="宋体" w:hAnsi="宋体" w:eastAsia="宋体" w:cs="宋体"/>
          <w:b/>
          <w:sz w:val="28"/>
          <w:highlight w:val="none"/>
        </w:rPr>
      </w:pPr>
      <w:r>
        <w:rPr>
          <w:rFonts w:hint="eastAsia" w:ascii="宋体" w:hAnsi="宋体" w:eastAsia="宋体" w:cs="宋体"/>
          <w:b/>
          <w:sz w:val="28"/>
          <w:highlight w:val="none"/>
        </w:rPr>
        <w:br w:type="page"/>
      </w:r>
    </w:p>
    <w:p w14:paraId="7F87FD72">
      <w:pPr>
        <w:tabs>
          <w:tab w:val="left" w:pos="2410"/>
        </w:tabs>
        <w:autoSpaceDE w:val="0"/>
        <w:autoSpaceDN w:val="0"/>
        <w:adjustRightInd w:val="0"/>
        <w:snapToGrid w:val="0"/>
        <w:spacing w:line="360" w:lineRule="auto"/>
        <w:jc w:val="center"/>
        <w:rPr>
          <w:rFonts w:hint="eastAsia" w:ascii="宋体" w:hAnsi="宋体" w:eastAsia="宋体" w:cs="宋体"/>
          <w:b/>
          <w:sz w:val="28"/>
          <w:highlight w:val="none"/>
        </w:rPr>
      </w:pPr>
      <w:r>
        <w:rPr>
          <w:rFonts w:hint="eastAsia" w:ascii="宋体" w:hAnsi="宋体" w:eastAsia="宋体" w:cs="宋体"/>
          <w:b/>
          <w:sz w:val="28"/>
          <w:highlight w:val="none"/>
        </w:rPr>
        <w:t>目  录</w:t>
      </w:r>
    </w:p>
    <w:sdt>
      <w:sdtPr>
        <w:rPr>
          <w:rFonts w:hint="eastAsia" w:ascii="宋体" w:hAnsi="宋体" w:eastAsia="宋体" w:cs="宋体"/>
          <w:b/>
          <w:sz w:val="24"/>
          <w:szCs w:val="24"/>
          <w:highlight w:val="none"/>
        </w:rPr>
        <w:id w:val="147479108"/>
        <w:docPartObj>
          <w:docPartGallery w:val="Table of Contents"/>
          <w:docPartUnique/>
        </w:docPartObj>
      </w:sdtPr>
      <w:sdtEndPr>
        <w:rPr>
          <w:rFonts w:hint="eastAsia" w:ascii="宋体" w:hAnsi="宋体" w:eastAsia="宋体" w:cs="宋体"/>
          <w:b/>
          <w:kern w:val="2"/>
          <w:sz w:val="21"/>
          <w:szCs w:val="24"/>
          <w:highlight w:val="none"/>
        </w:rPr>
      </w:sdtEndPr>
      <w:sdtContent>
        <w:p w14:paraId="12E5096C">
          <w:pPr>
            <w:pStyle w:val="17"/>
            <w:tabs>
              <w:tab w:val="right" w:leader="dot" w:pos="8296"/>
            </w:tabs>
            <w:rPr>
              <w:rFonts w:hint="eastAsia" w:ascii="宋体" w:hAnsi="宋体" w:eastAsia="宋体" w:cs="宋体"/>
              <w:b/>
              <w:kern w:val="0"/>
              <w:sz w:val="24"/>
              <w:szCs w:val="24"/>
              <w:highlight w:val="none"/>
              <w:lang w:val="en-US" w:eastAsia="zh-CN" w:bidi="ar-SA"/>
            </w:rPr>
          </w:pPr>
          <w:r>
            <w:rPr>
              <w:rFonts w:hint="eastAsia" w:ascii="宋体" w:hAnsi="宋体" w:eastAsia="宋体" w:cs="宋体"/>
              <w:b/>
              <w:sz w:val="24"/>
              <w:szCs w:val="24"/>
              <w:highlight w:val="none"/>
            </w:rPr>
            <w:fldChar w:fldCharType="begin"/>
          </w:r>
          <w:r>
            <w:rPr>
              <w:rFonts w:hint="eastAsia" w:ascii="宋体" w:hAnsi="宋体" w:eastAsia="宋体" w:cs="宋体"/>
              <w:b/>
              <w:sz w:val="24"/>
              <w:szCs w:val="24"/>
              <w:highlight w:val="none"/>
            </w:rPr>
            <w:instrText xml:space="preserve">TOC \o "1-1" \h \u </w:instrText>
          </w:r>
          <w:r>
            <w:rPr>
              <w:rFonts w:hint="eastAsia" w:ascii="宋体" w:hAnsi="宋体" w:eastAsia="宋体" w:cs="宋体"/>
              <w:b/>
              <w:sz w:val="24"/>
              <w:szCs w:val="24"/>
              <w:highlight w:val="none"/>
            </w:rPr>
            <w:fldChar w:fldCharType="separate"/>
          </w:r>
        </w:p>
        <w:p w14:paraId="6C2D6B4A">
          <w:pPr>
            <w:pStyle w:val="15"/>
            <w:tabs>
              <w:tab w:val="right" w:leader="dot" w:pos="974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_Toc20417 </w:instrText>
          </w:r>
          <w:r>
            <w:rPr>
              <w:rFonts w:hint="eastAsia" w:ascii="宋体" w:hAnsi="宋体" w:eastAsia="宋体" w:cs="宋体"/>
              <w:szCs w:val="24"/>
              <w:highlight w:val="none"/>
            </w:rPr>
            <w:fldChar w:fldCharType="separate"/>
          </w:r>
          <w:r>
            <w:rPr>
              <w:rFonts w:hint="eastAsia" w:ascii="宋体" w:hAnsi="宋体" w:eastAsia="宋体" w:cs="宋体"/>
              <w:highlight w:val="none"/>
            </w:rPr>
            <w:t xml:space="preserve">第一章  </w:t>
          </w:r>
          <w:r>
            <w:rPr>
              <w:rFonts w:hint="eastAsia" w:ascii="宋体" w:hAnsi="宋体" w:eastAsia="宋体" w:cs="宋体"/>
              <w:highlight w:val="none"/>
              <w:lang w:val="en-US" w:eastAsia="zh-CN"/>
            </w:rPr>
            <w:t>招标公告</w:t>
          </w:r>
          <w:r>
            <w:tab/>
          </w:r>
          <w:r>
            <w:fldChar w:fldCharType="begin"/>
          </w:r>
          <w:r>
            <w:instrText xml:space="preserve"> PAGEREF _Toc20417 \h </w:instrText>
          </w:r>
          <w:r>
            <w:fldChar w:fldCharType="separate"/>
          </w:r>
          <w:r>
            <w:t>1</w:t>
          </w:r>
          <w:r>
            <w:fldChar w:fldCharType="end"/>
          </w:r>
          <w:r>
            <w:rPr>
              <w:rFonts w:hint="eastAsia" w:ascii="宋体" w:hAnsi="宋体" w:eastAsia="宋体" w:cs="宋体"/>
              <w:szCs w:val="24"/>
              <w:highlight w:val="none"/>
            </w:rPr>
            <w:fldChar w:fldCharType="end"/>
          </w:r>
        </w:p>
        <w:p w14:paraId="4EA4883C">
          <w:pPr>
            <w:pStyle w:val="15"/>
            <w:tabs>
              <w:tab w:val="right" w:leader="dot" w:pos="974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_Toc19927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第二章  投标人须知</w:t>
          </w:r>
          <w:r>
            <w:tab/>
          </w:r>
          <w:r>
            <w:fldChar w:fldCharType="begin"/>
          </w:r>
          <w:r>
            <w:instrText xml:space="preserve"> PAGEREF _Toc19927 \h </w:instrText>
          </w:r>
          <w:r>
            <w:fldChar w:fldCharType="separate"/>
          </w:r>
          <w:r>
            <w:t>3</w:t>
          </w:r>
          <w:r>
            <w:fldChar w:fldCharType="end"/>
          </w:r>
          <w:r>
            <w:rPr>
              <w:rFonts w:hint="eastAsia" w:ascii="宋体" w:hAnsi="宋体" w:eastAsia="宋体" w:cs="宋体"/>
              <w:szCs w:val="24"/>
              <w:highlight w:val="none"/>
            </w:rPr>
            <w:fldChar w:fldCharType="end"/>
          </w:r>
        </w:p>
        <w:p w14:paraId="41FFBD16">
          <w:pPr>
            <w:pStyle w:val="15"/>
            <w:tabs>
              <w:tab w:val="right" w:leader="dot" w:pos="974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_Toc4675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第三章  采购需求</w:t>
          </w:r>
          <w:r>
            <w:tab/>
          </w:r>
          <w:r>
            <w:fldChar w:fldCharType="begin"/>
          </w:r>
          <w:r>
            <w:instrText xml:space="preserve"> PAGEREF _Toc4675 \h </w:instrText>
          </w:r>
          <w:r>
            <w:fldChar w:fldCharType="separate"/>
          </w:r>
          <w:r>
            <w:t>20</w:t>
          </w:r>
          <w:r>
            <w:fldChar w:fldCharType="end"/>
          </w:r>
          <w:r>
            <w:rPr>
              <w:rFonts w:hint="eastAsia" w:ascii="宋体" w:hAnsi="宋体" w:eastAsia="宋体" w:cs="宋体"/>
              <w:szCs w:val="24"/>
              <w:highlight w:val="none"/>
            </w:rPr>
            <w:fldChar w:fldCharType="end"/>
          </w:r>
        </w:p>
        <w:p w14:paraId="3BF381CD">
          <w:pPr>
            <w:pStyle w:val="15"/>
            <w:tabs>
              <w:tab w:val="right" w:leader="dot" w:pos="974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_Toc25318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第四章  评标方法和标准（最低评标价法）</w:t>
          </w:r>
          <w:r>
            <w:tab/>
          </w:r>
          <w:r>
            <w:fldChar w:fldCharType="begin"/>
          </w:r>
          <w:r>
            <w:instrText xml:space="preserve"> PAGEREF _Toc25318 \h </w:instrText>
          </w:r>
          <w:r>
            <w:fldChar w:fldCharType="separate"/>
          </w:r>
          <w:r>
            <w:t>31</w:t>
          </w:r>
          <w:r>
            <w:fldChar w:fldCharType="end"/>
          </w:r>
          <w:r>
            <w:rPr>
              <w:rFonts w:hint="eastAsia" w:ascii="宋体" w:hAnsi="宋体" w:eastAsia="宋体" w:cs="宋体"/>
              <w:szCs w:val="24"/>
              <w:highlight w:val="none"/>
            </w:rPr>
            <w:fldChar w:fldCharType="end"/>
          </w:r>
        </w:p>
        <w:p w14:paraId="4B0C40C0">
          <w:pPr>
            <w:pStyle w:val="15"/>
            <w:tabs>
              <w:tab w:val="right" w:leader="dot" w:pos="974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_Toc18808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第六章  投标文件格式</w:t>
          </w:r>
          <w:r>
            <w:tab/>
          </w:r>
          <w:r>
            <w:fldChar w:fldCharType="begin"/>
          </w:r>
          <w:r>
            <w:instrText xml:space="preserve"> PAGEREF _Toc18808 \h </w:instrText>
          </w:r>
          <w:r>
            <w:fldChar w:fldCharType="separate"/>
          </w:r>
          <w:r>
            <w:t>42</w:t>
          </w:r>
          <w:r>
            <w:fldChar w:fldCharType="end"/>
          </w:r>
          <w:r>
            <w:rPr>
              <w:rFonts w:hint="eastAsia" w:ascii="宋体" w:hAnsi="宋体" w:eastAsia="宋体" w:cs="宋体"/>
              <w:szCs w:val="24"/>
              <w:highlight w:val="none"/>
            </w:rPr>
            <w:fldChar w:fldCharType="end"/>
          </w:r>
        </w:p>
        <w:p w14:paraId="0A608FE6">
          <w:pPr>
            <w:pStyle w:val="15"/>
            <w:tabs>
              <w:tab w:val="right" w:leader="dot" w:pos="974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_Toc13760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第八章</w:t>
          </w:r>
          <w:r>
            <w:rPr>
              <w:rFonts w:hint="eastAsia" w:ascii="宋体" w:hAnsi="宋体" w:eastAsia="宋体" w:cs="宋体"/>
              <w:bCs/>
              <w:highlight w:val="none"/>
            </w:rPr>
            <w:t xml:space="preserve">  政府采购</w:t>
          </w:r>
          <w:r>
            <w:rPr>
              <w:rFonts w:hint="eastAsia" w:ascii="宋体" w:hAnsi="宋体" w:eastAsia="宋体" w:cs="宋体"/>
              <w:highlight w:val="none"/>
            </w:rPr>
            <w:t>供应</w:t>
          </w:r>
          <w:r>
            <w:rPr>
              <w:rFonts w:hint="eastAsia" w:ascii="宋体" w:hAnsi="宋体" w:eastAsia="宋体" w:cs="宋体"/>
              <w:bCs/>
              <w:highlight w:val="none"/>
            </w:rPr>
            <w:t>商询问函和质疑函范本</w:t>
          </w:r>
          <w:r>
            <w:tab/>
          </w:r>
          <w:r>
            <w:fldChar w:fldCharType="begin"/>
          </w:r>
          <w:r>
            <w:instrText xml:space="preserve"> PAGEREF _Toc13760 \h </w:instrText>
          </w:r>
          <w:r>
            <w:fldChar w:fldCharType="separate"/>
          </w:r>
          <w:r>
            <w:t>56</w:t>
          </w:r>
          <w:r>
            <w:fldChar w:fldCharType="end"/>
          </w:r>
          <w:r>
            <w:rPr>
              <w:rFonts w:hint="eastAsia" w:ascii="宋体" w:hAnsi="宋体" w:eastAsia="宋体" w:cs="宋体"/>
              <w:szCs w:val="24"/>
              <w:highlight w:val="none"/>
            </w:rPr>
            <w:fldChar w:fldCharType="end"/>
          </w:r>
        </w:p>
        <w:p w14:paraId="38FADF29">
          <w:pPr>
            <w:pStyle w:val="17"/>
            <w:tabs>
              <w:tab w:val="right" w:leader="dot" w:pos="8296"/>
            </w:tabs>
            <w:rPr>
              <w:rFonts w:hint="eastAsia" w:ascii="宋体" w:hAnsi="宋体" w:eastAsia="宋体" w:cs="宋体"/>
              <w:b/>
              <w:sz w:val="32"/>
              <w:highlight w:val="none"/>
            </w:rPr>
          </w:pPr>
          <w:r>
            <w:rPr>
              <w:rFonts w:hint="eastAsia" w:ascii="宋体" w:hAnsi="宋体" w:eastAsia="宋体" w:cs="宋体"/>
              <w:b/>
              <w:sz w:val="24"/>
              <w:szCs w:val="24"/>
              <w:highlight w:val="none"/>
            </w:rPr>
            <w:fldChar w:fldCharType="end"/>
          </w:r>
        </w:p>
      </w:sdtContent>
    </w:sdt>
    <w:p w14:paraId="627FB540">
      <w:pPr>
        <w:spacing w:line="360" w:lineRule="auto"/>
        <w:jc w:val="center"/>
        <w:rPr>
          <w:rFonts w:hint="eastAsia" w:ascii="宋体" w:hAnsi="宋体" w:eastAsia="宋体" w:cs="宋体"/>
          <w:b/>
          <w:sz w:val="28"/>
          <w:highlight w:val="none"/>
        </w:rPr>
        <w:sectPr>
          <w:headerReference r:id="rId4" w:type="default"/>
          <w:footerReference r:id="rId5" w:type="default"/>
          <w:pgSz w:w="11906" w:h="16838"/>
          <w:pgMar w:top="1440" w:right="1080" w:bottom="1440" w:left="1080" w:header="851" w:footer="992" w:gutter="0"/>
          <w:cols w:space="425" w:num="1"/>
          <w:docGrid w:type="lines" w:linePitch="312" w:charSpace="0"/>
        </w:sectPr>
      </w:pPr>
    </w:p>
    <w:p w14:paraId="6BC2C1CE">
      <w:pPr>
        <w:spacing w:line="360" w:lineRule="auto"/>
        <w:jc w:val="center"/>
        <w:outlineLvl w:val="0"/>
        <w:rPr>
          <w:rFonts w:hint="default" w:ascii="宋体" w:hAnsi="宋体" w:eastAsia="宋体" w:cs="宋体"/>
          <w:b/>
          <w:sz w:val="28"/>
          <w:highlight w:val="none"/>
          <w:lang w:val="en-US" w:eastAsia="zh-CN"/>
        </w:rPr>
      </w:pPr>
      <w:bookmarkStart w:id="3" w:name="_Toc63440137"/>
      <w:bookmarkStart w:id="4" w:name="_Toc20417"/>
      <w:r>
        <w:rPr>
          <w:rFonts w:hint="eastAsia" w:ascii="宋体" w:hAnsi="宋体" w:eastAsia="宋体" w:cs="宋体"/>
          <w:b/>
          <w:sz w:val="28"/>
          <w:highlight w:val="none"/>
        </w:rPr>
        <w:t xml:space="preserve">第一章  </w:t>
      </w:r>
      <w:bookmarkEnd w:id="3"/>
      <w:r>
        <w:rPr>
          <w:rFonts w:hint="eastAsia" w:ascii="宋体" w:hAnsi="宋体" w:eastAsia="宋体" w:cs="宋体"/>
          <w:b/>
          <w:sz w:val="28"/>
          <w:highlight w:val="none"/>
          <w:lang w:val="en-US" w:eastAsia="zh-CN"/>
        </w:rPr>
        <w:t>招标公告</w:t>
      </w:r>
      <w:bookmarkEnd w:id="4"/>
    </w:p>
    <w:p w14:paraId="5AD56A60">
      <w:pPr>
        <w:numPr>
          <w:ilvl w:val="0"/>
          <w:numId w:val="0"/>
        </w:numPr>
        <w:spacing w:before="0" w:after="0" w:line="240" w:lineRule="auto"/>
        <w:jc w:val="both"/>
        <w:outlineLvl w:val="9"/>
        <w:rPr>
          <w:rFonts w:hint="eastAsia" w:ascii="宋体" w:hAnsi="宋体" w:eastAsia="宋体" w:cs="宋体"/>
          <w:sz w:val="24"/>
          <w:highlight w:val="none"/>
        </w:rPr>
      </w:pPr>
      <w:bookmarkStart w:id="5" w:name="_Toc10484"/>
      <w:bookmarkEnd w:id="5"/>
      <w:bookmarkStart w:id="6" w:name="OLE_LINK1"/>
    </w:p>
    <w:p w14:paraId="0468BD82">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sz w:val="24"/>
          <w:highlight w:val="none"/>
        </w:rPr>
      </w:pPr>
      <w:r>
        <w:rPr>
          <w:rFonts w:hint="eastAsia" w:ascii="宋体" w:hAnsi="宋体" w:eastAsia="宋体" w:cs="宋体"/>
          <w:sz w:val="24"/>
          <w:highlight w:val="none"/>
        </w:rPr>
        <w:t>项目概况</w:t>
      </w:r>
    </w:p>
    <w:p w14:paraId="002CC924">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u w:val="single"/>
        </w:rPr>
        <w:t>安徽交通职业技术学院接触网综合实训基地项目</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lang w:val="en-US" w:eastAsia="zh-CN"/>
        </w:rPr>
        <w:t>二次）</w:t>
      </w:r>
      <w:r>
        <w:rPr>
          <w:rFonts w:hint="eastAsia" w:ascii="宋体" w:hAnsi="宋体" w:eastAsia="宋体" w:cs="宋体"/>
          <w:sz w:val="24"/>
          <w:highlight w:val="none"/>
        </w:rPr>
        <w:t xml:space="preserve"> 招标项目的潜在投标人应在“徽采云”电子交易系统 （https://login.anhui.zcygov.cn/user-login/#/login）获取招标文件，并于</w:t>
      </w:r>
      <w:r>
        <w:rPr>
          <w:rFonts w:hint="eastAsia" w:ascii="宋体" w:hAnsi="宋体" w:eastAsia="宋体" w:cs="宋体"/>
          <w:color w:val="auto"/>
          <w:sz w:val="24"/>
          <w:highlight w:val="none"/>
          <w:u w:val="single"/>
        </w:rPr>
        <w:t xml:space="preserve"> </w:t>
      </w:r>
      <w:r>
        <w:rPr>
          <w:rFonts w:hint="eastAsia" w:ascii="宋体" w:hAnsi="宋体" w:eastAsia="宋体" w:cs="宋体"/>
          <w:bCs/>
          <w:color w:val="auto"/>
          <w:sz w:val="24"/>
          <w:highlight w:val="none"/>
          <w:u w:val="single"/>
        </w:rPr>
        <w:t>202</w:t>
      </w:r>
      <w:r>
        <w:rPr>
          <w:rFonts w:hint="eastAsia" w:ascii="宋体" w:hAnsi="宋体" w:eastAsia="宋体" w:cs="宋体"/>
          <w:bCs/>
          <w:color w:val="auto"/>
          <w:sz w:val="24"/>
          <w:highlight w:val="none"/>
          <w:u w:val="single"/>
          <w:lang w:val="en-US" w:eastAsia="zh-CN"/>
        </w:rPr>
        <w:t>5</w:t>
      </w:r>
      <w:r>
        <w:rPr>
          <w:rFonts w:hint="eastAsia" w:ascii="宋体" w:hAnsi="宋体" w:eastAsia="宋体" w:cs="宋体"/>
          <w:bCs/>
          <w:color w:val="auto"/>
          <w:sz w:val="24"/>
          <w:highlight w:val="none"/>
          <w:u w:val="single"/>
        </w:rPr>
        <w:t>年</w:t>
      </w:r>
      <w:r>
        <w:rPr>
          <w:rFonts w:hint="eastAsia" w:ascii="宋体" w:hAnsi="宋体" w:eastAsia="宋体" w:cs="宋体"/>
          <w:bCs/>
          <w:color w:val="auto"/>
          <w:sz w:val="24"/>
          <w:highlight w:val="none"/>
          <w:u w:val="single"/>
          <w:lang w:val="en-US" w:eastAsia="zh-CN"/>
        </w:rPr>
        <w:t>11</w:t>
      </w:r>
      <w:r>
        <w:rPr>
          <w:rFonts w:hint="eastAsia" w:ascii="宋体" w:hAnsi="宋体" w:eastAsia="宋体" w:cs="宋体"/>
          <w:bCs/>
          <w:color w:val="auto"/>
          <w:sz w:val="24"/>
          <w:highlight w:val="none"/>
          <w:u w:val="single"/>
        </w:rPr>
        <w:t>月</w:t>
      </w:r>
      <w:r>
        <w:rPr>
          <w:rFonts w:hint="eastAsia" w:ascii="宋体" w:hAnsi="宋体" w:eastAsia="宋体" w:cs="宋体"/>
          <w:bCs/>
          <w:color w:val="auto"/>
          <w:sz w:val="24"/>
          <w:highlight w:val="none"/>
          <w:u w:val="single"/>
          <w:lang w:val="en-US" w:eastAsia="zh-CN"/>
        </w:rPr>
        <w:t>13</w:t>
      </w:r>
      <w:r>
        <w:rPr>
          <w:rFonts w:hint="eastAsia" w:ascii="宋体" w:hAnsi="宋体" w:eastAsia="宋体" w:cs="宋体"/>
          <w:bCs/>
          <w:color w:val="auto"/>
          <w:sz w:val="24"/>
          <w:highlight w:val="none"/>
          <w:u w:val="single"/>
        </w:rPr>
        <w:t>日</w:t>
      </w:r>
      <w:r>
        <w:rPr>
          <w:rFonts w:hint="eastAsia" w:ascii="宋体" w:hAnsi="宋体" w:eastAsia="宋体" w:cs="宋体"/>
          <w:bCs/>
          <w:sz w:val="24"/>
          <w:highlight w:val="none"/>
          <w:u w:val="single"/>
        </w:rPr>
        <w:t>09点</w:t>
      </w:r>
      <w:r>
        <w:rPr>
          <w:rFonts w:hint="eastAsia" w:ascii="宋体" w:hAnsi="宋体" w:eastAsia="宋体" w:cs="宋体"/>
          <w:bCs/>
          <w:sz w:val="24"/>
          <w:highlight w:val="none"/>
          <w:u w:val="single"/>
          <w:lang w:val="en-US" w:eastAsia="zh-CN"/>
        </w:rPr>
        <w:t>3</w:t>
      </w:r>
      <w:r>
        <w:rPr>
          <w:rFonts w:hint="eastAsia" w:ascii="宋体" w:hAnsi="宋体" w:eastAsia="宋体" w:cs="宋体"/>
          <w:bCs/>
          <w:sz w:val="24"/>
          <w:highlight w:val="none"/>
          <w:u w:val="single"/>
        </w:rPr>
        <w:t>0分（</w:t>
      </w:r>
      <w:r>
        <w:rPr>
          <w:rFonts w:hint="eastAsia" w:ascii="宋体" w:hAnsi="宋体" w:eastAsia="宋体" w:cs="宋体"/>
          <w:bCs/>
          <w:sz w:val="24"/>
          <w:highlight w:val="none"/>
        </w:rPr>
        <w:t>北京时间）前递交</w:t>
      </w:r>
      <w:r>
        <w:rPr>
          <w:rFonts w:hint="eastAsia" w:ascii="宋体" w:hAnsi="宋体" w:eastAsia="宋体" w:cs="宋体"/>
          <w:bCs/>
          <w:sz w:val="24"/>
          <w:highlight w:val="none"/>
          <w:lang w:val="en-US" w:eastAsia="zh-CN"/>
        </w:rPr>
        <w:t>纸质</w:t>
      </w:r>
      <w:r>
        <w:rPr>
          <w:rFonts w:hint="eastAsia" w:ascii="宋体" w:hAnsi="宋体" w:eastAsia="宋体" w:cs="宋体"/>
          <w:bCs/>
          <w:sz w:val="24"/>
          <w:highlight w:val="none"/>
        </w:rPr>
        <w:t>投标文件</w:t>
      </w:r>
      <w:r>
        <w:rPr>
          <w:rFonts w:hint="eastAsia" w:ascii="宋体" w:hAnsi="宋体" w:eastAsia="宋体" w:cs="宋体"/>
          <w:sz w:val="24"/>
          <w:highlight w:val="none"/>
        </w:rPr>
        <w:t>。</w:t>
      </w:r>
    </w:p>
    <w:p w14:paraId="7C03401F">
      <w:pPr>
        <w:spacing w:line="360" w:lineRule="auto"/>
        <w:rPr>
          <w:rFonts w:hint="eastAsia" w:ascii="宋体" w:hAnsi="宋体" w:eastAsia="宋体" w:cs="宋体"/>
          <w:sz w:val="24"/>
          <w:highlight w:val="none"/>
        </w:rPr>
      </w:pPr>
    </w:p>
    <w:p w14:paraId="5764D5E9">
      <w:pPr>
        <w:pStyle w:val="3"/>
        <w:numPr>
          <w:ilvl w:val="0"/>
          <w:numId w:val="0"/>
        </w:numPr>
        <w:spacing w:line="360" w:lineRule="auto"/>
        <w:rPr>
          <w:rFonts w:hint="eastAsia" w:ascii="宋体" w:hAnsi="宋体" w:eastAsia="宋体" w:cs="宋体"/>
          <w:bCs w:val="0"/>
          <w:sz w:val="24"/>
          <w:szCs w:val="24"/>
          <w:highlight w:val="none"/>
        </w:rPr>
      </w:pPr>
      <w:bookmarkStart w:id="7" w:name="_Toc28359079"/>
      <w:bookmarkStart w:id="8" w:name="_Toc35393790"/>
      <w:bookmarkStart w:id="9" w:name="_Toc35393621"/>
      <w:bookmarkStart w:id="10" w:name="_Toc28359002"/>
      <w:bookmarkStart w:id="11" w:name="_Toc20319"/>
      <w:bookmarkStart w:id="12" w:name="_Hlk24379207"/>
      <w:r>
        <w:rPr>
          <w:rFonts w:hint="eastAsia" w:ascii="宋体" w:hAnsi="宋体" w:eastAsia="宋体" w:cs="宋体"/>
          <w:bCs w:val="0"/>
          <w:sz w:val="24"/>
          <w:szCs w:val="24"/>
          <w:highlight w:val="none"/>
        </w:rPr>
        <w:t>一、项目基本情况</w:t>
      </w:r>
      <w:bookmarkEnd w:id="7"/>
      <w:bookmarkEnd w:id="8"/>
      <w:bookmarkEnd w:id="9"/>
      <w:bookmarkEnd w:id="10"/>
      <w:bookmarkEnd w:id="11"/>
    </w:p>
    <w:p w14:paraId="659E9D4C">
      <w:pPr>
        <w:spacing w:line="360" w:lineRule="auto"/>
        <w:ind w:firstLine="480" w:firstLineChars="200"/>
        <w:rPr>
          <w:rFonts w:hint="default" w:ascii="宋体" w:hAnsi="宋体" w:eastAsia="宋体" w:cs="宋体"/>
          <w:color w:val="FF0000"/>
          <w:sz w:val="24"/>
          <w:highlight w:val="none"/>
          <w:lang w:val="en-US" w:eastAsia="zh-CN"/>
        </w:rPr>
      </w:pPr>
      <w:r>
        <w:rPr>
          <w:rFonts w:hint="eastAsia" w:ascii="宋体" w:hAnsi="宋体" w:eastAsia="宋体" w:cs="宋体"/>
          <w:sz w:val="24"/>
          <w:highlight w:val="none"/>
        </w:rPr>
        <w:t>1.项目编号：</w:t>
      </w:r>
      <w:r>
        <w:rPr>
          <w:rFonts w:hint="eastAsia" w:ascii="宋体" w:hAnsi="宋体" w:eastAsia="宋体" w:cs="宋体"/>
          <w:sz w:val="24"/>
          <w:highlight w:val="none"/>
          <w:u w:val="single"/>
          <w:lang w:val="en-US" w:eastAsia="zh-CN"/>
        </w:rPr>
        <w:t>BJJZ-AH-20250</w:t>
      </w:r>
      <w:r>
        <w:rPr>
          <w:rFonts w:hint="eastAsia" w:ascii="宋体" w:hAnsi="宋体" w:eastAsia="宋体" w:cs="宋体"/>
          <w:color w:val="auto"/>
          <w:sz w:val="24"/>
          <w:highlight w:val="none"/>
          <w:u w:val="single"/>
          <w:lang w:val="en-US" w:eastAsia="zh-CN"/>
        </w:rPr>
        <w:t>41-2</w:t>
      </w:r>
      <w:bookmarkStart w:id="223" w:name="_GoBack"/>
      <w:bookmarkEnd w:id="223"/>
    </w:p>
    <w:p w14:paraId="59E3BACC">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rPr>
        <w:t>2.项目名称：</w:t>
      </w:r>
      <w:r>
        <w:rPr>
          <w:rFonts w:hint="eastAsia" w:ascii="宋体" w:hAnsi="宋体" w:eastAsia="宋体" w:cs="宋体"/>
          <w:sz w:val="24"/>
          <w:highlight w:val="none"/>
          <w:u w:val="single"/>
        </w:rPr>
        <w:t>安徽交通职业技术学院接触网综合实训基地项目</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lang w:val="en-US" w:eastAsia="zh-CN"/>
        </w:rPr>
        <w:t>二次）</w:t>
      </w:r>
    </w:p>
    <w:bookmarkEnd w:id="12"/>
    <w:p w14:paraId="08C1CBE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3.预算金额：</w:t>
      </w:r>
      <w:r>
        <w:rPr>
          <w:rFonts w:hint="eastAsia" w:ascii="宋体" w:hAnsi="宋体" w:eastAsia="宋体" w:cs="宋体"/>
          <w:sz w:val="24"/>
          <w:highlight w:val="none"/>
          <w:u w:val="single"/>
          <w:lang w:val="en-US" w:eastAsia="zh-CN"/>
        </w:rPr>
        <w:t>50</w:t>
      </w:r>
      <w:r>
        <w:rPr>
          <w:rFonts w:hint="eastAsia" w:ascii="宋体" w:hAnsi="宋体" w:eastAsia="宋体" w:cs="宋体"/>
          <w:sz w:val="24"/>
          <w:highlight w:val="none"/>
          <w:u w:val="single"/>
        </w:rPr>
        <w:t>万元</w:t>
      </w:r>
    </w:p>
    <w:p w14:paraId="1D89C3E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4.最高限价：</w:t>
      </w:r>
      <w:r>
        <w:rPr>
          <w:rFonts w:hint="eastAsia" w:ascii="宋体" w:hAnsi="宋体" w:eastAsia="宋体" w:cs="宋体"/>
          <w:sz w:val="24"/>
          <w:highlight w:val="none"/>
          <w:u w:val="single"/>
          <w:lang w:val="en-US" w:eastAsia="zh-CN"/>
        </w:rPr>
        <w:t>50</w:t>
      </w:r>
      <w:r>
        <w:rPr>
          <w:rFonts w:hint="eastAsia" w:ascii="宋体" w:hAnsi="宋体" w:eastAsia="宋体" w:cs="宋体"/>
          <w:sz w:val="24"/>
          <w:highlight w:val="none"/>
          <w:u w:val="single"/>
        </w:rPr>
        <w:t>万元</w:t>
      </w:r>
    </w:p>
    <w:p w14:paraId="2B705C6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5.采购需求：</w:t>
      </w:r>
      <w:r>
        <w:rPr>
          <w:rFonts w:hint="eastAsia" w:ascii="宋体" w:hAnsi="宋体" w:eastAsia="宋体" w:cs="宋体"/>
          <w:sz w:val="24"/>
          <w:highlight w:val="none"/>
          <w:u w:val="single"/>
          <w:lang w:val="en-US" w:eastAsia="zh-CN"/>
        </w:rPr>
        <w:t>采购接触网设施设备、源网荷储一体化技术与应用实训平台、能源管控系统软件、工作台、工具套装等设备。根据项目需要在规定时间内进行实训基地环境安装，包括模拟光伏电站、储能系统、模拟负载和能源管控系统、能源管理软件、工具套装及相关零星基础环境改造工作，厂家需要配备专业驻场监管人员和良好的售后服务</w:t>
      </w:r>
      <w:r>
        <w:rPr>
          <w:rFonts w:hint="eastAsia" w:ascii="宋体" w:hAnsi="宋体" w:eastAsia="宋体" w:cs="宋体"/>
          <w:sz w:val="24"/>
          <w:highlight w:val="none"/>
          <w:u w:val="single"/>
        </w:rPr>
        <w:t>。详见招标文件</w:t>
      </w:r>
      <w:r>
        <w:rPr>
          <w:rFonts w:hint="eastAsia" w:ascii="宋体" w:hAnsi="宋体" w:eastAsia="宋体" w:cs="宋体"/>
          <w:sz w:val="24"/>
          <w:highlight w:val="none"/>
          <w:u w:val="none"/>
        </w:rPr>
        <w:t>。</w:t>
      </w:r>
    </w:p>
    <w:p w14:paraId="05E26E3A">
      <w:pPr>
        <w:spacing w:line="360" w:lineRule="auto"/>
        <w:ind w:firstLine="480" w:firstLineChars="200"/>
        <w:rPr>
          <w:rFonts w:hint="eastAsia" w:ascii="宋体" w:hAnsi="宋体" w:eastAsia="宋体" w:cs="宋体"/>
          <w:sz w:val="24"/>
          <w:highlight w:val="green"/>
          <w:u w:val="single"/>
          <w:lang w:eastAsia="zh-CN"/>
        </w:rPr>
      </w:pPr>
      <w:r>
        <w:rPr>
          <w:rFonts w:hint="eastAsia" w:ascii="宋体" w:hAnsi="宋体" w:eastAsia="宋体" w:cs="宋体"/>
          <w:sz w:val="24"/>
          <w:highlight w:val="none"/>
        </w:rPr>
        <w:t>6.合同履行期限：源网荷储一体化技术与应用实训平台合同生效后10日内完成供货及安装，其他产品合同生效后30日内完成供货及安装。</w:t>
      </w:r>
    </w:p>
    <w:p w14:paraId="46428D1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7.本项目不接受联合体投标。</w:t>
      </w:r>
    </w:p>
    <w:p w14:paraId="5F25B76E">
      <w:pPr>
        <w:pStyle w:val="3"/>
        <w:numPr>
          <w:ilvl w:val="0"/>
          <w:numId w:val="0"/>
        </w:numPr>
        <w:spacing w:line="360" w:lineRule="auto"/>
        <w:rPr>
          <w:rFonts w:hint="eastAsia" w:ascii="宋体" w:hAnsi="宋体" w:eastAsia="宋体" w:cs="宋体"/>
          <w:bCs w:val="0"/>
          <w:sz w:val="24"/>
          <w:szCs w:val="24"/>
          <w:highlight w:val="none"/>
        </w:rPr>
      </w:pPr>
      <w:bookmarkStart w:id="13" w:name="_Toc35393791"/>
      <w:bookmarkStart w:id="14" w:name="_Toc28359003"/>
      <w:bookmarkStart w:id="15" w:name="_Toc9785"/>
      <w:bookmarkStart w:id="16" w:name="_Toc28359080"/>
      <w:bookmarkStart w:id="17" w:name="_Toc35393622"/>
      <w:r>
        <w:rPr>
          <w:rFonts w:hint="eastAsia" w:ascii="宋体" w:hAnsi="宋体" w:eastAsia="宋体" w:cs="宋体"/>
          <w:bCs w:val="0"/>
          <w:sz w:val="24"/>
          <w:szCs w:val="24"/>
          <w:highlight w:val="none"/>
        </w:rPr>
        <w:t>二、申请人的资格要求：</w:t>
      </w:r>
      <w:bookmarkEnd w:id="13"/>
      <w:bookmarkEnd w:id="14"/>
      <w:bookmarkEnd w:id="15"/>
      <w:bookmarkEnd w:id="16"/>
      <w:bookmarkEnd w:id="17"/>
    </w:p>
    <w:p w14:paraId="68E080E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1.满足《中华人民共和国政府采购法》第二十二条规定；</w:t>
      </w:r>
    </w:p>
    <w:p w14:paraId="16CA2A31">
      <w:pPr>
        <w:spacing w:line="360" w:lineRule="auto"/>
        <w:ind w:firstLine="480" w:firstLineChars="200"/>
        <w:rPr>
          <w:rFonts w:hint="eastAsia" w:ascii="宋体" w:hAnsi="宋体" w:eastAsia="宋体" w:cs="宋体"/>
          <w:sz w:val="24"/>
          <w:highlight w:val="none"/>
          <w:u w:val="single"/>
        </w:rPr>
      </w:pPr>
      <w:bookmarkStart w:id="18" w:name="_Toc28359081"/>
      <w:bookmarkStart w:id="19" w:name="_Toc28359004"/>
      <w:r>
        <w:rPr>
          <w:rFonts w:hint="eastAsia" w:ascii="宋体" w:hAnsi="宋体" w:eastAsia="宋体" w:cs="宋体"/>
          <w:sz w:val="24"/>
          <w:highlight w:val="none"/>
        </w:rPr>
        <w:t>2.落实政府采购政策需满足的资格要求：无。</w:t>
      </w:r>
    </w:p>
    <w:p w14:paraId="1F1F9E7E">
      <w:pPr>
        <w:spacing w:line="360" w:lineRule="auto"/>
        <w:ind w:firstLine="480" w:firstLineChars="200"/>
        <w:rPr>
          <w:rFonts w:hint="eastAsia" w:ascii="宋体" w:hAnsi="宋体" w:eastAsia="宋体" w:cs="宋体"/>
          <w:i/>
          <w:iCs/>
          <w:sz w:val="24"/>
          <w:highlight w:val="none"/>
          <w:u w:val="single"/>
        </w:rPr>
      </w:pPr>
      <w:r>
        <w:rPr>
          <w:rFonts w:hint="eastAsia" w:ascii="宋体" w:hAnsi="宋体" w:eastAsia="宋体" w:cs="宋体"/>
          <w:sz w:val="24"/>
          <w:highlight w:val="none"/>
        </w:rPr>
        <w:t>3.本项目的特定资格要求：无。</w:t>
      </w:r>
    </w:p>
    <w:p w14:paraId="20A37757">
      <w:pPr>
        <w:pStyle w:val="3"/>
        <w:numPr>
          <w:ilvl w:val="0"/>
          <w:numId w:val="0"/>
        </w:numPr>
        <w:spacing w:line="360" w:lineRule="auto"/>
        <w:rPr>
          <w:rFonts w:hint="eastAsia" w:ascii="宋体" w:hAnsi="宋体" w:eastAsia="宋体" w:cs="宋体"/>
          <w:bCs w:val="0"/>
          <w:sz w:val="24"/>
          <w:szCs w:val="24"/>
          <w:highlight w:val="none"/>
        </w:rPr>
      </w:pPr>
      <w:bookmarkStart w:id="20" w:name="_Toc35393792"/>
      <w:bookmarkStart w:id="21" w:name="_Toc16827"/>
      <w:bookmarkStart w:id="22" w:name="_Toc35393623"/>
      <w:r>
        <w:rPr>
          <w:rFonts w:hint="eastAsia" w:ascii="宋体" w:hAnsi="宋体" w:eastAsia="宋体" w:cs="宋体"/>
          <w:bCs w:val="0"/>
          <w:sz w:val="24"/>
          <w:szCs w:val="24"/>
          <w:highlight w:val="none"/>
        </w:rPr>
        <w:t>三、获取招标文件</w:t>
      </w:r>
      <w:bookmarkEnd w:id="18"/>
      <w:bookmarkEnd w:id="19"/>
      <w:bookmarkEnd w:id="20"/>
      <w:bookmarkEnd w:id="21"/>
      <w:bookmarkEnd w:id="22"/>
    </w:p>
    <w:p w14:paraId="7967040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1.时间：</w:t>
      </w:r>
      <w:r>
        <w:rPr>
          <w:rFonts w:hint="eastAsia" w:ascii="宋体" w:hAnsi="宋体" w:eastAsia="宋体" w:cs="宋体"/>
          <w:color w:val="auto"/>
          <w:sz w:val="24"/>
          <w:highlight w:val="none"/>
        </w:rPr>
        <w:t>2025年10月</w:t>
      </w: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rPr>
        <w:t>日至2025年11月</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日，每天上午00:00至12:00，下午12:00至23:59（北京时间，法定节假日外）</w:t>
      </w:r>
    </w:p>
    <w:p w14:paraId="3A22B245">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2.地点：“徽采云”电子交易系统</w:t>
      </w:r>
    </w:p>
    <w:p w14:paraId="6E5B7567">
      <w:pPr>
        <w:spacing w:line="360" w:lineRule="auto"/>
        <w:ind w:firstLine="540"/>
        <w:rPr>
          <w:rFonts w:hint="eastAsia" w:ascii="宋体" w:hAnsi="宋体" w:eastAsia="宋体" w:cs="宋体"/>
          <w:sz w:val="24"/>
          <w:highlight w:val="none"/>
          <w:u w:val="single"/>
        </w:rPr>
      </w:pPr>
      <w:r>
        <w:rPr>
          <w:rFonts w:hint="eastAsia" w:ascii="宋体" w:hAnsi="宋体" w:eastAsia="宋体" w:cs="宋体"/>
          <w:sz w:val="24"/>
          <w:highlight w:val="none"/>
        </w:rPr>
        <w:t>3.方式：</w:t>
      </w:r>
      <w:r>
        <w:rPr>
          <w:rFonts w:hint="eastAsia" w:ascii="宋体" w:hAnsi="宋体" w:eastAsia="宋体" w:cs="宋体"/>
          <w:color w:val="000000"/>
          <w:sz w:val="24"/>
          <w:highlight w:val="none"/>
        </w:rPr>
        <w:t>供应商登录“徽采云”电子交易系统（https://www.ccgp-anhui.gov.c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0A5FD6C6">
      <w:pPr>
        <w:spacing w:line="360" w:lineRule="auto"/>
        <w:ind w:firstLine="540"/>
        <w:rPr>
          <w:rFonts w:hint="eastAsia" w:ascii="宋体" w:hAnsi="宋体" w:eastAsia="宋体" w:cs="宋体"/>
          <w:sz w:val="24"/>
          <w:highlight w:val="none"/>
        </w:rPr>
      </w:pPr>
      <w:r>
        <w:rPr>
          <w:rFonts w:hint="eastAsia" w:ascii="宋体" w:hAnsi="宋体" w:eastAsia="宋体" w:cs="宋体"/>
          <w:sz w:val="24"/>
          <w:highlight w:val="none"/>
        </w:rPr>
        <w:t>4.售价：0元</w:t>
      </w:r>
    </w:p>
    <w:p w14:paraId="46B28205">
      <w:pPr>
        <w:pStyle w:val="3"/>
        <w:numPr>
          <w:ilvl w:val="0"/>
          <w:numId w:val="0"/>
        </w:numPr>
        <w:spacing w:line="360" w:lineRule="auto"/>
        <w:rPr>
          <w:rFonts w:hint="eastAsia" w:ascii="宋体" w:hAnsi="宋体" w:eastAsia="宋体" w:cs="宋体"/>
          <w:bCs w:val="0"/>
          <w:sz w:val="24"/>
          <w:szCs w:val="24"/>
          <w:highlight w:val="none"/>
        </w:rPr>
      </w:pPr>
      <w:bookmarkStart w:id="23" w:name="_Toc12211"/>
      <w:r>
        <w:rPr>
          <w:rFonts w:hint="eastAsia" w:ascii="宋体" w:hAnsi="宋体" w:eastAsia="宋体" w:cs="宋体"/>
          <w:bCs w:val="0"/>
          <w:sz w:val="24"/>
          <w:szCs w:val="24"/>
          <w:highlight w:val="none"/>
        </w:rPr>
        <w:t>四、提交投标文件截止时间、开标时间和地点</w:t>
      </w:r>
      <w:bookmarkEnd w:id="23"/>
    </w:p>
    <w:p w14:paraId="3EC3961E">
      <w:pPr>
        <w:widowControl/>
        <w:kinsoku w:val="0"/>
        <w:autoSpaceDE w:val="0"/>
        <w:autoSpaceDN w:val="0"/>
        <w:adjustRightInd w:val="0"/>
        <w:snapToGrid w:val="0"/>
        <w:spacing w:line="360" w:lineRule="auto"/>
        <w:ind w:firstLine="240" w:firstLineChars="100"/>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 xml:space="preserve">  1.投标文件递交时间：</w:t>
      </w:r>
      <w:r>
        <w:rPr>
          <w:rFonts w:hint="eastAsia" w:ascii="宋体" w:hAnsi="宋体" w:eastAsia="宋体" w:cs="宋体"/>
          <w:bCs/>
          <w:color w:val="auto"/>
          <w:sz w:val="24"/>
          <w:highlight w:val="none"/>
        </w:rPr>
        <w:t>202</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lang w:val="en-US" w:eastAsia="zh-CN"/>
        </w:rPr>
        <w:t>11</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lang w:val="en-US" w:eastAsia="zh-CN"/>
        </w:rPr>
        <w:t>13</w:t>
      </w:r>
      <w:r>
        <w:rPr>
          <w:rFonts w:hint="eastAsia" w:ascii="宋体" w:hAnsi="宋体" w:eastAsia="宋体" w:cs="宋体"/>
          <w:bCs/>
          <w:color w:val="auto"/>
          <w:sz w:val="24"/>
          <w:highlight w:val="none"/>
        </w:rPr>
        <w:t>日09点</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0分</w:t>
      </w:r>
      <w:r>
        <w:rPr>
          <w:rFonts w:hint="eastAsia" w:ascii="宋体" w:hAnsi="宋体" w:eastAsia="宋体" w:cs="宋体"/>
          <w:color w:val="auto"/>
          <w:sz w:val="24"/>
          <w:highlight w:val="none"/>
        </w:rPr>
        <w:t>（</w:t>
      </w:r>
      <w:r>
        <w:rPr>
          <w:rFonts w:hint="eastAsia" w:ascii="宋体" w:hAnsi="宋体" w:eastAsia="宋体" w:cs="宋体"/>
          <w:sz w:val="24"/>
          <w:highlight w:val="none"/>
        </w:rPr>
        <w:t>北京时间）</w:t>
      </w:r>
    </w:p>
    <w:p w14:paraId="033E1F8A">
      <w:pPr>
        <w:widowControl/>
        <w:kinsoku w:val="0"/>
        <w:autoSpaceDE w:val="0"/>
        <w:autoSpaceDN w:val="0"/>
        <w:adjustRightInd w:val="0"/>
        <w:snapToGrid w:val="0"/>
        <w:spacing w:line="360" w:lineRule="auto"/>
        <w:ind w:firstLine="480" w:firstLineChars="200"/>
        <w:jc w:val="left"/>
        <w:textAlignment w:val="baseline"/>
        <w:rPr>
          <w:rFonts w:hint="default" w:ascii="宋体" w:hAnsi="宋体" w:eastAsia="宋体" w:cs="宋体"/>
          <w:sz w:val="24"/>
          <w:highlight w:val="none"/>
          <w:lang w:val="en-US" w:eastAsia="zh-CN"/>
        </w:rPr>
      </w:pPr>
      <w:r>
        <w:rPr>
          <w:rFonts w:hint="eastAsia" w:ascii="宋体" w:hAnsi="宋体" w:eastAsia="宋体" w:cs="宋体"/>
          <w:sz w:val="24"/>
          <w:highlight w:val="none"/>
        </w:rPr>
        <w:t>2.投标文件递交地点：安徽省合肥市高新区红枫路7号富邻广场A座15楼</w:t>
      </w:r>
      <w:r>
        <w:rPr>
          <w:rFonts w:hint="eastAsia" w:ascii="宋体" w:hAnsi="宋体" w:eastAsia="宋体" w:cs="宋体"/>
          <w:sz w:val="24"/>
          <w:highlight w:val="none"/>
          <w:lang w:val="en-US" w:eastAsia="zh-CN"/>
        </w:rPr>
        <w:t>开标室</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纸质文件递交。</w:t>
      </w:r>
    </w:p>
    <w:p w14:paraId="52F09CA0">
      <w:pPr>
        <w:pStyle w:val="3"/>
        <w:numPr>
          <w:ilvl w:val="0"/>
          <w:numId w:val="0"/>
        </w:numPr>
        <w:spacing w:line="360" w:lineRule="auto"/>
        <w:rPr>
          <w:rFonts w:hint="eastAsia" w:ascii="宋体" w:hAnsi="宋体" w:eastAsia="宋体" w:cs="宋体"/>
          <w:bCs w:val="0"/>
          <w:sz w:val="24"/>
          <w:szCs w:val="24"/>
          <w:highlight w:val="none"/>
        </w:rPr>
      </w:pPr>
      <w:bookmarkStart w:id="24" w:name="_Toc28359007"/>
      <w:bookmarkStart w:id="25" w:name="_Toc28359084"/>
      <w:bookmarkStart w:id="26" w:name="_Toc35393794"/>
      <w:bookmarkStart w:id="27" w:name="_Toc35393625"/>
      <w:bookmarkStart w:id="28" w:name="_Toc575"/>
      <w:r>
        <w:rPr>
          <w:rFonts w:hint="eastAsia" w:ascii="宋体" w:hAnsi="宋体" w:eastAsia="宋体" w:cs="宋体"/>
          <w:bCs w:val="0"/>
          <w:sz w:val="24"/>
          <w:szCs w:val="24"/>
          <w:highlight w:val="none"/>
        </w:rPr>
        <w:t>五、公告期限</w:t>
      </w:r>
      <w:bookmarkEnd w:id="24"/>
      <w:bookmarkEnd w:id="25"/>
      <w:bookmarkEnd w:id="26"/>
      <w:bookmarkEnd w:id="27"/>
      <w:bookmarkEnd w:id="28"/>
    </w:p>
    <w:p w14:paraId="2FF308BD">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自本公告发布之日起5个工作日。</w:t>
      </w:r>
    </w:p>
    <w:p w14:paraId="69953BC9">
      <w:pPr>
        <w:pStyle w:val="3"/>
        <w:numPr>
          <w:ilvl w:val="0"/>
          <w:numId w:val="0"/>
        </w:numPr>
        <w:spacing w:line="360" w:lineRule="auto"/>
        <w:rPr>
          <w:rFonts w:hint="eastAsia" w:ascii="宋体" w:hAnsi="宋体" w:eastAsia="宋体" w:cs="宋体"/>
          <w:bCs w:val="0"/>
          <w:sz w:val="24"/>
          <w:szCs w:val="24"/>
          <w:highlight w:val="none"/>
        </w:rPr>
      </w:pPr>
      <w:bookmarkStart w:id="29" w:name="_Toc35393626"/>
      <w:bookmarkStart w:id="30" w:name="_Toc35393795"/>
      <w:bookmarkStart w:id="31" w:name="_Toc23409"/>
      <w:r>
        <w:rPr>
          <w:rFonts w:hint="eastAsia" w:ascii="宋体" w:hAnsi="宋体" w:eastAsia="宋体" w:cs="宋体"/>
          <w:bCs w:val="0"/>
          <w:sz w:val="24"/>
          <w:szCs w:val="24"/>
          <w:highlight w:val="none"/>
        </w:rPr>
        <w:t>六、其他补充事宜</w:t>
      </w:r>
      <w:bookmarkEnd w:id="29"/>
      <w:bookmarkEnd w:id="30"/>
      <w:bookmarkEnd w:id="31"/>
    </w:p>
    <w:p w14:paraId="631F64AC">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1.投标文件递交方式：纸质文件递交</w:t>
      </w:r>
    </w:p>
    <w:p w14:paraId="2F274B3A">
      <w:pPr>
        <w:pStyle w:val="37"/>
        <w:spacing w:line="360" w:lineRule="auto"/>
        <w:ind w:left="495"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2.本次招标公告同时在安徽省政府采购网、安徽交通职业技术学院</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北京市建壮咨询有限</w:t>
      </w:r>
    </w:p>
    <w:p w14:paraId="66C94D44">
      <w:pPr>
        <w:pStyle w:val="37"/>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公司安徽分公司网上发布。</w:t>
      </w:r>
    </w:p>
    <w:p w14:paraId="3FFF0B8C">
      <w:pPr>
        <w:pStyle w:val="37"/>
        <w:numPr>
          <w:ilvl w:val="0"/>
          <w:numId w:val="2"/>
        </w:numPr>
        <w:spacing w:line="360" w:lineRule="auto"/>
        <w:ind w:left="495"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投标人应合理安排招标文件获取时间，特别是网络速度慢的地区防止在系统关闭前网</w:t>
      </w:r>
    </w:p>
    <w:p w14:paraId="1C9FAFDC">
      <w:pPr>
        <w:pStyle w:val="37"/>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络拥堵无法操作。如果因计算机及网络故障造成无法完成招标文件获取，责任自负。</w:t>
      </w:r>
    </w:p>
    <w:p w14:paraId="3E221181">
      <w:pPr>
        <w:pStyle w:val="3"/>
        <w:numPr>
          <w:ilvl w:val="0"/>
          <w:numId w:val="0"/>
        </w:numPr>
        <w:spacing w:line="360" w:lineRule="auto"/>
        <w:rPr>
          <w:rFonts w:hint="eastAsia" w:ascii="宋体" w:hAnsi="宋体" w:eastAsia="宋体" w:cs="宋体"/>
          <w:bCs w:val="0"/>
          <w:sz w:val="24"/>
          <w:szCs w:val="24"/>
          <w:highlight w:val="none"/>
        </w:rPr>
      </w:pPr>
      <w:bookmarkStart w:id="32" w:name="_Toc35393627"/>
      <w:bookmarkStart w:id="33" w:name="_Toc28359085"/>
      <w:bookmarkStart w:id="34" w:name="_Toc28359008"/>
      <w:bookmarkStart w:id="35" w:name="_Toc35393796"/>
      <w:bookmarkStart w:id="36" w:name="_Toc10957"/>
      <w:r>
        <w:rPr>
          <w:rFonts w:hint="eastAsia" w:ascii="宋体" w:hAnsi="宋体" w:eastAsia="宋体" w:cs="宋体"/>
          <w:bCs w:val="0"/>
          <w:sz w:val="24"/>
          <w:szCs w:val="24"/>
          <w:highlight w:val="none"/>
        </w:rPr>
        <w:t>七、对本次招标提出询问，请按以下方式联系。</w:t>
      </w:r>
      <w:bookmarkEnd w:id="32"/>
      <w:bookmarkEnd w:id="33"/>
      <w:bookmarkEnd w:id="34"/>
      <w:bookmarkEnd w:id="35"/>
      <w:bookmarkEnd w:id="36"/>
    </w:p>
    <w:p w14:paraId="3ECC0AF1">
      <w:pPr>
        <w:widowControl/>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　　1.</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信息</w:t>
      </w:r>
    </w:p>
    <w:p w14:paraId="56E5A5EF">
      <w:pPr>
        <w:spacing w:line="360" w:lineRule="auto"/>
        <w:ind w:firstLine="720" w:firstLineChars="300"/>
        <w:jc w:val="left"/>
        <w:rPr>
          <w:rFonts w:hint="eastAsia" w:ascii="宋体" w:hAnsi="宋体" w:eastAsia="宋体" w:cs="宋体"/>
          <w:sz w:val="24"/>
          <w:highlight w:val="none"/>
        </w:rPr>
      </w:pPr>
      <w:r>
        <w:rPr>
          <w:rFonts w:hint="eastAsia" w:ascii="宋体" w:hAnsi="宋体" w:eastAsia="宋体" w:cs="宋体"/>
          <w:sz w:val="24"/>
          <w:highlight w:val="none"/>
        </w:rPr>
        <w:t>名称：安徽交通职业技术学院</w:t>
      </w:r>
    </w:p>
    <w:p w14:paraId="095EED8F">
      <w:pPr>
        <w:spacing w:line="360" w:lineRule="auto"/>
        <w:ind w:firstLine="720" w:firstLineChars="300"/>
        <w:jc w:val="left"/>
        <w:rPr>
          <w:rFonts w:hint="eastAsia" w:ascii="宋体" w:hAnsi="宋体" w:eastAsia="宋体" w:cs="宋体"/>
          <w:color w:val="000000"/>
          <w:kern w:val="0"/>
          <w:sz w:val="24"/>
          <w:highlight w:val="none"/>
          <w:lang w:bidi="ar"/>
        </w:rPr>
      </w:pPr>
      <w:r>
        <w:rPr>
          <w:rFonts w:hint="eastAsia" w:ascii="宋体" w:hAnsi="宋体" w:eastAsia="宋体" w:cs="宋体"/>
          <w:sz w:val="24"/>
          <w:highlight w:val="none"/>
        </w:rPr>
        <w:t>地址：</w:t>
      </w:r>
      <w:bookmarkStart w:id="37" w:name="_Toc28359009"/>
      <w:bookmarkStart w:id="38" w:name="_Toc28359086"/>
      <w:r>
        <w:rPr>
          <w:rFonts w:hint="eastAsia" w:ascii="宋体" w:hAnsi="宋体" w:eastAsia="宋体" w:cs="宋体"/>
          <w:color w:val="000000"/>
          <w:kern w:val="0"/>
          <w:sz w:val="24"/>
          <w:highlight w:val="none"/>
          <w:lang w:bidi="ar"/>
        </w:rPr>
        <w:t>安徽省新桥国际产业园寿州大道16号</w:t>
      </w:r>
    </w:p>
    <w:p w14:paraId="4F1C2562">
      <w:pPr>
        <w:spacing w:line="360" w:lineRule="auto"/>
        <w:ind w:firstLine="720" w:firstLineChars="300"/>
        <w:jc w:val="left"/>
        <w:rPr>
          <w:rFonts w:hint="default" w:ascii="宋体" w:hAnsi="宋体" w:eastAsia="宋体" w:cs="宋体"/>
          <w:color w:val="000000"/>
          <w:kern w:val="0"/>
          <w:sz w:val="24"/>
          <w:highlight w:val="none"/>
          <w:lang w:val="en-US" w:bidi="ar"/>
        </w:rPr>
      </w:pPr>
      <w:r>
        <w:rPr>
          <w:rFonts w:hint="eastAsia" w:ascii="宋体" w:hAnsi="宋体" w:eastAsia="宋体" w:cs="宋体"/>
          <w:color w:val="000000"/>
          <w:kern w:val="0"/>
          <w:sz w:val="24"/>
          <w:highlight w:val="none"/>
          <w:lang w:bidi="ar"/>
        </w:rPr>
        <w:t>联系方式：邓老师</w:t>
      </w:r>
      <w:r>
        <w:rPr>
          <w:rFonts w:hint="eastAsia" w:ascii="宋体" w:hAnsi="宋体" w:eastAsia="宋体" w:cs="宋体"/>
          <w:color w:val="000000"/>
          <w:kern w:val="0"/>
          <w:sz w:val="24"/>
          <w:highlight w:val="none"/>
          <w:lang w:eastAsia="zh-CN" w:bidi="ar"/>
        </w:rPr>
        <w:t>、</w:t>
      </w:r>
      <w:r>
        <w:rPr>
          <w:rFonts w:hint="eastAsia" w:ascii="宋体" w:hAnsi="宋体" w:eastAsia="宋体" w:cs="宋体"/>
          <w:color w:val="000000"/>
          <w:kern w:val="0"/>
          <w:sz w:val="24"/>
          <w:highlight w:val="none"/>
          <w:lang w:bidi="ar"/>
        </w:rPr>
        <w:t>18502321226</w:t>
      </w:r>
    </w:p>
    <w:p w14:paraId="342AD34F">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招标</w:t>
      </w:r>
      <w:r>
        <w:rPr>
          <w:rFonts w:hint="eastAsia" w:ascii="宋体" w:hAnsi="宋体" w:eastAsia="宋体" w:cs="宋体"/>
          <w:sz w:val="24"/>
          <w:highlight w:val="none"/>
        </w:rPr>
        <w:t>代理机构信息</w:t>
      </w:r>
      <w:bookmarkEnd w:id="37"/>
      <w:bookmarkEnd w:id="38"/>
      <w:r>
        <w:rPr>
          <w:rFonts w:hint="eastAsia" w:ascii="宋体" w:hAnsi="宋体" w:eastAsia="宋体" w:cs="宋体"/>
          <w:sz w:val="24"/>
          <w:highlight w:val="none"/>
        </w:rPr>
        <w:t xml:space="preserve"> </w:t>
      </w:r>
    </w:p>
    <w:p w14:paraId="52CC04D1">
      <w:pPr>
        <w:spacing w:line="360" w:lineRule="auto"/>
        <w:ind w:firstLine="720" w:firstLineChars="300"/>
        <w:jc w:val="left"/>
        <w:rPr>
          <w:rFonts w:hint="eastAsia" w:ascii="宋体" w:hAnsi="宋体" w:eastAsia="宋体" w:cs="宋体"/>
          <w:sz w:val="24"/>
          <w:highlight w:val="none"/>
        </w:rPr>
      </w:pPr>
      <w:r>
        <w:rPr>
          <w:rFonts w:hint="eastAsia" w:ascii="宋体" w:hAnsi="宋体" w:eastAsia="宋体" w:cs="宋体"/>
          <w:sz w:val="24"/>
          <w:highlight w:val="none"/>
        </w:rPr>
        <w:t>名称：北京市建壮咨询有限公司</w:t>
      </w:r>
    </w:p>
    <w:p w14:paraId="69954672">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地址：安徽省合肥市高新区红枫路7号富邻广场A座15楼</w:t>
      </w:r>
    </w:p>
    <w:p w14:paraId="4CCF464B">
      <w:pPr>
        <w:pStyle w:val="1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联系人：周工、郑工</w:t>
      </w:r>
    </w:p>
    <w:p w14:paraId="3AEFBE97">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电话：0551-63535715，15256001880，13385609887</w:t>
      </w:r>
    </w:p>
    <w:bookmarkEnd w:id="6"/>
    <w:p w14:paraId="46FB8C8F">
      <w:pPr>
        <w:pStyle w:val="8"/>
        <w:rPr>
          <w:rFonts w:hint="eastAsia"/>
          <w:highlight w:val="none"/>
        </w:rPr>
      </w:pPr>
    </w:p>
    <w:p w14:paraId="21953AF3">
      <w:pPr>
        <w:pStyle w:val="8"/>
        <w:rPr>
          <w:rFonts w:hint="eastAsia"/>
          <w:highlight w:val="none"/>
        </w:rPr>
      </w:pPr>
    </w:p>
    <w:p w14:paraId="5646138B">
      <w:pPr>
        <w:pStyle w:val="8"/>
        <w:rPr>
          <w:rFonts w:hint="eastAsia"/>
          <w:highlight w:val="none"/>
        </w:rPr>
      </w:pPr>
    </w:p>
    <w:p w14:paraId="5A26031A">
      <w:pPr>
        <w:pStyle w:val="8"/>
        <w:rPr>
          <w:rFonts w:hint="eastAsia"/>
          <w:highlight w:val="none"/>
        </w:rPr>
      </w:pPr>
    </w:p>
    <w:p w14:paraId="5FD8E9B0">
      <w:pPr>
        <w:pStyle w:val="8"/>
        <w:rPr>
          <w:rFonts w:hint="eastAsia"/>
          <w:highlight w:val="none"/>
        </w:rPr>
      </w:pPr>
    </w:p>
    <w:p w14:paraId="3CE6B553">
      <w:pPr>
        <w:spacing w:line="360" w:lineRule="auto"/>
        <w:jc w:val="center"/>
        <w:outlineLvl w:val="0"/>
        <w:rPr>
          <w:rFonts w:hint="eastAsia" w:ascii="宋体" w:hAnsi="宋体" w:eastAsia="宋体" w:cs="宋体"/>
          <w:b/>
          <w:sz w:val="28"/>
          <w:highlight w:val="none"/>
        </w:rPr>
      </w:pPr>
      <w:bookmarkStart w:id="39" w:name="_Toc63440138"/>
      <w:bookmarkStart w:id="40" w:name="_Toc19927"/>
      <w:r>
        <w:rPr>
          <w:rFonts w:hint="eastAsia" w:ascii="宋体" w:hAnsi="宋体" w:eastAsia="宋体" w:cs="宋体"/>
          <w:b/>
          <w:sz w:val="28"/>
          <w:highlight w:val="none"/>
        </w:rPr>
        <w:t>第二章  投标人须知</w:t>
      </w:r>
      <w:bookmarkEnd w:id="39"/>
      <w:bookmarkEnd w:id="40"/>
    </w:p>
    <w:p w14:paraId="640B3894">
      <w:pPr>
        <w:spacing w:line="360" w:lineRule="auto"/>
        <w:jc w:val="center"/>
        <w:outlineLvl w:val="1"/>
        <w:rPr>
          <w:rFonts w:hint="eastAsia" w:ascii="宋体" w:hAnsi="宋体" w:eastAsia="宋体" w:cs="宋体"/>
          <w:b/>
          <w:sz w:val="24"/>
          <w:highlight w:val="none"/>
        </w:rPr>
      </w:pPr>
      <w:r>
        <w:rPr>
          <w:rFonts w:hint="eastAsia" w:ascii="宋体" w:hAnsi="宋体" w:eastAsia="宋体" w:cs="宋体"/>
          <w:b/>
          <w:sz w:val="24"/>
          <w:highlight w:val="none"/>
        </w:rPr>
        <w:t>一、投标人须知前附表</w:t>
      </w:r>
    </w:p>
    <w:p w14:paraId="2F7B7CAD">
      <w:pPr>
        <w:bidi w:val="0"/>
        <w:rPr>
          <w:rFonts w:hint="eastAsia" w:ascii="宋体" w:hAnsi="宋体" w:eastAsia="宋体" w:cs="宋体"/>
          <w:sz w:val="24"/>
          <w:szCs w:val="18"/>
          <w:highlight w:val="none"/>
        </w:rPr>
      </w:pPr>
      <w:r>
        <w:rPr>
          <w:rFonts w:hint="eastAsia" w:ascii="宋体" w:hAnsi="宋体" w:eastAsia="宋体" w:cs="宋体"/>
          <w:b/>
          <w:bCs/>
          <w:sz w:val="24"/>
          <w:szCs w:val="18"/>
          <w:highlight w:val="none"/>
        </w:rPr>
        <w:t>注：</w:t>
      </w:r>
      <w:r>
        <w:rPr>
          <w:rFonts w:hint="eastAsia" w:ascii="宋体" w:hAnsi="宋体" w:eastAsia="宋体" w:cs="宋体"/>
          <w:sz w:val="24"/>
          <w:szCs w:val="18"/>
          <w:highlight w:val="none"/>
        </w:rPr>
        <w:t>本表是本项目的具体要求，是对投标人须知的具体补充和修改，如有不一致，以本表为准。</w:t>
      </w:r>
    </w:p>
    <w:tbl>
      <w:tblPr>
        <w:tblStyle w:val="22"/>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2264"/>
        <w:gridCol w:w="6796"/>
      </w:tblGrid>
      <w:tr w14:paraId="36DE2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2BD8F700">
            <w:pPr>
              <w:pStyle w:val="30"/>
              <w:widowControl w:val="0"/>
              <w:spacing w:before="0" w:beforeAutospacing="0" w:after="0" w:afterAutospacing="0"/>
              <w:rPr>
                <w:rFonts w:hint="eastAsia" w:ascii="宋体" w:hAnsi="宋体" w:eastAsia="宋体" w:cs="宋体"/>
                <w:bCs w:val="0"/>
                <w:kern w:val="2"/>
                <w:sz w:val="24"/>
                <w:szCs w:val="20"/>
                <w:highlight w:val="none"/>
              </w:rPr>
            </w:pPr>
            <w:r>
              <w:rPr>
                <w:rFonts w:hint="eastAsia" w:ascii="宋体" w:hAnsi="宋体" w:eastAsia="宋体" w:cs="宋体"/>
                <w:bCs w:val="0"/>
                <w:kern w:val="2"/>
                <w:sz w:val="24"/>
                <w:szCs w:val="20"/>
                <w:highlight w:val="none"/>
              </w:rPr>
              <w:t>条款号</w:t>
            </w:r>
          </w:p>
        </w:tc>
        <w:tc>
          <w:tcPr>
            <w:tcW w:w="1106" w:type="pct"/>
            <w:vAlign w:val="center"/>
          </w:tcPr>
          <w:p w14:paraId="1DC60294">
            <w:pPr>
              <w:pStyle w:val="30"/>
              <w:widowControl w:val="0"/>
              <w:spacing w:before="0" w:beforeAutospacing="0" w:after="0" w:afterAutospacing="0"/>
              <w:rPr>
                <w:rFonts w:hint="eastAsia" w:ascii="宋体" w:hAnsi="宋体" w:eastAsia="宋体" w:cs="宋体"/>
                <w:bCs w:val="0"/>
                <w:kern w:val="2"/>
                <w:sz w:val="24"/>
                <w:szCs w:val="20"/>
                <w:highlight w:val="none"/>
              </w:rPr>
            </w:pPr>
            <w:r>
              <w:rPr>
                <w:rFonts w:hint="eastAsia" w:ascii="宋体" w:hAnsi="宋体" w:eastAsia="宋体" w:cs="宋体"/>
                <w:bCs w:val="0"/>
                <w:kern w:val="2"/>
                <w:sz w:val="24"/>
                <w:szCs w:val="20"/>
                <w:highlight w:val="none"/>
              </w:rPr>
              <w:t>条款名称</w:t>
            </w:r>
          </w:p>
        </w:tc>
        <w:tc>
          <w:tcPr>
            <w:tcW w:w="3319" w:type="pct"/>
            <w:vAlign w:val="center"/>
          </w:tcPr>
          <w:p w14:paraId="0638C526">
            <w:pPr>
              <w:pStyle w:val="30"/>
              <w:widowControl w:val="0"/>
              <w:spacing w:before="0" w:beforeAutospacing="0" w:after="0" w:afterAutospacing="0"/>
              <w:rPr>
                <w:rFonts w:hint="eastAsia" w:ascii="宋体" w:hAnsi="宋体" w:eastAsia="宋体" w:cs="宋体"/>
                <w:bCs w:val="0"/>
                <w:kern w:val="2"/>
                <w:sz w:val="24"/>
                <w:szCs w:val="20"/>
                <w:highlight w:val="none"/>
              </w:rPr>
            </w:pPr>
            <w:r>
              <w:rPr>
                <w:rFonts w:hint="eastAsia" w:ascii="宋体" w:hAnsi="宋体" w:eastAsia="宋体" w:cs="宋体"/>
                <w:bCs w:val="0"/>
                <w:kern w:val="2"/>
                <w:sz w:val="24"/>
                <w:szCs w:val="20"/>
                <w:highlight w:val="none"/>
              </w:rPr>
              <w:t>内容、说明与要求</w:t>
            </w:r>
          </w:p>
        </w:tc>
      </w:tr>
      <w:tr w14:paraId="0FAE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7636462B">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highlight w:val="none"/>
              </w:rPr>
            </w:pPr>
            <w:r>
              <w:rPr>
                <w:rFonts w:hint="eastAsia" w:ascii="宋体" w:hAnsi="宋体" w:eastAsia="宋体" w:cs="宋体"/>
                <w:bCs/>
                <w:kern w:val="2"/>
                <w:highlight w:val="none"/>
              </w:rPr>
              <w:t>3.1</w:t>
            </w:r>
          </w:p>
        </w:tc>
        <w:tc>
          <w:tcPr>
            <w:tcW w:w="1106" w:type="pct"/>
            <w:vAlign w:val="center"/>
          </w:tcPr>
          <w:p w14:paraId="141119D0">
            <w:pPr>
              <w:pStyle w:val="30"/>
              <w:widowControl w:val="0"/>
              <w:spacing w:before="0" w:beforeAutospacing="0" w:after="0" w:afterAutospacing="0"/>
              <w:jc w:val="left"/>
              <w:rPr>
                <w:rFonts w:hint="eastAsia"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招标人</w:t>
            </w:r>
          </w:p>
        </w:tc>
        <w:tc>
          <w:tcPr>
            <w:tcW w:w="3319" w:type="pct"/>
            <w:vAlign w:val="center"/>
          </w:tcPr>
          <w:p w14:paraId="5E076DCA">
            <w:pPr>
              <w:pStyle w:val="30"/>
              <w:widowControl w:val="0"/>
              <w:spacing w:before="0" w:beforeAutospacing="0" w:after="0" w:afterAutospacing="0" w:line="276" w:lineRule="auto"/>
              <w:jc w:val="both"/>
              <w:rPr>
                <w:rFonts w:hint="eastAsia" w:ascii="宋体" w:hAnsi="宋体" w:eastAsia="宋体" w:cs="宋体"/>
                <w:b w:val="0"/>
                <w:bCs w:val="0"/>
                <w:kern w:val="2"/>
                <w:sz w:val="24"/>
                <w:szCs w:val="20"/>
                <w:highlight w:val="none"/>
              </w:rPr>
            </w:pPr>
            <w:r>
              <w:rPr>
                <w:rFonts w:hint="eastAsia" w:ascii="宋体" w:hAnsi="宋体" w:eastAsia="宋体" w:cs="宋体"/>
                <w:b w:val="0"/>
                <w:bCs w:val="0"/>
                <w:color w:val="000000"/>
                <w:sz w:val="24"/>
                <w:szCs w:val="24"/>
                <w:highlight w:val="none"/>
                <w:lang w:bidi="ar"/>
              </w:rPr>
              <w:t>安徽交通职业技术学院</w:t>
            </w:r>
          </w:p>
        </w:tc>
      </w:tr>
      <w:tr w14:paraId="13C44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76E02AE3">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highlight w:val="none"/>
              </w:rPr>
            </w:pPr>
            <w:r>
              <w:rPr>
                <w:rFonts w:hint="eastAsia" w:ascii="宋体" w:hAnsi="宋体" w:eastAsia="宋体" w:cs="宋体"/>
                <w:bCs/>
                <w:kern w:val="2"/>
                <w:highlight w:val="none"/>
              </w:rPr>
              <w:t>3.2</w:t>
            </w:r>
          </w:p>
        </w:tc>
        <w:tc>
          <w:tcPr>
            <w:tcW w:w="1106" w:type="pct"/>
            <w:vAlign w:val="center"/>
          </w:tcPr>
          <w:p w14:paraId="236CE797">
            <w:pPr>
              <w:pStyle w:val="30"/>
              <w:widowControl w:val="0"/>
              <w:spacing w:before="0" w:beforeAutospacing="0" w:after="0" w:afterAutospacing="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eastAsia="zh-CN"/>
              </w:rPr>
              <w:t>招标代理</w:t>
            </w:r>
            <w:r>
              <w:rPr>
                <w:rFonts w:hint="eastAsia" w:ascii="宋体" w:hAnsi="宋体" w:eastAsia="宋体" w:cs="宋体"/>
                <w:b w:val="0"/>
                <w:bCs w:val="0"/>
                <w:sz w:val="24"/>
                <w:highlight w:val="none"/>
              </w:rPr>
              <w:t>机构</w:t>
            </w:r>
          </w:p>
        </w:tc>
        <w:tc>
          <w:tcPr>
            <w:tcW w:w="3319" w:type="pct"/>
            <w:vAlign w:val="center"/>
          </w:tcPr>
          <w:p w14:paraId="333D996E">
            <w:pPr>
              <w:pStyle w:val="30"/>
              <w:widowControl w:val="0"/>
              <w:spacing w:before="0" w:beforeAutospacing="0" w:after="0" w:afterAutospacing="0" w:line="276" w:lineRule="auto"/>
              <w:jc w:val="both"/>
              <w:rPr>
                <w:rFonts w:hint="eastAsia" w:ascii="宋体" w:hAnsi="宋体" w:eastAsia="宋体" w:cs="宋体"/>
                <w:b w:val="0"/>
                <w:bCs w:val="0"/>
                <w:sz w:val="24"/>
                <w:szCs w:val="18"/>
                <w:highlight w:val="none"/>
              </w:rPr>
            </w:pPr>
            <w:r>
              <w:rPr>
                <w:rFonts w:hint="eastAsia" w:ascii="宋体" w:hAnsi="宋体" w:eastAsia="宋体" w:cs="宋体"/>
                <w:b w:val="0"/>
                <w:bCs w:val="0"/>
                <w:color w:val="000000"/>
                <w:sz w:val="24"/>
                <w:szCs w:val="24"/>
                <w:highlight w:val="none"/>
                <w:lang w:bidi="ar"/>
              </w:rPr>
              <w:t>北京市建壮咨询有限公司</w:t>
            </w:r>
          </w:p>
        </w:tc>
      </w:tr>
      <w:tr w14:paraId="5B03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53C74A03">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highlight w:val="none"/>
              </w:rPr>
            </w:pPr>
            <w:r>
              <w:rPr>
                <w:rFonts w:hint="eastAsia" w:ascii="宋体" w:hAnsi="宋体" w:eastAsia="宋体" w:cs="宋体"/>
                <w:bCs/>
                <w:kern w:val="2"/>
                <w:highlight w:val="none"/>
              </w:rPr>
              <w:t>3.3</w:t>
            </w:r>
          </w:p>
        </w:tc>
        <w:tc>
          <w:tcPr>
            <w:tcW w:w="1106" w:type="pct"/>
            <w:vAlign w:val="center"/>
          </w:tcPr>
          <w:p w14:paraId="120543C9">
            <w:pPr>
              <w:pStyle w:val="30"/>
              <w:widowControl w:val="0"/>
              <w:spacing w:before="0" w:beforeAutospacing="0" w:after="0" w:afterAutospacing="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政府采购监督管理部门</w:t>
            </w:r>
          </w:p>
        </w:tc>
        <w:tc>
          <w:tcPr>
            <w:tcW w:w="3319" w:type="pct"/>
            <w:vAlign w:val="center"/>
          </w:tcPr>
          <w:p w14:paraId="0EEC34E0">
            <w:pPr>
              <w:keepNext w:val="0"/>
              <w:keepLines w:val="0"/>
              <w:widowControl/>
              <w:suppressLineNumbers w:val="0"/>
              <w:jc w:val="left"/>
              <w:rPr>
                <w:rFonts w:hint="eastAsia" w:ascii="宋体" w:hAnsi="宋体" w:eastAsia="宋体" w:cs="宋体"/>
                <w:b w:val="0"/>
                <w:bCs w:val="0"/>
                <w:sz w:val="24"/>
                <w:szCs w:val="18"/>
                <w:highlight w:val="none"/>
                <w:u w:val="single"/>
              </w:rPr>
            </w:pPr>
            <w:r>
              <w:rPr>
                <w:rFonts w:hint="eastAsia" w:ascii="宋体" w:hAnsi="宋体" w:eastAsia="宋体" w:cs="宋体"/>
                <w:color w:val="000000"/>
                <w:kern w:val="0"/>
                <w:sz w:val="24"/>
                <w:szCs w:val="24"/>
                <w:highlight w:val="none"/>
                <w:lang w:val="en-US" w:eastAsia="zh-CN" w:bidi="ar"/>
              </w:rPr>
              <w:t>安徽省财政厅</w:t>
            </w:r>
          </w:p>
        </w:tc>
      </w:tr>
      <w:tr w14:paraId="3E67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1AB97D9A">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highlight w:val="none"/>
              </w:rPr>
            </w:pPr>
            <w:r>
              <w:rPr>
                <w:rFonts w:hint="eastAsia" w:ascii="宋体" w:hAnsi="宋体" w:eastAsia="宋体" w:cs="宋体"/>
                <w:bCs/>
                <w:kern w:val="2"/>
                <w:highlight w:val="none"/>
              </w:rPr>
              <w:t>3.4.4</w:t>
            </w:r>
          </w:p>
        </w:tc>
        <w:tc>
          <w:tcPr>
            <w:tcW w:w="1106" w:type="pct"/>
            <w:vAlign w:val="center"/>
          </w:tcPr>
          <w:p w14:paraId="1C640172">
            <w:pPr>
              <w:pStyle w:val="30"/>
              <w:widowControl w:val="0"/>
              <w:spacing w:before="0" w:beforeAutospacing="0" w:after="0" w:afterAutospacing="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是否允许采购进口产品</w:t>
            </w:r>
          </w:p>
        </w:tc>
        <w:tc>
          <w:tcPr>
            <w:tcW w:w="3319" w:type="pct"/>
            <w:vAlign w:val="center"/>
          </w:tcPr>
          <w:p w14:paraId="49325204">
            <w:pPr>
              <w:pStyle w:val="30"/>
              <w:widowControl w:val="0"/>
              <w:spacing w:before="0" w:beforeAutospacing="0" w:after="0" w:afterAutospacing="0"/>
              <w:jc w:val="both"/>
              <w:rPr>
                <w:rFonts w:hint="eastAsia" w:ascii="宋体" w:hAnsi="宋体" w:eastAsia="宋体" w:cs="宋体"/>
                <w:b w:val="0"/>
                <w:bCs w:val="0"/>
                <w:sz w:val="24"/>
                <w:highlight w:val="none"/>
              </w:rPr>
            </w:pPr>
            <w:r>
              <w:rPr>
                <w:rFonts w:hint="eastAsia" w:ascii="宋体" w:hAnsi="宋体" w:eastAsia="宋体" w:cs="宋体"/>
                <w:b w:val="0"/>
                <w:sz w:val="24"/>
                <w:highlight w:val="none"/>
                <w:u w:val="single"/>
              </w:rPr>
              <w:t>详见采购需求</w:t>
            </w:r>
          </w:p>
        </w:tc>
      </w:tr>
      <w:tr w14:paraId="29C00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74" w:type="pct"/>
            <w:vAlign w:val="center"/>
          </w:tcPr>
          <w:p w14:paraId="2F04276A">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highlight w:val="none"/>
              </w:rPr>
            </w:pPr>
            <w:r>
              <w:rPr>
                <w:rFonts w:hint="eastAsia" w:ascii="宋体" w:hAnsi="宋体" w:eastAsia="宋体" w:cs="宋体"/>
                <w:bCs/>
                <w:kern w:val="2"/>
                <w:highlight w:val="none"/>
              </w:rPr>
              <w:t>3.4.5</w:t>
            </w:r>
          </w:p>
        </w:tc>
        <w:tc>
          <w:tcPr>
            <w:tcW w:w="1106" w:type="pct"/>
            <w:vAlign w:val="center"/>
          </w:tcPr>
          <w:p w14:paraId="77538E07">
            <w:pPr>
              <w:pStyle w:val="30"/>
              <w:widowControl w:val="0"/>
              <w:spacing w:before="0" w:beforeAutospacing="0" w:after="0" w:afterAutospacing="0"/>
              <w:jc w:val="left"/>
              <w:rPr>
                <w:rFonts w:hint="eastAsia" w:ascii="宋体" w:hAnsi="宋体" w:eastAsia="宋体" w:cs="宋体"/>
                <w:b w:val="0"/>
                <w:sz w:val="24"/>
                <w:highlight w:val="none"/>
              </w:rPr>
            </w:pPr>
            <w:r>
              <w:rPr>
                <w:rFonts w:hint="eastAsia" w:ascii="宋体" w:hAnsi="宋体" w:eastAsia="宋体" w:cs="宋体"/>
                <w:b w:val="0"/>
                <w:sz w:val="24"/>
                <w:highlight w:val="none"/>
              </w:rPr>
              <w:t>是否为专门面向中小企业采购</w:t>
            </w:r>
          </w:p>
        </w:tc>
        <w:tc>
          <w:tcPr>
            <w:tcW w:w="3319" w:type="pct"/>
            <w:vAlign w:val="center"/>
          </w:tcPr>
          <w:p w14:paraId="2A9A2F4E">
            <w:pPr>
              <w:pStyle w:val="30"/>
              <w:widowControl w:val="0"/>
              <w:spacing w:before="0" w:beforeAutospacing="0" w:after="0" w:afterAutospacing="0"/>
              <w:jc w:val="both"/>
              <w:rPr>
                <w:rFonts w:hint="eastAsia" w:ascii="宋体" w:hAnsi="宋体" w:eastAsia="宋体" w:cs="宋体"/>
                <w:b w:val="0"/>
                <w:bCs w:val="0"/>
                <w:sz w:val="24"/>
                <w:szCs w:val="18"/>
                <w:highlight w:val="none"/>
              </w:rPr>
            </w:pPr>
            <w:r>
              <w:rPr>
                <w:rFonts w:hint="eastAsia" w:ascii="宋体" w:hAnsi="宋体" w:eastAsia="宋体" w:cs="宋体"/>
                <w:b w:val="0"/>
                <w:sz w:val="24"/>
                <w:highlight w:val="none"/>
              </w:rPr>
              <w:t xml:space="preserve">□是  </w:t>
            </w:r>
            <w:r>
              <w:rPr>
                <w:rFonts w:hint="eastAsia" w:ascii="宋体" w:hAnsi="宋体" w:eastAsia="宋体" w:cs="宋体"/>
                <w:b w:val="0"/>
                <w:sz w:val="24"/>
                <w:highlight w:val="none"/>
                <w:lang w:eastAsia="zh-CN"/>
              </w:rPr>
              <w:t>☑</w:t>
            </w:r>
            <w:r>
              <w:rPr>
                <w:rFonts w:hint="eastAsia" w:ascii="宋体" w:hAnsi="宋体" w:eastAsia="宋体" w:cs="宋体"/>
                <w:b w:val="0"/>
                <w:sz w:val="24"/>
                <w:highlight w:val="none"/>
              </w:rPr>
              <w:t>否</w:t>
            </w:r>
          </w:p>
        </w:tc>
      </w:tr>
      <w:tr w14:paraId="199F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25A8E1A6">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highlight w:val="none"/>
              </w:rPr>
            </w:pPr>
            <w:r>
              <w:rPr>
                <w:rFonts w:hint="eastAsia" w:ascii="宋体" w:hAnsi="宋体" w:eastAsia="宋体" w:cs="宋体"/>
                <w:bCs/>
                <w:kern w:val="2"/>
                <w:highlight w:val="none"/>
              </w:rPr>
              <w:t>7.3</w:t>
            </w:r>
          </w:p>
        </w:tc>
        <w:tc>
          <w:tcPr>
            <w:tcW w:w="1106" w:type="pct"/>
            <w:vAlign w:val="center"/>
          </w:tcPr>
          <w:p w14:paraId="6463C682">
            <w:pPr>
              <w:pStyle w:val="30"/>
              <w:widowControl w:val="0"/>
              <w:spacing w:before="0" w:beforeAutospacing="0" w:after="0" w:afterAutospacing="0"/>
              <w:jc w:val="left"/>
              <w:rPr>
                <w:rFonts w:hint="eastAsia" w:ascii="宋体" w:hAnsi="宋体" w:eastAsia="宋体" w:cs="宋体"/>
                <w:b w:val="0"/>
                <w:sz w:val="24"/>
                <w:highlight w:val="none"/>
              </w:rPr>
            </w:pPr>
            <w:r>
              <w:rPr>
                <w:rFonts w:hint="eastAsia" w:ascii="宋体" w:hAnsi="宋体" w:eastAsia="宋体" w:cs="宋体"/>
                <w:b w:val="0"/>
                <w:sz w:val="24"/>
                <w:highlight w:val="none"/>
              </w:rPr>
              <w:t>现场考察</w:t>
            </w:r>
          </w:p>
        </w:tc>
        <w:tc>
          <w:tcPr>
            <w:tcW w:w="3319" w:type="pct"/>
            <w:vAlign w:val="center"/>
          </w:tcPr>
          <w:p w14:paraId="461C4903">
            <w:pPr>
              <w:spacing w:line="500" w:lineRule="exact"/>
              <w:rPr>
                <w:rFonts w:hint="eastAsia" w:ascii="宋体" w:hAnsi="宋体" w:eastAsia="宋体" w:cs="宋体"/>
                <w:b w:val="0"/>
                <w:sz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sz w:val="24"/>
                <w:highlight w:val="none"/>
              </w:rPr>
              <w:t>不组织，投标人</w:t>
            </w:r>
            <w:r>
              <w:rPr>
                <w:rFonts w:hint="eastAsia" w:ascii="宋体" w:hAnsi="宋体" w:eastAsia="宋体" w:cs="宋体"/>
                <w:bCs/>
                <w:sz w:val="24"/>
                <w:highlight w:val="none"/>
              </w:rPr>
              <w:t>自行考察</w:t>
            </w:r>
          </w:p>
        </w:tc>
      </w:tr>
      <w:tr w14:paraId="342E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7CA81383">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highlight w:val="none"/>
              </w:rPr>
            </w:pPr>
            <w:r>
              <w:rPr>
                <w:rFonts w:hint="eastAsia" w:ascii="宋体" w:hAnsi="宋体" w:eastAsia="宋体" w:cs="宋体"/>
                <w:bCs/>
                <w:kern w:val="2"/>
                <w:highlight w:val="none"/>
              </w:rPr>
              <w:t>8.1</w:t>
            </w:r>
          </w:p>
        </w:tc>
        <w:tc>
          <w:tcPr>
            <w:tcW w:w="1106" w:type="pct"/>
            <w:vAlign w:val="center"/>
          </w:tcPr>
          <w:p w14:paraId="023EF62C">
            <w:pPr>
              <w:pStyle w:val="30"/>
              <w:widowControl w:val="0"/>
              <w:spacing w:before="0" w:beforeAutospacing="0" w:after="0" w:afterAutospacing="0"/>
              <w:jc w:val="left"/>
              <w:rPr>
                <w:rFonts w:hint="eastAsia" w:ascii="宋体" w:hAnsi="宋体" w:eastAsia="宋体" w:cs="宋体"/>
                <w:b w:val="0"/>
                <w:sz w:val="24"/>
                <w:highlight w:val="none"/>
              </w:rPr>
            </w:pPr>
            <w:r>
              <w:rPr>
                <w:rFonts w:hint="eastAsia" w:ascii="宋体" w:hAnsi="宋体" w:eastAsia="宋体" w:cs="宋体"/>
                <w:b w:val="0"/>
                <w:sz w:val="24"/>
                <w:highlight w:val="none"/>
              </w:rPr>
              <w:t>网上询问截止时间</w:t>
            </w:r>
          </w:p>
        </w:tc>
        <w:tc>
          <w:tcPr>
            <w:tcW w:w="3319" w:type="pct"/>
            <w:vAlign w:val="center"/>
          </w:tcPr>
          <w:p w14:paraId="76D24E30">
            <w:pPr>
              <w:pStyle w:val="30"/>
              <w:widowControl w:val="0"/>
              <w:spacing w:before="0" w:beforeAutospacing="0" w:after="0" w:afterAutospacing="0"/>
              <w:jc w:val="both"/>
              <w:rPr>
                <w:rFonts w:hint="default" w:ascii="宋体" w:hAnsi="宋体" w:eastAsia="宋体" w:cs="宋体"/>
                <w:b w:val="0"/>
                <w:sz w:val="24"/>
                <w:highlight w:val="none"/>
                <w:lang w:val="en-US" w:eastAsia="zh-CN"/>
              </w:rPr>
            </w:pPr>
            <w:r>
              <w:rPr>
                <w:rFonts w:hint="eastAsia" w:ascii="宋体" w:hAnsi="宋体" w:eastAsia="宋体" w:cs="宋体"/>
                <w:b w:val="0"/>
                <w:bCs w:val="0"/>
                <w:sz w:val="24"/>
                <w:szCs w:val="24"/>
                <w:highlight w:val="none"/>
                <w:lang w:val="en-US" w:eastAsia="zh-CN"/>
              </w:rPr>
              <w:t>2025年10月28日17时00分</w:t>
            </w:r>
          </w:p>
        </w:tc>
      </w:tr>
      <w:tr w14:paraId="5F8C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567A03C9">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highlight w:val="none"/>
              </w:rPr>
            </w:pPr>
            <w:r>
              <w:rPr>
                <w:rFonts w:hint="eastAsia" w:ascii="宋体" w:hAnsi="宋体" w:eastAsia="宋体" w:cs="宋体"/>
                <w:bCs/>
                <w:kern w:val="2"/>
                <w:highlight w:val="none"/>
              </w:rPr>
              <w:t>9.1</w:t>
            </w:r>
          </w:p>
        </w:tc>
        <w:tc>
          <w:tcPr>
            <w:tcW w:w="1106" w:type="pct"/>
            <w:vAlign w:val="center"/>
          </w:tcPr>
          <w:p w14:paraId="4F22E64C">
            <w:pPr>
              <w:pStyle w:val="30"/>
              <w:widowControl w:val="0"/>
              <w:spacing w:before="0" w:beforeAutospacing="0" w:after="0" w:afterAutospacing="0"/>
              <w:jc w:val="left"/>
              <w:rPr>
                <w:rFonts w:hint="eastAsia" w:ascii="宋体" w:hAnsi="宋体" w:eastAsia="宋体" w:cs="宋体"/>
                <w:b w:val="0"/>
                <w:sz w:val="24"/>
                <w:highlight w:val="none"/>
              </w:rPr>
            </w:pPr>
            <w:r>
              <w:rPr>
                <w:rFonts w:hint="eastAsia" w:ascii="宋体" w:hAnsi="宋体" w:eastAsia="宋体" w:cs="宋体"/>
                <w:b w:val="0"/>
                <w:sz w:val="24"/>
                <w:highlight w:val="none"/>
              </w:rPr>
              <w:t>包别划分</w:t>
            </w:r>
          </w:p>
        </w:tc>
        <w:tc>
          <w:tcPr>
            <w:tcW w:w="3319" w:type="pct"/>
            <w:vAlign w:val="center"/>
          </w:tcPr>
          <w:p w14:paraId="67B12FC7">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sz w:val="24"/>
                <w:highlight w:val="none"/>
              </w:rPr>
              <w:t>不分包     □分为  个包</w:t>
            </w:r>
          </w:p>
          <w:p w14:paraId="531D77EC">
            <w:pPr>
              <w:pStyle w:val="30"/>
              <w:widowControl w:val="0"/>
              <w:spacing w:before="0" w:beforeAutospacing="0" w:after="0" w:afterAutospacing="0"/>
              <w:jc w:val="both"/>
              <w:rPr>
                <w:rFonts w:hint="eastAsia" w:ascii="宋体" w:hAnsi="宋体" w:eastAsia="宋体" w:cs="宋体"/>
                <w:b w:val="0"/>
                <w:sz w:val="24"/>
                <w:highlight w:val="none"/>
                <w:u w:val="single"/>
              </w:rPr>
            </w:pPr>
            <w:r>
              <w:rPr>
                <w:rFonts w:hint="eastAsia" w:ascii="宋体" w:hAnsi="宋体" w:eastAsia="宋体" w:cs="宋体"/>
                <w:b w:val="0"/>
                <w:sz w:val="24"/>
                <w:highlight w:val="none"/>
              </w:rPr>
              <w:t>投标人对多个包进行投标的中标包数规定：</w:t>
            </w:r>
            <w:r>
              <w:rPr>
                <w:rFonts w:hint="eastAsia" w:ascii="宋体" w:hAnsi="宋体" w:eastAsia="宋体" w:cs="宋体"/>
                <w:b w:val="0"/>
                <w:bCs w:val="0"/>
                <w:sz w:val="24"/>
                <w:szCs w:val="18"/>
                <w:highlight w:val="none"/>
                <w:u w:val="single"/>
              </w:rPr>
              <w:t xml:space="preserve">        </w:t>
            </w:r>
          </w:p>
        </w:tc>
      </w:tr>
      <w:tr w14:paraId="6BE6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74" w:type="pct"/>
            <w:vAlign w:val="center"/>
          </w:tcPr>
          <w:p w14:paraId="56FB3490">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highlight w:val="none"/>
              </w:rPr>
            </w:pPr>
            <w:r>
              <w:rPr>
                <w:rFonts w:hint="eastAsia" w:ascii="宋体" w:hAnsi="宋体" w:eastAsia="宋体" w:cs="宋体"/>
                <w:bCs/>
                <w:kern w:val="2"/>
                <w:highlight w:val="none"/>
              </w:rPr>
              <w:t>13.1</w:t>
            </w:r>
          </w:p>
        </w:tc>
        <w:tc>
          <w:tcPr>
            <w:tcW w:w="1106" w:type="pct"/>
            <w:vAlign w:val="center"/>
          </w:tcPr>
          <w:p w14:paraId="2351D6B9">
            <w:pPr>
              <w:pStyle w:val="30"/>
              <w:widowControl w:val="0"/>
              <w:spacing w:before="0" w:beforeAutospacing="0" w:after="0" w:afterAutospacing="0" w:line="360" w:lineRule="auto"/>
              <w:jc w:val="left"/>
              <w:rPr>
                <w:rFonts w:hint="eastAsia" w:ascii="宋体" w:hAnsi="宋体" w:eastAsia="宋体" w:cs="宋体"/>
                <w:b w:val="0"/>
                <w:sz w:val="24"/>
                <w:highlight w:val="none"/>
              </w:rPr>
            </w:pPr>
            <w:r>
              <w:rPr>
                <w:rFonts w:hint="eastAsia" w:ascii="宋体" w:hAnsi="宋体" w:eastAsia="宋体" w:cs="宋体"/>
                <w:b w:val="0"/>
                <w:sz w:val="24"/>
                <w:highlight w:val="none"/>
              </w:rPr>
              <w:t>投标保证金</w:t>
            </w:r>
          </w:p>
        </w:tc>
        <w:tc>
          <w:tcPr>
            <w:tcW w:w="3319" w:type="pct"/>
            <w:vAlign w:val="center"/>
          </w:tcPr>
          <w:p w14:paraId="64D57CA8">
            <w:pPr>
              <w:spacing w:line="360" w:lineRule="auto"/>
              <w:jc w:val="left"/>
              <w:rPr>
                <w:rFonts w:hint="eastAsia" w:ascii="宋体" w:hAnsi="宋体" w:eastAsia="宋体" w:cs="宋体"/>
                <w:sz w:val="24"/>
                <w:highlight w:val="none"/>
              </w:rPr>
            </w:pPr>
            <w:r>
              <w:rPr>
                <w:rFonts w:hint="eastAsia" w:ascii="宋体" w:hAnsi="宋体" w:eastAsia="宋体" w:cs="宋体"/>
                <w:bCs/>
                <w:kern w:val="0"/>
                <w:sz w:val="24"/>
                <w:szCs w:val="28"/>
                <w:highlight w:val="none"/>
              </w:rPr>
              <w:sym w:font="Wingdings" w:char="F0FE"/>
            </w:r>
            <w:r>
              <w:rPr>
                <w:rFonts w:hint="eastAsia" w:ascii="宋体" w:hAnsi="宋体" w:eastAsia="宋体" w:cs="宋体"/>
                <w:bCs/>
                <w:kern w:val="0"/>
                <w:sz w:val="24"/>
                <w:szCs w:val="28"/>
                <w:highlight w:val="none"/>
              </w:rPr>
              <w:t>不收取</w:t>
            </w:r>
          </w:p>
        </w:tc>
      </w:tr>
      <w:tr w14:paraId="0F31D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600785CC">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highlight w:val="none"/>
              </w:rPr>
            </w:pPr>
            <w:r>
              <w:rPr>
                <w:rFonts w:hint="eastAsia" w:ascii="宋体" w:hAnsi="宋体" w:eastAsia="宋体" w:cs="宋体"/>
                <w:bCs/>
                <w:kern w:val="2"/>
                <w:highlight w:val="none"/>
              </w:rPr>
              <w:t>14.1</w:t>
            </w:r>
          </w:p>
        </w:tc>
        <w:tc>
          <w:tcPr>
            <w:tcW w:w="1106" w:type="pct"/>
            <w:vAlign w:val="center"/>
          </w:tcPr>
          <w:p w14:paraId="6EE37583">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投标有效期</w:t>
            </w:r>
          </w:p>
        </w:tc>
        <w:tc>
          <w:tcPr>
            <w:tcW w:w="3319" w:type="pct"/>
            <w:vAlign w:val="center"/>
          </w:tcPr>
          <w:p w14:paraId="3EA4606E">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u w:val="single"/>
              </w:rPr>
              <w:t xml:space="preserve">  120  </w:t>
            </w:r>
            <w:r>
              <w:rPr>
                <w:rFonts w:hint="eastAsia" w:ascii="宋体" w:hAnsi="宋体" w:eastAsia="宋体" w:cs="宋体"/>
                <w:b w:val="0"/>
                <w:sz w:val="24"/>
                <w:highlight w:val="none"/>
              </w:rPr>
              <w:t>日历日</w:t>
            </w:r>
          </w:p>
        </w:tc>
      </w:tr>
      <w:tr w14:paraId="6281F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693A3322">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highlight w:val="none"/>
              </w:rPr>
            </w:pPr>
            <w:r>
              <w:rPr>
                <w:rFonts w:hint="eastAsia" w:ascii="宋体" w:hAnsi="宋体" w:eastAsia="宋体" w:cs="宋体"/>
                <w:bCs/>
                <w:kern w:val="2"/>
                <w:highlight w:val="none"/>
              </w:rPr>
              <w:t>15.1</w:t>
            </w:r>
          </w:p>
        </w:tc>
        <w:tc>
          <w:tcPr>
            <w:tcW w:w="1106" w:type="pct"/>
            <w:vAlign w:val="center"/>
          </w:tcPr>
          <w:p w14:paraId="58E79DC5">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投标文件要求</w:t>
            </w:r>
          </w:p>
        </w:tc>
        <w:tc>
          <w:tcPr>
            <w:tcW w:w="3319" w:type="pct"/>
            <w:vAlign w:val="center"/>
          </w:tcPr>
          <w:p w14:paraId="08B79EFA">
            <w:pPr>
              <w:spacing w:line="276" w:lineRule="auto"/>
              <w:jc w:val="left"/>
              <w:rPr>
                <w:rFonts w:hint="eastAsia" w:ascii="宋体" w:hAnsi="宋体" w:eastAsia="宋体" w:cs="宋体"/>
                <w:b/>
                <w:bCs/>
                <w:sz w:val="24"/>
                <w:highlight w:val="none"/>
              </w:rPr>
            </w:pPr>
            <w:r>
              <w:rPr>
                <w:rFonts w:hint="eastAsia" w:ascii="宋体" w:hAnsi="宋体" w:eastAsia="宋体" w:cs="宋体"/>
                <w:b/>
                <w:bCs/>
                <w:sz w:val="24"/>
                <w:highlight w:val="none"/>
              </w:rPr>
              <w:t>1、投标文件纸质版：</w:t>
            </w:r>
          </w:p>
          <w:p w14:paraId="63DB259F">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投标文件正本</w:t>
            </w:r>
            <w:r>
              <w:rPr>
                <w:rFonts w:hint="eastAsia" w:ascii="宋体" w:hAnsi="宋体" w:eastAsia="宋体" w:cs="宋体"/>
                <w:sz w:val="24"/>
                <w:highlight w:val="none"/>
                <w:u w:val="single"/>
              </w:rPr>
              <w:t>1</w:t>
            </w:r>
            <w:r>
              <w:rPr>
                <w:rFonts w:hint="eastAsia" w:ascii="宋体" w:hAnsi="宋体" w:eastAsia="宋体" w:cs="宋体"/>
                <w:sz w:val="24"/>
                <w:highlight w:val="none"/>
              </w:rPr>
              <w:t>份，副本</w:t>
            </w:r>
            <w:r>
              <w:rPr>
                <w:rFonts w:hint="eastAsia" w:ascii="宋体" w:hAnsi="宋体" w:eastAsia="宋体" w:cs="宋体"/>
                <w:sz w:val="24"/>
                <w:highlight w:val="none"/>
                <w:u w:val="single"/>
              </w:rPr>
              <w:t>4</w:t>
            </w:r>
            <w:r>
              <w:rPr>
                <w:rFonts w:hint="eastAsia" w:ascii="宋体" w:hAnsi="宋体" w:eastAsia="宋体" w:cs="宋体"/>
                <w:sz w:val="24"/>
                <w:highlight w:val="none"/>
              </w:rPr>
              <w:t>份，密封提交；</w:t>
            </w:r>
          </w:p>
          <w:p w14:paraId="00C6F09C">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投标人应将投标文件正本和所有副本分开密封提交。</w:t>
            </w:r>
          </w:p>
          <w:p w14:paraId="0EF523E7">
            <w:pPr>
              <w:spacing w:line="276" w:lineRule="auto"/>
              <w:jc w:val="left"/>
              <w:rPr>
                <w:rFonts w:hint="eastAsia" w:ascii="宋体" w:hAnsi="宋体" w:eastAsia="宋体" w:cs="宋体"/>
                <w:b/>
                <w:bCs/>
                <w:sz w:val="24"/>
                <w:highlight w:val="none"/>
              </w:rPr>
            </w:pPr>
            <w:r>
              <w:rPr>
                <w:rFonts w:hint="eastAsia" w:ascii="宋体" w:hAnsi="宋体" w:eastAsia="宋体" w:cs="宋体"/>
                <w:b/>
                <w:bCs/>
                <w:sz w:val="24"/>
                <w:highlight w:val="none"/>
              </w:rPr>
              <w:t>2、投标文件电子版：</w:t>
            </w:r>
          </w:p>
          <w:p w14:paraId="559561EC">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□不要求</w:t>
            </w:r>
          </w:p>
          <w:p w14:paraId="2A972866">
            <w:pPr>
              <w:spacing w:line="276" w:lineRule="auto"/>
              <w:jc w:val="left"/>
              <w:rPr>
                <w:rFonts w:hint="eastAsia" w:ascii="宋体" w:hAnsi="宋体" w:eastAsia="宋体" w:cs="宋体"/>
                <w:sz w:val="24"/>
                <w:highlight w:val="none"/>
                <w:u w:val="single"/>
              </w:rPr>
            </w:pPr>
            <w:r>
              <w:rPr>
                <w:rFonts w:hint="eastAsia" w:ascii="宋体" w:hAnsi="宋体" w:eastAsia="宋体" w:cs="宋体"/>
                <w:sz w:val="24"/>
                <w:highlight w:val="none"/>
              </w:rPr>
              <w:t>☑要求，投标文件电子版内容：</w:t>
            </w:r>
            <w:r>
              <w:rPr>
                <w:rFonts w:hint="eastAsia" w:ascii="宋体" w:hAnsi="宋体" w:eastAsia="宋体" w:cs="宋体"/>
                <w:sz w:val="24"/>
                <w:highlight w:val="none"/>
                <w:u w:val="single"/>
              </w:rPr>
              <w:t xml:space="preserve"> 投标文件全部内容 </w:t>
            </w:r>
          </w:p>
          <w:p w14:paraId="547DA3A2">
            <w:pPr>
              <w:spacing w:line="276" w:lineRule="auto"/>
              <w:ind w:firstLine="960" w:firstLineChars="400"/>
              <w:jc w:val="left"/>
              <w:rPr>
                <w:rFonts w:hint="eastAsia" w:ascii="宋体" w:hAnsi="宋体" w:eastAsia="宋体" w:cs="宋体"/>
                <w:b/>
                <w:sz w:val="24"/>
                <w:highlight w:val="none"/>
              </w:rPr>
            </w:pPr>
            <w:r>
              <w:rPr>
                <w:rFonts w:hint="eastAsia" w:ascii="宋体" w:hAnsi="宋体" w:eastAsia="宋体" w:cs="宋体"/>
                <w:sz w:val="24"/>
                <w:highlight w:val="none"/>
              </w:rPr>
              <w:t>投标文件电子版格式：</w:t>
            </w:r>
            <w:r>
              <w:rPr>
                <w:rFonts w:hint="eastAsia" w:ascii="宋体" w:hAnsi="宋体" w:eastAsia="宋体" w:cs="宋体"/>
                <w:b/>
                <w:sz w:val="24"/>
                <w:highlight w:val="none"/>
                <w:u w:val="single"/>
              </w:rPr>
              <w:t>word版（无需签字盖章）</w:t>
            </w:r>
          </w:p>
          <w:p w14:paraId="3DF0F744">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投标文件电子版份数：</w:t>
            </w:r>
            <w:r>
              <w:rPr>
                <w:rFonts w:hint="eastAsia" w:ascii="宋体" w:hAnsi="宋体" w:eastAsia="宋体" w:cs="宋体"/>
                <w:sz w:val="24"/>
                <w:highlight w:val="none"/>
                <w:u w:val="single"/>
              </w:rPr>
              <w:t>1份</w:t>
            </w:r>
          </w:p>
          <w:p w14:paraId="54F398C3">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投标文件电子版形式：</w:t>
            </w:r>
            <w:r>
              <w:rPr>
                <w:rFonts w:hint="eastAsia" w:ascii="宋体" w:hAnsi="宋体" w:eastAsia="宋体" w:cs="宋体"/>
                <w:sz w:val="24"/>
                <w:highlight w:val="none"/>
                <w:u w:val="single"/>
              </w:rPr>
              <w:t>限U盘（随投标文件正本封装）</w:t>
            </w:r>
          </w:p>
          <w:p w14:paraId="153F8FE7">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sz w:val="24"/>
                <w:szCs w:val="24"/>
                <w:highlight w:val="none"/>
              </w:rPr>
              <w:t>注：投标文件全本附页码，只接受A4大小的版本，不得采用活页夹等可随时拆换的方式装订，不得有零散页。</w:t>
            </w:r>
          </w:p>
        </w:tc>
      </w:tr>
      <w:tr w14:paraId="4595A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50D8A6DC">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
                <w:bCs w:val="0"/>
                <w:kern w:val="2"/>
                <w:highlight w:val="none"/>
              </w:rPr>
            </w:pPr>
            <w:r>
              <w:rPr>
                <w:rFonts w:hint="eastAsia" w:ascii="宋体" w:hAnsi="宋体" w:eastAsia="宋体" w:cs="宋体"/>
                <w:b/>
                <w:bCs w:val="0"/>
                <w:kern w:val="2"/>
                <w:highlight w:val="none"/>
              </w:rPr>
              <w:t>15.3</w:t>
            </w:r>
          </w:p>
        </w:tc>
        <w:tc>
          <w:tcPr>
            <w:tcW w:w="1106" w:type="pct"/>
            <w:vAlign w:val="center"/>
          </w:tcPr>
          <w:p w14:paraId="1DAD6370">
            <w:pPr>
              <w:pStyle w:val="30"/>
              <w:widowControl w:val="0"/>
              <w:spacing w:before="0" w:beforeAutospacing="0" w:after="0" w:afterAutospacing="0" w:line="360" w:lineRule="auto"/>
              <w:jc w:val="both"/>
              <w:rPr>
                <w:rFonts w:hint="eastAsia" w:ascii="宋体" w:hAnsi="宋体" w:eastAsia="宋体" w:cs="宋体"/>
                <w:b/>
                <w:bCs w:val="0"/>
                <w:sz w:val="24"/>
                <w:highlight w:val="none"/>
              </w:rPr>
            </w:pPr>
            <w:r>
              <w:rPr>
                <w:rFonts w:hint="eastAsia" w:ascii="宋体" w:hAnsi="宋体" w:eastAsia="宋体" w:cs="宋体"/>
                <w:b/>
                <w:bCs w:val="0"/>
                <w:sz w:val="24"/>
                <w:highlight w:val="none"/>
              </w:rPr>
              <w:t>开标现场提交的其他材料要求</w:t>
            </w:r>
          </w:p>
        </w:tc>
        <w:tc>
          <w:tcPr>
            <w:tcW w:w="3319" w:type="pct"/>
            <w:vAlign w:val="center"/>
          </w:tcPr>
          <w:p w14:paraId="0270D8A6">
            <w:pPr>
              <w:pStyle w:val="30"/>
              <w:widowControl w:val="0"/>
              <w:spacing w:before="0" w:beforeAutospacing="0" w:after="0" w:afterAutospacing="0" w:line="360" w:lineRule="auto"/>
              <w:jc w:val="both"/>
              <w:rPr>
                <w:rFonts w:hint="eastAsia" w:ascii="宋体" w:hAnsi="宋体" w:eastAsia="宋体" w:cs="宋体"/>
                <w:b w:val="0"/>
                <w:sz w:val="24"/>
                <w:highlight w:val="none"/>
                <w:u w:val="single"/>
              </w:rPr>
            </w:pPr>
            <w:r>
              <w:rPr>
                <w:rFonts w:hint="eastAsia" w:ascii="宋体" w:hAnsi="宋体" w:eastAsia="宋体" w:cs="宋体"/>
                <w:sz w:val="24"/>
                <w:szCs w:val="24"/>
                <w:highlight w:val="none"/>
              </w:rPr>
              <w:t>投标人负责人或授权代理人必须参加投标会议，并出示授权委托书、有效身份证原件，以便投标会议上证明其身份。</w:t>
            </w:r>
          </w:p>
        </w:tc>
      </w:tr>
      <w:tr w14:paraId="4464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55908FD2">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highlight w:val="none"/>
              </w:rPr>
            </w:pPr>
            <w:r>
              <w:rPr>
                <w:rFonts w:hint="eastAsia" w:ascii="宋体" w:hAnsi="宋体" w:eastAsia="宋体" w:cs="宋体"/>
                <w:bCs/>
                <w:kern w:val="2"/>
                <w:highlight w:val="none"/>
              </w:rPr>
              <w:t>16.1</w:t>
            </w:r>
          </w:p>
        </w:tc>
        <w:tc>
          <w:tcPr>
            <w:tcW w:w="1106" w:type="pct"/>
            <w:vAlign w:val="center"/>
          </w:tcPr>
          <w:p w14:paraId="45A5D16E">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投标截止时间</w:t>
            </w:r>
          </w:p>
        </w:tc>
        <w:tc>
          <w:tcPr>
            <w:tcW w:w="3319" w:type="pct"/>
            <w:vAlign w:val="center"/>
          </w:tcPr>
          <w:p w14:paraId="6315BF83">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szCs w:val="24"/>
                <w:highlight w:val="none"/>
                <w:u w:val="single"/>
              </w:rPr>
              <w:t>详见招标公告</w:t>
            </w:r>
          </w:p>
        </w:tc>
      </w:tr>
      <w:tr w14:paraId="04B9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Merge w:val="restart"/>
            <w:vAlign w:val="center"/>
          </w:tcPr>
          <w:p w14:paraId="14CEB549">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highlight w:val="none"/>
              </w:rPr>
            </w:pPr>
            <w:r>
              <w:rPr>
                <w:rFonts w:hint="eastAsia" w:ascii="宋体" w:hAnsi="宋体" w:eastAsia="宋体" w:cs="宋体"/>
                <w:bCs/>
                <w:kern w:val="2"/>
                <w:highlight w:val="none"/>
              </w:rPr>
              <w:t>18.1</w:t>
            </w:r>
          </w:p>
        </w:tc>
        <w:tc>
          <w:tcPr>
            <w:tcW w:w="1106" w:type="pct"/>
            <w:vAlign w:val="center"/>
          </w:tcPr>
          <w:p w14:paraId="298CAB41">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开标时间</w:t>
            </w:r>
          </w:p>
        </w:tc>
        <w:tc>
          <w:tcPr>
            <w:tcW w:w="3319" w:type="pct"/>
            <w:vAlign w:val="center"/>
          </w:tcPr>
          <w:p w14:paraId="7C6C7452">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szCs w:val="24"/>
                <w:highlight w:val="none"/>
                <w:u w:val="single"/>
              </w:rPr>
              <w:t>详见招标公告</w:t>
            </w:r>
          </w:p>
        </w:tc>
      </w:tr>
      <w:tr w14:paraId="56DDC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Merge w:val="continue"/>
            <w:vAlign w:val="center"/>
          </w:tcPr>
          <w:p w14:paraId="5A235026">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highlight w:val="none"/>
              </w:rPr>
            </w:pPr>
          </w:p>
        </w:tc>
        <w:tc>
          <w:tcPr>
            <w:tcW w:w="1106" w:type="pct"/>
            <w:vAlign w:val="center"/>
          </w:tcPr>
          <w:p w14:paraId="5B97B017">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开标地点</w:t>
            </w:r>
          </w:p>
        </w:tc>
        <w:tc>
          <w:tcPr>
            <w:tcW w:w="3319" w:type="pct"/>
            <w:vAlign w:val="center"/>
          </w:tcPr>
          <w:p w14:paraId="494053DA">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szCs w:val="24"/>
                <w:highlight w:val="none"/>
                <w:u w:val="single"/>
              </w:rPr>
              <w:t>详见招标公告</w:t>
            </w:r>
          </w:p>
        </w:tc>
      </w:tr>
      <w:tr w14:paraId="5130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1666CE08">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highlight w:val="none"/>
              </w:rPr>
            </w:pPr>
            <w:r>
              <w:rPr>
                <w:rFonts w:hint="eastAsia" w:ascii="宋体" w:hAnsi="宋体" w:eastAsia="宋体" w:cs="宋体"/>
                <w:bCs/>
                <w:kern w:val="2"/>
                <w:highlight w:val="none"/>
              </w:rPr>
              <w:t>20.3</w:t>
            </w:r>
          </w:p>
        </w:tc>
        <w:tc>
          <w:tcPr>
            <w:tcW w:w="1106" w:type="pct"/>
            <w:vAlign w:val="center"/>
          </w:tcPr>
          <w:p w14:paraId="1F31E78C">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核心产品</w:t>
            </w:r>
          </w:p>
        </w:tc>
        <w:tc>
          <w:tcPr>
            <w:tcW w:w="3319" w:type="pct"/>
            <w:vAlign w:val="center"/>
          </w:tcPr>
          <w:p w14:paraId="68DA4B2B">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u w:val="single"/>
              </w:rPr>
              <w:t>详见采购需求</w:t>
            </w:r>
          </w:p>
        </w:tc>
      </w:tr>
      <w:tr w14:paraId="0F16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019FBF44">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highlight w:val="none"/>
              </w:rPr>
            </w:pPr>
            <w:r>
              <w:rPr>
                <w:rFonts w:hint="eastAsia" w:ascii="宋体" w:hAnsi="宋体" w:eastAsia="宋体" w:cs="宋体"/>
                <w:bCs/>
                <w:kern w:val="2"/>
                <w:highlight w:val="none"/>
              </w:rPr>
              <w:t>22.2</w:t>
            </w:r>
          </w:p>
        </w:tc>
        <w:tc>
          <w:tcPr>
            <w:tcW w:w="1106" w:type="pct"/>
            <w:vAlign w:val="center"/>
          </w:tcPr>
          <w:p w14:paraId="48779786">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评标方法</w:t>
            </w:r>
          </w:p>
        </w:tc>
        <w:tc>
          <w:tcPr>
            <w:tcW w:w="3319" w:type="pct"/>
            <w:vAlign w:val="center"/>
          </w:tcPr>
          <w:p w14:paraId="2B82B72E">
            <w:pPr>
              <w:pStyle w:val="30"/>
              <w:widowControl w:val="0"/>
              <w:spacing w:before="0" w:beforeAutospacing="0" w:after="0" w:afterAutospacing="0" w:line="360" w:lineRule="auto"/>
              <w:jc w:val="both"/>
              <w:rPr>
                <w:rFonts w:hint="eastAsia" w:ascii="宋体" w:hAnsi="宋体" w:eastAsia="宋体" w:cs="宋体"/>
                <w:b w:val="0"/>
                <w:sz w:val="24"/>
                <w:highlight w:val="none"/>
                <w:u w:val="single"/>
              </w:rPr>
            </w:pPr>
            <w:r>
              <w:rPr>
                <w:rFonts w:hint="eastAsia" w:ascii="宋体" w:hAnsi="宋体" w:eastAsia="宋体" w:cs="宋体"/>
                <w:b w:val="0"/>
                <w:bCs w:val="0"/>
                <w:sz w:val="24"/>
                <w:szCs w:val="24"/>
                <w:highlight w:val="none"/>
              </w:rPr>
              <w:t>☑</w:t>
            </w:r>
            <w:r>
              <w:rPr>
                <w:rFonts w:hint="eastAsia" w:ascii="宋体" w:hAnsi="宋体" w:eastAsia="宋体" w:cs="宋体"/>
                <w:b w:val="0"/>
                <w:sz w:val="24"/>
                <w:highlight w:val="none"/>
                <w:u w:val="single"/>
              </w:rPr>
              <w:t>最低评标价法</w:t>
            </w:r>
          </w:p>
          <w:p w14:paraId="6FFCD28F">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sz w:val="24"/>
                <w:highlight w:val="none"/>
                <w:u w:val="single"/>
              </w:rPr>
              <w:t>综合评分法</w:t>
            </w:r>
          </w:p>
        </w:tc>
      </w:tr>
      <w:tr w14:paraId="3B5C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4DF4FB76">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highlight w:val="none"/>
              </w:rPr>
            </w:pPr>
            <w:r>
              <w:rPr>
                <w:rFonts w:hint="eastAsia" w:ascii="宋体" w:hAnsi="宋体" w:eastAsia="宋体" w:cs="宋体"/>
                <w:bCs/>
                <w:kern w:val="2"/>
                <w:highlight w:val="none"/>
              </w:rPr>
              <w:t>22.3</w:t>
            </w:r>
            <w:r>
              <w:rPr>
                <w:rStyle w:val="27"/>
                <w:rFonts w:hint="eastAsia" w:ascii="宋体" w:hAnsi="宋体" w:eastAsia="宋体" w:cs="宋体"/>
                <w:bCs/>
                <w:kern w:val="2"/>
                <w:highlight w:val="none"/>
              </w:rPr>
              <w:footnoteReference w:id="0"/>
            </w:r>
          </w:p>
        </w:tc>
        <w:tc>
          <w:tcPr>
            <w:tcW w:w="1106" w:type="pct"/>
            <w:vAlign w:val="center"/>
          </w:tcPr>
          <w:p w14:paraId="5E9C2F5D">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报价扣除</w:t>
            </w:r>
          </w:p>
        </w:tc>
        <w:tc>
          <w:tcPr>
            <w:tcW w:w="3319" w:type="pct"/>
            <w:vAlign w:val="center"/>
          </w:tcPr>
          <w:p w14:paraId="173E8A45">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（1）小型和微型企业价格扣除：</w:t>
            </w:r>
            <w:r>
              <w:rPr>
                <w:rFonts w:hint="eastAsia" w:ascii="宋体" w:hAnsi="宋体" w:eastAsia="宋体" w:cs="宋体"/>
                <w:b w:val="0"/>
                <w:sz w:val="24"/>
                <w:highlight w:val="none"/>
                <w:u w:val="single"/>
                <w:lang w:val="en-US" w:eastAsia="zh-CN"/>
              </w:rPr>
              <w:t>10%</w:t>
            </w:r>
            <w:r>
              <w:rPr>
                <w:rFonts w:hint="eastAsia" w:ascii="宋体" w:hAnsi="宋体" w:eastAsia="宋体" w:cs="宋体"/>
                <w:b w:val="0"/>
                <w:sz w:val="24"/>
                <w:highlight w:val="none"/>
              </w:rPr>
              <w:t>。</w:t>
            </w:r>
          </w:p>
          <w:p w14:paraId="71A22F0D">
            <w:pPr>
              <w:keepNext w:val="0"/>
              <w:keepLines w:val="0"/>
              <w:widowControl/>
              <w:suppressLineNumbers w:val="0"/>
              <w:jc w:val="left"/>
              <w:rPr>
                <w:rFonts w:hint="eastAsia" w:ascii="宋体" w:hAnsi="宋体" w:eastAsia="宋体" w:cs="宋体"/>
                <w:b w:val="0"/>
                <w:sz w:val="24"/>
                <w:highlight w:val="none"/>
              </w:rPr>
            </w:pPr>
            <w:r>
              <w:rPr>
                <w:rFonts w:hint="eastAsia" w:ascii="宋体" w:hAnsi="宋体" w:eastAsia="宋体" w:cs="宋体"/>
                <w:b w:val="0"/>
                <w:sz w:val="24"/>
                <w:highlight w:val="none"/>
              </w:rPr>
              <w:t>（2）监狱企业价格扣除：</w:t>
            </w:r>
            <w:r>
              <w:rPr>
                <w:rFonts w:hint="eastAsia" w:ascii="宋体" w:hAnsi="宋体" w:eastAsia="宋体" w:cs="宋体"/>
                <w:color w:val="000000"/>
                <w:kern w:val="0"/>
                <w:sz w:val="24"/>
                <w:szCs w:val="24"/>
                <w:highlight w:val="none"/>
                <w:u w:val="single"/>
                <w:lang w:val="en-US" w:eastAsia="zh-CN" w:bidi="ar"/>
              </w:rPr>
              <w:t>同小型和微型企业</w:t>
            </w:r>
            <w:r>
              <w:rPr>
                <w:rFonts w:hint="eastAsia" w:ascii="宋体" w:hAnsi="宋体" w:eastAsia="宋体" w:cs="宋体"/>
                <w:b w:val="0"/>
                <w:sz w:val="24"/>
                <w:highlight w:val="none"/>
              </w:rPr>
              <w:t>。</w:t>
            </w:r>
          </w:p>
          <w:p w14:paraId="6DC4334C">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（3）残疾人福利性单位价格扣除：</w:t>
            </w:r>
            <w:r>
              <w:rPr>
                <w:rFonts w:hint="eastAsia" w:ascii="宋体" w:hAnsi="宋体" w:eastAsia="宋体" w:cs="宋体"/>
                <w:b w:val="0"/>
                <w:bCs w:val="0"/>
                <w:color w:val="000000"/>
                <w:kern w:val="0"/>
                <w:sz w:val="24"/>
                <w:szCs w:val="24"/>
                <w:highlight w:val="none"/>
                <w:u w:val="single"/>
                <w:lang w:val="en-US" w:eastAsia="zh-CN" w:bidi="ar"/>
              </w:rPr>
              <w:t>同小型和微型企业</w:t>
            </w:r>
            <w:r>
              <w:rPr>
                <w:rFonts w:hint="eastAsia" w:ascii="宋体" w:hAnsi="宋体" w:eastAsia="宋体" w:cs="宋体"/>
                <w:b w:val="0"/>
                <w:sz w:val="24"/>
                <w:highlight w:val="none"/>
              </w:rPr>
              <w:t>。</w:t>
            </w:r>
          </w:p>
          <w:p w14:paraId="0D784814">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（4）符合条件的联合体价格扣除：</w:t>
            </w:r>
            <w:r>
              <w:rPr>
                <w:rFonts w:hint="eastAsia" w:ascii="宋体" w:hAnsi="宋体" w:eastAsia="宋体" w:cs="宋体"/>
                <w:b w:val="0"/>
                <w:sz w:val="24"/>
                <w:highlight w:val="none"/>
                <w:u w:val="single"/>
                <w:lang w:val="en-US" w:eastAsia="zh-CN"/>
              </w:rPr>
              <w:t>/</w:t>
            </w:r>
            <w:r>
              <w:rPr>
                <w:rFonts w:hint="eastAsia" w:ascii="宋体" w:hAnsi="宋体" w:eastAsia="宋体" w:cs="宋体"/>
                <w:b w:val="0"/>
                <w:sz w:val="24"/>
                <w:highlight w:val="none"/>
              </w:rPr>
              <w:t>。</w:t>
            </w:r>
          </w:p>
          <w:p w14:paraId="07A25085">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（5）符合条件的向小微企业分包的大中型企业价格扣除：</w:t>
            </w:r>
            <w:r>
              <w:rPr>
                <w:rFonts w:hint="eastAsia" w:ascii="宋体" w:hAnsi="宋体" w:eastAsia="宋体" w:cs="宋体"/>
                <w:b w:val="0"/>
                <w:sz w:val="24"/>
                <w:highlight w:val="none"/>
                <w:u w:val="single"/>
                <w:lang w:val="en-US" w:eastAsia="zh-CN"/>
              </w:rPr>
              <w:t>/</w:t>
            </w:r>
            <w:r>
              <w:rPr>
                <w:rFonts w:hint="eastAsia" w:ascii="宋体" w:hAnsi="宋体" w:eastAsia="宋体" w:cs="宋体"/>
                <w:b w:val="0"/>
                <w:sz w:val="24"/>
                <w:highlight w:val="none"/>
              </w:rPr>
              <w:t>。</w:t>
            </w:r>
          </w:p>
        </w:tc>
      </w:tr>
      <w:tr w14:paraId="2FA21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406042DD">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highlight w:val="none"/>
              </w:rPr>
            </w:pPr>
            <w:r>
              <w:rPr>
                <w:rFonts w:hint="eastAsia" w:ascii="宋体" w:hAnsi="宋体" w:eastAsia="宋体" w:cs="宋体"/>
                <w:bCs/>
                <w:kern w:val="2"/>
                <w:highlight w:val="none"/>
              </w:rPr>
              <w:t>26.1</w:t>
            </w:r>
          </w:p>
        </w:tc>
        <w:tc>
          <w:tcPr>
            <w:tcW w:w="1106" w:type="pct"/>
            <w:vAlign w:val="center"/>
          </w:tcPr>
          <w:p w14:paraId="48529216">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评标委员会推荐中标候选人的数量</w:t>
            </w:r>
          </w:p>
        </w:tc>
        <w:tc>
          <w:tcPr>
            <w:tcW w:w="3319" w:type="pct"/>
            <w:vAlign w:val="center"/>
          </w:tcPr>
          <w:p w14:paraId="7DBD5AA3">
            <w:pPr>
              <w:pStyle w:val="30"/>
              <w:widowControl w:val="0"/>
              <w:spacing w:before="0" w:beforeAutospacing="0" w:after="0" w:afterAutospacing="0" w:line="360" w:lineRule="auto"/>
              <w:jc w:val="both"/>
              <w:rPr>
                <w:rFonts w:hint="eastAsia" w:ascii="宋体" w:hAnsi="宋体" w:eastAsia="宋体" w:cs="宋体"/>
                <w:b w:val="0"/>
                <w:sz w:val="24"/>
                <w:highlight w:val="none"/>
                <w:u w:val="single"/>
              </w:rPr>
            </w:pPr>
            <w:r>
              <w:rPr>
                <w:rFonts w:hint="eastAsia" w:ascii="宋体" w:hAnsi="宋体" w:eastAsia="宋体" w:cs="宋体"/>
                <w:b w:val="0"/>
                <w:bCs w:val="0"/>
                <w:sz w:val="24"/>
                <w:highlight w:val="none"/>
              </w:rPr>
              <w:t>1-3名</w:t>
            </w:r>
          </w:p>
        </w:tc>
      </w:tr>
      <w:tr w14:paraId="3CF35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1E116393">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highlight w:val="none"/>
              </w:rPr>
            </w:pPr>
            <w:r>
              <w:rPr>
                <w:rFonts w:hint="eastAsia" w:ascii="宋体" w:hAnsi="宋体" w:eastAsia="宋体" w:cs="宋体"/>
                <w:bCs/>
                <w:kern w:val="2"/>
                <w:highlight w:val="none"/>
              </w:rPr>
              <w:t>26.2</w:t>
            </w:r>
          </w:p>
        </w:tc>
        <w:tc>
          <w:tcPr>
            <w:tcW w:w="1106" w:type="pct"/>
            <w:vAlign w:val="center"/>
          </w:tcPr>
          <w:p w14:paraId="0BA3CCA6">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确定中标人</w:t>
            </w:r>
          </w:p>
        </w:tc>
        <w:tc>
          <w:tcPr>
            <w:tcW w:w="3319" w:type="pct"/>
            <w:vAlign w:val="center"/>
          </w:tcPr>
          <w:p w14:paraId="4550CFAC">
            <w:pPr>
              <w:pStyle w:val="30"/>
              <w:widowControl w:val="0"/>
              <w:spacing w:before="0" w:beforeAutospacing="0" w:after="0" w:afterAutospacing="0" w:line="360" w:lineRule="auto"/>
              <w:jc w:val="both"/>
              <w:rPr>
                <w:rFonts w:hint="eastAsia" w:ascii="宋体" w:hAnsi="宋体" w:eastAsia="宋体" w:cs="宋体"/>
                <w:b w:val="0"/>
                <w:bCs w:val="0"/>
                <w:sz w:val="24"/>
                <w:szCs w:val="24"/>
                <w:highlight w:val="none"/>
              </w:rPr>
            </w:pPr>
            <w:r>
              <w:rPr>
                <w:rFonts w:hint="eastAsia" w:ascii="宋体" w:hAnsi="宋体" w:eastAsia="宋体" w:cs="宋体"/>
                <w:b w:val="0"/>
                <w:sz w:val="24"/>
                <w:szCs w:val="24"/>
                <w:highlight w:val="none"/>
              </w:rPr>
              <w:sym w:font="Wingdings" w:char="00FE"/>
            </w:r>
            <w:r>
              <w:rPr>
                <w:rFonts w:hint="eastAsia" w:ascii="宋体" w:hAnsi="宋体" w:eastAsia="宋体" w:cs="宋体"/>
                <w:b w:val="0"/>
                <w:bCs w:val="0"/>
                <w:sz w:val="24"/>
                <w:szCs w:val="24"/>
                <w:highlight w:val="none"/>
                <w:lang w:eastAsia="zh-CN"/>
              </w:rPr>
              <w:t>招标人</w:t>
            </w:r>
            <w:r>
              <w:rPr>
                <w:rFonts w:hint="eastAsia" w:ascii="宋体" w:hAnsi="宋体" w:eastAsia="宋体" w:cs="宋体"/>
                <w:b w:val="0"/>
                <w:bCs w:val="0"/>
                <w:sz w:val="24"/>
                <w:szCs w:val="24"/>
                <w:highlight w:val="none"/>
              </w:rPr>
              <w:t>委托评标委员会确定</w:t>
            </w:r>
          </w:p>
          <w:p w14:paraId="257EBC09">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bCs w:val="0"/>
                <w:sz w:val="24"/>
                <w:szCs w:val="24"/>
                <w:highlight w:val="none"/>
                <w:lang w:eastAsia="zh-CN"/>
              </w:rPr>
              <w:t>□招标人</w:t>
            </w:r>
            <w:r>
              <w:rPr>
                <w:rFonts w:hint="eastAsia" w:ascii="宋体" w:hAnsi="宋体" w:eastAsia="宋体" w:cs="宋体"/>
                <w:b w:val="0"/>
                <w:bCs w:val="0"/>
                <w:sz w:val="24"/>
                <w:szCs w:val="24"/>
                <w:highlight w:val="none"/>
              </w:rPr>
              <w:t>确定</w:t>
            </w:r>
          </w:p>
        </w:tc>
      </w:tr>
      <w:tr w14:paraId="267A4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4165C729">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highlight w:val="none"/>
              </w:rPr>
            </w:pPr>
            <w:r>
              <w:rPr>
                <w:rFonts w:hint="eastAsia" w:ascii="宋体" w:hAnsi="宋体" w:eastAsia="宋体" w:cs="宋体"/>
                <w:bCs/>
                <w:kern w:val="2"/>
                <w:highlight w:val="none"/>
              </w:rPr>
              <w:t>28.3</w:t>
            </w:r>
          </w:p>
        </w:tc>
        <w:tc>
          <w:tcPr>
            <w:tcW w:w="1106" w:type="pct"/>
            <w:vAlign w:val="center"/>
          </w:tcPr>
          <w:p w14:paraId="172F52E3">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随中标结果公告同时公告的中标人的投标文件内容</w:t>
            </w:r>
          </w:p>
        </w:tc>
        <w:tc>
          <w:tcPr>
            <w:tcW w:w="3319" w:type="pct"/>
            <w:vAlign w:val="center"/>
          </w:tcPr>
          <w:p w14:paraId="625056CF">
            <w:pPr>
              <w:pStyle w:val="30"/>
              <w:widowControl w:val="0"/>
              <w:spacing w:before="0" w:beforeAutospacing="0" w:after="0" w:afterAutospacing="0" w:line="360" w:lineRule="auto"/>
              <w:jc w:val="both"/>
              <w:rPr>
                <w:rFonts w:hint="eastAsia" w:ascii="宋体" w:hAnsi="宋体" w:eastAsia="宋体" w:cs="宋体"/>
                <w:b w:val="0"/>
                <w:sz w:val="24"/>
                <w:highlight w:val="none"/>
                <w:u w:val="single"/>
              </w:rPr>
            </w:pPr>
            <w:r>
              <w:rPr>
                <w:rFonts w:hint="eastAsia" w:ascii="宋体" w:hAnsi="宋体" w:eastAsia="宋体" w:cs="宋体"/>
                <w:b w:val="0"/>
                <w:sz w:val="24"/>
                <w:highlight w:val="none"/>
              </w:rPr>
              <w:t>（1）</w:t>
            </w:r>
            <w:r>
              <w:rPr>
                <w:rFonts w:hint="eastAsia" w:ascii="宋体" w:hAnsi="宋体" w:eastAsia="宋体" w:cs="宋体"/>
                <w:b w:val="0"/>
                <w:sz w:val="24"/>
                <w:highlight w:val="none"/>
                <w:u w:val="single"/>
              </w:rPr>
              <w:t>无重大违法记录声明函、无不良信用记录声明函</w:t>
            </w:r>
            <w:r>
              <w:rPr>
                <w:rFonts w:hint="eastAsia" w:ascii="宋体" w:hAnsi="宋体" w:eastAsia="宋体" w:cs="宋体"/>
                <w:b w:val="0"/>
                <w:sz w:val="24"/>
                <w:highlight w:val="none"/>
              </w:rPr>
              <w:t>；</w:t>
            </w:r>
          </w:p>
          <w:p w14:paraId="29B96079">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（2）</w:t>
            </w:r>
            <w:r>
              <w:rPr>
                <w:rFonts w:hint="eastAsia" w:ascii="宋体" w:hAnsi="宋体" w:eastAsia="宋体" w:cs="宋体"/>
                <w:b w:val="0"/>
                <w:sz w:val="24"/>
                <w:highlight w:val="none"/>
                <w:u w:val="single"/>
              </w:rPr>
              <w:t>主要中标标的承诺函</w:t>
            </w:r>
            <w:r>
              <w:rPr>
                <w:rFonts w:hint="eastAsia" w:ascii="宋体" w:hAnsi="宋体" w:eastAsia="宋体" w:cs="宋体"/>
                <w:b w:val="0"/>
                <w:sz w:val="24"/>
                <w:highlight w:val="none"/>
              </w:rPr>
              <w:t>；</w:t>
            </w:r>
          </w:p>
          <w:p w14:paraId="178C8F6A">
            <w:pPr>
              <w:pStyle w:val="30"/>
              <w:widowControl w:val="0"/>
              <w:spacing w:before="0" w:beforeAutospacing="0" w:after="0" w:afterAutospacing="0" w:line="360" w:lineRule="auto"/>
              <w:jc w:val="both"/>
              <w:rPr>
                <w:rFonts w:hint="eastAsia" w:ascii="宋体" w:hAnsi="宋体" w:eastAsia="宋体" w:cs="宋体"/>
                <w:b w:val="0"/>
                <w:sz w:val="24"/>
                <w:highlight w:val="none"/>
                <w:u w:val="single"/>
              </w:rPr>
            </w:pPr>
            <w:r>
              <w:rPr>
                <w:rFonts w:hint="eastAsia" w:ascii="宋体" w:hAnsi="宋体" w:eastAsia="宋体" w:cs="宋体"/>
                <w:b w:val="0"/>
                <w:sz w:val="24"/>
                <w:highlight w:val="none"/>
              </w:rPr>
              <w:t>（3）</w:t>
            </w:r>
            <w:r>
              <w:rPr>
                <w:rFonts w:hint="eastAsia" w:ascii="宋体" w:hAnsi="宋体" w:eastAsia="宋体" w:cs="宋体"/>
                <w:b w:val="0"/>
                <w:sz w:val="24"/>
                <w:highlight w:val="none"/>
                <w:u w:val="single"/>
              </w:rPr>
              <w:t>投标业绩承诺函</w:t>
            </w:r>
            <w:r>
              <w:rPr>
                <w:rFonts w:hint="eastAsia" w:ascii="宋体" w:hAnsi="宋体" w:eastAsia="宋体" w:cs="宋体"/>
                <w:b w:val="0"/>
                <w:sz w:val="24"/>
                <w:highlight w:val="none"/>
              </w:rPr>
              <w:t>；</w:t>
            </w:r>
            <w:r>
              <w:rPr>
                <w:rFonts w:hint="eastAsia" w:ascii="宋体" w:hAnsi="宋体" w:eastAsia="宋体" w:cs="宋体"/>
                <w:b w:val="0"/>
                <w:i/>
                <w:iCs/>
                <w:sz w:val="24"/>
                <w:highlight w:val="none"/>
              </w:rPr>
              <w:t>（如有）</w:t>
            </w:r>
          </w:p>
          <w:p w14:paraId="367AA6BE">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（4）</w:t>
            </w:r>
            <w:r>
              <w:rPr>
                <w:rFonts w:hint="eastAsia" w:ascii="宋体" w:hAnsi="宋体" w:eastAsia="宋体" w:cs="宋体"/>
                <w:b w:val="0"/>
                <w:sz w:val="24"/>
                <w:highlight w:val="none"/>
                <w:u w:val="single"/>
              </w:rPr>
              <w:t>中小企业声明函</w:t>
            </w:r>
            <w:r>
              <w:rPr>
                <w:rFonts w:hint="eastAsia" w:ascii="宋体" w:hAnsi="宋体" w:eastAsia="宋体" w:cs="宋体"/>
                <w:b w:val="0"/>
                <w:sz w:val="24"/>
                <w:highlight w:val="none"/>
              </w:rPr>
              <w:t>；</w:t>
            </w:r>
            <w:r>
              <w:rPr>
                <w:rFonts w:hint="eastAsia" w:ascii="宋体" w:hAnsi="宋体" w:eastAsia="宋体" w:cs="宋体"/>
                <w:b w:val="0"/>
                <w:i/>
                <w:iCs/>
                <w:sz w:val="24"/>
                <w:highlight w:val="none"/>
              </w:rPr>
              <w:t>（如有）</w:t>
            </w:r>
          </w:p>
          <w:p w14:paraId="7068F315">
            <w:pPr>
              <w:pStyle w:val="30"/>
              <w:widowControl w:val="0"/>
              <w:spacing w:before="0" w:beforeAutospacing="0" w:after="0" w:afterAutospacing="0" w:line="360" w:lineRule="auto"/>
              <w:jc w:val="both"/>
              <w:rPr>
                <w:rFonts w:hint="eastAsia" w:ascii="宋体" w:hAnsi="宋体" w:eastAsia="宋体" w:cs="宋体"/>
                <w:b w:val="0"/>
                <w:i/>
                <w:sz w:val="24"/>
                <w:highlight w:val="none"/>
              </w:rPr>
            </w:pPr>
            <w:r>
              <w:rPr>
                <w:rFonts w:hint="eastAsia" w:ascii="宋体" w:hAnsi="宋体" w:eastAsia="宋体" w:cs="宋体"/>
                <w:b w:val="0"/>
                <w:sz w:val="24"/>
                <w:highlight w:val="none"/>
              </w:rPr>
              <w:t>（5）</w:t>
            </w:r>
            <w:r>
              <w:rPr>
                <w:rFonts w:hint="eastAsia" w:ascii="宋体" w:hAnsi="宋体" w:eastAsia="宋体" w:cs="宋体"/>
                <w:b w:val="0"/>
                <w:sz w:val="24"/>
                <w:highlight w:val="none"/>
                <w:u w:val="single"/>
              </w:rPr>
              <w:t>残疾人福利性单位声明函</w:t>
            </w:r>
            <w:r>
              <w:rPr>
                <w:rFonts w:hint="eastAsia" w:ascii="宋体" w:hAnsi="宋体" w:eastAsia="宋体" w:cs="宋体"/>
                <w:b w:val="0"/>
                <w:sz w:val="24"/>
                <w:highlight w:val="none"/>
              </w:rPr>
              <w:t>；</w:t>
            </w:r>
            <w:r>
              <w:rPr>
                <w:rFonts w:hint="eastAsia" w:ascii="宋体" w:hAnsi="宋体" w:eastAsia="宋体" w:cs="宋体"/>
                <w:b w:val="0"/>
                <w:i/>
                <w:iCs/>
                <w:sz w:val="24"/>
                <w:highlight w:val="none"/>
              </w:rPr>
              <w:t>（如有）</w:t>
            </w:r>
          </w:p>
          <w:p w14:paraId="699DE1B5">
            <w:pPr>
              <w:pStyle w:val="30"/>
              <w:widowControl w:val="0"/>
              <w:spacing w:before="0" w:beforeAutospacing="0" w:after="0" w:afterAutospacing="0" w:line="360" w:lineRule="auto"/>
              <w:jc w:val="both"/>
              <w:rPr>
                <w:rFonts w:hint="eastAsia" w:ascii="宋体" w:hAnsi="宋体" w:eastAsia="宋体" w:cs="宋体"/>
                <w:b w:val="0"/>
                <w:bCs w:val="0"/>
                <w:sz w:val="24"/>
                <w:szCs w:val="24"/>
                <w:highlight w:val="none"/>
              </w:rPr>
            </w:pPr>
            <w:r>
              <w:rPr>
                <w:rFonts w:hint="eastAsia" w:ascii="宋体" w:hAnsi="宋体" w:eastAsia="宋体" w:cs="宋体"/>
                <w:b w:val="0"/>
                <w:sz w:val="24"/>
                <w:highlight w:val="none"/>
              </w:rPr>
              <w:t>（6）</w:t>
            </w:r>
            <w:r>
              <w:rPr>
                <w:rFonts w:hint="eastAsia" w:ascii="宋体" w:hAnsi="宋体" w:eastAsia="宋体" w:cs="宋体"/>
                <w:b w:val="0"/>
                <w:sz w:val="24"/>
                <w:highlight w:val="none"/>
                <w:u w:val="single"/>
              </w:rPr>
              <w:t>招标文件中规定进行公示的其他内容</w:t>
            </w:r>
            <w:r>
              <w:rPr>
                <w:rFonts w:hint="eastAsia" w:ascii="宋体" w:hAnsi="宋体" w:eastAsia="宋体" w:cs="宋体"/>
                <w:b w:val="0"/>
                <w:sz w:val="24"/>
                <w:highlight w:val="none"/>
              </w:rPr>
              <w:t>。</w:t>
            </w:r>
            <w:r>
              <w:rPr>
                <w:rFonts w:hint="eastAsia" w:ascii="宋体" w:hAnsi="宋体" w:eastAsia="宋体" w:cs="宋体"/>
                <w:b w:val="0"/>
                <w:i/>
                <w:iCs/>
                <w:sz w:val="24"/>
                <w:highlight w:val="none"/>
              </w:rPr>
              <w:t>（如有）</w:t>
            </w:r>
          </w:p>
        </w:tc>
      </w:tr>
      <w:tr w14:paraId="4377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01A154C5">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highlight w:val="none"/>
              </w:rPr>
            </w:pPr>
            <w:r>
              <w:rPr>
                <w:rFonts w:hint="eastAsia" w:ascii="宋体" w:hAnsi="宋体" w:eastAsia="宋体" w:cs="宋体"/>
                <w:bCs/>
                <w:kern w:val="2"/>
                <w:highlight w:val="none"/>
              </w:rPr>
              <w:t>29.1</w:t>
            </w:r>
          </w:p>
        </w:tc>
        <w:tc>
          <w:tcPr>
            <w:tcW w:w="1106" w:type="pct"/>
            <w:vAlign w:val="center"/>
          </w:tcPr>
          <w:p w14:paraId="13371B22">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中标通知书发出的形式</w:t>
            </w:r>
          </w:p>
        </w:tc>
        <w:tc>
          <w:tcPr>
            <w:tcW w:w="3319" w:type="pct"/>
            <w:vAlign w:val="center"/>
          </w:tcPr>
          <w:p w14:paraId="75668A02">
            <w:pPr>
              <w:pStyle w:val="30"/>
              <w:widowControl w:val="0"/>
              <w:spacing w:before="0" w:beforeAutospacing="0" w:after="0" w:afterAutospacing="0" w:line="360" w:lineRule="auto"/>
              <w:jc w:val="both"/>
              <w:rPr>
                <w:rFonts w:hint="eastAsia" w:ascii="宋体" w:hAnsi="宋体" w:eastAsia="宋体" w:cs="宋体"/>
                <w:b w:val="0"/>
                <w:sz w:val="24"/>
                <w:szCs w:val="24"/>
                <w:highlight w:val="none"/>
              </w:rPr>
            </w:pPr>
            <w:r>
              <w:rPr>
                <w:rFonts w:hint="eastAsia" w:ascii="宋体" w:hAnsi="宋体" w:eastAsia="宋体" w:cs="宋体"/>
                <w:b w:val="0"/>
                <w:sz w:val="24"/>
                <w:szCs w:val="24"/>
                <w:highlight w:val="none"/>
                <w:lang w:eastAsia="zh-CN"/>
              </w:rPr>
              <w:t>☑</w:t>
            </w:r>
            <w:r>
              <w:rPr>
                <w:rFonts w:hint="eastAsia" w:ascii="宋体" w:hAnsi="宋体" w:eastAsia="宋体" w:cs="宋体"/>
                <w:b w:val="0"/>
                <w:sz w:val="24"/>
                <w:szCs w:val="24"/>
                <w:highlight w:val="none"/>
              </w:rPr>
              <w:t xml:space="preserve">书面     </w:t>
            </w:r>
            <w:r>
              <w:rPr>
                <w:rFonts w:hint="eastAsia" w:ascii="宋体" w:hAnsi="宋体" w:eastAsia="宋体" w:cs="宋体"/>
                <w:b w:val="0"/>
                <w:sz w:val="24"/>
                <w:szCs w:val="24"/>
                <w:highlight w:val="none"/>
              </w:rPr>
              <w:sym w:font="Wingdings" w:char="00A8"/>
            </w:r>
            <w:r>
              <w:rPr>
                <w:rFonts w:hint="eastAsia" w:ascii="宋体" w:hAnsi="宋体" w:eastAsia="宋体" w:cs="宋体"/>
                <w:b w:val="0"/>
                <w:sz w:val="24"/>
                <w:szCs w:val="24"/>
                <w:highlight w:val="none"/>
              </w:rPr>
              <w:t>数据电文</w:t>
            </w:r>
          </w:p>
        </w:tc>
      </w:tr>
      <w:tr w14:paraId="054B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46FCF1FA">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highlight w:val="none"/>
              </w:rPr>
            </w:pPr>
            <w:r>
              <w:rPr>
                <w:rFonts w:hint="eastAsia" w:ascii="宋体" w:hAnsi="宋体" w:eastAsia="宋体" w:cs="宋体"/>
                <w:bCs/>
                <w:kern w:val="2"/>
                <w:highlight w:val="none"/>
              </w:rPr>
              <w:t>30.1</w:t>
            </w:r>
          </w:p>
        </w:tc>
        <w:tc>
          <w:tcPr>
            <w:tcW w:w="1106" w:type="pct"/>
            <w:vAlign w:val="center"/>
          </w:tcPr>
          <w:p w14:paraId="4B8D4C45">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告知招标结果的形式</w:t>
            </w:r>
          </w:p>
        </w:tc>
        <w:tc>
          <w:tcPr>
            <w:tcW w:w="3319" w:type="pct"/>
            <w:vAlign w:val="center"/>
          </w:tcPr>
          <w:p w14:paraId="33EC83CE">
            <w:pPr>
              <w:pStyle w:val="30"/>
              <w:widowControl w:val="0"/>
              <w:spacing w:before="0" w:beforeAutospacing="0" w:after="0" w:afterAutospacing="0" w:line="360" w:lineRule="auto"/>
              <w:jc w:val="both"/>
              <w:rPr>
                <w:rFonts w:hint="eastAsia" w:ascii="宋体" w:hAnsi="宋体" w:eastAsia="宋体" w:cs="宋体"/>
                <w:b w:val="0"/>
                <w:bCs w:val="0"/>
                <w:sz w:val="24"/>
                <w:szCs w:val="24"/>
                <w:highlight w:val="none"/>
              </w:rPr>
            </w:pPr>
            <w:r>
              <w:rPr>
                <w:rFonts w:hint="eastAsia" w:ascii="宋体" w:hAnsi="宋体" w:eastAsia="宋体" w:cs="宋体"/>
                <w:b w:val="0"/>
                <w:sz w:val="24"/>
                <w:szCs w:val="24"/>
                <w:highlight w:val="none"/>
              </w:rPr>
              <w:sym w:font="Wingdings" w:char="00FE"/>
            </w:r>
            <w:r>
              <w:rPr>
                <w:rFonts w:hint="eastAsia" w:ascii="宋体" w:hAnsi="宋体" w:eastAsia="宋体" w:cs="宋体"/>
                <w:b w:val="0"/>
                <w:bCs w:val="0"/>
                <w:sz w:val="24"/>
                <w:szCs w:val="24"/>
                <w:highlight w:val="none"/>
              </w:rPr>
              <w:t>投标人自行登录登录发布媒介查看</w:t>
            </w:r>
          </w:p>
          <w:p w14:paraId="14E035B6">
            <w:pPr>
              <w:pStyle w:val="30"/>
              <w:widowControl w:val="0"/>
              <w:spacing w:before="0" w:beforeAutospacing="0" w:after="0" w:afterAutospacing="0" w:line="360" w:lineRule="auto"/>
              <w:jc w:val="both"/>
              <w:rPr>
                <w:rFonts w:hint="eastAsia" w:ascii="宋体" w:hAnsi="宋体" w:eastAsia="宋体" w:cs="宋体"/>
                <w:b w:val="0"/>
                <w:bCs w:val="0"/>
                <w:sz w:val="24"/>
                <w:szCs w:val="24"/>
                <w:highlight w:val="none"/>
              </w:rPr>
            </w:pPr>
            <w:r>
              <w:rPr>
                <w:rFonts w:hint="eastAsia" w:ascii="宋体" w:hAnsi="宋体" w:eastAsia="宋体" w:cs="宋体"/>
                <w:b w:val="0"/>
                <w:sz w:val="24"/>
                <w:highlight w:val="none"/>
              </w:rPr>
              <w:sym w:font="Wingdings 2" w:char="00A3"/>
            </w:r>
            <w:r>
              <w:rPr>
                <w:rFonts w:hint="eastAsia" w:ascii="宋体" w:hAnsi="宋体" w:eastAsia="宋体" w:cs="宋体"/>
                <w:b w:val="0"/>
                <w:sz w:val="24"/>
                <w:highlight w:val="none"/>
              </w:rPr>
              <w:t>评标现场告知</w:t>
            </w:r>
          </w:p>
        </w:tc>
      </w:tr>
      <w:tr w14:paraId="758D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74" w:type="pct"/>
            <w:vAlign w:val="center"/>
          </w:tcPr>
          <w:p w14:paraId="5509D38C">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highlight w:val="none"/>
              </w:rPr>
            </w:pPr>
            <w:r>
              <w:rPr>
                <w:rFonts w:hint="eastAsia" w:ascii="宋体" w:hAnsi="宋体" w:eastAsia="宋体" w:cs="宋体"/>
                <w:bCs/>
                <w:kern w:val="2"/>
                <w:highlight w:val="none"/>
              </w:rPr>
              <w:t>31.1</w:t>
            </w:r>
          </w:p>
        </w:tc>
        <w:tc>
          <w:tcPr>
            <w:tcW w:w="1106" w:type="pct"/>
            <w:vAlign w:val="center"/>
          </w:tcPr>
          <w:p w14:paraId="4DE96651">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履约保证金</w:t>
            </w:r>
          </w:p>
        </w:tc>
        <w:tc>
          <w:tcPr>
            <w:tcW w:w="3319" w:type="pct"/>
            <w:vAlign w:val="center"/>
          </w:tcPr>
          <w:p w14:paraId="6DBB40E8">
            <w:pPr>
              <w:keepNext w:val="0"/>
              <w:keepLines w:val="0"/>
              <w:widowControl/>
              <w:suppressLineNumbers w:val="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不收取</w:t>
            </w:r>
          </w:p>
        </w:tc>
      </w:tr>
      <w:tr w14:paraId="48E9C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65A06E01">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highlight w:val="none"/>
              </w:rPr>
            </w:pPr>
            <w:r>
              <w:rPr>
                <w:rFonts w:hint="eastAsia" w:ascii="宋体" w:hAnsi="宋体" w:eastAsia="宋体" w:cs="宋体"/>
                <w:bCs/>
                <w:kern w:val="2"/>
                <w:highlight w:val="none"/>
              </w:rPr>
              <w:t>32.1</w:t>
            </w:r>
            <w:r>
              <w:rPr>
                <w:rStyle w:val="27"/>
                <w:rFonts w:hint="eastAsia" w:ascii="宋体" w:hAnsi="宋体" w:eastAsia="宋体" w:cs="宋体"/>
                <w:bCs/>
                <w:kern w:val="2"/>
                <w:highlight w:val="none"/>
              </w:rPr>
              <w:footnoteReference w:id="1"/>
            </w:r>
          </w:p>
        </w:tc>
        <w:tc>
          <w:tcPr>
            <w:tcW w:w="1106" w:type="pct"/>
            <w:vAlign w:val="center"/>
          </w:tcPr>
          <w:p w14:paraId="4D47D157">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签订合同和合同公开时间</w:t>
            </w:r>
          </w:p>
        </w:tc>
        <w:tc>
          <w:tcPr>
            <w:tcW w:w="3319" w:type="pct"/>
            <w:vAlign w:val="center"/>
          </w:tcPr>
          <w:p w14:paraId="2F4A1F05">
            <w:pPr>
              <w:pStyle w:val="30"/>
              <w:widowControl w:val="0"/>
              <w:spacing w:before="0" w:beforeAutospacing="0" w:after="0" w:afterAutospacing="0" w:line="360" w:lineRule="auto"/>
              <w:jc w:val="both"/>
              <w:rPr>
                <w:rFonts w:hint="eastAsia" w:ascii="宋体" w:hAnsi="宋体" w:eastAsia="宋体" w:cs="宋体"/>
                <w:sz w:val="24"/>
                <w:highlight w:val="none"/>
              </w:rPr>
            </w:pPr>
            <w:r>
              <w:rPr>
                <w:rFonts w:hint="eastAsia" w:ascii="宋体" w:hAnsi="宋体" w:eastAsia="宋体" w:cs="宋体"/>
                <w:b w:val="0"/>
                <w:bCs w:val="0"/>
                <w:sz w:val="24"/>
                <w:highlight w:val="none"/>
                <w:lang w:eastAsia="zh-CN"/>
              </w:rPr>
              <w:t>招标人</w:t>
            </w:r>
            <w:r>
              <w:rPr>
                <w:rFonts w:hint="eastAsia" w:ascii="宋体" w:hAnsi="宋体" w:eastAsia="宋体" w:cs="宋体"/>
                <w:b w:val="0"/>
                <w:bCs w:val="0"/>
                <w:sz w:val="24"/>
                <w:highlight w:val="none"/>
              </w:rPr>
              <w:t>与中标人应当自发出中标通知书之日起7个工作日内签订合同，自采购合同签订之日起2个工作日内完成政府采购合同公开。</w:t>
            </w:r>
          </w:p>
        </w:tc>
      </w:tr>
      <w:tr w14:paraId="63BD6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73B2BC92">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highlight w:val="none"/>
              </w:rPr>
            </w:pPr>
            <w:r>
              <w:rPr>
                <w:rFonts w:hint="eastAsia" w:ascii="宋体" w:hAnsi="宋体" w:eastAsia="宋体" w:cs="宋体"/>
                <w:bCs/>
                <w:kern w:val="2"/>
                <w:highlight w:val="none"/>
              </w:rPr>
              <w:t>33.1</w:t>
            </w:r>
          </w:p>
        </w:tc>
        <w:tc>
          <w:tcPr>
            <w:tcW w:w="1106" w:type="pct"/>
            <w:vAlign w:val="center"/>
          </w:tcPr>
          <w:p w14:paraId="3F9E9755">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中标服务费</w:t>
            </w:r>
          </w:p>
        </w:tc>
        <w:tc>
          <w:tcPr>
            <w:tcW w:w="3319" w:type="pct"/>
            <w:vAlign w:val="center"/>
          </w:tcPr>
          <w:p w14:paraId="74233D5D">
            <w:pPr>
              <w:pStyle w:val="30"/>
              <w:widowControl w:val="0"/>
              <w:spacing w:before="0" w:beforeAutospacing="0" w:after="0" w:afterAutospacing="0" w:line="360" w:lineRule="auto"/>
              <w:jc w:val="both"/>
              <w:rPr>
                <w:rFonts w:hint="eastAsia" w:ascii="宋体" w:hAnsi="宋体" w:eastAsia="宋体" w:cs="宋体"/>
                <w:b/>
                <w:bCs w:val="0"/>
                <w:kern w:val="2"/>
                <w:sz w:val="24"/>
                <w:szCs w:val="24"/>
                <w:highlight w:val="none"/>
                <w:lang w:val="en-US" w:eastAsia="zh-CN" w:bidi="ar-SA"/>
              </w:rPr>
            </w:pPr>
            <w:r>
              <w:rPr>
                <w:rFonts w:hint="eastAsia" w:ascii="宋体" w:hAnsi="宋体" w:eastAsia="宋体" w:cs="宋体"/>
                <w:sz w:val="24"/>
                <w:szCs w:val="24"/>
                <w:highlight w:val="none"/>
              </w:rPr>
              <w:t>以</w:t>
            </w:r>
            <w:r>
              <w:rPr>
                <w:rFonts w:hint="eastAsia" w:ascii="宋体" w:hAnsi="宋体" w:eastAsia="宋体" w:cs="宋体"/>
                <w:sz w:val="24"/>
                <w:szCs w:val="24"/>
                <w:highlight w:val="none"/>
                <w:lang w:val="en-US" w:eastAsia="zh-CN"/>
              </w:rPr>
              <w:t>中标价</w:t>
            </w:r>
            <w:r>
              <w:rPr>
                <w:rFonts w:hint="eastAsia" w:ascii="宋体" w:hAnsi="宋体" w:eastAsia="宋体" w:cs="宋体"/>
                <w:sz w:val="24"/>
                <w:szCs w:val="24"/>
                <w:highlight w:val="none"/>
              </w:rPr>
              <w:t>为取费依据</w:t>
            </w:r>
            <w:r>
              <w:rPr>
                <w:rFonts w:hint="eastAsia" w:ascii="宋体" w:hAnsi="宋体" w:eastAsia="宋体" w:cs="宋体"/>
                <w:sz w:val="24"/>
                <w:szCs w:val="24"/>
                <w:highlight w:val="none"/>
                <w:lang w:val="en-US" w:eastAsia="zh-CN"/>
              </w:rPr>
              <w:t>。</w:t>
            </w:r>
            <w:r>
              <w:rPr>
                <w:rFonts w:hint="eastAsia" w:ascii="宋体" w:hAnsi="宋体" w:eastAsia="宋体" w:cs="宋体"/>
                <w:b/>
                <w:bCs w:val="0"/>
                <w:kern w:val="2"/>
                <w:sz w:val="24"/>
                <w:szCs w:val="24"/>
                <w:highlight w:val="none"/>
                <w:lang w:val="en-US" w:eastAsia="zh-CN" w:bidi="ar-SA"/>
              </w:rPr>
              <w:t>按国家计委《关于印发招标代理服务收费管理暂行办法的通知》（计价格﹝2002﹞1980号文）规定标准的60%计取（如中标服务费额计费不足1000元，按照1000元收取）。</w:t>
            </w:r>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401"/>
              <w:gridCol w:w="1224"/>
              <w:gridCol w:w="1260"/>
              <w:gridCol w:w="1296"/>
            </w:tblGrid>
            <w:tr w14:paraId="50C312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2401" w:type="dxa"/>
                  <w:tcBorders>
                    <w:top w:val="single" w:color="auto" w:sz="4" w:space="0"/>
                    <w:left w:val="single" w:color="auto" w:sz="4" w:space="0"/>
                    <w:bottom w:val="single" w:color="auto" w:sz="4" w:space="0"/>
                    <w:right w:val="single" w:color="auto" w:sz="4" w:space="0"/>
                  </w:tcBorders>
                  <w:noWrap w:val="0"/>
                  <w:vAlign w:val="center"/>
                </w:tcPr>
                <w:p w14:paraId="13278E71">
                  <w:pPr>
                    <w:widowControl/>
                    <w:spacing w:line="240" w:lineRule="atLeast"/>
                    <w:jc w:val="left"/>
                    <w:rPr>
                      <w:rFonts w:hint="eastAsia" w:ascii="宋体" w:hAnsi="宋体" w:eastAsia="宋体" w:cs="宋体"/>
                      <w:b/>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txbx>
                                    <w:txbxContent>
                                      <w:p w14:paraId="26ACC395"/>
                                    </w:txbxContent>
                                  </wps:txbx>
                                  <wps:bodyPr upright="1"/>
                                </wps:wsp>
                              </a:graphicData>
                            </a:graphic>
                          </wp:anchor>
                        </w:drawing>
                      </mc:Choice>
                      <mc:Fallback>
                        <w:pict>
                          <v:line id="_x0000_s1026" o:spid="_x0000_s1026" o:spt="20" style="position:absolute;left:0pt;margin-left:-9pt;margin-top:-0.5pt;height:0pt;width:0.05pt;z-index:25165926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rkdN+1QAAAAkBAAAPAAAAAAAAAAEAIAAAACIAAABkcnMvZG93bnJldi54bWxQ&#10;SwECFAAUAAAACACHTuJA2MHETfoBAAD5AwAADgAAAAAAAAABACAAAAAkAQAAZHJzL2Uyb0RvYy54&#10;bWxQSwUGAAAAAAYABgBZAQAAkAUAAAAA&#10;">
                            <v:fill on="f" focussize="0,0"/>
                            <v:stroke color="#000000" joinstyle="round"/>
                            <v:imagedata o:title=""/>
                            <o:lock v:ext="edit" aspectratio="f"/>
                            <v:textbox>
                              <w:txbxContent>
                                <w:p w14:paraId="26ACC395"/>
                              </w:txbxContent>
                            </v:textbox>
                          </v:line>
                        </w:pict>
                      </mc:Fallback>
                    </mc:AlternateContent>
                  </w:r>
                  <w:r>
                    <w:rPr>
                      <w:rFonts w:hint="eastAsia" w:ascii="宋体" w:hAnsi="宋体" w:eastAsia="宋体" w:cs="宋体"/>
                      <w:sz w:val="24"/>
                      <w:szCs w:val="24"/>
                      <w:highlight w:val="none"/>
                    </w:rPr>
                    <w:t xml:space="preserve"> </w:t>
                  </w:r>
                  <w:r>
                    <w:rPr>
                      <w:rFonts w:hint="eastAsia" w:ascii="宋体" w:hAnsi="宋体" w:eastAsia="宋体" w:cs="宋体"/>
                      <w:b/>
                      <w:sz w:val="24"/>
                      <w:szCs w:val="24"/>
                      <w:highlight w:val="none"/>
                    </w:rPr>
                    <w:t>中标金额（万元）</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F965F1F">
                  <w:pPr>
                    <w:widowControl/>
                    <w:spacing w:line="240" w:lineRule="atLeas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货物</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90D90B4">
                  <w:pPr>
                    <w:widowControl/>
                    <w:spacing w:line="240" w:lineRule="atLeas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服务</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63D4ED6F">
                  <w:pPr>
                    <w:widowControl/>
                    <w:spacing w:line="240" w:lineRule="atLeas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工程</w:t>
                  </w:r>
                </w:p>
              </w:tc>
            </w:tr>
            <w:tr w14:paraId="4556F7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2401" w:type="dxa"/>
                  <w:tcBorders>
                    <w:top w:val="single" w:color="auto" w:sz="4" w:space="0"/>
                    <w:left w:val="single" w:color="auto" w:sz="4" w:space="0"/>
                    <w:bottom w:val="single" w:color="auto" w:sz="4" w:space="0"/>
                    <w:right w:val="single" w:color="auto" w:sz="4" w:space="0"/>
                  </w:tcBorders>
                  <w:noWrap w:val="0"/>
                  <w:vAlign w:val="center"/>
                </w:tcPr>
                <w:p w14:paraId="29AD1204">
                  <w:pPr>
                    <w:widowControl/>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100以下</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30E672B">
                  <w:pPr>
                    <w:widowControl/>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C7D60BE">
                  <w:pPr>
                    <w:widowControl/>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2CA02EE5">
                  <w:pPr>
                    <w:widowControl/>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r>
            <w:tr w14:paraId="18585C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2401" w:type="dxa"/>
                  <w:tcBorders>
                    <w:top w:val="single" w:color="auto" w:sz="4" w:space="0"/>
                    <w:left w:val="single" w:color="auto" w:sz="4" w:space="0"/>
                    <w:bottom w:val="single" w:color="auto" w:sz="4" w:space="0"/>
                    <w:right w:val="single" w:color="auto" w:sz="4" w:space="0"/>
                  </w:tcBorders>
                  <w:noWrap w:val="0"/>
                  <w:vAlign w:val="center"/>
                </w:tcPr>
                <w:p w14:paraId="352121D7">
                  <w:pPr>
                    <w:widowControl/>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100-500</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A77F526">
                  <w:pPr>
                    <w:widowControl/>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9E66E47">
                  <w:pPr>
                    <w:widowControl/>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0.8%</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0A1AA95B">
                  <w:pPr>
                    <w:widowControl/>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0.7%</w:t>
                  </w:r>
                </w:p>
              </w:tc>
            </w:tr>
            <w:tr w14:paraId="01281C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2401" w:type="dxa"/>
                  <w:tcBorders>
                    <w:top w:val="single" w:color="auto" w:sz="4" w:space="0"/>
                    <w:left w:val="single" w:color="auto" w:sz="4" w:space="0"/>
                    <w:bottom w:val="single" w:color="auto" w:sz="4" w:space="0"/>
                    <w:right w:val="single" w:color="auto" w:sz="4" w:space="0"/>
                  </w:tcBorders>
                  <w:noWrap w:val="0"/>
                  <w:vAlign w:val="center"/>
                </w:tcPr>
                <w:p w14:paraId="611FA031">
                  <w:pPr>
                    <w:widowControl/>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500-1000</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2535C90">
                  <w:pPr>
                    <w:widowControl/>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0.8%</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1640EB3">
                  <w:pPr>
                    <w:widowControl/>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0.45%</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7726BF9F">
                  <w:pPr>
                    <w:widowControl/>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0.55%</w:t>
                  </w:r>
                </w:p>
              </w:tc>
            </w:tr>
            <w:tr w14:paraId="3B0B89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2401" w:type="dxa"/>
                  <w:tcBorders>
                    <w:top w:val="single" w:color="auto" w:sz="4" w:space="0"/>
                    <w:left w:val="single" w:color="auto" w:sz="4" w:space="0"/>
                    <w:bottom w:val="single" w:color="auto" w:sz="4" w:space="0"/>
                    <w:right w:val="single" w:color="auto" w:sz="4" w:space="0"/>
                  </w:tcBorders>
                  <w:noWrap w:val="0"/>
                  <w:vAlign w:val="center"/>
                </w:tcPr>
                <w:p w14:paraId="24C45FB5">
                  <w:pPr>
                    <w:widowControl/>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1000-5000</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D2CF918">
                  <w:pPr>
                    <w:widowControl/>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0.5%</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863475B">
                  <w:pPr>
                    <w:widowControl/>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0.25%</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36857B50">
                  <w:pPr>
                    <w:widowControl/>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0.35%</w:t>
                  </w:r>
                </w:p>
              </w:tc>
            </w:tr>
            <w:tr w14:paraId="2D6BB6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2401" w:type="dxa"/>
                  <w:tcBorders>
                    <w:top w:val="single" w:color="auto" w:sz="4" w:space="0"/>
                    <w:left w:val="single" w:color="auto" w:sz="4" w:space="0"/>
                    <w:bottom w:val="single" w:color="auto" w:sz="4" w:space="0"/>
                    <w:right w:val="single" w:color="auto" w:sz="4" w:space="0"/>
                  </w:tcBorders>
                  <w:noWrap w:val="0"/>
                  <w:vAlign w:val="center"/>
                </w:tcPr>
                <w:p w14:paraId="71E7E20D">
                  <w:pPr>
                    <w:widowControl/>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5000-10000</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E9AC11A">
                  <w:pPr>
                    <w:widowControl/>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0.25%</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6397199">
                  <w:pPr>
                    <w:widowControl/>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0.1%</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0B93CF7B">
                  <w:pPr>
                    <w:widowControl/>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0.2%</w:t>
                  </w:r>
                </w:p>
              </w:tc>
            </w:tr>
            <w:tr w14:paraId="1F38AE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8" w:hRule="atLeast"/>
                <w:jc w:val="center"/>
              </w:trPr>
              <w:tc>
                <w:tcPr>
                  <w:tcW w:w="2401" w:type="dxa"/>
                  <w:tcBorders>
                    <w:top w:val="single" w:color="auto" w:sz="4" w:space="0"/>
                    <w:left w:val="single" w:color="auto" w:sz="4" w:space="0"/>
                    <w:bottom w:val="single" w:color="auto" w:sz="4" w:space="0"/>
                    <w:right w:val="single" w:color="auto" w:sz="4" w:space="0"/>
                  </w:tcBorders>
                  <w:noWrap w:val="0"/>
                  <w:vAlign w:val="center"/>
                </w:tcPr>
                <w:p w14:paraId="4EE9B07C">
                  <w:pPr>
                    <w:widowControl/>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10000-50000</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4458024">
                  <w:pPr>
                    <w:widowControl/>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0.05%</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0A84CF3">
                  <w:pPr>
                    <w:widowControl/>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0.05%</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188AA4FF">
                  <w:pPr>
                    <w:widowControl/>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0.05%</w:t>
                  </w:r>
                </w:p>
              </w:tc>
            </w:tr>
          </w:tbl>
          <w:p w14:paraId="79F08535">
            <w:pPr>
              <w:pStyle w:val="30"/>
              <w:widowControl w:val="0"/>
              <w:spacing w:before="0" w:beforeAutospacing="0" w:after="0" w:afterAutospacing="0" w:line="360" w:lineRule="auto"/>
              <w:jc w:val="both"/>
              <w:rPr>
                <w:rFonts w:hint="eastAsia" w:ascii="宋体" w:hAnsi="宋体" w:eastAsia="宋体" w:cs="宋体"/>
                <w:b/>
                <w:bCs w:val="0"/>
                <w:kern w:val="2"/>
                <w:sz w:val="24"/>
                <w:szCs w:val="24"/>
                <w:highlight w:val="none"/>
                <w:lang w:val="en-US" w:eastAsia="zh-CN" w:bidi="ar-SA"/>
              </w:rPr>
            </w:pPr>
          </w:p>
        </w:tc>
      </w:tr>
      <w:tr w14:paraId="13E3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5611A53B">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highlight w:val="none"/>
              </w:rPr>
            </w:pPr>
            <w:r>
              <w:rPr>
                <w:rFonts w:hint="eastAsia" w:ascii="宋体" w:hAnsi="宋体" w:eastAsia="宋体" w:cs="宋体"/>
                <w:bCs/>
                <w:kern w:val="2"/>
                <w:highlight w:val="none"/>
              </w:rPr>
              <w:t>36.4</w:t>
            </w:r>
          </w:p>
        </w:tc>
        <w:tc>
          <w:tcPr>
            <w:tcW w:w="1106" w:type="pct"/>
            <w:vAlign w:val="center"/>
          </w:tcPr>
          <w:p w14:paraId="193FFEFF">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质疑函递交方式、接收部门、联系电话和通讯地址</w:t>
            </w:r>
          </w:p>
        </w:tc>
        <w:tc>
          <w:tcPr>
            <w:tcW w:w="3319" w:type="pct"/>
            <w:vAlign w:val="center"/>
          </w:tcPr>
          <w:p w14:paraId="2C6A702A">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递交方式（任选其一）：</w:t>
            </w:r>
          </w:p>
          <w:p w14:paraId="5B6C5C21">
            <w:pPr>
              <w:pStyle w:val="30"/>
              <w:widowControl w:val="0"/>
              <w:spacing w:before="0" w:beforeAutospacing="0" w:after="0" w:afterAutospacing="0" w:line="360" w:lineRule="auto"/>
              <w:jc w:val="both"/>
              <w:rPr>
                <w:rFonts w:hint="eastAsia" w:ascii="宋体" w:hAnsi="宋体" w:eastAsia="宋体" w:cs="宋体"/>
                <w:b w:val="0"/>
                <w:sz w:val="24"/>
                <w:highlight w:val="none"/>
                <w:u w:val="single"/>
              </w:rPr>
            </w:pPr>
            <w:r>
              <w:rPr>
                <w:rFonts w:hint="eastAsia" w:ascii="宋体" w:hAnsi="宋体" w:eastAsia="宋体" w:cs="宋体"/>
                <w:b w:val="0"/>
                <w:sz w:val="24"/>
                <w:highlight w:val="none"/>
              </w:rPr>
              <w:t>（1）</w:t>
            </w:r>
            <w:r>
              <w:rPr>
                <w:rFonts w:hint="eastAsia" w:ascii="宋体" w:hAnsi="宋体" w:eastAsia="宋体" w:cs="宋体"/>
                <w:b w:val="0"/>
                <w:sz w:val="24"/>
                <w:highlight w:val="none"/>
                <w:u w:val="single"/>
              </w:rPr>
              <w:t>书面形式递交</w:t>
            </w:r>
          </w:p>
          <w:p w14:paraId="1BA02A46">
            <w:pPr>
              <w:pStyle w:val="30"/>
              <w:widowControl w:val="0"/>
              <w:spacing w:before="0" w:beforeAutospacing="0" w:after="0" w:afterAutospacing="0" w:line="360" w:lineRule="auto"/>
              <w:jc w:val="both"/>
              <w:rPr>
                <w:rFonts w:hint="eastAsia" w:ascii="宋体" w:hAnsi="宋体" w:eastAsia="宋体" w:cs="宋体"/>
                <w:b w:val="0"/>
                <w:sz w:val="24"/>
                <w:highlight w:val="none"/>
                <w:u w:val="single"/>
              </w:rPr>
            </w:pPr>
            <w:r>
              <w:rPr>
                <w:rFonts w:hint="eastAsia" w:ascii="宋体" w:hAnsi="宋体" w:eastAsia="宋体" w:cs="宋体"/>
                <w:b w:val="0"/>
                <w:sz w:val="24"/>
                <w:highlight w:val="none"/>
              </w:rPr>
              <w:t>（2）</w:t>
            </w:r>
            <w:r>
              <w:rPr>
                <w:rFonts w:hint="eastAsia" w:ascii="宋体" w:hAnsi="宋体" w:eastAsia="宋体" w:cs="宋体"/>
                <w:b w:val="0"/>
                <w:sz w:val="24"/>
                <w:highlight w:val="none"/>
                <w:u w:val="single"/>
              </w:rPr>
              <w:t>通过</w:t>
            </w:r>
            <w:r>
              <w:rPr>
                <w:rFonts w:hint="eastAsia" w:ascii="宋体" w:hAnsi="宋体" w:eastAsia="宋体" w:cs="宋体"/>
                <w:b w:val="0"/>
                <w:sz w:val="24"/>
                <w:szCs w:val="24"/>
                <w:highlight w:val="none"/>
                <w:u w:val="single"/>
              </w:rPr>
              <w:t>电子邮箱递交</w:t>
            </w:r>
          </w:p>
          <w:p w14:paraId="3D2450E2">
            <w:pPr>
              <w:pStyle w:val="30"/>
              <w:widowControl w:val="0"/>
              <w:spacing w:before="0" w:beforeAutospacing="0" w:after="0" w:afterAutospacing="0" w:line="276" w:lineRule="auto"/>
              <w:jc w:val="both"/>
              <w:rPr>
                <w:rFonts w:hint="eastAsia" w:ascii="宋体" w:hAnsi="宋体" w:eastAsia="宋体" w:cs="宋体"/>
                <w:b w:val="0"/>
                <w:bCs w:val="0"/>
                <w:sz w:val="24"/>
                <w:szCs w:val="24"/>
                <w:highlight w:val="none"/>
              </w:rPr>
            </w:pPr>
            <w:r>
              <w:rPr>
                <w:rFonts w:hint="eastAsia" w:ascii="宋体" w:hAnsi="宋体" w:eastAsia="宋体" w:cs="宋体"/>
                <w:b w:val="0"/>
                <w:sz w:val="24"/>
                <w:szCs w:val="24"/>
                <w:highlight w:val="none"/>
              </w:rPr>
              <w:t>接收部门：</w:t>
            </w:r>
            <w:r>
              <w:rPr>
                <w:rFonts w:hint="eastAsia" w:ascii="宋体" w:hAnsi="宋体" w:eastAsia="宋体" w:cs="宋体"/>
                <w:b w:val="0"/>
                <w:bCs w:val="0"/>
                <w:sz w:val="24"/>
                <w:szCs w:val="24"/>
                <w:highlight w:val="none"/>
                <w:u w:val="single"/>
              </w:rPr>
              <w:t>北京市建壮咨询有限公司</w:t>
            </w:r>
          </w:p>
          <w:p w14:paraId="6E8BBF5A">
            <w:pPr>
              <w:pStyle w:val="30"/>
              <w:widowControl w:val="0"/>
              <w:spacing w:before="0" w:beforeAutospacing="0" w:after="0" w:afterAutospacing="0" w:line="276" w:lineRule="auto"/>
              <w:jc w:val="both"/>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联系电话：</w:t>
            </w:r>
            <w:r>
              <w:rPr>
                <w:rFonts w:hint="eastAsia" w:ascii="宋体" w:hAnsi="宋体" w:eastAsia="宋体" w:cs="宋体"/>
                <w:b w:val="0"/>
                <w:bCs w:val="0"/>
                <w:sz w:val="24"/>
                <w:szCs w:val="24"/>
                <w:highlight w:val="none"/>
                <w:u w:val="single"/>
              </w:rPr>
              <w:t>0551-63535715</w:t>
            </w:r>
          </w:p>
          <w:p w14:paraId="32CE2201">
            <w:pPr>
              <w:pStyle w:val="30"/>
              <w:widowControl w:val="0"/>
              <w:spacing w:before="0" w:beforeAutospacing="0" w:after="0" w:afterAutospacing="0" w:line="276" w:lineRule="auto"/>
              <w:jc w:val="both"/>
              <w:rPr>
                <w:rFonts w:hint="eastAsia" w:ascii="宋体" w:hAnsi="宋体" w:eastAsia="宋体" w:cs="宋体"/>
                <w:b w:val="0"/>
                <w:bCs w:val="0"/>
                <w:sz w:val="24"/>
                <w:szCs w:val="24"/>
                <w:highlight w:val="none"/>
                <w:u w:val="single"/>
              </w:rPr>
            </w:pPr>
            <w:r>
              <w:rPr>
                <w:rFonts w:hint="eastAsia" w:ascii="宋体" w:hAnsi="宋体" w:eastAsia="宋体" w:cs="宋体"/>
                <w:b w:val="0"/>
                <w:bCs w:val="0"/>
                <w:sz w:val="24"/>
                <w:szCs w:val="24"/>
                <w:highlight w:val="none"/>
              </w:rPr>
              <w:t>通讯地址：</w:t>
            </w:r>
            <w:r>
              <w:rPr>
                <w:rFonts w:hint="eastAsia" w:ascii="宋体" w:hAnsi="宋体" w:eastAsia="宋体" w:cs="宋体"/>
                <w:b w:val="0"/>
                <w:bCs w:val="0"/>
                <w:sz w:val="24"/>
                <w:szCs w:val="24"/>
                <w:highlight w:val="none"/>
                <w:u w:val="single"/>
              </w:rPr>
              <w:t>安徽省合肥市高新区红枫路7号富邻广场A座15楼</w:t>
            </w:r>
          </w:p>
          <w:p w14:paraId="5B2F4A7B">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bCs w:val="0"/>
                <w:sz w:val="24"/>
                <w:szCs w:val="24"/>
                <w:highlight w:val="none"/>
              </w:rPr>
              <w:t>电子邮箱：</w:t>
            </w:r>
            <w:r>
              <w:rPr>
                <w:rFonts w:hint="eastAsia" w:ascii="宋体" w:hAnsi="宋体" w:eastAsia="宋体" w:cs="宋体"/>
                <w:b w:val="0"/>
                <w:bCs w:val="0"/>
                <w:sz w:val="24"/>
                <w:highlight w:val="none"/>
                <w:u w:val="single"/>
              </w:rPr>
              <w:t>3653610893@qq.com</w:t>
            </w:r>
          </w:p>
        </w:tc>
      </w:tr>
      <w:tr w14:paraId="47F0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53168487">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highlight w:val="none"/>
              </w:rPr>
            </w:pPr>
            <w:r>
              <w:rPr>
                <w:rFonts w:hint="eastAsia" w:ascii="宋体" w:hAnsi="宋体" w:eastAsia="宋体" w:cs="宋体"/>
                <w:bCs/>
                <w:kern w:val="2"/>
                <w:highlight w:val="none"/>
              </w:rPr>
              <w:t>37</w:t>
            </w:r>
          </w:p>
        </w:tc>
        <w:tc>
          <w:tcPr>
            <w:tcW w:w="1106" w:type="pct"/>
            <w:vAlign w:val="center"/>
          </w:tcPr>
          <w:p w14:paraId="3FB1FB3E">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其他内容</w:t>
            </w:r>
          </w:p>
        </w:tc>
        <w:tc>
          <w:tcPr>
            <w:tcW w:w="3319" w:type="pct"/>
            <w:vAlign w:val="center"/>
          </w:tcPr>
          <w:p w14:paraId="7B69FFF8">
            <w:pPr>
              <w:pStyle w:val="30"/>
              <w:widowControl w:val="0"/>
              <w:spacing w:before="0" w:beforeAutospacing="0" w:after="0" w:afterAutospacing="0" w:line="240" w:lineRule="auto"/>
              <w:jc w:val="both"/>
              <w:rPr>
                <w:rFonts w:hint="eastAsia" w:ascii="宋体" w:hAnsi="宋体" w:eastAsia="宋体" w:cs="宋体"/>
                <w:b w:val="0"/>
                <w:sz w:val="24"/>
                <w:highlight w:val="none"/>
                <w:lang w:eastAsia="zh-CN"/>
              </w:rPr>
            </w:pPr>
          </w:p>
        </w:tc>
      </w:tr>
      <w:tr w14:paraId="0EEB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7CA6C5C3">
            <w:pPr>
              <w:pStyle w:val="30"/>
              <w:widowControl w:val="0"/>
              <w:spacing w:before="0" w:beforeAutospacing="0" w:after="0" w:afterAutospacing="0" w:line="360" w:lineRule="auto"/>
              <w:rPr>
                <w:rFonts w:hint="eastAsia" w:ascii="宋体" w:hAnsi="宋体" w:eastAsia="宋体" w:cs="宋体"/>
                <w:b w:val="0"/>
                <w:sz w:val="24"/>
                <w:highlight w:val="none"/>
              </w:rPr>
            </w:pPr>
            <w:r>
              <w:rPr>
                <w:rFonts w:hint="eastAsia" w:ascii="宋体" w:hAnsi="宋体" w:eastAsia="宋体" w:cs="宋体"/>
                <w:b w:val="0"/>
                <w:sz w:val="24"/>
                <w:highlight w:val="none"/>
              </w:rPr>
              <w:t>37.1</w:t>
            </w:r>
          </w:p>
        </w:tc>
        <w:tc>
          <w:tcPr>
            <w:tcW w:w="1106" w:type="pct"/>
            <w:vAlign w:val="center"/>
          </w:tcPr>
          <w:p w14:paraId="17266995">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关于联合体投标的相关约定</w:t>
            </w:r>
          </w:p>
        </w:tc>
        <w:tc>
          <w:tcPr>
            <w:tcW w:w="3319" w:type="pct"/>
            <w:vAlign w:val="center"/>
          </w:tcPr>
          <w:p w14:paraId="21233E79">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szCs w:val="24"/>
                <w:highlight w:val="none"/>
              </w:rPr>
              <w:t>本项目不接受联合体投标</w:t>
            </w:r>
          </w:p>
        </w:tc>
      </w:tr>
      <w:tr w14:paraId="060A7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42686D27">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highlight w:val="none"/>
              </w:rPr>
            </w:pPr>
            <w:r>
              <w:rPr>
                <w:rFonts w:hint="eastAsia" w:ascii="宋体" w:hAnsi="宋体" w:eastAsia="宋体" w:cs="宋体"/>
                <w:bCs/>
                <w:kern w:val="2"/>
                <w:highlight w:val="none"/>
              </w:rPr>
              <w:t>37.2</w:t>
            </w:r>
          </w:p>
        </w:tc>
        <w:tc>
          <w:tcPr>
            <w:tcW w:w="1106" w:type="pct"/>
            <w:vAlign w:val="center"/>
          </w:tcPr>
          <w:p w14:paraId="6ED68D4C">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社保证明材料</w:t>
            </w:r>
          </w:p>
        </w:tc>
        <w:tc>
          <w:tcPr>
            <w:tcW w:w="3319" w:type="pct"/>
            <w:vAlign w:val="center"/>
          </w:tcPr>
          <w:p w14:paraId="694CC62D">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本项目招标文件中要求提供的社保证明材料为下述形式之一（投标文件中须提供扫描件）：</w:t>
            </w:r>
          </w:p>
          <w:p w14:paraId="24A94CCD">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（1）社保局官方网站查询的缴费记录截图；</w:t>
            </w:r>
          </w:p>
          <w:p w14:paraId="1E20BC2F">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（2）社保局的书面证明材料；</w:t>
            </w:r>
          </w:p>
          <w:p w14:paraId="10A4D5D1">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（3）经投标人委托的第三方人力资源服务机构或与投标人有直接隶属关系的机构可以代缴社保，但须提供有关证明材料并经评标委员会确认。</w:t>
            </w:r>
          </w:p>
          <w:p w14:paraId="0893909A">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（4）参与投标的院校，社保证明可以用以下任意一种：</w:t>
            </w:r>
          </w:p>
          <w:p w14:paraId="4F80DB99">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①加盖投标人公章的教师证（须为本单位人员）；</w:t>
            </w:r>
          </w:p>
          <w:p w14:paraId="6D9471EC">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②医保证明材料。</w:t>
            </w:r>
          </w:p>
          <w:p w14:paraId="0C6C715F">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（5）其他经评标委员会认可的证明材料。</w:t>
            </w:r>
          </w:p>
          <w:p w14:paraId="43369BD3">
            <w:pPr>
              <w:pStyle w:val="30"/>
              <w:widowControl w:val="0"/>
              <w:spacing w:before="0" w:beforeAutospacing="0" w:after="0" w:afterAutospacing="0" w:line="360" w:lineRule="auto"/>
              <w:jc w:val="both"/>
              <w:rPr>
                <w:rFonts w:hint="eastAsia" w:ascii="宋体" w:hAnsi="宋体" w:eastAsia="宋体" w:cs="宋体"/>
                <w:b w:val="0"/>
                <w:iCs/>
                <w:sz w:val="24"/>
                <w:highlight w:val="none"/>
              </w:rPr>
            </w:pPr>
            <w:r>
              <w:rPr>
                <w:rFonts w:hint="eastAsia" w:ascii="宋体" w:hAnsi="宋体" w:eastAsia="宋体" w:cs="宋体"/>
                <w:b w:val="0"/>
                <w:iCs/>
                <w:sz w:val="24"/>
                <w:highlight w:val="none"/>
              </w:rPr>
              <w:t>（6）法定代表人参与项目的，无需提供社保证明材料，提供身份证明材料即可。</w:t>
            </w:r>
          </w:p>
        </w:tc>
      </w:tr>
      <w:tr w14:paraId="0C18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392E07C1">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highlight w:val="none"/>
              </w:rPr>
            </w:pPr>
            <w:r>
              <w:rPr>
                <w:rFonts w:hint="eastAsia" w:ascii="宋体" w:hAnsi="宋体" w:eastAsia="宋体" w:cs="宋体"/>
                <w:bCs/>
                <w:kern w:val="2"/>
                <w:highlight w:val="none"/>
              </w:rPr>
              <w:t>37.3</w:t>
            </w:r>
          </w:p>
        </w:tc>
        <w:tc>
          <w:tcPr>
            <w:tcW w:w="1106" w:type="pct"/>
            <w:vAlign w:val="center"/>
          </w:tcPr>
          <w:p w14:paraId="5909490F">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本项目提供的其他资料</w:t>
            </w:r>
          </w:p>
        </w:tc>
        <w:tc>
          <w:tcPr>
            <w:tcW w:w="3319" w:type="pct"/>
            <w:vAlign w:val="center"/>
          </w:tcPr>
          <w:p w14:paraId="03FA518B">
            <w:pPr>
              <w:spacing w:line="500" w:lineRule="exact"/>
              <w:rPr>
                <w:rFonts w:hint="eastAsia" w:ascii="宋体" w:hAnsi="宋体" w:eastAsia="宋体" w:cs="宋体"/>
                <w:sz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sz w:val="24"/>
                <w:highlight w:val="none"/>
              </w:rPr>
              <w:t>无   □图纸   □光盘   □</w:t>
            </w:r>
            <w:r>
              <w:rPr>
                <w:rFonts w:hint="eastAsia" w:ascii="宋体" w:hAnsi="宋体" w:eastAsia="宋体" w:cs="宋体"/>
                <w:sz w:val="24"/>
                <w:highlight w:val="none"/>
                <w:u w:val="single"/>
              </w:rPr>
              <w:t xml:space="preserve">   </w:t>
            </w:r>
          </w:p>
        </w:tc>
      </w:tr>
      <w:tr w14:paraId="060C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6E5599E3">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highlight w:val="none"/>
              </w:rPr>
            </w:pPr>
            <w:r>
              <w:rPr>
                <w:rFonts w:hint="eastAsia" w:ascii="宋体" w:hAnsi="宋体" w:eastAsia="宋体" w:cs="宋体"/>
                <w:bCs/>
                <w:kern w:val="2"/>
                <w:highlight w:val="none"/>
              </w:rPr>
              <w:t>37.4</w:t>
            </w:r>
          </w:p>
        </w:tc>
        <w:tc>
          <w:tcPr>
            <w:tcW w:w="1106" w:type="pct"/>
            <w:vAlign w:val="center"/>
          </w:tcPr>
          <w:p w14:paraId="712CE6CC">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重要提示</w:t>
            </w:r>
          </w:p>
        </w:tc>
        <w:tc>
          <w:tcPr>
            <w:tcW w:w="3319" w:type="pct"/>
            <w:vAlign w:val="center"/>
          </w:tcPr>
          <w:p w14:paraId="6FA8099B">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（1）中标人应在规定期限内与</w:t>
            </w:r>
            <w:r>
              <w:rPr>
                <w:rFonts w:hint="eastAsia" w:ascii="宋体" w:hAnsi="宋体" w:eastAsia="宋体" w:cs="宋体"/>
                <w:bCs/>
                <w:sz w:val="24"/>
                <w:szCs w:val="24"/>
                <w:highlight w:val="none"/>
                <w:lang w:eastAsia="zh-CN"/>
              </w:rPr>
              <w:t>招标人</w:t>
            </w:r>
            <w:r>
              <w:rPr>
                <w:rFonts w:hint="eastAsia" w:ascii="宋体" w:hAnsi="宋体" w:eastAsia="宋体" w:cs="宋体"/>
                <w:bCs/>
                <w:sz w:val="24"/>
                <w:szCs w:val="24"/>
                <w:highlight w:val="none"/>
              </w:rPr>
              <w:t>签订合同，若中标人未能在规定期限内签订合同，</w:t>
            </w:r>
            <w:r>
              <w:rPr>
                <w:rFonts w:hint="eastAsia" w:ascii="宋体" w:hAnsi="宋体" w:eastAsia="宋体" w:cs="宋体"/>
                <w:bCs/>
                <w:sz w:val="24"/>
                <w:szCs w:val="24"/>
                <w:highlight w:val="none"/>
                <w:lang w:eastAsia="zh-CN"/>
              </w:rPr>
              <w:t>招标人</w:t>
            </w:r>
            <w:r>
              <w:rPr>
                <w:rFonts w:hint="eastAsia" w:ascii="宋体" w:hAnsi="宋体" w:eastAsia="宋体" w:cs="宋体"/>
                <w:bCs/>
                <w:sz w:val="24"/>
                <w:szCs w:val="24"/>
                <w:highlight w:val="none"/>
              </w:rPr>
              <w:t>有权取消中标人中标资格，并将相关违约行为报送监管部门，实施信用惩戒；</w:t>
            </w:r>
          </w:p>
          <w:p w14:paraId="00D5DCF8">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（2）合同签订后，中标人存在规定时间内不组织人员进场开工，不履行供货、安装或服务义务等情况，</w:t>
            </w:r>
            <w:r>
              <w:rPr>
                <w:rFonts w:hint="eastAsia" w:ascii="宋体" w:hAnsi="宋体" w:eastAsia="宋体" w:cs="宋体"/>
                <w:bCs/>
                <w:sz w:val="24"/>
                <w:szCs w:val="24"/>
                <w:highlight w:val="none"/>
                <w:lang w:eastAsia="zh-CN"/>
              </w:rPr>
              <w:t>招标人</w:t>
            </w:r>
            <w:r>
              <w:rPr>
                <w:rFonts w:hint="eastAsia" w:ascii="宋体" w:hAnsi="宋体" w:eastAsia="宋体" w:cs="宋体"/>
                <w:bCs/>
                <w:sz w:val="24"/>
                <w:szCs w:val="24"/>
                <w:highlight w:val="none"/>
              </w:rPr>
              <w:t>有权解除合同，并追究违约责任，同时将相关违约行为报送监管部门，记不良行为记录，实施信用惩戒；</w:t>
            </w:r>
          </w:p>
          <w:p w14:paraId="23160BE5">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（3）中标人中标后被监管部门查实存在违法行为，不满足中标条件的，由</w:t>
            </w:r>
            <w:r>
              <w:rPr>
                <w:rFonts w:hint="eastAsia" w:ascii="宋体" w:hAnsi="宋体" w:eastAsia="宋体" w:cs="宋体"/>
                <w:bCs/>
                <w:sz w:val="24"/>
                <w:szCs w:val="24"/>
                <w:highlight w:val="none"/>
                <w:lang w:eastAsia="zh-CN"/>
              </w:rPr>
              <w:t>招标人</w:t>
            </w:r>
            <w:r>
              <w:rPr>
                <w:rFonts w:hint="eastAsia" w:ascii="宋体" w:hAnsi="宋体" w:eastAsia="宋体" w:cs="宋体"/>
                <w:bCs/>
                <w:sz w:val="24"/>
                <w:szCs w:val="24"/>
                <w:highlight w:val="none"/>
              </w:rPr>
              <w:t>取消中标资格，并做好项目后续工作；</w:t>
            </w:r>
          </w:p>
          <w:p w14:paraId="1DDE5193">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（4）中标人在中标项目发生投诉、信访举报案件、履约存在争议时，拒绝协助配合执法部门调查案件的，</w:t>
            </w:r>
            <w:r>
              <w:rPr>
                <w:rFonts w:hint="eastAsia" w:ascii="宋体" w:hAnsi="宋体" w:eastAsia="宋体" w:cs="宋体"/>
                <w:bCs/>
                <w:sz w:val="24"/>
                <w:szCs w:val="24"/>
                <w:highlight w:val="none"/>
                <w:lang w:eastAsia="zh-CN"/>
              </w:rPr>
              <w:t>招标人</w:t>
            </w:r>
            <w:r>
              <w:rPr>
                <w:rFonts w:hint="eastAsia" w:ascii="宋体" w:hAnsi="宋体" w:eastAsia="宋体" w:cs="宋体"/>
                <w:bCs/>
                <w:sz w:val="24"/>
                <w:szCs w:val="24"/>
                <w:highlight w:val="none"/>
              </w:rPr>
              <w:t>可以取消其中标资格或解除合同，并追究其违约责任。</w:t>
            </w:r>
          </w:p>
        </w:tc>
      </w:tr>
      <w:tr w14:paraId="21C8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1" w:hRule="atLeast"/>
          <w:jc w:val="center"/>
        </w:trPr>
        <w:tc>
          <w:tcPr>
            <w:tcW w:w="574" w:type="pct"/>
            <w:vAlign w:val="center"/>
          </w:tcPr>
          <w:p w14:paraId="5B520452">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highlight w:val="none"/>
              </w:rPr>
            </w:pPr>
            <w:r>
              <w:rPr>
                <w:rFonts w:hint="eastAsia" w:ascii="宋体" w:hAnsi="宋体" w:eastAsia="宋体" w:cs="宋体"/>
                <w:bCs/>
                <w:kern w:val="2"/>
                <w:highlight w:val="none"/>
              </w:rPr>
              <w:t>37.5</w:t>
            </w:r>
          </w:p>
        </w:tc>
        <w:tc>
          <w:tcPr>
            <w:tcW w:w="1106" w:type="pct"/>
            <w:vAlign w:val="center"/>
          </w:tcPr>
          <w:p w14:paraId="0F1CB1D9">
            <w:pPr>
              <w:pStyle w:val="30"/>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解释权</w:t>
            </w:r>
          </w:p>
        </w:tc>
        <w:tc>
          <w:tcPr>
            <w:tcW w:w="3319" w:type="pct"/>
            <w:vAlign w:val="center"/>
          </w:tcPr>
          <w:p w14:paraId="10837E1D">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（1）构成本招标文件的各个组成文件应互为解释，互为说明；</w:t>
            </w:r>
          </w:p>
          <w:p w14:paraId="7ADFAB94">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（2）同一组成文件中就同一事项的规定或约定不一致的，以编排顺序在后者为准；</w:t>
            </w:r>
          </w:p>
          <w:p w14:paraId="6E25FA4E">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（3）如有不明确或不一致，构成合同文件组成内容的，以合同文件约定内容为准，且以专用合同条款约定的合同文件优先顺序解释；</w:t>
            </w:r>
          </w:p>
          <w:p w14:paraId="3549044C">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（4）除招标文件中有特别规定外，仅适用于招标投标阶段的规定，按招标公告、投标邀请、投标人须知、评标方法和标准、投标文件格式的先后顺序解释；</w:t>
            </w:r>
          </w:p>
          <w:p w14:paraId="5AAF4F5A">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（5）按本款前述规定仍不能形成结论的，由</w:t>
            </w:r>
            <w:r>
              <w:rPr>
                <w:rFonts w:hint="eastAsia" w:ascii="宋体" w:hAnsi="宋体" w:eastAsia="宋体" w:cs="宋体"/>
                <w:bCs/>
                <w:sz w:val="24"/>
                <w:szCs w:val="24"/>
                <w:highlight w:val="none"/>
                <w:lang w:eastAsia="zh-CN"/>
              </w:rPr>
              <w:t>招标人</w:t>
            </w:r>
            <w:r>
              <w:rPr>
                <w:rFonts w:hint="eastAsia" w:ascii="宋体" w:hAnsi="宋体" w:eastAsia="宋体" w:cs="宋体"/>
                <w:bCs/>
                <w:sz w:val="24"/>
                <w:szCs w:val="24"/>
                <w:highlight w:val="none"/>
              </w:rPr>
              <w:t>负责解释。</w:t>
            </w:r>
          </w:p>
        </w:tc>
      </w:tr>
    </w:tbl>
    <w:p w14:paraId="2BE0C83D">
      <w:pPr>
        <w:spacing w:line="360" w:lineRule="auto"/>
        <w:jc w:val="center"/>
        <w:outlineLvl w:val="1"/>
        <w:rPr>
          <w:rFonts w:hint="eastAsia" w:ascii="宋体" w:hAnsi="宋体" w:eastAsia="宋体" w:cs="宋体"/>
          <w:b/>
          <w:sz w:val="24"/>
          <w:highlight w:val="none"/>
        </w:rPr>
      </w:pPr>
      <w:r>
        <w:rPr>
          <w:rFonts w:hint="eastAsia" w:ascii="宋体" w:hAnsi="宋体" w:eastAsia="宋体" w:cs="宋体"/>
          <w:b/>
          <w:sz w:val="28"/>
          <w:highlight w:val="none"/>
        </w:rPr>
        <w:br w:type="page"/>
      </w:r>
      <w:r>
        <w:rPr>
          <w:rFonts w:hint="eastAsia" w:ascii="宋体" w:hAnsi="宋体" w:eastAsia="宋体" w:cs="宋体"/>
          <w:b/>
          <w:sz w:val="24"/>
          <w:highlight w:val="none"/>
        </w:rPr>
        <w:t>二、投标人须知正文</w:t>
      </w:r>
    </w:p>
    <w:p w14:paraId="7FEF1BC7">
      <w:pPr>
        <w:spacing w:line="360" w:lineRule="auto"/>
        <w:ind w:firstLine="437"/>
        <w:outlineLvl w:val="2"/>
        <w:rPr>
          <w:rFonts w:hint="eastAsia" w:ascii="宋体" w:hAnsi="宋体" w:eastAsia="宋体" w:cs="宋体"/>
          <w:b/>
          <w:sz w:val="24"/>
          <w:highlight w:val="none"/>
        </w:rPr>
      </w:pPr>
      <w:r>
        <w:rPr>
          <w:rFonts w:hint="eastAsia" w:ascii="宋体" w:hAnsi="宋体" w:eastAsia="宋体" w:cs="宋体"/>
          <w:b/>
          <w:sz w:val="24"/>
          <w:highlight w:val="none"/>
        </w:rPr>
        <w:t>1.适用范围</w:t>
      </w:r>
    </w:p>
    <w:p w14:paraId="0CE9E95D">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1.1本招标文件仅适用于本次公开招标所述的货物项目采购。</w:t>
      </w:r>
    </w:p>
    <w:p w14:paraId="3A4E2507">
      <w:pPr>
        <w:spacing w:line="360" w:lineRule="auto"/>
        <w:ind w:firstLine="437"/>
        <w:outlineLvl w:val="2"/>
        <w:rPr>
          <w:rFonts w:hint="eastAsia" w:ascii="宋体" w:hAnsi="宋体" w:eastAsia="宋体" w:cs="宋体"/>
          <w:b/>
          <w:sz w:val="24"/>
          <w:highlight w:val="none"/>
        </w:rPr>
      </w:pPr>
      <w:r>
        <w:rPr>
          <w:rFonts w:hint="eastAsia" w:ascii="宋体" w:hAnsi="宋体" w:eastAsia="宋体" w:cs="宋体"/>
          <w:b/>
          <w:sz w:val="24"/>
          <w:highlight w:val="none"/>
        </w:rPr>
        <w:t>2.定义</w:t>
      </w:r>
    </w:p>
    <w:p w14:paraId="33F2B93F">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2.1货物：是指各种形态和种类的物品，包括原材料、燃料、设备、产品等。</w:t>
      </w:r>
    </w:p>
    <w:p w14:paraId="37BAE859">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2.2时限（年份、月份等）计算：系指从开标之日向前追溯X年/月（“X”为“一”及以后整数）起算。</w:t>
      </w:r>
    </w:p>
    <w:p w14:paraId="2DB3E99D">
      <w:pPr>
        <w:spacing w:line="360" w:lineRule="auto"/>
        <w:ind w:firstLine="437"/>
        <w:outlineLvl w:val="2"/>
        <w:rPr>
          <w:rFonts w:hint="eastAsia" w:ascii="宋体" w:hAnsi="宋体" w:eastAsia="宋体" w:cs="宋体"/>
          <w:b/>
          <w:sz w:val="24"/>
          <w:highlight w:val="none"/>
        </w:rPr>
      </w:pPr>
      <w:r>
        <w:rPr>
          <w:rFonts w:hint="eastAsia" w:ascii="宋体" w:hAnsi="宋体" w:eastAsia="宋体" w:cs="宋体"/>
          <w:b/>
          <w:sz w:val="24"/>
          <w:highlight w:val="none"/>
        </w:rPr>
        <w:t>3.</w:t>
      </w:r>
      <w:r>
        <w:rPr>
          <w:rFonts w:hint="eastAsia" w:ascii="宋体" w:hAnsi="宋体" w:eastAsia="宋体" w:cs="宋体"/>
          <w:b/>
          <w:sz w:val="24"/>
          <w:highlight w:val="none"/>
          <w:lang w:eastAsia="zh-CN"/>
        </w:rPr>
        <w:t>招标人</w:t>
      </w:r>
      <w:r>
        <w:rPr>
          <w:rFonts w:hint="eastAsia" w:ascii="宋体" w:hAnsi="宋体" w:eastAsia="宋体" w:cs="宋体"/>
          <w:b/>
          <w:sz w:val="24"/>
          <w:highlight w:val="none"/>
        </w:rPr>
        <w:t>、</w:t>
      </w:r>
      <w:r>
        <w:rPr>
          <w:rFonts w:hint="eastAsia" w:ascii="宋体" w:hAnsi="宋体" w:eastAsia="宋体" w:cs="宋体"/>
          <w:b/>
          <w:sz w:val="24"/>
          <w:highlight w:val="none"/>
          <w:lang w:val="en-US" w:eastAsia="zh-CN"/>
        </w:rPr>
        <w:t>招标</w:t>
      </w:r>
      <w:r>
        <w:rPr>
          <w:rFonts w:hint="eastAsia" w:ascii="宋体" w:hAnsi="宋体" w:eastAsia="宋体" w:cs="宋体"/>
          <w:b/>
          <w:sz w:val="24"/>
          <w:highlight w:val="none"/>
        </w:rPr>
        <w:t>代理机构及投标人</w:t>
      </w:r>
    </w:p>
    <w:p w14:paraId="531B0C39">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3.1</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：是指依法开展政府采购活动的国家机关、事业单位、团体组织。本项目的</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见</w:t>
      </w:r>
      <w:r>
        <w:rPr>
          <w:rFonts w:hint="eastAsia" w:ascii="宋体" w:hAnsi="宋体" w:eastAsia="宋体" w:cs="宋体"/>
          <w:sz w:val="24"/>
          <w:highlight w:val="none"/>
          <w:u w:val="single"/>
        </w:rPr>
        <w:t>投标人须知前附表</w:t>
      </w:r>
      <w:r>
        <w:rPr>
          <w:rFonts w:hint="eastAsia" w:ascii="宋体" w:hAnsi="宋体" w:eastAsia="宋体" w:cs="宋体"/>
          <w:sz w:val="24"/>
          <w:highlight w:val="none"/>
        </w:rPr>
        <w:t>。</w:t>
      </w:r>
    </w:p>
    <w:p w14:paraId="58E31202">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3.2</w:t>
      </w:r>
      <w:r>
        <w:rPr>
          <w:rFonts w:hint="eastAsia" w:ascii="宋体" w:hAnsi="宋体" w:eastAsia="宋体" w:cs="宋体"/>
          <w:sz w:val="24"/>
          <w:highlight w:val="none"/>
          <w:lang w:eastAsia="zh-CN"/>
        </w:rPr>
        <w:t>招标代理</w:t>
      </w:r>
      <w:r>
        <w:rPr>
          <w:rFonts w:hint="eastAsia" w:ascii="宋体" w:hAnsi="宋体" w:eastAsia="宋体" w:cs="宋体"/>
          <w:sz w:val="24"/>
          <w:highlight w:val="none"/>
        </w:rPr>
        <w:t>机构：是指集中采购机构或从事</w:t>
      </w:r>
      <w:r>
        <w:rPr>
          <w:rFonts w:hint="eastAsia" w:ascii="宋体" w:hAnsi="宋体" w:eastAsia="宋体" w:cs="宋体"/>
          <w:sz w:val="24"/>
          <w:highlight w:val="none"/>
          <w:lang w:eastAsia="zh-CN"/>
        </w:rPr>
        <w:t>招标代理</w:t>
      </w:r>
      <w:r>
        <w:rPr>
          <w:rFonts w:hint="eastAsia" w:ascii="宋体" w:hAnsi="宋体" w:eastAsia="宋体" w:cs="宋体"/>
          <w:sz w:val="24"/>
          <w:highlight w:val="none"/>
        </w:rPr>
        <w:t>业务的社会中介机构。本项目的</w:t>
      </w:r>
      <w:r>
        <w:rPr>
          <w:rFonts w:hint="eastAsia" w:ascii="宋体" w:hAnsi="宋体" w:eastAsia="宋体" w:cs="宋体"/>
          <w:sz w:val="24"/>
          <w:highlight w:val="none"/>
          <w:lang w:eastAsia="zh-CN"/>
        </w:rPr>
        <w:t>招标代理</w:t>
      </w:r>
      <w:r>
        <w:rPr>
          <w:rFonts w:hint="eastAsia" w:ascii="宋体" w:hAnsi="宋体" w:eastAsia="宋体" w:cs="宋体"/>
          <w:sz w:val="24"/>
          <w:highlight w:val="none"/>
        </w:rPr>
        <w:t>机构见</w:t>
      </w:r>
      <w:r>
        <w:rPr>
          <w:rFonts w:hint="eastAsia" w:ascii="宋体" w:hAnsi="宋体" w:eastAsia="宋体" w:cs="宋体"/>
          <w:sz w:val="24"/>
          <w:highlight w:val="none"/>
          <w:u w:val="single"/>
        </w:rPr>
        <w:t>投标人须知前附表</w:t>
      </w:r>
      <w:r>
        <w:rPr>
          <w:rFonts w:hint="eastAsia" w:ascii="宋体" w:hAnsi="宋体" w:eastAsia="宋体" w:cs="宋体"/>
          <w:sz w:val="24"/>
          <w:highlight w:val="none"/>
        </w:rPr>
        <w:t>。</w:t>
      </w:r>
    </w:p>
    <w:p w14:paraId="5116CDD6">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3.3政府采购监督管理部门：各级人民政府指定的有关部门依法履行与政府采购活动有关的监督管理职责。本项目的政府采购监督管理部门见</w:t>
      </w:r>
      <w:r>
        <w:rPr>
          <w:rFonts w:hint="eastAsia" w:ascii="宋体" w:hAnsi="宋体" w:eastAsia="宋体" w:cs="宋体"/>
          <w:sz w:val="24"/>
          <w:highlight w:val="none"/>
          <w:u w:val="single"/>
        </w:rPr>
        <w:t>投标人须知前附表</w:t>
      </w:r>
      <w:r>
        <w:rPr>
          <w:rFonts w:hint="eastAsia" w:ascii="宋体" w:hAnsi="宋体" w:eastAsia="宋体" w:cs="宋体"/>
          <w:sz w:val="24"/>
          <w:highlight w:val="none"/>
        </w:rPr>
        <w:t>。</w:t>
      </w:r>
    </w:p>
    <w:p w14:paraId="7C42CD7B">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3.4投标人：是指向</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提供货物、工程或者服务的法人、非法人组织或者自然人。分支机构不得参加政府采购活动，但银行、保险、石油石化、电力、电信等特殊行业除外。本项目的投标人及其投标货物须满足以下条件：</w:t>
      </w:r>
    </w:p>
    <w:p w14:paraId="7ABCF622">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3.4.1在中华人民共和国境内注册，能够独立承担民事责任，有生产或供应能力的供应商。</w:t>
      </w:r>
    </w:p>
    <w:p w14:paraId="19B3C9E2">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3.4.2具备《中华人民共和国政府采购法》第二十二条关于供应商条件的规定，遵守本项目</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本级和上级财政部门政府采购的有关规定。</w:t>
      </w:r>
    </w:p>
    <w:p w14:paraId="1435751A">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3.4.3以</w:t>
      </w:r>
      <w:r>
        <w:rPr>
          <w:rFonts w:hint="eastAsia" w:ascii="宋体" w:hAnsi="宋体" w:eastAsia="宋体" w:cs="宋体"/>
          <w:sz w:val="24"/>
          <w:highlight w:val="none"/>
          <w:lang w:eastAsia="zh-CN"/>
        </w:rPr>
        <w:t>招标代理</w:t>
      </w:r>
      <w:r>
        <w:rPr>
          <w:rFonts w:hint="eastAsia" w:ascii="宋体" w:hAnsi="宋体" w:eastAsia="宋体" w:cs="宋体"/>
          <w:sz w:val="24"/>
          <w:highlight w:val="none"/>
        </w:rPr>
        <w:t>机构认可的方式获得了本项目的招标文件。</w:t>
      </w:r>
    </w:p>
    <w:p w14:paraId="68406B85">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3.4.4若</w:t>
      </w:r>
      <w:r>
        <w:rPr>
          <w:rFonts w:hint="eastAsia" w:ascii="宋体" w:hAnsi="宋体" w:eastAsia="宋体" w:cs="宋体"/>
          <w:sz w:val="24"/>
          <w:highlight w:val="none"/>
          <w:u w:val="single"/>
        </w:rPr>
        <w:t>采购需求</w:t>
      </w:r>
      <w:r>
        <w:rPr>
          <w:rFonts w:hint="eastAsia" w:ascii="宋体" w:hAnsi="宋体" w:eastAsia="宋体" w:cs="宋体"/>
          <w:sz w:val="24"/>
          <w:highlight w:val="none"/>
        </w:rPr>
        <w:t>中写明允许采购进口产品，投标人应保证所投产品可履行合法报通关手续进入中国关境内。</w:t>
      </w:r>
    </w:p>
    <w:p w14:paraId="5F9823EE">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若</w:t>
      </w:r>
      <w:r>
        <w:rPr>
          <w:rFonts w:hint="eastAsia" w:ascii="宋体" w:hAnsi="宋体" w:eastAsia="宋体" w:cs="宋体"/>
          <w:sz w:val="24"/>
          <w:highlight w:val="none"/>
          <w:u w:val="single"/>
        </w:rPr>
        <w:t>采购需求</w:t>
      </w:r>
      <w:r>
        <w:rPr>
          <w:rFonts w:hint="eastAsia" w:ascii="宋体" w:hAnsi="宋体" w:eastAsia="宋体" w:cs="宋体"/>
          <w:sz w:val="24"/>
          <w:highlight w:val="none"/>
        </w:rPr>
        <w:t>中未写明允许采购进口产品，如投标人所投产品为进口产品，其投标将被认定为</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7D835938">
      <w:pPr>
        <w:spacing w:line="360" w:lineRule="auto"/>
        <w:ind w:firstLine="435"/>
        <w:rPr>
          <w:rFonts w:hint="eastAsia" w:ascii="宋体" w:hAnsi="宋体" w:eastAsia="宋体" w:cs="宋体"/>
          <w:sz w:val="24"/>
          <w:highlight w:val="none"/>
        </w:rPr>
      </w:pPr>
      <w:bookmarkStart w:id="41" w:name="_Hlk60580614"/>
      <w:r>
        <w:rPr>
          <w:rFonts w:hint="eastAsia" w:ascii="宋体" w:hAnsi="宋体" w:eastAsia="宋体" w:cs="宋体"/>
          <w:sz w:val="24"/>
          <w:highlight w:val="none"/>
        </w:rPr>
        <w:t>3.4.5若</w:t>
      </w:r>
      <w:r>
        <w:rPr>
          <w:rFonts w:hint="eastAsia" w:ascii="宋体" w:hAnsi="宋体" w:eastAsia="宋体" w:cs="宋体"/>
          <w:sz w:val="24"/>
          <w:highlight w:val="none"/>
          <w:u w:val="single"/>
        </w:rPr>
        <w:t>投标人须知前附表</w:t>
      </w:r>
      <w:r>
        <w:rPr>
          <w:rFonts w:hint="eastAsia" w:ascii="宋体" w:hAnsi="宋体" w:eastAsia="宋体" w:cs="宋体"/>
          <w:sz w:val="24"/>
          <w:highlight w:val="none"/>
        </w:rPr>
        <w:t>中写明专门面向中小企业采购的，如投标人提供的货物非中小企业制造的，其投标将被认定为</w:t>
      </w:r>
      <w:r>
        <w:rPr>
          <w:rFonts w:hint="eastAsia" w:ascii="宋体" w:hAnsi="宋体" w:eastAsia="宋体" w:cs="宋体"/>
          <w:b/>
          <w:sz w:val="24"/>
          <w:highlight w:val="none"/>
        </w:rPr>
        <w:t>投标无效</w:t>
      </w:r>
      <w:r>
        <w:rPr>
          <w:rFonts w:hint="eastAsia" w:ascii="宋体" w:hAnsi="宋体" w:eastAsia="宋体" w:cs="宋体"/>
          <w:sz w:val="24"/>
          <w:highlight w:val="none"/>
        </w:rPr>
        <w:t>。</w:t>
      </w:r>
    </w:p>
    <w:bookmarkEnd w:id="41"/>
    <w:p w14:paraId="2DE0B3C5">
      <w:pPr>
        <w:spacing w:line="360" w:lineRule="auto"/>
        <w:ind w:firstLine="435"/>
        <w:rPr>
          <w:rFonts w:hint="eastAsia" w:ascii="宋体" w:hAnsi="宋体" w:eastAsia="宋体" w:cs="宋体"/>
          <w:bCs/>
          <w:kern w:val="0"/>
          <w:sz w:val="24"/>
          <w:szCs w:val="28"/>
          <w:highlight w:val="none"/>
        </w:rPr>
      </w:pPr>
      <w:bookmarkStart w:id="42" w:name="_Hlk60580861"/>
      <w:r>
        <w:rPr>
          <w:rFonts w:hint="eastAsia" w:ascii="宋体" w:hAnsi="宋体" w:eastAsia="宋体" w:cs="宋体"/>
          <w:bCs/>
          <w:kern w:val="0"/>
          <w:sz w:val="24"/>
          <w:szCs w:val="28"/>
          <w:highlight w:val="none"/>
        </w:rPr>
        <w:t>3.5若招标公告中允许联合体投标，对联合体规定如下：</w:t>
      </w:r>
    </w:p>
    <w:bookmarkEnd w:id="42"/>
    <w:p w14:paraId="716CBC94">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3.5.1两个以上供应商可以组成一个投标联合体，以一个投标人的身份投标。</w:t>
      </w:r>
    </w:p>
    <w:p w14:paraId="229834A7">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3.5.2联合体各方均应符合《中华人民共和国政府采购法》第二十二条规定的条件。</w:t>
      </w:r>
    </w:p>
    <w:p w14:paraId="1A14F7D8">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3.5.3</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根据采购项目对投标人的特殊要求，联合体中至少应当有一方符合相关规定。</w:t>
      </w:r>
    </w:p>
    <w:p w14:paraId="536C3703">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3.5.4联合体各方应签订联合协议，明确约定联合体各方承担的工作和相应的责任，并将联合协议作为投标文件的一部分提交。</w:t>
      </w:r>
    </w:p>
    <w:p w14:paraId="7276AC9B">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3.5.5大中型企业、其他自然人、法人或者非法人组织与小型、微型企业组成联合体共同参加投标，联合协议中应写明小型、微型企业的协议合同金额占到联合协议投标总金额的比例。</w:t>
      </w:r>
    </w:p>
    <w:p w14:paraId="29B54EC9">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3.5.6联合体中有同类资质的供应商按照联合体分工承担相同工作的，应当按照资质等级较低的供应商确定资质等级。</w:t>
      </w:r>
    </w:p>
    <w:p w14:paraId="687844E0">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3.5.7以联合体形式参加政府采购活动的，联合体各方不得再单独参加或者与其他供应商另外组成联合体参加本项目投标，否则相关投标将被认定为</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0C923AAB">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3.5.8对联合体投标的其他资格要求见</w:t>
      </w:r>
      <w:r>
        <w:rPr>
          <w:rFonts w:hint="eastAsia" w:ascii="宋体" w:hAnsi="宋体" w:eastAsia="宋体" w:cs="宋体"/>
          <w:sz w:val="24"/>
          <w:highlight w:val="none"/>
          <w:u w:val="single"/>
        </w:rPr>
        <w:t>投标人资格</w:t>
      </w:r>
      <w:r>
        <w:rPr>
          <w:rFonts w:hint="eastAsia" w:ascii="宋体" w:hAnsi="宋体" w:eastAsia="宋体" w:cs="宋体"/>
          <w:sz w:val="24"/>
          <w:highlight w:val="none"/>
        </w:rPr>
        <w:t>。</w:t>
      </w:r>
    </w:p>
    <w:p w14:paraId="31BDBFE2">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3.6单位负责人为同一人或者存在直接控股、管理关系的不同供应商，不得参加同一合同项下的政府采购活动。否则其投标将被认定为</w:t>
      </w:r>
      <w:r>
        <w:rPr>
          <w:rFonts w:hint="eastAsia" w:ascii="宋体" w:hAnsi="宋体" w:eastAsia="宋体" w:cs="宋体"/>
          <w:b/>
          <w:bCs/>
          <w:sz w:val="24"/>
          <w:highlight w:val="none"/>
        </w:rPr>
        <w:t>投标无效</w:t>
      </w:r>
      <w:r>
        <w:rPr>
          <w:rFonts w:hint="eastAsia" w:ascii="宋体" w:hAnsi="宋体" w:eastAsia="宋体" w:cs="宋体"/>
          <w:sz w:val="24"/>
          <w:highlight w:val="none"/>
        </w:rPr>
        <w:t>。</w:t>
      </w:r>
    </w:p>
    <w:p w14:paraId="6DD66FDC">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3.7为本项目提供过整体设计、规范编制或者项目管理、监理、检测等服务的供应商，不得再参加本项目上述服务以外的其他采购活动。</w:t>
      </w:r>
      <w:bookmarkStart w:id="43" w:name="_Hlk13431092"/>
      <w:r>
        <w:rPr>
          <w:rFonts w:hint="eastAsia" w:ascii="宋体" w:hAnsi="宋体" w:eastAsia="宋体" w:cs="宋体"/>
          <w:sz w:val="24"/>
          <w:highlight w:val="none"/>
        </w:rPr>
        <w:t>否则其投标将被认定为</w:t>
      </w:r>
      <w:r>
        <w:rPr>
          <w:rFonts w:hint="eastAsia" w:ascii="宋体" w:hAnsi="宋体" w:eastAsia="宋体" w:cs="宋体"/>
          <w:b/>
          <w:sz w:val="24"/>
          <w:highlight w:val="none"/>
        </w:rPr>
        <w:t>投标无效</w:t>
      </w:r>
      <w:r>
        <w:rPr>
          <w:rFonts w:hint="eastAsia" w:ascii="宋体" w:hAnsi="宋体" w:eastAsia="宋体" w:cs="宋体"/>
          <w:sz w:val="24"/>
          <w:highlight w:val="none"/>
        </w:rPr>
        <w:t>。</w:t>
      </w:r>
      <w:bookmarkEnd w:id="43"/>
    </w:p>
    <w:p w14:paraId="1D5C0E2A">
      <w:pPr>
        <w:spacing w:line="360" w:lineRule="auto"/>
        <w:ind w:firstLine="437"/>
        <w:outlineLvl w:val="2"/>
        <w:rPr>
          <w:rFonts w:hint="eastAsia" w:ascii="宋体" w:hAnsi="宋体" w:eastAsia="宋体" w:cs="宋体"/>
          <w:b/>
          <w:sz w:val="24"/>
          <w:highlight w:val="none"/>
        </w:rPr>
      </w:pPr>
      <w:r>
        <w:rPr>
          <w:rFonts w:hint="eastAsia" w:ascii="宋体" w:hAnsi="宋体" w:eastAsia="宋体" w:cs="宋体"/>
          <w:b/>
          <w:sz w:val="24"/>
          <w:highlight w:val="none"/>
        </w:rPr>
        <w:t>4.资金来源</w:t>
      </w:r>
    </w:p>
    <w:p w14:paraId="7533909F">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4.1本项目的</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已获得足以支付本次招标后所签订的合同项下的资金。</w:t>
      </w:r>
    </w:p>
    <w:p w14:paraId="1F5E0AC2">
      <w:pPr>
        <w:spacing w:line="360" w:lineRule="auto"/>
        <w:ind w:firstLine="435"/>
        <w:rPr>
          <w:rFonts w:hint="eastAsia" w:ascii="宋体" w:hAnsi="宋体" w:eastAsia="宋体" w:cs="宋体"/>
          <w:sz w:val="24"/>
          <w:highlight w:val="none"/>
        </w:rPr>
      </w:pPr>
      <w:bookmarkStart w:id="44" w:name="_Hlk11702998"/>
      <w:r>
        <w:rPr>
          <w:rFonts w:hint="eastAsia" w:ascii="宋体" w:hAnsi="宋体" w:eastAsia="宋体" w:cs="宋体"/>
          <w:sz w:val="24"/>
          <w:highlight w:val="none"/>
        </w:rPr>
        <w:t>4.2项目预算金额和分项（或分包）最高限价见</w:t>
      </w:r>
      <w:r>
        <w:rPr>
          <w:rFonts w:hint="eastAsia" w:ascii="宋体" w:hAnsi="宋体" w:eastAsia="宋体" w:cs="宋体"/>
          <w:sz w:val="24"/>
          <w:highlight w:val="none"/>
          <w:u w:val="single"/>
        </w:rPr>
        <w:t>投标邀请</w:t>
      </w:r>
      <w:r>
        <w:rPr>
          <w:rFonts w:hint="eastAsia" w:ascii="宋体" w:hAnsi="宋体" w:eastAsia="宋体" w:cs="宋体"/>
          <w:sz w:val="24"/>
          <w:highlight w:val="none"/>
        </w:rPr>
        <w:t>。</w:t>
      </w:r>
    </w:p>
    <w:bookmarkEnd w:id="44"/>
    <w:p w14:paraId="2622E81C">
      <w:pPr>
        <w:spacing w:line="360" w:lineRule="auto"/>
        <w:ind w:firstLine="437"/>
        <w:outlineLvl w:val="2"/>
        <w:rPr>
          <w:rFonts w:hint="eastAsia" w:ascii="宋体" w:hAnsi="宋体" w:eastAsia="宋体" w:cs="宋体"/>
          <w:b/>
          <w:sz w:val="24"/>
          <w:highlight w:val="none"/>
        </w:rPr>
      </w:pPr>
      <w:r>
        <w:rPr>
          <w:rFonts w:hint="eastAsia" w:ascii="宋体" w:hAnsi="宋体" w:eastAsia="宋体" w:cs="宋体"/>
          <w:b/>
          <w:sz w:val="24"/>
          <w:highlight w:val="none"/>
        </w:rPr>
        <w:t>5.投标费用</w:t>
      </w:r>
    </w:p>
    <w:p w14:paraId="7577FF07">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不论投标的结果如何，投标人应承担所有与准备和参加投标有关的费用。</w:t>
      </w:r>
    </w:p>
    <w:p w14:paraId="3AAA6695">
      <w:pPr>
        <w:spacing w:line="360" w:lineRule="auto"/>
        <w:ind w:firstLine="437"/>
        <w:outlineLvl w:val="2"/>
        <w:rPr>
          <w:rFonts w:hint="eastAsia" w:ascii="宋体" w:hAnsi="宋体" w:eastAsia="宋体" w:cs="宋体"/>
          <w:b/>
          <w:sz w:val="24"/>
          <w:highlight w:val="none"/>
        </w:rPr>
      </w:pPr>
      <w:r>
        <w:rPr>
          <w:rFonts w:hint="eastAsia" w:ascii="宋体" w:hAnsi="宋体" w:eastAsia="宋体" w:cs="宋体"/>
          <w:b/>
          <w:sz w:val="24"/>
          <w:highlight w:val="none"/>
        </w:rPr>
        <w:t>6.适用法律</w:t>
      </w:r>
    </w:p>
    <w:p w14:paraId="0F2E3E67">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本项目</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w:t>
      </w:r>
      <w:r>
        <w:rPr>
          <w:rFonts w:hint="eastAsia" w:ascii="宋体" w:hAnsi="宋体" w:eastAsia="宋体" w:cs="宋体"/>
          <w:sz w:val="24"/>
          <w:highlight w:val="none"/>
          <w:lang w:eastAsia="zh-CN"/>
        </w:rPr>
        <w:t>招标代理</w:t>
      </w:r>
      <w:r>
        <w:rPr>
          <w:rFonts w:hint="eastAsia" w:ascii="宋体" w:hAnsi="宋体" w:eastAsia="宋体" w:cs="宋体"/>
          <w:sz w:val="24"/>
          <w:highlight w:val="none"/>
        </w:rPr>
        <w:t>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62773717">
      <w:pPr>
        <w:spacing w:line="360" w:lineRule="auto"/>
        <w:ind w:firstLine="437"/>
        <w:outlineLvl w:val="2"/>
        <w:rPr>
          <w:rFonts w:hint="eastAsia" w:ascii="宋体" w:hAnsi="宋体" w:eastAsia="宋体" w:cs="宋体"/>
          <w:b/>
          <w:sz w:val="24"/>
          <w:highlight w:val="none"/>
        </w:rPr>
      </w:pPr>
      <w:r>
        <w:rPr>
          <w:rFonts w:hint="eastAsia" w:ascii="宋体" w:hAnsi="宋体" w:eastAsia="宋体" w:cs="宋体"/>
          <w:b/>
          <w:sz w:val="24"/>
          <w:highlight w:val="none"/>
        </w:rPr>
        <w:t>7.招标文件构成</w:t>
      </w:r>
    </w:p>
    <w:p w14:paraId="4583D1FD">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7.1招标文件包括下列内容：</w:t>
      </w:r>
    </w:p>
    <w:p w14:paraId="514B3B7C">
      <w:pPr>
        <w:spacing w:line="360" w:lineRule="auto"/>
        <w:ind w:firstLine="840" w:firstLineChars="350"/>
        <w:rPr>
          <w:rFonts w:hint="default" w:ascii="宋体" w:hAnsi="宋体" w:eastAsia="宋体" w:cs="宋体"/>
          <w:sz w:val="24"/>
          <w:highlight w:val="none"/>
          <w:lang w:val="en-US" w:eastAsia="zh-CN"/>
        </w:rPr>
      </w:pPr>
      <w:r>
        <w:rPr>
          <w:rFonts w:hint="eastAsia" w:ascii="宋体" w:hAnsi="宋体" w:eastAsia="宋体" w:cs="宋体"/>
          <w:sz w:val="24"/>
          <w:highlight w:val="none"/>
        </w:rPr>
        <w:t>第一章  投标</w:t>
      </w:r>
      <w:r>
        <w:rPr>
          <w:rFonts w:hint="eastAsia" w:ascii="宋体" w:hAnsi="宋体" w:eastAsia="宋体" w:cs="宋体"/>
          <w:sz w:val="24"/>
          <w:highlight w:val="none"/>
          <w:lang w:val="en-US" w:eastAsia="zh-CN"/>
        </w:rPr>
        <w:t>公告/邀请</w:t>
      </w:r>
    </w:p>
    <w:p w14:paraId="4836842E">
      <w:pPr>
        <w:spacing w:line="360" w:lineRule="auto"/>
        <w:ind w:firstLine="840" w:firstLineChars="350"/>
        <w:rPr>
          <w:rFonts w:hint="eastAsia" w:ascii="宋体" w:hAnsi="宋体" w:eastAsia="宋体" w:cs="宋体"/>
          <w:sz w:val="24"/>
          <w:highlight w:val="none"/>
        </w:rPr>
      </w:pPr>
      <w:r>
        <w:rPr>
          <w:rFonts w:hint="eastAsia" w:ascii="宋体" w:hAnsi="宋体" w:eastAsia="宋体" w:cs="宋体"/>
          <w:sz w:val="24"/>
          <w:highlight w:val="none"/>
        </w:rPr>
        <w:t>第二章  投标人须知</w:t>
      </w:r>
    </w:p>
    <w:p w14:paraId="798FFD4C">
      <w:pPr>
        <w:spacing w:line="360" w:lineRule="auto"/>
        <w:ind w:firstLine="840" w:firstLineChars="350"/>
        <w:rPr>
          <w:rFonts w:hint="eastAsia" w:ascii="宋体" w:hAnsi="宋体" w:eastAsia="宋体" w:cs="宋体"/>
          <w:sz w:val="24"/>
          <w:highlight w:val="none"/>
        </w:rPr>
      </w:pPr>
      <w:r>
        <w:rPr>
          <w:rFonts w:hint="eastAsia" w:ascii="宋体" w:hAnsi="宋体" w:eastAsia="宋体" w:cs="宋体"/>
          <w:sz w:val="24"/>
          <w:highlight w:val="none"/>
        </w:rPr>
        <w:t>第三章  采购需求</w:t>
      </w:r>
    </w:p>
    <w:p w14:paraId="71096B36">
      <w:pPr>
        <w:spacing w:line="360" w:lineRule="auto"/>
        <w:ind w:firstLine="840" w:firstLineChars="350"/>
        <w:rPr>
          <w:rFonts w:hint="eastAsia" w:ascii="宋体" w:hAnsi="宋体" w:eastAsia="宋体" w:cs="宋体"/>
          <w:sz w:val="24"/>
          <w:highlight w:val="none"/>
        </w:rPr>
      </w:pPr>
      <w:r>
        <w:rPr>
          <w:rFonts w:hint="eastAsia" w:ascii="宋体" w:hAnsi="宋体" w:eastAsia="宋体" w:cs="宋体"/>
          <w:sz w:val="24"/>
          <w:highlight w:val="none"/>
        </w:rPr>
        <w:t>第四章  评标方法和标准</w:t>
      </w:r>
    </w:p>
    <w:p w14:paraId="0B1CDE91">
      <w:pPr>
        <w:spacing w:line="360" w:lineRule="auto"/>
        <w:ind w:firstLine="840" w:firstLineChars="350"/>
        <w:rPr>
          <w:rFonts w:hint="eastAsia" w:ascii="宋体" w:hAnsi="宋体" w:eastAsia="宋体" w:cs="宋体"/>
          <w:sz w:val="24"/>
          <w:highlight w:val="none"/>
        </w:rPr>
      </w:pPr>
      <w:r>
        <w:rPr>
          <w:rFonts w:hint="eastAsia" w:ascii="宋体" w:hAnsi="宋体" w:eastAsia="宋体" w:cs="宋体"/>
          <w:sz w:val="24"/>
          <w:highlight w:val="none"/>
        </w:rPr>
        <w:t>第五章  政府采购合同</w:t>
      </w:r>
    </w:p>
    <w:p w14:paraId="04C8A233">
      <w:pPr>
        <w:spacing w:line="360" w:lineRule="auto"/>
        <w:ind w:firstLine="840" w:firstLineChars="350"/>
        <w:rPr>
          <w:rFonts w:hint="eastAsia" w:ascii="宋体" w:hAnsi="宋体" w:eastAsia="宋体" w:cs="宋体"/>
          <w:sz w:val="24"/>
          <w:highlight w:val="none"/>
        </w:rPr>
      </w:pPr>
      <w:r>
        <w:rPr>
          <w:rFonts w:hint="eastAsia" w:ascii="宋体" w:hAnsi="宋体" w:eastAsia="宋体" w:cs="宋体"/>
          <w:sz w:val="24"/>
          <w:highlight w:val="none"/>
        </w:rPr>
        <w:t>第六章  投标文件格式</w:t>
      </w:r>
    </w:p>
    <w:p w14:paraId="2EC3ECE5">
      <w:pPr>
        <w:spacing w:line="360" w:lineRule="auto"/>
        <w:ind w:firstLine="840" w:firstLineChars="350"/>
        <w:rPr>
          <w:rFonts w:hint="eastAsia" w:ascii="宋体" w:hAnsi="宋体" w:eastAsia="宋体" w:cs="宋体"/>
          <w:sz w:val="24"/>
          <w:highlight w:val="none"/>
        </w:rPr>
      </w:pPr>
      <w:r>
        <w:rPr>
          <w:rFonts w:hint="eastAsia" w:ascii="宋体" w:hAnsi="宋体" w:eastAsia="宋体" w:cs="宋体"/>
          <w:sz w:val="24"/>
          <w:highlight w:val="none"/>
        </w:rPr>
        <w:t>第七章  政府采购供应商询问函和质疑函范本</w:t>
      </w:r>
    </w:p>
    <w:p w14:paraId="767C3AD5">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7.2招标文件中有不一致的，有澄清的部分以最终的澄清更正内容为准。</w:t>
      </w:r>
    </w:p>
    <w:p w14:paraId="75E3A55F">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7.3现场考察及相关事项见</w:t>
      </w:r>
      <w:r>
        <w:rPr>
          <w:rFonts w:hint="eastAsia" w:ascii="宋体" w:hAnsi="宋体" w:eastAsia="宋体" w:cs="宋体"/>
          <w:sz w:val="24"/>
          <w:highlight w:val="none"/>
          <w:u w:val="single"/>
        </w:rPr>
        <w:t>投标人须知前附表</w:t>
      </w:r>
      <w:r>
        <w:rPr>
          <w:rFonts w:hint="eastAsia" w:ascii="宋体" w:hAnsi="宋体" w:eastAsia="宋体" w:cs="宋体"/>
          <w:sz w:val="24"/>
          <w:highlight w:val="none"/>
        </w:rPr>
        <w:t>。</w:t>
      </w:r>
    </w:p>
    <w:p w14:paraId="4EC1507B">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7.4原则上</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w:t>
      </w:r>
      <w:r>
        <w:rPr>
          <w:rFonts w:hint="eastAsia" w:ascii="宋体" w:hAnsi="宋体" w:eastAsia="宋体" w:cs="宋体"/>
          <w:sz w:val="24"/>
          <w:highlight w:val="none"/>
          <w:lang w:eastAsia="zh-CN"/>
        </w:rPr>
        <w:t>招标代理</w:t>
      </w:r>
      <w:r>
        <w:rPr>
          <w:rFonts w:hint="eastAsia" w:ascii="宋体" w:hAnsi="宋体" w:eastAsia="宋体" w:cs="宋体"/>
          <w:sz w:val="24"/>
          <w:highlight w:val="none"/>
        </w:rPr>
        <w:t>机构不要求投标人提供样品。除仅凭书面方式不能准确描述采购需求，或者需要对样品进行主观判断以确认是否满足采购需求等特殊情况除外。</w:t>
      </w:r>
    </w:p>
    <w:p w14:paraId="6C52B1E1">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如需提供样品，对样品相关要求见采购需求，对样品的评审方法及评审标准见招标文件第四章。</w:t>
      </w:r>
    </w:p>
    <w:p w14:paraId="18BE8417">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7.5投标人应认真阅读招标文件所有的事项、格式、条款和技术规范等。</w:t>
      </w:r>
    </w:p>
    <w:p w14:paraId="73C1B342">
      <w:pPr>
        <w:spacing w:line="360" w:lineRule="auto"/>
        <w:ind w:firstLine="437"/>
        <w:outlineLvl w:val="2"/>
        <w:rPr>
          <w:rFonts w:hint="eastAsia" w:ascii="宋体" w:hAnsi="宋体" w:eastAsia="宋体" w:cs="宋体"/>
          <w:b/>
          <w:sz w:val="24"/>
          <w:highlight w:val="none"/>
        </w:rPr>
      </w:pPr>
      <w:r>
        <w:rPr>
          <w:rFonts w:hint="eastAsia" w:ascii="宋体" w:hAnsi="宋体" w:eastAsia="宋体" w:cs="宋体"/>
          <w:b/>
          <w:sz w:val="24"/>
          <w:highlight w:val="none"/>
        </w:rPr>
        <w:t>8.招标文件的澄清与修改</w:t>
      </w:r>
    </w:p>
    <w:p w14:paraId="1198380A">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8.1投标人如对招标文件内容有疑问，必须在</w:t>
      </w:r>
      <w:r>
        <w:rPr>
          <w:rFonts w:hint="eastAsia" w:ascii="宋体" w:hAnsi="宋体" w:eastAsia="宋体" w:cs="宋体"/>
          <w:sz w:val="24"/>
          <w:highlight w:val="none"/>
          <w:u w:val="single"/>
        </w:rPr>
        <w:t>投标人须知前附表</w:t>
      </w:r>
      <w:r>
        <w:rPr>
          <w:rFonts w:hint="eastAsia" w:ascii="宋体" w:hAnsi="宋体" w:eastAsia="宋体" w:cs="宋体"/>
          <w:sz w:val="24"/>
          <w:highlight w:val="none"/>
        </w:rPr>
        <w:t>规定的网上询问截止时间前以网上提问形式提交给</w:t>
      </w:r>
      <w:r>
        <w:rPr>
          <w:rFonts w:hint="eastAsia" w:ascii="宋体" w:hAnsi="宋体" w:eastAsia="宋体" w:cs="宋体"/>
          <w:sz w:val="24"/>
          <w:highlight w:val="none"/>
          <w:lang w:eastAsia="zh-CN"/>
        </w:rPr>
        <w:t>招标代理</w:t>
      </w:r>
      <w:r>
        <w:rPr>
          <w:rFonts w:hint="eastAsia" w:ascii="宋体" w:hAnsi="宋体" w:eastAsia="宋体" w:cs="宋体"/>
          <w:sz w:val="24"/>
          <w:highlight w:val="none"/>
        </w:rPr>
        <w:t>机构。</w:t>
      </w:r>
    </w:p>
    <w:p w14:paraId="682B9ADC">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8.2</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可主动地或在解答投标人提出的问题时对招标文件进行澄清与修改。</w:t>
      </w:r>
      <w:r>
        <w:rPr>
          <w:rFonts w:hint="eastAsia" w:ascii="宋体" w:hAnsi="宋体" w:eastAsia="宋体" w:cs="宋体"/>
          <w:sz w:val="24"/>
          <w:highlight w:val="none"/>
          <w:lang w:eastAsia="zh-CN"/>
        </w:rPr>
        <w:t>招标代理</w:t>
      </w:r>
      <w:r>
        <w:rPr>
          <w:rFonts w:hint="eastAsia" w:ascii="宋体" w:hAnsi="宋体" w:eastAsia="宋体" w:cs="宋体"/>
          <w:sz w:val="24"/>
          <w:highlight w:val="none"/>
        </w:rPr>
        <w:t>机构发布更正公告的方式，澄清或修改招标文件，更正公告的内容作为招标文件的组成部分，对投标人起约束作用。投标人应主动上网查询。</w:t>
      </w:r>
      <w:r>
        <w:rPr>
          <w:rFonts w:hint="eastAsia" w:ascii="宋体" w:hAnsi="宋体" w:eastAsia="宋体" w:cs="宋体"/>
          <w:sz w:val="24"/>
          <w:highlight w:val="none"/>
          <w:lang w:eastAsia="zh-CN"/>
        </w:rPr>
        <w:t>招标代理</w:t>
      </w:r>
      <w:r>
        <w:rPr>
          <w:rFonts w:hint="eastAsia" w:ascii="宋体" w:hAnsi="宋体" w:eastAsia="宋体" w:cs="宋体"/>
          <w:sz w:val="24"/>
          <w:highlight w:val="none"/>
        </w:rPr>
        <w:t>机构不承担投标人未及时关注相关信息引发的相关责任。</w:t>
      </w:r>
    </w:p>
    <w:p w14:paraId="16935BD7">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8.3任何人或任何组织向投标人提供的任何书面或口头资料，未经</w:t>
      </w:r>
      <w:r>
        <w:rPr>
          <w:rFonts w:hint="eastAsia" w:ascii="宋体" w:hAnsi="宋体" w:eastAsia="宋体" w:cs="宋体"/>
          <w:sz w:val="24"/>
          <w:highlight w:val="none"/>
          <w:lang w:eastAsia="zh-CN"/>
        </w:rPr>
        <w:t>招标代理</w:t>
      </w:r>
      <w:r>
        <w:rPr>
          <w:rFonts w:hint="eastAsia" w:ascii="宋体" w:hAnsi="宋体" w:eastAsia="宋体" w:cs="宋体"/>
          <w:sz w:val="24"/>
          <w:highlight w:val="none"/>
        </w:rPr>
        <w:t>机构在网上发布或书面通知，均作无效处理，不得作为招标文件的组成部分。</w:t>
      </w:r>
      <w:r>
        <w:rPr>
          <w:rFonts w:hint="eastAsia" w:ascii="宋体" w:hAnsi="宋体" w:eastAsia="宋体" w:cs="宋体"/>
          <w:sz w:val="24"/>
          <w:highlight w:val="none"/>
          <w:lang w:eastAsia="zh-CN"/>
        </w:rPr>
        <w:t>招标代理</w:t>
      </w:r>
      <w:r>
        <w:rPr>
          <w:rFonts w:hint="eastAsia" w:ascii="宋体" w:hAnsi="宋体" w:eastAsia="宋体" w:cs="宋体"/>
          <w:sz w:val="24"/>
          <w:highlight w:val="none"/>
        </w:rPr>
        <w:t>机构对投标人由此而做出的推论、理解和结论概不负责。</w:t>
      </w:r>
    </w:p>
    <w:p w14:paraId="0808C2AC">
      <w:pPr>
        <w:spacing w:line="360" w:lineRule="auto"/>
        <w:ind w:firstLine="435"/>
        <w:rPr>
          <w:rFonts w:hint="eastAsia" w:ascii="宋体" w:hAnsi="宋体" w:eastAsia="宋体" w:cs="宋体"/>
          <w:i/>
          <w:iCs/>
          <w:sz w:val="24"/>
          <w:highlight w:val="none"/>
        </w:rPr>
      </w:pPr>
      <w:r>
        <w:rPr>
          <w:rFonts w:hint="eastAsia" w:ascii="宋体" w:hAnsi="宋体" w:eastAsia="宋体" w:cs="宋体"/>
          <w:sz w:val="24"/>
          <w:highlight w:val="none"/>
        </w:rPr>
        <w:t>8.4对于没有提出疑问又参与了本项目投标的投标人将被视为完全认同本招标文件（含更正公告的内容）</w:t>
      </w:r>
      <w:r>
        <w:rPr>
          <w:rFonts w:hint="eastAsia" w:ascii="宋体" w:hAnsi="宋体" w:eastAsia="宋体" w:cs="宋体"/>
          <w:i/>
          <w:sz w:val="24"/>
          <w:highlight w:val="none"/>
        </w:rPr>
        <w:t>。</w:t>
      </w:r>
    </w:p>
    <w:p w14:paraId="6DB99913">
      <w:pPr>
        <w:spacing w:line="360" w:lineRule="auto"/>
        <w:ind w:firstLine="437"/>
        <w:outlineLvl w:val="2"/>
        <w:rPr>
          <w:rFonts w:hint="eastAsia" w:ascii="宋体" w:hAnsi="宋体" w:eastAsia="宋体" w:cs="宋体"/>
          <w:b/>
          <w:sz w:val="24"/>
          <w:highlight w:val="none"/>
        </w:rPr>
      </w:pPr>
      <w:r>
        <w:rPr>
          <w:rFonts w:hint="eastAsia" w:ascii="宋体" w:hAnsi="宋体" w:eastAsia="宋体" w:cs="宋体"/>
          <w:b/>
          <w:sz w:val="24"/>
          <w:highlight w:val="none"/>
        </w:rPr>
        <w:t>9.投标范围及投标文件中标准和计量单位的使用</w:t>
      </w:r>
    </w:p>
    <w:p w14:paraId="0E79A5EE">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9.1项目有分包的，投标人可对招标文件其中某一个或几个分包货物进行投标，除非在</w:t>
      </w:r>
      <w:r>
        <w:rPr>
          <w:rFonts w:hint="eastAsia" w:ascii="宋体" w:hAnsi="宋体" w:eastAsia="宋体" w:cs="宋体"/>
          <w:sz w:val="24"/>
          <w:highlight w:val="none"/>
          <w:u w:val="single"/>
        </w:rPr>
        <w:t>投标人须知前附表</w:t>
      </w:r>
      <w:r>
        <w:rPr>
          <w:rFonts w:hint="eastAsia" w:ascii="宋体" w:hAnsi="宋体" w:eastAsia="宋体" w:cs="宋体"/>
          <w:sz w:val="24"/>
          <w:highlight w:val="none"/>
        </w:rPr>
        <w:t>中另有规定。</w:t>
      </w:r>
    </w:p>
    <w:p w14:paraId="2D3A5FCF">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9.2投标人应当对所投分包招标文件中“采购需求”所列的所有内容进行投标，如仅响应所投包别中的部分内容，其所投包别的投标将被认定为</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13C1B090">
      <w:pPr>
        <w:spacing w:line="360" w:lineRule="auto"/>
        <w:ind w:firstLine="435"/>
        <w:rPr>
          <w:rFonts w:hint="eastAsia" w:ascii="宋体" w:hAnsi="宋体" w:eastAsia="宋体" w:cs="宋体"/>
          <w:sz w:val="24"/>
          <w:highlight w:val="none"/>
        </w:rPr>
      </w:pPr>
      <w:bookmarkStart w:id="45" w:name="_Hlk16458980"/>
      <w:r>
        <w:rPr>
          <w:rFonts w:hint="eastAsia" w:ascii="宋体" w:hAnsi="宋体" w:eastAsia="宋体" w:cs="宋体"/>
          <w:sz w:val="24"/>
          <w:highlight w:val="none"/>
        </w:rPr>
        <w:t>9.3无论招标文件中是否要求，投标人所投货物及伴随的服务和工程均应符合国家强制性标准。</w:t>
      </w:r>
    </w:p>
    <w:bookmarkEnd w:id="45"/>
    <w:p w14:paraId="2712ABFD">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9.4投标人与</w:t>
      </w:r>
      <w:r>
        <w:rPr>
          <w:rFonts w:hint="eastAsia" w:ascii="宋体" w:hAnsi="宋体" w:eastAsia="宋体" w:cs="宋体"/>
          <w:sz w:val="24"/>
          <w:highlight w:val="none"/>
          <w:lang w:eastAsia="zh-CN"/>
        </w:rPr>
        <w:t>招标代理</w:t>
      </w:r>
      <w:r>
        <w:rPr>
          <w:rFonts w:hint="eastAsia" w:ascii="宋体" w:hAnsi="宋体" w:eastAsia="宋体" w:cs="宋体"/>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7254A515">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9.5除招标文件中有特殊要求外，投标文件中所使用的计量单位，应采用中华人民共和国法定计量单位。</w:t>
      </w:r>
    </w:p>
    <w:p w14:paraId="7E0C5650">
      <w:pPr>
        <w:spacing w:line="360" w:lineRule="auto"/>
        <w:ind w:firstLine="437"/>
        <w:outlineLvl w:val="2"/>
        <w:rPr>
          <w:rFonts w:hint="eastAsia" w:ascii="宋体" w:hAnsi="宋体" w:eastAsia="宋体" w:cs="宋体"/>
          <w:b/>
          <w:sz w:val="24"/>
          <w:highlight w:val="none"/>
        </w:rPr>
      </w:pPr>
      <w:r>
        <w:rPr>
          <w:rFonts w:hint="eastAsia" w:ascii="宋体" w:hAnsi="宋体" w:eastAsia="宋体" w:cs="宋体"/>
          <w:b/>
          <w:sz w:val="24"/>
          <w:highlight w:val="none"/>
        </w:rPr>
        <w:t>10.投标文件构成</w:t>
      </w:r>
    </w:p>
    <w:p w14:paraId="4F65FCA1">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10.1投标人应完整地按招标文件提供的投标文件格式及要求编写投标文件，具体内容详见本项目第六章投标文件格式的相关内容。</w:t>
      </w:r>
    </w:p>
    <w:p w14:paraId="51B1EB0C">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10.2上述文件应按照招标文件规定的格式填写、签署和盖章。</w:t>
      </w:r>
    </w:p>
    <w:p w14:paraId="38857DF1">
      <w:pPr>
        <w:spacing w:line="360" w:lineRule="auto"/>
        <w:ind w:firstLine="437"/>
        <w:outlineLvl w:val="2"/>
        <w:rPr>
          <w:rFonts w:hint="eastAsia" w:ascii="宋体" w:hAnsi="宋体" w:eastAsia="宋体" w:cs="宋体"/>
          <w:b/>
          <w:sz w:val="24"/>
          <w:highlight w:val="none"/>
        </w:rPr>
      </w:pPr>
      <w:r>
        <w:rPr>
          <w:rFonts w:hint="eastAsia" w:ascii="宋体" w:hAnsi="宋体" w:eastAsia="宋体" w:cs="宋体"/>
          <w:b/>
          <w:sz w:val="24"/>
          <w:highlight w:val="none"/>
        </w:rPr>
        <w:t>11.证明投标标的的合格性和符合招标文件规定的技术文件</w:t>
      </w:r>
    </w:p>
    <w:p w14:paraId="04DAB375">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11.1投标人应提交招标文件要求的证明文件，证明其投标内容符合招标文件规定。该证明文件是投标文件的一部分。</w:t>
      </w:r>
    </w:p>
    <w:p w14:paraId="3148B725">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11.2上款所述的证明文件，可以是文字资料、图纸和数据</w:t>
      </w:r>
      <w:bookmarkStart w:id="46" w:name="_Hlk11703583"/>
      <w:r>
        <w:rPr>
          <w:rFonts w:hint="eastAsia" w:ascii="宋体" w:hAnsi="宋体" w:eastAsia="宋体" w:cs="宋体"/>
          <w:sz w:val="24"/>
          <w:highlight w:val="none"/>
        </w:rPr>
        <w:t>，它包括：</w:t>
      </w:r>
    </w:p>
    <w:p w14:paraId="515B6810">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11.2.1货物主要技术指标和性能的详细说明；</w:t>
      </w:r>
    </w:p>
    <w:p w14:paraId="1F17CC47">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11.2.2货物从买方开始使用至招标文件规定的保质期内正常、连续地使用</w:t>
      </w:r>
      <w:r>
        <w:rPr>
          <w:rFonts w:hint="eastAsia" w:ascii="宋体" w:hAnsi="宋体" w:eastAsia="宋体" w:cs="宋体"/>
          <w:sz w:val="24"/>
          <w:highlight w:val="none"/>
          <w:lang w:eastAsia="zh-CN"/>
        </w:rPr>
        <w:t>所必需的</w:t>
      </w:r>
      <w:r>
        <w:rPr>
          <w:rFonts w:hint="eastAsia" w:ascii="宋体" w:hAnsi="宋体" w:eastAsia="宋体" w:cs="宋体"/>
          <w:sz w:val="24"/>
          <w:highlight w:val="none"/>
        </w:rPr>
        <w:t>备件和专用工具清单，包括备件和专用工具的货源及现行价格；</w:t>
      </w:r>
    </w:p>
    <w:p w14:paraId="250DB552">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11.2.3对照招标文件技术规格，逐条说明所提供货物及伴随的工程和服务已对招标文件的技术规格做出了实质性的响应，或申明与技术规格条文的偏差和例外。</w:t>
      </w:r>
    </w:p>
    <w:bookmarkEnd w:id="46"/>
    <w:p w14:paraId="00B24DBA">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11.</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本条所指证明文件不包括对招标文件相关部分的文字、图标的复制。</w:t>
      </w:r>
    </w:p>
    <w:p w14:paraId="5D9AE19F">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11.</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为保证公平公正，除非另有规定或说明，投标人对同一项目投标时，不得同时提供备选投标方案。</w:t>
      </w:r>
    </w:p>
    <w:p w14:paraId="5BAD9438">
      <w:pPr>
        <w:spacing w:line="360" w:lineRule="auto"/>
        <w:ind w:firstLine="437"/>
        <w:outlineLvl w:val="2"/>
        <w:rPr>
          <w:rFonts w:hint="eastAsia" w:ascii="宋体" w:hAnsi="宋体" w:eastAsia="宋体" w:cs="宋体"/>
          <w:b/>
          <w:sz w:val="24"/>
          <w:highlight w:val="none"/>
        </w:rPr>
      </w:pPr>
      <w:r>
        <w:rPr>
          <w:rFonts w:hint="eastAsia" w:ascii="宋体" w:hAnsi="宋体" w:eastAsia="宋体" w:cs="宋体"/>
          <w:b/>
          <w:sz w:val="24"/>
          <w:highlight w:val="none"/>
        </w:rPr>
        <w:t>12.投标报价</w:t>
      </w:r>
    </w:p>
    <w:p w14:paraId="5D7A958C">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12.1投标人的报价应当包括满足本次招标全部采购需求所应提供的货物，以及伴随的服务和工程。所有投标均应以人民币报价。投标人的投标报价应遵守《中华人民共和国价格法》。</w:t>
      </w:r>
    </w:p>
    <w:p w14:paraId="71975840">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12.2投标人报价超过招标文件规定的预算金额或者分项、分包最高限价，其投标将被认定为</w:t>
      </w:r>
      <w:r>
        <w:rPr>
          <w:rFonts w:hint="eastAsia" w:ascii="宋体" w:hAnsi="宋体" w:eastAsia="宋体" w:cs="宋体"/>
          <w:b/>
          <w:bCs/>
          <w:sz w:val="24"/>
          <w:highlight w:val="none"/>
        </w:rPr>
        <w:t>投标无效</w:t>
      </w:r>
      <w:r>
        <w:rPr>
          <w:rFonts w:hint="eastAsia" w:ascii="宋体" w:hAnsi="宋体" w:eastAsia="宋体" w:cs="宋体"/>
          <w:sz w:val="24"/>
          <w:highlight w:val="none"/>
        </w:rPr>
        <w:t>。</w:t>
      </w:r>
    </w:p>
    <w:p w14:paraId="55649872">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12.3投标人应在投标分项报价表上标明投标货物及相关服务的单价（如适用）和总价。未标明的视同包含在投标报价中。</w:t>
      </w:r>
    </w:p>
    <w:p w14:paraId="7F5BA440">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12.4投标报价在合同履行过程中是固定不变的，不得以任何理由予以变更。任何包含价格调整要求的投标，其投标将被认定为</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7D14BF4B">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12.5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6957A77A">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12.6</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不接受具有附加条件的报价。</w:t>
      </w:r>
    </w:p>
    <w:p w14:paraId="3D5B199C">
      <w:pPr>
        <w:spacing w:line="360" w:lineRule="auto"/>
        <w:ind w:firstLine="437"/>
        <w:outlineLvl w:val="2"/>
        <w:rPr>
          <w:rFonts w:hint="eastAsia" w:ascii="宋体" w:hAnsi="宋体" w:eastAsia="宋体" w:cs="宋体"/>
          <w:b/>
          <w:sz w:val="24"/>
          <w:highlight w:val="none"/>
        </w:rPr>
      </w:pPr>
      <w:r>
        <w:rPr>
          <w:rFonts w:hint="eastAsia" w:ascii="宋体" w:hAnsi="宋体" w:eastAsia="宋体" w:cs="宋体"/>
          <w:b/>
          <w:sz w:val="24"/>
          <w:highlight w:val="none"/>
        </w:rPr>
        <w:t>13.投标保证金</w:t>
      </w:r>
    </w:p>
    <w:p w14:paraId="7F62D51A">
      <w:pPr>
        <w:spacing w:line="360" w:lineRule="auto"/>
        <w:ind w:firstLine="435"/>
        <w:rPr>
          <w:rFonts w:hint="eastAsia" w:ascii="宋体" w:hAnsi="宋体" w:eastAsia="宋体" w:cs="宋体"/>
          <w:sz w:val="24"/>
          <w:highlight w:val="none"/>
        </w:rPr>
      </w:pPr>
      <w:bookmarkStart w:id="47" w:name="_Hlk60580952"/>
      <w:r>
        <w:rPr>
          <w:rFonts w:hint="eastAsia" w:ascii="宋体" w:hAnsi="宋体" w:eastAsia="宋体" w:cs="宋体"/>
          <w:sz w:val="24"/>
          <w:highlight w:val="none"/>
        </w:rPr>
        <w:t>13.1本项目不收取投标保证金。</w:t>
      </w:r>
    </w:p>
    <w:bookmarkEnd w:id="47"/>
    <w:p w14:paraId="63A722F8">
      <w:pPr>
        <w:spacing w:line="360" w:lineRule="auto"/>
        <w:ind w:firstLine="437"/>
        <w:outlineLvl w:val="2"/>
        <w:rPr>
          <w:rFonts w:hint="eastAsia" w:ascii="宋体" w:hAnsi="宋体" w:eastAsia="宋体" w:cs="宋体"/>
          <w:b/>
          <w:sz w:val="24"/>
          <w:highlight w:val="none"/>
        </w:rPr>
      </w:pPr>
      <w:r>
        <w:rPr>
          <w:rFonts w:hint="eastAsia" w:ascii="宋体" w:hAnsi="宋体" w:eastAsia="宋体" w:cs="宋体"/>
          <w:b/>
          <w:sz w:val="24"/>
          <w:highlight w:val="none"/>
        </w:rPr>
        <w:t>14.投标有效期</w:t>
      </w:r>
    </w:p>
    <w:p w14:paraId="4C92D56F">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14.1投标有效期为从投标截止之日算起的日历天数，投标有效期详见</w:t>
      </w:r>
      <w:r>
        <w:rPr>
          <w:rFonts w:hint="eastAsia" w:ascii="宋体" w:hAnsi="宋体" w:eastAsia="宋体" w:cs="宋体"/>
          <w:sz w:val="24"/>
          <w:highlight w:val="none"/>
          <w:u w:val="single"/>
        </w:rPr>
        <w:t>投标人须知前附表</w:t>
      </w:r>
      <w:r>
        <w:rPr>
          <w:rFonts w:hint="eastAsia" w:ascii="宋体" w:hAnsi="宋体" w:eastAsia="宋体" w:cs="宋体"/>
          <w:sz w:val="24"/>
          <w:highlight w:val="none"/>
        </w:rPr>
        <w:t>。</w:t>
      </w:r>
    </w:p>
    <w:p w14:paraId="7E0AABC3">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14.2在投标有效期内，投标人的投标保持有效，投标人不得要求撤销或修改其投标文件。投标有效期不满足要求的投标，其投标将被认定为</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018B347A">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14.3因特殊原因，</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或</w:t>
      </w:r>
      <w:r>
        <w:rPr>
          <w:rFonts w:hint="eastAsia" w:ascii="宋体" w:hAnsi="宋体" w:eastAsia="宋体" w:cs="宋体"/>
          <w:sz w:val="24"/>
          <w:highlight w:val="none"/>
          <w:lang w:eastAsia="zh-CN"/>
        </w:rPr>
        <w:t>招标代理</w:t>
      </w:r>
      <w:r>
        <w:rPr>
          <w:rFonts w:hint="eastAsia" w:ascii="宋体" w:hAnsi="宋体" w:eastAsia="宋体" w:cs="宋体"/>
          <w:sz w:val="24"/>
          <w:highlight w:val="none"/>
        </w:rPr>
        <w:t>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26B91E11">
      <w:pPr>
        <w:spacing w:line="360" w:lineRule="auto"/>
        <w:ind w:firstLine="437"/>
        <w:outlineLvl w:val="2"/>
        <w:rPr>
          <w:rFonts w:hint="eastAsia" w:ascii="宋体" w:hAnsi="宋体" w:eastAsia="宋体" w:cs="宋体"/>
          <w:b/>
          <w:sz w:val="24"/>
          <w:highlight w:val="none"/>
        </w:rPr>
      </w:pPr>
      <w:r>
        <w:rPr>
          <w:rFonts w:hint="eastAsia" w:ascii="宋体" w:hAnsi="宋体" w:eastAsia="宋体" w:cs="宋体"/>
          <w:b/>
          <w:sz w:val="24"/>
          <w:highlight w:val="none"/>
        </w:rPr>
        <w:t>15.投标文件的制作</w:t>
      </w:r>
    </w:p>
    <w:p w14:paraId="38C196F0">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15.1投标文件的正本和所有副本须用不褪色的墨水书写或打印，装订成册，修改处应加盖公章。</w:t>
      </w:r>
    </w:p>
    <w:p w14:paraId="05E0C4D8">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15.2投标人应填写全称，投标文件应由投标人负责人或授权代表在凡规定签</w:t>
      </w:r>
      <w:r>
        <w:rPr>
          <w:rFonts w:hint="eastAsia" w:ascii="宋体" w:hAnsi="宋体" w:eastAsia="宋体" w:cs="宋体"/>
          <w:sz w:val="24"/>
          <w:highlight w:val="none"/>
          <w:lang w:val="en-US" w:eastAsia="zh-CN"/>
        </w:rPr>
        <w:t>字或签章</w:t>
      </w:r>
      <w:r>
        <w:rPr>
          <w:rFonts w:hint="eastAsia" w:ascii="宋体" w:hAnsi="宋体" w:eastAsia="宋体" w:cs="宋体"/>
          <w:sz w:val="24"/>
          <w:highlight w:val="none"/>
        </w:rPr>
        <w:t>处逐一</w:t>
      </w:r>
      <w:r>
        <w:rPr>
          <w:rFonts w:hint="eastAsia" w:ascii="宋体" w:hAnsi="宋体" w:eastAsia="宋体" w:cs="宋体"/>
          <w:sz w:val="24"/>
          <w:highlight w:val="none"/>
          <w:lang w:val="en-US" w:eastAsia="zh-CN"/>
        </w:rPr>
        <w:t>签字或签章</w:t>
      </w:r>
      <w:r>
        <w:rPr>
          <w:rFonts w:hint="eastAsia" w:ascii="宋体" w:hAnsi="宋体" w:eastAsia="宋体" w:cs="宋体"/>
          <w:sz w:val="24"/>
          <w:highlight w:val="none"/>
        </w:rPr>
        <w:t>及加盖单位的公章。</w:t>
      </w:r>
    </w:p>
    <w:p w14:paraId="38A9E7A7">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15.3投标文件的份数： 正本一份，</w:t>
      </w:r>
      <w:r>
        <w:rPr>
          <w:rFonts w:hint="eastAsia" w:ascii="宋体" w:hAnsi="宋体" w:eastAsia="宋体" w:cs="宋体"/>
          <w:sz w:val="24"/>
          <w:highlight w:val="none"/>
          <w:lang w:val="en-US" w:eastAsia="zh-CN"/>
        </w:rPr>
        <w:t>副本</w:t>
      </w:r>
      <w:r>
        <w:rPr>
          <w:rFonts w:hint="eastAsia" w:ascii="宋体" w:hAnsi="宋体" w:eastAsia="宋体" w:cs="宋体"/>
          <w:sz w:val="24"/>
          <w:highlight w:val="none"/>
        </w:rPr>
        <w:t>见</w:t>
      </w:r>
      <w:r>
        <w:rPr>
          <w:rFonts w:hint="eastAsia" w:ascii="宋体" w:hAnsi="宋体" w:eastAsia="宋体" w:cs="宋体"/>
          <w:sz w:val="24"/>
          <w:highlight w:val="none"/>
          <w:u w:val="single"/>
        </w:rPr>
        <w:t>投标人须知前附表</w:t>
      </w:r>
      <w:r>
        <w:rPr>
          <w:rFonts w:hint="eastAsia" w:ascii="宋体" w:hAnsi="宋体" w:eastAsia="宋体" w:cs="宋体"/>
          <w:sz w:val="24"/>
          <w:highlight w:val="none"/>
        </w:rPr>
        <w:t>，电子版本一份 。并在每份文件上注明“正本”、“副本”字样，正本和副本不一致时，以正本为准。</w:t>
      </w:r>
    </w:p>
    <w:p w14:paraId="1210A180">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15.4除投标人对错误处做必要修改外，投标文件不得行间插字、涂改或增删，如有修改错漏处，必须由投标人负责人或其授权代表签字和盖章。</w:t>
      </w:r>
    </w:p>
    <w:p w14:paraId="72FCF1E5">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15.5投标文件的书写应清楚工整,字迹潦草、表达不清、未按要求填写或可能导致非唯一理解的投标文件可能被认定为无效，或按照不利于投标人的理解认定。</w:t>
      </w:r>
    </w:p>
    <w:p w14:paraId="6AD9F8C5">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15.</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开标现场提交的其他材料要求详见</w:t>
      </w:r>
      <w:r>
        <w:rPr>
          <w:rFonts w:hint="eastAsia" w:ascii="宋体" w:hAnsi="宋体" w:eastAsia="宋体" w:cs="宋体"/>
          <w:sz w:val="24"/>
          <w:highlight w:val="none"/>
          <w:u w:val="single"/>
        </w:rPr>
        <w:t>投标人须知前附表</w:t>
      </w:r>
      <w:r>
        <w:rPr>
          <w:rFonts w:hint="eastAsia" w:ascii="宋体" w:hAnsi="宋体" w:eastAsia="宋体" w:cs="宋体"/>
          <w:sz w:val="24"/>
          <w:highlight w:val="none"/>
        </w:rPr>
        <w:t>。</w:t>
      </w:r>
    </w:p>
    <w:p w14:paraId="2AEF6332">
      <w:pPr>
        <w:spacing w:line="360" w:lineRule="auto"/>
        <w:ind w:firstLine="437"/>
        <w:outlineLvl w:val="2"/>
        <w:rPr>
          <w:rFonts w:hint="eastAsia" w:ascii="宋体" w:hAnsi="宋体" w:eastAsia="宋体" w:cs="宋体"/>
          <w:b/>
          <w:sz w:val="24"/>
          <w:highlight w:val="none"/>
        </w:rPr>
      </w:pPr>
      <w:r>
        <w:rPr>
          <w:rFonts w:hint="eastAsia" w:ascii="宋体" w:hAnsi="宋体" w:eastAsia="宋体" w:cs="宋体"/>
          <w:b/>
          <w:sz w:val="24"/>
          <w:highlight w:val="none"/>
        </w:rPr>
        <w:t>16.投标截止</w:t>
      </w:r>
    </w:p>
    <w:p w14:paraId="53863602">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16.1投标人应在</w:t>
      </w:r>
      <w:r>
        <w:rPr>
          <w:rFonts w:hint="eastAsia" w:ascii="宋体" w:hAnsi="宋体" w:eastAsia="宋体" w:cs="宋体"/>
          <w:sz w:val="24"/>
          <w:highlight w:val="none"/>
          <w:u w:val="single"/>
        </w:rPr>
        <w:t>投标人须知前附表</w:t>
      </w:r>
      <w:r>
        <w:rPr>
          <w:rFonts w:hint="eastAsia" w:ascii="宋体" w:hAnsi="宋体" w:eastAsia="宋体" w:cs="宋体"/>
          <w:sz w:val="24"/>
          <w:highlight w:val="none"/>
        </w:rPr>
        <w:t>中规定的投标截止时间前，提交投标文件。</w:t>
      </w:r>
    </w:p>
    <w:p w14:paraId="7F8AAE04">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16.2投标人在招标文件规定的投标截止时间未提交投标文件，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6BBB2E54">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16.3</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和</w:t>
      </w:r>
      <w:r>
        <w:rPr>
          <w:rFonts w:hint="eastAsia" w:ascii="宋体" w:hAnsi="宋体" w:eastAsia="宋体" w:cs="宋体"/>
          <w:sz w:val="24"/>
          <w:highlight w:val="none"/>
          <w:lang w:eastAsia="zh-CN"/>
        </w:rPr>
        <w:t>招标代理</w:t>
      </w:r>
      <w:r>
        <w:rPr>
          <w:rFonts w:hint="eastAsia" w:ascii="宋体" w:hAnsi="宋体" w:eastAsia="宋体" w:cs="宋体"/>
          <w:sz w:val="24"/>
          <w:highlight w:val="none"/>
        </w:rPr>
        <w:t>机构有权按本招标文件的规定，延迟投标截止时间。在此情况下，</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w:t>
      </w:r>
      <w:r>
        <w:rPr>
          <w:rFonts w:hint="eastAsia" w:ascii="宋体" w:hAnsi="宋体" w:eastAsia="宋体" w:cs="宋体"/>
          <w:sz w:val="24"/>
          <w:highlight w:val="none"/>
          <w:lang w:eastAsia="zh-CN"/>
        </w:rPr>
        <w:t>招标代理</w:t>
      </w:r>
      <w:r>
        <w:rPr>
          <w:rFonts w:hint="eastAsia" w:ascii="宋体" w:hAnsi="宋体" w:eastAsia="宋体" w:cs="宋体"/>
          <w:sz w:val="24"/>
          <w:highlight w:val="none"/>
        </w:rPr>
        <w:t>机构和投标人受投标截止时间制约的所有权利和义务均应延长至新的截止时间。</w:t>
      </w:r>
    </w:p>
    <w:p w14:paraId="566790C3">
      <w:pPr>
        <w:spacing w:line="360" w:lineRule="auto"/>
        <w:ind w:firstLine="437"/>
        <w:outlineLvl w:val="2"/>
        <w:rPr>
          <w:rFonts w:hint="eastAsia" w:ascii="宋体" w:hAnsi="宋体" w:eastAsia="宋体" w:cs="宋体"/>
          <w:b/>
          <w:sz w:val="24"/>
          <w:highlight w:val="none"/>
        </w:rPr>
      </w:pPr>
      <w:r>
        <w:rPr>
          <w:rFonts w:hint="eastAsia" w:ascii="宋体" w:hAnsi="宋体" w:eastAsia="宋体" w:cs="宋体"/>
          <w:b/>
          <w:sz w:val="24"/>
          <w:highlight w:val="none"/>
        </w:rPr>
        <w:t>17.投标文件的递交、修改与撤回</w:t>
      </w:r>
    </w:p>
    <w:p w14:paraId="56A0C80E">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17.1投标人须将投标文件的正本和所有副本分别装订成册，在每个文本封面上标明“正本”或“副本”，以及项目名称、编号、投标人名称等内容。将投标文件正本和所有副本分别装入两个文件袋内加以密封并在每一封贴处加盖公章。投标文件应提供U盘，含全部投标文件的电子版内容，U盘应与投标文件正本密封在同一文件袋中。</w:t>
      </w:r>
    </w:p>
    <w:p w14:paraId="73A2403A">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17.2外层的文件袋上应写明：</w:t>
      </w:r>
    </w:p>
    <w:p w14:paraId="40B0D06C">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（1）项目名称；</w:t>
      </w:r>
    </w:p>
    <w:p w14:paraId="2F402A6E">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（2）项目编号；</w:t>
      </w:r>
    </w:p>
    <w:p w14:paraId="1572405A">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w:t>
      </w:r>
    </w:p>
    <w:p w14:paraId="3A580050">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（4）投标人名称及其地址；</w:t>
      </w:r>
    </w:p>
    <w:p w14:paraId="5D3DE746">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17.3投标人按招标文件中注明的递交时间和地址递交。</w:t>
      </w:r>
    </w:p>
    <w:p w14:paraId="0BF89481">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17.4投标人在提交投标文件以后，在规定的投标截止时间之前，可以以书面形式补充、修改或撤回已提交的投标文件，并以书面形式通知</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。补充、修改的内容为投标文件的组成部分。</w:t>
      </w:r>
    </w:p>
    <w:p w14:paraId="7CB61F4A">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17.5投标人对投标文件的补充、修改，应按本须知第15条有关规定密封、标记和提交，并在投标文件密封袋上清楚标明“补充、修改”或“撤回”字样。</w:t>
      </w:r>
    </w:p>
    <w:p w14:paraId="4B437B9E">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17.6在投标截止时间之后，投标人不得补充、修改投标文件。</w:t>
      </w:r>
    </w:p>
    <w:p w14:paraId="0560FC36">
      <w:pPr>
        <w:spacing w:line="360" w:lineRule="auto"/>
        <w:ind w:firstLine="437"/>
        <w:outlineLvl w:val="2"/>
        <w:rPr>
          <w:rFonts w:hint="eastAsia" w:ascii="宋体" w:hAnsi="宋体" w:eastAsia="宋体" w:cs="宋体"/>
          <w:b/>
          <w:sz w:val="24"/>
          <w:highlight w:val="none"/>
        </w:rPr>
      </w:pPr>
      <w:r>
        <w:rPr>
          <w:rFonts w:hint="eastAsia" w:ascii="宋体" w:hAnsi="宋体" w:eastAsia="宋体" w:cs="宋体"/>
          <w:b/>
          <w:sz w:val="24"/>
          <w:highlight w:val="none"/>
        </w:rPr>
        <w:t>18.开标</w:t>
      </w:r>
    </w:p>
    <w:p w14:paraId="15326BA6">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18.1</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和</w:t>
      </w:r>
      <w:r>
        <w:rPr>
          <w:rFonts w:hint="eastAsia" w:ascii="宋体" w:hAnsi="宋体" w:eastAsia="宋体" w:cs="宋体"/>
          <w:sz w:val="24"/>
          <w:highlight w:val="none"/>
          <w:lang w:eastAsia="zh-CN"/>
        </w:rPr>
        <w:t>招标代理</w:t>
      </w:r>
      <w:r>
        <w:rPr>
          <w:rFonts w:hint="eastAsia" w:ascii="宋体" w:hAnsi="宋体" w:eastAsia="宋体" w:cs="宋体"/>
          <w:sz w:val="24"/>
          <w:highlight w:val="none"/>
        </w:rPr>
        <w:t>机构将按</w:t>
      </w:r>
      <w:r>
        <w:rPr>
          <w:rFonts w:hint="eastAsia" w:ascii="宋体" w:hAnsi="宋体" w:eastAsia="宋体" w:cs="宋体"/>
          <w:sz w:val="24"/>
          <w:highlight w:val="none"/>
          <w:u w:val="single"/>
        </w:rPr>
        <w:t>投标人须知前附表</w:t>
      </w:r>
      <w:r>
        <w:rPr>
          <w:rFonts w:hint="eastAsia" w:ascii="宋体" w:hAnsi="宋体" w:eastAsia="宋体" w:cs="宋体"/>
          <w:sz w:val="24"/>
          <w:highlight w:val="none"/>
        </w:rPr>
        <w:t>中规定的开标时间和地点组织公开开标。</w:t>
      </w:r>
    </w:p>
    <w:p w14:paraId="3FBC5436">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18.2开标时，各投标人应在规定时间前对其投标文件进行</w:t>
      </w:r>
      <w:r>
        <w:rPr>
          <w:rFonts w:hint="eastAsia" w:ascii="宋体" w:hAnsi="宋体" w:eastAsia="宋体" w:cs="宋体"/>
          <w:sz w:val="24"/>
          <w:highlight w:val="none"/>
          <w:lang w:val="en-US" w:eastAsia="zh-CN"/>
        </w:rPr>
        <w:t>递交</w:t>
      </w:r>
      <w:r>
        <w:rPr>
          <w:rFonts w:hint="eastAsia" w:ascii="宋体" w:hAnsi="宋体" w:eastAsia="宋体" w:cs="宋体"/>
          <w:sz w:val="24"/>
          <w:highlight w:val="none"/>
        </w:rPr>
        <w:t>。</w:t>
      </w:r>
    </w:p>
    <w:p w14:paraId="110582AB">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18.3开标时，</w:t>
      </w:r>
      <w:r>
        <w:rPr>
          <w:rFonts w:hint="eastAsia" w:ascii="宋体" w:hAnsi="宋体" w:eastAsia="宋体" w:cs="宋体"/>
          <w:sz w:val="24"/>
          <w:highlight w:val="none"/>
          <w:lang w:eastAsia="zh-CN"/>
        </w:rPr>
        <w:t>招标代理</w:t>
      </w:r>
      <w:r>
        <w:rPr>
          <w:rFonts w:hint="eastAsia" w:ascii="宋体" w:hAnsi="宋体" w:eastAsia="宋体" w:cs="宋体"/>
          <w:sz w:val="24"/>
          <w:highlight w:val="none"/>
        </w:rPr>
        <w:t>机构将公布开标结果，公布内容包括投标人名称、投标价格及招标文件规定的内容。</w:t>
      </w:r>
    </w:p>
    <w:p w14:paraId="452C10D4">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18.4</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或</w:t>
      </w:r>
      <w:r>
        <w:rPr>
          <w:rFonts w:hint="eastAsia" w:ascii="宋体" w:hAnsi="宋体" w:eastAsia="宋体" w:cs="宋体"/>
          <w:sz w:val="24"/>
          <w:highlight w:val="none"/>
          <w:lang w:eastAsia="zh-CN"/>
        </w:rPr>
        <w:t>招标代理</w:t>
      </w:r>
      <w:r>
        <w:rPr>
          <w:rFonts w:hint="eastAsia" w:ascii="宋体" w:hAnsi="宋体" w:eastAsia="宋体" w:cs="宋体"/>
          <w:sz w:val="24"/>
          <w:highlight w:val="none"/>
        </w:rPr>
        <w:t>机构将对开标过程进行记录，由参加开标的各投标人代表和相关工作人员签字确认，并存档备查。</w:t>
      </w:r>
    </w:p>
    <w:p w14:paraId="5EA50C60">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投标人未派代表参加开标的，视同投标人认可开标结果。</w:t>
      </w:r>
    </w:p>
    <w:p w14:paraId="6C4812D0">
      <w:pPr>
        <w:spacing w:line="360" w:lineRule="auto"/>
        <w:ind w:firstLine="437"/>
        <w:outlineLvl w:val="2"/>
        <w:rPr>
          <w:rFonts w:hint="eastAsia" w:ascii="宋体" w:hAnsi="宋体" w:eastAsia="宋体" w:cs="宋体"/>
          <w:sz w:val="24"/>
          <w:highlight w:val="none"/>
        </w:rPr>
      </w:pPr>
      <w:r>
        <w:rPr>
          <w:rFonts w:hint="eastAsia" w:ascii="宋体" w:hAnsi="宋体" w:eastAsia="宋体" w:cs="宋体"/>
          <w:sz w:val="24"/>
          <w:highlight w:val="none"/>
        </w:rPr>
        <w:t>18.5投标人代表对开标过程和开标记录有疑义，以及认为</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w:t>
      </w:r>
      <w:r>
        <w:rPr>
          <w:rFonts w:hint="eastAsia" w:ascii="宋体" w:hAnsi="宋体" w:eastAsia="宋体" w:cs="宋体"/>
          <w:sz w:val="24"/>
          <w:highlight w:val="none"/>
          <w:lang w:eastAsia="zh-CN"/>
        </w:rPr>
        <w:t>招标代理</w:t>
      </w:r>
      <w:r>
        <w:rPr>
          <w:rFonts w:hint="eastAsia" w:ascii="宋体" w:hAnsi="宋体" w:eastAsia="宋体" w:cs="宋体"/>
          <w:sz w:val="24"/>
          <w:highlight w:val="none"/>
        </w:rPr>
        <w:t>机构相关工作人员有需要回避的情形的，应当场提出询问或者回避申请。</w:t>
      </w:r>
    </w:p>
    <w:p w14:paraId="0BD7F79F">
      <w:pPr>
        <w:spacing w:line="360" w:lineRule="auto"/>
        <w:ind w:firstLine="437"/>
        <w:outlineLvl w:val="2"/>
        <w:rPr>
          <w:rFonts w:hint="eastAsia" w:ascii="宋体" w:hAnsi="宋体" w:eastAsia="宋体" w:cs="宋体"/>
          <w:b/>
          <w:sz w:val="24"/>
          <w:highlight w:val="none"/>
        </w:rPr>
      </w:pPr>
      <w:r>
        <w:rPr>
          <w:rFonts w:hint="eastAsia" w:ascii="宋体" w:hAnsi="宋体" w:eastAsia="宋体" w:cs="宋体"/>
          <w:b/>
          <w:sz w:val="24"/>
          <w:highlight w:val="none"/>
        </w:rPr>
        <w:t>19.资格审查及组建评标委员会</w:t>
      </w:r>
    </w:p>
    <w:p w14:paraId="0D5B2F40">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19.1</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或</w:t>
      </w:r>
      <w:r>
        <w:rPr>
          <w:rFonts w:hint="eastAsia" w:ascii="宋体" w:hAnsi="宋体" w:eastAsia="宋体" w:cs="宋体"/>
          <w:sz w:val="24"/>
          <w:highlight w:val="none"/>
          <w:lang w:eastAsia="zh-CN"/>
        </w:rPr>
        <w:t>招标代理</w:t>
      </w:r>
      <w:r>
        <w:rPr>
          <w:rFonts w:hint="eastAsia" w:ascii="宋体" w:hAnsi="宋体" w:eastAsia="宋体" w:cs="宋体"/>
          <w:sz w:val="24"/>
          <w:highlight w:val="none"/>
        </w:rPr>
        <w:t>机构依据法律法规和招标文件中规定的内容，对投标人资格进行审查，未通过资格审查的投标人不进入评标。</w:t>
      </w:r>
    </w:p>
    <w:p w14:paraId="7649EA7A">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19.2</w:t>
      </w:r>
      <w:bookmarkStart w:id="48" w:name="_Hlk24663244"/>
      <w:r>
        <w:rPr>
          <w:rFonts w:hint="eastAsia" w:ascii="宋体" w:hAnsi="宋体" w:eastAsia="宋体" w:cs="宋体"/>
          <w:sz w:val="24"/>
          <w:highlight w:val="none"/>
          <w:lang w:eastAsia="zh-CN"/>
        </w:rPr>
        <w:t>招标人</w:t>
      </w:r>
      <w:r>
        <w:rPr>
          <w:rFonts w:hint="eastAsia" w:ascii="宋体" w:hAnsi="宋体" w:eastAsia="宋体" w:cs="宋体"/>
          <w:sz w:val="24"/>
          <w:highlight w:val="none"/>
        </w:rPr>
        <w:t>或</w:t>
      </w:r>
      <w:r>
        <w:rPr>
          <w:rFonts w:hint="eastAsia" w:ascii="宋体" w:hAnsi="宋体" w:eastAsia="宋体" w:cs="宋体"/>
          <w:sz w:val="24"/>
          <w:highlight w:val="none"/>
          <w:lang w:eastAsia="zh-CN"/>
        </w:rPr>
        <w:t>招标代理</w:t>
      </w:r>
      <w:r>
        <w:rPr>
          <w:rFonts w:hint="eastAsia" w:ascii="宋体" w:hAnsi="宋体" w:eastAsia="宋体" w:cs="宋体"/>
          <w:sz w:val="24"/>
          <w:highlight w:val="none"/>
        </w:rPr>
        <w:t>机构将在投标截止时间后至评审结束前通过“信用中国”网站</w:t>
      </w:r>
      <w:r>
        <w:rPr>
          <w:rFonts w:hint="eastAsia" w:ascii="宋体" w:hAnsi="宋体" w:eastAsia="宋体" w:cs="宋体"/>
          <w:sz w:val="24"/>
          <w:highlight w:val="none"/>
          <w:lang w:eastAsia="zh-CN"/>
        </w:rPr>
        <w:t>（</w:t>
      </w:r>
      <w:r>
        <w:rPr>
          <w:rFonts w:hint="eastAsia" w:ascii="宋体" w:hAnsi="宋体" w:eastAsia="宋体" w:cs="宋体"/>
          <w:sz w:val="24"/>
          <w:highlight w:val="none"/>
        </w:rPr>
        <w:t>www.creditchina.gov.cn</w:t>
      </w:r>
      <w:r>
        <w:rPr>
          <w:rFonts w:hint="eastAsia" w:ascii="宋体" w:hAnsi="宋体" w:eastAsia="宋体" w:cs="宋体"/>
          <w:sz w:val="24"/>
          <w:highlight w:val="none"/>
          <w:lang w:eastAsia="zh-CN"/>
        </w:rPr>
        <w:t>）</w:t>
      </w:r>
      <w:r>
        <w:rPr>
          <w:rFonts w:hint="eastAsia" w:ascii="宋体" w:hAnsi="宋体" w:eastAsia="宋体" w:cs="宋体"/>
          <w:sz w:val="24"/>
          <w:highlight w:val="none"/>
        </w:rPr>
        <w:t>、中国政府采购网</w:t>
      </w:r>
      <w:r>
        <w:rPr>
          <w:rFonts w:hint="eastAsia" w:ascii="宋体" w:hAnsi="宋体" w:eastAsia="宋体" w:cs="宋体"/>
          <w:sz w:val="24"/>
          <w:highlight w:val="none"/>
          <w:lang w:eastAsia="zh-CN"/>
        </w:rPr>
        <w:t>（</w:t>
      </w:r>
      <w:r>
        <w:rPr>
          <w:rFonts w:hint="eastAsia" w:ascii="宋体" w:hAnsi="宋体" w:eastAsia="宋体" w:cs="宋体"/>
          <w:sz w:val="24"/>
          <w:highlight w:val="none"/>
        </w:rPr>
        <w:t>www.ccgp.gov.cn</w:t>
      </w:r>
      <w:r>
        <w:rPr>
          <w:rFonts w:hint="eastAsia" w:ascii="宋体" w:hAnsi="宋体" w:eastAsia="宋体" w:cs="宋体"/>
          <w:sz w:val="24"/>
          <w:highlight w:val="none"/>
          <w:lang w:eastAsia="zh-CN"/>
        </w:rPr>
        <w:t>）</w:t>
      </w:r>
      <w:r>
        <w:rPr>
          <w:rFonts w:hint="eastAsia" w:ascii="宋体" w:hAnsi="宋体" w:eastAsia="宋体" w:cs="宋体"/>
          <w:sz w:val="24"/>
          <w:highlight w:val="none"/>
        </w:rPr>
        <w:t>查询相关投标人信用记录，并对投标人信用记录进行甄别，对列入“信用中国”网站</w:t>
      </w:r>
      <w:r>
        <w:rPr>
          <w:rFonts w:hint="eastAsia" w:ascii="宋体" w:hAnsi="宋体" w:eastAsia="宋体" w:cs="宋体"/>
          <w:sz w:val="24"/>
          <w:highlight w:val="none"/>
          <w:lang w:eastAsia="zh-CN"/>
        </w:rPr>
        <w:t>（</w:t>
      </w:r>
      <w:r>
        <w:rPr>
          <w:rFonts w:hint="eastAsia" w:ascii="宋体" w:hAnsi="宋体" w:eastAsia="宋体" w:cs="宋体"/>
          <w:sz w:val="24"/>
          <w:highlight w:val="none"/>
        </w:rPr>
        <w:t>www.creditchina.gov.cn</w:t>
      </w:r>
      <w:r>
        <w:rPr>
          <w:rFonts w:hint="eastAsia" w:ascii="宋体" w:hAnsi="宋体" w:eastAsia="宋体" w:cs="宋体"/>
          <w:sz w:val="24"/>
          <w:highlight w:val="none"/>
          <w:lang w:eastAsia="zh-CN"/>
        </w:rPr>
        <w:t>）</w:t>
      </w:r>
      <w:r>
        <w:rPr>
          <w:rFonts w:hint="eastAsia" w:ascii="宋体" w:hAnsi="宋体" w:eastAsia="宋体" w:cs="宋体"/>
          <w:sz w:val="24"/>
          <w:highlight w:val="none"/>
        </w:rPr>
        <w:t>失信被执行人名单、重大税收违法案件当事人名单、中国政府采购网</w:t>
      </w:r>
      <w:r>
        <w:rPr>
          <w:rFonts w:hint="eastAsia" w:ascii="宋体" w:hAnsi="宋体" w:eastAsia="宋体" w:cs="宋体"/>
          <w:sz w:val="24"/>
          <w:highlight w:val="none"/>
          <w:lang w:eastAsia="zh-CN"/>
        </w:rPr>
        <w:t>（</w:t>
      </w:r>
      <w:r>
        <w:rPr>
          <w:rFonts w:hint="eastAsia" w:ascii="宋体" w:hAnsi="宋体" w:eastAsia="宋体" w:cs="宋体"/>
          <w:sz w:val="24"/>
          <w:highlight w:val="none"/>
        </w:rPr>
        <w:t>www.ccgp.gov.cn</w:t>
      </w:r>
      <w:r>
        <w:rPr>
          <w:rFonts w:hint="eastAsia" w:ascii="宋体" w:hAnsi="宋体" w:eastAsia="宋体" w:cs="宋体"/>
          <w:sz w:val="24"/>
          <w:highlight w:val="none"/>
          <w:lang w:eastAsia="zh-CN"/>
        </w:rPr>
        <w:t>）</w:t>
      </w:r>
      <w:r>
        <w:rPr>
          <w:rFonts w:hint="eastAsia" w:ascii="宋体" w:hAnsi="宋体" w:eastAsia="宋体" w:cs="宋体"/>
          <w:sz w:val="24"/>
          <w:highlight w:val="none"/>
        </w:rPr>
        <w:t>政府采购严重违法失信行为记录名单及其他不符合《中华人民共和国政府采购法》第二十二条规定条件的供应商，其投标将被认定为</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1F0870C4">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以联合体形式参加投标的，联合体成员存在以上不良信用记录的，联合体投标将被认定为</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74E029BF">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以上信用查询记录，</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或</w:t>
      </w:r>
      <w:r>
        <w:rPr>
          <w:rFonts w:hint="eastAsia" w:ascii="宋体" w:hAnsi="宋体" w:eastAsia="宋体" w:cs="宋体"/>
          <w:sz w:val="24"/>
          <w:highlight w:val="none"/>
          <w:lang w:eastAsia="zh-CN"/>
        </w:rPr>
        <w:t>招标代理</w:t>
      </w:r>
      <w:r>
        <w:rPr>
          <w:rFonts w:hint="eastAsia" w:ascii="宋体" w:hAnsi="宋体" w:eastAsia="宋体" w:cs="宋体"/>
          <w:sz w:val="24"/>
          <w:highlight w:val="none"/>
        </w:rPr>
        <w:t>机构将下载查询结果页面后与其他采购文件一并保存。投标人不良信用记录以</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或</w:t>
      </w:r>
      <w:r>
        <w:rPr>
          <w:rFonts w:hint="eastAsia" w:ascii="宋体" w:hAnsi="宋体" w:eastAsia="宋体" w:cs="宋体"/>
          <w:sz w:val="24"/>
          <w:highlight w:val="none"/>
          <w:lang w:eastAsia="zh-CN"/>
        </w:rPr>
        <w:t>招标代理</w:t>
      </w:r>
      <w:r>
        <w:rPr>
          <w:rFonts w:hint="eastAsia" w:ascii="宋体" w:hAnsi="宋体" w:eastAsia="宋体" w:cs="宋体"/>
          <w:sz w:val="24"/>
          <w:highlight w:val="none"/>
        </w:rPr>
        <w:t>机构查询结果为准。在本招标文件规定的查询时间之外，网站信息发生的任何变更均不作为资格审查依据。投标人自行提供的与网站信息不一致的其他证明材料亦不作为资格审查依据。</w:t>
      </w:r>
      <w:bookmarkEnd w:id="48"/>
    </w:p>
    <w:p w14:paraId="73AED026">
      <w:pPr>
        <w:spacing w:line="360" w:lineRule="auto"/>
        <w:ind w:firstLine="435"/>
        <w:rPr>
          <w:rFonts w:hint="eastAsia" w:ascii="宋体" w:hAnsi="宋体" w:eastAsia="宋体" w:cs="宋体"/>
          <w:b/>
          <w:sz w:val="24"/>
          <w:highlight w:val="none"/>
        </w:rPr>
      </w:pPr>
      <w:r>
        <w:rPr>
          <w:rFonts w:hint="eastAsia" w:ascii="宋体" w:hAnsi="宋体" w:eastAsia="宋体" w:cs="宋体"/>
          <w:sz w:val="24"/>
          <w:highlight w:val="none"/>
        </w:rPr>
        <w:t>19.3按照《中华人民共和国政府采购法</w:t>
      </w:r>
      <w:r>
        <w:rPr>
          <w:rFonts w:hint="eastAsia" w:ascii="宋体" w:hAnsi="宋体" w:eastAsia="宋体" w:cs="宋体"/>
          <w:sz w:val="24"/>
          <w:highlight w:val="none"/>
          <w:lang w:eastAsia="zh-CN"/>
        </w:rPr>
        <w:t>》《</w:t>
      </w:r>
      <w:r>
        <w:rPr>
          <w:rFonts w:hint="eastAsia" w:ascii="宋体" w:hAnsi="宋体" w:eastAsia="宋体" w:cs="宋体"/>
          <w:sz w:val="24"/>
          <w:highlight w:val="none"/>
        </w:rPr>
        <w:t>中华人民共和国政府采购法实施条例》及本项目本级和上级财政部门、政府采购监督管理部门的有关规定依法组建的评标委员会，负责本项目评标工作。</w:t>
      </w:r>
    </w:p>
    <w:p w14:paraId="17E31A09">
      <w:pPr>
        <w:spacing w:line="360" w:lineRule="auto"/>
        <w:ind w:firstLine="437"/>
        <w:outlineLvl w:val="2"/>
        <w:rPr>
          <w:rFonts w:hint="eastAsia" w:ascii="宋体" w:hAnsi="宋体" w:eastAsia="宋体" w:cs="宋体"/>
          <w:b/>
          <w:sz w:val="24"/>
          <w:highlight w:val="none"/>
        </w:rPr>
      </w:pPr>
      <w:r>
        <w:rPr>
          <w:rFonts w:hint="eastAsia" w:ascii="宋体" w:hAnsi="宋体" w:eastAsia="宋体" w:cs="宋体"/>
          <w:b/>
          <w:sz w:val="24"/>
          <w:highlight w:val="none"/>
        </w:rPr>
        <w:t>20.投标文件符合性审查与澄清</w:t>
      </w:r>
    </w:p>
    <w:p w14:paraId="7230603F">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20.1符合性审查是指依据招标文件的规定，从投标文件的有效性和完整性对招标文件的响应程度进行审查，以确定是否对招标文件的实质性要求做出响应。</w:t>
      </w:r>
    </w:p>
    <w:p w14:paraId="52B2AF87">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20.2如一个分包内只有一种产品，不同投标人所投产品为同一品牌的，按如下方式处理：</w:t>
      </w:r>
    </w:p>
    <w:p w14:paraId="5EBFC2B2">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20.2.1如本项目使用最低评标价法，提供相同品牌产品的不同投标人以其中通过资格审查、符合性审查且报价最低的参加评标；报价相同的，由</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或者</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委托评标委员会按照招标文件中评标方法和标准规定的方式确定一个参加评标的投标人；未规定的采取随机抽取方式确定，其他投标将被认定为</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110096B9">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20.2.2如本项目使用综合评分法，提供相同品牌产品且通过资格审查、符合性审查的不同投标人，按一家投标人计算，评审后得分最高的同品牌投标人获得中标人推荐资格；评审得分相同的，由</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或者</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委托评标委员会按照招标文件中评标方法和标准规定的方式确定一个投标人获得中标人推荐资格；未规定的采取随机抽取方式确定，其他同品牌投标人不作为中标候选人。</w:t>
      </w:r>
    </w:p>
    <w:p w14:paraId="5578C975">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20.3如一个分包内包含多种产品的，</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或</w:t>
      </w:r>
      <w:r>
        <w:rPr>
          <w:rFonts w:hint="eastAsia" w:ascii="宋体" w:hAnsi="宋体" w:eastAsia="宋体" w:cs="宋体"/>
          <w:sz w:val="24"/>
          <w:highlight w:val="none"/>
          <w:lang w:eastAsia="zh-CN"/>
        </w:rPr>
        <w:t>招标代理</w:t>
      </w:r>
      <w:r>
        <w:rPr>
          <w:rFonts w:hint="eastAsia" w:ascii="宋体" w:hAnsi="宋体" w:eastAsia="宋体" w:cs="宋体"/>
          <w:sz w:val="24"/>
          <w:highlight w:val="none"/>
        </w:rPr>
        <w:t>机构将在</w:t>
      </w:r>
      <w:r>
        <w:rPr>
          <w:rFonts w:hint="eastAsia" w:ascii="宋体" w:hAnsi="宋体" w:eastAsia="宋体" w:cs="宋体"/>
          <w:sz w:val="24"/>
          <w:highlight w:val="none"/>
          <w:u w:val="single"/>
        </w:rPr>
        <w:t>投标人须知前附表</w:t>
      </w:r>
      <w:r>
        <w:rPr>
          <w:rFonts w:hint="eastAsia" w:ascii="宋体" w:hAnsi="宋体" w:eastAsia="宋体" w:cs="宋体"/>
          <w:sz w:val="24"/>
          <w:highlight w:val="none"/>
        </w:rPr>
        <w:t>中载明核心产品，多家投标人提供的核心产品品牌相同的，按第20.2款规定处理。</w:t>
      </w:r>
    </w:p>
    <w:p w14:paraId="3B50A497">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20.4投标文件的澄清</w:t>
      </w:r>
    </w:p>
    <w:p w14:paraId="01C0C8CE">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20.4.1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w:t>
      </w:r>
      <w:r>
        <w:rPr>
          <w:rFonts w:hint="eastAsia" w:ascii="宋体" w:hAnsi="宋体" w:eastAsia="宋体" w:cs="宋体"/>
          <w:sz w:val="24"/>
          <w:highlight w:val="none"/>
          <w:lang w:eastAsia="zh-CN"/>
        </w:rPr>
        <w:t>做必要的</w:t>
      </w:r>
      <w:r>
        <w:rPr>
          <w:rFonts w:hint="eastAsia" w:ascii="宋体" w:hAnsi="宋体" w:eastAsia="宋体" w:cs="宋体"/>
          <w:sz w:val="24"/>
          <w:highlight w:val="none"/>
        </w:rPr>
        <w:t>澄清、说明或补正。投标人的澄清、说明或补正应在评标委员会规定的时间内以书面方式进行，并不得超出投标文件范围或者改变投标文件的实质性内容。</w:t>
      </w:r>
    </w:p>
    <w:p w14:paraId="5635E366">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39066D46">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20.4.2投标人的澄清、说明或补正将作为投标文件的一部分。</w:t>
      </w:r>
    </w:p>
    <w:p w14:paraId="01B9504F">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20.4.3评标委员会对投标人提交的澄清、说明或补正有疑问的，可以要求投标人进一步澄清、说明或补正，直至满足评标委员会的要求。</w:t>
      </w:r>
    </w:p>
    <w:p w14:paraId="68151311">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20.5投标文件报价出现前后不一致的，按照下列规定修正：</w:t>
      </w:r>
    </w:p>
    <w:p w14:paraId="4FC8DC9D">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（1）投标文件中开标一览表内容与投标文件中相应内容不一致的，以开标一览表为准；</w:t>
      </w:r>
    </w:p>
    <w:p w14:paraId="03993C1B">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（2）大写金额和小写金额不一致的，以大写金额为准；</w:t>
      </w:r>
    </w:p>
    <w:p w14:paraId="786F5263">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（3）单价金额小数点或者百分比有明显错位的，以开标一览表的总价为准，并修改单价；</w:t>
      </w:r>
    </w:p>
    <w:p w14:paraId="3A3B3108">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（4）总价金额与按单价汇总金额不一致的，以单价金额计算结果为准。</w:t>
      </w:r>
    </w:p>
    <w:p w14:paraId="63BC7115">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同时出现两种以上不一致的，按照前款规定的顺序修正。修正后的报价按照第20.4条的规定经投标人确认后产生约束力，投标人不确认的，其投标将被认定为</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51085986">
      <w:pPr>
        <w:spacing w:line="360" w:lineRule="auto"/>
        <w:ind w:firstLine="435"/>
        <w:rPr>
          <w:rFonts w:hint="eastAsia" w:ascii="宋体" w:hAnsi="宋体" w:eastAsia="宋体" w:cs="宋体"/>
          <w:b/>
          <w:sz w:val="24"/>
          <w:highlight w:val="none"/>
        </w:rPr>
      </w:pPr>
      <w:r>
        <w:rPr>
          <w:rFonts w:hint="eastAsia" w:ascii="宋体" w:hAnsi="宋体" w:eastAsia="宋体" w:cs="宋体"/>
          <w:sz w:val="24"/>
          <w:highlight w:val="none"/>
        </w:rPr>
        <w:t>对不同文字文本投标文件的解释发生异议的，以中文文本为准。</w:t>
      </w:r>
    </w:p>
    <w:p w14:paraId="16066E9A">
      <w:pPr>
        <w:spacing w:line="360" w:lineRule="auto"/>
        <w:ind w:firstLine="437"/>
        <w:outlineLvl w:val="2"/>
        <w:rPr>
          <w:rFonts w:hint="eastAsia" w:ascii="宋体" w:hAnsi="宋体" w:eastAsia="宋体" w:cs="宋体"/>
          <w:b/>
          <w:sz w:val="24"/>
          <w:highlight w:val="none"/>
        </w:rPr>
      </w:pPr>
      <w:r>
        <w:rPr>
          <w:rFonts w:hint="eastAsia" w:ascii="宋体" w:hAnsi="宋体" w:eastAsia="宋体" w:cs="宋体"/>
          <w:b/>
          <w:sz w:val="24"/>
          <w:highlight w:val="none"/>
        </w:rPr>
        <w:t>21.投标无效</w:t>
      </w:r>
    </w:p>
    <w:p w14:paraId="51214774">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21.1根据本招标文件的规定，评标委员会要审查每份投标文件是否实质上响应了招标文件的要求。投标人不得通过修正或撤销不符合要求的偏离，从而使其投标成为实质上响应的投标。</w:t>
      </w:r>
    </w:p>
    <w:p w14:paraId="18FF6CC7">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评标委员会决定投标的响应性只根据招标文件要求和投标文件内容。</w:t>
      </w:r>
    </w:p>
    <w:p w14:paraId="3B950CDE">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无论何种原因，即使投标人投标时携带了证书材料的原件，但投标文件中未提供与之内容完全一致的扫描件的，评标委员会视同其未提供。</w:t>
      </w:r>
    </w:p>
    <w:p w14:paraId="1EB0B8D5">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21.2如发现下列情况之一的，其投标将被认定为</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161F6FF9">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（1）投标文件未按照招标文件规定要求签署、盖章的；</w:t>
      </w:r>
    </w:p>
    <w:p w14:paraId="23F853DC">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（2）不具备招标文件中规定的资格要求的；</w:t>
      </w:r>
    </w:p>
    <w:p w14:paraId="156E74FD">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（3）报价超过招标文件中规定的预算金额或者最高限价的；</w:t>
      </w:r>
    </w:p>
    <w:p w14:paraId="55C883DF">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（4）投标文件含有</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不能接受的附加条件的；</w:t>
      </w:r>
    </w:p>
    <w:p w14:paraId="5E5B2AAA">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（5）法律、法规和招标文件规定的其他无效情形。</w:t>
      </w:r>
    </w:p>
    <w:p w14:paraId="7CDE4211">
      <w:pPr>
        <w:spacing w:line="360" w:lineRule="auto"/>
        <w:ind w:firstLine="437"/>
        <w:outlineLvl w:val="2"/>
        <w:rPr>
          <w:rFonts w:hint="eastAsia" w:ascii="宋体" w:hAnsi="宋体" w:eastAsia="宋体" w:cs="宋体"/>
          <w:b/>
          <w:sz w:val="24"/>
          <w:highlight w:val="none"/>
        </w:rPr>
      </w:pPr>
      <w:r>
        <w:rPr>
          <w:rFonts w:hint="eastAsia" w:ascii="宋体" w:hAnsi="宋体" w:eastAsia="宋体" w:cs="宋体"/>
          <w:b/>
          <w:sz w:val="24"/>
          <w:highlight w:val="none"/>
        </w:rPr>
        <w:t>22.比较与评价</w:t>
      </w:r>
    </w:p>
    <w:p w14:paraId="1C5C9981">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22.1经符合性审查合格的投标文件，评标委员会将根据招标文件确定的评标方法和标准，对其投标文件作进一步的比较与评价。</w:t>
      </w:r>
    </w:p>
    <w:p w14:paraId="6640E9A2">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22.2评标严格按照招标文件的要求和条件进行。根据实际情况，在</w:t>
      </w:r>
      <w:r>
        <w:rPr>
          <w:rFonts w:hint="eastAsia" w:ascii="宋体" w:hAnsi="宋体" w:eastAsia="宋体" w:cs="宋体"/>
          <w:sz w:val="24"/>
          <w:highlight w:val="none"/>
          <w:u w:val="single"/>
        </w:rPr>
        <w:t>投标人须知前附表</w:t>
      </w:r>
      <w:r>
        <w:rPr>
          <w:rFonts w:hint="eastAsia" w:ascii="宋体" w:hAnsi="宋体" w:eastAsia="宋体" w:cs="宋体"/>
          <w:sz w:val="24"/>
          <w:highlight w:val="none"/>
        </w:rPr>
        <w:t>中规定采用下列一种评标方法，详细评标方法和标准见招标文件第四章：</w:t>
      </w:r>
    </w:p>
    <w:p w14:paraId="1962D249">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（1）最低评标价法，是指投标文件满足招标文件全部实质性要求，且投标报价最低的投标人为中标候选人的评标方法。</w:t>
      </w:r>
    </w:p>
    <w:p w14:paraId="0E340162">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（2）综合评分法，是指投标文件满足招标文件全部实质性要求，且按照评审因素的量化指标评审得分最高的投标人为中标候选人的评标方法。</w:t>
      </w:r>
    </w:p>
    <w:p w14:paraId="62BF07CC">
      <w:pPr>
        <w:spacing w:line="360" w:lineRule="auto"/>
        <w:ind w:firstLine="435"/>
        <w:rPr>
          <w:rFonts w:hint="eastAsia" w:ascii="宋体" w:hAnsi="宋体" w:eastAsia="宋体" w:cs="宋体"/>
          <w:sz w:val="24"/>
          <w:highlight w:val="none"/>
        </w:rPr>
      </w:pPr>
      <w:bookmarkStart w:id="49" w:name="_Hlk60581117"/>
      <w:r>
        <w:rPr>
          <w:rFonts w:hint="eastAsia" w:ascii="宋体" w:hAnsi="宋体" w:eastAsia="宋体" w:cs="宋体"/>
          <w:sz w:val="24"/>
          <w:highlight w:val="none"/>
        </w:rPr>
        <w:t>22.3根据《政府采购促进中小企业发展管理办法》（财库〔2020〕46号）、《财政部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w:t>
      </w:r>
      <w:r>
        <w:rPr>
          <w:rFonts w:hint="eastAsia" w:ascii="宋体" w:hAnsi="宋体" w:eastAsia="宋体" w:cs="宋体"/>
          <w:sz w:val="24"/>
          <w:highlight w:val="none"/>
          <w:lang w:eastAsia="zh-CN"/>
        </w:rPr>
        <w:t>》《</w:t>
      </w:r>
      <w:r>
        <w:rPr>
          <w:rFonts w:hint="eastAsia" w:ascii="宋体" w:hAnsi="宋体" w:eastAsia="宋体" w:cs="宋体"/>
          <w:sz w:val="24"/>
          <w:highlight w:val="none"/>
        </w:rPr>
        <w:t>残疾人福利性单位声明函》或省级以上监狱管理局、戒毒管理局（含新疆生产建设兵团）出具的属于监狱企业的证明文件的投标人，其投标报价按照</w:t>
      </w:r>
      <w:r>
        <w:rPr>
          <w:rFonts w:hint="eastAsia" w:ascii="宋体" w:hAnsi="宋体" w:eastAsia="宋体" w:cs="宋体"/>
          <w:sz w:val="24"/>
          <w:highlight w:val="none"/>
          <w:u w:val="single"/>
        </w:rPr>
        <w:t>投标人须知前附表</w:t>
      </w:r>
      <w:r>
        <w:rPr>
          <w:rFonts w:hint="eastAsia" w:ascii="宋体" w:hAnsi="宋体" w:eastAsia="宋体" w:cs="宋体"/>
          <w:sz w:val="24"/>
          <w:highlight w:val="none"/>
        </w:rPr>
        <w:t>中规定的标准扣除后的价格参与评审。对于同时属于小微企业、监狱企业或残疾人福利性单位的，不重复进行投标报价扣除。</w:t>
      </w:r>
    </w:p>
    <w:p w14:paraId="067DE71A">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接受大中型企业与小微企业组成联合体或者允许大中型企业向一家或者多家小微企业分包的，对于联合协议或者分包意向协议约定小微企业的合同份额占到合同总金额30%以上的，可给予联合体或者大中型企业的投标报价按照</w:t>
      </w:r>
      <w:r>
        <w:rPr>
          <w:rFonts w:hint="eastAsia" w:ascii="宋体" w:hAnsi="宋体" w:eastAsia="宋体" w:cs="宋体"/>
          <w:sz w:val="24"/>
          <w:highlight w:val="none"/>
          <w:u w:val="single"/>
        </w:rPr>
        <w:t>投标人须知前附表</w:t>
      </w:r>
      <w:r>
        <w:rPr>
          <w:rFonts w:hint="eastAsia" w:ascii="宋体" w:hAnsi="宋体" w:eastAsia="宋体" w:cs="宋体"/>
          <w:sz w:val="24"/>
          <w:highlight w:val="none"/>
        </w:rPr>
        <w:t>中规定的标准扣除后的价格参与评审。组成联合体或者接受分包的小微企业与联合体内其他企业、分包企业之间存在直接控股、管理关系的，不享受价格扣除优惠政策。</w:t>
      </w:r>
    </w:p>
    <w:p w14:paraId="4C8285A3">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以联合体形式参加政府采购活动，联合体各方均为中小企业的，联合体视同中小企业。其中，联合体各方均为小微企业的，联合体视同小微企业。</w:t>
      </w:r>
    </w:p>
    <w:bookmarkEnd w:id="49"/>
    <w:p w14:paraId="60409CB6">
      <w:pPr>
        <w:spacing w:line="360" w:lineRule="auto"/>
        <w:ind w:firstLine="437"/>
        <w:outlineLvl w:val="2"/>
        <w:rPr>
          <w:rFonts w:hint="eastAsia" w:ascii="宋体" w:hAnsi="宋体" w:eastAsia="宋体" w:cs="宋体"/>
          <w:b/>
          <w:sz w:val="24"/>
          <w:highlight w:val="none"/>
        </w:rPr>
      </w:pPr>
      <w:r>
        <w:rPr>
          <w:rFonts w:hint="eastAsia" w:ascii="宋体" w:hAnsi="宋体" w:eastAsia="宋体" w:cs="宋体"/>
          <w:b/>
          <w:sz w:val="24"/>
          <w:highlight w:val="none"/>
        </w:rPr>
        <w:t>23.废标</w:t>
      </w:r>
    </w:p>
    <w:p w14:paraId="5A141CB7">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出现下列情形之一，将导致项目废标：</w:t>
      </w:r>
    </w:p>
    <w:p w14:paraId="52FECA8E">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（1）符合专业条件的供应商或者对招标文件做实质性响应的供应商不足规定数量的；</w:t>
      </w:r>
    </w:p>
    <w:p w14:paraId="37993E28">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（2）出现影响采购公正的违法、违规行为的；</w:t>
      </w:r>
    </w:p>
    <w:p w14:paraId="69738E05">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（3）投标人的报价均超过了采购预算，</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不能支付的；</w:t>
      </w:r>
    </w:p>
    <w:p w14:paraId="53D655D1">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（4）因重大变故，采购任务取消的。</w:t>
      </w:r>
    </w:p>
    <w:p w14:paraId="4A6D5D12">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（5）如评标过程中出现各投标人得分情况悬殊，个别投标人综合得分大幅高于其他投标人，由评标委员会认定有明显围标、陪标现象的或各投标人之间明显不具备竞争性的。</w:t>
      </w:r>
    </w:p>
    <w:p w14:paraId="5EB7EAE2">
      <w:pPr>
        <w:spacing w:line="360" w:lineRule="auto"/>
        <w:ind w:firstLine="437"/>
        <w:outlineLvl w:val="2"/>
        <w:rPr>
          <w:rFonts w:hint="eastAsia" w:ascii="宋体" w:hAnsi="宋体" w:eastAsia="宋体" w:cs="宋体"/>
          <w:b/>
          <w:sz w:val="24"/>
          <w:highlight w:val="none"/>
        </w:rPr>
      </w:pPr>
      <w:r>
        <w:rPr>
          <w:rFonts w:hint="eastAsia" w:ascii="宋体" w:hAnsi="宋体" w:eastAsia="宋体" w:cs="宋体"/>
          <w:b/>
          <w:sz w:val="24"/>
          <w:highlight w:val="none"/>
        </w:rPr>
        <w:t>24.保密要求</w:t>
      </w:r>
    </w:p>
    <w:p w14:paraId="01B74925">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24.1评标将在严格保密的情况下进行。</w:t>
      </w:r>
    </w:p>
    <w:p w14:paraId="5C57BCDD">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24.2有关人员应当遵守评标工作纪律，不得泄露评标文件、评标情况和评标中获悉的国家秘密、商业秘密。</w:t>
      </w:r>
    </w:p>
    <w:p w14:paraId="0AF72B06">
      <w:pPr>
        <w:spacing w:line="360" w:lineRule="auto"/>
        <w:ind w:firstLine="437"/>
        <w:outlineLvl w:val="2"/>
        <w:rPr>
          <w:rFonts w:hint="eastAsia" w:ascii="宋体" w:hAnsi="宋体" w:eastAsia="宋体" w:cs="宋体"/>
          <w:b/>
          <w:sz w:val="24"/>
          <w:highlight w:val="none"/>
        </w:rPr>
      </w:pPr>
      <w:r>
        <w:rPr>
          <w:rFonts w:hint="eastAsia" w:ascii="宋体" w:hAnsi="宋体" w:eastAsia="宋体" w:cs="宋体"/>
          <w:b/>
          <w:sz w:val="24"/>
          <w:highlight w:val="none"/>
        </w:rPr>
        <w:t>25.中标候选人的确定原则及标准</w:t>
      </w:r>
    </w:p>
    <w:p w14:paraId="7FB12465">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25.1评标委员会依据本项目招标文件所约定的评标方法，对实质上响应招标文件的投标人按下列方法进行排序，确定中标候选人：</w:t>
      </w:r>
    </w:p>
    <w:p w14:paraId="7944F39E">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61BBEA1F">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采用综合评分法的，评标结果按评审后得分由高到低顺序排列。得分相同的，按投标报价由低到高顺序排列。得分与投标报价均相同的，则所投产品为节能产品、环境标志产品、不发达地区或少数民族地区产品者优先；若得分与投标报价均相同且所投产品同为节能产品、环境标志产品、不发达地区或少数民族地区产品的，则采取评标委员会随机抽取的方式确定中标候选顺序。</w:t>
      </w:r>
    </w:p>
    <w:p w14:paraId="0CE9C522">
      <w:pPr>
        <w:spacing w:line="360" w:lineRule="auto"/>
        <w:ind w:firstLine="437"/>
        <w:outlineLvl w:val="2"/>
        <w:rPr>
          <w:rFonts w:hint="eastAsia" w:ascii="宋体" w:hAnsi="宋体" w:eastAsia="宋体" w:cs="宋体"/>
          <w:b/>
          <w:sz w:val="24"/>
          <w:highlight w:val="none"/>
        </w:rPr>
      </w:pPr>
      <w:r>
        <w:rPr>
          <w:rFonts w:hint="eastAsia" w:ascii="宋体" w:hAnsi="宋体" w:eastAsia="宋体" w:cs="宋体"/>
          <w:b/>
          <w:sz w:val="24"/>
          <w:highlight w:val="none"/>
        </w:rPr>
        <w:t>26.确定中标候选人和中标人</w:t>
      </w:r>
    </w:p>
    <w:p w14:paraId="4E086563">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26.1评标委员会将根据评标标准，按</w:t>
      </w:r>
      <w:r>
        <w:rPr>
          <w:rFonts w:hint="eastAsia" w:ascii="宋体" w:hAnsi="宋体" w:eastAsia="宋体" w:cs="宋体"/>
          <w:sz w:val="24"/>
          <w:highlight w:val="none"/>
          <w:u w:val="single"/>
        </w:rPr>
        <w:t>投标人须知前附表</w:t>
      </w:r>
      <w:r>
        <w:rPr>
          <w:rFonts w:hint="eastAsia" w:ascii="宋体" w:hAnsi="宋体" w:eastAsia="宋体" w:cs="宋体"/>
          <w:sz w:val="24"/>
          <w:highlight w:val="none"/>
        </w:rPr>
        <w:t>中规定数量推荐中标候选人。</w:t>
      </w:r>
    </w:p>
    <w:p w14:paraId="68B3F061">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26.2按</w:t>
      </w:r>
      <w:r>
        <w:rPr>
          <w:rFonts w:hint="eastAsia" w:ascii="宋体" w:hAnsi="宋体" w:eastAsia="宋体" w:cs="宋体"/>
          <w:sz w:val="24"/>
          <w:highlight w:val="none"/>
          <w:u w:val="single"/>
        </w:rPr>
        <w:t>投标人须知前附表</w:t>
      </w:r>
      <w:r>
        <w:rPr>
          <w:rFonts w:hint="eastAsia" w:ascii="宋体" w:hAnsi="宋体" w:eastAsia="宋体" w:cs="宋体"/>
          <w:sz w:val="24"/>
          <w:highlight w:val="none"/>
        </w:rPr>
        <w:t>中规定，由评标委员会或</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确定中标人。</w:t>
      </w:r>
    </w:p>
    <w:p w14:paraId="3880B153">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26.3因重大变故采购任务取消时，</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有权拒绝任何投标人中标，且对受影响的投标人不承担任何责任。</w:t>
      </w:r>
    </w:p>
    <w:p w14:paraId="678560D2">
      <w:pPr>
        <w:spacing w:line="360" w:lineRule="auto"/>
        <w:ind w:firstLine="437"/>
        <w:outlineLvl w:val="2"/>
        <w:rPr>
          <w:rFonts w:hint="eastAsia" w:ascii="宋体" w:hAnsi="宋体" w:eastAsia="宋体" w:cs="宋体"/>
          <w:b/>
          <w:sz w:val="24"/>
          <w:highlight w:val="none"/>
        </w:rPr>
      </w:pPr>
      <w:r>
        <w:rPr>
          <w:rFonts w:hint="eastAsia" w:ascii="宋体" w:hAnsi="宋体" w:eastAsia="宋体" w:cs="宋体"/>
          <w:b/>
          <w:sz w:val="24"/>
          <w:highlight w:val="none"/>
        </w:rPr>
        <w:t>27.编写评标报告</w:t>
      </w:r>
    </w:p>
    <w:p w14:paraId="46F7B87C">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4F6F4F9B">
      <w:pPr>
        <w:spacing w:line="360" w:lineRule="auto"/>
        <w:ind w:firstLine="437"/>
        <w:outlineLvl w:val="2"/>
        <w:rPr>
          <w:rFonts w:hint="eastAsia" w:ascii="宋体" w:hAnsi="宋体" w:eastAsia="宋体" w:cs="宋体"/>
          <w:b/>
          <w:sz w:val="24"/>
          <w:highlight w:val="none"/>
        </w:rPr>
      </w:pPr>
      <w:r>
        <w:rPr>
          <w:rFonts w:hint="eastAsia" w:ascii="宋体" w:hAnsi="宋体" w:eastAsia="宋体" w:cs="宋体"/>
          <w:b/>
          <w:sz w:val="24"/>
          <w:highlight w:val="none"/>
        </w:rPr>
        <w:t>28.中标结果公告</w:t>
      </w:r>
    </w:p>
    <w:p w14:paraId="7F7EEE03">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28.1除</w:t>
      </w:r>
      <w:r>
        <w:rPr>
          <w:rFonts w:hint="eastAsia" w:ascii="宋体" w:hAnsi="宋体" w:eastAsia="宋体" w:cs="宋体"/>
          <w:sz w:val="24"/>
          <w:highlight w:val="none"/>
          <w:u w:val="single"/>
        </w:rPr>
        <w:t>投标人须知前附表</w:t>
      </w:r>
      <w:r>
        <w:rPr>
          <w:rFonts w:hint="eastAsia" w:ascii="宋体" w:hAnsi="宋体" w:eastAsia="宋体" w:cs="宋体"/>
          <w:sz w:val="24"/>
          <w:highlight w:val="none"/>
        </w:rPr>
        <w:t>规定由评标委员会直接确定中标人外，在评标结束后2个工作日内，</w:t>
      </w:r>
      <w:r>
        <w:rPr>
          <w:rFonts w:hint="eastAsia" w:ascii="宋体" w:hAnsi="宋体" w:eastAsia="宋体" w:cs="宋体"/>
          <w:sz w:val="24"/>
          <w:highlight w:val="none"/>
          <w:lang w:eastAsia="zh-CN"/>
        </w:rPr>
        <w:t>招标代理</w:t>
      </w:r>
      <w:r>
        <w:rPr>
          <w:rFonts w:hint="eastAsia" w:ascii="宋体" w:hAnsi="宋体" w:eastAsia="宋体" w:cs="宋体"/>
          <w:sz w:val="24"/>
          <w:highlight w:val="none"/>
        </w:rPr>
        <w:t>机构将评标报告送</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应当自收到评标报告之日起5个工作日内，在评标报告确定的中标候选人名单中按顺序确定中标人。中标候选人并列的，由</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或者</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委托评标委员会按照招标文件规定的方式确定中标人；招标文件未规定的，采取随机抽取的方式确定。</w:t>
      </w:r>
    </w:p>
    <w:p w14:paraId="38030924">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28.2</w:t>
      </w:r>
      <w:r>
        <w:rPr>
          <w:rFonts w:hint="eastAsia" w:ascii="宋体" w:hAnsi="宋体" w:eastAsia="宋体" w:cs="宋体"/>
          <w:sz w:val="24"/>
          <w:szCs w:val="18"/>
          <w:highlight w:val="none"/>
        </w:rPr>
        <w:t>自中标人确定之日起2个工作日内，</w:t>
      </w:r>
      <w:r>
        <w:rPr>
          <w:rFonts w:hint="eastAsia" w:ascii="宋体" w:hAnsi="宋体" w:eastAsia="宋体" w:cs="宋体"/>
          <w:sz w:val="24"/>
          <w:szCs w:val="18"/>
          <w:highlight w:val="none"/>
          <w:lang w:eastAsia="zh-CN"/>
        </w:rPr>
        <w:t>招标代理</w:t>
      </w:r>
      <w:r>
        <w:rPr>
          <w:rFonts w:hint="eastAsia" w:ascii="宋体" w:hAnsi="宋体" w:eastAsia="宋体" w:cs="宋体"/>
          <w:sz w:val="24"/>
          <w:szCs w:val="18"/>
          <w:highlight w:val="none"/>
        </w:rPr>
        <w:t>机构将在安徽省政府采购网（www.ccgp-anhui.gov.cn）、安徽合肥公共资源交易中心网站（http://ggzy.hefei.gov.cn）、安徽省公共资源交易监管网（http://ggzy.ah.gov.cn）、全国公共资源交易平台（</w:t>
      </w:r>
      <w:r>
        <w:rPr>
          <w:rFonts w:hint="eastAsia" w:ascii="宋体" w:hAnsi="宋体" w:eastAsia="宋体" w:cs="宋体"/>
          <w:sz w:val="24"/>
          <w:szCs w:val="24"/>
          <w:highlight w:val="none"/>
        </w:rPr>
        <w:t>http://www.ggzy.gov.cn</w:t>
      </w:r>
      <w:r>
        <w:rPr>
          <w:rFonts w:hint="eastAsia" w:ascii="宋体" w:hAnsi="宋体" w:eastAsia="宋体" w:cs="宋体"/>
          <w:sz w:val="24"/>
          <w:szCs w:val="18"/>
          <w:highlight w:val="none"/>
        </w:rPr>
        <w:t>）上发布中标结果公告。</w:t>
      </w:r>
    </w:p>
    <w:p w14:paraId="0ACEFBFA">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28.3中标结果公告内容应当包括</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及其委托的</w:t>
      </w:r>
      <w:r>
        <w:rPr>
          <w:rFonts w:hint="eastAsia" w:ascii="宋体" w:hAnsi="宋体" w:eastAsia="宋体" w:cs="宋体"/>
          <w:sz w:val="24"/>
          <w:highlight w:val="none"/>
          <w:lang w:eastAsia="zh-CN"/>
        </w:rPr>
        <w:t>招标代理</w:t>
      </w:r>
      <w:r>
        <w:rPr>
          <w:rFonts w:hint="eastAsia" w:ascii="宋体" w:hAnsi="宋体" w:eastAsia="宋体" w:cs="宋体"/>
          <w:sz w:val="24"/>
          <w:highlight w:val="none"/>
        </w:rPr>
        <w:t>机构的名称、地址、联系方式，项目名称和项目编号，中标人名称、地址和中标金额，主要中标标的的名称、规格型号、数量、单价、服务要求，中标公告期限、评审专家名单以及</w:t>
      </w:r>
      <w:r>
        <w:rPr>
          <w:rFonts w:hint="eastAsia" w:ascii="宋体" w:hAnsi="宋体" w:eastAsia="宋体" w:cs="宋体"/>
          <w:sz w:val="24"/>
          <w:highlight w:val="none"/>
          <w:u w:val="single"/>
        </w:rPr>
        <w:t>投标人须知前附表</w:t>
      </w:r>
      <w:r>
        <w:rPr>
          <w:rFonts w:hint="eastAsia" w:ascii="宋体" w:hAnsi="宋体" w:eastAsia="宋体" w:cs="宋体"/>
          <w:sz w:val="24"/>
          <w:highlight w:val="none"/>
        </w:rPr>
        <w:t>中约定进行公告的内容。中标公告期限为1个工作日。</w:t>
      </w:r>
    </w:p>
    <w:p w14:paraId="20A64C2F">
      <w:pPr>
        <w:spacing w:line="360" w:lineRule="auto"/>
        <w:ind w:firstLine="437"/>
        <w:outlineLvl w:val="2"/>
        <w:rPr>
          <w:rFonts w:hint="eastAsia" w:ascii="宋体" w:hAnsi="宋体" w:eastAsia="宋体" w:cs="宋体"/>
          <w:b/>
          <w:sz w:val="24"/>
          <w:highlight w:val="none"/>
        </w:rPr>
      </w:pPr>
      <w:r>
        <w:rPr>
          <w:rFonts w:hint="eastAsia" w:ascii="宋体" w:hAnsi="宋体" w:eastAsia="宋体" w:cs="宋体"/>
          <w:b/>
          <w:sz w:val="24"/>
          <w:highlight w:val="none"/>
        </w:rPr>
        <w:t>29.中标通知书</w:t>
      </w:r>
    </w:p>
    <w:p w14:paraId="747A3884">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29.1</w:t>
      </w:r>
      <w:r>
        <w:rPr>
          <w:rFonts w:hint="eastAsia" w:ascii="宋体" w:hAnsi="宋体" w:eastAsia="宋体" w:cs="宋体"/>
          <w:sz w:val="24"/>
          <w:highlight w:val="none"/>
          <w:lang w:eastAsia="zh-CN"/>
        </w:rPr>
        <w:t>招标代理</w:t>
      </w:r>
      <w:r>
        <w:rPr>
          <w:rFonts w:hint="eastAsia" w:ascii="宋体" w:hAnsi="宋体" w:eastAsia="宋体" w:cs="宋体"/>
          <w:sz w:val="24"/>
          <w:highlight w:val="none"/>
        </w:rPr>
        <w:t>机构发布中标结果公告</w:t>
      </w:r>
      <w:r>
        <w:rPr>
          <w:rFonts w:hint="eastAsia" w:ascii="宋体" w:hAnsi="宋体" w:eastAsia="宋体" w:cs="宋体"/>
          <w:iCs/>
          <w:sz w:val="24"/>
          <w:highlight w:val="none"/>
        </w:rPr>
        <w:t>的</w:t>
      </w:r>
      <w:r>
        <w:rPr>
          <w:rFonts w:hint="eastAsia" w:ascii="宋体" w:hAnsi="宋体" w:eastAsia="宋体" w:cs="宋体"/>
          <w:sz w:val="24"/>
          <w:highlight w:val="none"/>
        </w:rPr>
        <w:t>同时以</w:t>
      </w:r>
      <w:r>
        <w:rPr>
          <w:rFonts w:hint="eastAsia" w:ascii="宋体" w:hAnsi="宋体" w:eastAsia="宋体" w:cs="宋体"/>
          <w:sz w:val="24"/>
          <w:highlight w:val="none"/>
          <w:u w:val="single"/>
        </w:rPr>
        <w:t>投标人须知前附表</w:t>
      </w:r>
      <w:r>
        <w:rPr>
          <w:rFonts w:hint="eastAsia" w:ascii="宋体" w:hAnsi="宋体" w:eastAsia="宋体" w:cs="宋体"/>
          <w:sz w:val="24"/>
          <w:highlight w:val="none"/>
        </w:rPr>
        <w:t>规定的形式向中标人发出中标通知书。</w:t>
      </w:r>
    </w:p>
    <w:p w14:paraId="61CA2210">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29.2中标通知书对</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和中标人具有同等法律效力。中标通知书发出以后，</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改变中标结果或者中标人放弃中标，应当承担相应的法律责任。</w:t>
      </w:r>
    </w:p>
    <w:p w14:paraId="7731013C">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29.3中标通知书是合同的组成部分。</w:t>
      </w:r>
    </w:p>
    <w:p w14:paraId="0AAB148A">
      <w:pPr>
        <w:spacing w:line="360" w:lineRule="auto"/>
        <w:ind w:firstLine="437"/>
        <w:outlineLvl w:val="2"/>
        <w:rPr>
          <w:rFonts w:hint="eastAsia" w:ascii="宋体" w:hAnsi="宋体" w:eastAsia="宋体" w:cs="宋体"/>
          <w:b/>
          <w:sz w:val="24"/>
          <w:highlight w:val="none"/>
        </w:rPr>
      </w:pPr>
      <w:r>
        <w:rPr>
          <w:rFonts w:hint="eastAsia" w:ascii="宋体" w:hAnsi="宋体" w:eastAsia="宋体" w:cs="宋体"/>
          <w:b/>
          <w:sz w:val="24"/>
          <w:highlight w:val="none"/>
        </w:rPr>
        <w:t>30.告知招标结果</w:t>
      </w:r>
    </w:p>
    <w:p w14:paraId="33F291CC">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30.1在公告中标结果的同时，</w:t>
      </w:r>
      <w:r>
        <w:rPr>
          <w:rFonts w:hint="eastAsia" w:ascii="宋体" w:hAnsi="宋体" w:eastAsia="宋体" w:cs="宋体"/>
          <w:sz w:val="24"/>
          <w:highlight w:val="none"/>
          <w:lang w:eastAsia="zh-CN"/>
        </w:rPr>
        <w:t>招标代理</w:t>
      </w:r>
      <w:r>
        <w:rPr>
          <w:rFonts w:hint="eastAsia" w:ascii="宋体" w:hAnsi="宋体" w:eastAsia="宋体" w:cs="宋体"/>
          <w:sz w:val="24"/>
          <w:highlight w:val="none"/>
        </w:rPr>
        <w:t>机构同时以</w:t>
      </w:r>
      <w:r>
        <w:rPr>
          <w:rFonts w:hint="eastAsia" w:ascii="宋体" w:hAnsi="宋体" w:eastAsia="宋体" w:cs="宋体"/>
          <w:sz w:val="24"/>
          <w:highlight w:val="none"/>
          <w:u w:val="single"/>
        </w:rPr>
        <w:t>投标人须知前附表</w:t>
      </w:r>
      <w:r>
        <w:rPr>
          <w:rFonts w:hint="eastAsia" w:ascii="宋体" w:hAnsi="宋体" w:eastAsia="宋体" w:cs="宋体"/>
          <w:sz w:val="24"/>
          <w:highlight w:val="none"/>
        </w:rPr>
        <w:t>规定的形式告知未通过资格审查的投标人未通过的原因；采用综合评分法评审的，还将告知未中标人本人的评审得分和排序。</w:t>
      </w:r>
    </w:p>
    <w:p w14:paraId="682F4C44">
      <w:pPr>
        <w:spacing w:line="360" w:lineRule="auto"/>
        <w:ind w:firstLine="437"/>
        <w:outlineLvl w:val="2"/>
        <w:rPr>
          <w:rFonts w:hint="eastAsia" w:ascii="宋体" w:hAnsi="宋体" w:eastAsia="宋体" w:cs="宋体"/>
          <w:b/>
          <w:sz w:val="24"/>
          <w:highlight w:val="none"/>
        </w:rPr>
      </w:pPr>
      <w:r>
        <w:rPr>
          <w:rFonts w:hint="eastAsia" w:ascii="宋体" w:hAnsi="宋体" w:eastAsia="宋体" w:cs="宋体"/>
          <w:b/>
          <w:sz w:val="24"/>
          <w:highlight w:val="none"/>
        </w:rPr>
        <w:t>31.履约保证金</w:t>
      </w:r>
    </w:p>
    <w:p w14:paraId="363C5922">
      <w:pPr>
        <w:spacing w:line="360" w:lineRule="auto"/>
        <w:ind w:firstLine="435"/>
        <w:rPr>
          <w:rFonts w:hint="eastAsia" w:ascii="宋体" w:hAnsi="宋体" w:eastAsia="宋体" w:cs="宋体"/>
          <w:b/>
          <w:sz w:val="24"/>
          <w:highlight w:val="none"/>
        </w:rPr>
      </w:pPr>
      <w:r>
        <w:rPr>
          <w:rFonts w:hint="eastAsia" w:ascii="宋体" w:hAnsi="宋体" w:eastAsia="宋体" w:cs="宋体"/>
          <w:sz w:val="24"/>
          <w:highlight w:val="none"/>
        </w:rPr>
        <w:t>31.1按</w:t>
      </w:r>
      <w:r>
        <w:rPr>
          <w:rFonts w:hint="eastAsia" w:ascii="宋体" w:hAnsi="宋体" w:eastAsia="宋体" w:cs="宋体"/>
          <w:sz w:val="24"/>
          <w:highlight w:val="none"/>
          <w:u w:val="single"/>
        </w:rPr>
        <w:t>投标人须知前附表</w:t>
      </w:r>
      <w:r>
        <w:rPr>
          <w:rFonts w:hint="eastAsia" w:ascii="宋体" w:hAnsi="宋体" w:eastAsia="宋体" w:cs="宋体"/>
          <w:sz w:val="24"/>
          <w:highlight w:val="none"/>
        </w:rPr>
        <w:t>的规定执行</w:t>
      </w:r>
    </w:p>
    <w:p w14:paraId="16206C7D">
      <w:pPr>
        <w:spacing w:line="360" w:lineRule="auto"/>
        <w:ind w:firstLine="437"/>
        <w:outlineLvl w:val="2"/>
        <w:rPr>
          <w:rFonts w:hint="eastAsia" w:ascii="宋体" w:hAnsi="宋体" w:eastAsia="宋体" w:cs="宋体"/>
          <w:b/>
          <w:sz w:val="24"/>
          <w:highlight w:val="none"/>
        </w:rPr>
      </w:pPr>
      <w:r>
        <w:rPr>
          <w:rFonts w:hint="eastAsia" w:ascii="宋体" w:hAnsi="宋体" w:eastAsia="宋体" w:cs="宋体"/>
          <w:b/>
          <w:sz w:val="24"/>
          <w:highlight w:val="none"/>
        </w:rPr>
        <w:t>32.签订合同</w:t>
      </w:r>
    </w:p>
    <w:p w14:paraId="01BC3021">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32.1</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与中标人应当按照投标人须知前附表规定的时间内完成政府采购合同签订及合同公开。</w:t>
      </w:r>
    </w:p>
    <w:p w14:paraId="29A9AAA3">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32.2招标文件、中标人的投标文件及其澄清文件等，均为签订合同的依据。</w:t>
      </w:r>
    </w:p>
    <w:p w14:paraId="15FD2901">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32.3中标人拒绝与</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签订合同的，</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可以按照评审报告推荐的中标候选人名单排序，确定下一中标候选人为中标人，也可以重新开展政府采购活动。</w:t>
      </w:r>
    </w:p>
    <w:p w14:paraId="2C2194F5">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32.4当出现法规规定的中标无效或中标结果无效情形时，</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可依法与排名下一位的中标候选人另行签订合同，或依法重新开展采购活动。</w:t>
      </w:r>
    </w:p>
    <w:p w14:paraId="11EE5A82">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32.5依据《政府采购促进中小企业发展管理办法》（财库〔2020〕46号）规定享受扶持政策获得政府采购合同的，小微企业不得将合同分包给大中型企业，中型企业不得将合同分包给大型企业。</w:t>
      </w:r>
    </w:p>
    <w:p w14:paraId="36B84C28">
      <w:pPr>
        <w:spacing w:line="360" w:lineRule="auto"/>
        <w:ind w:firstLine="437"/>
        <w:outlineLvl w:val="2"/>
        <w:rPr>
          <w:rFonts w:hint="eastAsia" w:ascii="宋体" w:hAnsi="宋体" w:eastAsia="宋体" w:cs="宋体"/>
          <w:b/>
          <w:sz w:val="24"/>
          <w:highlight w:val="none"/>
        </w:rPr>
      </w:pPr>
      <w:r>
        <w:rPr>
          <w:rFonts w:hint="eastAsia" w:ascii="宋体" w:hAnsi="宋体" w:eastAsia="宋体" w:cs="宋体"/>
          <w:b/>
          <w:sz w:val="24"/>
          <w:highlight w:val="none"/>
        </w:rPr>
        <w:t>33.中标服务费</w:t>
      </w:r>
    </w:p>
    <w:p w14:paraId="7FFAEAB0">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33.1本项目中标服务费的收取按</w:t>
      </w:r>
      <w:r>
        <w:rPr>
          <w:rFonts w:hint="eastAsia" w:ascii="宋体" w:hAnsi="宋体" w:eastAsia="宋体" w:cs="宋体"/>
          <w:sz w:val="24"/>
          <w:highlight w:val="none"/>
          <w:u w:val="single"/>
        </w:rPr>
        <w:t>投标人须知前附表的</w:t>
      </w:r>
      <w:r>
        <w:rPr>
          <w:rFonts w:hint="eastAsia" w:ascii="宋体" w:hAnsi="宋体" w:eastAsia="宋体" w:cs="宋体"/>
          <w:sz w:val="24"/>
          <w:highlight w:val="none"/>
        </w:rPr>
        <w:t>规定执行。</w:t>
      </w:r>
    </w:p>
    <w:p w14:paraId="0BEF808D">
      <w:pPr>
        <w:spacing w:line="360" w:lineRule="auto"/>
        <w:ind w:firstLine="437"/>
        <w:outlineLvl w:val="2"/>
        <w:rPr>
          <w:rFonts w:hint="eastAsia" w:ascii="宋体" w:hAnsi="宋体" w:eastAsia="宋体" w:cs="宋体"/>
          <w:b/>
          <w:sz w:val="24"/>
          <w:highlight w:val="none"/>
        </w:rPr>
      </w:pPr>
      <w:bookmarkStart w:id="50" w:name="_Toc518923100"/>
      <w:bookmarkStart w:id="51" w:name="_Toc2583661"/>
      <w:r>
        <w:rPr>
          <w:rFonts w:hint="eastAsia" w:ascii="宋体" w:hAnsi="宋体" w:eastAsia="宋体" w:cs="宋体"/>
          <w:b/>
          <w:sz w:val="24"/>
          <w:highlight w:val="none"/>
        </w:rPr>
        <w:t>34.廉洁自律规定</w:t>
      </w:r>
      <w:bookmarkEnd w:id="50"/>
      <w:bookmarkEnd w:id="51"/>
    </w:p>
    <w:p w14:paraId="0F530E3C">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34.1</w:t>
      </w:r>
      <w:r>
        <w:rPr>
          <w:rFonts w:hint="eastAsia" w:ascii="宋体" w:hAnsi="宋体" w:eastAsia="宋体" w:cs="宋体"/>
          <w:sz w:val="24"/>
          <w:highlight w:val="none"/>
          <w:lang w:eastAsia="zh-CN"/>
        </w:rPr>
        <w:t>招标代理</w:t>
      </w:r>
      <w:r>
        <w:rPr>
          <w:rFonts w:hint="eastAsia" w:ascii="宋体" w:hAnsi="宋体" w:eastAsia="宋体" w:cs="宋体"/>
          <w:sz w:val="24"/>
          <w:highlight w:val="none"/>
        </w:rPr>
        <w:t>机构工作人员不得以不正当手段获取政府</w:t>
      </w:r>
      <w:r>
        <w:rPr>
          <w:rFonts w:hint="eastAsia" w:ascii="宋体" w:hAnsi="宋体" w:eastAsia="宋体" w:cs="宋体"/>
          <w:sz w:val="24"/>
          <w:highlight w:val="none"/>
          <w:lang w:eastAsia="zh-CN"/>
        </w:rPr>
        <w:t>招标代理</w:t>
      </w:r>
      <w:r>
        <w:rPr>
          <w:rFonts w:hint="eastAsia" w:ascii="宋体" w:hAnsi="宋体" w:eastAsia="宋体" w:cs="宋体"/>
          <w:sz w:val="24"/>
          <w:highlight w:val="none"/>
        </w:rPr>
        <w:t>业务，不得与</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、供应商恶意串通。</w:t>
      </w:r>
    </w:p>
    <w:p w14:paraId="3191BEFC">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34.2</w:t>
      </w:r>
      <w:r>
        <w:rPr>
          <w:rFonts w:hint="eastAsia" w:ascii="宋体" w:hAnsi="宋体" w:eastAsia="宋体" w:cs="宋体"/>
          <w:sz w:val="24"/>
          <w:highlight w:val="none"/>
          <w:lang w:eastAsia="zh-CN"/>
        </w:rPr>
        <w:t>招标代理</w:t>
      </w:r>
      <w:r>
        <w:rPr>
          <w:rFonts w:hint="eastAsia" w:ascii="宋体" w:hAnsi="宋体" w:eastAsia="宋体" w:cs="宋体"/>
          <w:sz w:val="24"/>
          <w:highlight w:val="none"/>
        </w:rPr>
        <w:t>机构工作人员不得接受</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或者供应商组织的宴请、旅游、娱乐，不得收受礼品、现金、有价证券等，不得向</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或者供应商报销应当由个人承担的费用。</w:t>
      </w:r>
    </w:p>
    <w:p w14:paraId="2329FDA5">
      <w:pPr>
        <w:spacing w:line="360" w:lineRule="auto"/>
        <w:ind w:firstLine="437"/>
        <w:outlineLvl w:val="2"/>
        <w:rPr>
          <w:rFonts w:hint="eastAsia" w:ascii="宋体" w:hAnsi="宋体" w:eastAsia="宋体" w:cs="宋体"/>
          <w:b/>
          <w:sz w:val="24"/>
          <w:highlight w:val="none"/>
        </w:rPr>
      </w:pPr>
      <w:bookmarkStart w:id="52" w:name="_Toc518923101"/>
      <w:bookmarkStart w:id="53" w:name="_Toc2583662"/>
      <w:r>
        <w:rPr>
          <w:rFonts w:hint="eastAsia" w:ascii="宋体" w:hAnsi="宋体" w:eastAsia="宋体" w:cs="宋体"/>
          <w:b/>
          <w:sz w:val="24"/>
          <w:highlight w:val="none"/>
        </w:rPr>
        <w:t>35.人员回避</w:t>
      </w:r>
      <w:bookmarkEnd w:id="52"/>
      <w:bookmarkEnd w:id="53"/>
    </w:p>
    <w:p w14:paraId="5E166A7B">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投标人认为</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员及其相关人员有法律法规所列与其他供应商有利害关系的，可以向</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或</w:t>
      </w:r>
      <w:r>
        <w:rPr>
          <w:rFonts w:hint="eastAsia" w:ascii="宋体" w:hAnsi="宋体" w:eastAsia="宋体" w:cs="宋体"/>
          <w:sz w:val="24"/>
          <w:highlight w:val="none"/>
          <w:lang w:eastAsia="zh-CN"/>
        </w:rPr>
        <w:t>招标代理</w:t>
      </w:r>
      <w:r>
        <w:rPr>
          <w:rFonts w:hint="eastAsia" w:ascii="宋体" w:hAnsi="宋体" w:eastAsia="宋体" w:cs="宋体"/>
          <w:sz w:val="24"/>
          <w:highlight w:val="none"/>
        </w:rPr>
        <w:t>机构书面提出回避申请，并说明理由。</w:t>
      </w:r>
    </w:p>
    <w:p w14:paraId="6B76E372">
      <w:pPr>
        <w:spacing w:line="360" w:lineRule="auto"/>
        <w:ind w:firstLine="437"/>
        <w:outlineLvl w:val="2"/>
        <w:rPr>
          <w:rFonts w:hint="eastAsia" w:ascii="宋体" w:hAnsi="宋体" w:eastAsia="宋体" w:cs="宋体"/>
          <w:b/>
          <w:sz w:val="24"/>
          <w:highlight w:val="none"/>
        </w:rPr>
      </w:pPr>
      <w:r>
        <w:rPr>
          <w:rFonts w:hint="eastAsia" w:ascii="宋体" w:hAnsi="宋体" w:eastAsia="宋体" w:cs="宋体"/>
          <w:b/>
          <w:sz w:val="24"/>
          <w:highlight w:val="none"/>
        </w:rPr>
        <w:t>36.质疑的提出与接收</w:t>
      </w:r>
    </w:p>
    <w:p w14:paraId="5074DF2F">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36.1投标人认为招标文件、招标过程和中标结果使自己的权益受到损害的，可以在知道或者应知其权益受到损害之日起七个工作日内，以书面形式向</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或其委托的</w:t>
      </w:r>
      <w:r>
        <w:rPr>
          <w:rFonts w:hint="eastAsia" w:ascii="宋体" w:hAnsi="宋体" w:eastAsia="宋体" w:cs="宋体"/>
          <w:sz w:val="24"/>
          <w:highlight w:val="none"/>
          <w:lang w:eastAsia="zh-CN"/>
        </w:rPr>
        <w:t>招标代理</w:t>
      </w:r>
      <w:r>
        <w:rPr>
          <w:rFonts w:hint="eastAsia" w:ascii="宋体" w:hAnsi="宋体" w:eastAsia="宋体" w:cs="宋体"/>
          <w:sz w:val="24"/>
          <w:highlight w:val="none"/>
        </w:rPr>
        <w:t>机构提出质疑。</w:t>
      </w:r>
    </w:p>
    <w:p w14:paraId="151D54CB">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36.2上述应知其权益受到损害之日，是指：</w:t>
      </w:r>
    </w:p>
    <w:p w14:paraId="5550EFA6">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（1）对招标文件提出质疑的，为招标文件公告期限届满之日；</w:t>
      </w:r>
    </w:p>
    <w:p w14:paraId="669EE864">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（2）对采购过程提出质疑的，为各采购程序环节结束之日；</w:t>
      </w:r>
    </w:p>
    <w:p w14:paraId="18A52DA9">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（3）对中标结果提出质疑的，为中标结果公告期限届满之日。</w:t>
      </w:r>
    </w:p>
    <w:p w14:paraId="74642A39">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36.3质疑供应商应按照财政部制定的《政府采购供应商质疑函范本》格式（详见招标文件第八章）和《政府采购质疑和投诉办法》的要求，在法定质疑期内以书面形式</w:t>
      </w:r>
      <w:r>
        <w:rPr>
          <w:rFonts w:hint="eastAsia" w:ascii="宋体" w:hAnsi="宋体" w:eastAsia="宋体" w:cs="宋体"/>
          <w:sz w:val="24"/>
          <w:highlight w:val="none"/>
          <w:lang w:eastAsia="zh-CN"/>
        </w:rPr>
        <w:t>提出质疑</w:t>
      </w:r>
      <w:r>
        <w:rPr>
          <w:rFonts w:hint="eastAsia" w:ascii="宋体" w:hAnsi="宋体" w:eastAsia="宋体" w:cs="宋体"/>
          <w:sz w:val="24"/>
          <w:highlight w:val="none"/>
        </w:rPr>
        <w:t>，超出法定质疑期提交的质疑将被拒绝。针对同一采购程序环节的质疑应一次性提出。</w:t>
      </w:r>
    </w:p>
    <w:p w14:paraId="4673B6DB">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36.4</w:t>
      </w:r>
      <w:r>
        <w:rPr>
          <w:rFonts w:hint="eastAsia" w:ascii="宋体" w:hAnsi="宋体" w:eastAsia="宋体" w:cs="宋体"/>
          <w:sz w:val="24"/>
          <w:highlight w:val="none"/>
          <w:lang w:eastAsia="zh-CN"/>
        </w:rPr>
        <w:t>招标代理</w:t>
      </w:r>
      <w:r>
        <w:rPr>
          <w:rFonts w:hint="eastAsia" w:ascii="宋体" w:hAnsi="宋体" w:eastAsia="宋体" w:cs="宋体"/>
          <w:sz w:val="24"/>
          <w:highlight w:val="none"/>
        </w:rPr>
        <w:t>机构质疑函接收部门、联系电话和通讯地址，见</w:t>
      </w:r>
      <w:r>
        <w:rPr>
          <w:rFonts w:hint="eastAsia" w:ascii="宋体" w:hAnsi="宋体" w:eastAsia="宋体" w:cs="宋体"/>
          <w:sz w:val="24"/>
          <w:highlight w:val="none"/>
          <w:u w:val="single"/>
        </w:rPr>
        <w:t>投标人须知前附表</w:t>
      </w:r>
      <w:r>
        <w:rPr>
          <w:rFonts w:hint="eastAsia" w:ascii="宋体" w:hAnsi="宋体" w:eastAsia="宋体" w:cs="宋体"/>
          <w:sz w:val="24"/>
          <w:highlight w:val="none"/>
        </w:rPr>
        <w:t>。</w:t>
      </w:r>
    </w:p>
    <w:p w14:paraId="1E0DD6C3">
      <w:pPr>
        <w:spacing w:line="360" w:lineRule="auto"/>
        <w:ind w:firstLine="435"/>
        <w:rPr>
          <w:rFonts w:hint="eastAsia" w:ascii="宋体" w:hAnsi="宋体" w:eastAsia="宋体" w:cs="宋体"/>
          <w:highlight w:val="none"/>
        </w:rPr>
      </w:pPr>
      <w:r>
        <w:rPr>
          <w:rFonts w:hint="eastAsia" w:ascii="宋体" w:hAnsi="宋体" w:eastAsia="宋体" w:cs="宋体"/>
          <w:sz w:val="24"/>
          <w:highlight w:val="none"/>
        </w:rPr>
        <w:t>注：上述条款中所要求的书面形式包含通过通过邮箱递交方式。</w:t>
      </w:r>
    </w:p>
    <w:p w14:paraId="69E3BFCA">
      <w:pPr>
        <w:spacing w:line="360" w:lineRule="auto"/>
        <w:ind w:firstLine="437"/>
        <w:outlineLvl w:val="2"/>
        <w:rPr>
          <w:rFonts w:hint="eastAsia" w:ascii="宋体" w:hAnsi="宋体" w:eastAsia="宋体" w:cs="宋体"/>
          <w:b/>
          <w:sz w:val="24"/>
          <w:highlight w:val="none"/>
        </w:rPr>
      </w:pPr>
      <w:r>
        <w:rPr>
          <w:rFonts w:hint="eastAsia" w:ascii="宋体" w:hAnsi="宋体" w:eastAsia="宋体" w:cs="宋体"/>
          <w:b/>
          <w:sz w:val="24"/>
          <w:highlight w:val="none"/>
        </w:rPr>
        <w:t>37.需要补充的其他内容</w:t>
      </w:r>
    </w:p>
    <w:p w14:paraId="26B43152">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需要补充的其他内容，见</w:t>
      </w:r>
      <w:r>
        <w:rPr>
          <w:rFonts w:hint="eastAsia" w:ascii="宋体" w:hAnsi="宋体" w:eastAsia="宋体" w:cs="宋体"/>
          <w:sz w:val="24"/>
          <w:highlight w:val="none"/>
          <w:u w:val="single"/>
        </w:rPr>
        <w:t>投标人须知前附表</w:t>
      </w:r>
      <w:r>
        <w:rPr>
          <w:rFonts w:hint="eastAsia" w:ascii="宋体" w:hAnsi="宋体" w:eastAsia="宋体" w:cs="宋体"/>
          <w:sz w:val="24"/>
          <w:highlight w:val="none"/>
        </w:rPr>
        <w:t>。</w:t>
      </w:r>
    </w:p>
    <w:p w14:paraId="3189A05F">
      <w:pPr>
        <w:widowControl/>
        <w:jc w:val="left"/>
        <w:rPr>
          <w:rFonts w:hint="eastAsia" w:ascii="宋体" w:hAnsi="宋体" w:eastAsia="宋体" w:cs="宋体"/>
          <w:b/>
          <w:sz w:val="28"/>
          <w:highlight w:val="none"/>
        </w:rPr>
      </w:pPr>
      <w:r>
        <w:rPr>
          <w:rFonts w:hint="eastAsia" w:ascii="宋体" w:hAnsi="宋体" w:eastAsia="宋体" w:cs="宋体"/>
          <w:sz w:val="24"/>
          <w:highlight w:val="none"/>
        </w:rPr>
        <w:br w:type="page"/>
      </w:r>
    </w:p>
    <w:p w14:paraId="67664577">
      <w:pPr>
        <w:spacing w:line="360" w:lineRule="auto"/>
        <w:jc w:val="center"/>
        <w:outlineLvl w:val="0"/>
        <w:rPr>
          <w:rFonts w:hint="eastAsia" w:ascii="宋体" w:hAnsi="宋体" w:eastAsia="宋体" w:cs="宋体"/>
          <w:b/>
          <w:sz w:val="28"/>
          <w:highlight w:val="none"/>
        </w:rPr>
      </w:pPr>
      <w:bookmarkStart w:id="54" w:name="_Toc63440139"/>
      <w:bookmarkStart w:id="55" w:name="_Toc4675"/>
      <w:r>
        <w:rPr>
          <w:rFonts w:hint="eastAsia" w:ascii="宋体" w:hAnsi="宋体" w:eastAsia="宋体" w:cs="宋体"/>
          <w:b/>
          <w:sz w:val="28"/>
          <w:highlight w:val="none"/>
        </w:rPr>
        <w:t>第三章  采购需求</w:t>
      </w:r>
      <w:bookmarkEnd w:id="54"/>
      <w:bookmarkEnd w:id="55"/>
    </w:p>
    <w:p w14:paraId="6128BD61">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前注：</w:t>
      </w:r>
    </w:p>
    <w:p w14:paraId="36BFE9F0">
      <w:pPr>
        <w:spacing w:line="360" w:lineRule="auto"/>
        <w:ind w:firstLine="435"/>
        <w:rPr>
          <w:rFonts w:hint="eastAsia" w:ascii="宋体" w:hAnsi="宋体" w:eastAsia="宋体" w:cs="宋体"/>
          <w:sz w:val="24"/>
          <w:szCs w:val="18"/>
          <w:highlight w:val="none"/>
        </w:rPr>
      </w:pPr>
      <w:r>
        <w:rPr>
          <w:rFonts w:hint="eastAsia" w:ascii="宋体" w:hAnsi="宋体" w:eastAsia="宋体" w:cs="宋体"/>
          <w:sz w:val="24"/>
          <w:highlight w:val="none"/>
        </w:rPr>
        <w:t>1.</w:t>
      </w:r>
      <w:r>
        <w:rPr>
          <w:rFonts w:hint="eastAsia" w:ascii="宋体" w:hAnsi="宋体" w:eastAsia="宋体" w:cs="宋体"/>
          <w:sz w:val="24"/>
          <w:szCs w:val="18"/>
          <w:highlight w:val="none"/>
        </w:rPr>
        <w:t>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14:paraId="578D98BE">
      <w:pPr>
        <w:spacing w:line="360" w:lineRule="auto"/>
        <w:ind w:firstLine="435"/>
        <w:rPr>
          <w:rFonts w:hint="eastAsia" w:ascii="宋体" w:hAnsi="宋体" w:eastAsia="宋体" w:cs="宋体"/>
          <w:sz w:val="24"/>
          <w:szCs w:val="18"/>
          <w:highlight w:val="none"/>
        </w:rPr>
      </w:pPr>
      <w:r>
        <w:rPr>
          <w:rFonts w:hint="eastAsia" w:ascii="宋体" w:hAnsi="宋体" w:eastAsia="宋体" w:cs="宋体"/>
          <w:sz w:val="24"/>
          <w:szCs w:val="18"/>
          <w:highlight w:val="none"/>
        </w:rPr>
        <w:t>2.下列采购需求中：</w:t>
      </w:r>
    </w:p>
    <w:p w14:paraId="51651F8F">
      <w:pPr>
        <w:spacing w:line="360" w:lineRule="auto"/>
        <w:ind w:firstLine="240" w:firstLineChars="1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2A982275">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将对包装材料和运输环节作为履约验收条款进行验收。</w:t>
      </w:r>
    </w:p>
    <w:p w14:paraId="01E857E0">
      <w:pPr>
        <w:spacing w:line="360" w:lineRule="auto"/>
        <w:ind w:firstLine="435"/>
        <w:rPr>
          <w:rFonts w:hint="eastAsia" w:ascii="宋体" w:hAnsi="宋体" w:eastAsia="宋体" w:cs="宋体"/>
          <w:sz w:val="24"/>
          <w:szCs w:val="18"/>
          <w:highlight w:val="none"/>
        </w:rPr>
      </w:pPr>
      <w:r>
        <w:rPr>
          <w:rFonts w:hint="eastAsia" w:ascii="宋体" w:hAnsi="宋体" w:eastAsia="宋体" w:cs="宋体"/>
          <w:sz w:val="24"/>
          <w:szCs w:val="18"/>
          <w:highlight w:val="none"/>
        </w:rPr>
        <w:t>3.下列采购需求中：标注▲的产品（核心产品），投标人在投标文件《主要中标标的承诺函》中填写名称、品牌、规格、型号、数量、单价等信息。</w:t>
      </w:r>
    </w:p>
    <w:p w14:paraId="5E146BB5">
      <w:pPr>
        <w:spacing w:line="360" w:lineRule="auto"/>
        <w:ind w:firstLine="435"/>
        <w:rPr>
          <w:rFonts w:hint="eastAsia" w:ascii="宋体" w:hAnsi="宋体" w:eastAsia="宋体" w:cs="宋体"/>
          <w:sz w:val="24"/>
          <w:szCs w:val="18"/>
          <w:highlight w:val="none"/>
        </w:rPr>
      </w:pPr>
      <w:r>
        <w:rPr>
          <w:rFonts w:hint="eastAsia" w:ascii="宋体" w:hAnsi="宋体" w:eastAsia="宋体" w:cs="宋体"/>
          <w:sz w:val="24"/>
          <w:szCs w:val="18"/>
          <w:highlight w:val="none"/>
        </w:rPr>
        <w:t>4.</w:t>
      </w:r>
      <w:r>
        <w:rPr>
          <w:rFonts w:hint="eastAsia" w:ascii="宋体" w:hAnsi="宋体" w:eastAsia="宋体" w:cs="宋体"/>
          <w:highlight w:val="none"/>
        </w:rPr>
        <w:t xml:space="preserve"> </w:t>
      </w:r>
      <w:r>
        <w:rPr>
          <w:rFonts w:hint="eastAsia" w:ascii="宋体" w:hAnsi="宋体" w:eastAsia="宋体" w:cs="宋体"/>
          <w:sz w:val="24"/>
          <w:szCs w:val="18"/>
          <w:highlight w:val="none"/>
        </w:rPr>
        <w:t>如</w:t>
      </w:r>
      <w:r>
        <w:rPr>
          <w:rFonts w:hint="eastAsia" w:ascii="宋体" w:hAnsi="宋体" w:eastAsia="宋体" w:cs="宋体"/>
          <w:sz w:val="24"/>
          <w:szCs w:val="18"/>
          <w:highlight w:val="none"/>
          <w:lang w:eastAsia="zh-CN"/>
        </w:rPr>
        <w:t>招标人</w:t>
      </w:r>
      <w:r>
        <w:rPr>
          <w:rFonts w:hint="eastAsia" w:ascii="宋体" w:hAnsi="宋体" w:eastAsia="宋体" w:cs="宋体"/>
          <w:sz w:val="24"/>
          <w:szCs w:val="18"/>
          <w:highlight w:val="none"/>
        </w:rPr>
        <w:t>允许采用分包方式履行合同的，应当明确可以分包履行的相关内容。</w:t>
      </w:r>
    </w:p>
    <w:p w14:paraId="327F0695">
      <w:pPr>
        <w:spacing w:line="360" w:lineRule="auto"/>
        <w:outlineLvl w:val="1"/>
        <w:rPr>
          <w:rFonts w:hint="eastAsia" w:ascii="宋体" w:hAnsi="宋体" w:eastAsia="宋体" w:cs="宋体"/>
          <w:b/>
          <w:sz w:val="24"/>
          <w:szCs w:val="18"/>
          <w:highlight w:val="none"/>
        </w:rPr>
      </w:pPr>
      <w:r>
        <w:rPr>
          <w:rFonts w:hint="eastAsia" w:ascii="宋体" w:hAnsi="宋体" w:eastAsia="宋体" w:cs="宋体"/>
          <w:b/>
          <w:sz w:val="24"/>
          <w:szCs w:val="18"/>
          <w:highlight w:val="none"/>
        </w:rPr>
        <w:t>一、采购需求前附表</w:t>
      </w:r>
    </w:p>
    <w:tbl>
      <w:tblPr>
        <w:tblStyle w:val="22"/>
        <w:tblW w:w="48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2327"/>
        <w:gridCol w:w="6541"/>
      </w:tblGrid>
      <w:tr w14:paraId="10299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36" w:type="pct"/>
            <w:vAlign w:val="center"/>
          </w:tcPr>
          <w:p w14:paraId="1FCA587C">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
                <w:kern w:val="2"/>
                <w:highlight w:val="none"/>
              </w:rPr>
            </w:pPr>
            <w:r>
              <w:rPr>
                <w:rFonts w:hint="eastAsia" w:ascii="宋体" w:hAnsi="宋体" w:eastAsia="宋体" w:cs="宋体"/>
                <w:b/>
                <w:kern w:val="2"/>
                <w:highlight w:val="none"/>
              </w:rPr>
              <w:t>序号</w:t>
            </w:r>
          </w:p>
        </w:tc>
        <w:tc>
          <w:tcPr>
            <w:tcW w:w="1197" w:type="pct"/>
            <w:vAlign w:val="center"/>
          </w:tcPr>
          <w:p w14:paraId="1C741280">
            <w:pPr>
              <w:pStyle w:val="30"/>
              <w:widowControl w:val="0"/>
              <w:spacing w:before="0" w:beforeAutospacing="0" w:after="0" w:afterAutospacing="0" w:line="360" w:lineRule="auto"/>
              <w:rPr>
                <w:rFonts w:hint="eastAsia" w:ascii="宋体" w:hAnsi="宋体" w:eastAsia="宋体" w:cs="宋体"/>
                <w:bCs w:val="0"/>
                <w:sz w:val="24"/>
                <w:highlight w:val="none"/>
              </w:rPr>
            </w:pPr>
            <w:r>
              <w:rPr>
                <w:rFonts w:hint="eastAsia" w:ascii="宋体" w:hAnsi="宋体" w:eastAsia="宋体" w:cs="宋体"/>
                <w:bCs w:val="0"/>
                <w:sz w:val="24"/>
                <w:highlight w:val="none"/>
              </w:rPr>
              <w:t>条款名称</w:t>
            </w:r>
          </w:p>
        </w:tc>
        <w:tc>
          <w:tcPr>
            <w:tcW w:w="3365" w:type="pct"/>
            <w:vAlign w:val="center"/>
          </w:tcPr>
          <w:p w14:paraId="2B858DB2">
            <w:pPr>
              <w:pStyle w:val="30"/>
              <w:widowControl w:val="0"/>
              <w:spacing w:before="0" w:beforeAutospacing="0" w:after="0" w:afterAutospacing="0" w:line="360" w:lineRule="auto"/>
              <w:rPr>
                <w:rFonts w:hint="eastAsia" w:ascii="宋体" w:hAnsi="宋体" w:eastAsia="宋体" w:cs="宋体"/>
                <w:bCs w:val="0"/>
                <w:sz w:val="24"/>
                <w:highlight w:val="none"/>
              </w:rPr>
            </w:pPr>
            <w:r>
              <w:rPr>
                <w:rFonts w:hint="eastAsia" w:ascii="宋体" w:hAnsi="宋体" w:eastAsia="宋体" w:cs="宋体"/>
                <w:bCs w:val="0"/>
                <w:sz w:val="24"/>
                <w:highlight w:val="none"/>
              </w:rPr>
              <w:t>内容、说明与要求</w:t>
            </w:r>
          </w:p>
        </w:tc>
      </w:tr>
      <w:tr w14:paraId="6E2F1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436" w:type="pct"/>
            <w:vAlign w:val="center"/>
          </w:tcPr>
          <w:p w14:paraId="11919761">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highlight w:val="none"/>
              </w:rPr>
            </w:pPr>
            <w:r>
              <w:rPr>
                <w:rFonts w:hint="eastAsia" w:ascii="宋体" w:hAnsi="宋体" w:eastAsia="宋体" w:cs="宋体"/>
                <w:bCs/>
                <w:kern w:val="2"/>
                <w:highlight w:val="none"/>
              </w:rPr>
              <w:t>1</w:t>
            </w:r>
          </w:p>
        </w:tc>
        <w:tc>
          <w:tcPr>
            <w:tcW w:w="1197" w:type="pct"/>
            <w:vAlign w:val="center"/>
          </w:tcPr>
          <w:p w14:paraId="54D7A4F8">
            <w:pPr>
              <w:pStyle w:val="30"/>
              <w:widowControl w:val="0"/>
              <w:spacing w:before="0" w:beforeAutospacing="0" w:after="0" w:afterAutospacing="0" w:line="360" w:lineRule="auto"/>
              <w:rPr>
                <w:rFonts w:hint="eastAsia" w:ascii="宋体" w:hAnsi="宋体" w:eastAsia="宋体" w:cs="宋体"/>
                <w:b w:val="0"/>
                <w:sz w:val="24"/>
                <w:highlight w:val="none"/>
              </w:rPr>
            </w:pPr>
            <w:r>
              <w:rPr>
                <w:rFonts w:hint="eastAsia" w:ascii="宋体" w:hAnsi="宋体" w:eastAsia="宋体" w:cs="宋体"/>
                <w:b w:val="0"/>
                <w:sz w:val="24"/>
                <w:szCs w:val="24"/>
                <w:highlight w:val="none"/>
              </w:rPr>
              <w:t>付款方式</w:t>
            </w:r>
          </w:p>
        </w:tc>
        <w:tc>
          <w:tcPr>
            <w:tcW w:w="3365" w:type="pct"/>
            <w:vAlign w:val="center"/>
          </w:tcPr>
          <w:p w14:paraId="2267463D">
            <w:pPr>
              <w:pStyle w:val="30"/>
              <w:widowControl w:val="0"/>
              <w:spacing w:before="0" w:beforeAutospacing="0" w:after="0" w:afterAutospacing="0" w:line="360" w:lineRule="auto"/>
              <w:jc w:val="both"/>
              <w:rPr>
                <w:rFonts w:hint="eastAsia" w:ascii="宋体" w:hAnsi="宋体" w:eastAsia="宋体" w:cs="宋体"/>
                <w:b w:val="0"/>
                <w:sz w:val="24"/>
                <w:highlight w:val="none"/>
                <w:u w:val="single"/>
              </w:rPr>
            </w:pPr>
            <w:r>
              <w:rPr>
                <w:rFonts w:hint="eastAsia" w:ascii="宋体" w:hAnsi="宋体" w:eastAsia="宋体" w:cs="宋体"/>
                <w:b w:val="0"/>
                <w:sz w:val="24"/>
                <w:szCs w:val="24"/>
                <w:highlight w:val="none"/>
                <w:lang w:val="en-US" w:eastAsia="zh-CN"/>
              </w:rPr>
              <w:t>验收合格后一次性付清合同款。</w:t>
            </w:r>
          </w:p>
        </w:tc>
      </w:tr>
      <w:tr w14:paraId="3A197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436" w:type="pct"/>
            <w:vAlign w:val="center"/>
          </w:tcPr>
          <w:p w14:paraId="5A0C39B0">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highlight w:val="none"/>
              </w:rPr>
            </w:pPr>
            <w:r>
              <w:rPr>
                <w:rFonts w:hint="eastAsia" w:ascii="宋体" w:hAnsi="宋体" w:eastAsia="宋体" w:cs="宋体"/>
                <w:bCs/>
                <w:kern w:val="2"/>
                <w:highlight w:val="none"/>
              </w:rPr>
              <w:t>2</w:t>
            </w:r>
          </w:p>
        </w:tc>
        <w:tc>
          <w:tcPr>
            <w:tcW w:w="1197" w:type="pct"/>
            <w:vAlign w:val="center"/>
          </w:tcPr>
          <w:p w14:paraId="33A2B6D3">
            <w:pPr>
              <w:pStyle w:val="30"/>
              <w:widowControl w:val="0"/>
              <w:spacing w:before="0" w:beforeAutospacing="0" w:after="0" w:afterAutospacing="0" w:line="360" w:lineRule="auto"/>
              <w:rPr>
                <w:rFonts w:hint="eastAsia" w:ascii="宋体" w:hAnsi="宋体" w:eastAsia="宋体" w:cs="宋体"/>
                <w:b w:val="0"/>
                <w:sz w:val="24"/>
                <w:highlight w:val="none"/>
              </w:rPr>
            </w:pPr>
            <w:r>
              <w:rPr>
                <w:rFonts w:hint="eastAsia" w:ascii="宋体" w:hAnsi="宋体" w:eastAsia="宋体" w:cs="宋体"/>
                <w:b w:val="0"/>
                <w:sz w:val="24"/>
                <w:szCs w:val="24"/>
                <w:highlight w:val="none"/>
              </w:rPr>
              <w:t>供货及安装地点</w:t>
            </w:r>
          </w:p>
        </w:tc>
        <w:tc>
          <w:tcPr>
            <w:tcW w:w="3365" w:type="pct"/>
            <w:vAlign w:val="center"/>
          </w:tcPr>
          <w:p w14:paraId="664157FD">
            <w:pPr>
              <w:pStyle w:val="30"/>
              <w:widowControl w:val="0"/>
              <w:spacing w:before="0" w:beforeAutospacing="0" w:after="0" w:afterAutospacing="0" w:line="360" w:lineRule="auto"/>
              <w:jc w:val="both"/>
              <w:rPr>
                <w:rFonts w:hint="eastAsia" w:ascii="宋体" w:hAnsi="宋体" w:eastAsia="宋体" w:cs="宋体"/>
                <w:b w:val="0"/>
                <w:sz w:val="24"/>
                <w:highlight w:val="none"/>
                <w:lang w:eastAsia="zh-CN"/>
              </w:rPr>
            </w:pPr>
            <w:r>
              <w:rPr>
                <w:rFonts w:hint="eastAsia" w:ascii="宋体" w:hAnsi="宋体" w:eastAsia="宋体" w:cs="宋体"/>
                <w:b w:val="0"/>
                <w:sz w:val="24"/>
                <w:szCs w:val="24"/>
                <w:highlight w:val="none"/>
              </w:rPr>
              <w:t>安徽交通职业技术学院，采购人指定地点</w:t>
            </w:r>
            <w:r>
              <w:rPr>
                <w:rFonts w:hint="eastAsia" w:ascii="宋体" w:hAnsi="宋体" w:eastAsia="宋体" w:cs="宋体"/>
                <w:b w:val="0"/>
                <w:sz w:val="24"/>
                <w:szCs w:val="24"/>
                <w:highlight w:val="none"/>
                <w:lang w:eastAsia="zh-CN"/>
              </w:rPr>
              <w:t>。</w:t>
            </w:r>
          </w:p>
        </w:tc>
      </w:tr>
      <w:tr w14:paraId="759A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436" w:type="pct"/>
            <w:vAlign w:val="center"/>
          </w:tcPr>
          <w:p w14:paraId="40583FBA">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highlight w:val="none"/>
              </w:rPr>
            </w:pPr>
            <w:r>
              <w:rPr>
                <w:rFonts w:hint="eastAsia" w:ascii="宋体" w:hAnsi="宋体" w:eastAsia="宋体" w:cs="宋体"/>
                <w:bCs/>
                <w:kern w:val="2"/>
                <w:highlight w:val="none"/>
              </w:rPr>
              <w:t>3</w:t>
            </w:r>
          </w:p>
        </w:tc>
        <w:tc>
          <w:tcPr>
            <w:tcW w:w="1197" w:type="pct"/>
            <w:vAlign w:val="center"/>
          </w:tcPr>
          <w:p w14:paraId="346AC00B">
            <w:pPr>
              <w:pStyle w:val="30"/>
              <w:widowControl w:val="0"/>
              <w:spacing w:before="0" w:beforeAutospacing="0" w:after="0" w:afterAutospacing="0" w:line="360" w:lineRule="auto"/>
              <w:rPr>
                <w:rFonts w:hint="eastAsia" w:ascii="宋体" w:hAnsi="宋体" w:eastAsia="宋体" w:cs="宋体"/>
                <w:b w:val="0"/>
                <w:sz w:val="24"/>
                <w:highlight w:val="none"/>
              </w:rPr>
            </w:pPr>
            <w:r>
              <w:rPr>
                <w:rFonts w:hint="eastAsia" w:ascii="宋体" w:hAnsi="宋体" w:eastAsia="宋体" w:cs="宋体"/>
                <w:b w:val="0"/>
                <w:sz w:val="24"/>
                <w:szCs w:val="24"/>
                <w:highlight w:val="none"/>
              </w:rPr>
              <w:t>供货及安装期限</w:t>
            </w:r>
          </w:p>
        </w:tc>
        <w:tc>
          <w:tcPr>
            <w:tcW w:w="3365" w:type="pct"/>
            <w:vAlign w:val="center"/>
          </w:tcPr>
          <w:p w14:paraId="155B1675">
            <w:pPr>
              <w:pStyle w:val="30"/>
              <w:widowControl w:val="0"/>
              <w:spacing w:before="0" w:beforeAutospacing="0" w:after="0" w:afterAutospacing="0" w:line="360" w:lineRule="auto"/>
              <w:jc w:val="both"/>
              <w:rPr>
                <w:rFonts w:hint="eastAsia" w:ascii="宋体" w:hAnsi="宋体" w:eastAsia="宋体" w:cs="宋体"/>
                <w:b w:val="0"/>
                <w:sz w:val="24"/>
                <w:highlight w:val="none"/>
                <w:lang w:eastAsia="zh-CN"/>
              </w:rPr>
            </w:pPr>
            <w:r>
              <w:rPr>
                <w:rFonts w:hint="eastAsia" w:ascii="宋体" w:hAnsi="宋体" w:eastAsia="宋体" w:cs="宋体"/>
                <w:b w:val="0"/>
                <w:bCs w:val="0"/>
                <w:sz w:val="24"/>
                <w:highlight w:val="none"/>
              </w:rPr>
              <w:t>源网荷储一体化技术与应用实训平台合同生效后10日内完成供货及安装，其他产品合同生效后30日内完成供货及安装。</w:t>
            </w:r>
          </w:p>
        </w:tc>
      </w:tr>
      <w:tr w14:paraId="3AB69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436" w:type="pct"/>
            <w:vAlign w:val="center"/>
          </w:tcPr>
          <w:p w14:paraId="71053D83">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highlight w:val="none"/>
                <w:lang w:eastAsia="zh-CN"/>
              </w:rPr>
            </w:pPr>
            <w:r>
              <w:rPr>
                <w:rFonts w:hint="eastAsia" w:ascii="宋体" w:hAnsi="宋体" w:eastAsia="宋体" w:cs="宋体"/>
                <w:bCs/>
                <w:kern w:val="2"/>
                <w:highlight w:val="none"/>
                <w:lang w:val="en-US" w:eastAsia="zh-CN"/>
              </w:rPr>
              <w:t>4</w:t>
            </w:r>
          </w:p>
        </w:tc>
        <w:tc>
          <w:tcPr>
            <w:tcW w:w="1197" w:type="pct"/>
            <w:vAlign w:val="center"/>
          </w:tcPr>
          <w:p w14:paraId="53854631">
            <w:pPr>
              <w:pStyle w:val="30"/>
              <w:widowControl w:val="0"/>
              <w:spacing w:before="0" w:beforeAutospacing="0" w:after="0" w:afterAutospacing="0" w:line="360" w:lineRule="auto"/>
              <w:rPr>
                <w:rFonts w:hint="eastAsia" w:ascii="宋体" w:hAnsi="宋体" w:eastAsia="宋体" w:cs="宋体"/>
                <w:b w:val="0"/>
                <w:sz w:val="24"/>
                <w:highlight w:val="none"/>
              </w:rPr>
            </w:pPr>
            <w:r>
              <w:rPr>
                <w:rFonts w:hint="eastAsia" w:ascii="宋体" w:hAnsi="宋体" w:eastAsia="宋体" w:cs="宋体"/>
                <w:b w:val="0"/>
                <w:sz w:val="24"/>
                <w:szCs w:val="24"/>
                <w:highlight w:val="none"/>
              </w:rPr>
              <w:t>免费质保期</w:t>
            </w:r>
          </w:p>
        </w:tc>
        <w:tc>
          <w:tcPr>
            <w:tcW w:w="3365" w:type="pct"/>
            <w:vAlign w:val="center"/>
          </w:tcPr>
          <w:p w14:paraId="46C13AEC">
            <w:pPr>
              <w:pStyle w:val="30"/>
              <w:widowControl w:val="0"/>
              <w:spacing w:before="0" w:beforeAutospacing="0" w:after="0" w:afterAutospacing="0" w:line="360" w:lineRule="auto"/>
              <w:jc w:val="both"/>
              <w:rPr>
                <w:rFonts w:hint="eastAsia" w:ascii="宋体" w:hAnsi="宋体" w:eastAsia="宋体" w:cs="宋体"/>
                <w:b w:val="0"/>
                <w:sz w:val="24"/>
                <w:highlight w:val="none"/>
                <w:lang w:eastAsia="zh-CN"/>
              </w:rPr>
            </w:pPr>
            <w:r>
              <w:rPr>
                <w:rFonts w:hint="eastAsia" w:ascii="宋体" w:hAnsi="宋体" w:eastAsia="宋体" w:cs="宋体"/>
                <w:b w:val="0"/>
                <w:sz w:val="24"/>
                <w:szCs w:val="24"/>
                <w:highlight w:val="none"/>
              </w:rPr>
              <w:t>验收合格之日起</w:t>
            </w:r>
            <w:r>
              <w:rPr>
                <w:rFonts w:hint="eastAsia" w:ascii="宋体" w:hAnsi="宋体" w:eastAsia="宋体" w:cs="宋体"/>
                <w:b w:val="0"/>
                <w:sz w:val="24"/>
                <w:szCs w:val="24"/>
                <w:highlight w:val="none"/>
                <w:lang w:val="en-US" w:eastAsia="zh-CN"/>
              </w:rPr>
              <w:t>3</w:t>
            </w:r>
            <w:r>
              <w:rPr>
                <w:rFonts w:hint="eastAsia" w:ascii="宋体" w:hAnsi="宋体" w:eastAsia="宋体" w:cs="宋体"/>
                <w:b w:val="0"/>
                <w:sz w:val="24"/>
                <w:szCs w:val="24"/>
                <w:highlight w:val="none"/>
              </w:rPr>
              <w:t>年</w:t>
            </w:r>
            <w:r>
              <w:rPr>
                <w:rFonts w:hint="eastAsia" w:ascii="宋体" w:hAnsi="宋体" w:eastAsia="宋体" w:cs="宋体"/>
                <w:b w:val="0"/>
                <w:sz w:val="24"/>
                <w:szCs w:val="24"/>
                <w:highlight w:val="none"/>
                <w:lang w:eastAsia="zh-CN"/>
              </w:rPr>
              <w:t>。</w:t>
            </w:r>
          </w:p>
        </w:tc>
      </w:tr>
    </w:tbl>
    <w:p w14:paraId="10F4CD7E">
      <w:pPr>
        <w:rPr>
          <w:rFonts w:hint="eastAsia" w:ascii="宋体" w:hAnsi="宋体" w:eastAsia="宋体" w:cs="宋体"/>
          <w:b/>
          <w:bCs/>
          <w:sz w:val="24"/>
          <w:highlight w:val="none"/>
        </w:rPr>
      </w:pPr>
    </w:p>
    <w:p w14:paraId="7EA2F63E">
      <w:pPr>
        <w:rPr>
          <w:rFonts w:hint="eastAsia" w:ascii="宋体" w:hAnsi="宋体" w:eastAsia="宋体" w:cs="宋体"/>
          <w:b/>
          <w:bCs/>
          <w:sz w:val="24"/>
          <w:highlight w:val="none"/>
        </w:rPr>
      </w:pPr>
    </w:p>
    <w:p w14:paraId="1F3A7C89">
      <w:pPr>
        <w:widowControl/>
        <w:spacing w:line="360" w:lineRule="auto"/>
        <w:ind w:firstLine="480" w:firstLineChars="200"/>
        <w:jc w:val="left"/>
        <w:rPr>
          <w:rFonts w:hint="eastAsia" w:ascii="宋体" w:hAnsi="宋体" w:eastAsia="宋体" w:cs="宋体"/>
          <w:sz w:val="24"/>
          <w:highlight w:val="none"/>
        </w:rPr>
      </w:pPr>
    </w:p>
    <w:p w14:paraId="0E4BE8F7">
      <w:pPr>
        <w:spacing w:line="360" w:lineRule="auto"/>
        <w:outlineLvl w:val="1"/>
        <w:rPr>
          <w:rFonts w:hint="eastAsia" w:ascii="宋体" w:hAnsi="宋体" w:eastAsia="宋体" w:cs="宋体"/>
          <w:b/>
          <w:sz w:val="24"/>
          <w:szCs w:val="18"/>
          <w:highlight w:val="none"/>
        </w:rPr>
      </w:pPr>
      <w:r>
        <w:rPr>
          <w:rFonts w:hint="eastAsia" w:ascii="宋体" w:hAnsi="宋体" w:eastAsia="宋体" w:cs="宋体"/>
          <w:b/>
          <w:sz w:val="24"/>
          <w:szCs w:val="18"/>
          <w:highlight w:val="none"/>
          <w:lang w:val="en-US" w:eastAsia="zh-CN"/>
        </w:rPr>
        <w:t>二、</w:t>
      </w:r>
      <w:r>
        <w:rPr>
          <w:rFonts w:hint="eastAsia" w:ascii="宋体" w:hAnsi="宋体" w:eastAsia="宋体" w:cs="宋体"/>
          <w:b/>
          <w:sz w:val="24"/>
          <w:szCs w:val="18"/>
          <w:highlight w:val="none"/>
        </w:rPr>
        <w:t>货物需求</w:t>
      </w:r>
    </w:p>
    <w:p w14:paraId="01EA14B7">
      <w:pPr>
        <w:widowControl w:val="0"/>
        <w:numPr>
          <w:ilvl w:val="0"/>
          <w:numId w:val="0"/>
        </w:numPr>
        <w:spacing w:line="360" w:lineRule="auto"/>
        <w:jc w:val="both"/>
        <w:rPr>
          <w:rFonts w:hint="eastAsia" w:ascii="宋体" w:hAnsi="宋体" w:eastAsia="宋体" w:cs="宋体"/>
          <w:b w:val="0"/>
          <w:bCs/>
          <w:sz w:val="24"/>
          <w:highlight w:val="none"/>
        </w:rPr>
      </w:pPr>
    </w:p>
    <w:tbl>
      <w:tblPr>
        <w:tblStyle w:val="22"/>
        <w:tblW w:w="5138" w:type="pct"/>
        <w:jc w:val="center"/>
        <w:tblLayout w:type="fixed"/>
        <w:tblCellMar>
          <w:top w:w="0" w:type="dxa"/>
          <w:left w:w="108" w:type="dxa"/>
          <w:bottom w:w="0" w:type="dxa"/>
          <w:right w:w="108" w:type="dxa"/>
        </w:tblCellMar>
      </w:tblPr>
      <w:tblGrid>
        <w:gridCol w:w="758"/>
        <w:gridCol w:w="1059"/>
        <w:gridCol w:w="7011"/>
        <w:gridCol w:w="1409"/>
      </w:tblGrid>
      <w:tr w14:paraId="3BD665C3">
        <w:tblPrEx>
          <w:tblCellMar>
            <w:top w:w="0" w:type="dxa"/>
            <w:left w:w="108" w:type="dxa"/>
            <w:bottom w:w="0" w:type="dxa"/>
            <w:right w:w="108" w:type="dxa"/>
          </w:tblCellMar>
        </w:tblPrEx>
        <w:trPr>
          <w:trHeight w:val="680" w:hRule="atLeast"/>
          <w:jc w:val="center"/>
        </w:trPr>
        <w:tc>
          <w:tcPr>
            <w:tcW w:w="758"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78C07FB9">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val="0"/>
                <w:bCs w:val="0"/>
                <w:color w:val="000000"/>
                <w:sz w:val="24"/>
                <w:szCs w:val="24"/>
                <w:highlight w:val="none"/>
              </w:rPr>
              <w:t>序号</w:t>
            </w:r>
          </w:p>
        </w:tc>
        <w:tc>
          <w:tcPr>
            <w:tcW w:w="1059"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3C3768A5">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000000"/>
                <w:sz w:val="24"/>
                <w:szCs w:val="24"/>
                <w:highlight w:val="none"/>
              </w:rPr>
              <w:t>货物名称</w:t>
            </w:r>
          </w:p>
        </w:tc>
        <w:tc>
          <w:tcPr>
            <w:tcW w:w="701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73090CC8">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val="0"/>
                <w:bCs w:val="0"/>
                <w:color w:val="000000"/>
                <w:sz w:val="24"/>
                <w:szCs w:val="24"/>
                <w:highlight w:val="none"/>
              </w:rPr>
              <w:t>技术参数及要求</w:t>
            </w:r>
          </w:p>
        </w:tc>
        <w:tc>
          <w:tcPr>
            <w:tcW w:w="1409"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77266751">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数量</w:t>
            </w:r>
          </w:p>
          <w:p w14:paraId="7294DE2F">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单位）</w:t>
            </w:r>
          </w:p>
        </w:tc>
      </w:tr>
      <w:tr w14:paraId="075F2EDC">
        <w:tblPrEx>
          <w:tblCellMar>
            <w:top w:w="0" w:type="dxa"/>
            <w:left w:w="108" w:type="dxa"/>
            <w:bottom w:w="0" w:type="dxa"/>
            <w:right w:w="108" w:type="dxa"/>
          </w:tblCellMar>
        </w:tblPrEx>
        <w:trPr>
          <w:trHeight w:val="680"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14:paraId="54621A39">
            <w:pPr>
              <w:keepNext w:val="0"/>
              <w:keepLines w:val="0"/>
              <w:pageBreakBefore w:val="0"/>
              <w:widowControl/>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35B0E85E">
            <w:pPr>
              <w:keepNext w:val="0"/>
              <w:keepLines w:val="0"/>
              <w:pageBreakBefore w:val="0"/>
              <w:widowControl/>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▲源网荷储一体化技术与应用实训平台</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55844AB3">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1.光伏并网逆变器</w:t>
            </w:r>
          </w:p>
          <w:p w14:paraId="5F27308C">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(1)最大输入功率：≥3kW；</w:t>
            </w:r>
          </w:p>
          <w:p w14:paraId="5E69FC35">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default"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sz w:val="24"/>
                <w:szCs w:val="24"/>
                <w:highlight w:val="none"/>
                <w:lang w:val="en-US" w:eastAsia="zh-CN"/>
              </w:rPr>
              <w:t>启动电压：50-100V；</w:t>
            </w:r>
          </w:p>
          <w:p w14:paraId="50585141">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(3)满载MPPT电压范围120V~480V；</w:t>
            </w:r>
          </w:p>
          <w:p w14:paraId="25CFC214">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(4)MPPT电压范围：80~560V；</w:t>
            </w:r>
          </w:p>
          <w:p w14:paraId="3D30AF9D">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(5)每组 MPPT 最大输入电流：≥20A；</w:t>
            </w:r>
          </w:p>
          <w:p w14:paraId="6DDCAB2D">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(6)每组 MPPT 最大短路电流：≥26A；</w:t>
            </w:r>
          </w:p>
          <w:p w14:paraId="5C8311BF">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(7)额定输出频率:50/60Hz；</w:t>
            </w:r>
          </w:p>
          <w:p w14:paraId="069DAC21">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(8)功率因数：&gt;0.99 (0.8 超前~0.8滞后)；</w:t>
            </w:r>
          </w:p>
          <w:p w14:paraId="5DE2E000">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(9)谐波失真：&lt;3% (额定功率)；</w:t>
            </w:r>
          </w:p>
          <w:p w14:paraId="41C4FCC8">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(10)MPPT 效率：≥95%；</w:t>
            </w:r>
          </w:p>
          <w:p w14:paraId="1C4F44AD">
            <w:pPr>
              <w:bidi w:val="0"/>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(11)保护功能：孤岛保护、输出过流保护、交流短路保护，需要接入市电电源配合。</w:t>
            </w:r>
          </w:p>
          <w:p w14:paraId="5A4F47BB">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2.光伏并网箱</w:t>
            </w:r>
          </w:p>
          <w:p w14:paraId="1052F2B5">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(1)单相费控智能电能表；</w:t>
            </w:r>
          </w:p>
          <w:p w14:paraId="5A526236">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①功耗：有功功率≤1.5W，视在功率≤6VA；</w:t>
            </w:r>
          </w:p>
          <w:p w14:paraId="785669E1">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②日计时误差：≤0.5秒/天；</w:t>
            </w:r>
          </w:p>
          <w:p w14:paraId="20D5094E">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③工作电源电压：0.7Un～1.2Un；1.9Un时4小时电表不损坏。</w:t>
            </w:r>
          </w:p>
          <w:p w14:paraId="44006D1F">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④工作温度：-25℃～+60℃；</w:t>
            </w:r>
          </w:p>
          <w:p w14:paraId="5A0D297D">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⑤通信协议支持：DL/T645-2007；</w:t>
            </w:r>
          </w:p>
          <w:p w14:paraId="35920E04">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⑥功能：具有正向、反向有功电能量计量功能、具有分时计量功能；</w:t>
            </w:r>
          </w:p>
          <w:p w14:paraId="248697E3">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⑦能存储上≥12个结算日组合有功电能量和正、反向电能及各费率电能数据。</w:t>
            </w:r>
          </w:p>
          <w:p w14:paraId="625396DB">
            <w:pPr>
              <w:bidi w:val="0"/>
              <w:ind w:left="0" w:leftChars="0" w:firstLine="0" w:firstLineChars="0"/>
              <w:jc w:val="left"/>
              <w:rPr>
                <w:rFonts w:hint="eastAsia" w:ascii="宋体" w:hAnsi="宋体" w:eastAsia="宋体" w:cs="宋体"/>
                <w:sz w:val="24"/>
                <w:szCs w:val="24"/>
                <w:highlight w:val="none"/>
                <w:lang w:val="en-US" w:eastAsia="zh-CN"/>
              </w:rPr>
            </w:pPr>
            <w:r>
              <w:rPr>
                <w:rFonts w:hint="eastAsia" w:ascii="微软雅黑" w:hAnsi="微软雅黑" w:eastAsia="微软雅黑" w:cs="微软雅黑"/>
                <w:sz w:val="24"/>
                <w:szCs w:val="24"/>
                <w:highlight w:val="none"/>
                <w:lang w:val="en-US" w:eastAsia="zh-CN"/>
              </w:rPr>
              <w:t>⑧</w:t>
            </w:r>
            <w:r>
              <w:rPr>
                <w:rFonts w:hint="eastAsia" w:ascii="宋体" w:hAnsi="宋体" w:eastAsia="宋体" w:cs="宋体"/>
                <w:sz w:val="24"/>
                <w:szCs w:val="24"/>
                <w:highlight w:val="none"/>
                <w:lang w:val="en-US" w:eastAsia="zh-CN"/>
              </w:rPr>
              <w:t>计量精度：不低于1级精度。</w:t>
            </w:r>
          </w:p>
          <w:p w14:paraId="5B68A564">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(2)防雷浪涌保护器</w:t>
            </w:r>
          </w:p>
          <w:p w14:paraId="3589FE85">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①放电电流：≤20kA；</w:t>
            </w:r>
          </w:p>
          <w:p w14:paraId="562575B8">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②电压保护水平：≤1.5kV。</w:t>
            </w:r>
          </w:p>
          <w:p w14:paraId="1E0723E9">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(3)隔离开关</w:t>
            </w:r>
          </w:p>
          <w:p w14:paraId="7BCA57B8">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①额定电压：≥230V；</w:t>
            </w:r>
          </w:p>
          <w:p w14:paraId="2210291B">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②装方式：导轨安装。</w:t>
            </w:r>
          </w:p>
          <w:p w14:paraId="04214CD6">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(4)漏电断路器</w:t>
            </w:r>
          </w:p>
          <w:p w14:paraId="3B5017F6">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①额定电压：≥230V；</w:t>
            </w:r>
          </w:p>
          <w:p w14:paraId="2F3D0771">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②额定电流：≥10A；</w:t>
            </w:r>
          </w:p>
          <w:p w14:paraId="694121F9">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③动作时间：≤0.1s；</w:t>
            </w:r>
          </w:p>
          <w:p w14:paraId="0A66B4CA">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④灭弧方式：磁吹；</w:t>
            </w:r>
          </w:p>
          <w:p w14:paraId="69E049F2">
            <w:pPr>
              <w:bidi w:val="0"/>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⑤并网断路器功能:过欠压分闸保护，自动重合闸，需要模拟市电电源设备配合;</w:t>
            </w:r>
          </w:p>
          <w:p w14:paraId="6F33E072">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(5)光伏并网箱箱体</w:t>
            </w:r>
          </w:p>
          <w:p w14:paraId="5E994B0D">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①材质：SMC玻璃钢；</w:t>
            </w:r>
          </w:p>
          <w:p w14:paraId="1711FEEA">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②安装方式：落地式/壁挂式；</w:t>
            </w:r>
          </w:p>
          <w:p w14:paraId="728A684F">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3.光伏模拟电源</w:t>
            </w:r>
          </w:p>
          <w:p w14:paraId="4ED15E90">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(1)输入电压：AC 220V；</w:t>
            </w:r>
          </w:p>
          <w:p w14:paraId="03624CC6">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(2)支持485通讯；</w:t>
            </w:r>
          </w:p>
          <w:p w14:paraId="7D49FA3B">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(3)输出电压实时显示；</w:t>
            </w:r>
          </w:p>
          <w:p w14:paraId="277E10D9">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(4)支持开关量调节输出电压；</w:t>
            </w:r>
          </w:p>
          <w:p w14:paraId="1A18D122">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(5)支持就地调节输出电压。</w:t>
            </w:r>
          </w:p>
          <w:p w14:paraId="6BD9AEA3">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4.单相电子式电能表</w:t>
            </w:r>
          </w:p>
          <w:p w14:paraId="0BFB1C38">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(1)额定电压：AC220V/230V；</w:t>
            </w:r>
          </w:p>
          <w:p w14:paraId="1A67348D">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(2)电压范围：75~260V；</w:t>
            </w:r>
          </w:p>
          <w:p w14:paraId="3A50E668">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(3)功耗≤10VA；</w:t>
            </w:r>
          </w:p>
          <w:p w14:paraId="5A2DC25F">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(4)通信规约：MODBUS-RTU、DL/T645-07；</w:t>
            </w:r>
          </w:p>
          <w:p w14:paraId="53FBFE44">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(5)可显示界面：电压、电流、频率、总有功功率、总无功功率、总视在功率、总功率因数、总有功电能、正向有功总电能、反向有功总电能；</w:t>
            </w:r>
          </w:p>
          <w:p w14:paraId="20B84C0C">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5.变流器</w:t>
            </w:r>
          </w:p>
          <w:p w14:paraId="23AF8651">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(1)电网电压：220Vac~240Vac；</w:t>
            </w:r>
          </w:p>
          <w:p w14:paraId="3BA92208">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(2)电网频率：50Hz；</w:t>
            </w:r>
          </w:p>
          <w:p w14:paraId="0A3287E9">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（3）通信协议：采用CAN通信协议、Modbus RTU（基于RS-485）或Modbus TCP（基于以太网）等常规协议。</w:t>
            </w:r>
          </w:p>
          <w:p w14:paraId="3C6D0198">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(3)并网功率：200~700W；</w:t>
            </w:r>
          </w:p>
          <w:p w14:paraId="6DB91FB8">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(4)电池启动电压可设范围：24~31V；</w:t>
            </w:r>
          </w:p>
          <w:p w14:paraId="5A1FA7D2">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(5)电池低电压停机可设范围：22~30V；</w:t>
            </w:r>
          </w:p>
          <w:p w14:paraId="57A95906">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(6)保护电流：≥40A；</w:t>
            </w:r>
          </w:p>
          <w:p w14:paraId="41667324">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(7)电池恒功率：60~650W；</w:t>
            </w:r>
          </w:p>
          <w:p w14:paraId="3D0FE073">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(8)最大逆变效率：≥88%；</w:t>
            </w:r>
          </w:p>
          <w:p w14:paraId="69AAA51D">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(9)充电电流:≥5A；</w:t>
            </w:r>
          </w:p>
          <w:p w14:paraId="09EC60A3">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(10)充电电压：≥29V。</w:t>
            </w:r>
          </w:p>
          <w:p w14:paraId="0EFB3A5C">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6.储能模块</w:t>
            </w:r>
          </w:p>
          <w:p w14:paraId="3FC8A183">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6.1 BMS电池管理模块</w:t>
            </w:r>
          </w:p>
          <w:p w14:paraId="01587697">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(1)具备单体过压保护、单体欠压保护、整组过压保护、整组欠压保护、充电高温保护、充电低温保护功能。</w:t>
            </w:r>
          </w:p>
          <w:p w14:paraId="468AC5AD">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6.2电池</w:t>
            </w:r>
          </w:p>
          <w:p w14:paraId="51168B94">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(1)电池类型：磷酸铁锂；</w:t>
            </w:r>
          </w:p>
          <w:p w14:paraId="7A8B0DCF">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(2)标称电压：≥3.2V；</w:t>
            </w:r>
          </w:p>
          <w:p w14:paraId="45A81538">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(3)电池内阻：≤2mΩ；</w:t>
            </w:r>
          </w:p>
          <w:p w14:paraId="4DD434DE">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(4)工作温度：-22~55℃；</w:t>
            </w:r>
          </w:p>
          <w:p w14:paraId="1E0F9F65">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(5)容量：≥30AH；</w:t>
            </w:r>
          </w:p>
          <w:p w14:paraId="6890EBAA">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(6)循环寿命：2000次；</w:t>
            </w:r>
          </w:p>
          <w:p w14:paraId="56809730">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(7)满电电压：3.65V；</w:t>
            </w:r>
          </w:p>
          <w:p w14:paraId="653CD34B">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(8)截止电压：≤2.5V；</w:t>
            </w:r>
          </w:p>
          <w:p w14:paraId="12963E70">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(9)数量：≥8个。</w:t>
            </w:r>
          </w:p>
          <w:p w14:paraId="090529D7">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7.单相异步电机</w:t>
            </w:r>
          </w:p>
          <w:p w14:paraId="2D28E947">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(1)额定电压：220V；</w:t>
            </w:r>
          </w:p>
          <w:p w14:paraId="6238642D">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(2)额定频率：50Hz；</w:t>
            </w:r>
          </w:p>
          <w:p w14:paraId="7B5E0414">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(3)额定功率：≥180W；</w:t>
            </w:r>
          </w:p>
          <w:p w14:paraId="5C273866">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(4)额定电流：≥1.45A；</w:t>
            </w:r>
          </w:p>
          <w:p w14:paraId="6733C546">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(5)额定转速：≥2800r/min；</w:t>
            </w:r>
          </w:p>
          <w:p w14:paraId="30E27508">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8.三相异步电机</w:t>
            </w:r>
          </w:p>
          <w:p w14:paraId="67AEE569">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(1)额定电压：380V；</w:t>
            </w:r>
          </w:p>
          <w:p w14:paraId="506E7638">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(2)额定功率：≥180W；</w:t>
            </w:r>
          </w:p>
          <w:p w14:paraId="4293974B">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(3)额定电流：≥0.4A；</w:t>
            </w:r>
          </w:p>
          <w:p w14:paraId="64D57E8C">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(4)接线方式：支持星形和三角形接线；</w:t>
            </w:r>
          </w:p>
          <w:p w14:paraId="506EB878">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(5)额定转速：≥1400r/min；</w:t>
            </w:r>
          </w:p>
          <w:p w14:paraId="62F0F11A">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(6)额定频率：≥50Hz；</w:t>
            </w:r>
          </w:p>
          <w:p w14:paraId="5E927F3B">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9.变频器</w:t>
            </w:r>
          </w:p>
          <w:p w14:paraId="2DFFA55A">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(1)输入电压:AC200~240V；</w:t>
            </w:r>
          </w:p>
          <w:p w14:paraId="0FBCC8A6">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(2)功率:≥0.25kW；</w:t>
            </w:r>
          </w:p>
          <w:p w14:paraId="731ACCC8">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(3)输入频率：47~63HZ；</w:t>
            </w:r>
          </w:p>
          <w:p w14:paraId="2DEEB294">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(4)数字量输入：≥4DI；</w:t>
            </w:r>
          </w:p>
          <w:p w14:paraId="2C067F6E">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(5)数字量输出：≥2DO；</w:t>
            </w:r>
          </w:p>
          <w:p w14:paraId="76DB3D93">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(6)模拟量输入：≥2AI；</w:t>
            </w:r>
          </w:p>
          <w:p w14:paraId="574A58E4">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(7)模拟量输出：≥1AO；</w:t>
            </w:r>
          </w:p>
          <w:p w14:paraId="1DB3DF6D">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(8)通讯协议：支持USS/MODUBUS RTU通讯；</w:t>
            </w:r>
          </w:p>
          <w:p w14:paraId="5A3C660F">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(9)防护等级：≥IP20；</w:t>
            </w:r>
          </w:p>
          <w:p w14:paraId="584BC9B8">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(10)输出频率：0~60HZ；</w:t>
            </w:r>
          </w:p>
          <w:p w14:paraId="53CC5F8B">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(11)输出频率精度：≥0.01Hz。</w:t>
            </w:r>
          </w:p>
          <w:p w14:paraId="7BFF8504">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10.阻性负载</w:t>
            </w:r>
          </w:p>
          <w:p w14:paraId="66B4BEC0">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(1)电压：≥220V；</w:t>
            </w:r>
          </w:p>
          <w:p w14:paraId="1028CCB2">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(2)功率：≥60W/100W；</w:t>
            </w:r>
          </w:p>
          <w:p w14:paraId="09A7CB86">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11.直流开关电源</w:t>
            </w:r>
          </w:p>
          <w:p w14:paraId="4B6BAB8E">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(1)输出电压：≥DC24V；</w:t>
            </w:r>
          </w:p>
          <w:p w14:paraId="3B641281">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(2)额定电流≥：6.5A/230VAC；</w:t>
            </w:r>
          </w:p>
          <w:p w14:paraId="6C37B804">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(3)电流范围：≥0~6.5A/230VAC；</w:t>
            </w:r>
          </w:p>
          <w:p w14:paraId="45D6C89E">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(4)额定功率：≥156W/230VAC； </w:t>
            </w:r>
          </w:p>
          <w:p w14:paraId="4E66FD3E">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(5)电压调整范围：24~28V；</w:t>
            </w:r>
          </w:p>
          <w:p w14:paraId="13A5FEAE">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(6)输入电压：90~264VAC；</w:t>
            </w:r>
          </w:p>
          <w:p w14:paraId="6F711E11">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(7)保护：过负载、过电压、过温度；</w:t>
            </w:r>
          </w:p>
          <w:p w14:paraId="7BD8BB4B">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(8)工作温度：-20~+60℃；</w:t>
            </w:r>
          </w:p>
          <w:p w14:paraId="00B494C2">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(9)工作湿度：20~95%RH；</w:t>
            </w:r>
          </w:p>
          <w:p w14:paraId="167F1882">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(10)储存温度：-40~+85℃；</w:t>
            </w:r>
          </w:p>
          <w:p w14:paraId="71AF2A9B">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(11)储存湿度：10~95%RH。</w:t>
            </w:r>
          </w:p>
          <w:p w14:paraId="61BA6EE9">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12.开关元件</w:t>
            </w:r>
          </w:p>
          <w:p w14:paraId="72D7EED1">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（1）微型断路器：≥7个；</w:t>
            </w:r>
          </w:p>
          <w:p w14:paraId="67D0C9C3">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（2）断路器辅助触点：≥4个。</w:t>
            </w:r>
          </w:p>
          <w:p w14:paraId="06024F3F">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13.串口服务器</w:t>
            </w:r>
          </w:p>
          <w:p w14:paraId="0D5AFA94">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(1)供电电压：DC9~36V，防反接；</w:t>
            </w:r>
          </w:p>
          <w:p w14:paraId="72DDDD9D">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(2)以太网接口：RJ45；</w:t>
            </w:r>
          </w:p>
          <w:p w14:paraId="2C5CB531">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(3)数据速率：10/100M 自适应；</w:t>
            </w:r>
          </w:p>
          <w:p w14:paraId="4B9D5C93">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(4)支持协议：ETHERNET、TCP、UDP、IP、ARP、DHCP、 DNS、ICM；</w:t>
            </w:r>
          </w:p>
          <w:p w14:paraId="16BB7A79">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(5)串口端口数：≥8 路 RS485，≥8 路串口相互独立；</w:t>
            </w:r>
          </w:p>
          <w:p w14:paraId="6E8E1BA9">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(6)串口接口形式：RS-485；</w:t>
            </w:r>
          </w:p>
          <w:p w14:paraId="4CFBEF5D">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(7)串口波特率：600~460800bps；</w:t>
            </w:r>
          </w:p>
          <w:p w14:paraId="16520D73">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(8)工作模式：每路串口均支持 TCP_SERVER、TCP_CLIENT、 UDP_SERVER、UDP_CLIENT 四种工作模式；</w:t>
            </w:r>
          </w:p>
          <w:p w14:paraId="2D0457AB">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14.交换机</w:t>
            </w:r>
          </w:p>
          <w:p w14:paraId="69799159">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(1)工作电压：≥DC12/24V；</w:t>
            </w:r>
          </w:p>
          <w:p w14:paraId="2AD1D97D">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(2)接口：5×10/100M    RJ45电口；</w:t>
            </w:r>
          </w:p>
          <w:p w14:paraId="659FC493">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(3)工作温度：-30℃~+75℃；</w:t>
            </w:r>
          </w:p>
          <w:p w14:paraId="3031AD5A">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(4)安装方式：导轨安装。</w:t>
            </w:r>
          </w:p>
          <w:p w14:paraId="3EC0D879">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15.可编程逻辑控制器</w:t>
            </w:r>
          </w:p>
          <w:p w14:paraId="60DFA38D">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(1)工作电压：≥220V AC；</w:t>
            </w:r>
          </w:p>
          <w:p w14:paraId="33380598">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(2)处理器速度：≥0.15ms；</w:t>
            </w:r>
          </w:p>
          <w:p w14:paraId="781A94E8">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(3)板载数字 I/O：≥36点输入/≥24点输出；</w:t>
            </w:r>
          </w:p>
          <w:p w14:paraId="76BAC6D7">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(4)频率允许范围：47 ~ 63 Hz；</w:t>
            </w:r>
          </w:p>
          <w:p w14:paraId="6373F9DD">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(5)工业以太网接口：≥1 个；</w:t>
            </w:r>
          </w:p>
          <w:p w14:paraId="45C0D3E0">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(6)RS485接口：≥1个。</w:t>
            </w:r>
          </w:p>
          <w:p w14:paraId="0E1F8271">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16.嵌入式一体化触摸屏</w:t>
            </w:r>
          </w:p>
          <w:p w14:paraId="7944525A">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(1)显示屏尺寸：≥7寸；</w:t>
            </w:r>
          </w:p>
          <w:p w14:paraId="7D234886">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(2)电源:≥DC24V；</w:t>
            </w:r>
          </w:p>
          <w:p w14:paraId="6E42D3BD">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(3)分辨率：800×480；</w:t>
            </w:r>
          </w:p>
          <w:p w14:paraId="0D13581B">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(4)内存：≥128MB；</w:t>
            </w:r>
          </w:p>
          <w:p w14:paraId="5B8C4BAF">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(5)串行接口：≥RS485×2，≥RS232×1；</w:t>
            </w:r>
          </w:p>
          <w:p w14:paraId="68856D18">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(6)以太网口:≥1个。</w:t>
            </w:r>
          </w:p>
          <w:p w14:paraId="128CFCC1">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17.控制元件</w:t>
            </w:r>
          </w:p>
          <w:p w14:paraId="4FD30FFE">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(1)交流接触器：≥8个；</w:t>
            </w:r>
          </w:p>
          <w:p w14:paraId="3DCE140D">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(2)继电器：≥8个。</w:t>
            </w:r>
          </w:p>
          <w:p w14:paraId="32477A6A">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18.边缘计算网关</w:t>
            </w:r>
          </w:p>
          <w:p w14:paraId="49AF63AB">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（1）输入电压：≥DC5V；</w:t>
            </w:r>
          </w:p>
          <w:p w14:paraId="09339A74">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（2）通讯接口：RJ45；</w:t>
            </w:r>
          </w:p>
          <w:p w14:paraId="59FAECE6">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（3）视频接口：HDMI；</w:t>
            </w:r>
          </w:p>
          <w:p w14:paraId="5170D7A5">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（4）处理器核心数：≥4核；</w:t>
            </w:r>
          </w:p>
          <w:p w14:paraId="768167F0">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（5）内存：≥2G；</w:t>
            </w:r>
          </w:p>
          <w:p w14:paraId="2AF5A057">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（6）硬盘：≥13G。</w:t>
            </w:r>
          </w:p>
          <w:p w14:paraId="08F1BA34">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19.外壳</w:t>
            </w:r>
          </w:p>
          <w:p w14:paraId="734B089B">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（1）材质：冷轧板喷塑；</w:t>
            </w:r>
          </w:p>
          <w:p w14:paraId="5216813F">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（2）尺寸（宽×深×高）：800mm×700mm×1900mm，允许尺寸偏差±5mm。 </w:t>
            </w:r>
          </w:p>
          <w:p w14:paraId="79E2A703">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20.实训内容</w:t>
            </w:r>
          </w:p>
          <w:p w14:paraId="079C455F">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（1）BMS电池管理系统接线与认知；</w:t>
            </w:r>
          </w:p>
          <w:p w14:paraId="3CAF8EBB">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（2）磷酸铁锂电池认知；</w:t>
            </w:r>
          </w:p>
          <w:p w14:paraId="77B3AD23">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（3）电池的运行与维护；</w:t>
            </w:r>
          </w:p>
          <w:p w14:paraId="38F0C663">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（4）储能逆变器接线及通信调试；</w:t>
            </w:r>
          </w:p>
          <w:p w14:paraId="1DA15E66">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（5）电池管理系统接线及通信调试；</w:t>
            </w:r>
          </w:p>
          <w:p w14:paraId="78788B73">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（6）模拟光伏电站电路设计；</w:t>
            </w:r>
          </w:p>
          <w:p w14:paraId="193805F1">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（7）模拟光伏电站安装与调试；</w:t>
            </w:r>
          </w:p>
          <w:p w14:paraId="377D34DE">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（8）电动机正反转接线设计及装调；</w:t>
            </w:r>
          </w:p>
          <w:p w14:paraId="4F2C2F40">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（9）电动机星三角接线设计及装调；</w:t>
            </w:r>
          </w:p>
          <w:p w14:paraId="33F25D64">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（10）能源管控数字化网络搭建。</w:t>
            </w:r>
          </w:p>
          <w:p w14:paraId="21C7D06F">
            <w:pPr>
              <w:bidi w:val="0"/>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21、其他要求：</w:t>
            </w:r>
          </w:p>
          <w:p w14:paraId="6385036D">
            <w:pPr>
              <w:bidi w:val="0"/>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（1）接入管理控制软件系统的设备，相关通信协议要与整体系统匹配。</w:t>
            </w:r>
          </w:p>
          <w:p w14:paraId="40953BC8">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（2）参数证明材料可以采用检测报告或白皮书或产品说明书或功能截图或专利等材料提供佐证。</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12296446">
            <w:pPr>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1套</w:t>
            </w:r>
          </w:p>
        </w:tc>
      </w:tr>
      <w:tr w14:paraId="72DD21A9">
        <w:tblPrEx>
          <w:tblCellMar>
            <w:top w:w="0" w:type="dxa"/>
            <w:left w:w="108" w:type="dxa"/>
            <w:bottom w:w="0" w:type="dxa"/>
            <w:right w:w="108" w:type="dxa"/>
          </w:tblCellMar>
        </w:tblPrEx>
        <w:trPr>
          <w:trHeight w:val="680"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14:paraId="311EB77F">
            <w:pPr>
              <w:keepNext w:val="0"/>
              <w:keepLines w:val="0"/>
              <w:pageBreakBefore w:val="0"/>
              <w:widowControl/>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2C8147B3">
            <w:pPr>
              <w:keepNext w:val="0"/>
              <w:keepLines w:val="0"/>
              <w:pageBreakBefore w:val="0"/>
              <w:widowControl/>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▲能源管控系统</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33635C38">
            <w:pPr>
              <w:keepNext w:val="0"/>
              <w:keepLines w:val="0"/>
              <w:pageBreakBefore w:val="0"/>
              <w:widowControl w:val="0"/>
              <w:numPr>
                <w:ilvl w:val="0"/>
                <w:numId w:val="3"/>
              </w:numPr>
              <w:kinsoku/>
              <w:wordWrap/>
              <w:overflowPunct/>
              <w:topLinePunct w:val="0"/>
              <w:autoSpaceDE/>
              <w:autoSpaceDN/>
              <w:bidi w:val="0"/>
              <w:adjustRightInd/>
              <w:snapToGrid/>
              <w:spacing w:line="288"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能源管控系统软件</w:t>
            </w:r>
          </w:p>
          <w:p w14:paraId="7A62E58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能源管控系统软件具备控制光伏储能及电机输出、数据采集等功能。</w:t>
            </w:r>
          </w:p>
          <w:p w14:paraId="606DB5F9">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1.WEB端呈现，在浏览器端完成便捷的人机交互，简单的拖拽即可完成可视化页面的编排设计；</w:t>
            </w:r>
          </w:p>
          <w:p w14:paraId="5F0EDA1B">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2.支持SNMP协议、Modbus协议、DLT645协议、IEC104协议、MQQT协议等；</w:t>
            </w:r>
          </w:p>
          <w:p w14:paraId="320B3E83">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3.可进行系统资源统计，包括设备的CPU数据、硬盘数据、内存数据、以及系统运行环境；</w:t>
            </w:r>
          </w:p>
          <w:p w14:paraId="7DAC92CD">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4.软件可以新建数据模型，可设置模型的连接方式、数据格式、数据位、校验位等信息；</w:t>
            </w:r>
          </w:p>
          <w:p w14:paraId="407D665A">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5.应用页面素材库包括：导航、容器、装饰、背景条、页面边框、3D图标、科技感图标、大屏插画等内容；</w:t>
            </w:r>
          </w:p>
          <w:p w14:paraId="2A78DE4B">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6.软件应用工业组件库包括：基本、视频、登录、设备、图形、图表、历史曲线、地图、箭头、电力、管道、HVAC、电机、风机、泵、搅拌机等内容；</w:t>
            </w:r>
          </w:p>
          <w:p w14:paraId="4FEE163B">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7.可进行用户管理，设置操作员和普通用户等角色；</w:t>
            </w:r>
          </w:p>
          <w:p w14:paraId="29129101">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8.可进行实时告警，记录设备告警名称、告警时间、告警等级，可屏蔽告警信息；</w:t>
            </w:r>
          </w:p>
          <w:p w14:paraId="584AAE78">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9.数据报表功能，支持日报表、周报表、月报表，可将报表数据导出为xsl文件。</w:t>
            </w:r>
          </w:p>
          <w:p w14:paraId="2EAC2223">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二．光伏规划设计软件</w:t>
            </w:r>
          </w:p>
          <w:p w14:paraId="1C5E0CCE">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满足学校实训功能要求，可以自行设计参数及模块。</w:t>
            </w:r>
          </w:p>
          <w:p w14:paraId="31A712E5">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1.光伏规划设计软件</w:t>
            </w:r>
          </w:p>
          <w:p w14:paraId="4DEEBE45">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（1）可根据项目需求进行并网模块设计，能够录入项目信息、客户信息和设计方信息；</w:t>
            </w:r>
          </w:p>
          <w:p w14:paraId="303A4B45">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（2）气象数据来源采用国际通用卫星数据，包含本地气象数据库，也可进行在线气象数据导入。可在地图上进行选点添加气象数据，也可以通过输入经纬度数据进行查找添加气象数据；</w:t>
            </w:r>
          </w:p>
          <w:p w14:paraId="6109D85B">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光伏组件可以选择数据库光伏组件、也可进行自定义组件添加，自定义参数包含生产厂家、材质、最大功率、最大功率时电压、开路电压、开路电压温度系数、峰值功率温度系数、组件长度、组件宽度、组件厚度、重量、首年衰减、逐年衰减、功率公差、短路电流、组件转化效率、短路电路温度系数、标准组件发电温度条件、组件价格、最大功率时电流、系统最大电压、型号等参数；</w:t>
            </w:r>
          </w:p>
          <w:p w14:paraId="0A8128C0">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（4）光伏组件数据库可进行搜索、导入、导出；</w:t>
            </w:r>
          </w:p>
          <w:p w14:paraId="60535506">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逆变器可以选择数据库逆变器、也可进行自定义逆变器添加，自定义参数包含生产厂家、型号、功率、最大允许输入电压、MPPT最大允许输入电压、MPPT最小允许输入电压、逆变器交流输出电压、逆变器效率、输出相数、输入组串数、最大输入电流/每路MPPT、MPPT数量、最大交流输出电流、额定输出功率、防护等级、是否带隔离变、逆变器价格、逆变器型号等参数；</w:t>
            </w:r>
          </w:p>
          <w:p w14:paraId="3C93095D">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（6）逆变器数据库可进行搜索、导入、导出；</w:t>
            </w:r>
          </w:p>
          <w:p w14:paraId="40D19145">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（7）方阵布置模块，可进行阵列倾角优化，以及排布方式、排布层数、排布间隔、运营时间、并网电压、并网点数等参数设置。可通过安装容量、平面面积、手动建模3种方式进行方阵的配置；</w:t>
            </w:r>
          </w:p>
          <w:p w14:paraId="01965F86">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（8）节能减排模块。通过输入标准煤、碳粉尘、二氧化碳、二氧化硫、氮氧化物等参数，进行节能减排的计算；</w:t>
            </w:r>
          </w:p>
          <w:p w14:paraId="459B1E1C">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（9）可进行直流方案选择，包含光伏阵列-逆变器、光伏阵列-防雷汇流箱-直流防雷配电单元-逆变器、光伏阵列-防雷汇流箱-逆变器、光伏阵列-直流防雷配电单元-逆变器四种传输方案；</w:t>
            </w:r>
          </w:p>
          <w:p w14:paraId="1E6FEBE2">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（10）可进行模拟运行，结合前边输入数据进行计算，得到组件数量、逆变器数量、组件并联总数、逆变器输入路数、组件串联数、前后中心间距、实际容配比、安装功率等结果；</w:t>
            </w:r>
          </w:p>
          <w:p w14:paraId="410C7D34">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（11）导出报告。包含所选产品的技术参数及相关产品的选型公式和方法、全年各月能量损耗、全年各月发电量、材料清单、节能减排分析等；</w:t>
            </w:r>
          </w:p>
          <w:p w14:paraId="68B84018">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（12）导出图纸。通过对光伏方阵进行手动建模，结合方阵参数，导出dxf图纸文件，图纸内容为光伏方阵布置的具体情况。</w:t>
            </w:r>
          </w:p>
          <w:p w14:paraId="458D44CA">
            <w:pPr>
              <w:keepNext w:val="0"/>
              <w:keepLines w:val="0"/>
              <w:pageBreakBefore w:val="0"/>
              <w:widowControl w:val="0"/>
              <w:numPr>
                <w:ilvl w:val="0"/>
                <w:numId w:val="4"/>
              </w:numPr>
              <w:kinsoku/>
              <w:wordWrap/>
              <w:overflowPunct/>
              <w:topLinePunct w:val="0"/>
              <w:autoSpaceDE/>
              <w:autoSpaceDN/>
              <w:bidi w:val="0"/>
              <w:adjustRightInd/>
              <w:snapToGrid/>
              <w:ind w:left="120" w:lef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其他要求：</w:t>
            </w:r>
          </w:p>
          <w:p w14:paraId="132D732F">
            <w:pPr>
              <w:keepNext w:val="0"/>
              <w:keepLines w:val="0"/>
              <w:pageBreakBefore w:val="0"/>
              <w:widowControl w:val="0"/>
              <w:numPr>
                <w:ilvl w:val="0"/>
                <w:numId w:val="0"/>
              </w:numPr>
              <w:kinsoku/>
              <w:wordWrap/>
              <w:overflowPunct/>
              <w:topLinePunct w:val="0"/>
              <w:autoSpaceDE/>
              <w:autoSpaceDN/>
              <w:bidi w:val="0"/>
              <w:adjustRightInd/>
              <w:snapToGrid/>
              <w:ind w:left="120" w:left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（1）接入管理控制软件系统的设备，相关通信协议要与整体系统匹配。</w:t>
            </w:r>
          </w:p>
          <w:p w14:paraId="6D64D708">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（2）参数证明材料可以采用检测报告或白皮书或产品说明书或功能截图或专利等材料提供佐证。</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2F4D8287">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1套</w:t>
            </w:r>
          </w:p>
        </w:tc>
      </w:tr>
      <w:tr w14:paraId="2A4AE526">
        <w:tblPrEx>
          <w:tblCellMar>
            <w:top w:w="0" w:type="dxa"/>
            <w:left w:w="108" w:type="dxa"/>
            <w:bottom w:w="0" w:type="dxa"/>
            <w:right w:w="108" w:type="dxa"/>
          </w:tblCellMar>
        </w:tblPrEx>
        <w:trPr>
          <w:trHeight w:val="680"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14:paraId="69F8147B">
            <w:pPr>
              <w:keepNext w:val="0"/>
              <w:keepLines w:val="0"/>
              <w:pageBreakBefore w:val="0"/>
              <w:kinsoku/>
              <w:wordWrap/>
              <w:overflowPunct/>
              <w:topLinePunct w:val="0"/>
              <w:autoSpaceDE/>
              <w:autoSpaceDN/>
              <w:bidi w:val="0"/>
              <w:adjustRightInd/>
              <w:snapToGrid/>
              <w:spacing w:line="288" w:lineRule="auto"/>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3</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D119A6F">
            <w:pPr>
              <w:keepNext w:val="0"/>
              <w:keepLines w:val="0"/>
              <w:pageBreakBefore w:val="0"/>
              <w:widowControl/>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color w:val="auto"/>
                <w:kern w:val="0"/>
                <w:sz w:val="24"/>
                <w:szCs w:val="24"/>
                <w:highlight w:val="none"/>
                <w:lang w:val="en-US" w:eastAsia="zh-CN" w:bidi="ar"/>
              </w:rPr>
              <w:t>工具套装</w:t>
            </w:r>
          </w:p>
        </w:tc>
        <w:tc>
          <w:tcPr>
            <w:tcW w:w="7011" w:type="dxa"/>
            <w:tcBorders>
              <w:top w:val="single" w:color="auto" w:sz="4" w:space="0"/>
              <w:left w:val="single" w:color="auto" w:sz="4" w:space="0"/>
              <w:bottom w:val="single" w:color="auto" w:sz="4" w:space="0"/>
              <w:right w:val="single" w:color="auto" w:sz="4" w:space="0"/>
            </w:tcBorders>
            <w:noWrap w:val="0"/>
            <w:vAlign w:val="center"/>
          </w:tcPr>
          <w:tbl>
            <w:tblPr>
              <w:tblStyle w:val="23"/>
              <w:tblW w:w="6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500"/>
              <w:gridCol w:w="1455"/>
              <w:gridCol w:w="960"/>
              <w:gridCol w:w="1134"/>
            </w:tblGrid>
            <w:tr w14:paraId="4016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noWrap w:val="0"/>
                  <w:vAlign w:val="center"/>
                </w:tcPr>
                <w:p w14:paraId="35D1AB7A">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序号</w:t>
                  </w:r>
                </w:p>
              </w:tc>
              <w:tc>
                <w:tcPr>
                  <w:tcW w:w="1500" w:type="dxa"/>
                  <w:noWrap w:val="0"/>
                  <w:vAlign w:val="center"/>
                </w:tcPr>
                <w:p w14:paraId="31291052">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名称</w:t>
                  </w:r>
                </w:p>
              </w:tc>
              <w:tc>
                <w:tcPr>
                  <w:tcW w:w="1455" w:type="dxa"/>
                  <w:noWrap w:val="0"/>
                  <w:vAlign w:val="center"/>
                </w:tcPr>
                <w:p w14:paraId="3E6795F5">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型号</w:t>
                  </w:r>
                </w:p>
              </w:tc>
              <w:tc>
                <w:tcPr>
                  <w:tcW w:w="960" w:type="dxa"/>
                  <w:noWrap w:val="0"/>
                  <w:vAlign w:val="center"/>
                </w:tcPr>
                <w:p w14:paraId="22B8DC18">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数量</w:t>
                  </w:r>
                </w:p>
              </w:tc>
              <w:tc>
                <w:tcPr>
                  <w:tcW w:w="1134" w:type="dxa"/>
                  <w:noWrap w:val="0"/>
                  <w:vAlign w:val="center"/>
                </w:tcPr>
                <w:p w14:paraId="64389FD9">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单位</w:t>
                  </w:r>
                </w:p>
              </w:tc>
            </w:tr>
            <w:tr w14:paraId="61186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noWrap w:val="0"/>
                  <w:vAlign w:val="center"/>
                </w:tcPr>
                <w:p w14:paraId="346401F8">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500" w:type="dxa"/>
                  <w:noWrap w:val="0"/>
                  <w:vAlign w:val="center"/>
                </w:tcPr>
                <w:p w14:paraId="572ABA35">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万用表</w:t>
                  </w:r>
                </w:p>
              </w:tc>
              <w:tc>
                <w:tcPr>
                  <w:tcW w:w="1455" w:type="dxa"/>
                  <w:noWrap w:val="0"/>
                  <w:vAlign w:val="center"/>
                </w:tcPr>
                <w:p w14:paraId="6A8F0754">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UT200A+</w:t>
                  </w:r>
                </w:p>
              </w:tc>
              <w:tc>
                <w:tcPr>
                  <w:tcW w:w="960" w:type="dxa"/>
                  <w:noWrap w:val="0"/>
                  <w:vAlign w:val="center"/>
                </w:tcPr>
                <w:p w14:paraId="1673016A">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134" w:type="dxa"/>
                  <w:noWrap w:val="0"/>
                  <w:vAlign w:val="center"/>
                </w:tcPr>
                <w:p w14:paraId="45F72574">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台</w:t>
                  </w:r>
                </w:p>
              </w:tc>
            </w:tr>
            <w:tr w14:paraId="2DC7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noWrap w:val="0"/>
                  <w:vAlign w:val="center"/>
                </w:tcPr>
                <w:p w14:paraId="31B8E06C">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1500" w:type="dxa"/>
                  <w:noWrap w:val="0"/>
                  <w:vAlign w:val="center"/>
                </w:tcPr>
                <w:p w14:paraId="7D30E2CA">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端子压线钳</w:t>
                  </w:r>
                </w:p>
              </w:tc>
              <w:tc>
                <w:tcPr>
                  <w:tcW w:w="1455" w:type="dxa"/>
                  <w:noWrap w:val="0"/>
                  <w:vAlign w:val="center"/>
                </w:tcPr>
                <w:p w14:paraId="62C0219E">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HSC8</w:t>
                  </w:r>
                </w:p>
              </w:tc>
              <w:tc>
                <w:tcPr>
                  <w:tcW w:w="960" w:type="dxa"/>
                  <w:noWrap w:val="0"/>
                  <w:vAlign w:val="center"/>
                </w:tcPr>
                <w:p w14:paraId="60150C0B">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134" w:type="dxa"/>
                  <w:noWrap w:val="0"/>
                  <w:vAlign w:val="center"/>
                </w:tcPr>
                <w:p w14:paraId="67B84C9E">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把</w:t>
                  </w:r>
                </w:p>
              </w:tc>
            </w:tr>
            <w:tr w14:paraId="5E5B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noWrap w:val="0"/>
                  <w:vAlign w:val="center"/>
                </w:tcPr>
                <w:p w14:paraId="0B434A4B">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1500" w:type="dxa"/>
                  <w:noWrap w:val="0"/>
                  <w:vAlign w:val="center"/>
                </w:tcPr>
                <w:p w14:paraId="6CF60D53">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端子压线钳</w:t>
                  </w:r>
                </w:p>
              </w:tc>
              <w:tc>
                <w:tcPr>
                  <w:tcW w:w="1455" w:type="dxa"/>
                  <w:noWrap w:val="0"/>
                  <w:vAlign w:val="center"/>
                </w:tcPr>
                <w:p w14:paraId="55A330F9">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HS-2MA</w:t>
                  </w:r>
                </w:p>
              </w:tc>
              <w:tc>
                <w:tcPr>
                  <w:tcW w:w="960" w:type="dxa"/>
                  <w:noWrap w:val="0"/>
                  <w:vAlign w:val="center"/>
                </w:tcPr>
                <w:p w14:paraId="5E2F5685">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134" w:type="dxa"/>
                  <w:noWrap w:val="0"/>
                  <w:vAlign w:val="center"/>
                </w:tcPr>
                <w:p w14:paraId="5A09AC2D">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把</w:t>
                  </w:r>
                </w:p>
              </w:tc>
            </w:tr>
            <w:tr w14:paraId="42BE5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noWrap w:val="0"/>
                  <w:vAlign w:val="center"/>
                </w:tcPr>
                <w:p w14:paraId="1E020F07">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4</w:t>
                  </w:r>
                </w:p>
              </w:tc>
              <w:tc>
                <w:tcPr>
                  <w:tcW w:w="1500" w:type="dxa"/>
                  <w:noWrap w:val="0"/>
                  <w:vAlign w:val="center"/>
                </w:tcPr>
                <w:p w14:paraId="138FA4C9">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一字螺丝刀</w:t>
                  </w:r>
                </w:p>
              </w:tc>
              <w:tc>
                <w:tcPr>
                  <w:tcW w:w="1455" w:type="dxa"/>
                  <w:noWrap w:val="0"/>
                  <w:vAlign w:val="center"/>
                </w:tcPr>
                <w:p w14:paraId="4753F692">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r>
                    <w:rPr>
                      <w:rFonts w:hint="eastAsia" w:ascii="宋体" w:hAnsi="宋体" w:eastAsia="宋体" w:cs="宋体"/>
                      <w:sz w:val="24"/>
                      <w:szCs w:val="24"/>
                      <w:highlight w:val="none"/>
                      <w:lang w:val="en-US" w:eastAsia="zh-CN"/>
                    </w:rPr>
                    <w:t>×</w:t>
                  </w:r>
                  <w:r>
                    <w:rPr>
                      <w:rFonts w:hint="eastAsia" w:ascii="宋体" w:hAnsi="宋体" w:eastAsia="宋体" w:cs="宋体"/>
                      <w:b w:val="0"/>
                      <w:bCs w:val="0"/>
                      <w:sz w:val="24"/>
                      <w:szCs w:val="24"/>
                      <w:highlight w:val="none"/>
                      <w:vertAlign w:val="baseline"/>
                      <w:lang w:val="en-US" w:eastAsia="zh-CN"/>
                    </w:rPr>
                    <w:t>150</w:t>
                  </w:r>
                </w:p>
              </w:tc>
              <w:tc>
                <w:tcPr>
                  <w:tcW w:w="960" w:type="dxa"/>
                  <w:noWrap w:val="0"/>
                  <w:vAlign w:val="center"/>
                </w:tcPr>
                <w:p w14:paraId="698614A6">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134" w:type="dxa"/>
                  <w:noWrap w:val="0"/>
                  <w:vAlign w:val="center"/>
                </w:tcPr>
                <w:p w14:paraId="6C91FCE3">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把</w:t>
                  </w:r>
                </w:p>
              </w:tc>
            </w:tr>
            <w:tr w14:paraId="4E77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noWrap w:val="0"/>
                  <w:vAlign w:val="center"/>
                </w:tcPr>
                <w:p w14:paraId="103426CC">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w:t>
                  </w:r>
                </w:p>
              </w:tc>
              <w:tc>
                <w:tcPr>
                  <w:tcW w:w="1500" w:type="dxa"/>
                  <w:noWrap w:val="0"/>
                  <w:vAlign w:val="center"/>
                </w:tcPr>
                <w:p w14:paraId="0D95F6DC">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十字螺丝刀</w:t>
                  </w:r>
                </w:p>
              </w:tc>
              <w:tc>
                <w:tcPr>
                  <w:tcW w:w="1455" w:type="dxa"/>
                  <w:noWrap w:val="0"/>
                  <w:vAlign w:val="center"/>
                </w:tcPr>
                <w:p w14:paraId="695F1019">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w:t>
                  </w:r>
                  <w:r>
                    <w:rPr>
                      <w:rFonts w:hint="eastAsia" w:ascii="宋体" w:hAnsi="宋体" w:eastAsia="宋体" w:cs="宋体"/>
                      <w:sz w:val="24"/>
                      <w:szCs w:val="24"/>
                      <w:highlight w:val="none"/>
                      <w:lang w:val="en-US" w:eastAsia="zh-CN"/>
                    </w:rPr>
                    <w:t>×</w:t>
                  </w:r>
                  <w:r>
                    <w:rPr>
                      <w:rFonts w:hint="eastAsia" w:ascii="宋体" w:hAnsi="宋体" w:eastAsia="宋体" w:cs="宋体"/>
                      <w:b w:val="0"/>
                      <w:bCs w:val="0"/>
                      <w:sz w:val="24"/>
                      <w:szCs w:val="24"/>
                      <w:highlight w:val="none"/>
                      <w:vertAlign w:val="baseline"/>
                      <w:lang w:val="en-US" w:eastAsia="zh-CN"/>
                    </w:rPr>
                    <w:t>150</w:t>
                  </w:r>
                </w:p>
              </w:tc>
              <w:tc>
                <w:tcPr>
                  <w:tcW w:w="960" w:type="dxa"/>
                  <w:noWrap w:val="0"/>
                  <w:vAlign w:val="center"/>
                </w:tcPr>
                <w:p w14:paraId="5B7F0D8A">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134" w:type="dxa"/>
                  <w:noWrap w:val="0"/>
                  <w:vAlign w:val="center"/>
                </w:tcPr>
                <w:p w14:paraId="2783B0BA">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把</w:t>
                  </w:r>
                </w:p>
              </w:tc>
            </w:tr>
            <w:tr w14:paraId="0420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noWrap w:val="0"/>
                  <w:vAlign w:val="center"/>
                </w:tcPr>
                <w:p w14:paraId="37B444AF">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w:t>
                  </w:r>
                </w:p>
              </w:tc>
              <w:tc>
                <w:tcPr>
                  <w:tcW w:w="1500" w:type="dxa"/>
                  <w:noWrap w:val="0"/>
                  <w:vAlign w:val="center"/>
                </w:tcPr>
                <w:p w14:paraId="2BABD891">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剥线钳</w:t>
                  </w:r>
                </w:p>
              </w:tc>
              <w:tc>
                <w:tcPr>
                  <w:tcW w:w="1455" w:type="dxa"/>
                  <w:noWrap w:val="0"/>
                  <w:vAlign w:val="center"/>
                </w:tcPr>
                <w:p w14:paraId="3743A0A5">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175mm</w:t>
                  </w:r>
                </w:p>
              </w:tc>
              <w:tc>
                <w:tcPr>
                  <w:tcW w:w="960" w:type="dxa"/>
                  <w:noWrap w:val="0"/>
                  <w:vAlign w:val="center"/>
                </w:tcPr>
                <w:p w14:paraId="21BFD4BC">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134" w:type="dxa"/>
                  <w:noWrap w:val="0"/>
                  <w:vAlign w:val="center"/>
                </w:tcPr>
                <w:p w14:paraId="0D917B04">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把</w:t>
                  </w:r>
                </w:p>
              </w:tc>
            </w:tr>
            <w:tr w14:paraId="0612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9" w:type="dxa"/>
                  <w:noWrap w:val="0"/>
                  <w:vAlign w:val="center"/>
                </w:tcPr>
                <w:p w14:paraId="5C6138BA">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7</w:t>
                  </w:r>
                </w:p>
              </w:tc>
              <w:tc>
                <w:tcPr>
                  <w:tcW w:w="1500" w:type="dxa"/>
                  <w:noWrap w:val="0"/>
                  <w:vAlign w:val="center"/>
                </w:tcPr>
                <w:p w14:paraId="226F07CC">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验电笔</w:t>
                  </w:r>
                </w:p>
              </w:tc>
              <w:tc>
                <w:tcPr>
                  <w:tcW w:w="1455" w:type="dxa"/>
                  <w:noWrap w:val="0"/>
                  <w:vAlign w:val="center"/>
                </w:tcPr>
                <w:p w14:paraId="0EFF369B">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100～250V</w:t>
                  </w:r>
                </w:p>
              </w:tc>
              <w:tc>
                <w:tcPr>
                  <w:tcW w:w="960" w:type="dxa"/>
                  <w:noWrap w:val="0"/>
                  <w:vAlign w:val="center"/>
                </w:tcPr>
                <w:p w14:paraId="64E4949F">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134" w:type="dxa"/>
                  <w:noWrap w:val="0"/>
                  <w:vAlign w:val="center"/>
                </w:tcPr>
                <w:p w14:paraId="4664BB10">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个</w:t>
                  </w:r>
                </w:p>
              </w:tc>
            </w:tr>
            <w:tr w14:paraId="2563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noWrap w:val="0"/>
                  <w:vAlign w:val="top"/>
                </w:tcPr>
                <w:p w14:paraId="15FBF3FA">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8</w:t>
                  </w:r>
                </w:p>
              </w:tc>
              <w:tc>
                <w:tcPr>
                  <w:tcW w:w="1500" w:type="dxa"/>
                  <w:noWrap w:val="0"/>
                  <w:vAlign w:val="top"/>
                </w:tcPr>
                <w:p w14:paraId="52E365DB">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工具箱</w:t>
                  </w:r>
                </w:p>
              </w:tc>
              <w:tc>
                <w:tcPr>
                  <w:tcW w:w="1455" w:type="dxa"/>
                  <w:noWrap w:val="0"/>
                  <w:vAlign w:val="center"/>
                </w:tcPr>
                <w:p w14:paraId="77EB808A">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17寸</w:t>
                  </w:r>
                </w:p>
              </w:tc>
              <w:tc>
                <w:tcPr>
                  <w:tcW w:w="960" w:type="dxa"/>
                  <w:noWrap w:val="0"/>
                  <w:vAlign w:val="center"/>
                </w:tcPr>
                <w:p w14:paraId="16A4F8D9">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134" w:type="dxa"/>
                  <w:noWrap w:val="0"/>
                  <w:vAlign w:val="center"/>
                </w:tcPr>
                <w:p w14:paraId="1568B29A">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个</w:t>
                  </w:r>
                </w:p>
              </w:tc>
            </w:tr>
          </w:tbl>
          <w:p w14:paraId="2C678E7D">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p>
        </w:tc>
        <w:tc>
          <w:tcPr>
            <w:tcW w:w="1409" w:type="dxa"/>
            <w:tcBorders>
              <w:top w:val="single" w:color="auto" w:sz="4" w:space="0"/>
              <w:left w:val="single" w:color="auto" w:sz="4" w:space="0"/>
              <w:bottom w:val="single" w:color="auto" w:sz="4" w:space="0"/>
              <w:right w:val="single" w:color="auto" w:sz="4" w:space="0"/>
            </w:tcBorders>
            <w:noWrap w:val="0"/>
            <w:vAlign w:val="center"/>
          </w:tcPr>
          <w:p w14:paraId="39BD6AFF">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sz w:val="24"/>
                <w:szCs w:val="24"/>
                <w:highlight w:val="none"/>
                <w:lang w:val="en-US" w:eastAsia="zh-CN"/>
              </w:rPr>
              <w:t>3套</w:t>
            </w:r>
          </w:p>
        </w:tc>
      </w:tr>
      <w:tr w14:paraId="6C04749A">
        <w:tblPrEx>
          <w:tblCellMar>
            <w:top w:w="0" w:type="dxa"/>
            <w:left w:w="108" w:type="dxa"/>
            <w:bottom w:w="0" w:type="dxa"/>
            <w:right w:w="108" w:type="dxa"/>
          </w:tblCellMar>
        </w:tblPrEx>
        <w:trPr>
          <w:trHeight w:val="680"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14:paraId="60787C26">
            <w:pPr>
              <w:keepNext w:val="0"/>
              <w:keepLines w:val="0"/>
              <w:pageBreakBefore w:val="0"/>
              <w:kinsoku/>
              <w:wordWrap/>
              <w:overflowPunct/>
              <w:topLinePunct w:val="0"/>
              <w:autoSpaceDE/>
              <w:autoSpaceDN/>
              <w:bidi w:val="0"/>
              <w:adjustRightInd/>
              <w:snapToGrid/>
              <w:spacing w:line="288" w:lineRule="auto"/>
              <w:ind w:firstLine="0"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07D025EC">
            <w:pPr>
              <w:keepNext w:val="0"/>
              <w:keepLines w:val="0"/>
              <w:pageBreakBefore w:val="0"/>
              <w:widowControl/>
              <w:kinsoku/>
              <w:wordWrap/>
              <w:overflowPunct/>
              <w:topLinePunct w:val="0"/>
              <w:autoSpaceDE/>
              <w:autoSpaceDN/>
              <w:bidi w:val="0"/>
              <w:adjustRightInd/>
              <w:snapToGrid/>
              <w:spacing w:line="288" w:lineRule="auto"/>
              <w:ind w:firstLine="0" w:firstLine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城市轨道交通接触网综合实训平台</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0BB3C27D">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设备清单</w:t>
            </w:r>
            <w:r>
              <w:rPr>
                <w:rFonts w:hint="eastAsia" w:ascii="宋体" w:hAnsi="宋体" w:eastAsia="宋体" w:cs="宋体"/>
                <w:color w:val="auto"/>
                <w:kern w:val="0"/>
                <w:sz w:val="24"/>
                <w:szCs w:val="24"/>
                <w:highlight w:val="none"/>
                <w:lang w:val="en-US" w:eastAsia="zh-CN" w:bidi="ar"/>
              </w:rPr>
              <w:t>：</w:t>
            </w:r>
          </w:p>
          <w:tbl>
            <w:tblPr>
              <w:tblStyle w:val="22"/>
              <w:tblpPr w:leftFromText="180" w:rightFromText="180" w:vertAnchor="page" w:horzAnchor="page" w:tblpX="592" w:tblpY="2054"/>
              <w:tblOverlap w:val="never"/>
              <w:tblW w:w="6117" w:type="dxa"/>
              <w:tblInd w:w="0" w:type="dxa"/>
              <w:tblLayout w:type="fixed"/>
              <w:tblCellMar>
                <w:top w:w="0" w:type="dxa"/>
                <w:left w:w="108" w:type="dxa"/>
                <w:bottom w:w="0" w:type="dxa"/>
                <w:right w:w="108" w:type="dxa"/>
              </w:tblCellMar>
            </w:tblPr>
            <w:tblGrid>
              <w:gridCol w:w="946"/>
              <w:gridCol w:w="2676"/>
              <w:gridCol w:w="1371"/>
              <w:gridCol w:w="1124"/>
            </w:tblGrid>
            <w:tr w14:paraId="0B94EA3D">
              <w:tblPrEx>
                <w:tblCellMar>
                  <w:top w:w="0" w:type="dxa"/>
                  <w:left w:w="108" w:type="dxa"/>
                  <w:bottom w:w="0" w:type="dxa"/>
                  <w:right w:w="108" w:type="dxa"/>
                </w:tblCellMar>
              </w:tblPrEx>
              <w:trPr>
                <w:trHeight w:val="530" w:hRule="atLeast"/>
              </w:trPr>
              <w:tc>
                <w:tcPr>
                  <w:tcW w:w="946" w:type="dxa"/>
                  <w:tcBorders>
                    <w:top w:val="single" w:color="auto" w:sz="8" w:space="0"/>
                    <w:left w:val="single" w:color="auto" w:sz="8" w:space="0"/>
                    <w:bottom w:val="single" w:color="auto" w:sz="8" w:space="0"/>
                    <w:right w:val="single" w:color="auto" w:sz="8" w:space="0"/>
                  </w:tcBorders>
                  <w:noWrap w:val="0"/>
                  <w:vAlign w:val="center"/>
                </w:tcPr>
                <w:p w14:paraId="168D5FA7">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序号</w:t>
                  </w:r>
                </w:p>
              </w:tc>
              <w:tc>
                <w:tcPr>
                  <w:tcW w:w="2676" w:type="dxa"/>
                  <w:tcBorders>
                    <w:top w:val="single" w:color="auto" w:sz="8" w:space="0"/>
                    <w:left w:val="nil"/>
                    <w:bottom w:val="single" w:color="auto" w:sz="8" w:space="0"/>
                    <w:right w:val="single" w:color="auto" w:sz="8" w:space="0"/>
                  </w:tcBorders>
                  <w:noWrap w:val="0"/>
                  <w:vAlign w:val="center"/>
                </w:tcPr>
                <w:p w14:paraId="5403AAF4">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名称</w:t>
                  </w:r>
                </w:p>
              </w:tc>
              <w:tc>
                <w:tcPr>
                  <w:tcW w:w="1371" w:type="dxa"/>
                  <w:tcBorders>
                    <w:top w:val="single" w:color="auto" w:sz="8" w:space="0"/>
                    <w:left w:val="nil"/>
                    <w:bottom w:val="single" w:color="auto" w:sz="8" w:space="0"/>
                    <w:right w:val="single" w:color="auto" w:sz="8" w:space="0"/>
                  </w:tcBorders>
                  <w:noWrap w:val="0"/>
                  <w:vAlign w:val="center"/>
                </w:tcPr>
                <w:p w14:paraId="55B8465B">
                  <w:pPr>
                    <w:keepNext w:val="0"/>
                    <w:keepLines w:val="0"/>
                    <w:pageBreakBefore w:val="0"/>
                    <w:widowControl/>
                    <w:tabs>
                      <w:tab w:val="left" w:pos="342"/>
                      <w:tab w:val="center" w:pos="645"/>
                    </w:tabs>
                    <w:kinsoku/>
                    <w:wordWrap/>
                    <w:overflowPunct/>
                    <w:topLinePunct w:val="0"/>
                    <w:autoSpaceDE/>
                    <w:autoSpaceDN/>
                    <w:bidi w:val="0"/>
                    <w:adjustRightInd/>
                    <w:snapToGrid/>
                    <w:spacing w:line="288"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单位</w:t>
                  </w:r>
                </w:p>
              </w:tc>
              <w:tc>
                <w:tcPr>
                  <w:tcW w:w="1124" w:type="dxa"/>
                  <w:tcBorders>
                    <w:top w:val="single" w:color="auto" w:sz="8" w:space="0"/>
                    <w:left w:val="nil"/>
                    <w:bottom w:val="single" w:color="auto" w:sz="8" w:space="0"/>
                    <w:right w:val="single" w:color="auto" w:sz="8" w:space="0"/>
                  </w:tcBorders>
                  <w:noWrap w:val="0"/>
                  <w:vAlign w:val="center"/>
                </w:tcPr>
                <w:p w14:paraId="7E3EE674">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数量</w:t>
                  </w:r>
                </w:p>
              </w:tc>
            </w:tr>
            <w:tr w14:paraId="19696618">
              <w:tblPrEx>
                <w:tblCellMar>
                  <w:top w:w="0" w:type="dxa"/>
                  <w:left w:w="108" w:type="dxa"/>
                  <w:bottom w:w="0" w:type="dxa"/>
                  <w:right w:w="108" w:type="dxa"/>
                </w:tblCellMar>
              </w:tblPrEx>
              <w:trPr>
                <w:trHeight w:val="495" w:hRule="atLeast"/>
              </w:trPr>
              <w:tc>
                <w:tcPr>
                  <w:tcW w:w="946" w:type="dxa"/>
                  <w:tcBorders>
                    <w:top w:val="nil"/>
                    <w:left w:val="single" w:color="auto" w:sz="8" w:space="0"/>
                    <w:bottom w:val="single" w:color="auto" w:sz="8" w:space="0"/>
                    <w:right w:val="single" w:color="auto" w:sz="8" w:space="0"/>
                  </w:tcBorders>
                  <w:noWrap w:val="0"/>
                  <w:vAlign w:val="center"/>
                </w:tcPr>
                <w:p w14:paraId="0B116D56">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w:t>
                  </w:r>
                </w:p>
              </w:tc>
              <w:tc>
                <w:tcPr>
                  <w:tcW w:w="2676" w:type="dxa"/>
                  <w:tcBorders>
                    <w:top w:val="nil"/>
                    <w:left w:val="nil"/>
                    <w:bottom w:val="single" w:color="auto" w:sz="8" w:space="0"/>
                    <w:right w:val="single" w:color="auto" w:sz="8" w:space="0"/>
                  </w:tcBorders>
                  <w:noWrap w:val="0"/>
                  <w:vAlign w:val="center"/>
                </w:tcPr>
                <w:p w14:paraId="7809256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2"/>
                      <w:sz w:val="24"/>
                      <w:szCs w:val="24"/>
                      <w:highlight w:val="none"/>
                      <w:u w:val="none"/>
                      <w:lang w:val="en-US" w:eastAsia="zh-CN" w:bidi="ar-SA"/>
                    </w:rPr>
                    <w:t>回流线</w:t>
                  </w:r>
                </w:p>
              </w:tc>
              <w:tc>
                <w:tcPr>
                  <w:tcW w:w="1371" w:type="dxa"/>
                  <w:tcBorders>
                    <w:top w:val="nil"/>
                    <w:left w:val="nil"/>
                    <w:bottom w:val="single" w:color="auto" w:sz="8" w:space="0"/>
                    <w:right w:val="single" w:color="auto" w:sz="8" w:space="0"/>
                  </w:tcBorders>
                  <w:noWrap w:val="0"/>
                  <w:vAlign w:val="center"/>
                </w:tcPr>
                <w:p w14:paraId="70B651FA">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米</w:t>
                  </w:r>
                </w:p>
              </w:tc>
              <w:tc>
                <w:tcPr>
                  <w:tcW w:w="1124" w:type="dxa"/>
                  <w:tcBorders>
                    <w:top w:val="nil"/>
                    <w:left w:val="nil"/>
                    <w:bottom w:val="single" w:color="auto" w:sz="8" w:space="0"/>
                    <w:right w:val="single" w:color="auto" w:sz="8" w:space="0"/>
                  </w:tcBorders>
                  <w:noWrap w:val="0"/>
                  <w:vAlign w:val="center"/>
                </w:tcPr>
                <w:p w14:paraId="5CD6140D">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380</w:t>
                  </w:r>
                </w:p>
              </w:tc>
            </w:tr>
            <w:tr w14:paraId="5B49941E">
              <w:tblPrEx>
                <w:tblCellMar>
                  <w:top w:w="0" w:type="dxa"/>
                  <w:left w:w="108" w:type="dxa"/>
                  <w:bottom w:w="0" w:type="dxa"/>
                  <w:right w:w="108" w:type="dxa"/>
                </w:tblCellMar>
              </w:tblPrEx>
              <w:trPr>
                <w:trHeight w:val="495" w:hRule="atLeast"/>
              </w:trPr>
              <w:tc>
                <w:tcPr>
                  <w:tcW w:w="946" w:type="dxa"/>
                  <w:tcBorders>
                    <w:top w:val="nil"/>
                    <w:left w:val="single" w:color="auto" w:sz="8" w:space="0"/>
                    <w:bottom w:val="single" w:color="auto" w:sz="8" w:space="0"/>
                    <w:right w:val="single" w:color="auto" w:sz="8" w:space="0"/>
                  </w:tcBorders>
                  <w:noWrap w:val="0"/>
                  <w:vAlign w:val="center"/>
                </w:tcPr>
                <w:p w14:paraId="158CDD1D">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2</w:t>
                  </w:r>
                </w:p>
              </w:tc>
              <w:tc>
                <w:tcPr>
                  <w:tcW w:w="2676" w:type="dxa"/>
                  <w:tcBorders>
                    <w:top w:val="nil"/>
                    <w:left w:val="nil"/>
                    <w:bottom w:val="single" w:color="auto" w:sz="8" w:space="0"/>
                    <w:right w:val="single" w:color="auto" w:sz="8" w:space="0"/>
                  </w:tcBorders>
                  <w:noWrap w:val="0"/>
                  <w:vAlign w:val="center"/>
                </w:tcPr>
                <w:p w14:paraId="7532E0C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承力索</w:t>
                  </w:r>
                </w:p>
              </w:tc>
              <w:tc>
                <w:tcPr>
                  <w:tcW w:w="1371" w:type="dxa"/>
                  <w:tcBorders>
                    <w:top w:val="nil"/>
                    <w:left w:val="nil"/>
                    <w:bottom w:val="single" w:color="auto" w:sz="8" w:space="0"/>
                    <w:right w:val="single" w:color="auto" w:sz="8" w:space="0"/>
                  </w:tcBorders>
                  <w:noWrap w:val="0"/>
                  <w:vAlign w:val="center"/>
                </w:tcPr>
                <w:p w14:paraId="2A754883">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米</w:t>
                  </w:r>
                </w:p>
              </w:tc>
              <w:tc>
                <w:tcPr>
                  <w:tcW w:w="1124" w:type="dxa"/>
                  <w:tcBorders>
                    <w:top w:val="nil"/>
                    <w:left w:val="nil"/>
                    <w:bottom w:val="single" w:color="auto" w:sz="8" w:space="0"/>
                    <w:right w:val="single" w:color="auto" w:sz="8" w:space="0"/>
                  </w:tcBorders>
                  <w:noWrap w:val="0"/>
                  <w:vAlign w:val="center"/>
                </w:tcPr>
                <w:p w14:paraId="54288DCA">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600</w:t>
                  </w:r>
                </w:p>
              </w:tc>
            </w:tr>
            <w:tr w14:paraId="22DCAD56">
              <w:tblPrEx>
                <w:tblCellMar>
                  <w:top w:w="0" w:type="dxa"/>
                  <w:left w:w="108" w:type="dxa"/>
                  <w:bottom w:w="0" w:type="dxa"/>
                  <w:right w:w="108" w:type="dxa"/>
                </w:tblCellMar>
              </w:tblPrEx>
              <w:trPr>
                <w:trHeight w:val="495" w:hRule="atLeast"/>
              </w:trPr>
              <w:tc>
                <w:tcPr>
                  <w:tcW w:w="946" w:type="dxa"/>
                  <w:tcBorders>
                    <w:top w:val="nil"/>
                    <w:left w:val="single" w:color="auto" w:sz="8" w:space="0"/>
                    <w:bottom w:val="single" w:color="auto" w:sz="8" w:space="0"/>
                    <w:right w:val="single" w:color="auto" w:sz="8" w:space="0"/>
                  </w:tcBorders>
                  <w:noWrap w:val="0"/>
                  <w:vAlign w:val="center"/>
                </w:tcPr>
                <w:p w14:paraId="1B98FFB6">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3</w:t>
                  </w:r>
                </w:p>
              </w:tc>
              <w:tc>
                <w:tcPr>
                  <w:tcW w:w="2676" w:type="dxa"/>
                  <w:tcBorders>
                    <w:top w:val="nil"/>
                    <w:left w:val="nil"/>
                    <w:bottom w:val="single" w:color="auto" w:sz="8" w:space="0"/>
                    <w:right w:val="single" w:color="auto" w:sz="8" w:space="0"/>
                  </w:tcBorders>
                  <w:noWrap w:val="0"/>
                  <w:vAlign w:val="center"/>
                </w:tcPr>
                <w:p w14:paraId="2DCAB96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接触导线</w:t>
                  </w:r>
                </w:p>
              </w:tc>
              <w:tc>
                <w:tcPr>
                  <w:tcW w:w="1371" w:type="dxa"/>
                  <w:tcBorders>
                    <w:top w:val="nil"/>
                    <w:left w:val="nil"/>
                    <w:bottom w:val="single" w:color="auto" w:sz="8" w:space="0"/>
                    <w:right w:val="single" w:color="auto" w:sz="8" w:space="0"/>
                  </w:tcBorders>
                  <w:noWrap w:val="0"/>
                  <w:vAlign w:val="center"/>
                </w:tcPr>
                <w:p w14:paraId="1AA5F1DD">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米</w:t>
                  </w:r>
                </w:p>
              </w:tc>
              <w:tc>
                <w:tcPr>
                  <w:tcW w:w="1124" w:type="dxa"/>
                  <w:tcBorders>
                    <w:top w:val="nil"/>
                    <w:left w:val="nil"/>
                    <w:bottom w:val="single" w:color="auto" w:sz="8" w:space="0"/>
                    <w:right w:val="single" w:color="auto" w:sz="8" w:space="0"/>
                  </w:tcBorders>
                  <w:noWrap w:val="0"/>
                  <w:vAlign w:val="center"/>
                </w:tcPr>
                <w:p w14:paraId="49268672">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600</w:t>
                  </w:r>
                </w:p>
              </w:tc>
            </w:tr>
            <w:tr w14:paraId="304FF609">
              <w:tblPrEx>
                <w:tblCellMar>
                  <w:top w:w="0" w:type="dxa"/>
                  <w:left w:w="108" w:type="dxa"/>
                  <w:bottom w:w="0" w:type="dxa"/>
                  <w:right w:w="108" w:type="dxa"/>
                </w:tblCellMar>
              </w:tblPrEx>
              <w:trPr>
                <w:trHeight w:val="495" w:hRule="atLeast"/>
              </w:trPr>
              <w:tc>
                <w:tcPr>
                  <w:tcW w:w="946" w:type="dxa"/>
                  <w:tcBorders>
                    <w:top w:val="nil"/>
                    <w:left w:val="single" w:color="auto" w:sz="8" w:space="0"/>
                    <w:bottom w:val="single" w:color="auto" w:sz="8" w:space="0"/>
                    <w:right w:val="single" w:color="auto" w:sz="8" w:space="0"/>
                  </w:tcBorders>
                  <w:noWrap w:val="0"/>
                  <w:vAlign w:val="center"/>
                </w:tcPr>
                <w:p w14:paraId="76535267">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4</w:t>
                  </w:r>
                </w:p>
              </w:tc>
              <w:tc>
                <w:tcPr>
                  <w:tcW w:w="2676" w:type="dxa"/>
                  <w:tcBorders>
                    <w:top w:val="nil"/>
                    <w:left w:val="nil"/>
                    <w:bottom w:val="single" w:color="auto" w:sz="8" w:space="0"/>
                    <w:right w:val="single" w:color="auto" w:sz="8" w:space="0"/>
                  </w:tcBorders>
                  <w:noWrap w:val="0"/>
                  <w:vAlign w:val="center"/>
                </w:tcPr>
                <w:p w14:paraId="28376E8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2"/>
                      <w:sz w:val="24"/>
                      <w:szCs w:val="24"/>
                      <w:highlight w:val="none"/>
                      <w:u w:val="none"/>
                      <w:lang w:val="en-US" w:eastAsia="zh-CN" w:bidi="ar-SA"/>
                    </w:rPr>
                    <w:t>电连接线</w:t>
                  </w:r>
                </w:p>
              </w:tc>
              <w:tc>
                <w:tcPr>
                  <w:tcW w:w="1371" w:type="dxa"/>
                  <w:tcBorders>
                    <w:top w:val="nil"/>
                    <w:left w:val="nil"/>
                    <w:bottom w:val="single" w:color="auto" w:sz="8" w:space="0"/>
                    <w:right w:val="single" w:color="auto" w:sz="8" w:space="0"/>
                  </w:tcBorders>
                  <w:noWrap w:val="0"/>
                  <w:vAlign w:val="center"/>
                </w:tcPr>
                <w:p w14:paraId="23C2D02A">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组</w:t>
                  </w:r>
                </w:p>
              </w:tc>
              <w:tc>
                <w:tcPr>
                  <w:tcW w:w="1124" w:type="dxa"/>
                  <w:tcBorders>
                    <w:top w:val="nil"/>
                    <w:left w:val="nil"/>
                    <w:bottom w:val="single" w:color="auto" w:sz="8" w:space="0"/>
                    <w:right w:val="single" w:color="auto" w:sz="8" w:space="0"/>
                  </w:tcBorders>
                  <w:noWrap w:val="0"/>
                  <w:vAlign w:val="center"/>
                </w:tcPr>
                <w:p w14:paraId="40FF25E3">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7</w:t>
                  </w:r>
                </w:p>
              </w:tc>
            </w:tr>
            <w:tr w14:paraId="28AC474D">
              <w:tblPrEx>
                <w:tblCellMar>
                  <w:top w:w="0" w:type="dxa"/>
                  <w:left w:w="108" w:type="dxa"/>
                  <w:bottom w:w="0" w:type="dxa"/>
                  <w:right w:w="108" w:type="dxa"/>
                </w:tblCellMar>
              </w:tblPrEx>
              <w:trPr>
                <w:trHeight w:val="495" w:hRule="atLeast"/>
              </w:trPr>
              <w:tc>
                <w:tcPr>
                  <w:tcW w:w="946" w:type="dxa"/>
                  <w:tcBorders>
                    <w:top w:val="nil"/>
                    <w:left w:val="single" w:color="auto" w:sz="8" w:space="0"/>
                    <w:bottom w:val="single" w:color="auto" w:sz="8" w:space="0"/>
                    <w:right w:val="single" w:color="auto" w:sz="8" w:space="0"/>
                  </w:tcBorders>
                  <w:noWrap w:val="0"/>
                  <w:vAlign w:val="center"/>
                </w:tcPr>
                <w:p w14:paraId="43369629">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5</w:t>
                  </w:r>
                </w:p>
              </w:tc>
              <w:tc>
                <w:tcPr>
                  <w:tcW w:w="2676" w:type="dxa"/>
                  <w:tcBorders>
                    <w:top w:val="nil"/>
                    <w:left w:val="nil"/>
                    <w:bottom w:val="single" w:color="auto" w:sz="8" w:space="0"/>
                    <w:right w:val="single" w:color="auto" w:sz="8" w:space="0"/>
                  </w:tcBorders>
                  <w:noWrap w:val="0"/>
                  <w:vAlign w:val="center"/>
                </w:tcPr>
                <w:p w14:paraId="30C8900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2"/>
                      <w:sz w:val="24"/>
                      <w:szCs w:val="24"/>
                      <w:highlight w:val="none"/>
                      <w:u w:val="none"/>
                      <w:lang w:val="en-US" w:eastAsia="zh-CN" w:bidi="ar-SA"/>
                    </w:rPr>
                    <w:t>隔离开关</w:t>
                  </w:r>
                </w:p>
              </w:tc>
              <w:tc>
                <w:tcPr>
                  <w:tcW w:w="1371" w:type="dxa"/>
                  <w:tcBorders>
                    <w:top w:val="nil"/>
                    <w:left w:val="nil"/>
                    <w:bottom w:val="single" w:color="auto" w:sz="8" w:space="0"/>
                    <w:right w:val="single" w:color="auto" w:sz="8" w:space="0"/>
                  </w:tcBorders>
                  <w:noWrap w:val="0"/>
                  <w:vAlign w:val="center"/>
                </w:tcPr>
                <w:p w14:paraId="1364D6D7">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台</w:t>
                  </w:r>
                </w:p>
              </w:tc>
              <w:tc>
                <w:tcPr>
                  <w:tcW w:w="1124" w:type="dxa"/>
                  <w:tcBorders>
                    <w:top w:val="nil"/>
                    <w:left w:val="nil"/>
                    <w:bottom w:val="single" w:color="auto" w:sz="8" w:space="0"/>
                    <w:right w:val="single" w:color="auto" w:sz="8" w:space="0"/>
                  </w:tcBorders>
                  <w:noWrap w:val="0"/>
                  <w:vAlign w:val="center"/>
                </w:tcPr>
                <w:p w14:paraId="7405C733">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2</w:t>
                  </w:r>
                </w:p>
              </w:tc>
            </w:tr>
            <w:tr w14:paraId="463CB7BD">
              <w:tblPrEx>
                <w:tblCellMar>
                  <w:top w:w="0" w:type="dxa"/>
                  <w:left w:w="108" w:type="dxa"/>
                  <w:bottom w:w="0" w:type="dxa"/>
                  <w:right w:w="108" w:type="dxa"/>
                </w:tblCellMar>
              </w:tblPrEx>
              <w:trPr>
                <w:trHeight w:val="495" w:hRule="atLeast"/>
              </w:trPr>
              <w:tc>
                <w:tcPr>
                  <w:tcW w:w="946" w:type="dxa"/>
                  <w:tcBorders>
                    <w:top w:val="nil"/>
                    <w:left w:val="single" w:color="auto" w:sz="8" w:space="0"/>
                    <w:bottom w:val="single" w:color="auto" w:sz="8" w:space="0"/>
                    <w:right w:val="single" w:color="auto" w:sz="8" w:space="0"/>
                  </w:tcBorders>
                  <w:noWrap w:val="0"/>
                  <w:vAlign w:val="center"/>
                </w:tcPr>
                <w:p w14:paraId="2D783604">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6</w:t>
                  </w:r>
                </w:p>
              </w:tc>
              <w:tc>
                <w:tcPr>
                  <w:tcW w:w="2676" w:type="dxa"/>
                  <w:tcBorders>
                    <w:top w:val="nil"/>
                    <w:left w:val="nil"/>
                    <w:bottom w:val="single" w:color="auto" w:sz="8" w:space="0"/>
                    <w:right w:val="single" w:color="auto" w:sz="8" w:space="0"/>
                  </w:tcBorders>
                  <w:noWrap w:val="0"/>
                  <w:vAlign w:val="center"/>
                </w:tcPr>
                <w:p w14:paraId="239CACD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2"/>
                      <w:sz w:val="24"/>
                      <w:szCs w:val="24"/>
                      <w:highlight w:val="none"/>
                      <w:u w:val="none"/>
                      <w:lang w:val="en-US" w:eastAsia="zh-CN" w:bidi="ar-SA"/>
                    </w:rPr>
                    <w:t>避雷器</w:t>
                  </w:r>
                </w:p>
              </w:tc>
              <w:tc>
                <w:tcPr>
                  <w:tcW w:w="1371" w:type="dxa"/>
                  <w:tcBorders>
                    <w:top w:val="nil"/>
                    <w:left w:val="nil"/>
                    <w:bottom w:val="single" w:color="auto" w:sz="8" w:space="0"/>
                    <w:right w:val="single" w:color="auto" w:sz="8" w:space="0"/>
                  </w:tcBorders>
                  <w:noWrap w:val="0"/>
                  <w:vAlign w:val="center"/>
                </w:tcPr>
                <w:p w14:paraId="79FD0AE4">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个</w:t>
                  </w:r>
                </w:p>
              </w:tc>
              <w:tc>
                <w:tcPr>
                  <w:tcW w:w="1124" w:type="dxa"/>
                  <w:tcBorders>
                    <w:top w:val="nil"/>
                    <w:left w:val="nil"/>
                    <w:bottom w:val="single" w:color="auto" w:sz="8" w:space="0"/>
                    <w:right w:val="single" w:color="auto" w:sz="8" w:space="0"/>
                  </w:tcBorders>
                  <w:noWrap w:val="0"/>
                  <w:vAlign w:val="center"/>
                </w:tcPr>
                <w:p w14:paraId="630A5513">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w:t>
                  </w:r>
                </w:p>
              </w:tc>
            </w:tr>
            <w:tr w14:paraId="7E1104D8">
              <w:tblPrEx>
                <w:tblCellMar>
                  <w:top w:w="0" w:type="dxa"/>
                  <w:left w:w="108" w:type="dxa"/>
                  <w:bottom w:w="0" w:type="dxa"/>
                  <w:right w:w="108" w:type="dxa"/>
                </w:tblCellMar>
              </w:tblPrEx>
              <w:trPr>
                <w:trHeight w:val="495" w:hRule="atLeast"/>
              </w:trPr>
              <w:tc>
                <w:tcPr>
                  <w:tcW w:w="946" w:type="dxa"/>
                  <w:tcBorders>
                    <w:top w:val="nil"/>
                    <w:left w:val="single" w:color="auto" w:sz="8" w:space="0"/>
                    <w:bottom w:val="single" w:color="auto" w:sz="8" w:space="0"/>
                    <w:right w:val="single" w:color="auto" w:sz="8" w:space="0"/>
                  </w:tcBorders>
                  <w:noWrap w:val="0"/>
                  <w:vAlign w:val="center"/>
                </w:tcPr>
                <w:p w14:paraId="135322CB">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7</w:t>
                  </w:r>
                </w:p>
              </w:tc>
              <w:tc>
                <w:tcPr>
                  <w:tcW w:w="2676" w:type="dxa"/>
                  <w:tcBorders>
                    <w:top w:val="nil"/>
                    <w:left w:val="nil"/>
                    <w:bottom w:val="single" w:color="auto" w:sz="8" w:space="0"/>
                    <w:right w:val="single" w:color="auto" w:sz="8" w:space="0"/>
                  </w:tcBorders>
                  <w:noWrap w:val="0"/>
                  <w:vAlign w:val="center"/>
                </w:tcPr>
                <w:p w14:paraId="2DEB31C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2"/>
                      <w:sz w:val="24"/>
                      <w:szCs w:val="24"/>
                      <w:highlight w:val="none"/>
                      <w:u w:val="none"/>
                      <w:lang w:val="en-US" w:eastAsia="zh-CN" w:bidi="ar-SA"/>
                    </w:rPr>
                    <w:t>分段绝缘器</w:t>
                  </w:r>
                </w:p>
              </w:tc>
              <w:tc>
                <w:tcPr>
                  <w:tcW w:w="1371" w:type="dxa"/>
                  <w:tcBorders>
                    <w:top w:val="nil"/>
                    <w:left w:val="nil"/>
                    <w:bottom w:val="single" w:color="auto" w:sz="8" w:space="0"/>
                    <w:right w:val="single" w:color="auto" w:sz="8" w:space="0"/>
                  </w:tcBorders>
                  <w:noWrap w:val="0"/>
                  <w:vAlign w:val="center"/>
                </w:tcPr>
                <w:p w14:paraId="1FFB68FD">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个</w:t>
                  </w:r>
                </w:p>
              </w:tc>
              <w:tc>
                <w:tcPr>
                  <w:tcW w:w="1124" w:type="dxa"/>
                  <w:tcBorders>
                    <w:top w:val="nil"/>
                    <w:left w:val="nil"/>
                    <w:bottom w:val="single" w:color="auto" w:sz="8" w:space="0"/>
                    <w:right w:val="single" w:color="auto" w:sz="8" w:space="0"/>
                  </w:tcBorders>
                  <w:noWrap w:val="0"/>
                  <w:vAlign w:val="center"/>
                </w:tcPr>
                <w:p w14:paraId="2D7A67DA">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1</w:t>
                  </w:r>
                </w:p>
              </w:tc>
            </w:tr>
            <w:tr w14:paraId="5F752B34">
              <w:tblPrEx>
                <w:tblCellMar>
                  <w:top w:w="0" w:type="dxa"/>
                  <w:left w:w="108" w:type="dxa"/>
                  <w:bottom w:w="0" w:type="dxa"/>
                  <w:right w:w="108" w:type="dxa"/>
                </w:tblCellMar>
              </w:tblPrEx>
              <w:trPr>
                <w:trHeight w:val="495" w:hRule="atLeast"/>
              </w:trPr>
              <w:tc>
                <w:tcPr>
                  <w:tcW w:w="946" w:type="dxa"/>
                  <w:tcBorders>
                    <w:top w:val="nil"/>
                    <w:left w:val="single" w:color="auto" w:sz="8" w:space="0"/>
                    <w:bottom w:val="single" w:color="auto" w:sz="8" w:space="0"/>
                    <w:right w:val="single" w:color="auto" w:sz="8" w:space="0"/>
                  </w:tcBorders>
                  <w:noWrap w:val="0"/>
                  <w:vAlign w:val="center"/>
                </w:tcPr>
                <w:p w14:paraId="2D8F3539">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8</w:t>
                  </w:r>
                </w:p>
              </w:tc>
              <w:tc>
                <w:tcPr>
                  <w:tcW w:w="2676" w:type="dxa"/>
                  <w:tcBorders>
                    <w:top w:val="nil"/>
                    <w:left w:val="nil"/>
                    <w:bottom w:val="single" w:color="auto" w:sz="8" w:space="0"/>
                    <w:right w:val="single" w:color="auto" w:sz="8" w:space="0"/>
                  </w:tcBorders>
                  <w:noWrap w:val="0"/>
                  <w:vAlign w:val="center"/>
                </w:tcPr>
                <w:p w14:paraId="2D8B862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2"/>
                      <w:sz w:val="24"/>
                      <w:szCs w:val="24"/>
                      <w:highlight w:val="none"/>
                      <w:u w:val="none"/>
                      <w:lang w:val="en-US" w:eastAsia="zh-CN" w:bidi="ar-SA"/>
                    </w:rPr>
                    <w:t>腕臂</w:t>
                  </w:r>
                </w:p>
              </w:tc>
              <w:tc>
                <w:tcPr>
                  <w:tcW w:w="1371" w:type="dxa"/>
                  <w:tcBorders>
                    <w:top w:val="nil"/>
                    <w:left w:val="nil"/>
                    <w:bottom w:val="single" w:color="auto" w:sz="8" w:space="0"/>
                    <w:right w:val="single" w:color="auto" w:sz="8" w:space="0"/>
                  </w:tcBorders>
                  <w:noWrap w:val="0"/>
                  <w:vAlign w:val="center"/>
                </w:tcPr>
                <w:p w14:paraId="5EAE4167">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套</w:t>
                  </w:r>
                </w:p>
              </w:tc>
              <w:tc>
                <w:tcPr>
                  <w:tcW w:w="1124" w:type="dxa"/>
                  <w:tcBorders>
                    <w:top w:val="nil"/>
                    <w:left w:val="nil"/>
                    <w:bottom w:val="single" w:color="auto" w:sz="8" w:space="0"/>
                    <w:right w:val="single" w:color="auto" w:sz="8" w:space="0"/>
                  </w:tcBorders>
                  <w:noWrap w:val="0"/>
                  <w:vAlign w:val="center"/>
                </w:tcPr>
                <w:p w14:paraId="51206BB6">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10</w:t>
                  </w:r>
                </w:p>
              </w:tc>
            </w:tr>
            <w:tr w14:paraId="69E7AD35">
              <w:tblPrEx>
                <w:tblCellMar>
                  <w:top w:w="0" w:type="dxa"/>
                  <w:left w:w="108" w:type="dxa"/>
                  <w:bottom w:w="0" w:type="dxa"/>
                  <w:right w:w="108" w:type="dxa"/>
                </w:tblCellMar>
              </w:tblPrEx>
              <w:trPr>
                <w:trHeight w:val="495" w:hRule="atLeast"/>
              </w:trPr>
              <w:tc>
                <w:tcPr>
                  <w:tcW w:w="946" w:type="dxa"/>
                  <w:tcBorders>
                    <w:top w:val="nil"/>
                    <w:left w:val="single" w:color="auto" w:sz="8" w:space="0"/>
                    <w:bottom w:val="single" w:color="auto" w:sz="8" w:space="0"/>
                    <w:right w:val="single" w:color="auto" w:sz="8" w:space="0"/>
                  </w:tcBorders>
                  <w:noWrap w:val="0"/>
                  <w:vAlign w:val="center"/>
                </w:tcPr>
                <w:p w14:paraId="674D86B2">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9</w:t>
                  </w:r>
                </w:p>
              </w:tc>
              <w:tc>
                <w:tcPr>
                  <w:tcW w:w="2676" w:type="dxa"/>
                  <w:tcBorders>
                    <w:top w:val="nil"/>
                    <w:left w:val="nil"/>
                    <w:bottom w:val="single" w:color="auto" w:sz="8" w:space="0"/>
                    <w:right w:val="single" w:color="auto" w:sz="8" w:space="0"/>
                  </w:tcBorders>
                  <w:noWrap w:val="0"/>
                  <w:vAlign w:val="center"/>
                </w:tcPr>
                <w:p w14:paraId="2E320DE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2"/>
                      <w:sz w:val="24"/>
                      <w:szCs w:val="24"/>
                      <w:highlight w:val="none"/>
                      <w:u w:val="none"/>
                      <w:lang w:val="en-US" w:eastAsia="zh-CN" w:bidi="ar-SA"/>
                    </w:rPr>
                    <w:t>限制管</w:t>
                  </w:r>
                </w:p>
              </w:tc>
              <w:tc>
                <w:tcPr>
                  <w:tcW w:w="1371" w:type="dxa"/>
                  <w:tcBorders>
                    <w:top w:val="nil"/>
                    <w:left w:val="nil"/>
                    <w:bottom w:val="single" w:color="auto" w:sz="8" w:space="0"/>
                    <w:right w:val="single" w:color="auto" w:sz="8" w:space="0"/>
                  </w:tcBorders>
                  <w:noWrap w:val="0"/>
                  <w:vAlign w:val="center"/>
                </w:tcPr>
                <w:p w14:paraId="2D92880A">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根</w:t>
                  </w:r>
                </w:p>
              </w:tc>
              <w:tc>
                <w:tcPr>
                  <w:tcW w:w="1124" w:type="dxa"/>
                  <w:tcBorders>
                    <w:top w:val="nil"/>
                    <w:left w:val="nil"/>
                    <w:bottom w:val="single" w:color="auto" w:sz="8" w:space="0"/>
                    <w:right w:val="single" w:color="auto" w:sz="8" w:space="0"/>
                  </w:tcBorders>
                  <w:noWrap w:val="0"/>
                  <w:vAlign w:val="center"/>
                </w:tcPr>
                <w:p w14:paraId="5C161BBC">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w:t>
                  </w:r>
                </w:p>
              </w:tc>
            </w:tr>
            <w:tr w14:paraId="69C98550">
              <w:tblPrEx>
                <w:tblCellMar>
                  <w:top w:w="0" w:type="dxa"/>
                  <w:left w:w="108" w:type="dxa"/>
                  <w:bottom w:w="0" w:type="dxa"/>
                  <w:right w:w="108" w:type="dxa"/>
                </w:tblCellMar>
              </w:tblPrEx>
              <w:trPr>
                <w:trHeight w:val="495" w:hRule="atLeast"/>
              </w:trPr>
              <w:tc>
                <w:tcPr>
                  <w:tcW w:w="946" w:type="dxa"/>
                  <w:tcBorders>
                    <w:top w:val="nil"/>
                    <w:left w:val="single" w:color="auto" w:sz="8" w:space="0"/>
                    <w:bottom w:val="single" w:color="auto" w:sz="8" w:space="0"/>
                    <w:right w:val="single" w:color="auto" w:sz="8" w:space="0"/>
                  </w:tcBorders>
                  <w:noWrap w:val="0"/>
                  <w:vAlign w:val="center"/>
                </w:tcPr>
                <w:p w14:paraId="3D7F9BF9">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10</w:t>
                  </w:r>
                </w:p>
              </w:tc>
              <w:tc>
                <w:tcPr>
                  <w:tcW w:w="2676" w:type="dxa"/>
                  <w:tcBorders>
                    <w:top w:val="nil"/>
                    <w:left w:val="nil"/>
                    <w:bottom w:val="single" w:color="auto" w:sz="8" w:space="0"/>
                    <w:right w:val="single" w:color="auto" w:sz="8" w:space="0"/>
                  </w:tcBorders>
                  <w:noWrap w:val="0"/>
                  <w:vAlign w:val="center"/>
                </w:tcPr>
                <w:p w14:paraId="56F8D7C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2"/>
                      <w:sz w:val="24"/>
                      <w:szCs w:val="24"/>
                      <w:highlight w:val="none"/>
                      <w:u w:val="none"/>
                      <w:lang w:val="en-US" w:eastAsia="zh-CN" w:bidi="ar-SA"/>
                    </w:rPr>
                    <w:t>补偿装置</w:t>
                  </w:r>
                </w:p>
              </w:tc>
              <w:tc>
                <w:tcPr>
                  <w:tcW w:w="1371" w:type="dxa"/>
                  <w:tcBorders>
                    <w:top w:val="nil"/>
                    <w:left w:val="nil"/>
                    <w:bottom w:val="single" w:color="auto" w:sz="8" w:space="0"/>
                    <w:right w:val="single" w:color="auto" w:sz="8" w:space="0"/>
                  </w:tcBorders>
                  <w:noWrap w:val="0"/>
                  <w:vAlign w:val="center"/>
                </w:tcPr>
                <w:p w14:paraId="5C10F588">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套</w:t>
                  </w:r>
                </w:p>
              </w:tc>
              <w:tc>
                <w:tcPr>
                  <w:tcW w:w="1124" w:type="dxa"/>
                  <w:tcBorders>
                    <w:top w:val="nil"/>
                    <w:left w:val="nil"/>
                    <w:bottom w:val="single" w:color="auto" w:sz="8" w:space="0"/>
                    <w:right w:val="single" w:color="auto" w:sz="8" w:space="0"/>
                  </w:tcBorders>
                  <w:noWrap w:val="0"/>
                  <w:vAlign w:val="center"/>
                </w:tcPr>
                <w:p w14:paraId="3556987A">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4</w:t>
                  </w:r>
                </w:p>
              </w:tc>
            </w:tr>
            <w:tr w14:paraId="02EC32B7">
              <w:tblPrEx>
                <w:tblCellMar>
                  <w:top w:w="0" w:type="dxa"/>
                  <w:left w:w="108" w:type="dxa"/>
                  <w:bottom w:w="0" w:type="dxa"/>
                  <w:right w:w="108" w:type="dxa"/>
                </w:tblCellMar>
              </w:tblPrEx>
              <w:trPr>
                <w:trHeight w:val="495" w:hRule="atLeast"/>
              </w:trPr>
              <w:tc>
                <w:tcPr>
                  <w:tcW w:w="946" w:type="dxa"/>
                  <w:tcBorders>
                    <w:top w:val="nil"/>
                    <w:left w:val="single" w:color="auto" w:sz="8" w:space="0"/>
                    <w:bottom w:val="single" w:color="auto" w:sz="8" w:space="0"/>
                    <w:right w:val="single" w:color="auto" w:sz="8" w:space="0"/>
                  </w:tcBorders>
                  <w:noWrap w:val="0"/>
                  <w:vAlign w:val="center"/>
                </w:tcPr>
                <w:p w14:paraId="64FC0CC8">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11</w:t>
                  </w:r>
                </w:p>
              </w:tc>
              <w:tc>
                <w:tcPr>
                  <w:tcW w:w="2676" w:type="dxa"/>
                  <w:tcBorders>
                    <w:top w:val="nil"/>
                    <w:left w:val="nil"/>
                    <w:bottom w:val="single" w:color="auto" w:sz="8" w:space="0"/>
                    <w:right w:val="single" w:color="auto" w:sz="8" w:space="0"/>
                  </w:tcBorders>
                  <w:noWrap w:val="0"/>
                  <w:vAlign w:val="center"/>
                </w:tcPr>
                <w:p w14:paraId="1CFA7212">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补偿坠砣</w:t>
                  </w:r>
                </w:p>
              </w:tc>
              <w:tc>
                <w:tcPr>
                  <w:tcW w:w="1371" w:type="dxa"/>
                  <w:tcBorders>
                    <w:top w:val="nil"/>
                    <w:left w:val="nil"/>
                    <w:bottom w:val="single" w:color="auto" w:sz="8" w:space="0"/>
                    <w:right w:val="single" w:color="auto" w:sz="8" w:space="0"/>
                  </w:tcBorders>
                  <w:noWrap w:val="0"/>
                  <w:vAlign w:val="center"/>
                </w:tcPr>
                <w:p w14:paraId="06729D5B">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eastAsia="zh-CN"/>
                    </w:rPr>
                    <w:t>块</w:t>
                  </w:r>
                </w:p>
              </w:tc>
              <w:tc>
                <w:tcPr>
                  <w:tcW w:w="1124" w:type="dxa"/>
                  <w:tcBorders>
                    <w:top w:val="nil"/>
                    <w:left w:val="nil"/>
                    <w:bottom w:val="single" w:color="auto" w:sz="8" w:space="0"/>
                    <w:right w:val="single" w:color="auto" w:sz="8" w:space="0"/>
                  </w:tcBorders>
                  <w:noWrap w:val="0"/>
                  <w:vAlign w:val="center"/>
                </w:tcPr>
                <w:p w14:paraId="5BFB0378">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若干</w:t>
                  </w:r>
                </w:p>
              </w:tc>
            </w:tr>
            <w:tr w14:paraId="4CD349EC">
              <w:tblPrEx>
                <w:tblCellMar>
                  <w:top w:w="0" w:type="dxa"/>
                  <w:left w:w="108" w:type="dxa"/>
                  <w:bottom w:w="0" w:type="dxa"/>
                  <w:right w:w="108" w:type="dxa"/>
                </w:tblCellMar>
              </w:tblPrEx>
              <w:trPr>
                <w:trHeight w:val="581" w:hRule="atLeast"/>
              </w:trPr>
              <w:tc>
                <w:tcPr>
                  <w:tcW w:w="946" w:type="dxa"/>
                  <w:tcBorders>
                    <w:top w:val="nil"/>
                    <w:left w:val="single" w:color="auto" w:sz="8" w:space="0"/>
                    <w:bottom w:val="single" w:color="auto" w:sz="8" w:space="0"/>
                    <w:right w:val="single" w:color="auto" w:sz="8" w:space="0"/>
                  </w:tcBorders>
                  <w:noWrap w:val="0"/>
                  <w:vAlign w:val="center"/>
                </w:tcPr>
                <w:p w14:paraId="198E11D1">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12</w:t>
                  </w:r>
                </w:p>
              </w:tc>
              <w:tc>
                <w:tcPr>
                  <w:tcW w:w="2676" w:type="dxa"/>
                  <w:tcBorders>
                    <w:top w:val="nil"/>
                    <w:left w:val="nil"/>
                    <w:bottom w:val="single" w:color="auto" w:sz="8" w:space="0"/>
                    <w:right w:val="single" w:color="auto" w:sz="8" w:space="0"/>
                  </w:tcBorders>
                  <w:noWrap w:val="0"/>
                  <w:vAlign w:val="center"/>
                </w:tcPr>
                <w:p w14:paraId="23B2ACC0">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铜合金整体吊弦</w:t>
                  </w:r>
                </w:p>
              </w:tc>
              <w:tc>
                <w:tcPr>
                  <w:tcW w:w="1371" w:type="dxa"/>
                  <w:tcBorders>
                    <w:top w:val="nil"/>
                    <w:left w:val="nil"/>
                    <w:bottom w:val="single" w:color="auto" w:sz="8" w:space="0"/>
                    <w:right w:val="single" w:color="auto" w:sz="8" w:space="0"/>
                  </w:tcBorders>
                  <w:noWrap w:val="0"/>
                  <w:vAlign w:val="center"/>
                </w:tcPr>
                <w:p w14:paraId="7C9AED83">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根</w:t>
                  </w:r>
                </w:p>
              </w:tc>
              <w:tc>
                <w:tcPr>
                  <w:tcW w:w="1124" w:type="dxa"/>
                  <w:tcBorders>
                    <w:top w:val="nil"/>
                    <w:left w:val="nil"/>
                    <w:bottom w:val="single" w:color="auto" w:sz="8" w:space="0"/>
                    <w:right w:val="single" w:color="auto" w:sz="8" w:space="0"/>
                  </w:tcBorders>
                  <w:noWrap w:val="0"/>
                  <w:vAlign w:val="center"/>
                </w:tcPr>
                <w:p w14:paraId="4719323E">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80</w:t>
                  </w:r>
                </w:p>
              </w:tc>
            </w:tr>
            <w:tr w14:paraId="230796CA">
              <w:tblPrEx>
                <w:tblCellMar>
                  <w:top w:w="0" w:type="dxa"/>
                  <w:left w:w="108" w:type="dxa"/>
                  <w:bottom w:w="0" w:type="dxa"/>
                  <w:right w:w="108" w:type="dxa"/>
                </w:tblCellMar>
              </w:tblPrEx>
              <w:trPr>
                <w:trHeight w:val="515" w:hRule="atLeast"/>
              </w:trPr>
              <w:tc>
                <w:tcPr>
                  <w:tcW w:w="946" w:type="dxa"/>
                  <w:tcBorders>
                    <w:top w:val="nil"/>
                    <w:left w:val="single" w:color="auto" w:sz="8" w:space="0"/>
                    <w:bottom w:val="single" w:color="auto" w:sz="8" w:space="0"/>
                    <w:right w:val="single" w:color="auto" w:sz="8" w:space="0"/>
                  </w:tcBorders>
                  <w:noWrap w:val="0"/>
                  <w:vAlign w:val="center"/>
                </w:tcPr>
                <w:p w14:paraId="4C16C979">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13</w:t>
                  </w:r>
                </w:p>
              </w:tc>
              <w:tc>
                <w:tcPr>
                  <w:tcW w:w="2676" w:type="dxa"/>
                  <w:tcBorders>
                    <w:top w:val="nil"/>
                    <w:left w:val="nil"/>
                    <w:bottom w:val="single" w:color="auto" w:sz="8" w:space="0"/>
                    <w:right w:val="single" w:color="auto" w:sz="8" w:space="0"/>
                  </w:tcBorders>
                  <w:noWrap w:val="0"/>
                  <w:vAlign w:val="center"/>
                </w:tcPr>
                <w:p w14:paraId="1C94C2A6">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拉线</w:t>
                  </w:r>
                </w:p>
              </w:tc>
              <w:tc>
                <w:tcPr>
                  <w:tcW w:w="1371" w:type="dxa"/>
                  <w:tcBorders>
                    <w:top w:val="nil"/>
                    <w:left w:val="nil"/>
                    <w:bottom w:val="single" w:color="auto" w:sz="8" w:space="0"/>
                    <w:right w:val="single" w:color="auto" w:sz="8" w:space="0"/>
                  </w:tcBorders>
                  <w:noWrap w:val="0"/>
                  <w:vAlign w:val="center"/>
                </w:tcPr>
                <w:p w14:paraId="44DE621A">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个</w:t>
                  </w:r>
                </w:p>
              </w:tc>
              <w:tc>
                <w:tcPr>
                  <w:tcW w:w="1124" w:type="dxa"/>
                  <w:tcBorders>
                    <w:top w:val="nil"/>
                    <w:left w:val="nil"/>
                    <w:bottom w:val="single" w:color="auto" w:sz="8" w:space="0"/>
                    <w:right w:val="single" w:color="auto" w:sz="8" w:space="0"/>
                  </w:tcBorders>
                  <w:noWrap w:val="0"/>
                  <w:vAlign w:val="center"/>
                </w:tcPr>
                <w:p w14:paraId="366FF85A">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8</w:t>
                  </w:r>
                </w:p>
              </w:tc>
            </w:tr>
            <w:tr w14:paraId="58178453">
              <w:tblPrEx>
                <w:tblCellMar>
                  <w:top w:w="0" w:type="dxa"/>
                  <w:left w:w="108" w:type="dxa"/>
                  <w:bottom w:w="0" w:type="dxa"/>
                  <w:right w:w="108" w:type="dxa"/>
                </w:tblCellMar>
              </w:tblPrEx>
              <w:trPr>
                <w:trHeight w:val="491" w:hRule="atLeast"/>
              </w:trPr>
              <w:tc>
                <w:tcPr>
                  <w:tcW w:w="946" w:type="dxa"/>
                  <w:tcBorders>
                    <w:top w:val="nil"/>
                    <w:left w:val="single" w:color="auto" w:sz="8" w:space="0"/>
                    <w:bottom w:val="single" w:color="auto" w:sz="8" w:space="0"/>
                    <w:right w:val="single" w:color="auto" w:sz="8" w:space="0"/>
                  </w:tcBorders>
                  <w:noWrap w:val="0"/>
                  <w:vAlign w:val="center"/>
                </w:tcPr>
                <w:p w14:paraId="4E2A08D9">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14</w:t>
                  </w:r>
                </w:p>
              </w:tc>
              <w:tc>
                <w:tcPr>
                  <w:tcW w:w="2676" w:type="dxa"/>
                  <w:tcBorders>
                    <w:top w:val="nil"/>
                    <w:left w:val="nil"/>
                    <w:bottom w:val="single" w:color="auto" w:sz="8" w:space="0"/>
                    <w:right w:val="single" w:color="auto" w:sz="8" w:space="0"/>
                  </w:tcBorders>
                  <w:noWrap w:val="0"/>
                  <w:vAlign w:val="center"/>
                </w:tcPr>
                <w:p w14:paraId="1D53D3A1">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接触网终点标</w:t>
                  </w:r>
                </w:p>
              </w:tc>
              <w:tc>
                <w:tcPr>
                  <w:tcW w:w="1371" w:type="dxa"/>
                  <w:tcBorders>
                    <w:top w:val="nil"/>
                    <w:left w:val="nil"/>
                    <w:bottom w:val="single" w:color="auto" w:sz="8" w:space="0"/>
                    <w:right w:val="single" w:color="auto" w:sz="8" w:space="0"/>
                  </w:tcBorders>
                  <w:noWrap w:val="0"/>
                  <w:vAlign w:val="center"/>
                </w:tcPr>
                <w:p w14:paraId="70190D7A">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个</w:t>
                  </w:r>
                </w:p>
              </w:tc>
              <w:tc>
                <w:tcPr>
                  <w:tcW w:w="1124" w:type="dxa"/>
                  <w:tcBorders>
                    <w:top w:val="nil"/>
                    <w:left w:val="nil"/>
                    <w:bottom w:val="single" w:color="auto" w:sz="8" w:space="0"/>
                    <w:right w:val="single" w:color="auto" w:sz="8" w:space="0"/>
                  </w:tcBorders>
                  <w:noWrap w:val="0"/>
                  <w:vAlign w:val="center"/>
                </w:tcPr>
                <w:p w14:paraId="2C8B7AAD">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w:t>
                  </w:r>
                </w:p>
              </w:tc>
            </w:tr>
            <w:tr w14:paraId="0638D813">
              <w:tblPrEx>
                <w:tblCellMar>
                  <w:top w:w="0" w:type="dxa"/>
                  <w:left w:w="108" w:type="dxa"/>
                  <w:bottom w:w="0" w:type="dxa"/>
                  <w:right w:w="108" w:type="dxa"/>
                </w:tblCellMar>
              </w:tblPrEx>
              <w:trPr>
                <w:trHeight w:val="584" w:hRule="atLeast"/>
              </w:trPr>
              <w:tc>
                <w:tcPr>
                  <w:tcW w:w="946" w:type="dxa"/>
                  <w:tcBorders>
                    <w:top w:val="nil"/>
                    <w:left w:val="single" w:color="auto" w:sz="8" w:space="0"/>
                    <w:bottom w:val="single" w:color="auto" w:sz="8" w:space="0"/>
                    <w:right w:val="single" w:color="auto" w:sz="8" w:space="0"/>
                  </w:tcBorders>
                  <w:noWrap w:val="0"/>
                  <w:vAlign w:val="center"/>
                </w:tcPr>
                <w:p w14:paraId="0B0299B7">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15</w:t>
                  </w:r>
                </w:p>
              </w:tc>
              <w:tc>
                <w:tcPr>
                  <w:tcW w:w="2676" w:type="dxa"/>
                  <w:tcBorders>
                    <w:top w:val="nil"/>
                    <w:left w:val="nil"/>
                    <w:bottom w:val="single" w:color="auto" w:sz="8" w:space="0"/>
                    <w:right w:val="single" w:color="auto" w:sz="8" w:space="0"/>
                  </w:tcBorders>
                  <w:noWrap w:val="0"/>
                  <w:vAlign w:val="center"/>
                </w:tcPr>
                <w:p w14:paraId="48B9E3E4">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底座加固</w:t>
                  </w:r>
                </w:p>
              </w:tc>
              <w:tc>
                <w:tcPr>
                  <w:tcW w:w="1371" w:type="dxa"/>
                  <w:tcBorders>
                    <w:top w:val="nil"/>
                    <w:left w:val="nil"/>
                    <w:bottom w:val="single" w:color="auto" w:sz="8" w:space="0"/>
                    <w:right w:val="single" w:color="auto" w:sz="8" w:space="0"/>
                  </w:tcBorders>
                  <w:noWrap w:val="0"/>
                  <w:vAlign w:val="center"/>
                </w:tcPr>
                <w:p w14:paraId="269B9B9B">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处</w:t>
                  </w:r>
                </w:p>
              </w:tc>
              <w:tc>
                <w:tcPr>
                  <w:tcW w:w="1124" w:type="dxa"/>
                  <w:tcBorders>
                    <w:top w:val="nil"/>
                    <w:left w:val="nil"/>
                    <w:bottom w:val="single" w:color="auto" w:sz="8" w:space="0"/>
                    <w:right w:val="single" w:color="auto" w:sz="8" w:space="0"/>
                  </w:tcBorders>
                  <w:noWrap w:val="0"/>
                  <w:vAlign w:val="center"/>
                </w:tcPr>
                <w:p w14:paraId="5478E7C3">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9</w:t>
                  </w:r>
                </w:p>
              </w:tc>
            </w:tr>
            <w:tr w14:paraId="67DA864C">
              <w:tblPrEx>
                <w:tblCellMar>
                  <w:top w:w="0" w:type="dxa"/>
                  <w:left w:w="108" w:type="dxa"/>
                  <w:bottom w:w="0" w:type="dxa"/>
                  <w:right w:w="108" w:type="dxa"/>
                </w:tblCellMar>
              </w:tblPrEx>
              <w:trPr>
                <w:trHeight w:val="500" w:hRule="atLeast"/>
              </w:trPr>
              <w:tc>
                <w:tcPr>
                  <w:tcW w:w="946" w:type="dxa"/>
                  <w:tcBorders>
                    <w:top w:val="nil"/>
                    <w:left w:val="single" w:color="auto" w:sz="8" w:space="0"/>
                    <w:bottom w:val="single" w:color="auto" w:sz="8" w:space="0"/>
                    <w:right w:val="single" w:color="auto" w:sz="8" w:space="0"/>
                  </w:tcBorders>
                  <w:noWrap w:val="0"/>
                  <w:vAlign w:val="center"/>
                </w:tcPr>
                <w:p w14:paraId="706BAA73">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16</w:t>
                  </w:r>
                </w:p>
              </w:tc>
              <w:tc>
                <w:tcPr>
                  <w:tcW w:w="2676" w:type="dxa"/>
                  <w:tcBorders>
                    <w:top w:val="nil"/>
                    <w:left w:val="nil"/>
                    <w:bottom w:val="single" w:color="auto" w:sz="8" w:space="0"/>
                    <w:right w:val="single" w:color="auto" w:sz="8" w:space="0"/>
                  </w:tcBorders>
                  <w:noWrap w:val="0"/>
                  <w:vAlign w:val="center"/>
                </w:tcPr>
                <w:p w14:paraId="0754E5CF">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机械</w:t>
                  </w:r>
                </w:p>
              </w:tc>
              <w:tc>
                <w:tcPr>
                  <w:tcW w:w="1371" w:type="dxa"/>
                  <w:tcBorders>
                    <w:top w:val="nil"/>
                    <w:left w:val="nil"/>
                    <w:bottom w:val="single" w:color="auto" w:sz="8" w:space="0"/>
                    <w:right w:val="single" w:color="auto" w:sz="8" w:space="0"/>
                  </w:tcBorders>
                  <w:noWrap w:val="0"/>
                  <w:vAlign w:val="center"/>
                </w:tcPr>
                <w:p w14:paraId="79CE0A00">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台班</w:t>
                  </w:r>
                </w:p>
              </w:tc>
              <w:tc>
                <w:tcPr>
                  <w:tcW w:w="1124" w:type="dxa"/>
                  <w:tcBorders>
                    <w:top w:val="nil"/>
                    <w:left w:val="nil"/>
                    <w:bottom w:val="single" w:color="auto" w:sz="8" w:space="0"/>
                    <w:right w:val="single" w:color="auto" w:sz="8" w:space="0"/>
                  </w:tcBorders>
                  <w:noWrap w:val="0"/>
                  <w:vAlign w:val="center"/>
                </w:tcPr>
                <w:p w14:paraId="6A8D3424">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w:t>
                  </w:r>
                </w:p>
              </w:tc>
            </w:tr>
            <w:tr w14:paraId="2F7069C3">
              <w:tblPrEx>
                <w:tblCellMar>
                  <w:top w:w="0" w:type="dxa"/>
                  <w:left w:w="108" w:type="dxa"/>
                  <w:bottom w:w="0" w:type="dxa"/>
                  <w:right w:w="108" w:type="dxa"/>
                </w:tblCellMar>
              </w:tblPrEx>
              <w:trPr>
                <w:trHeight w:val="530" w:hRule="atLeast"/>
              </w:trPr>
              <w:tc>
                <w:tcPr>
                  <w:tcW w:w="946" w:type="dxa"/>
                  <w:tcBorders>
                    <w:top w:val="nil"/>
                    <w:left w:val="single" w:color="auto" w:sz="8" w:space="0"/>
                    <w:bottom w:val="single" w:color="auto" w:sz="8" w:space="0"/>
                    <w:right w:val="single" w:color="auto" w:sz="8" w:space="0"/>
                  </w:tcBorders>
                  <w:noWrap w:val="0"/>
                  <w:vAlign w:val="center"/>
                </w:tcPr>
                <w:p w14:paraId="6F4491A0">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17</w:t>
                  </w:r>
                </w:p>
              </w:tc>
              <w:tc>
                <w:tcPr>
                  <w:tcW w:w="2676" w:type="dxa"/>
                  <w:tcBorders>
                    <w:top w:val="nil"/>
                    <w:left w:val="nil"/>
                    <w:bottom w:val="single" w:color="auto" w:sz="8" w:space="0"/>
                    <w:right w:val="single" w:color="auto" w:sz="8" w:space="0"/>
                  </w:tcBorders>
                  <w:noWrap w:val="0"/>
                  <w:vAlign w:val="center"/>
                </w:tcPr>
                <w:p w14:paraId="28513264">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运输</w:t>
                  </w:r>
                </w:p>
              </w:tc>
              <w:tc>
                <w:tcPr>
                  <w:tcW w:w="1371" w:type="dxa"/>
                  <w:tcBorders>
                    <w:top w:val="nil"/>
                    <w:left w:val="nil"/>
                    <w:bottom w:val="single" w:color="auto" w:sz="8" w:space="0"/>
                    <w:right w:val="single" w:color="auto" w:sz="8" w:space="0"/>
                  </w:tcBorders>
                  <w:noWrap w:val="0"/>
                  <w:vAlign w:val="center"/>
                </w:tcPr>
                <w:p w14:paraId="068E0A0A">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次</w:t>
                  </w:r>
                </w:p>
              </w:tc>
              <w:tc>
                <w:tcPr>
                  <w:tcW w:w="1124" w:type="dxa"/>
                  <w:tcBorders>
                    <w:top w:val="nil"/>
                    <w:left w:val="nil"/>
                    <w:bottom w:val="single" w:color="auto" w:sz="8" w:space="0"/>
                    <w:right w:val="single" w:color="auto" w:sz="8" w:space="0"/>
                  </w:tcBorders>
                  <w:noWrap w:val="0"/>
                  <w:vAlign w:val="center"/>
                </w:tcPr>
                <w:p w14:paraId="67DECCCA">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w:t>
                  </w:r>
                </w:p>
              </w:tc>
            </w:tr>
            <w:tr w14:paraId="127C9C75">
              <w:tblPrEx>
                <w:tblCellMar>
                  <w:top w:w="0" w:type="dxa"/>
                  <w:left w:w="108" w:type="dxa"/>
                  <w:bottom w:w="0" w:type="dxa"/>
                  <w:right w:w="108" w:type="dxa"/>
                </w:tblCellMar>
              </w:tblPrEx>
              <w:trPr>
                <w:trHeight w:val="530" w:hRule="atLeast"/>
              </w:trPr>
              <w:tc>
                <w:tcPr>
                  <w:tcW w:w="946" w:type="dxa"/>
                  <w:tcBorders>
                    <w:top w:val="nil"/>
                    <w:left w:val="single" w:color="auto" w:sz="8" w:space="0"/>
                    <w:bottom w:val="single" w:color="auto" w:sz="8" w:space="0"/>
                    <w:right w:val="single" w:color="auto" w:sz="8" w:space="0"/>
                  </w:tcBorders>
                  <w:noWrap w:val="0"/>
                  <w:vAlign w:val="center"/>
                </w:tcPr>
                <w:p w14:paraId="41E61E3A">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18</w:t>
                  </w:r>
                </w:p>
              </w:tc>
              <w:tc>
                <w:tcPr>
                  <w:tcW w:w="2676" w:type="dxa"/>
                  <w:tcBorders>
                    <w:top w:val="nil"/>
                    <w:left w:val="nil"/>
                    <w:bottom w:val="single" w:color="auto" w:sz="8" w:space="0"/>
                    <w:right w:val="single" w:color="auto" w:sz="8" w:space="0"/>
                  </w:tcBorders>
                  <w:noWrap w:val="0"/>
                  <w:vAlign w:val="center"/>
                </w:tcPr>
                <w:p w14:paraId="20C3B85D">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工费</w:t>
                  </w:r>
                </w:p>
              </w:tc>
              <w:tc>
                <w:tcPr>
                  <w:tcW w:w="1371" w:type="dxa"/>
                  <w:tcBorders>
                    <w:top w:val="nil"/>
                    <w:left w:val="nil"/>
                    <w:bottom w:val="single" w:color="auto" w:sz="8" w:space="0"/>
                    <w:right w:val="single" w:color="auto" w:sz="8" w:space="0"/>
                  </w:tcBorders>
                  <w:noWrap w:val="0"/>
                  <w:vAlign w:val="center"/>
                </w:tcPr>
                <w:p w14:paraId="02D7A639">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人工</w:t>
                  </w:r>
                </w:p>
              </w:tc>
              <w:tc>
                <w:tcPr>
                  <w:tcW w:w="1124" w:type="dxa"/>
                  <w:tcBorders>
                    <w:top w:val="nil"/>
                    <w:left w:val="nil"/>
                    <w:bottom w:val="single" w:color="auto" w:sz="8" w:space="0"/>
                    <w:right w:val="single" w:color="auto" w:sz="8" w:space="0"/>
                  </w:tcBorders>
                  <w:noWrap w:val="0"/>
                  <w:vAlign w:val="center"/>
                </w:tcPr>
                <w:p w14:paraId="12A92CC8">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50</w:t>
                  </w:r>
                </w:p>
              </w:tc>
            </w:tr>
            <w:tr w14:paraId="755D658B">
              <w:tblPrEx>
                <w:tblCellMar>
                  <w:top w:w="0" w:type="dxa"/>
                  <w:left w:w="108" w:type="dxa"/>
                  <w:bottom w:w="0" w:type="dxa"/>
                  <w:right w:w="108" w:type="dxa"/>
                </w:tblCellMar>
              </w:tblPrEx>
              <w:trPr>
                <w:trHeight w:val="530" w:hRule="atLeast"/>
              </w:trPr>
              <w:tc>
                <w:tcPr>
                  <w:tcW w:w="946" w:type="dxa"/>
                  <w:tcBorders>
                    <w:top w:val="nil"/>
                    <w:left w:val="single" w:color="auto" w:sz="8" w:space="0"/>
                    <w:bottom w:val="single" w:color="auto" w:sz="8" w:space="0"/>
                    <w:right w:val="single" w:color="auto" w:sz="8" w:space="0"/>
                  </w:tcBorders>
                  <w:noWrap w:val="0"/>
                  <w:vAlign w:val="center"/>
                </w:tcPr>
                <w:p w14:paraId="106F70AF">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19</w:t>
                  </w:r>
                </w:p>
              </w:tc>
              <w:tc>
                <w:tcPr>
                  <w:tcW w:w="2676" w:type="dxa"/>
                  <w:tcBorders>
                    <w:top w:val="nil"/>
                    <w:left w:val="nil"/>
                    <w:bottom w:val="single" w:color="auto" w:sz="8" w:space="0"/>
                    <w:right w:val="single" w:color="auto" w:sz="8" w:space="0"/>
                  </w:tcBorders>
                  <w:noWrap w:val="0"/>
                  <w:vAlign w:val="center"/>
                </w:tcPr>
                <w:p w14:paraId="6FCD821D">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保险带，脚扣</w:t>
                  </w:r>
                </w:p>
              </w:tc>
              <w:tc>
                <w:tcPr>
                  <w:tcW w:w="1371" w:type="dxa"/>
                  <w:tcBorders>
                    <w:top w:val="nil"/>
                    <w:left w:val="nil"/>
                    <w:bottom w:val="single" w:color="auto" w:sz="8" w:space="0"/>
                    <w:right w:val="single" w:color="auto" w:sz="8" w:space="0"/>
                  </w:tcBorders>
                  <w:noWrap w:val="0"/>
                  <w:vAlign w:val="center"/>
                </w:tcPr>
                <w:p w14:paraId="77053A58">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套</w:t>
                  </w:r>
                </w:p>
              </w:tc>
              <w:tc>
                <w:tcPr>
                  <w:tcW w:w="1124" w:type="dxa"/>
                  <w:tcBorders>
                    <w:top w:val="nil"/>
                    <w:left w:val="nil"/>
                    <w:bottom w:val="single" w:color="auto" w:sz="8" w:space="0"/>
                    <w:right w:val="single" w:color="auto" w:sz="8" w:space="0"/>
                  </w:tcBorders>
                  <w:noWrap w:val="0"/>
                  <w:vAlign w:val="center"/>
                </w:tcPr>
                <w:p w14:paraId="4A6B0D46">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15</w:t>
                  </w:r>
                </w:p>
              </w:tc>
            </w:tr>
            <w:tr w14:paraId="46CDFF51">
              <w:tblPrEx>
                <w:tblCellMar>
                  <w:top w:w="0" w:type="dxa"/>
                  <w:left w:w="108" w:type="dxa"/>
                  <w:bottom w:w="0" w:type="dxa"/>
                  <w:right w:w="108" w:type="dxa"/>
                </w:tblCellMar>
              </w:tblPrEx>
              <w:trPr>
                <w:trHeight w:val="747" w:hRule="atLeast"/>
              </w:trPr>
              <w:tc>
                <w:tcPr>
                  <w:tcW w:w="946" w:type="dxa"/>
                  <w:tcBorders>
                    <w:top w:val="nil"/>
                    <w:left w:val="single" w:color="auto" w:sz="8" w:space="0"/>
                    <w:bottom w:val="single" w:color="auto" w:sz="8" w:space="0"/>
                    <w:right w:val="single" w:color="auto" w:sz="8" w:space="0"/>
                  </w:tcBorders>
                  <w:noWrap w:val="0"/>
                  <w:vAlign w:val="center"/>
                </w:tcPr>
                <w:p w14:paraId="113BEE99">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20</w:t>
                  </w:r>
                </w:p>
              </w:tc>
              <w:tc>
                <w:tcPr>
                  <w:tcW w:w="2676" w:type="dxa"/>
                  <w:tcBorders>
                    <w:top w:val="nil"/>
                    <w:left w:val="nil"/>
                    <w:bottom w:val="single" w:color="auto" w:sz="8" w:space="0"/>
                    <w:right w:val="single" w:color="auto" w:sz="8" w:space="0"/>
                  </w:tcBorders>
                  <w:noWrap w:val="0"/>
                  <w:vAlign w:val="center"/>
                </w:tcPr>
                <w:p w14:paraId="11C6DDE7">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安全帽，手套，扳手，个人工具器</w:t>
                  </w:r>
                </w:p>
              </w:tc>
              <w:tc>
                <w:tcPr>
                  <w:tcW w:w="1371" w:type="dxa"/>
                  <w:tcBorders>
                    <w:top w:val="nil"/>
                    <w:left w:val="nil"/>
                    <w:bottom w:val="single" w:color="auto" w:sz="8" w:space="0"/>
                    <w:right w:val="single" w:color="auto" w:sz="8" w:space="0"/>
                  </w:tcBorders>
                  <w:noWrap w:val="0"/>
                  <w:vAlign w:val="center"/>
                </w:tcPr>
                <w:p w14:paraId="69B5FDCD">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套</w:t>
                  </w:r>
                </w:p>
              </w:tc>
              <w:tc>
                <w:tcPr>
                  <w:tcW w:w="1124" w:type="dxa"/>
                  <w:tcBorders>
                    <w:top w:val="nil"/>
                    <w:left w:val="nil"/>
                    <w:bottom w:val="single" w:color="auto" w:sz="8" w:space="0"/>
                    <w:right w:val="single" w:color="auto" w:sz="8" w:space="0"/>
                  </w:tcBorders>
                  <w:noWrap w:val="0"/>
                  <w:vAlign w:val="center"/>
                </w:tcPr>
                <w:p w14:paraId="00A69869">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15</w:t>
                  </w:r>
                </w:p>
              </w:tc>
            </w:tr>
            <w:tr w14:paraId="44E760D0">
              <w:tblPrEx>
                <w:tblCellMar>
                  <w:top w:w="0" w:type="dxa"/>
                  <w:left w:w="108" w:type="dxa"/>
                  <w:bottom w:w="0" w:type="dxa"/>
                  <w:right w:w="108" w:type="dxa"/>
                </w:tblCellMar>
              </w:tblPrEx>
              <w:trPr>
                <w:trHeight w:val="747" w:hRule="atLeast"/>
              </w:trPr>
              <w:tc>
                <w:tcPr>
                  <w:tcW w:w="946" w:type="dxa"/>
                  <w:tcBorders>
                    <w:top w:val="nil"/>
                    <w:left w:val="single" w:color="auto" w:sz="8" w:space="0"/>
                    <w:bottom w:val="single" w:color="auto" w:sz="8" w:space="0"/>
                    <w:right w:val="single" w:color="auto" w:sz="8" w:space="0"/>
                  </w:tcBorders>
                  <w:noWrap w:val="0"/>
                  <w:vAlign w:val="center"/>
                </w:tcPr>
                <w:p w14:paraId="4C1FA858">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21</w:t>
                  </w:r>
                </w:p>
              </w:tc>
              <w:tc>
                <w:tcPr>
                  <w:tcW w:w="2676" w:type="dxa"/>
                  <w:tcBorders>
                    <w:top w:val="nil"/>
                    <w:left w:val="nil"/>
                    <w:bottom w:val="single" w:color="auto" w:sz="8" w:space="0"/>
                    <w:right w:val="single" w:color="auto" w:sz="8" w:space="0"/>
                  </w:tcBorders>
                  <w:noWrap w:val="0"/>
                  <w:vAlign w:val="center"/>
                </w:tcPr>
                <w:p w14:paraId="780924D2">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安全绳</w:t>
                  </w:r>
                </w:p>
              </w:tc>
              <w:tc>
                <w:tcPr>
                  <w:tcW w:w="1371" w:type="dxa"/>
                  <w:tcBorders>
                    <w:top w:val="nil"/>
                    <w:left w:val="nil"/>
                    <w:bottom w:val="single" w:color="auto" w:sz="8" w:space="0"/>
                    <w:right w:val="single" w:color="auto" w:sz="8" w:space="0"/>
                  </w:tcBorders>
                  <w:noWrap w:val="0"/>
                  <w:vAlign w:val="center"/>
                </w:tcPr>
                <w:p w14:paraId="285E906C">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个（4 米）</w:t>
                  </w:r>
                </w:p>
              </w:tc>
              <w:tc>
                <w:tcPr>
                  <w:tcW w:w="1124" w:type="dxa"/>
                  <w:tcBorders>
                    <w:top w:val="nil"/>
                    <w:left w:val="nil"/>
                    <w:bottom w:val="single" w:color="auto" w:sz="8" w:space="0"/>
                    <w:right w:val="single" w:color="auto" w:sz="8" w:space="0"/>
                  </w:tcBorders>
                  <w:noWrap w:val="0"/>
                  <w:vAlign w:val="center"/>
                </w:tcPr>
                <w:p w14:paraId="17E98A20">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w:t>
                  </w:r>
                </w:p>
              </w:tc>
            </w:tr>
            <w:tr w14:paraId="3D2F3939">
              <w:tblPrEx>
                <w:tblCellMar>
                  <w:top w:w="0" w:type="dxa"/>
                  <w:left w:w="108" w:type="dxa"/>
                  <w:bottom w:w="0" w:type="dxa"/>
                  <w:right w:w="108" w:type="dxa"/>
                </w:tblCellMar>
              </w:tblPrEx>
              <w:trPr>
                <w:trHeight w:val="530" w:hRule="atLeast"/>
              </w:trPr>
              <w:tc>
                <w:tcPr>
                  <w:tcW w:w="946" w:type="dxa"/>
                  <w:tcBorders>
                    <w:top w:val="nil"/>
                    <w:left w:val="single" w:color="auto" w:sz="8" w:space="0"/>
                    <w:bottom w:val="single" w:color="auto" w:sz="4" w:space="0"/>
                    <w:right w:val="single" w:color="auto" w:sz="8" w:space="0"/>
                  </w:tcBorders>
                  <w:noWrap w:val="0"/>
                  <w:vAlign w:val="center"/>
                </w:tcPr>
                <w:p w14:paraId="73748AD9">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22</w:t>
                  </w:r>
                </w:p>
              </w:tc>
              <w:tc>
                <w:tcPr>
                  <w:tcW w:w="2676" w:type="dxa"/>
                  <w:tcBorders>
                    <w:top w:val="nil"/>
                    <w:left w:val="nil"/>
                    <w:bottom w:val="single" w:color="auto" w:sz="4" w:space="0"/>
                    <w:right w:val="single" w:color="auto" w:sz="8" w:space="0"/>
                  </w:tcBorders>
                  <w:noWrap w:val="0"/>
                  <w:vAlign w:val="center"/>
                </w:tcPr>
                <w:p w14:paraId="129B231F">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滑轮</w:t>
                  </w:r>
                </w:p>
              </w:tc>
              <w:tc>
                <w:tcPr>
                  <w:tcW w:w="1371" w:type="dxa"/>
                  <w:tcBorders>
                    <w:top w:val="nil"/>
                    <w:left w:val="nil"/>
                    <w:bottom w:val="single" w:color="auto" w:sz="4" w:space="0"/>
                    <w:right w:val="single" w:color="auto" w:sz="8" w:space="0"/>
                  </w:tcBorders>
                  <w:noWrap w:val="0"/>
                  <w:vAlign w:val="center"/>
                </w:tcPr>
                <w:p w14:paraId="4E730A87">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个</w:t>
                  </w:r>
                </w:p>
              </w:tc>
              <w:tc>
                <w:tcPr>
                  <w:tcW w:w="1124" w:type="dxa"/>
                  <w:tcBorders>
                    <w:top w:val="nil"/>
                    <w:left w:val="nil"/>
                    <w:bottom w:val="single" w:color="auto" w:sz="4" w:space="0"/>
                    <w:right w:val="single" w:color="auto" w:sz="8" w:space="0"/>
                  </w:tcBorders>
                  <w:noWrap w:val="0"/>
                  <w:vAlign w:val="center"/>
                </w:tcPr>
                <w:p w14:paraId="2CB478C8">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w:t>
                  </w:r>
                </w:p>
              </w:tc>
            </w:tr>
            <w:tr w14:paraId="44DE1426">
              <w:tblPrEx>
                <w:tblCellMar>
                  <w:top w:w="0" w:type="dxa"/>
                  <w:left w:w="108" w:type="dxa"/>
                  <w:bottom w:w="0" w:type="dxa"/>
                  <w:right w:w="108" w:type="dxa"/>
                </w:tblCellMar>
              </w:tblPrEx>
              <w:trPr>
                <w:trHeight w:val="521" w:hRule="atLeast"/>
              </w:trPr>
              <w:tc>
                <w:tcPr>
                  <w:tcW w:w="946" w:type="dxa"/>
                  <w:tcBorders>
                    <w:top w:val="single" w:color="auto" w:sz="4" w:space="0"/>
                    <w:left w:val="single" w:color="auto" w:sz="4" w:space="0"/>
                    <w:bottom w:val="single" w:color="auto" w:sz="4" w:space="0"/>
                    <w:right w:val="single" w:color="auto" w:sz="4" w:space="0"/>
                  </w:tcBorders>
                  <w:noWrap w:val="0"/>
                  <w:vAlign w:val="center"/>
                </w:tcPr>
                <w:p w14:paraId="6A663A88">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23</w:t>
                  </w:r>
                </w:p>
              </w:tc>
              <w:tc>
                <w:tcPr>
                  <w:tcW w:w="2676" w:type="dxa"/>
                  <w:tcBorders>
                    <w:top w:val="single" w:color="auto" w:sz="4" w:space="0"/>
                    <w:left w:val="single" w:color="auto" w:sz="4" w:space="0"/>
                    <w:bottom w:val="single" w:color="auto" w:sz="4" w:space="0"/>
                    <w:right w:val="single" w:color="auto" w:sz="4" w:space="0"/>
                  </w:tcBorders>
                  <w:noWrap w:val="0"/>
                  <w:vAlign w:val="center"/>
                </w:tcPr>
                <w:p w14:paraId="5D014E54">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梯子</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2F21080F">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个</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3E1D4B3C">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w:t>
                  </w:r>
                </w:p>
              </w:tc>
            </w:tr>
            <w:tr w14:paraId="3FE6554B">
              <w:tblPrEx>
                <w:tblCellMar>
                  <w:top w:w="0" w:type="dxa"/>
                  <w:left w:w="108" w:type="dxa"/>
                  <w:bottom w:w="0" w:type="dxa"/>
                  <w:right w:w="108" w:type="dxa"/>
                </w:tblCellMar>
              </w:tblPrEx>
              <w:trPr>
                <w:trHeight w:val="1112" w:hRule="atLeast"/>
              </w:trPr>
              <w:tc>
                <w:tcPr>
                  <w:tcW w:w="946" w:type="dxa"/>
                  <w:tcBorders>
                    <w:top w:val="single" w:color="auto" w:sz="4" w:space="0"/>
                    <w:left w:val="single" w:color="auto" w:sz="4" w:space="0"/>
                    <w:bottom w:val="single" w:color="auto" w:sz="4" w:space="0"/>
                    <w:right w:val="single" w:color="auto" w:sz="4" w:space="0"/>
                  </w:tcBorders>
                  <w:noWrap w:val="0"/>
                  <w:vAlign w:val="center"/>
                </w:tcPr>
                <w:p w14:paraId="363AF502">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24</w:t>
                  </w:r>
                </w:p>
              </w:tc>
              <w:tc>
                <w:tcPr>
                  <w:tcW w:w="2676" w:type="dxa"/>
                  <w:tcBorders>
                    <w:top w:val="single" w:color="auto" w:sz="4" w:space="0"/>
                    <w:left w:val="single" w:color="auto" w:sz="4" w:space="0"/>
                    <w:bottom w:val="single" w:color="auto" w:sz="4" w:space="0"/>
                    <w:right w:val="single" w:color="auto" w:sz="4" w:space="0"/>
                  </w:tcBorders>
                  <w:noWrap w:val="0"/>
                  <w:vAlign w:val="center"/>
                </w:tcPr>
                <w:p w14:paraId="506C5CC5">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根据原铁道部接触网标准进行设计，施工</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22A34F98">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项</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1E547F1D">
                  <w:pPr>
                    <w:keepNext w:val="0"/>
                    <w:keepLines w:val="0"/>
                    <w:pageBreakBefore w:val="0"/>
                    <w:widowControl/>
                    <w:kinsoku/>
                    <w:wordWrap/>
                    <w:overflowPunct/>
                    <w:topLinePunct w:val="0"/>
                    <w:autoSpaceDE/>
                    <w:autoSpaceDN/>
                    <w:bidi w:val="0"/>
                    <w:adjustRightInd/>
                    <w:snapToGrid/>
                    <w:spacing w:line="288" w:lineRule="auto"/>
                    <w:ind w:firstLine="240" w:firstLineChars="10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w:t>
                  </w:r>
                </w:p>
              </w:tc>
            </w:tr>
          </w:tbl>
          <w:p w14:paraId="7213B80D">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b/>
                <w:bCs/>
                <w:color w:val="auto"/>
                <w:kern w:val="0"/>
                <w:sz w:val="24"/>
                <w:szCs w:val="24"/>
                <w:highlight w:val="none"/>
                <w:lang w:val="en-US" w:eastAsia="zh-CN" w:bidi="ar"/>
              </w:rPr>
            </w:pPr>
          </w:p>
          <w:p w14:paraId="16695BFD">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接触网实训项目：</w:t>
            </w:r>
          </w:p>
          <w:p w14:paraId="584F33A7">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1.柱上腕臂检修</w:t>
            </w:r>
          </w:p>
          <w:p w14:paraId="658430D4">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2.柱上腕臂更换</w:t>
            </w:r>
          </w:p>
          <w:p w14:paraId="317CADD4">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3.地上腕臂组装</w:t>
            </w:r>
          </w:p>
          <w:p w14:paraId="49CC45EC">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4.吊弦更换</w:t>
            </w:r>
          </w:p>
          <w:p w14:paraId="25B1EF05">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5.吊弦制作</w:t>
            </w:r>
          </w:p>
          <w:p w14:paraId="01A5B6FA">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6.拉出值调整</w:t>
            </w:r>
          </w:p>
          <w:p w14:paraId="2DF0E6BF">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7.导高调整实训</w:t>
            </w:r>
          </w:p>
          <w:p w14:paraId="521E5CE1">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8.分段绝缘器更换与检修</w:t>
            </w:r>
          </w:p>
          <w:p w14:paraId="2CA855B2">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9.隔离开关检修</w:t>
            </w:r>
          </w:p>
          <w:p w14:paraId="2642E4CF">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10.电连接线安装与检修</w:t>
            </w:r>
          </w:p>
          <w:p w14:paraId="74EB1EC9">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11.补偿装置安装与检调</w:t>
            </w:r>
          </w:p>
          <w:p w14:paraId="24E301F5">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12.接触网回头制作与安装</w:t>
            </w:r>
          </w:p>
          <w:p w14:paraId="6D308C35">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13.承力索回头制作与安装</w:t>
            </w:r>
          </w:p>
          <w:p w14:paraId="5254CE84">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14.下锚绝缘子更换</w:t>
            </w:r>
          </w:p>
          <w:p w14:paraId="03182C55">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15.柱上腕臂绝缘子更换</w:t>
            </w:r>
          </w:p>
          <w:p w14:paraId="54376431">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16.接触网断线接续</w:t>
            </w:r>
          </w:p>
          <w:p w14:paraId="381AE18E">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17.承力索断线接续</w:t>
            </w:r>
          </w:p>
          <w:p w14:paraId="5F131347">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18.附加导线断线接续</w:t>
            </w:r>
          </w:p>
          <w:p w14:paraId="27BA28CA">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19.a、b值调整</w:t>
            </w:r>
          </w:p>
          <w:p w14:paraId="7FEF5D43">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20.接触网常用零部件辨识</w:t>
            </w:r>
          </w:p>
          <w:p w14:paraId="2BFBEE90">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21.接触网常用工器具使用</w:t>
            </w:r>
          </w:p>
          <w:p w14:paraId="64941287">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22.接触网结构认知</w:t>
            </w:r>
          </w:p>
          <w:p w14:paraId="43A30DB1">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23.接触网工作票签发</w:t>
            </w:r>
          </w:p>
          <w:p w14:paraId="1AAFB4AB">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24.接触网激光测量仪的使用实训</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66D0C678">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w:t>
            </w:r>
          </w:p>
        </w:tc>
      </w:tr>
      <w:tr w14:paraId="0159A5E9">
        <w:tblPrEx>
          <w:tblCellMar>
            <w:top w:w="0" w:type="dxa"/>
            <w:left w:w="108" w:type="dxa"/>
            <w:bottom w:w="0" w:type="dxa"/>
            <w:right w:w="108" w:type="dxa"/>
          </w:tblCellMar>
        </w:tblPrEx>
        <w:trPr>
          <w:trHeight w:val="680"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14:paraId="527EED30">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03FDC859">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工作台</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5A79DE1B">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处理器：主频≥2.6GHz，</w:t>
            </w:r>
            <w:r>
              <w:rPr>
                <w:rFonts w:hint="eastAsia" w:ascii="宋体" w:hAnsi="宋体" w:eastAsia="宋体" w:cs="宋体"/>
                <w:sz w:val="24"/>
                <w:szCs w:val="24"/>
                <w:highlight w:val="none"/>
                <w:lang w:val="en-US" w:eastAsia="zh-CN"/>
              </w:rPr>
              <w:t>处理器核心数≥4核</w:t>
            </w:r>
          </w:p>
          <w:p w14:paraId="01EDAF43">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内存：≥32G</w:t>
            </w:r>
          </w:p>
          <w:p w14:paraId="622C45AC">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固态：512固态</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671C278B">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10台</w:t>
            </w:r>
          </w:p>
        </w:tc>
      </w:tr>
      <w:tr w14:paraId="2531D73D">
        <w:tblPrEx>
          <w:tblCellMar>
            <w:top w:w="0" w:type="dxa"/>
            <w:left w:w="108" w:type="dxa"/>
            <w:bottom w:w="0" w:type="dxa"/>
            <w:right w:w="108" w:type="dxa"/>
          </w:tblCellMar>
        </w:tblPrEx>
        <w:trPr>
          <w:trHeight w:val="680"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14:paraId="6136E8BA">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5FA6F878">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操作面板</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0B7E5591">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面板尺寸：≥23.8英寸</w:t>
            </w:r>
            <w:r>
              <w:rPr>
                <w:rFonts w:hint="eastAsia" w:ascii="宋体" w:hAnsi="宋体" w:eastAsia="宋体" w:cs="宋体"/>
                <w:color w:val="auto"/>
                <w:kern w:val="0"/>
                <w:sz w:val="24"/>
                <w:szCs w:val="24"/>
                <w:highlight w:val="none"/>
                <w:lang w:val="en-US" w:eastAsia="zh-CN" w:bidi="ar"/>
              </w:rPr>
              <w:tab/>
            </w:r>
          </w:p>
          <w:p w14:paraId="78AEEDB2">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面板类型：VA技术</w:t>
            </w:r>
            <w:r>
              <w:rPr>
                <w:rFonts w:hint="eastAsia" w:ascii="宋体" w:hAnsi="宋体" w:eastAsia="宋体" w:cs="宋体"/>
                <w:color w:val="auto"/>
                <w:kern w:val="0"/>
                <w:sz w:val="24"/>
                <w:szCs w:val="24"/>
                <w:highlight w:val="none"/>
                <w:lang w:val="en-US" w:eastAsia="zh-CN" w:bidi="ar"/>
              </w:rPr>
              <w:tab/>
            </w:r>
          </w:p>
          <w:p w14:paraId="5BF15053">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分辨率：≥1920*1080</w:t>
            </w:r>
            <w:r>
              <w:rPr>
                <w:rFonts w:hint="eastAsia" w:ascii="宋体" w:hAnsi="宋体" w:eastAsia="宋体" w:cs="宋体"/>
                <w:color w:val="auto"/>
                <w:kern w:val="0"/>
                <w:sz w:val="24"/>
                <w:szCs w:val="24"/>
                <w:highlight w:val="none"/>
                <w:lang w:val="en-US" w:eastAsia="zh-CN" w:bidi="ar"/>
              </w:rPr>
              <w:tab/>
            </w:r>
          </w:p>
          <w:p w14:paraId="67B0CB1C">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刷新率(Max)：≥100Hz(HDMI)</w:t>
            </w:r>
          </w:p>
          <w:p w14:paraId="55170120">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亮度(Max)</w:t>
            </w:r>
            <w:r>
              <w:rPr>
                <w:rFonts w:hint="eastAsia" w:ascii="宋体" w:hAnsi="宋体" w:eastAsia="宋体" w:cs="宋体"/>
                <w:color w:val="auto"/>
                <w:kern w:val="0"/>
                <w:sz w:val="24"/>
                <w:szCs w:val="24"/>
                <w:highlight w:val="none"/>
                <w:lang w:val="en-US" w:eastAsia="zh-CN" w:bidi="ar"/>
              </w:rPr>
              <w:tab/>
            </w:r>
            <w:r>
              <w:rPr>
                <w:rFonts w:hint="eastAsia" w:ascii="宋体" w:hAnsi="宋体" w:eastAsia="宋体" w:cs="宋体"/>
                <w:color w:val="auto"/>
                <w:kern w:val="0"/>
                <w:sz w:val="24"/>
                <w:szCs w:val="24"/>
                <w:highlight w:val="none"/>
                <w:lang w:val="en-US" w:eastAsia="zh-CN" w:bidi="ar"/>
              </w:rPr>
              <w:t>：≥250nits</w:t>
            </w:r>
            <w:r>
              <w:rPr>
                <w:rFonts w:hint="eastAsia" w:ascii="宋体" w:hAnsi="宋体" w:eastAsia="宋体" w:cs="宋体"/>
                <w:color w:val="auto"/>
                <w:kern w:val="0"/>
                <w:sz w:val="24"/>
                <w:szCs w:val="24"/>
                <w:highlight w:val="none"/>
                <w:lang w:val="en-US" w:eastAsia="zh-CN" w:bidi="ar"/>
              </w:rPr>
              <w:tab/>
            </w:r>
          </w:p>
          <w:p w14:paraId="5DE31570">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静态对比度</w:t>
            </w:r>
            <w:r>
              <w:rPr>
                <w:rFonts w:hint="eastAsia" w:ascii="宋体" w:hAnsi="宋体" w:eastAsia="宋体" w:cs="宋体"/>
                <w:color w:val="auto"/>
                <w:kern w:val="0"/>
                <w:sz w:val="24"/>
                <w:szCs w:val="24"/>
                <w:highlight w:val="none"/>
                <w:lang w:val="en-US" w:eastAsia="zh-CN" w:bidi="ar"/>
              </w:rPr>
              <w:tab/>
            </w:r>
            <w:r>
              <w:rPr>
                <w:rFonts w:hint="eastAsia" w:ascii="宋体" w:hAnsi="宋体" w:eastAsia="宋体" w:cs="宋体"/>
                <w:color w:val="auto"/>
                <w:kern w:val="0"/>
                <w:sz w:val="24"/>
                <w:szCs w:val="24"/>
                <w:highlight w:val="none"/>
                <w:lang w:val="en-US" w:eastAsia="zh-CN" w:bidi="ar"/>
              </w:rPr>
              <w:t>：3000:1</w:t>
            </w:r>
            <w:r>
              <w:rPr>
                <w:rFonts w:hint="eastAsia" w:ascii="宋体" w:hAnsi="宋体" w:eastAsia="宋体" w:cs="宋体"/>
                <w:color w:val="auto"/>
                <w:kern w:val="0"/>
                <w:sz w:val="24"/>
                <w:szCs w:val="24"/>
                <w:highlight w:val="none"/>
                <w:lang w:val="en-US" w:eastAsia="zh-CN" w:bidi="ar"/>
              </w:rPr>
              <w:tab/>
            </w:r>
            <w:r>
              <w:rPr>
                <w:rFonts w:hint="eastAsia" w:ascii="宋体" w:hAnsi="宋体" w:eastAsia="宋体" w:cs="宋体"/>
                <w:color w:val="auto"/>
                <w:kern w:val="0"/>
                <w:sz w:val="24"/>
                <w:szCs w:val="24"/>
                <w:highlight w:val="none"/>
                <w:lang w:val="en-US" w:eastAsia="zh-CN" w:bidi="ar"/>
              </w:rPr>
              <w:t xml:space="preserve"> </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68A8F241">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20台</w:t>
            </w:r>
          </w:p>
        </w:tc>
      </w:tr>
      <w:tr w14:paraId="414D4B0A">
        <w:tblPrEx>
          <w:tblCellMar>
            <w:top w:w="0" w:type="dxa"/>
            <w:left w:w="108" w:type="dxa"/>
            <w:bottom w:w="0" w:type="dxa"/>
            <w:right w:w="108" w:type="dxa"/>
          </w:tblCellMar>
        </w:tblPrEx>
        <w:trPr>
          <w:trHeight w:val="680"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14:paraId="4726368B">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3CE5C7BD">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桌子</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5FB0437F">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尺寸：1.4米</w:t>
            </w:r>
            <w:r>
              <w:rPr>
                <w:rFonts w:hint="eastAsia" w:ascii="宋体" w:hAnsi="宋体" w:eastAsia="宋体" w:cs="宋体"/>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0.7米</w:t>
            </w:r>
            <w:r>
              <w:rPr>
                <w:rFonts w:hint="eastAsia" w:ascii="宋体" w:hAnsi="宋体" w:eastAsia="宋体" w:cs="宋体"/>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0.73米</w:t>
            </w:r>
          </w:p>
          <w:p w14:paraId="28BA46E4">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加粗桌腿，加固支撑。</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7CAFC197">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10个</w:t>
            </w:r>
          </w:p>
          <w:p w14:paraId="40F449A4">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p>
        </w:tc>
      </w:tr>
      <w:tr w14:paraId="65F99824">
        <w:tblPrEx>
          <w:tblCellMar>
            <w:top w:w="0" w:type="dxa"/>
            <w:left w:w="108" w:type="dxa"/>
            <w:bottom w:w="0" w:type="dxa"/>
            <w:right w:w="108" w:type="dxa"/>
          </w:tblCellMar>
        </w:tblPrEx>
        <w:trPr>
          <w:trHeight w:val="680"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14:paraId="18E4C235">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2274AD64">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凳子</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29F149E5">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尺寸：0.34米</w:t>
            </w:r>
            <w:r>
              <w:rPr>
                <w:rFonts w:hint="eastAsia" w:ascii="宋体" w:hAnsi="宋体" w:eastAsia="宋体" w:cs="宋体"/>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0.24米</w:t>
            </w:r>
            <w:r>
              <w:rPr>
                <w:rFonts w:hint="eastAsia" w:ascii="宋体" w:hAnsi="宋体" w:eastAsia="宋体" w:cs="宋体"/>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0.42米</w:t>
            </w:r>
          </w:p>
          <w:p w14:paraId="0948A7E6">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加粗凳腿，加固支撑。</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5CFE2760">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20个</w:t>
            </w:r>
          </w:p>
        </w:tc>
      </w:tr>
    </w:tbl>
    <w:p w14:paraId="5D804E63">
      <w:pPr>
        <w:spacing w:line="360" w:lineRule="auto"/>
        <w:rPr>
          <w:rFonts w:hint="eastAsia" w:ascii="宋体" w:hAnsi="宋体" w:eastAsia="宋体" w:cs="宋体"/>
          <w:b/>
          <w:bCs w:val="0"/>
          <w:sz w:val="24"/>
          <w:szCs w:val="18"/>
          <w:highlight w:val="none"/>
          <w:lang w:val="en-US" w:eastAsia="zh-CN"/>
        </w:rPr>
      </w:pPr>
    </w:p>
    <w:p w14:paraId="3C0EC5F5">
      <w:pPr>
        <w:spacing w:line="360" w:lineRule="auto"/>
        <w:rPr>
          <w:rFonts w:hint="eastAsia" w:ascii="宋体" w:hAnsi="宋体" w:eastAsia="宋体" w:cs="宋体"/>
          <w:b/>
          <w:bCs w:val="0"/>
          <w:sz w:val="24"/>
          <w:szCs w:val="18"/>
          <w:highlight w:val="none"/>
          <w:lang w:val="en-US" w:eastAsia="zh-CN"/>
        </w:rPr>
      </w:pPr>
      <w:r>
        <w:rPr>
          <w:rFonts w:hint="eastAsia" w:ascii="宋体" w:hAnsi="宋体" w:eastAsia="宋体" w:cs="宋体"/>
          <w:b/>
          <w:bCs w:val="0"/>
          <w:sz w:val="24"/>
          <w:szCs w:val="18"/>
          <w:highlight w:val="none"/>
          <w:lang w:val="en-US" w:eastAsia="zh-CN"/>
        </w:rPr>
        <w:t>三、报价要求</w:t>
      </w:r>
    </w:p>
    <w:p w14:paraId="0E057FDD">
      <w:pPr>
        <w:spacing w:line="360" w:lineRule="auto"/>
        <w:ind w:firstLine="437"/>
        <w:rPr>
          <w:rFonts w:hint="eastAsia" w:ascii="宋体" w:hAnsi="宋体" w:eastAsia="宋体" w:cs="宋体"/>
          <w:b w:val="0"/>
          <w:bCs/>
          <w:sz w:val="24"/>
          <w:szCs w:val="18"/>
          <w:highlight w:val="none"/>
          <w:lang w:val="en-US" w:eastAsia="zh-CN"/>
        </w:rPr>
      </w:pPr>
      <w:r>
        <w:rPr>
          <w:rFonts w:hint="eastAsia" w:ascii="宋体" w:hAnsi="宋体" w:eastAsia="宋体" w:cs="宋体"/>
          <w:b w:val="0"/>
          <w:bCs/>
          <w:sz w:val="24"/>
          <w:szCs w:val="18"/>
          <w:highlight w:val="none"/>
          <w:lang w:val="en-US" w:eastAsia="zh-CN"/>
        </w:rPr>
        <w:t>本项目报总价，即完成招标文件要求的一切内容，采购人后期不再追加任何费用，投标人自行考虑投标风险。</w:t>
      </w:r>
    </w:p>
    <w:p w14:paraId="0844CC17">
      <w:pPr>
        <w:spacing w:line="360" w:lineRule="auto"/>
        <w:rPr>
          <w:rFonts w:hint="eastAsia" w:ascii="宋体" w:hAnsi="宋体" w:eastAsia="宋体" w:cs="宋体"/>
          <w:b/>
          <w:bCs w:val="0"/>
          <w:sz w:val="24"/>
          <w:szCs w:val="18"/>
          <w:highlight w:val="none"/>
          <w:lang w:val="en-US" w:eastAsia="zh-CN"/>
        </w:rPr>
      </w:pPr>
      <w:r>
        <w:rPr>
          <w:rFonts w:hint="eastAsia" w:ascii="宋体" w:hAnsi="宋体" w:eastAsia="宋体" w:cs="宋体"/>
          <w:b/>
          <w:bCs w:val="0"/>
          <w:sz w:val="24"/>
          <w:szCs w:val="18"/>
          <w:highlight w:val="none"/>
          <w:lang w:val="en-US" w:eastAsia="zh-CN"/>
        </w:rPr>
        <w:t>四、其他要求</w:t>
      </w:r>
    </w:p>
    <w:p w14:paraId="166A4A77">
      <w:pPr>
        <w:spacing w:line="360" w:lineRule="auto"/>
        <w:ind w:firstLine="437"/>
        <w:rPr>
          <w:rFonts w:hint="eastAsia" w:ascii="宋体" w:hAnsi="宋体" w:eastAsia="宋体" w:cs="宋体"/>
          <w:b w:val="0"/>
          <w:bCs/>
          <w:sz w:val="24"/>
          <w:szCs w:val="18"/>
          <w:highlight w:val="none"/>
          <w:lang w:val="en-US" w:eastAsia="zh-CN"/>
        </w:rPr>
      </w:pPr>
      <w:r>
        <w:rPr>
          <w:rFonts w:hint="eastAsia" w:ascii="宋体" w:hAnsi="宋体" w:eastAsia="宋体" w:cs="宋体"/>
          <w:b w:val="0"/>
          <w:bCs/>
          <w:sz w:val="24"/>
          <w:szCs w:val="18"/>
          <w:highlight w:val="none"/>
          <w:lang w:val="en-US" w:eastAsia="zh-CN"/>
        </w:rPr>
        <w:t>1、</w:t>
      </w:r>
      <w:r>
        <w:rPr>
          <w:rFonts w:hint="eastAsia" w:ascii="宋体" w:hAnsi="宋体" w:eastAsia="宋体" w:cs="宋体"/>
          <w:b w:val="0"/>
          <w:bCs/>
          <w:sz w:val="24"/>
          <w:szCs w:val="18"/>
          <w:highlight w:val="none"/>
          <w:lang w:val="en-US" w:eastAsia="zh-CN"/>
        </w:rPr>
        <w:tab/>
      </w:r>
      <w:r>
        <w:rPr>
          <w:rFonts w:hint="eastAsia" w:ascii="宋体" w:hAnsi="宋体" w:eastAsia="宋体" w:cs="宋体"/>
          <w:b w:val="0"/>
          <w:bCs/>
          <w:sz w:val="24"/>
          <w:szCs w:val="18"/>
          <w:highlight w:val="none"/>
          <w:lang w:val="en-US" w:eastAsia="zh-CN"/>
        </w:rPr>
        <w:t>付款方式：验收合格后一次性付清合同款。</w:t>
      </w:r>
    </w:p>
    <w:p w14:paraId="025562BA">
      <w:pPr>
        <w:spacing w:line="360" w:lineRule="auto"/>
        <w:ind w:firstLine="437"/>
        <w:rPr>
          <w:rFonts w:hint="eastAsia" w:ascii="宋体" w:hAnsi="宋体" w:eastAsia="宋体" w:cs="宋体"/>
          <w:b w:val="0"/>
          <w:bCs/>
          <w:sz w:val="24"/>
          <w:szCs w:val="18"/>
          <w:highlight w:val="none"/>
          <w:lang w:val="en-US" w:eastAsia="zh-CN"/>
        </w:rPr>
      </w:pPr>
      <w:r>
        <w:rPr>
          <w:rFonts w:hint="eastAsia" w:ascii="宋体" w:hAnsi="宋体" w:eastAsia="宋体" w:cs="宋体"/>
          <w:b w:val="0"/>
          <w:bCs/>
          <w:sz w:val="24"/>
          <w:szCs w:val="18"/>
          <w:highlight w:val="none"/>
          <w:lang w:val="en-US" w:eastAsia="zh-CN"/>
        </w:rPr>
        <w:t>2、</w:t>
      </w:r>
      <w:r>
        <w:rPr>
          <w:rFonts w:hint="eastAsia" w:ascii="宋体" w:hAnsi="宋体" w:eastAsia="宋体" w:cs="宋体"/>
          <w:b w:val="0"/>
          <w:bCs/>
          <w:sz w:val="24"/>
          <w:szCs w:val="18"/>
          <w:highlight w:val="none"/>
          <w:lang w:val="en-US" w:eastAsia="zh-CN"/>
        </w:rPr>
        <w:tab/>
      </w:r>
      <w:r>
        <w:rPr>
          <w:rFonts w:hint="eastAsia" w:ascii="宋体" w:hAnsi="宋体" w:eastAsia="宋体" w:cs="宋体"/>
          <w:b w:val="0"/>
          <w:bCs/>
          <w:sz w:val="24"/>
          <w:szCs w:val="18"/>
          <w:highlight w:val="none"/>
          <w:lang w:val="en-US" w:eastAsia="zh-CN"/>
        </w:rPr>
        <w:t>供货及安装地点：安徽交通职业技术学院，采购人指定地点。</w:t>
      </w:r>
    </w:p>
    <w:p w14:paraId="1EC46654">
      <w:pPr>
        <w:spacing w:line="360" w:lineRule="auto"/>
        <w:ind w:firstLine="437"/>
        <w:rPr>
          <w:rFonts w:hint="eastAsia" w:ascii="宋体" w:hAnsi="宋体" w:eastAsia="宋体" w:cs="宋体"/>
          <w:b w:val="0"/>
          <w:bCs/>
          <w:sz w:val="24"/>
          <w:szCs w:val="18"/>
          <w:highlight w:val="none"/>
          <w:lang w:val="en-US" w:eastAsia="zh-CN"/>
        </w:rPr>
      </w:pPr>
      <w:r>
        <w:rPr>
          <w:rFonts w:hint="eastAsia" w:ascii="宋体" w:hAnsi="宋体" w:eastAsia="宋体" w:cs="宋体"/>
          <w:b w:val="0"/>
          <w:bCs/>
          <w:sz w:val="24"/>
          <w:szCs w:val="18"/>
          <w:highlight w:val="none"/>
          <w:lang w:val="en-US" w:eastAsia="zh-CN"/>
        </w:rPr>
        <w:t>3、</w:t>
      </w:r>
      <w:r>
        <w:rPr>
          <w:rFonts w:hint="eastAsia" w:ascii="宋体" w:hAnsi="宋体" w:eastAsia="宋体" w:cs="宋体"/>
          <w:b w:val="0"/>
          <w:bCs/>
          <w:sz w:val="24"/>
          <w:szCs w:val="18"/>
          <w:highlight w:val="none"/>
          <w:lang w:val="en-US" w:eastAsia="zh-CN"/>
        </w:rPr>
        <w:tab/>
      </w:r>
      <w:r>
        <w:rPr>
          <w:rFonts w:hint="eastAsia" w:ascii="宋体" w:hAnsi="宋体" w:eastAsia="宋体" w:cs="宋体"/>
          <w:b w:val="0"/>
          <w:bCs/>
          <w:sz w:val="24"/>
          <w:szCs w:val="18"/>
          <w:highlight w:val="none"/>
          <w:lang w:val="en-US" w:eastAsia="zh-CN"/>
        </w:rPr>
        <w:t>供货及安装期限：</w:t>
      </w:r>
      <w:r>
        <w:rPr>
          <w:rFonts w:hint="eastAsia" w:ascii="宋体" w:hAnsi="宋体" w:eastAsia="宋体" w:cs="宋体"/>
          <w:b w:val="0"/>
          <w:bCs w:val="0"/>
          <w:sz w:val="24"/>
          <w:highlight w:val="none"/>
        </w:rPr>
        <w:t>源网荷储一体化技术与应用实训平台合同生效后10日内完成供货及安装，其他产品合同生效后30日内完成供货及安装。</w:t>
      </w:r>
    </w:p>
    <w:p w14:paraId="1932D60D">
      <w:pPr>
        <w:spacing w:line="360" w:lineRule="auto"/>
        <w:ind w:firstLine="437"/>
        <w:rPr>
          <w:rFonts w:hint="eastAsia" w:ascii="宋体" w:hAnsi="宋体" w:eastAsia="宋体" w:cs="宋体"/>
          <w:b w:val="0"/>
          <w:bCs/>
          <w:sz w:val="24"/>
          <w:szCs w:val="18"/>
          <w:highlight w:val="none"/>
          <w:lang w:val="en-US" w:eastAsia="zh-CN"/>
        </w:rPr>
      </w:pPr>
      <w:r>
        <w:rPr>
          <w:rFonts w:hint="eastAsia" w:ascii="宋体" w:hAnsi="宋体" w:eastAsia="宋体" w:cs="宋体"/>
          <w:b w:val="0"/>
          <w:bCs/>
          <w:sz w:val="24"/>
          <w:szCs w:val="18"/>
          <w:highlight w:val="none"/>
          <w:lang w:val="en-US" w:eastAsia="zh-CN"/>
        </w:rPr>
        <w:t>4、</w:t>
      </w:r>
      <w:r>
        <w:rPr>
          <w:rFonts w:hint="eastAsia" w:ascii="宋体" w:hAnsi="宋体" w:eastAsia="宋体" w:cs="宋体"/>
          <w:b w:val="0"/>
          <w:bCs/>
          <w:sz w:val="24"/>
          <w:szCs w:val="18"/>
          <w:highlight w:val="none"/>
          <w:lang w:val="en-US" w:eastAsia="zh-CN"/>
        </w:rPr>
        <w:tab/>
      </w:r>
      <w:r>
        <w:rPr>
          <w:rFonts w:hint="eastAsia" w:ascii="宋体" w:hAnsi="宋体" w:eastAsia="宋体" w:cs="宋体"/>
          <w:b w:val="0"/>
          <w:bCs/>
          <w:sz w:val="24"/>
          <w:szCs w:val="18"/>
          <w:highlight w:val="none"/>
          <w:lang w:val="en-US" w:eastAsia="zh-CN"/>
        </w:rPr>
        <w:t>免费质保期：验收合格之日起3年。</w:t>
      </w:r>
    </w:p>
    <w:p w14:paraId="699E54B2">
      <w:pPr>
        <w:spacing w:line="360" w:lineRule="auto"/>
        <w:ind w:firstLine="437"/>
        <w:rPr>
          <w:rFonts w:hint="eastAsia" w:ascii="宋体" w:hAnsi="宋体" w:eastAsia="宋体" w:cs="宋体"/>
          <w:b w:val="0"/>
          <w:bCs/>
          <w:sz w:val="24"/>
          <w:szCs w:val="18"/>
          <w:highlight w:val="none"/>
          <w:lang w:val="en-US" w:eastAsia="zh-CN"/>
        </w:rPr>
      </w:pPr>
      <w:r>
        <w:rPr>
          <w:rFonts w:hint="eastAsia" w:ascii="宋体" w:hAnsi="宋体" w:eastAsia="宋体" w:cs="宋体"/>
          <w:b w:val="0"/>
          <w:bCs/>
          <w:sz w:val="24"/>
          <w:szCs w:val="18"/>
          <w:highlight w:val="none"/>
          <w:lang w:val="en-US" w:eastAsia="zh-CN"/>
        </w:rPr>
        <w:t>5、售后服务</w:t>
      </w:r>
    </w:p>
    <w:p w14:paraId="019D172A">
      <w:pPr>
        <w:spacing w:line="360" w:lineRule="auto"/>
        <w:ind w:firstLine="437"/>
        <w:rPr>
          <w:rFonts w:hint="eastAsia" w:ascii="宋体" w:hAnsi="宋体" w:eastAsia="宋体" w:cs="宋体"/>
          <w:b w:val="0"/>
          <w:bCs/>
          <w:sz w:val="24"/>
          <w:szCs w:val="18"/>
          <w:highlight w:val="none"/>
          <w:lang w:val="en-US" w:eastAsia="zh-CN"/>
        </w:rPr>
      </w:pPr>
      <w:r>
        <w:rPr>
          <w:rFonts w:hint="eastAsia" w:ascii="宋体" w:hAnsi="宋体" w:eastAsia="宋体" w:cs="宋体"/>
          <w:b w:val="0"/>
          <w:bCs/>
          <w:sz w:val="24"/>
          <w:szCs w:val="18"/>
          <w:highlight w:val="none"/>
          <w:lang w:val="en-US" w:eastAsia="zh-CN"/>
        </w:rPr>
        <w:t>（1）投标人提供设备的终身维修。</w:t>
      </w:r>
    </w:p>
    <w:p w14:paraId="5B7558FC">
      <w:pPr>
        <w:spacing w:line="360" w:lineRule="auto"/>
        <w:ind w:firstLine="437"/>
        <w:rPr>
          <w:rFonts w:hint="eastAsia" w:ascii="宋体" w:hAnsi="宋体" w:eastAsia="宋体" w:cs="宋体"/>
          <w:b w:val="0"/>
          <w:bCs/>
          <w:sz w:val="24"/>
          <w:szCs w:val="18"/>
          <w:highlight w:val="none"/>
          <w:lang w:val="en-US" w:eastAsia="zh-CN"/>
        </w:rPr>
      </w:pPr>
      <w:r>
        <w:rPr>
          <w:rFonts w:hint="eastAsia" w:ascii="宋体" w:hAnsi="宋体" w:eastAsia="宋体" w:cs="宋体"/>
          <w:b w:val="0"/>
          <w:bCs/>
          <w:sz w:val="24"/>
          <w:szCs w:val="18"/>
          <w:highlight w:val="none"/>
          <w:lang w:val="en-US" w:eastAsia="zh-CN"/>
        </w:rPr>
        <w:t>（2）根据投标人向采购人所提供的货物的型号、应用范围以及应采购人要求，投标人应向采购人提供全面、有效、及时的技术支持和服务。</w:t>
      </w:r>
    </w:p>
    <w:p w14:paraId="474F4FA1">
      <w:pPr>
        <w:spacing w:line="360" w:lineRule="auto"/>
        <w:ind w:firstLine="437"/>
        <w:rPr>
          <w:rFonts w:hint="eastAsia" w:ascii="宋体" w:hAnsi="宋体" w:eastAsia="宋体" w:cs="宋体"/>
          <w:b w:val="0"/>
          <w:bCs/>
          <w:sz w:val="24"/>
          <w:szCs w:val="18"/>
          <w:highlight w:val="none"/>
          <w:lang w:val="en-US" w:eastAsia="zh-CN"/>
        </w:rPr>
      </w:pPr>
      <w:r>
        <w:rPr>
          <w:rFonts w:hint="eastAsia" w:ascii="宋体" w:hAnsi="宋体" w:eastAsia="宋体" w:cs="宋体"/>
          <w:b w:val="0"/>
          <w:bCs/>
          <w:sz w:val="24"/>
          <w:szCs w:val="18"/>
          <w:highlight w:val="none"/>
          <w:lang w:val="en-US" w:eastAsia="zh-CN"/>
        </w:rPr>
        <w:t>（3）在到货后验收使用期间，投标人应提供7×24小时的技术响应服务，若出现与投标人所提供的货物有关的问题或故障，投标人应指派有经验的技术人员，在接到采购人通知的8小时内赶到现场，进行更换和维修，费用包含在在本次报价中。</w:t>
      </w:r>
    </w:p>
    <w:p w14:paraId="1DC17AC8">
      <w:pPr>
        <w:spacing w:line="360" w:lineRule="auto"/>
        <w:ind w:firstLine="437"/>
        <w:rPr>
          <w:rFonts w:hint="eastAsia" w:ascii="宋体" w:hAnsi="宋体" w:eastAsia="宋体" w:cs="宋体"/>
          <w:b w:val="0"/>
          <w:bCs/>
          <w:sz w:val="24"/>
          <w:szCs w:val="18"/>
          <w:highlight w:val="none"/>
          <w:lang w:val="en-US" w:eastAsia="zh-CN"/>
        </w:rPr>
      </w:pPr>
      <w:r>
        <w:rPr>
          <w:rFonts w:hint="eastAsia" w:ascii="宋体" w:hAnsi="宋体" w:eastAsia="宋体" w:cs="宋体"/>
          <w:b w:val="0"/>
          <w:bCs/>
          <w:sz w:val="24"/>
          <w:szCs w:val="18"/>
          <w:highlight w:val="none"/>
          <w:lang w:val="en-US" w:eastAsia="zh-CN"/>
        </w:rPr>
        <w:t xml:space="preserve">（4）在质保期内，投标人应提供7×24小时的技术响应服务。质保期内出现的任何与应答货物相关的问题或故障，投标人应在接到采购人通知的48小时内维修或更换，费用包含在在本次报价中。 </w:t>
      </w:r>
    </w:p>
    <w:p w14:paraId="41E34B5A">
      <w:pPr>
        <w:spacing w:line="360" w:lineRule="auto"/>
        <w:ind w:firstLine="437"/>
        <w:rPr>
          <w:rFonts w:hint="eastAsia" w:ascii="宋体" w:hAnsi="宋体" w:eastAsia="宋体" w:cs="宋体"/>
          <w:b w:val="0"/>
          <w:bCs/>
          <w:sz w:val="24"/>
          <w:szCs w:val="18"/>
          <w:highlight w:val="none"/>
          <w:lang w:val="en-US" w:eastAsia="zh-CN"/>
        </w:rPr>
      </w:pPr>
      <w:r>
        <w:rPr>
          <w:rFonts w:hint="eastAsia" w:ascii="宋体" w:hAnsi="宋体" w:eastAsia="宋体" w:cs="宋体"/>
          <w:b w:val="0"/>
          <w:bCs/>
          <w:sz w:val="24"/>
          <w:szCs w:val="18"/>
          <w:highlight w:val="none"/>
          <w:lang w:val="en-US" w:eastAsia="zh-CN"/>
        </w:rPr>
        <w:t>（5）投标人应在技术建议书中针对本项目详细说明技术指导和技术支持的范围和程度，费用包含在在本次报价中。</w:t>
      </w:r>
    </w:p>
    <w:p w14:paraId="4564C955">
      <w:pPr>
        <w:spacing w:line="360" w:lineRule="auto"/>
        <w:ind w:firstLine="437"/>
        <w:rPr>
          <w:rFonts w:hint="eastAsia" w:ascii="宋体" w:hAnsi="宋体" w:eastAsia="宋体" w:cs="宋体"/>
          <w:b w:val="0"/>
          <w:bCs/>
          <w:sz w:val="24"/>
          <w:szCs w:val="18"/>
          <w:highlight w:val="none"/>
          <w:lang w:val="en-US" w:eastAsia="zh-CN"/>
        </w:rPr>
      </w:pPr>
    </w:p>
    <w:p w14:paraId="2AF89C71">
      <w:pPr>
        <w:spacing w:line="360" w:lineRule="auto"/>
        <w:jc w:val="center"/>
        <w:outlineLvl w:val="0"/>
        <w:rPr>
          <w:rFonts w:hint="eastAsia" w:ascii="宋体" w:hAnsi="宋体" w:eastAsia="宋体" w:cs="宋体"/>
          <w:b/>
          <w:sz w:val="28"/>
          <w:highlight w:val="none"/>
        </w:rPr>
      </w:pPr>
      <w:bookmarkStart w:id="56" w:name="_Toc63440141"/>
      <w:bookmarkStart w:id="57" w:name="_Toc25318"/>
      <w:r>
        <w:rPr>
          <w:rFonts w:hint="eastAsia" w:ascii="宋体" w:hAnsi="宋体" w:eastAsia="宋体" w:cs="宋体"/>
          <w:b/>
          <w:sz w:val="28"/>
          <w:highlight w:val="none"/>
        </w:rPr>
        <w:t>第四章  评标方法和标准（最低评标价法）</w:t>
      </w:r>
      <w:bookmarkEnd w:id="56"/>
      <w:bookmarkEnd w:id="57"/>
    </w:p>
    <w:p w14:paraId="79248762">
      <w:pPr>
        <w:spacing w:line="360" w:lineRule="auto"/>
        <w:ind w:firstLine="437"/>
        <w:outlineLvl w:val="1"/>
        <w:rPr>
          <w:rFonts w:hint="eastAsia" w:ascii="宋体" w:hAnsi="宋体" w:eastAsia="宋体" w:cs="宋体"/>
          <w:b/>
          <w:sz w:val="24"/>
          <w:highlight w:val="none"/>
        </w:rPr>
      </w:pPr>
      <w:r>
        <w:rPr>
          <w:rFonts w:hint="eastAsia" w:ascii="宋体" w:hAnsi="宋体" w:eastAsia="宋体" w:cs="宋体"/>
          <w:b/>
          <w:sz w:val="24"/>
          <w:highlight w:val="none"/>
        </w:rPr>
        <w:t>一、总则</w:t>
      </w:r>
    </w:p>
    <w:p w14:paraId="568427D8">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本项目将按照招标文件第二章 投标人须知的相关要求及本章的规定评标。</w:t>
      </w:r>
    </w:p>
    <w:p w14:paraId="31E137A1">
      <w:pPr>
        <w:spacing w:line="360" w:lineRule="auto"/>
        <w:ind w:firstLine="437"/>
        <w:outlineLvl w:val="1"/>
        <w:rPr>
          <w:rFonts w:hint="eastAsia" w:ascii="宋体" w:hAnsi="宋体" w:eastAsia="宋体" w:cs="宋体"/>
          <w:b/>
          <w:sz w:val="24"/>
          <w:highlight w:val="none"/>
        </w:rPr>
      </w:pPr>
      <w:r>
        <w:rPr>
          <w:rFonts w:hint="eastAsia" w:ascii="宋体" w:hAnsi="宋体" w:eastAsia="宋体" w:cs="宋体"/>
          <w:b/>
          <w:sz w:val="24"/>
          <w:highlight w:val="none"/>
        </w:rPr>
        <w:t>二、评标方法</w:t>
      </w:r>
    </w:p>
    <w:p w14:paraId="23337C79">
      <w:pPr>
        <w:spacing w:line="360" w:lineRule="auto"/>
        <w:ind w:firstLine="435"/>
        <w:outlineLvl w:val="2"/>
        <w:rPr>
          <w:rFonts w:hint="eastAsia" w:ascii="宋体" w:hAnsi="宋体" w:eastAsia="宋体" w:cs="宋体"/>
          <w:sz w:val="24"/>
          <w:highlight w:val="none"/>
        </w:rPr>
      </w:pPr>
      <w:r>
        <w:rPr>
          <w:rFonts w:hint="eastAsia" w:ascii="宋体" w:hAnsi="宋体" w:eastAsia="宋体" w:cs="宋体"/>
          <w:sz w:val="24"/>
          <w:highlight w:val="none"/>
        </w:rPr>
        <w:t>2.1资格审查</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2010"/>
        <w:gridCol w:w="2103"/>
        <w:gridCol w:w="5007"/>
        <w:gridCol w:w="28"/>
      </w:tblGrid>
      <w:tr w14:paraId="5AE7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5000" w:type="pct"/>
            <w:gridSpan w:val="5"/>
            <w:tcBorders>
              <w:bottom w:val="single" w:color="auto" w:sz="4" w:space="0"/>
            </w:tcBorders>
            <w:vAlign w:val="center"/>
          </w:tcPr>
          <w:p w14:paraId="7840EF9C">
            <w:pPr>
              <w:adjustRightInd w:val="0"/>
              <w:snapToGrid w:val="0"/>
              <w:spacing w:line="360" w:lineRule="auto"/>
              <w:ind w:right="-10"/>
              <w:jc w:val="center"/>
              <w:rPr>
                <w:rFonts w:hint="eastAsia" w:ascii="宋体" w:hAnsi="宋体" w:eastAsia="宋体" w:cs="宋体"/>
                <w:sz w:val="24"/>
                <w:highlight w:val="none"/>
              </w:rPr>
            </w:pPr>
            <w:r>
              <w:rPr>
                <w:rFonts w:hint="eastAsia" w:ascii="宋体" w:hAnsi="宋体" w:eastAsia="宋体" w:cs="宋体"/>
                <w:b/>
                <w:sz w:val="24"/>
                <w:szCs w:val="22"/>
                <w:highlight w:val="none"/>
              </w:rPr>
              <w:t>资格审查表</w:t>
            </w:r>
          </w:p>
        </w:tc>
      </w:tr>
      <w:tr w14:paraId="3A7A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pct"/>
          <w:trHeight w:val="543" w:hRule="atLeast"/>
          <w:jc w:val="center"/>
        </w:trPr>
        <w:tc>
          <w:tcPr>
            <w:tcW w:w="407" w:type="pct"/>
            <w:tcBorders>
              <w:bottom w:val="single" w:color="auto" w:sz="4" w:space="0"/>
            </w:tcBorders>
            <w:vAlign w:val="center"/>
          </w:tcPr>
          <w:p w14:paraId="7D607695">
            <w:pPr>
              <w:adjustRightInd w:val="0"/>
              <w:snapToGrid w:val="0"/>
              <w:spacing w:line="360" w:lineRule="auto"/>
              <w:ind w:right="-10"/>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1009" w:type="pct"/>
            <w:tcBorders>
              <w:bottom w:val="single" w:color="auto" w:sz="4" w:space="0"/>
            </w:tcBorders>
            <w:vAlign w:val="center"/>
          </w:tcPr>
          <w:p w14:paraId="340B5A05">
            <w:pPr>
              <w:pStyle w:val="31"/>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kern w:val="2"/>
                <w:szCs w:val="24"/>
                <w:highlight w:val="none"/>
              </w:rPr>
            </w:pPr>
            <w:r>
              <w:rPr>
                <w:rFonts w:hint="eastAsia" w:ascii="宋体" w:hAnsi="宋体" w:eastAsia="宋体" w:cs="宋体"/>
                <w:kern w:val="2"/>
                <w:szCs w:val="24"/>
                <w:highlight w:val="none"/>
              </w:rPr>
              <w:t>评审指标</w:t>
            </w:r>
          </w:p>
        </w:tc>
        <w:tc>
          <w:tcPr>
            <w:tcW w:w="1056" w:type="pct"/>
            <w:tcBorders>
              <w:bottom w:val="single" w:color="auto" w:sz="4" w:space="0"/>
            </w:tcBorders>
            <w:vAlign w:val="center"/>
          </w:tcPr>
          <w:p w14:paraId="5D73977D">
            <w:pPr>
              <w:adjustRightInd w:val="0"/>
              <w:snapToGrid w:val="0"/>
              <w:spacing w:line="360" w:lineRule="auto"/>
              <w:ind w:right="-10"/>
              <w:jc w:val="center"/>
              <w:rPr>
                <w:rFonts w:hint="eastAsia" w:ascii="宋体" w:hAnsi="宋体" w:eastAsia="宋体" w:cs="宋体"/>
                <w:sz w:val="24"/>
                <w:highlight w:val="none"/>
              </w:rPr>
            </w:pPr>
            <w:r>
              <w:rPr>
                <w:rFonts w:hint="eastAsia" w:ascii="宋体" w:hAnsi="宋体" w:eastAsia="宋体" w:cs="宋体"/>
                <w:sz w:val="24"/>
                <w:highlight w:val="none"/>
              </w:rPr>
              <w:t>评审标准</w:t>
            </w:r>
          </w:p>
        </w:tc>
        <w:tc>
          <w:tcPr>
            <w:tcW w:w="2514" w:type="pct"/>
            <w:tcBorders>
              <w:bottom w:val="single" w:color="auto" w:sz="4" w:space="0"/>
            </w:tcBorders>
            <w:vAlign w:val="center"/>
          </w:tcPr>
          <w:p w14:paraId="6C01F606">
            <w:pPr>
              <w:adjustRightInd w:val="0"/>
              <w:snapToGrid w:val="0"/>
              <w:spacing w:line="360" w:lineRule="auto"/>
              <w:ind w:right="-10"/>
              <w:jc w:val="center"/>
              <w:rPr>
                <w:rFonts w:hint="eastAsia" w:ascii="宋体" w:hAnsi="宋体" w:eastAsia="宋体" w:cs="宋体"/>
                <w:sz w:val="24"/>
                <w:highlight w:val="none"/>
              </w:rPr>
            </w:pPr>
            <w:r>
              <w:rPr>
                <w:rFonts w:hint="eastAsia" w:ascii="宋体" w:hAnsi="宋体" w:eastAsia="宋体" w:cs="宋体"/>
                <w:sz w:val="24"/>
                <w:highlight w:val="none"/>
              </w:rPr>
              <w:t>格式及材料要求</w:t>
            </w:r>
          </w:p>
        </w:tc>
      </w:tr>
      <w:tr w14:paraId="6B20C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pct"/>
          <w:trHeight w:val="2108" w:hRule="atLeast"/>
          <w:jc w:val="center"/>
        </w:trPr>
        <w:tc>
          <w:tcPr>
            <w:tcW w:w="407" w:type="pct"/>
            <w:tcBorders>
              <w:bottom w:val="single" w:color="auto" w:sz="4" w:space="0"/>
            </w:tcBorders>
            <w:vAlign w:val="center"/>
          </w:tcPr>
          <w:p w14:paraId="328F35DD">
            <w:pPr>
              <w:adjustRightInd w:val="0"/>
              <w:snapToGrid w:val="0"/>
              <w:spacing w:line="360" w:lineRule="auto"/>
              <w:ind w:right="-1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009" w:type="pct"/>
            <w:tcBorders>
              <w:bottom w:val="single" w:color="auto" w:sz="4" w:space="0"/>
            </w:tcBorders>
            <w:vAlign w:val="center"/>
          </w:tcPr>
          <w:p w14:paraId="36E4404A">
            <w:pPr>
              <w:spacing w:after="50" w:line="360" w:lineRule="auto"/>
              <w:ind w:right="-10" w:rightChars="0"/>
              <w:jc w:val="center"/>
              <w:rPr>
                <w:rFonts w:hint="eastAsia" w:ascii="宋体" w:hAnsi="宋体" w:eastAsia="宋体" w:cs="宋体"/>
                <w:sz w:val="24"/>
                <w:szCs w:val="28"/>
                <w:highlight w:val="none"/>
              </w:rPr>
            </w:pPr>
            <w:r>
              <w:rPr>
                <w:rFonts w:hint="eastAsia" w:ascii="宋体" w:hAnsi="宋体" w:eastAsia="宋体" w:cs="宋体"/>
                <w:sz w:val="24"/>
                <w:szCs w:val="28"/>
                <w:highlight w:val="none"/>
              </w:rPr>
              <w:t>营业执照</w:t>
            </w:r>
          </w:p>
        </w:tc>
        <w:tc>
          <w:tcPr>
            <w:tcW w:w="1056" w:type="pct"/>
            <w:tcBorders>
              <w:bottom w:val="single" w:color="auto" w:sz="4" w:space="0"/>
            </w:tcBorders>
            <w:vAlign w:val="center"/>
          </w:tcPr>
          <w:p w14:paraId="6122A3AA">
            <w:pPr>
              <w:spacing w:after="50" w:line="360" w:lineRule="auto"/>
              <w:ind w:right="-10" w:rightChars="0"/>
              <w:jc w:val="center"/>
              <w:rPr>
                <w:rFonts w:hint="eastAsia" w:ascii="宋体" w:hAnsi="宋体" w:eastAsia="宋体" w:cs="宋体"/>
                <w:sz w:val="24"/>
                <w:szCs w:val="28"/>
                <w:highlight w:val="none"/>
              </w:rPr>
            </w:pPr>
            <w:r>
              <w:rPr>
                <w:rFonts w:hint="eastAsia" w:ascii="宋体" w:hAnsi="宋体" w:eastAsia="宋体" w:cs="宋体"/>
                <w:sz w:val="24"/>
                <w:szCs w:val="28"/>
                <w:highlight w:val="none"/>
              </w:rPr>
              <w:t>合法有效</w:t>
            </w:r>
          </w:p>
        </w:tc>
        <w:tc>
          <w:tcPr>
            <w:tcW w:w="2514" w:type="pct"/>
            <w:vAlign w:val="center"/>
          </w:tcPr>
          <w:p w14:paraId="221CFAA2">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提供有效的投标人营业执照（或事业单位法人登记证书）的扫描件，应完整地体现出营业执照（或事业单位法人登记证书）的全部内容。</w:t>
            </w:r>
          </w:p>
        </w:tc>
      </w:tr>
      <w:tr w14:paraId="4EB0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pct"/>
          <w:trHeight w:val="2207" w:hRule="atLeast"/>
          <w:jc w:val="center"/>
        </w:trPr>
        <w:tc>
          <w:tcPr>
            <w:tcW w:w="407" w:type="pct"/>
            <w:tcBorders>
              <w:bottom w:val="single" w:color="auto" w:sz="4" w:space="0"/>
            </w:tcBorders>
            <w:vAlign w:val="center"/>
          </w:tcPr>
          <w:p w14:paraId="2F3BB274">
            <w:pPr>
              <w:adjustRightInd w:val="0"/>
              <w:snapToGrid w:val="0"/>
              <w:spacing w:line="360" w:lineRule="auto"/>
              <w:ind w:right="-10"/>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1009" w:type="pct"/>
            <w:tcBorders>
              <w:bottom w:val="single" w:color="auto" w:sz="4" w:space="0"/>
            </w:tcBorders>
            <w:vAlign w:val="center"/>
          </w:tcPr>
          <w:p w14:paraId="79FBF2E5">
            <w:pPr>
              <w:spacing w:after="50" w:line="360" w:lineRule="auto"/>
              <w:ind w:right="-10" w:rightChars="0"/>
              <w:jc w:val="center"/>
              <w:rPr>
                <w:rFonts w:hint="eastAsia" w:ascii="宋体" w:hAnsi="宋体" w:eastAsia="宋体" w:cs="宋体"/>
                <w:sz w:val="24"/>
                <w:szCs w:val="28"/>
                <w:highlight w:val="none"/>
              </w:rPr>
            </w:pPr>
            <w:r>
              <w:rPr>
                <w:rFonts w:hint="eastAsia" w:ascii="宋体" w:hAnsi="宋体" w:eastAsia="宋体" w:cs="宋体"/>
                <w:sz w:val="24"/>
                <w:szCs w:val="18"/>
                <w:highlight w:val="none"/>
              </w:rPr>
              <w:t>不良信用记录查询</w:t>
            </w:r>
          </w:p>
        </w:tc>
        <w:tc>
          <w:tcPr>
            <w:tcW w:w="1056" w:type="pct"/>
            <w:tcBorders>
              <w:bottom w:val="single" w:color="auto" w:sz="4" w:space="0"/>
            </w:tcBorders>
            <w:vAlign w:val="center"/>
          </w:tcPr>
          <w:p w14:paraId="27CBD7F5">
            <w:pPr>
              <w:spacing w:after="50" w:line="360" w:lineRule="auto"/>
              <w:ind w:right="-10" w:rightChars="0"/>
              <w:jc w:val="center"/>
              <w:rPr>
                <w:rFonts w:hint="eastAsia" w:ascii="宋体" w:hAnsi="宋体" w:eastAsia="宋体" w:cs="宋体"/>
                <w:sz w:val="24"/>
                <w:szCs w:val="28"/>
                <w:highlight w:val="none"/>
              </w:rPr>
            </w:pPr>
            <w:r>
              <w:rPr>
                <w:rFonts w:hint="eastAsia" w:ascii="宋体" w:hAnsi="宋体" w:eastAsia="宋体" w:cs="宋体"/>
                <w:sz w:val="24"/>
                <w:szCs w:val="28"/>
                <w:highlight w:val="none"/>
              </w:rPr>
              <w:t>投标人不得存在投标人</w:t>
            </w:r>
            <w:r>
              <w:rPr>
                <w:rFonts w:hint="eastAsia" w:ascii="宋体" w:hAnsi="宋体" w:eastAsia="宋体" w:cs="宋体"/>
                <w:sz w:val="24"/>
                <w:highlight w:val="none"/>
              </w:rPr>
              <w:t>须知正文第19.2条</w:t>
            </w:r>
            <w:r>
              <w:rPr>
                <w:rFonts w:hint="eastAsia" w:ascii="宋体" w:hAnsi="宋体" w:eastAsia="宋体" w:cs="宋体"/>
                <w:sz w:val="24"/>
                <w:szCs w:val="28"/>
                <w:highlight w:val="none"/>
              </w:rPr>
              <w:t>中的</w:t>
            </w:r>
            <w:r>
              <w:rPr>
                <w:rFonts w:hint="eastAsia" w:ascii="宋体" w:hAnsi="宋体" w:eastAsia="宋体" w:cs="宋体"/>
                <w:sz w:val="24"/>
                <w:szCs w:val="18"/>
                <w:highlight w:val="none"/>
              </w:rPr>
              <w:t>不良信用记录情形</w:t>
            </w:r>
          </w:p>
        </w:tc>
        <w:tc>
          <w:tcPr>
            <w:tcW w:w="2514" w:type="pct"/>
            <w:tcBorders>
              <w:bottom w:val="single" w:color="auto" w:sz="4" w:space="0"/>
            </w:tcBorders>
            <w:vAlign w:val="center"/>
          </w:tcPr>
          <w:p w14:paraId="27CF9D10">
            <w:pPr>
              <w:adjustRightInd w:val="0"/>
              <w:snapToGrid w:val="0"/>
              <w:spacing w:line="360" w:lineRule="auto"/>
              <w:ind w:right="-10"/>
              <w:jc w:val="left"/>
              <w:rPr>
                <w:rFonts w:hint="eastAsia" w:ascii="宋体" w:hAnsi="宋体" w:eastAsia="宋体" w:cs="宋体"/>
                <w:sz w:val="24"/>
                <w:highlight w:val="none"/>
              </w:rPr>
            </w:pPr>
            <w:r>
              <w:rPr>
                <w:rFonts w:hint="eastAsia" w:ascii="宋体" w:hAnsi="宋体" w:eastAsia="宋体" w:cs="宋体"/>
                <w:sz w:val="24"/>
                <w:highlight w:val="none"/>
              </w:rPr>
              <w:t>详见投标人须知正文第19.2条要求</w:t>
            </w:r>
          </w:p>
          <w:p w14:paraId="093D4530">
            <w:pPr>
              <w:pStyle w:val="8"/>
              <w:rPr>
                <w:rFonts w:hint="eastAsia" w:ascii="宋体" w:hAnsi="宋体" w:eastAsia="宋体" w:cs="宋体"/>
                <w:sz w:val="24"/>
                <w:highlight w:val="none"/>
              </w:rPr>
            </w:pPr>
            <w:r>
              <w:rPr>
                <w:rFonts w:hint="eastAsia" w:ascii="宋体" w:hAnsi="宋体" w:eastAsia="宋体" w:cs="宋体"/>
                <w:sz w:val="24"/>
                <w:szCs w:val="24"/>
                <w:highlight w:val="none"/>
              </w:rPr>
              <w:t>注：如因信用信息查询渠道故障无法查询信息的，以投标人提供的“无重大违法记录声明函、无不良信用记录声明函”作为评审依据。</w:t>
            </w:r>
          </w:p>
        </w:tc>
      </w:tr>
      <w:tr w14:paraId="16439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pct"/>
          <w:trHeight w:val="2219" w:hRule="atLeast"/>
          <w:jc w:val="center"/>
        </w:trPr>
        <w:tc>
          <w:tcPr>
            <w:tcW w:w="407" w:type="pct"/>
            <w:tcBorders>
              <w:bottom w:val="single" w:color="auto" w:sz="4" w:space="0"/>
            </w:tcBorders>
            <w:vAlign w:val="center"/>
          </w:tcPr>
          <w:p w14:paraId="1AAD666D">
            <w:pPr>
              <w:adjustRightInd w:val="0"/>
              <w:snapToGrid w:val="0"/>
              <w:spacing w:line="360" w:lineRule="auto"/>
              <w:ind w:right="-10"/>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1009" w:type="pct"/>
            <w:tcBorders>
              <w:bottom w:val="single" w:color="auto" w:sz="4" w:space="0"/>
            </w:tcBorders>
            <w:vAlign w:val="center"/>
          </w:tcPr>
          <w:p w14:paraId="74E49A33">
            <w:pPr>
              <w:spacing w:after="50" w:line="360" w:lineRule="auto"/>
              <w:ind w:right="-10" w:rightChars="0"/>
              <w:jc w:val="center"/>
              <w:rPr>
                <w:rFonts w:hint="eastAsia" w:ascii="宋体" w:hAnsi="宋体" w:eastAsia="宋体" w:cs="宋体"/>
                <w:sz w:val="24"/>
                <w:szCs w:val="18"/>
                <w:highlight w:val="none"/>
              </w:rPr>
            </w:pPr>
            <w:r>
              <w:rPr>
                <w:rFonts w:hint="eastAsia" w:ascii="宋体" w:hAnsi="宋体" w:eastAsia="宋体" w:cs="宋体"/>
                <w:sz w:val="24"/>
                <w:szCs w:val="28"/>
                <w:highlight w:val="none"/>
              </w:rPr>
              <w:t>无重大违法记录声明函、无不良信用记录声明函</w:t>
            </w:r>
          </w:p>
        </w:tc>
        <w:tc>
          <w:tcPr>
            <w:tcW w:w="1056" w:type="pct"/>
            <w:tcBorders>
              <w:bottom w:val="single" w:color="auto" w:sz="4" w:space="0"/>
            </w:tcBorders>
            <w:vAlign w:val="center"/>
          </w:tcPr>
          <w:p w14:paraId="354A3DB3">
            <w:pPr>
              <w:spacing w:after="50" w:line="360" w:lineRule="auto"/>
              <w:ind w:right="-10" w:rightChars="0"/>
              <w:jc w:val="center"/>
              <w:rPr>
                <w:rFonts w:hint="eastAsia" w:ascii="宋体" w:hAnsi="宋体" w:eastAsia="宋体" w:cs="宋体"/>
                <w:sz w:val="24"/>
                <w:szCs w:val="28"/>
                <w:highlight w:val="none"/>
              </w:rPr>
            </w:pPr>
            <w:r>
              <w:rPr>
                <w:rFonts w:hint="eastAsia" w:ascii="宋体" w:hAnsi="宋体" w:eastAsia="宋体" w:cs="宋体"/>
                <w:sz w:val="24"/>
                <w:szCs w:val="28"/>
                <w:highlight w:val="none"/>
              </w:rPr>
              <w:t>格式、填写要求符合招标文件规定并加盖投标人印章</w:t>
            </w:r>
          </w:p>
        </w:tc>
        <w:tc>
          <w:tcPr>
            <w:tcW w:w="2514" w:type="pct"/>
            <w:tcBorders>
              <w:bottom w:val="single" w:color="auto" w:sz="4" w:space="0"/>
            </w:tcBorders>
            <w:vAlign w:val="center"/>
          </w:tcPr>
          <w:p w14:paraId="1F10E6DF">
            <w:pPr>
              <w:adjustRightInd w:val="0"/>
              <w:snapToGrid w:val="0"/>
              <w:spacing w:line="360" w:lineRule="auto"/>
              <w:ind w:right="-10" w:rightChars="0"/>
              <w:jc w:val="left"/>
              <w:rPr>
                <w:rFonts w:hint="eastAsia" w:ascii="宋体" w:hAnsi="宋体" w:eastAsia="宋体" w:cs="宋体"/>
                <w:sz w:val="24"/>
                <w:highlight w:val="none"/>
              </w:rPr>
            </w:pPr>
            <w:r>
              <w:rPr>
                <w:rFonts w:hint="eastAsia" w:ascii="宋体" w:hAnsi="宋体" w:eastAsia="宋体" w:cs="宋体"/>
                <w:sz w:val="24"/>
                <w:highlight w:val="none"/>
              </w:rPr>
              <w:t>详见第六章投标文件格式</w:t>
            </w:r>
          </w:p>
        </w:tc>
      </w:tr>
    </w:tbl>
    <w:p w14:paraId="082536E3">
      <w:pPr>
        <w:spacing w:line="360" w:lineRule="auto"/>
        <w:ind w:firstLine="435"/>
        <w:rPr>
          <w:rFonts w:hint="eastAsia" w:ascii="宋体" w:hAnsi="宋体" w:eastAsia="宋体" w:cs="宋体"/>
          <w:sz w:val="24"/>
          <w:highlight w:val="none"/>
        </w:rPr>
      </w:pPr>
      <w:r>
        <w:rPr>
          <w:rFonts w:hint="eastAsia" w:ascii="宋体" w:hAnsi="宋体" w:eastAsia="宋体" w:cs="宋体"/>
          <w:b/>
          <w:bCs/>
          <w:sz w:val="24"/>
          <w:highlight w:val="none"/>
        </w:rPr>
        <w:t>资格审查指标通过标准：</w:t>
      </w:r>
      <w:r>
        <w:rPr>
          <w:rFonts w:hint="eastAsia" w:ascii="宋体" w:hAnsi="宋体" w:eastAsia="宋体" w:cs="宋体"/>
          <w:sz w:val="24"/>
          <w:highlight w:val="none"/>
        </w:rPr>
        <w:t>投标人必须通过资格审查表中的全部评审指标。</w:t>
      </w:r>
    </w:p>
    <w:p w14:paraId="2DEA5BFF">
      <w:pPr>
        <w:spacing w:line="360" w:lineRule="auto"/>
        <w:ind w:firstLine="435"/>
        <w:outlineLvl w:val="2"/>
        <w:rPr>
          <w:rFonts w:hint="eastAsia" w:ascii="宋体" w:hAnsi="宋体" w:eastAsia="宋体" w:cs="宋体"/>
          <w:sz w:val="24"/>
          <w:highlight w:val="none"/>
        </w:rPr>
      </w:pPr>
      <w:r>
        <w:rPr>
          <w:rFonts w:hint="eastAsia" w:ascii="宋体" w:hAnsi="宋体" w:eastAsia="宋体" w:cs="宋体"/>
          <w:sz w:val="24"/>
          <w:highlight w:val="none"/>
        </w:rPr>
        <w:t>2.2符合性审查</w:t>
      </w:r>
    </w:p>
    <w:p w14:paraId="680E6110">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评标委员会对通过资格审查的投标人的投标文件进行符合性审查，以确定其是否满足招标文件的实质性要求。符合性审查表如下：</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2475"/>
        <w:gridCol w:w="3638"/>
        <w:gridCol w:w="2967"/>
      </w:tblGrid>
      <w:tr w14:paraId="215F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2BE5BAAA">
            <w:pPr>
              <w:adjustRightInd w:val="0"/>
              <w:snapToGrid w:val="0"/>
              <w:spacing w:line="360" w:lineRule="auto"/>
              <w:ind w:right="-10"/>
              <w:jc w:val="center"/>
              <w:rPr>
                <w:rFonts w:hint="eastAsia" w:ascii="宋体" w:hAnsi="宋体" w:eastAsia="宋体" w:cs="宋体"/>
                <w:b/>
                <w:bCs/>
                <w:sz w:val="24"/>
                <w:highlight w:val="none"/>
              </w:rPr>
            </w:pPr>
            <w:r>
              <w:rPr>
                <w:rFonts w:hint="eastAsia" w:ascii="宋体" w:hAnsi="宋体" w:eastAsia="宋体" w:cs="宋体"/>
                <w:b/>
                <w:bCs/>
                <w:sz w:val="24"/>
                <w:highlight w:val="none"/>
              </w:rPr>
              <w:t>符合性审查表</w:t>
            </w:r>
          </w:p>
        </w:tc>
      </w:tr>
      <w:tr w14:paraId="6A8F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3" w:type="pct"/>
            <w:tcBorders>
              <w:bottom w:val="single" w:color="auto" w:sz="4" w:space="0"/>
            </w:tcBorders>
            <w:vAlign w:val="center"/>
          </w:tcPr>
          <w:p w14:paraId="0156B8EA">
            <w:pPr>
              <w:adjustRightInd w:val="0"/>
              <w:snapToGrid w:val="0"/>
              <w:spacing w:line="360" w:lineRule="auto"/>
              <w:ind w:right="-10"/>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1242" w:type="pct"/>
            <w:tcBorders>
              <w:bottom w:val="single" w:color="auto" w:sz="4" w:space="0"/>
            </w:tcBorders>
            <w:vAlign w:val="center"/>
          </w:tcPr>
          <w:p w14:paraId="4D541162">
            <w:pPr>
              <w:pStyle w:val="31"/>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kern w:val="2"/>
                <w:szCs w:val="24"/>
                <w:highlight w:val="none"/>
              </w:rPr>
            </w:pPr>
            <w:r>
              <w:rPr>
                <w:rFonts w:hint="eastAsia" w:ascii="宋体" w:hAnsi="宋体" w:eastAsia="宋体" w:cs="宋体"/>
                <w:kern w:val="2"/>
                <w:szCs w:val="24"/>
                <w:highlight w:val="none"/>
              </w:rPr>
              <w:t>评审指标</w:t>
            </w:r>
          </w:p>
        </w:tc>
        <w:tc>
          <w:tcPr>
            <w:tcW w:w="1826" w:type="pct"/>
            <w:tcBorders>
              <w:bottom w:val="single" w:color="auto" w:sz="4" w:space="0"/>
            </w:tcBorders>
            <w:vAlign w:val="center"/>
          </w:tcPr>
          <w:p w14:paraId="70A60F58">
            <w:pPr>
              <w:adjustRightInd w:val="0"/>
              <w:snapToGrid w:val="0"/>
              <w:spacing w:line="360" w:lineRule="auto"/>
              <w:ind w:right="-10"/>
              <w:jc w:val="center"/>
              <w:rPr>
                <w:rFonts w:hint="eastAsia" w:ascii="宋体" w:hAnsi="宋体" w:eastAsia="宋体" w:cs="宋体"/>
                <w:sz w:val="24"/>
                <w:highlight w:val="none"/>
              </w:rPr>
            </w:pPr>
            <w:r>
              <w:rPr>
                <w:rFonts w:hint="eastAsia" w:ascii="宋体" w:hAnsi="宋体" w:eastAsia="宋体" w:cs="宋体"/>
                <w:sz w:val="24"/>
                <w:highlight w:val="none"/>
              </w:rPr>
              <w:t>评审标准</w:t>
            </w:r>
          </w:p>
        </w:tc>
        <w:tc>
          <w:tcPr>
            <w:tcW w:w="1487" w:type="pct"/>
            <w:tcBorders>
              <w:bottom w:val="single" w:color="auto" w:sz="4" w:space="0"/>
            </w:tcBorders>
            <w:vAlign w:val="center"/>
          </w:tcPr>
          <w:p w14:paraId="089934F1">
            <w:pPr>
              <w:adjustRightInd w:val="0"/>
              <w:snapToGrid w:val="0"/>
              <w:spacing w:line="360" w:lineRule="auto"/>
              <w:ind w:right="-10"/>
              <w:jc w:val="center"/>
              <w:rPr>
                <w:rFonts w:hint="eastAsia" w:ascii="宋体" w:hAnsi="宋体" w:eastAsia="宋体" w:cs="宋体"/>
                <w:sz w:val="24"/>
                <w:highlight w:val="none"/>
              </w:rPr>
            </w:pPr>
            <w:r>
              <w:rPr>
                <w:rFonts w:hint="eastAsia" w:ascii="宋体" w:hAnsi="宋体" w:eastAsia="宋体" w:cs="宋体"/>
                <w:sz w:val="24"/>
                <w:highlight w:val="none"/>
              </w:rPr>
              <w:t>格式及材料要求</w:t>
            </w:r>
          </w:p>
        </w:tc>
      </w:tr>
      <w:tr w14:paraId="3454B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14:paraId="3C400CDD">
            <w:pPr>
              <w:adjustRightInd w:val="0"/>
              <w:snapToGrid w:val="0"/>
              <w:spacing w:line="360" w:lineRule="auto"/>
              <w:ind w:right="-1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242" w:type="pct"/>
            <w:vAlign w:val="center"/>
          </w:tcPr>
          <w:p w14:paraId="701C1E53">
            <w:pPr>
              <w:spacing w:after="50" w:line="360" w:lineRule="auto"/>
              <w:ind w:right="-10" w:rightChars="0"/>
              <w:jc w:val="center"/>
              <w:rPr>
                <w:rFonts w:hint="eastAsia" w:ascii="宋体" w:hAnsi="宋体" w:eastAsia="宋体" w:cs="宋体"/>
                <w:sz w:val="24"/>
                <w:szCs w:val="28"/>
                <w:highlight w:val="none"/>
              </w:rPr>
            </w:pPr>
            <w:r>
              <w:rPr>
                <w:rFonts w:hint="eastAsia" w:ascii="宋体" w:hAnsi="宋体" w:eastAsia="宋体" w:cs="宋体"/>
                <w:sz w:val="24"/>
                <w:highlight w:val="none"/>
              </w:rPr>
              <w:t>开标一览表</w:t>
            </w:r>
          </w:p>
        </w:tc>
        <w:tc>
          <w:tcPr>
            <w:tcW w:w="1826" w:type="pct"/>
            <w:vAlign w:val="center"/>
          </w:tcPr>
          <w:p w14:paraId="3BC37034">
            <w:pPr>
              <w:spacing w:after="50" w:line="360" w:lineRule="auto"/>
              <w:ind w:right="-10" w:rightChars="0"/>
              <w:jc w:val="center"/>
              <w:rPr>
                <w:rFonts w:hint="eastAsia" w:ascii="宋体" w:hAnsi="宋体" w:eastAsia="宋体" w:cs="宋体"/>
                <w:sz w:val="24"/>
                <w:szCs w:val="28"/>
                <w:highlight w:val="none"/>
              </w:rPr>
            </w:pPr>
            <w:r>
              <w:rPr>
                <w:rFonts w:hint="eastAsia" w:ascii="宋体" w:hAnsi="宋体" w:eastAsia="宋体" w:cs="宋体"/>
                <w:sz w:val="24"/>
                <w:szCs w:val="28"/>
                <w:highlight w:val="none"/>
              </w:rPr>
              <w:t>格式、填写要求符合招标文件规定并加盖投标人印章</w:t>
            </w:r>
          </w:p>
        </w:tc>
        <w:tc>
          <w:tcPr>
            <w:tcW w:w="1487" w:type="pct"/>
            <w:vAlign w:val="center"/>
          </w:tcPr>
          <w:p w14:paraId="28FBE8AD">
            <w:pPr>
              <w:adjustRightInd w:val="0"/>
              <w:snapToGrid w:val="0"/>
              <w:spacing w:line="360" w:lineRule="auto"/>
              <w:ind w:right="-10" w:rightChars="0"/>
              <w:jc w:val="center"/>
              <w:rPr>
                <w:rFonts w:hint="eastAsia" w:ascii="宋体" w:hAnsi="宋体" w:eastAsia="宋体" w:cs="宋体"/>
                <w:sz w:val="24"/>
                <w:highlight w:val="none"/>
              </w:rPr>
            </w:pPr>
            <w:r>
              <w:rPr>
                <w:rFonts w:hint="eastAsia" w:ascii="宋体" w:hAnsi="宋体" w:eastAsia="宋体" w:cs="宋体"/>
                <w:sz w:val="24"/>
                <w:highlight w:val="none"/>
              </w:rPr>
              <w:t>详见第六章投标文件格式</w:t>
            </w:r>
          </w:p>
        </w:tc>
      </w:tr>
      <w:tr w14:paraId="134F7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14:paraId="06601270">
            <w:pPr>
              <w:adjustRightInd w:val="0"/>
              <w:snapToGrid w:val="0"/>
              <w:spacing w:line="360" w:lineRule="auto"/>
              <w:ind w:right="-10"/>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1242" w:type="pct"/>
            <w:vAlign w:val="center"/>
          </w:tcPr>
          <w:p w14:paraId="1F73AFB7">
            <w:pPr>
              <w:spacing w:after="50" w:line="360" w:lineRule="auto"/>
              <w:ind w:right="-10" w:rightChars="0"/>
              <w:jc w:val="center"/>
              <w:rPr>
                <w:rFonts w:hint="eastAsia" w:ascii="宋体" w:hAnsi="宋体" w:eastAsia="宋体" w:cs="宋体"/>
                <w:sz w:val="24"/>
                <w:szCs w:val="28"/>
                <w:highlight w:val="none"/>
              </w:rPr>
            </w:pPr>
            <w:r>
              <w:rPr>
                <w:rFonts w:hint="eastAsia" w:ascii="宋体" w:hAnsi="宋体" w:eastAsia="宋体" w:cs="宋体"/>
                <w:sz w:val="24"/>
                <w:szCs w:val="28"/>
                <w:highlight w:val="none"/>
              </w:rPr>
              <w:t>投标函</w:t>
            </w:r>
          </w:p>
        </w:tc>
        <w:tc>
          <w:tcPr>
            <w:tcW w:w="1826" w:type="pct"/>
            <w:vAlign w:val="center"/>
          </w:tcPr>
          <w:p w14:paraId="7AA49E28">
            <w:pPr>
              <w:spacing w:after="50" w:line="360" w:lineRule="auto"/>
              <w:ind w:right="-10" w:rightChars="0"/>
              <w:jc w:val="center"/>
              <w:rPr>
                <w:rFonts w:hint="eastAsia" w:ascii="宋体" w:hAnsi="宋体" w:eastAsia="宋体" w:cs="宋体"/>
                <w:sz w:val="24"/>
                <w:szCs w:val="28"/>
                <w:highlight w:val="none"/>
              </w:rPr>
            </w:pPr>
            <w:r>
              <w:rPr>
                <w:rFonts w:hint="eastAsia" w:ascii="宋体" w:hAnsi="宋体" w:eastAsia="宋体" w:cs="宋体"/>
                <w:sz w:val="24"/>
                <w:szCs w:val="28"/>
                <w:highlight w:val="none"/>
              </w:rPr>
              <w:t>格式、填写要求符合招标文件规定并加盖投标人印章</w:t>
            </w:r>
          </w:p>
        </w:tc>
        <w:tc>
          <w:tcPr>
            <w:tcW w:w="1487" w:type="pct"/>
            <w:vAlign w:val="center"/>
          </w:tcPr>
          <w:p w14:paraId="027FA1C0">
            <w:pPr>
              <w:adjustRightInd w:val="0"/>
              <w:snapToGrid w:val="0"/>
              <w:spacing w:line="360" w:lineRule="auto"/>
              <w:ind w:right="-10" w:rightChars="0"/>
              <w:jc w:val="center"/>
              <w:rPr>
                <w:rFonts w:hint="eastAsia" w:ascii="宋体" w:hAnsi="宋体" w:eastAsia="宋体" w:cs="宋体"/>
                <w:sz w:val="24"/>
                <w:highlight w:val="none"/>
              </w:rPr>
            </w:pPr>
            <w:r>
              <w:rPr>
                <w:rFonts w:hint="eastAsia" w:ascii="宋体" w:hAnsi="宋体" w:eastAsia="宋体" w:cs="宋体"/>
                <w:sz w:val="24"/>
                <w:highlight w:val="none"/>
              </w:rPr>
              <w:t>详见第六章投标文件格式</w:t>
            </w:r>
          </w:p>
        </w:tc>
      </w:tr>
      <w:tr w14:paraId="14CF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14:paraId="58479875">
            <w:pPr>
              <w:adjustRightInd w:val="0"/>
              <w:snapToGrid w:val="0"/>
              <w:spacing w:line="360" w:lineRule="auto"/>
              <w:ind w:right="-10"/>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1242" w:type="pct"/>
            <w:vAlign w:val="center"/>
          </w:tcPr>
          <w:p w14:paraId="0C1459F6">
            <w:pPr>
              <w:spacing w:after="50" w:line="360" w:lineRule="auto"/>
              <w:ind w:right="-10" w:rightChars="0"/>
              <w:jc w:val="center"/>
              <w:rPr>
                <w:rFonts w:hint="eastAsia" w:ascii="宋体" w:hAnsi="宋体" w:eastAsia="宋体" w:cs="宋体"/>
                <w:sz w:val="24"/>
                <w:szCs w:val="28"/>
                <w:highlight w:val="none"/>
              </w:rPr>
            </w:pPr>
            <w:r>
              <w:rPr>
                <w:rFonts w:hint="eastAsia" w:ascii="宋体" w:hAnsi="宋体" w:eastAsia="宋体" w:cs="宋体"/>
                <w:sz w:val="24"/>
                <w:szCs w:val="28"/>
                <w:highlight w:val="none"/>
              </w:rPr>
              <w:t>授权书</w:t>
            </w:r>
          </w:p>
        </w:tc>
        <w:tc>
          <w:tcPr>
            <w:tcW w:w="1826" w:type="pct"/>
            <w:vAlign w:val="center"/>
          </w:tcPr>
          <w:p w14:paraId="79CB9E86">
            <w:pPr>
              <w:spacing w:after="50" w:line="360" w:lineRule="auto"/>
              <w:ind w:right="-10" w:rightChars="0"/>
              <w:jc w:val="center"/>
              <w:rPr>
                <w:rFonts w:hint="eastAsia" w:ascii="宋体" w:hAnsi="宋体" w:eastAsia="宋体" w:cs="宋体"/>
                <w:sz w:val="24"/>
                <w:szCs w:val="28"/>
                <w:highlight w:val="none"/>
              </w:rPr>
            </w:pPr>
            <w:r>
              <w:rPr>
                <w:rFonts w:hint="eastAsia" w:ascii="宋体" w:hAnsi="宋体" w:eastAsia="宋体" w:cs="宋体"/>
                <w:sz w:val="24"/>
                <w:szCs w:val="28"/>
                <w:highlight w:val="none"/>
              </w:rPr>
              <w:t>格式、填写要求符合招标文件规定并加盖投标人印章</w:t>
            </w:r>
          </w:p>
        </w:tc>
        <w:tc>
          <w:tcPr>
            <w:tcW w:w="1487" w:type="pct"/>
            <w:vAlign w:val="center"/>
          </w:tcPr>
          <w:p w14:paraId="0121DAA0">
            <w:pPr>
              <w:adjustRightInd w:val="0"/>
              <w:snapToGrid w:val="0"/>
              <w:spacing w:line="360" w:lineRule="auto"/>
              <w:ind w:right="-10" w:rightChars="0"/>
              <w:jc w:val="center"/>
              <w:rPr>
                <w:rFonts w:hint="eastAsia" w:ascii="宋体" w:hAnsi="宋体" w:eastAsia="宋体" w:cs="宋体"/>
                <w:sz w:val="24"/>
                <w:highlight w:val="none"/>
              </w:rPr>
            </w:pPr>
            <w:r>
              <w:rPr>
                <w:rFonts w:hint="eastAsia" w:ascii="宋体" w:hAnsi="宋体" w:eastAsia="宋体" w:cs="宋体"/>
                <w:sz w:val="24"/>
                <w:highlight w:val="none"/>
              </w:rPr>
              <w:t>法定代表人参加投标的无需此件，提供身份证明即可。详见第六章投标文件格式</w:t>
            </w:r>
          </w:p>
        </w:tc>
      </w:tr>
      <w:tr w14:paraId="2D0B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14:paraId="408C741C">
            <w:pPr>
              <w:adjustRightInd w:val="0"/>
              <w:snapToGrid w:val="0"/>
              <w:spacing w:line="360" w:lineRule="auto"/>
              <w:ind w:right="-10"/>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1242" w:type="pct"/>
            <w:vAlign w:val="center"/>
          </w:tcPr>
          <w:p w14:paraId="0B14DF9E">
            <w:pPr>
              <w:spacing w:after="50" w:line="360" w:lineRule="auto"/>
              <w:ind w:right="-10" w:rightChars="0"/>
              <w:jc w:val="center"/>
              <w:rPr>
                <w:rFonts w:hint="eastAsia" w:ascii="宋体" w:hAnsi="宋体" w:eastAsia="宋体" w:cs="宋体"/>
                <w:sz w:val="24"/>
                <w:szCs w:val="28"/>
                <w:highlight w:val="none"/>
              </w:rPr>
            </w:pPr>
            <w:r>
              <w:rPr>
                <w:rFonts w:hint="eastAsia" w:ascii="宋体" w:hAnsi="宋体" w:eastAsia="宋体" w:cs="宋体"/>
                <w:sz w:val="24"/>
                <w:szCs w:val="28"/>
                <w:highlight w:val="none"/>
              </w:rPr>
              <w:t>投标报价</w:t>
            </w:r>
          </w:p>
        </w:tc>
        <w:tc>
          <w:tcPr>
            <w:tcW w:w="1826" w:type="pct"/>
            <w:vAlign w:val="center"/>
          </w:tcPr>
          <w:p w14:paraId="763478D7">
            <w:pPr>
              <w:spacing w:after="50" w:line="360" w:lineRule="auto"/>
              <w:ind w:right="-10" w:rightChars="0"/>
              <w:jc w:val="center"/>
              <w:rPr>
                <w:rFonts w:hint="eastAsia" w:ascii="宋体" w:hAnsi="宋体" w:eastAsia="宋体" w:cs="宋体"/>
                <w:sz w:val="24"/>
                <w:szCs w:val="28"/>
                <w:highlight w:val="none"/>
              </w:rPr>
            </w:pPr>
            <w:r>
              <w:rPr>
                <w:rFonts w:hint="eastAsia" w:ascii="宋体" w:hAnsi="宋体" w:eastAsia="宋体" w:cs="宋体"/>
                <w:sz w:val="24"/>
                <w:szCs w:val="28"/>
                <w:highlight w:val="none"/>
              </w:rPr>
              <w:t>符合</w:t>
            </w:r>
            <w:r>
              <w:rPr>
                <w:rFonts w:hint="eastAsia" w:ascii="宋体" w:hAnsi="宋体" w:eastAsia="宋体" w:cs="宋体"/>
                <w:sz w:val="24"/>
                <w:highlight w:val="none"/>
              </w:rPr>
              <w:t>招标文件投标人须知正文第12条要求</w:t>
            </w:r>
          </w:p>
        </w:tc>
        <w:tc>
          <w:tcPr>
            <w:tcW w:w="1487" w:type="pct"/>
            <w:vAlign w:val="center"/>
          </w:tcPr>
          <w:p w14:paraId="2BEBC3E7">
            <w:pPr>
              <w:adjustRightInd w:val="0"/>
              <w:snapToGrid w:val="0"/>
              <w:spacing w:line="360" w:lineRule="auto"/>
              <w:ind w:right="-10" w:rightChars="0"/>
              <w:jc w:val="center"/>
              <w:rPr>
                <w:rFonts w:hint="eastAsia" w:ascii="宋体" w:hAnsi="宋体" w:eastAsia="宋体" w:cs="宋体"/>
                <w:sz w:val="24"/>
                <w:highlight w:val="none"/>
              </w:rPr>
            </w:pPr>
            <w:r>
              <w:rPr>
                <w:rFonts w:hint="eastAsia" w:ascii="宋体" w:hAnsi="宋体" w:eastAsia="宋体" w:cs="宋体"/>
                <w:sz w:val="24"/>
                <w:highlight w:val="none"/>
              </w:rPr>
              <w:t>详见第六章投标文件格式</w:t>
            </w:r>
          </w:p>
        </w:tc>
      </w:tr>
      <w:tr w14:paraId="2B63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14:paraId="5F33EC2E">
            <w:pPr>
              <w:adjustRightInd w:val="0"/>
              <w:snapToGrid w:val="0"/>
              <w:spacing w:line="360" w:lineRule="auto"/>
              <w:ind w:right="-10"/>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1242" w:type="pct"/>
            <w:vAlign w:val="center"/>
          </w:tcPr>
          <w:p w14:paraId="333F8E40">
            <w:pPr>
              <w:spacing w:after="50" w:line="360" w:lineRule="auto"/>
              <w:ind w:right="-10" w:rightChars="0"/>
              <w:jc w:val="center"/>
              <w:rPr>
                <w:rFonts w:hint="eastAsia" w:ascii="宋体" w:hAnsi="宋体" w:eastAsia="宋体" w:cs="宋体"/>
                <w:sz w:val="24"/>
                <w:szCs w:val="28"/>
                <w:highlight w:val="none"/>
              </w:rPr>
            </w:pPr>
            <w:r>
              <w:rPr>
                <w:rFonts w:hint="eastAsia" w:ascii="宋体" w:hAnsi="宋体" w:eastAsia="宋体" w:cs="宋体"/>
                <w:sz w:val="24"/>
                <w:szCs w:val="28"/>
                <w:highlight w:val="none"/>
              </w:rPr>
              <w:t>商务响应情况</w:t>
            </w:r>
          </w:p>
        </w:tc>
        <w:tc>
          <w:tcPr>
            <w:tcW w:w="1826" w:type="pct"/>
            <w:vAlign w:val="center"/>
          </w:tcPr>
          <w:p w14:paraId="6D4C910A">
            <w:pPr>
              <w:spacing w:after="50" w:line="360" w:lineRule="auto"/>
              <w:ind w:right="-10" w:rightChars="0"/>
              <w:jc w:val="center"/>
              <w:rPr>
                <w:rFonts w:hint="eastAsia" w:ascii="宋体" w:hAnsi="宋体" w:eastAsia="宋体" w:cs="宋体"/>
                <w:sz w:val="24"/>
                <w:szCs w:val="28"/>
                <w:highlight w:val="none"/>
              </w:rPr>
            </w:pPr>
            <w:r>
              <w:rPr>
                <w:rFonts w:hint="eastAsia" w:ascii="宋体" w:hAnsi="宋体" w:eastAsia="宋体" w:cs="宋体"/>
                <w:sz w:val="24"/>
                <w:szCs w:val="28"/>
                <w:highlight w:val="none"/>
              </w:rPr>
              <w:t>符合招标文件采购需求中对付款方式、服务期限、服务地点的要求。</w:t>
            </w:r>
          </w:p>
        </w:tc>
        <w:tc>
          <w:tcPr>
            <w:tcW w:w="1487" w:type="pct"/>
            <w:vAlign w:val="center"/>
          </w:tcPr>
          <w:p w14:paraId="1D2E1E63">
            <w:pPr>
              <w:adjustRightInd w:val="0"/>
              <w:snapToGrid w:val="0"/>
              <w:spacing w:line="360" w:lineRule="auto"/>
              <w:ind w:right="-10" w:rightChars="0"/>
              <w:jc w:val="center"/>
              <w:rPr>
                <w:rFonts w:hint="eastAsia" w:ascii="宋体" w:hAnsi="宋体" w:eastAsia="宋体" w:cs="宋体"/>
                <w:sz w:val="24"/>
                <w:highlight w:val="none"/>
              </w:rPr>
            </w:pPr>
            <w:r>
              <w:rPr>
                <w:rFonts w:hint="eastAsia" w:ascii="宋体" w:hAnsi="宋体" w:eastAsia="宋体" w:cs="宋体"/>
                <w:sz w:val="24"/>
                <w:highlight w:val="none"/>
              </w:rPr>
              <w:t>详见第六章投标文件格式</w:t>
            </w:r>
          </w:p>
        </w:tc>
      </w:tr>
      <w:tr w14:paraId="1B53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14:paraId="392F7161">
            <w:pPr>
              <w:adjustRightInd w:val="0"/>
              <w:snapToGrid w:val="0"/>
              <w:spacing w:line="360" w:lineRule="auto"/>
              <w:ind w:right="-10"/>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6</w:t>
            </w:r>
          </w:p>
        </w:tc>
        <w:tc>
          <w:tcPr>
            <w:tcW w:w="1242" w:type="pct"/>
            <w:vAlign w:val="center"/>
          </w:tcPr>
          <w:p w14:paraId="6F9594EC">
            <w:pPr>
              <w:spacing w:after="50" w:line="360" w:lineRule="auto"/>
              <w:ind w:right="-10" w:rightChars="0"/>
              <w:jc w:val="center"/>
              <w:rPr>
                <w:rFonts w:hint="eastAsia" w:ascii="宋体" w:hAnsi="宋体" w:eastAsia="宋体" w:cs="宋体"/>
                <w:sz w:val="24"/>
                <w:szCs w:val="28"/>
                <w:highlight w:val="none"/>
              </w:rPr>
            </w:pPr>
            <w:r>
              <w:rPr>
                <w:rFonts w:hint="eastAsia" w:ascii="宋体" w:hAnsi="宋体" w:eastAsia="宋体" w:cs="宋体"/>
                <w:sz w:val="24"/>
                <w:szCs w:val="28"/>
                <w:highlight w:val="none"/>
              </w:rPr>
              <w:t>其他要求</w:t>
            </w:r>
          </w:p>
        </w:tc>
        <w:tc>
          <w:tcPr>
            <w:tcW w:w="1826" w:type="pct"/>
            <w:vAlign w:val="center"/>
          </w:tcPr>
          <w:p w14:paraId="5ED614B2">
            <w:pPr>
              <w:spacing w:after="50" w:line="360" w:lineRule="auto"/>
              <w:ind w:right="-10" w:rightChars="0"/>
              <w:jc w:val="center"/>
              <w:rPr>
                <w:rFonts w:hint="eastAsia" w:ascii="宋体" w:hAnsi="宋体" w:eastAsia="宋体" w:cs="宋体"/>
                <w:sz w:val="24"/>
                <w:szCs w:val="28"/>
                <w:highlight w:val="none"/>
              </w:rPr>
            </w:pPr>
            <w:r>
              <w:rPr>
                <w:rFonts w:hint="eastAsia" w:ascii="宋体" w:hAnsi="宋体" w:eastAsia="宋体" w:cs="宋体"/>
                <w:sz w:val="24"/>
                <w:szCs w:val="28"/>
                <w:highlight w:val="none"/>
              </w:rPr>
              <w:t>符合法律、行政法规规定的其他条件或招标文件列明的其他要求。</w:t>
            </w:r>
          </w:p>
        </w:tc>
        <w:tc>
          <w:tcPr>
            <w:tcW w:w="1487" w:type="pct"/>
            <w:vAlign w:val="center"/>
          </w:tcPr>
          <w:p w14:paraId="77ABFAF1">
            <w:pPr>
              <w:adjustRightInd w:val="0"/>
              <w:snapToGrid w:val="0"/>
              <w:spacing w:line="360" w:lineRule="auto"/>
              <w:ind w:right="-10" w:rightChars="0"/>
              <w:jc w:val="center"/>
              <w:rPr>
                <w:rFonts w:hint="eastAsia" w:ascii="宋体" w:hAnsi="宋体" w:eastAsia="宋体" w:cs="宋体"/>
                <w:sz w:val="24"/>
                <w:highlight w:val="none"/>
              </w:rPr>
            </w:pPr>
          </w:p>
        </w:tc>
      </w:tr>
    </w:tbl>
    <w:p w14:paraId="2DC6FDF3">
      <w:pPr>
        <w:spacing w:line="360" w:lineRule="auto"/>
        <w:ind w:firstLine="435"/>
        <w:rPr>
          <w:rFonts w:hint="eastAsia" w:ascii="宋体" w:hAnsi="宋体" w:eastAsia="宋体" w:cs="宋体"/>
          <w:sz w:val="24"/>
          <w:highlight w:val="none"/>
        </w:rPr>
      </w:pPr>
      <w:r>
        <w:rPr>
          <w:rFonts w:hint="eastAsia" w:ascii="宋体" w:hAnsi="宋体" w:eastAsia="宋体" w:cs="宋体"/>
          <w:b/>
          <w:bCs/>
          <w:sz w:val="24"/>
          <w:highlight w:val="none"/>
        </w:rPr>
        <w:t>符合性审查指标通过标准：</w:t>
      </w:r>
      <w:r>
        <w:rPr>
          <w:rFonts w:hint="eastAsia" w:ascii="宋体" w:hAnsi="宋体" w:eastAsia="宋体" w:cs="宋体"/>
          <w:sz w:val="24"/>
          <w:highlight w:val="none"/>
        </w:rPr>
        <w:t>投标人必须通过符合性审查表中的全部评审指标。</w:t>
      </w:r>
    </w:p>
    <w:p w14:paraId="571275E6">
      <w:pPr>
        <w:spacing w:line="480" w:lineRule="auto"/>
        <w:jc w:val="center"/>
        <w:rPr>
          <w:rFonts w:hint="eastAsia" w:ascii="宋体" w:hAnsi="宋体" w:eastAsia="宋体" w:cs="宋体"/>
          <w:b/>
          <w:sz w:val="24"/>
          <w:szCs w:val="24"/>
          <w:highlight w:val="none"/>
        </w:rPr>
      </w:pPr>
      <w:bookmarkStart w:id="58" w:name="_Hlk11711914"/>
    </w:p>
    <w:p w14:paraId="487421DB">
      <w:pPr>
        <w:spacing w:line="480" w:lineRule="auto"/>
        <w:jc w:val="center"/>
        <w:rPr>
          <w:rFonts w:hint="eastAsia" w:ascii="宋体" w:hAnsi="宋体" w:eastAsia="宋体" w:cs="宋体"/>
          <w:b/>
          <w:sz w:val="24"/>
          <w:szCs w:val="24"/>
          <w:highlight w:val="none"/>
        </w:rPr>
      </w:pPr>
    </w:p>
    <w:p w14:paraId="49FA0FB0">
      <w:pPr>
        <w:spacing w:line="480" w:lineRule="auto"/>
        <w:jc w:val="center"/>
        <w:rPr>
          <w:rFonts w:hint="eastAsia" w:ascii="宋体" w:hAnsi="宋体" w:eastAsia="宋体" w:cs="宋体"/>
          <w:b/>
          <w:sz w:val="24"/>
          <w:szCs w:val="24"/>
          <w:highlight w:val="none"/>
        </w:rPr>
      </w:pPr>
    </w:p>
    <w:p w14:paraId="444FD6F7">
      <w:pPr>
        <w:spacing w:line="480" w:lineRule="auto"/>
        <w:jc w:val="center"/>
        <w:rPr>
          <w:rFonts w:hint="eastAsia" w:ascii="宋体" w:hAnsi="宋体" w:eastAsia="宋体" w:cs="宋体"/>
          <w:b/>
          <w:sz w:val="24"/>
          <w:szCs w:val="24"/>
          <w:highlight w:val="none"/>
        </w:rPr>
      </w:pPr>
    </w:p>
    <w:p w14:paraId="3EB84FC4">
      <w:pPr>
        <w:spacing w:line="480" w:lineRule="auto"/>
        <w:jc w:val="center"/>
        <w:rPr>
          <w:rFonts w:hint="eastAsia" w:ascii="宋体" w:hAnsi="宋体" w:eastAsia="宋体" w:cs="宋体"/>
          <w:b/>
          <w:sz w:val="24"/>
          <w:szCs w:val="24"/>
          <w:highlight w:val="none"/>
        </w:rPr>
      </w:pPr>
    </w:p>
    <w:p w14:paraId="42AC8F3D">
      <w:pPr>
        <w:spacing w:line="480" w:lineRule="auto"/>
        <w:jc w:val="center"/>
        <w:rPr>
          <w:rFonts w:hint="eastAsia" w:ascii="宋体" w:hAnsi="宋体" w:eastAsia="宋体" w:cs="宋体"/>
          <w:b/>
          <w:sz w:val="24"/>
          <w:szCs w:val="24"/>
          <w:highlight w:val="none"/>
        </w:rPr>
      </w:pPr>
    </w:p>
    <w:p w14:paraId="497648B6">
      <w:pPr>
        <w:spacing w:line="480" w:lineRule="auto"/>
        <w:jc w:val="center"/>
        <w:rPr>
          <w:rFonts w:hint="eastAsia" w:ascii="宋体" w:hAnsi="宋体" w:eastAsia="宋体" w:cs="宋体"/>
          <w:b/>
          <w:sz w:val="24"/>
          <w:szCs w:val="24"/>
          <w:highlight w:val="none"/>
        </w:rPr>
      </w:pPr>
    </w:p>
    <w:p w14:paraId="07C80AB4">
      <w:pPr>
        <w:spacing w:line="480" w:lineRule="auto"/>
        <w:jc w:val="both"/>
        <w:rPr>
          <w:rFonts w:hint="eastAsia" w:ascii="宋体" w:hAnsi="宋体" w:eastAsia="宋体" w:cs="宋体"/>
          <w:b/>
          <w:sz w:val="24"/>
          <w:szCs w:val="24"/>
          <w:highlight w:val="none"/>
        </w:rPr>
      </w:pPr>
    </w:p>
    <w:p w14:paraId="53B57EC0">
      <w:pPr>
        <w:spacing w:line="480" w:lineRule="auto"/>
        <w:jc w:val="center"/>
        <w:rPr>
          <w:rFonts w:hint="eastAsia" w:ascii="宋体" w:hAnsi="宋体" w:eastAsia="宋体" w:cs="宋体"/>
          <w:b/>
          <w:sz w:val="24"/>
          <w:szCs w:val="24"/>
          <w:highlight w:val="none"/>
        </w:rPr>
      </w:pPr>
    </w:p>
    <w:p w14:paraId="689346A4">
      <w:pPr>
        <w:spacing w:line="480" w:lineRule="auto"/>
        <w:jc w:val="center"/>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合肥市政府采购合同参考范本</w:t>
      </w:r>
    </w:p>
    <w:p w14:paraId="22B9B410">
      <w:pPr>
        <w:spacing w:line="480" w:lineRule="auto"/>
        <w:jc w:val="center"/>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（货物类）</w:t>
      </w:r>
    </w:p>
    <w:p w14:paraId="00AB201B">
      <w:pPr>
        <w:spacing w:line="480" w:lineRule="auto"/>
        <w:jc w:val="center"/>
        <w:rPr>
          <w:rFonts w:hint="eastAsia" w:ascii="宋体" w:hAnsi="宋体" w:eastAsia="宋体" w:cs="宋体"/>
          <w:b/>
          <w:sz w:val="24"/>
          <w:szCs w:val="24"/>
          <w:highlight w:val="none"/>
        </w:rPr>
      </w:pPr>
    </w:p>
    <w:p w14:paraId="5E1A0CC7">
      <w:pPr>
        <w:spacing w:line="480" w:lineRule="auto"/>
        <w:jc w:val="center"/>
        <w:rPr>
          <w:rFonts w:hint="eastAsia" w:ascii="宋体" w:hAnsi="宋体" w:eastAsia="宋体" w:cs="宋体"/>
          <w:b/>
          <w:sz w:val="24"/>
          <w:szCs w:val="24"/>
          <w:highlight w:val="none"/>
        </w:rPr>
      </w:pPr>
    </w:p>
    <w:p w14:paraId="4C084E7B">
      <w:pPr>
        <w:spacing w:line="480" w:lineRule="auto"/>
        <w:jc w:val="center"/>
        <w:rPr>
          <w:rFonts w:hint="eastAsia" w:ascii="宋体" w:hAnsi="宋体" w:eastAsia="宋体" w:cs="宋体"/>
          <w:b/>
          <w:sz w:val="24"/>
          <w:szCs w:val="24"/>
          <w:highlight w:val="none"/>
        </w:rPr>
      </w:pPr>
    </w:p>
    <w:p w14:paraId="3885A378">
      <w:pPr>
        <w:spacing w:line="360" w:lineRule="auto"/>
        <w:jc w:val="center"/>
        <w:outlineLvl w:val="1"/>
        <w:rPr>
          <w:rFonts w:hint="eastAsia" w:ascii="宋体" w:hAnsi="宋体" w:eastAsia="宋体" w:cs="宋体"/>
          <w:b/>
          <w:sz w:val="24"/>
          <w:highlight w:val="none"/>
        </w:rPr>
      </w:pPr>
      <w:r>
        <w:rPr>
          <w:rFonts w:hint="eastAsia" w:ascii="宋体" w:hAnsi="宋体" w:eastAsia="宋体" w:cs="宋体"/>
          <w:b/>
          <w:sz w:val="24"/>
          <w:highlight w:val="none"/>
        </w:rPr>
        <w:t>第一部分 合同书</w:t>
      </w:r>
    </w:p>
    <w:p w14:paraId="072A23C7">
      <w:pPr>
        <w:spacing w:line="480" w:lineRule="auto"/>
        <w:jc w:val="center"/>
        <w:rPr>
          <w:rFonts w:hint="eastAsia" w:ascii="宋体" w:hAnsi="宋体" w:eastAsia="宋体" w:cs="宋体"/>
          <w:b/>
          <w:sz w:val="24"/>
          <w:szCs w:val="24"/>
          <w:highlight w:val="none"/>
        </w:rPr>
      </w:pPr>
    </w:p>
    <w:p w14:paraId="0E6200F4">
      <w:pPr>
        <w:spacing w:line="480" w:lineRule="auto"/>
        <w:jc w:val="center"/>
        <w:rPr>
          <w:rFonts w:hint="eastAsia" w:ascii="宋体" w:hAnsi="宋体" w:eastAsia="宋体" w:cs="宋体"/>
          <w:b/>
          <w:sz w:val="24"/>
          <w:szCs w:val="24"/>
          <w:highlight w:val="none"/>
        </w:rPr>
      </w:pPr>
    </w:p>
    <w:p w14:paraId="0084859A">
      <w:pPr>
        <w:spacing w:line="480" w:lineRule="auto"/>
        <w:jc w:val="center"/>
        <w:rPr>
          <w:rFonts w:hint="eastAsia" w:ascii="宋体" w:hAnsi="宋体" w:eastAsia="宋体" w:cs="宋体"/>
          <w:b/>
          <w:sz w:val="24"/>
          <w:szCs w:val="24"/>
          <w:highlight w:val="none"/>
        </w:rPr>
      </w:pPr>
    </w:p>
    <w:p w14:paraId="21557404">
      <w:pPr>
        <w:spacing w:before="120" w:line="480" w:lineRule="auto"/>
        <w:ind w:left="96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u w:val="single"/>
        </w:rPr>
        <w:t>某项目</w:t>
      </w:r>
      <w:r>
        <w:rPr>
          <w:rFonts w:hint="eastAsia" w:ascii="宋体" w:hAnsi="宋体" w:eastAsia="宋体" w:cs="宋体"/>
          <w:i/>
          <w:iCs/>
          <w:sz w:val="24"/>
          <w:szCs w:val="24"/>
          <w:highlight w:val="none"/>
        </w:rPr>
        <w:t>（分包项目须填写完整的分包号及分包名称）</w:t>
      </w:r>
    </w:p>
    <w:p w14:paraId="0E9495FF">
      <w:pPr>
        <w:spacing w:before="120" w:line="480" w:lineRule="auto"/>
        <w:ind w:left="960"/>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某编号</w:t>
      </w:r>
    </w:p>
    <w:p w14:paraId="6B2FE2AE">
      <w:pPr>
        <w:spacing w:before="120" w:line="480" w:lineRule="auto"/>
        <w:ind w:left="96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2A37EE40">
      <w:pPr>
        <w:spacing w:before="120" w:line="480" w:lineRule="auto"/>
        <w:ind w:left="96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乙方（中标人）：</w:t>
      </w:r>
      <w:r>
        <w:rPr>
          <w:rFonts w:hint="eastAsia" w:ascii="宋体" w:hAnsi="宋体" w:eastAsia="宋体" w:cs="宋体"/>
          <w:sz w:val="24"/>
          <w:szCs w:val="24"/>
          <w:highlight w:val="none"/>
          <w:u w:val="single"/>
        </w:rPr>
        <w:t xml:space="preserve">                              </w:t>
      </w:r>
    </w:p>
    <w:p w14:paraId="7D560E4E">
      <w:pPr>
        <w:spacing w:before="120" w:line="480" w:lineRule="auto"/>
        <w:ind w:firstLine="960" w:firstLineChars="4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签订地：</w:t>
      </w:r>
      <w:r>
        <w:rPr>
          <w:rFonts w:hint="eastAsia" w:ascii="宋体" w:hAnsi="宋体" w:eastAsia="宋体" w:cs="宋体"/>
          <w:sz w:val="24"/>
          <w:szCs w:val="24"/>
          <w:highlight w:val="none"/>
          <w:u w:val="single"/>
        </w:rPr>
        <w:t xml:space="preserve">                                     </w:t>
      </w:r>
    </w:p>
    <w:p w14:paraId="2D96A63B">
      <w:pPr>
        <w:spacing w:before="120" w:line="48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签订日期：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DD5885">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2C694092">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u w:val="single"/>
        </w:rPr>
        <w:t>某采购单位</w:t>
      </w:r>
      <w:r>
        <w:rPr>
          <w:rFonts w:hint="eastAsia" w:ascii="宋体" w:hAnsi="宋体" w:eastAsia="宋体" w:cs="宋体"/>
          <w:sz w:val="24"/>
          <w:highlight w:val="none"/>
        </w:rPr>
        <w:t>（</w:t>
      </w:r>
      <w:r>
        <w:rPr>
          <w:rFonts w:hint="eastAsia" w:ascii="宋体" w:hAnsi="宋体" w:eastAsia="宋体" w:cs="宋体"/>
          <w:sz w:val="24"/>
          <w:szCs w:val="24"/>
          <w:highlight w:val="none"/>
          <w:lang w:val="zh-CN"/>
        </w:rPr>
        <w:t>以下简称：甲方</w:t>
      </w:r>
      <w:r>
        <w:rPr>
          <w:rFonts w:hint="eastAsia" w:ascii="宋体" w:hAnsi="宋体" w:eastAsia="宋体" w:cs="宋体"/>
          <w:sz w:val="24"/>
          <w:highlight w:val="none"/>
        </w:rPr>
        <w:t>）通过</w:t>
      </w:r>
      <w:r>
        <w:rPr>
          <w:rFonts w:hint="eastAsia" w:ascii="宋体" w:hAnsi="宋体" w:eastAsia="宋体" w:cs="宋体"/>
          <w:sz w:val="24"/>
          <w:highlight w:val="none"/>
          <w:u w:val="single"/>
        </w:rPr>
        <w:t xml:space="preserve">某代理机构 </w:t>
      </w:r>
      <w:r>
        <w:rPr>
          <w:rFonts w:hint="eastAsia" w:ascii="宋体" w:hAnsi="宋体" w:eastAsia="宋体" w:cs="宋体"/>
          <w:sz w:val="24"/>
          <w:highlight w:val="none"/>
        </w:rPr>
        <w:t>组织的</w:t>
      </w:r>
      <w:r>
        <w:rPr>
          <w:rFonts w:hint="eastAsia" w:ascii="宋体" w:hAnsi="宋体" w:eastAsia="宋体" w:cs="宋体"/>
          <w:sz w:val="24"/>
          <w:highlight w:val="none"/>
          <w:u w:val="single"/>
        </w:rPr>
        <w:t>公开招标</w:t>
      </w:r>
      <w:r>
        <w:rPr>
          <w:rFonts w:hint="eastAsia" w:ascii="宋体" w:hAnsi="宋体" w:eastAsia="宋体" w:cs="宋体"/>
          <w:sz w:val="24"/>
          <w:highlight w:val="none"/>
        </w:rPr>
        <w:t>方式采购活动，经</w:t>
      </w:r>
      <w:r>
        <w:rPr>
          <w:rFonts w:hint="eastAsia" w:ascii="宋体" w:hAnsi="宋体" w:eastAsia="宋体" w:cs="宋体"/>
          <w:sz w:val="24"/>
          <w:highlight w:val="none"/>
          <w:u w:val="single"/>
        </w:rPr>
        <w:t>评标委员会</w:t>
      </w:r>
      <w:r>
        <w:rPr>
          <w:rFonts w:hint="eastAsia" w:ascii="宋体" w:hAnsi="宋体" w:eastAsia="宋体" w:cs="宋体"/>
          <w:sz w:val="24"/>
          <w:highlight w:val="none"/>
        </w:rPr>
        <w:t>评定，</w:t>
      </w:r>
      <w:r>
        <w:rPr>
          <w:rFonts w:hint="eastAsia" w:ascii="宋体" w:hAnsi="宋体" w:eastAsia="宋体" w:cs="宋体"/>
          <w:i/>
          <w:iCs/>
          <w:sz w:val="24"/>
          <w:szCs w:val="24"/>
          <w:highlight w:val="none"/>
          <w:u w:val="single"/>
        </w:rPr>
        <w:t>（中标人名称）</w:t>
      </w:r>
      <w:r>
        <w:rPr>
          <w:rFonts w:hint="eastAsia" w:ascii="宋体" w:hAnsi="宋体" w:eastAsia="宋体" w:cs="宋体"/>
          <w:sz w:val="24"/>
          <w:highlight w:val="none"/>
        </w:rPr>
        <w:t>（</w:t>
      </w:r>
      <w:r>
        <w:rPr>
          <w:rFonts w:hint="eastAsia" w:ascii="宋体" w:hAnsi="宋体" w:eastAsia="宋体" w:cs="宋体"/>
          <w:sz w:val="24"/>
          <w:szCs w:val="24"/>
          <w:highlight w:val="none"/>
          <w:lang w:val="zh-CN"/>
        </w:rPr>
        <w:t>以下简称：乙方</w:t>
      </w:r>
      <w:r>
        <w:rPr>
          <w:rFonts w:hint="eastAsia" w:ascii="宋体" w:hAnsi="宋体" w:eastAsia="宋体" w:cs="宋体"/>
          <w:sz w:val="24"/>
          <w:highlight w:val="none"/>
        </w:rPr>
        <w:t>）为本项目中标人，现</w:t>
      </w:r>
      <w:r>
        <w:rPr>
          <w:rFonts w:hint="eastAsia" w:ascii="宋体" w:hAnsi="宋体" w:eastAsia="宋体" w:cs="宋体"/>
          <w:sz w:val="24"/>
          <w:szCs w:val="24"/>
          <w:highlight w:val="none"/>
        </w:rPr>
        <w:t>按照采购文件确定的事项签订本合同。</w:t>
      </w:r>
    </w:p>
    <w:p w14:paraId="451C40C4">
      <w:pPr>
        <w:spacing w:line="360" w:lineRule="auto"/>
        <w:ind w:firstLine="435"/>
        <w:rPr>
          <w:rFonts w:hint="eastAsia" w:ascii="宋体" w:hAnsi="宋体" w:eastAsia="宋体" w:cs="宋体"/>
          <w:sz w:val="24"/>
          <w:szCs w:val="24"/>
          <w:highlight w:val="none"/>
          <w:lang w:val="zh-CN"/>
        </w:rPr>
      </w:pPr>
      <w:r>
        <w:rPr>
          <w:rFonts w:hint="eastAsia" w:ascii="宋体" w:hAnsi="宋体" w:eastAsia="宋体" w:cs="宋体"/>
          <w:sz w:val="24"/>
          <w:highlight w:val="none"/>
        </w:rPr>
        <w:t>根据《中华人民共和国民法典</w:t>
      </w:r>
      <w:r>
        <w:rPr>
          <w:rFonts w:hint="eastAsia" w:ascii="宋体" w:hAnsi="宋体" w:eastAsia="宋体" w:cs="宋体"/>
          <w:sz w:val="24"/>
          <w:highlight w:val="none"/>
          <w:lang w:eastAsia="zh-CN"/>
        </w:rPr>
        <w:t>》《</w:t>
      </w:r>
      <w:r>
        <w:rPr>
          <w:rFonts w:hint="eastAsia" w:ascii="宋体" w:hAnsi="宋体" w:eastAsia="宋体" w:cs="宋体"/>
          <w:sz w:val="24"/>
          <w:highlight w:val="none"/>
        </w:rPr>
        <w:t>中华人民共和国政府采购法》等相关法律法规之规定，按照平等、自愿、公平和诚实信用的原则，经甲方和乙方协商一致，约定以下合同条款，以兹共同遵守、全面履行。</w:t>
      </w:r>
    </w:p>
    <w:p w14:paraId="4616F63B">
      <w:pPr>
        <w:spacing w:line="360" w:lineRule="auto"/>
        <w:ind w:firstLine="437"/>
        <w:outlineLvl w:val="2"/>
        <w:rPr>
          <w:rFonts w:hint="eastAsia" w:ascii="宋体" w:hAnsi="宋体" w:eastAsia="宋体" w:cs="宋体"/>
          <w:b/>
          <w:bCs/>
          <w:sz w:val="24"/>
          <w:szCs w:val="24"/>
          <w:highlight w:val="none"/>
          <w:lang w:val="zh-CN"/>
        </w:rPr>
      </w:pPr>
      <w:bookmarkStart w:id="59" w:name="_Toc24059"/>
      <w:bookmarkStart w:id="60" w:name="_Toc2232"/>
      <w:bookmarkStart w:id="61" w:name="_Toc3029"/>
      <w:r>
        <w:rPr>
          <w:rFonts w:hint="eastAsia" w:ascii="宋体" w:hAnsi="宋体" w:eastAsia="宋体" w:cs="宋体"/>
          <w:b/>
          <w:bCs/>
          <w:sz w:val="24"/>
          <w:szCs w:val="24"/>
          <w:highlight w:val="none"/>
          <w:lang w:val="zh-CN"/>
        </w:rPr>
        <w:t>1.1 合同组成部分</w:t>
      </w:r>
      <w:bookmarkEnd w:id="59"/>
      <w:bookmarkEnd w:id="60"/>
      <w:bookmarkEnd w:id="61"/>
    </w:p>
    <w:p w14:paraId="4FE0DCF8">
      <w:pPr>
        <w:spacing w:line="360" w:lineRule="auto"/>
        <w:ind w:firstLine="435"/>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43DEA438">
      <w:pPr>
        <w:spacing w:line="360" w:lineRule="auto"/>
        <w:ind w:firstLine="435"/>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1.1.1本合同及其补充合同、变更协议；</w:t>
      </w:r>
    </w:p>
    <w:p w14:paraId="6D8295C8">
      <w:pPr>
        <w:spacing w:line="360" w:lineRule="auto"/>
        <w:ind w:firstLine="435"/>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1.1.2中标通知书；</w:t>
      </w:r>
    </w:p>
    <w:p w14:paraId="683B791F">
      <w:pPr>
        <w:spacing w:line="360" w:lineRule="auto"/>
        <w:ind w:firstLine="435"/>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1.1.3投标文件（含澄清或者说明文件）；</w:t>
      </w:r>
    </w:p>
    <w:p w14:paraId="6F7A8244">
      <w:pPr>
        <w:spacing w:line="360" w:lineRule="auto"/>
        <w:ind w:firstLine="435"/>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1.1.4招标文件（含澄清或者修改文件）；</w:t>
      </w:r>
    </w:p>
    <w:p w14:paraId="35192C6B">
      <w:pPr>
        <w:spacing w:line="360" w:lineRule="auto"/>
        <w:ind w:firstLine="435"/>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1.1.5其他相关采购文件。</w:t>
      </w:r>
    </w:p>
    <w:p w14:paraId="60AD3A0B">
      <w:pPr>
        <w:spacing w:line="360" w:lineRule="auto"/>
        <w:ind w:firstLine="437"/>
        <w:outlineLvl w:val="2"/>
        <w:rPr>
          <w:rFonts w:hint="eastAsia" w:ascii="宋体" w:hAnsi="宋体" w:eastAsia="宋体" w:cs="宋体"/>
          <w:b/>
          <w:bCs/>
          <w:sz w:val="24"/>
          <w:szCs w:val="24"/>
          <w:highlight w:val="none"/>
          <w:lang w:val="zh-CN"/>
        </w:rPr>
      </w:pPr>
      <w:bookmarkStart w:id="62" w:name="_Toc21295"/>
      <w:bookmarkStart w:id="63" w:name="_Toc27126"/>
      <w:bookmarkStart w:id="64" w:name="_Toc24300"/>
      <w:r>
        <w:rPr>
          <w:rFonts w:hint="eastAsia" w:ascii="宋体" w:hAnsi="宋体" w:eastAsia="宋体" w:cs="宋体"/>
          <w:b/>
          <w:bCs/>
          <w:sz w:val="24"/>
          <w:szCs w:val="24"/>
          <w:highlight w:val="none"/>
          <w:lang w:val="zh-CN"/>
        </w:rPr>
        <w:t>1.2 货物</w:t>
      </w:r>
      <w:bookmarkEnd w:id="62"/>
      <w:bookmarkEnd w:id="63"/>
      <w:bookmarkEnd w:id="64"/>
    </w:p>
    <w:tbl>
      <w:tblPr>
        <w:tblStyle w:val="5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771"/>
        <w:gridCol w:w="1771"/>
        <w:gridCol w:w="1767"/>
        <w:gridCol w:w="1767"/>
        <w:gridCol w:w="1764"/>
      </w:tblGrid>
      <w:tr w14:paraId="53C5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tcPr>
          <w:p w14:paraId="1DBEED62">
            <w:pPr>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序号</w:t>
            </w:r>
          </w:p>
        </w:tc>
        <w:tc>
          <w:tcPr>
            <w:tcW w:w="889" w:type="pct"/>
            <w:vAlign w:val="center"/>
          </w:tcPr>
          <w:p w14:paraId="4EC7D0E4">
            <w:pPr>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货物名称</w:t>
            </w:r>
          </w:p>
        </w:tc>
        <w:tc>
          <w:tcPr>
            <w:tcW w:w="889" w:type="pct"/>
            <w:vAlign w:val="center"/>
          </w:tcPr>
          <w:p w14:paraId="2BD35CD5">
            <w:pPr>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规格型号</w:t>
            </w:r>
          </w:p>
        </w:tc>
        <w:tc>
          <w:tcPr>
            <w:tcW w:w="887" w:type="pct"/>
            <w:vAlign w:val="center"/>
          </w:tcPr>
          <w:p w14:paraId="564578E5">
            <w:pPr>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单位</w:t>
            </w:r>
          </w:p>
        </w:tc>
        <w:tc>
          <w:tcPr>
            <w:tcW w:w="887" w:type="pct"/>
            <w:vAlign w:val="center"/>
          </w:tcPr>
          <w:p w14:paraId="779BC146">
            <w:pPr>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数量</w:t>
            </w:r>
          </w:p>
        </w:tc>
        <w:tc>
          <w:tcPr>
            <w:tcW w:w="886" w:type="pct"/>
            <w:vAlign w:val="center"/>
          </w:tcPr>
          <w:p w14:paraId="0D695AA9">
            <w:pPr>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生产厂商</w:t>
            </w:r>
          </w:p>
        </w:tc>
      </w:tr>
      <w:tr w14:paraId="106F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tcPr>
          <w:p w14:paraId="7F434D49">
            <w:pPr>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w:t>
            </w:r>
          </w:p>
        </w:tc>
        <w:tc>
          <w:tcPr>
            <w:tcW w:w="889" w:type="pct"/>
            <w:vAlign w:val="center"/>
          </w:tcPr>
          <w:p w14:paraId="78C0AE77">
            <w:pPr>
              <w:jc w:val="center"/>
              <w:rPr>
                <w:rFonts w:hint="eastAsia" w:ascii="宋体" w:hAnsi="宋体" w:eastAsia="宋体" w:cs="宋体"/>
                <w:sz w:val="24"/>
                <w:szCs w:val="24"/>
                <w:highlight w:val="none"/>
                <w:lang w:val="zh-CN"/>
              </w:rPr>
            </w:pPr>
          </w:p>
        </w:tc>
        <w:tc>
          <w:tcPr>
            <w:tcW w:w="889" w:type="pct"/>
            <w:vAlign w:val="center"/>
          </w:tcPr>
          <w:p w14:paraId="4AC9A4C6">
            <w:pPr>
              <w:jc w:val="center"/>
              <w:rPr>
                <w:rFonts w:hint="eastAsia" w:ascii="宋体" w:hAnsi="宋体" w:eastAsia="宋体" w:cs="宋体"/>
                <w:sz w:val="24"/>
                <w:szCs w:val="24"/>
                <w:highlight w:val="none"/>
                <w:lang w:val="zh-CN"/>
              </w:rPr>
            </w:pPr>
          </w:p>
        </w:tc>
        <w:tc>
          <w:tcPr>
            <w:tcW w:w="887" w:type="pct"/>
            <w:vAlign w:val="center"/>
          </w:tcPr>
          <w:p w14:paraId="078A0B3C">
            <w:pPr>
              <w:jc w:val="center"/>
              <w:rPr>
                <w:rFonts w:hint="eastAsia" w:ascii="宋体" w:hAnsi="宋体" w:eastAsia="宋体" w:cs="宋体"/>
                <w:sz w:val="24"/>
                <w:szCs w:val="24"/>
                <w:highlight w:val="none"/>
                <w:lang w:val="zh-CN"/>
              </w:rPr>
            </w:pPr>
          </w:p>
        </w:tc>
        <w:tc>
          <w:tcPr>
            <w:tcW w:w="887" w:type="pct"/>
            <w:vAlign w:val="center"/>
          </w:tcPr>
          <w:p w14:paraId="3BCEE5E9">
            <w:pPr>
              <w:jc w:val="center"/>
              <w:rPr>
                <w:rFonts w:hint="eastAsia" w:ascii="宋体" w:hAnsi="宋体" w:eastAsia="宋体" w:cs="宋体"/>
                <w:sz w:val="24"/>
                <w:szCs w:val="24"/>
                <w:highlight w:val="none"/>
                <w:lang w:val="zh-CN"/>
              </w:rPr>
            </w:pPr>
          </w:p>
        </w:tc>
        <w:tc>
          <w:tcPr>
            <w:tcW w:w="886" w:type="pct"/>
            <w:vAlign w:val="center"/>
          </w:tcPr>
          <w:p w14:paraId="7CC39CD6">
            <w:pPr>
              <w:jc w:val="center"/>
              <w:rPr>
                <w:rFonts w:hint="eastAsia" w:ascii="宋体" w:hAnsi="宋体" w:eastAsia="宋体" w:cs="宋体"/>
                <w:sz w:val="24"/>
                <w:szCs w:val="24"/>
                <w:highlight w:val="none"/>
                <w:lang w:val="zh-CN"/>
              </w:rPr>
            </w:pPr>
          </w:p>
        </w:tc>
      </w:tr>
      <w:tr w14:paraId="0A912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tcPr>
          <w:p w14:paraId="0029AF37">
            <w:pPr>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w:t>
            </w:r>
          </w:p>
        </w:tc>
        <w:tc>
          <w:tcPr>
            <w:tcW w:w="889" w:type="pct"/>
            <w:vAlign w:val="center"/>
          </w:tcPr>
          <w:p w14:paraId="37AFCDF0">
            <w:pPr>
              <w:jc w:val="center"/>
              <w:rPr>
                <w:rFonts w:hint="eastAsia" w:ascii="宋体" w:hAnsi="宋体" w:eastAsia="宋体" w:cs="宋体"/>
                <w:sz w:val="24"/>
                <w:szCs w:val="24"/>
                <w:highlight w:val="none"/>
                <w:lang w:val="zh-CN"/>
              </w:rPr>
            </w:pPr>
          </w:p>
        </w:tc>
        <w:tc>
          <w:tcPr>
            <w:tcW w:w="889" w:type="pct"/>
            <w:vAlign w:val="center"/>
          </w:tcPr>
          <w:p w14:paraId="60A72102">
            <w:pPr>
              <w:jc w:val="center"/>
              <w:rPr>
                <w:rFonts w:hint="eastAsia" w:ascii="宋体" w:hAnsi="宋体" w:eastAsia="宋体" w:cs="宋体"/>
                <w:sz w:val="24"/>
                <w:szCs w:val="24"/>
                <w:highlight w:val="none"/>
                <w:lang w:val="zh-CN"/>
              </w:rPr>
            </w:pPr>
          </w:p>
        </w:tc>
        <w:tc>
          <w:tcPr>
            <w:tcW w:w="887" w:type="pct"/>
            <w:vAlign w:val="center"/>
          </w:tcPr>
          <w:p w14:paraId="7F96EB24">
            <w:pPr>
              <w:jc w:val="center"/>
              <w:rPr>
                <w:rFonts w:hint="eastAsia" w:ascii="宋体" w:hAnsi="宋体" w:eastAsia="宋体" w:cs="宋体"/>
                <w:sz w:val="24"/>
                <w:szCs w:val="24"/>
                <w:highlight w:val="none"/>
                <w:lang w:val="zh-CN"/>
              </w:rPr>
            </w:pPr>
          </w:p>
        </w:tc>
        <w:tc>
          <w:tcPr>
            <w:tcW w:w="887" w:type="pct"/>
            <w:vAlign w:val="center"/>
          </w:tcPr>
          <w:p w14:paraId="7463B87D">
            <w:pPr>
              <w:jc w:val="center"/>
              <w:rPr>
                <w:rFonts w:hint="eastAsia" w:ascii="宋体" w:hAnsi="宋体" w:eastAsia="宋体" w:cs="宋体"/>
                <w:sz w:val="24"/>
                <w:szCs w:val="24"/>
                <w:highlight w:val="none"/>
                <w:lang w:val="zh-CN"/>
              </w:rPr>
            </w:pPr>
          </w:p>
        </w:tc>
        <w:tc>
          <w:tcPr>
            <w:tcW w:w="886" w:type="pct"/>
            <w:vAlign w:val="center"/>
          </w:tcPr>
          <w:p w14:paraId="7FEA2D7B">
            <w:pPr>
              <w:jc w:val="center"/>
              <w:rPr>
                <w:rFonts w:hint="eastAsia" w:ascii="宋体" w:hAnsi="宋体" w:eastAsia="宋体" w:cs="宋体"/>
                <w:sz w:val="24"/>
                <w:szCs w:val="24"/>
                <w:highlight w:val="none"/>
                <w:lang w:val="zh-CN"/>
              </w:rPr>
            </w:pPr>
          </w:p>
        </w:tc>
      </w:tr>
      <w:tr w14:paraId="6B17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tcPr>
          <w:p w14:paraId="53EC2DB0">
            <w:pPr>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p>
        </w:tc>
        <w:tc>
          <w:tcPr>
            <w:tcW w:w="889" w:type="pct"/>
            <w:vAlign w:val="center"/>
          </w:tcPr>
          <w:p w14:paraId="136C48EE">
            <w:pPr>
              <w:jc w:val="center"/>
              <w:rPr>
                <w:rFonts w:hint="eastAsia" w:ascii="宋体" w:hAnsi="宋体" w:eastAsia="宋体" w:cs="宋体"/>
                <w:sz w:val="24"/>
                <w:szCs w:val="24"/>
                <w:highlight w:val="none"/>
                <w:lang w:val="zh-CN"/>
              </w:rPr>
            </w:pPr>
          </w:p>
        </w:tc>
        <w:tc>
          <w:tcPr>
            <w:tcW w:w="889" w:type="pct"/>
            <w:vAlign w:val="center"/>
          </w:tcPr>
          <w:p w14:paraId="532ED057">
            <w:pPr>
              <w:jc w:val="center"/>
              <w:rPr>
                <w:rFonts w:hint="eastAsia" w:ascii="宋体" w:hAnsi="宋体" w:eastAsia="宋体" w:cs="宋体"/>
                <w:sz w:val="24"/>
                <w:szCs w:val="24"/>
                <w:highlight w:val="none"/>
                <w:lang w:val="zh-CN"/>
              </w:rPr>
            </w:pPr>
          </w:p>
        </w:tc>
        <w:tc>
          <w:tcPr>
            <w:tcW w:w="887" w:type="pct"/>
            <w:vAlign w:val="center"/>
          </w:tcPr>
          <w:p w14:paraId="55A17976">
            <w:pPr>
              <w:jc w:val="center"/>
              <w:rPr>
                <w:rFonts w:hint="eastAsia" w:ascii="宋体" w:hAnsi="宋体" w:eastAsia="宋体" w:cs="宋体"/>
                <w:sz w:val="24"/>
                <w:szCs w:val="24"/>
                <w:highlight w:val="none"/>
                <w:lang w:val="zh-CN"/>
              </w:rPr>
            </w:pPr>
          </w:p>
        </w:tc>
        <w:tc>
          <w:tcPr>
            <w:tcW w:w="887" w:type="pct"/>
            <w:vAlign w:val="center"/>
          </w:tcPr>
          <w:p w14:paraId="60C1DFC4">
            <w:pPr>
              <w:jc w:val="center"/>
              <w:rPr>
                <w:rFonts w:hint="eastAsia" w:ascii="宋体" w:hAnsi="宋体" w:eastAsia="宋体" w:cs="宋体"/>
                <w:sz w:val="24"/>
                <w:szCs w:val="24"/>
                <w:highlight w:val="none"/>
                <w:lang w:val="zh-CN"/>
              </w:rPr>
            </w:pPr>
          </w:p>
        </w:tc>
        <w:tc>
          <w:tcPr>
            <w:tcW w:w="886" w:type="pct"/>
            <w:vAlign w:val="center"/>
          </w:tcPr>
          <w:p w14:paraId="417F5196">
            <w:pPr>
              <w:jc w:val="center"/>
              <w:rPr>
                <w:rFonts w:hint="eastAsia" w:ascii="宋体" w:hAnsi="宋体" w:eastAsia="宋体" w:cs="宋体"/>
                <w:sz w:val="24"/>
                <w:szCs w:val="24"/>
                <w:highlight w:val="none"/>
                <w:lang w:val="zh-CN"/>
              </w:rPr>
            </w:pPr>
          </w:p>
        </w:tc>
      </w:tr>
      <w:tr w14:paraId="645F2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tcPr>
          <w:p w14:paraId="4B03DD29">
            <w:pPr>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w:t>
            </w:r>
          </w:p>
        </w:tc>
        <w:tc>
          <w:tcPr>
            <w:tcW w:w="889" w:type="pct"/>
            <w:vAlign w:val="center"/>
          </w:tcPr>
          <w:p w14:paraId="6DA9A79A">
            <w:pPr>
              <w:jc w:val="center"/>
              <w:rPr>
                <w:rFonts w:hint="eastAsia" w:ascii="宋体" w:hAnsi="宋体" w:eastAsia="宋体" w:cs="宋体"/>
                <w:sz w:val="24"/>
                <w:szCs w:val="24"/>
                <w:highlight w:val="none"/>
                <w:lang w:val="zh-CN"/>
              </w:rPr>
            </w:pPr>
          </w:p>
        </w:tc>
        <w:tc>
          <w:tcPr>
            <w:tcW w:w="889" w:type="pct"/>
            <w:vAlign w:val="center"/>
          </w:tcPr>
          <w:p w14:paraId="5ABBCF75">
            <w:pPr>
              <w:jc w:val="center"/>
              <w:rPr>
                <w:rFonts w:hint="eastAsia" w:ascii="宋体" w:hAnsi="宋体" w:eastAsia="宋体" w:cs="宋体"/>
                <w:sz w:val="24"/>
                <w:szCs w:val="24"/>
                <w:highlight w:val="none"/>
                <w:lang w:val="zh-CN"/>
              </w:rPr>
            </w:pPr>
          </w:p>
        </w:tc>
        <w:tc>
          <w:tcPr>
            <w:tcW w:w="887" w:type="pct"/>
            <w:vAlign w:val="center"/>
          </w:tcPr>
          <w:p w14:paraId="2D520445">
            <w:pPr>
              <w:jc w:val="center"/>
              <w:rPr>
                <w:rFonts w:hint="eastAsia" w:ascii="宋体" w:hAnsi="宋体" w:eastAsia="宋体" w:cs="宋体"/>
                <w:sz w:val="24"/>
                <w:szCs w:val="24"/>
                <w:highlight w:val="none"/>
                <w:lang w:val="zh-CN"/>
              </w:rPr>
            </w:pPr>
          </w:p>
        </w:tc>
        <w:tc>
          <w:tcPr>
            <w:tcW w:w="887" w:type="pct"/>
            <w:vAlign w:val="center"/>
          </w:tcPr>
          <w:p w14:paraId="7682DF2E">
            <w:pPr>
              <w:jc w:val="center"/>
              <w:rPr>
                <w:rFonts w:hint="eastAsia" w:ascii="宋体" w:hAnsi="宋体" w:eastAsia="宋体" w:cs="宋体"/>
                <w:sz w:val="24"/>
                <w:szCs w:val="24"/>
                <w:highlight w:val="none"/>
                <w:lang w:val="zh-CN"/>
              </w:rPr>
            </w:pPr>
          </w:p>
        </w:tc>
        <w:tc>
          <w:tcPr>
            <w:tcW w:w="886" w:type="pct"/>
            <w:vAlign w:val="center"/>
          </w:tcPr>
          <w:p w14:paraId="5DC8EE96">
            <w:pPr>
              <w:jc w:val="center"/>
              <w:rPr>
                <w:rFonts w:hint="eastAsia" w:ascii="宋体" w:hAnsi="宋体" w:eastAsia="宋体" w:cs="宋体"/>
                <w:sz w:val="24"/>
                <w:szCs w:val="24"/>
                <w:highlight w:val="none"/>
                <w:lang w:val="zh-CN"/>
              </w:rPr>
            </w:pPr>
          </w:p>
        </w:tc>
      </w:tr>
    </w:tbl>
    <w:p w14:paraId="74F55823">
      <w:pPr>
        <w:spacing w:line="360" w:lineRule="auto"/>
        <w:ind w:firstLine="437"/>
        <w:outlineLvl w:val="2"/>
        <w:rPr>
          <w:rFonts w:hint="eastAsia" w:ascii="宋体" w:hAnsi="宋体" w:eastAsia="宋体" w:cs="宋体"/>
          <w:b/>
          <w:bCs/>
          <w:sz w:val="24"/>
          <w:szCs w:val="24"/>
          <w:highlight w:val="none"/>
          <w:lang w:val="zh-CN"/>
        </w:rPr>
      </w:pPr>
      <w:bookmarkStart w:id="65" w:name="_Toc21631"/>
      <w:bookmarkStart w:id="66" w:name="_Toc23292"/>
      <w:bookmarkStart w:id="67" w:name="_Toc21551"/>
      <w:r>
        <w:rPr>
          <w:rFonts w:hint="eastAsia" w:ascii="宋体" w:hAnsi="宋体" w:eastAsia="宋体" w:cs="宋体"/>
          <w:b/>
          <w:bCs/>
          <w:sz w:val="24"/>
          <w:szCs w:val="24"/>
          <w:highlight w:val="none"/>
          <w:lang w:val="zh-CN"/>
        </w:rPr>
        <w:t>1.3 价款</w:t>
      </w:r>
      <w:bookmarkEnd w:id="65"/>
      <w:bookmarkEnd w:id="66"/>
      <w:bookmarkEnd w:id="67"/>
    </w:p>
    <w:p w14:paraId="60945BBF">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本合同总价为：￥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元（大写：人民币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14:paraId="0A444550">
      <w:pPr>
        <w:spacing w:line="360" w:lineRule="auto"/>
        <w:ind w:firstLine="435"/>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分项价格：</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5045"/>
        <w:gridCol w:w="14"/>
        <w:gridCol w:w="3770"/>
        <w:gridCol w:w="14"/>
      </w:tblGrid>
      <w:tr w14:paraId="6420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38A3A99C">
            <w:pPr>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序号</w:t>
            </w:r>
          </w:p>
        </w:tc>
        <w:tc>
          <w:tcPr>
            <w:tcW w:w="2532" w:type="pct"/>
            <w:vAlign w:val="center"/>
          </w:tcPr>
          <w:p w14:paraId="01EA60B8">
            <w:pPr>
              <w:ind w:firstLine="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分项名称</w:t>
            </w:r>
          </w:p>
        </w:tc>
        <w:tc>
          <w:tcPr>
            <w:tcW w:w="1899" w:type="pct"/>
            <w:gridSpan w:val="2"/>
            <w:vAlign w:val="center"/>
          </w:tcPr>
          <w:p w14:paraId="495AF63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分项价格</w:t>
            </w:r>
          </w:p>
        </w:tc>
      </w:tr>
      <w:tr w14:paraId="22A7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421F1E00">
            <w:pPr>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w:t>
            </w:r>
          </w:p>
        </w:tc>
        <w:tc>
          <w:tcPr>
            <w:tcW w:w="2532" w:type="pct"/>
            <w:vAlign w:val="center"/>
          </w:tcPr>
          <w:p w14:paraId="12462016">
            <w:pPr>
              <w:ind w:firstLine="200"/>
              <w:jc w:val="center"/>
              <w:rPr>
                <w:rFonts w:hint="eastAsia" w:ascii="宋体" w:hAnsi="宋体" w:eastAsia="宋体" w:cs="宋体"/>
                <w:sz w:val="24"/>
                <w:szCs w:val="24"/>
                <w:highlight w:val="none"/>
              </w:rPr>
            </w:pPr>
          </w:p>
        </w:tc>
        <w:tc>
          <w:tcPr>
            <w:tcW w:w="1899" w:type="pct"/>
            <w:gridSpan w:val="2"/>
            <w:vAlign w:val="center"/>
          </w:tcPr>
          <w:p w14:paraId="2071B687">
            <w:pPr>
              <w:ind w:firstLine="200"/>
              <w:jc w:val="center"/>
              <w:rPr>
                <w:rFonts w:hint="eastAsia" w:ascii="宋体" w:hAnsi="宋体" w:eastAsia="宋体" w:cs="宋体"/>
                <w:sz w:val="24"/>
                <w:szCs w:val="24"/>
                <w:highlight w:val="none"/>
              </w:rPr>
            </w:pPr>
          </w:p>
        </w:tc>
      </w:tr>
      <w:tr w14:paraId="2209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AC6415B">
            <w:pPr>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w:t>
            </w:r>
          </w:p>
        </w:tc>
        <w:tc>
          <w:tcPr>
            <w:tcW w:w="2532" w:type="pct"/>
            <w:vAlign w:val="center"/>
          </w:tcPr>
          <w:p w14:paraId="59E353C3">
            <w:pPr>
              <w:ind w:firstLine="200"/>
              <w:jc w:val="center"/>
              <w:rPr>
                <w:rFonts w:hint="eastAsia" w:ascii="宋体" w:hAnsi="宋体" w:eastAsia="宋体" w:cs="宋体"/>
                <w:sz w:val="24"/>
                <w:szCs w:val="24"/>
                <w:highlight w:val="none"/>
              </w:rPr>
            </w:pPr>
          </w:p>
        </w:tc>
        <w:tc>
          <w:tcPr>
            <w:tcW w:w="1899" w:type="pct"/>
            <w:gridSpan w:val="2"/>
            <w:vAlign w:val="center"/>
          </w:tcPr>
          <w:p w14:paraId="3651E306">
            <w:pPr>
              <w:ind w:firstLine="200"/>
              <w:jc w:val="center"/>
              <w:rPr>
                <w:rFonts w:hint="eastAsia" w:ascii="宋体" w:hAnsi="宋体" w:eastAsia="宋体" w:cs="宋体"/>
                <w:sz w:val="24"/>
                <w:szCs w:val="24"/>
                <w:highlight w:val="none"/>
              </w:rPr>
            </w:pPr>
          </w:p>
        </w:tc>
      </w:tr>
      <w:tr w14:paraId="4F9C0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5F43FC24">
            <w:pPr>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p>
        </w:tc>
        <w:tc>
          <w:tcPr>
            <w:tcW w:w="2532" w:type="pct"/>
            <w:vAlign w:val="center"/>
          </w:tcPr>
          <w:p w14:paraId="00870A1C">
            <w:pPr>
              <w:ind w:firstLine="200"/>
              <w:jc w:val="center"/>
              <w:rPr>
                <w:rFonts w:hint="eastAsia" w:ascii="宋体" w:hAnsi="宋体" w:eastAsia="宋体" w:cs="宋体"/>
                <w:sz w:val="24"/>
                <w:szCs w:val="24"/>
                <w:highlight w:val="none"/>
              </w:rPr>
            </w:pPr>
          </w:p>
        </w:tc>
        <w:tc>
          <w:tcPr>
            <w:tcW w:w="1899" w:type="pct"/>
            <w:gridSpan w:val="2"/>
            <w:vAlign w:val="center"/>
          </w:tcPr>
          <w:p w14:paraId="551C2772">
            <w:pPr>
              <w:ind w:firstLine="200"/>
              <w:jc w:val="center"/>
              <w:rPr>
                <w:rFonts w:hint="eastAsia" w:ascii="宋体" w:hAnsi="宋体" w:eastAsia="宋体" w:cs="宋体"/>
                <w:sz w:val="24"/>
                <w:szCs w:val="24"/>
                <w:highlight w:val="none"/>
              </w:rPr>
            </w:pPr>
          </w:p>
        </w:tc>
      </w:tr>
      <w:tr w14:paraId="1E94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1A970A12">
            <w:pPr>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w:t>
            </w:r>
          </w:p>
        </w:tc>
        <w:tc>
          <w:tcPr>
            <w:tcW w:w="2532" w:type="pct"/>
            <w:vAlign w:val="center"/>
          </w:tcPr>
          <w:p w14:paraId="6E88B227">
            <w:pPr>
              <w:ind w:firstLine="200"/>
              <w:jc w:val="center"/>
              <w:rPr>
                <w:rFonts w:hint="eastAsia" w:ascii="宋体" w:hAnsi="宋体" w:eastAsia="宋体" w:cs="宋体"/>
                <w:sz w:val="24"/>
                <w:szCs w:val="24"/>
                <w:highlight w:val="none"/>
              </w:rPr>
            </w:pPr>
          </w:p>
        </w:tc>
        <w:tc>
          <w:tcPr>
            <w:tcW w:w="1899" w:type="pct"/>
            <w:gridSpan w:val="2"/>
            <w:vAlign w:val="center"/>
          </w:tcPr>
          <w:p w14:paraId="3DF48A90">
            <w:pPr>
              <w:ind w:firstLine="200"/>
              <w:jc w:val="center"/>
              <w:rPr>
                <w:rFonts w:hint="eastAsia" w:ascii="宋体" w:hAnsi="宋体" w:eastAsia="宋体" w:cs="宋体"/>
                <w:sz w:val="24"/>
                <w:szCs w:val="24"/>
                <w:highlight w:val="none"/>
              </w:rPr>
            </w:pPr>
          </w:p>
        </w:tc>
      </w:tr>
      <w:tr w14:paraId="32A15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011B847D">
            <w:pPr>
              <w:ind w:firstLine="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总价</w:t>
            </w:r>
          </w:p>
        </w:tc>
        <w:tc>
          <w:tcPr>
            <w:tcW w:w="1899" w:type="pct"/>
            <w:gridSpan w:val="2"/>
            <w:vAlign w:val="center"/>
          </w:tcPr>
          <w:p w14:paraId="6CB8D450">
            <w:pPr>
              <w:ind w:firstLine="200"/>
              <w:jc w:val="center"/>
              <w:rPr>
                <w:rFonts w:hint="eastAsia" w:ascii="宋体" w:hAnsi="宋体" w:eastAsia="宋体" w:cs="宋体"/>
                <w:sz w:val="24"/>
                <w:szCs w:val="24"/>
                <w:highlight w:val="none"/>
              </w:rPr>
            </w:pPr>
          </w:p>
        </w:tc>
      </w:tr>
    </w:tbl>
    <w:p w14:paraId="789ABDA3">
      <w:pPr>
        <w:spacing w:line="360" w:lineRule="auto"/>
        <w:ind w:firstLine="437"/>
        <w:outlineLvl w:val="2"/>
        <w:rPr>
          <w:rFonts w:hint="eastAsia" w:ascii="宋体" w:hAnsi="宋体" w:eastAsia="宋体" w:cs="宋体"/>
          <w:b/>
          <w:bCs/>
          <w:sz w:val="24"/>
          <w:szCs w:val="24"/>
          <w:highlight w:val="none"/>
          <w:lang w:val="zh-CN"/>
        </w:rPr>
      </w:pPr>
      <w:bookmarkStart w:id="68" w:name="_Toc1814"/>
      <w:bookmarkStart w:id="69" w:name="_Toc10340"/>
      <w:bookmarkStart w:id="70" w:name="_Toc22618"/>
      <w:r>
        <w:rPr>
          <w:rFonts w:hint="eastAsia" w:ascii="宋体" w:hAnsi="宋体" w:eastAsia="宋体" w:cs="宋体"/>
          <w:b/>
          <w:bCs/>
          <w:sz w:val="24"/>
          <w:szCs w:val="24"/>
          <w:highlight w:val="none"/>
          <w:lang w:val="zh-CN"/>
        </w:rPr>
        <w:t>1.4 付款方式和发票开具方式</w:t>
      </w:r>
      <w:bookmarkEnd w:id="68"/>
      <w:bookmarkEnd w:id="69"/>
      <w:bookmarkEnd w:id="70"/>
    </w:p>
    <w:p w14:paraId="328F2D62">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1.4.1付款方式：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30751C69">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1.4.2发票开具方式：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7F605035">
      <w:pPr>
        <w:spacing w:line="360" w:lineRule="auto"/>
        <w:ind w:firstLine="437"/>
        <w:outlineLvl w:val="2"/>
        <w:rPr>
          <w:rFonts w:hint="eastAsia" w:ascii="宋体" w:hAnsi="宋体" w:eastAsia="宋体" w:cs="宋体"/>
          <w:b/>
          <w:bCs/>
          <w:sz w:val="24"/>
          <w:szCs w:val="24"/>
          <w:highlight w:val="none"/>
          <w:lang w:val="zh-CN"/>
        </w:rPr>
      </w:pPr>
      <w:bookmarkStart w:id="71" w:name="_Toc2846"/>
      <w:bookmarkStart w:id="72" w:name="_Toc32071"/>
      <w:bookmarkStart w:id="73" w:name="_Toc19304"/>
      <w:r>
        <w:rPr>
          <w:rFonts w:hint="eastAsia" w:ascii="宋体" w:hAnsi="宋体" w:eastAsia="宋体" w:cs="宋体"/>
          <w:b/>
          <w:bCs/>
          <w:sz w:val="24"/>
          <w:szCs w:val="24"/>
          <w:highlight w:val="none"/>
          <w:lang w:val="zh-CN"/>
        </w:rPr>
        <w:t>1.5 货物交付期限、地点和方式</w:t>
      </w:r>
      <w:bookmarkEnd w:id="71"/>
      <w:bookmarkEnd w:id="72"/>
      <w:bookmarkEnd w:id="73"/>
    </w:p>
    <w:p w14:paraId="6503B6E8">
      <w:pPr>
        <w:spacing w:line="360" w:lineRule="auto"/>
        <w:ind w:firstLine="435"/>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1.5.1交付期限：</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1BC1CC00">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1.5.2交付地点：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605732EA">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1.5.3交付方式：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7E56DAB4">
      <w:pPr>
        <w:spacing w:line="360" w:lineRule="auto"/>
        <w:ind w:firstLine="437"/>
        <w:outlineLvl w:val="2"/>
        <w:rPr>
          <w:rFonts w:hint="eastAsia" w:ascii="宋体" w:hAnsi="宋体" w:eastAsia="宋体" w:cs="宋体"/>
          <w:b/>
          <w:bCs/>
          <w:sz w:val="24"/>
          <w:szCs w:val="24"/>
          <w:highlight w:val="none"/>
          <w:lang w:val="zh-CN"/>
        </w:rPr>
      </w:pPr>
      <w:bookmarkStart w:id="74" w:name="_Toc19554"/>
      <w:bookmarkStart w:id="75" w:name="_Toc21423"/>
      <w:bookmarkStart w:id="76" w:name="_Toc27250"/>
      <w:r>
        <w:rPr>
          <w:rFonts w:hint="eastAsia" w:ascii="宋体" w:hAnsi="宋体" w:eastAsia="宋体" w:cs="宋体"/>
          <w:b/>
          <w:bCs/>
          <w:sz w:val="24"/>
          <w:szCs w:val="24"/>
          <w:highlight w:val="none"/>
          <w:lang w:val="zh-CN"/>
        </w:rPr>
        <w:t>1.6 违约责任</w:t>
      </w:r>
      <w:bookmarkEnd w:id="74"/>
      <w:bookmarkEnd w:id="75"/>
      <w:bookmarkEnd w:id="76"/>
    </w:p>
    <w:p w14:paraId="2EFDBA3F">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1.6.1除不可抗力外，如果乙方没有按照本合同约定的期限、地点和方式交付货物，那么甲方可要求乙方支付违约金，违约金按每迟延交付货物一日的应交付而未交付货物价格的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%计算，最高限额为本合同总价的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%；迟延交付货物的违约金计算数额达到前述最高限额之日起，甲方有权在要求乙方支付违约金的同时，书面通知乙方解除本合同；</w:t>
      </w:r>
    </w:p>
    <w:p w14:paraId="5A3AA2AA">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%计算，最高限额为本合同总价的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%；迟延付款的违约金计算数额达到前述最高限额之日起，乙方有权在要求甲方支付违约金的同时，书面通知甲方解除本合同；</w:t>
      </w:r>
    </w:p>
    <w:p w14:paraId="0BB82173">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30E6DFD">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D510518">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296FA38">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74350F9A">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0AE24438">
      <w:pPr>
        <w:spacing w:line="360" w:lineRule="auto"/>
        <w:ind w:firstLine="437"/>
        <w:outlineLvl w:val="2"/>
        <w:rPr>
          <w:rFonts w:hint="eastAsia" w:ascii="宋体" w:hAnsi="宋体" w:eastAsia="宋体" w:cs="宋体"/>
          <w:b/>
          <w:bCs/>
          <w:sz w:val="24"/>
          <w:szCs w:val="24"/>
          <w:highlight w:val="none"/>
          <w:lang w:val="zh-CN"/>
        </w:rPr>
      </w:pPr>
      <w:bookmarkStart w:id="77" w:name="_Toc28375"/>
      <w:bookmarkStart w:id="78" w:name="_Toc16021"/>
      <w:bookmarkStart w:id="79" w:name="_Toc15583"/>
      <w:r>
        <w:rPr>
          <w:rFonts w:hint="eastAsia" w:ascii="宋体" w:hAnsi="宋体" w:eastAsia="宋体" w:cs="宋体"/>
          <w:b/>
          <w:bCs/>
          <w:sz w:val="24"/>
          <w:szCs w:val="24"/>
          <w:highlight w:val="none"/>
          <w:lang w:val="zh-CN"/>
        </w:rPr>
        <w:t>1.7 合同争议的解决</w:t>
      </w:r>
      <w:bookmarkEnd w:id="77"/>
      <w:bookmarkEnd w:id="78"/>
      <w:bookmarkEnd w:id="79"/>
    </w:p>
    <w:p w14:paraId="539B67F6">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种方式解决：</w:t>
      </w:r>
    </w:p>
    <w:p w14:paraId="17C70634">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1.7.1将争议提交</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仲裁委员会依申请仲裁时其现行有效的仲裁规则裁决；</w:t>
      </w:r>
    </w:p>
    <w:p w14:paraId="0C416A0F">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1.7.2向</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人民法院起诉。</w:t>
      </w:r>
    </w:p>
    <w:p w14:paraId="4CB547F5">
      <w:pPr>
        <w:spacing w:line="360" w:lineRule="auto"/>
        <w:ind w:firstLine="437"/>
        <w:outlineLvl w:val="2"/>
        <w:rPr>
          <w:rFonts w:hint="eastAsia" w:ascii="宋体" w:hAnsi="宋体" w:eastAsia="宋体" w:cs="宋体"/>
          <w:b/>
          <w:bCs/>
          <w:sz w:val="24"/>
          <w:szCs w:val="24"/>
          <w:highlight w:val="none"/>
          <w:lang w:val="zh-CN"/>
        </w:rPr>
      </w:pPr>
      <w:bookmarkStart w:id="80" w:name="_Toc15322"/>
      <w:bookmarkStart w:id="81" w:name="_Toc11173"/>
      <w:bookmarkStart w:id="82" w:name="_Toc7245"/>
      <w:r>
        <w:rPr>
          <w:rFonts w:hint="eastAsia" w:ascii="宋体" w:hAnsi="宋体" w:eastAsia="宋体" w:cs="宋体"/>
          <w:b/>
          <w:bCs/>
          <w:sz w:val="24"/>
          <w:szCs w:val="24"/>
          <w:highlight w:val="none"/>
          <w:lang w:val="zh-CN"/>
        </w:rPr>
        <w:t>1.8 合同生效</w:t>
      </w:r>
      <w:bookmarkEnd w:id="80"/>
      <w:bookmarkEnd w:id="81"/>
      <w:bookmarkEnd w:id="82"/>
    </w:p>
    <w:p w14:paraId="75D41DD5">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本合同自双方当事人盖章时生效。</w:t>
      </w:r>
    </w:p>
    <w:p w14:paraId="4982D288">
      <w:pPr>
        <w:autoSpaceDE w:val="0"/>
        <w:autoSpaceDN w:val="0"/>
        <w:adjustRightInd w:val="0"/>
        <w:spacing w:line="560" w:lineRule="exact"/>
        <w:rPr>
          <w:rFonts w:hint="eastAsia" w:ascii="宋体" w:hAnsi="宋体" w:eastAsia="宋体" w:cs="宋体"/>
          <w:sz w:val="24"/>
          <w:szCs w:val="24"/>
          <w:highlight w:val="none"/>
          <w:lang w:val="zh-CN"/>
        </w:rPr>
      </w:pPr>
    </w:p>
    <w:p w14:paraId="4C914CF3">
      <w:pPr>
        <w:autoSpaceDE w:val="0"/>
        <w:autoSpaceDN w:val="0"/>
        <w:adjustRightInd w:val="0"/>
        <w:spacing w:line="560" w:lineRule="exact"/>
        <w:rPr>
          <w:rFonts w:hint="eastAsia" w:ascii="宋体" w:hAnsi="宋体" w:eastAsia="宋体" w:cs="宋体"/>
          <w:sz w:val="24"/>
          <w:szCs w:val="24"/>
          <w:highlight w:val="none"/>
          <w:lang w:val="zh-CN"/>
        </w:rPr>
      </w:pPr>
    </w:p>
    <w:p w14:paraId="3DF81427">
      <w:pPr>
        <w:autoSpaceDE w:val="0"/>
        <w:autoSpaceDN w:val="0"/>
        <w:adjustRightInd w:val="0"/>
        <w:spacing w:line="560" w:lineRule="exact"/>
        <w:rPr>
          <w:rFonts w:hint="eastAsia" w:ascii="宋体" w:hAnsi="宋体" w:eastAsia="宋体" w:cs="宋体"/>
          <w:sz w:val="24"/>
          <w:szCs w:val="24"/>
          <w:highlight w:val="none"/>
          <w:lang w:val="zh-CN"/>
        </w:rPr>
      </w:pPr>
    </w:p>
    <w:p w14:paraId="5381141C">
      <w:pPr>
        <w:autoSpaceDE w:val="0"/>
        <w:autoSpaceDN w:val="0"/>
        <w:adjustRightInd w:val="0"/>
        <w:spacing w:line="560" w:lineRule="exact"/>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甲    方：</w:t>
      </w:r>
      <w:r>
        <w:rPr>
          <w:rFonts w:hint="eastAsia" w:ascii="宋体" w:hAnsi="宋体" w:eastAsia="宋体" w:cs="宋体"/>
          <w:bCs/>
          <w:sz w:val="24"/>
          <w:szCs w:val="24"/>
          <w:highlight w:val="none"/>
          <w:u w:val="single"/>
          <w:lang w:val="zh-CN"/>
        </w:rPr>
        <w:t xml:space="preserve">    （单位盖章）     </w:t>
      </w:r>
      <w:r>
        <w:rPr>
          <w:rFonts w:hint="eastAsia" w:ascii="宋体" w:hAnsi="宋体" w:eastAsia="宋体" w:cs="宋体"/>
          <w:bCs/>
          <w:sz w:val="24"/>
          <w:szCs w:val="24"/>
          <w:highlight w:val="none"/>
          <w:lang w:val="zh-CN"/>
        </w:rPr>
        <w:t xml:space="preserve">          乙方：</w:t>
      </w:r>
      <w:r>
        <w:rPr>
          <w:rFonts w:hint="eastAsia" w:ascii="宋体" w:hAnsi="宋体" w:eastAsia="宋体" w:cs="宋体"/>
          <w:bCs/>
          <w:sz w:val="24"/>
          <w:szCs w:val="24"/>
          <w:highlight w:val="none"/>
          <w:u w:val="single"/>
          <w:lang w:val="zh-CN"/>
        </w:rPr>
        <w:t xml:space="preserve">    （单位盖章）     </w:t>
      </w:r>
    </w:p>
    <w:p w14:paraId="3A2C4B1D">
      <w:pPr>
        <w:autoSpaceDE w:val="0"/>
        <w:autoSpaceDN w:val="0"/>
        <w:adjustRightInd w:val="0"/>
        <w:spacing w:line="56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法定代表人                               法定代表人</w:t>
      </w:r>
    </w:p>
    <w:p w14:paraId="3A0E01F8">
      <w:pPr>
        <w:autoSpaceDE w:val="0"/>
        <w:autoSpaceDN w:val="0"/>
        <w:adjustRightInd w:val="0"/>
        <w:spacing w:line="56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或授权代表（签字）：                      或授权代表（签字）：</w:t>
      </w:r>
    </w:p>
    <w:p w14:paraId="324A6360">
      <w:pPr>
        <w:widowControl/>
        <w:spacing w:line="560" w:lineRule="exact"/>
        <w:jc w:val="left"/>
        <w:rPr>
          <w:rFonts w:hint="eastAsia" w:ascii="宋体" w:hAnsi="宋体" w:eastAsia="宋体" w:cs="宋体"/>
          <w:bCs/>
          <w:sz w:val="24"/>
          <w:szCs w:val="24"/>
          <w:highlight w:val="none"/>
        </w:rPr>
      </w:pPr>
      <w:bookmarkStart w:id="83" w:name="_Toc331685783"/>
      <w:r>
        <w:rPr>
          <w:rFonts w:hint="eastAsia" w:ascii="宋体" w:hAnsi="宋体" w:eastAsia="宋体" w:cs="宋体"/>
          <w:bCs/>
          <w:sz w:val="24"/>
          <w:szCs w:val="24"/>
          <w:highlight w:val="none"/>
        </w:rPr>
        <w:t>时间：</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月</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日               时间：</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月</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日</w:t>
      </w:r>
    </w:p>
    <w:p w14:paraId="21F46AD1">
      <w:pPr>
        <w:widowControl/>
        <w:spacing w:line="560" w:lineRule="exac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乙方账户信息</w:t>
      </w:r>
    </w:p>
    <w:p w14:paraId="1B6E0F77">
      <w:pPr>
        <w:widowControl/>
        <w:spacing w:line="560" w:lineRule="exact"/>
        <w:jc w:val="left"/>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户名：</w:t>
      </w:r>
      <w:r>
        <w:rPr>
          <w:rFonts w:hint="eastAsia" w:ascii="宋体" w:hAnsi="宋体" w:eastAsia="宋体" w:cs="宋体"/>
          <w:bCs/>
          <w:sz w:val="24"/>
          <w:szCs w:val="24"/>
          <w:highlight w:val="none"/>
          <w:u w:val="single"/>
        </w:rPr>
        <w:t xml:space="preserve">                    </w:t>
      </w:r>
    </w:p>
    <w:p w14:paraId="653784D0">
      <w:pPr>
        <w:widowControl/>
        <w:spacing w:line="560" w:lineRule="exact"/>
        <w:jc w:val="left"/>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账号：</w:t>
      </w:r>
      <w:r>
        <w:rPr>
          <w:rFonts w:hint="eastAsia" w:ascii="宋体" w:hAnsi="宋体" w:eastAsia="宋体" w:cs="宋体"/>
          <w:bCs/>
          <w:sz w:val="24"/>
          <w:szCs w:val="24"/>
          <w:highlight w:val="none"/>
          <w:u w:val="single"/>
        </w:rPr>
        <w:t xml:space="preserve">                    </w:t>
      </w:r>
    </w:p>
    <w:p w14:paraId="26302FEE">
      <w:pPr>
        <w:widowControl/>
        <w:spacing w:line="560" w:lineRule="exact"/>
        <w:jc w:val="left"/>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开户银行：</w:t>
      </w:r>
      <w:r>
        <w:rPr>
          <w:rFonts w:hint="eastAsia" w:ascii="宋体" w:hAnsi="宋体" w:eastAsia="宋体" w:cs="宋体"/>
          <w:bCs/>
          <w:sz w:val="24"/>
          <w:szCs w:val="24"/>
          <w:highlight w:val="none"/>
          <w:u w:val="single"/>
        </w:rPr>
        <w:t xml:space="preserve">                </w:t>
      </w:r>
    </w:p>
    <w:p w14:paraId="007E4443">
      <w:pPr>
        <w:widowControl/>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4E826A95">
      <w:pPr>
        <w:spacing w:line="360" w:lineRule="auto"/>
        <w:jc w:val="center"/>
        <w:outlineLvl w:val="1"/>
        <w:rPr>
          <w:rFonts w:hint="eastAsia" w:ascii="宋体" w:hAnsi="宋体" w:eastAsia="宋体" w:cs="宋体"/>
          <w:b/>
          <w:sz w:val="24"/>
          <w:highlight w:val="none"/>
        </w:rPr>
      </w:pPr>
      <w:r>
        <w:rPr>
          <w:rFonts w:hint="eastAsia" w:ascii="宋体" w:hAnsi="宋体" w:eastAsia="宋体" w:cs="宋体"/>
          <w:b/>
          <w:sz w:val="24"/>
          <w:highlight w:val="none"/>
        </w:rPr>
        <w:t>第二部分 合同一般条款</w:t>
      </w:r>
      <w:bookmarkEnd w:id="83"/>
    </w:p>
    <w:p w14:paraId="215ED0CE">
      <w:pPr>
        <w:spacing w:line="360" w:lineRule="auto"/>
        <w:ind w:firstLine="437"/>
        <w:outlineLvl w:val="2"/>
        <w:rPr>
          <w:rFonts w:hint="eastAsia" w:ascii="宋体" w:hAnsi="宋体" w:eastAsia="宋体" w:cs="宋体"/>
          <w:b/>
          <w:bCs/>
          <w:sz w:val="24"/>
          <w:szCs w:val="24"/>
          <w:highlight w:val="none"/>
          <w:lang w:val="zh-CN"/>
        </w:rPr>
      </w:pPr>
      <w:bookmarkStart w:id="84" w:name="_Ref467379214"/>
      <w:bookmarkStart w:id="85" w:name="_Ref467379225"/>
      <w:bookmarkStart w:id="86" w:name="_Toc19614"/>
      <w:bookmarkStart w:id="87" w:name="_Toc28763"/>
      <w:bookmarkStart w:id="88" w:name="_Toc279701240"/>
      <w:bookmarkStart w:id="89" w:name="_Toc259093669"/>
      <w:bookmarkStart w:id="90" w:name="_Ref467379094"/>
      <w:bookmarkStart w:id="91" w:name="_Ref467379101"/>
      <w:bookmarkStart w:id="92" w:name="_Ref467378499"/>
      <w:bookmarkStart w:id="93" w:name="_Toc487900349"/>
      <w:bookmarkStart w:id="94" w:name="_Ref467378404"/>
      <w:bookmarkStart w:id="95" w:name="_Ref467379205"/>
      <w:bookmarkStart w:id="96" w:name="_Ref467378463"/>
      <w:bookmarkStart w:id="97" w:name="_Ref467379195"/>
      <w:bookmarkStart w:id="98" w:name="_Toc16917"/>
      <w:bookmarkStart w:id="99" w:name="_Ref467379109"/>
      <w:r>
        <w:rPr>
          <w:rFonts w:hint="eastAsia" w:ascii="宋体" w:hAnsi="宋体" w:eastAsia="宋体" w:cs="宋体"/>
          <w:b/>
          <w:bCs/>
          <w:sz w:val="24"/>
          <w:szCs w:val="24"/>
          <w:highlight w:val="none"/>
          <w:lang w:val="zh-CN"/>
        </w:rPr>
        <w:t>2.1 定义</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6E311520">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本合同中的下列词语应按以下内容进行解释：</w:t>
      </w:r>
    </w:p>
    <w:p w14:paraId="556EE32E">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2.1.1“合同”系指</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和中标人签订的载明双方当事人所达成的协议，并包括所有的附件、附录和构成合同的其他文件。</w:t>
      </w:r>
    </w:p>
    <w:p w14:paraId="586BFE6A">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2.1.2“合同价”系指根据合同约定，中标人在完全履行合同义务后，</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应支付给中标人的价格。</w:t>
      </w:r>
    </w:p>
    <w:p w14:paraId="0053A20A">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2.1.3“货物”系指中标人根据合同约定应向</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交付的一切各种形态和种类的物品，包括原材料、燃料、设备、机械、仪表、备件、计算机软件、产品等，并包括工具、手册等其他相关资料。</w:t>
      </w:r>
    </w:p>
    <w:p w14:paraId="5EE41E35">
      <w:pPr>
        <w:spacing w:line="360" w:lineRule="auto"/>
        <w:ind w:firstLine="435"/>
        <w:rPr>
          <w:rFonts w:hint="eastAsia" w:ascii="宋体" w:hAnsi="宋体" w:eastAsia="宋体" w:cs="宋体"/>
          <w:sz w:val="24"/>
          <w:szCs w:val="24"/>
          <w:highlight w:val="none"/>
        </w:rPr>
      </w:pPr>
      <w:bookmarkStart w:id="100" w:name="_Ref467378840"/>
      <w:r>
        <w:rPr>
          <w:rFonts w:hint="eastAsia" w:ascii="宋体" w:hAnsi="宋体" w:eastAsia="宋体" w:cs="宋体"/>
          <w:sz w:val="24"/>
          <w:szCs w:val="24"/>
          <w:highlight w:val="none"/>
        </w:rPr>
        <w:t>2.1.4“甲方”系指与中标人签署合同的</w:t>
      </w:r>
      <w:bookmarkEnd w:id="100"/>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委托</w:t>
      </w:r>
      <w:r>
        <w:rPr>
          <w:rFonts w:hint="eastAsia" w:ascii="宋体" w:hAnsi="宋体" w:eastAsia="宋体" w:cs="宋体"/>
          <w:sz w:val="24"/>
          <w:szCs w:val="24"/>
          <w:highlight w:val="none"/>
          <w:lang w:eastAsia="zh-CN"/>
        </w:rPr>
        <w:t>招标代理</w:t>
      </w:r>
      <w:r>
        <w:rPr>
          <w:rFonts w:hint="eastAsia" w:ascii="宋体" w:hAnsi="宋体" w:eastAsia="宋体" w:cs="宋体"/>
          <w:sz w:val="24"/>
          <w:szCs w:val="24"/>
          <w:highlight w:val="none"/>
        </w:rPr>
        <w:t>机构代表其与乙方签订合同的，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的授权委托书作为合同附件。</w:t>
      </w:r>
    </w:p>
    <w:p w14:paraId="54F93969">
      <w:pPr>
        <w:spacing w:line="360" w:lineRule="auto"/>
        <w:ind w:firstLine="435"/>
        <w:rPr>
          <w:rFonts w:hint="eastAsia" w:ascii="宋体" w:hAnsi="宋体" w:eastAsia="宋体" w:cs="宋体"/>
          <w:sz w:val="24"/>
          <w:szCs w:val="24"/>
          <w:highlight w:val="none"/>
        </w:rPr>
      </w:pPr>
      <w:bookmarkStart w:id="101" w:name="_Ref467379400"/>
      <w:r>
        <w:rPr>
          <w:rFonts w:hint="eastAsia" w:ascii="宋体" w:hAnsi="宋体" w:eastAsia="宋体" w:cs="宋体"/>
          <w:sz w:val="24"/>
          <w:szCs w:val="24"/>
          <w:highlight w:val="none"/>
        </w:rPr>
        <w:t>2.1.5“乙方”系指根据合同约定交付货物的中标人</w:t>
      </w:r>
      <w:bookmarkEnd w:id="101"/>
      <w:r>
        <w:rPr>
          <w:rFonts w:hint="eastAsia" w:ascii="宋体" w:hAnsi="宋体" w:eastAsia="宋体" w:cs="宋体"/>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076EFB0">
      <w:pPr>
        <w:spacing w:line="360" w:lineRule="auto"/>
        <w:ind w:firstLine="435"/>
        <w:rPr>
          <w:rFonts w:hint="eastAsia" w:ascii="宋体" w:hAnsi="宋体" w:eastAsia="宋体" w:cs="宋体"/>
          <w:sz w:val="24"/>
          <w:szCs w:val="24"/>
          <w:highlight w:val="none"/>
        </w:rPr>
      </w:pPr>
      <w:bookmarkStart w:id="102" w:name="_Ref467379436"/>
      <w:r>
        <w:rPr>
          <w:rFonts w:hint="eastAsia" w:ascii="宋体" w:hAnsi="宋体" w:eastAsia="宋体" w:cs="宋体"/>
          <w:sz w:val="24"/>
          <w:szCs w:val="24"/>
          <w:highlight w:val="none"/>
        </w:rPr>
        <w:t>2.1.6“现场”系指合同约定货物将要运至或者安装的地点。</w:t>
      </w:r>
      <w:bookmarkEnd w:id="102"/>
    </w:p>
    <w:p w14:paraId="6D37937B">
      <w:pPr>
        <w:spacing w:line="360" w:lineRule="auto"/>
        <w:ind w:firstLine="437"/>
        <w:outlineLvl w:val="2"/>
        <w:rPr>
          <w:rFonts w:hint="eastAsia" w:ascii="宋体" w:hAnsi="宋体" w:eastAsia="宋体" w:cs="宋体"/>
          <w:b/>
          <w:bCs/>
          <w:sz w:val="24"/>
          <w:szCs w:val="24"/>
          <w:highlight w:val="none"/>
          <w:lang w:val="zh-CN"/>
        </w:rPr>
      </w:pPr>
      <w:bookmarkStart w:id="103" w:name="_Toc32504"/>
      <w:bookmarkStart w:id="104" w:name="_Toc13336"/>
      <w:bookmarkStart w:id="105" w:name="_Toc259093670"/>
      <w:bookmarkStart w:id="106" w:name="_Toc27635"/>
      <w:bookmarkStart w:id="107" w:name="_Toc487900350"/>
      <w:bookmarkStart w:id="108" w:name="_Toc279701241"/>
      <w:r>
        <w:rPr>
          <w:rFonts w:hint="eastAsia" w:ascii="宋体" w:hAnsi="宋体" w:eastAsia="宋体" w:cs="宋体"/>
          <w:b/>
          <w:bCs/>
          <w:sz w:val="24"/>
          <w:szCs w:val="24"/>
          <w:highlight w:val="none"/>
          <w:lang w:val="zh-CN"/>
        </w:rPr>
        <w:t>2.2 技术规范</w:t>
      </w:r>
      <w:bookmarkEnd w:id="103"/>
      <w:bookmarkEnd w:id="104"/>
      <w:bookmarkEnd w:id="105"/>
      <w:bookmarkEnd w:id="106"/>
      <w:bookmarkEnd w:id="107"/>
      <w:bookmarkEnd w:id="108"/>
    </w:p>
    <w:p w14:paraId="19FCA3E3">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货物所应遵守的技术规范应与采购文件规定的技术规范和技术规范附件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如果有的话</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及其技术规范偏差表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如果被甲方接受的话</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相一致；如果采购文件中没有技术规范的相应说明，那么应以国家有关部门最新颁布的相应标准和规范为准。</w:t>
      </w:r>
    </w:p>
    <w:p w14:paraId="6D56AA4C">
      <w:pPr>
        <w:spacing w:line="360" w:lineRule="auto"/>
        <w:ind w:firstLine="437"/>
        <w:outlineLvl w:val="2"/>
        <w:rPr>
          <w:rFonts w:hint="eastAsia" w:ascii="宋体" w:hAnsi="宋体" w:eastAsia="宋体" w:cs="宋体"/>
          <w:b/>
          <w:bCs/>
          <w:sz w:val="24"/>
          <w:szCs w:val="24"/>
          <w:highlight w:val="none"/>
          <w:lang w:val="zh-CN"/>
        </w:rPr>
      </w:pPr>
      <w:bookmarkStart w:id="109" w:name="_Toc9829"/>
      <w:bookmarkStart w:id="110" w:name="_Toc279701242"/>
      <w:bookmarkStart w:id="111" w:name="_Toc487900351"/>
      <w:bookmarkStart w:id="112" w:name="_Toc27853"/>
      <w:bookmarkStart w:id="113" w:name="_Toc31634"/>
      <w:bookmarkStart w:id="114" w:name="_Toc259093671"/>
      <w:r>
        <w:rPr>
          <w:rFonts w:hint="eastAsia" w:ascii="宋体" w:hAnsi="宋体" w:eastAsia="宋体" w:cs="宋体"/>
          <w:b/>
          <w:bCs/>
          <w:sz w:val="24"/>
          <w:szCs w:val="24"/>
          <w:highlight w:val="none"/>
          <w:lang w:val="zh-CN"/>
        </w:rPr>
        <w:t>2.3 知识产权</w:t>
      </w:r>
      <w:bookmarkEnd w:id="109"/>
      <w:bookmarkEnd w:id="110"/>
      <w:bookmarkEnd w:id="111"/>
      <w:bookmarkEnd w:id="112"/>
      <w:bookmarkEnd w:id="113"/>
      <w:bookmarkEnd w:id="114"/>
    </w:p>
    <w:p w14:paraId="4B297E3F">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2.3.1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3ACA0B0E">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2.3.2具有知识产权的计算机软件等货物的知识产权归属，详见</w:t>
      </w:r>
      <w:r>
        <w:rPr>
          <w:rFonts w:hint="eastAsia" w:ascii="宋体" w:hAnsi="宋体" w:eastAsia="宋体" w:cs="宋体"/>
          <w:b/>
          <w:i/>
          <w:sz w:val="24"/>
          <w:szCs w:val="24"/>
          <w:highlight w:val="none"/>
          <w:u w:val="single"/>
        </w:rPr>
        <w:t>合同专用条款</w:t>
      </w:r>
      <w:r>
        <w:rPr>
          <w:rFonts w:hint="eastAsia" w:ascii="宋体" w:hAnsi="宋体" w:eastAsia="宋体" w:cs="宋体"/>
          <w:sz w:val="24"/>
          <w:szCs w:val="24"/>
          <w:highlight w:val="none"/>
        </w:rPr>
        <w:t>。</w:t>
      </w:r>
    </w:p>
    <w:p w14:paraId="562F02FC">
      <w:pPr>
        <w:spacing w:line="360" w:lineRule="auto"/>
        <w:ind w:firstLine="437"/>
        <w:outlineLvl w:val="2"/>
        <w:rPr>
          <w:rFonts w:hint="eastAsia" w:ascii="宋体" w:hAnsi="宋体" w:eastAsia="宋体" w:cs="宋体"/>
          <w:b/>
          <w:sz w:val="24"/>
          <w:szCs w:val="24"/>
          <w:highlight w:val="none"/>
        </w:rPr>
      </w:pPr>
      <w:bookmarkStart w:id="115" w:name="_Toc4194"/>
      <w:bookmarkStart w:id="116" w:name="_Toc29149"/>
      <w:bookmarkStart w:id="117" w:name="_Toc11932"/>
      <w:r>
        <w:rPr>
          <w:rFonts w:hint="eastAsia" w:ascii="宋体" w:hAnsi="宋体" w:eastAsia="宋体" w:cs="宋体"/>
          <w:b/>
          <w:bCs/>
          <w:sz w:val="24"/>
          <w:szCs w:val="24"/>
          <w:highlight w:val="none"/>
          <w:lang w:val="zh-CN"/>
        </w:rPr>
        <w:t>2.4 包装和装运</w:t>
      </w:r>
      <w:bookmarkEnd w:id="115"/>
      <w:bookmarkEnd w:id="116"/>
      <w:bookmarkEnd w:id="117"/>
    </w:p>
    <w:p w14:paraId="3B4BDE79">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2.4.1除</w:t>
      </w:r>
      <w:r>
        <w:rPr>
          <w:rFonts w:hint="eastAsia" w:ascii="宋体" w:hAnsi="宋体" w:eastAsia="宋体" w:cs="宋体"/>
          <w:b/>
          <w:i/>
          <w:sz w:val="24"/>
          <w:szCs w:val="24"/>
          <w:highlight w:val="none"/>
          <w:u w:val="single"/>
        </w:rPr>
        <w:t>合同专用条款</w:t>
      </w:r>
      <w:r>
        <w:rPr>
          <w:rFonts w:hint="eastAsia" w:ascii="宋体" w:hAnsi="宋体" w:eastAsia="宋体" w:cs="宋体"/>
          <w:sz w:val="24"/>
          <w:szCs w:val="24"/>
          <w:highlight w:val="none"/>
        </w:rPr>
        <w:t>另有约定外</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乙方交付的全部货物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74828ECF">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2.4.2装运货物的要求和通知，详见</w:t>
      </w:r>
      <w:r>
        <w:rPr>
          <w:rFonts w:hint="eastAsia" w:ascii="宋体" w:hAnsi="宋体" w:eastAsia="宋体" w:cs="宋体"/>
          <w:b/>
          <w:i/>
          <w:sz w:val="24"/>
          <w:szCs w:val="24"/>
          <w:highlight w:val="none"/>
          <w:u w:val="single"/>
        </w:rPr>
        <w:t>合同专用条款</w:t>
      </w:r>
      <w:r>
        <w:rPr>
          <w:rFonts w:hint="eastAsia" w:ascii="宋体" w:hAnsi="宋体" w:eastAsia="宋体" w:cs="宋体"/>
          <w:sz w:val="24"/>
          <w:szCs w:val="24"/>
          <w:highlight w:val="none"/>
        </w:rPr>
        <w:t>。</w:t>
      </w:r>
    </w:p>
    <w:p w14:paraId="28E27FBA">
      <w:pPr>
        <w:spacing w:line="360" w:lineRule="auto"/>
        <w:ind w:firstLine="437"/>
        <w:outlineLvl w:val="2"/>
        <w:rPr>
          <w:rFonts w:hint="eastAsia" w:ascii="宋体" w:hAnsi="宋体" w:eastAsia="宋体" w:cs="宋体"/>
          <w:b/>
          <w:bCs/>
          <w:sz w:val="24"/>
          <w:szCs w:val="24"/>
          <w:highlight w:val="none"/>
          <w:lang w:val="zh-CN"/>
        </w:rPr>
      </w:pPr>
      <w:bookmarkStart w:id="118" w:name="_Ref467379527"/>
      <w:bookmarkStart w:id="119" w:name="_Ref467379536"/>
      <w:bookmarkStart w:id="120" w:name="_Toc279701245"/>
      <w:bookmarkStart w:id="121" w:name="_Ref467379542"/>
      <w:bookmarkStart w:id="122" w:name="_Ref467378591"/>
      <w:bookmarkStart w:id="123" w:name="_Ref467378541"/>
      <w:bookmarkStart w:id="124" w:name="_Toc259093674"/>
      <w:bookmarkStart w:id="125" w:name="_Toc487900354"/>
      <w:bookmarkStart w:id="126" w:name="_Toc26182"/>
      <w:bookmarkStart w:id="127" w:name="_Toc19074"/>
      <w:bookmarkStart w:id="128" w:name="_Toc30272"/>
      <w:r>
        <w:rPr>
          <w:rFonts w:hint="eastAsia" w:ascii="宋体" w:hAnsi="宋体" w:eastAsia="宋体" w:cs="宋体"/>
          <w:b/>
          <w:bCs/>
          <w:sz w:val="24"/>
          <w:szCs w:val="24"/>
          <w:highlight w:val="none"/>
          <w:lang w:val="zh-CN"/>
        </w:rPr>
        <w:t>2.</w:t>
      </w:r>
      <w:bookmarkEnd w:id="118"/>
      <w:bookmarkEnd w:id="119"/>
      <w:bookmarkEnd w:id="120"/>
      <w:bookmarkEnd w:id="121"/>
      <w:bookmarkEnd w:id="122"/>
      <w:bookmarkEnd w:id="123"/>
      <w:bookmarkEnd w:id="124"/>
      <w:bookmarkEnd w:id="125"/>
      <w:r>
        <w:rPr>
          <w:rFonts w:hint="eastAsia" w:ascii="宋体" w:hAnsi="宋体" w:eastAsia="宋体" w:cs="宋体"/>
          <w:b/>
          <w:bCs/>
          <w:sz w:val="24"/>
          <w:szCs w:val="24"/>
          <w:highlight w:val="none"/>
          <w:lang w:val="zh-CN"/>
        </w:rPr>
        <w:t>5 履约检查和问题反馈</w:t>
      </w:r>
      <w:bookmarkEnd w:id="126"/>
      <w:bookmarkEnd w:id="127"/>
      <w:bookmarkEnd w:id="128"/>
    </w:p>
    <w:p w14:paraId="50B6443C">
      <w:pPr>
        <w:spacing w:line="360" w:lineRule="auto"/>
        <w:ind w:firstLine="435"/>
        <w:rPr>
          <w:rFonts w:hint="eastAsia" w:ascii="宋体" w:hAnsi="宋体" w:eastAsia="宋体" w:cs="宋体"/>
          <w:sz w:val="24"/>
          <w:szCs w:val="24"/>
          <w:highlight w:val="none"/>
        </w:rPr>
      </w:pPr>
      <w:bookmarkStart w:id="129" w:name="_Ref467379657"/>
      <w:r>
        <w:rPr>
          <w:rFonts w:hint="eastAsia" w:ascii="宋体" w:hAnsi="宋体" w:eastAsia="宋体" w:cs="宋体"/>
          <w:sz w:val="24"/>
          <w:szCs w:val="24"/>
          <w:highlight w:val="none"/>
        </w:rPr>
        <w:t>2.5.1</w:t>
      </w:r>
      <w:bookmarkEnd w:id="129"/>
      <w:bookmarkStart w:id="130" w:name="_Toc186431854"/>
      <w:bookmarkStart w:id="131" w:name="_Ref467379793"/>
      <w:bookmarkStart w:id="132" w:name="_Toc487900357"/>
      <w:bookmarkStart w:id="133" w:name="_Ref467379807"/>
      <w:bookmarkStart w:id="134" w:name="_Toc259093676"/>
      <w:bookmarkStart w:id="135" w:name="_Toc279701247"/>
      <w:r>
        <w:rPr>
          <w:rFonts w:hint="eastAsia" w:ascii="宋体" w:hAnsi="宋体" w:eastAsia="宋体" w:cs="宋体"/>
          <w:sz w:val="24"/>
          <w:szCs w:val="24"/>
          <w:highlight w:val="none"/>
        </w:rPr>
        <w:t>甲方有权在其认为必要时，对乙方是否能够按照合同约定交付货物进行履约检查，以确保乙方所交付的货物能够依约满足甲方项目需求，但不得因履约检查妨碍乙方的正常工作，乙方应予积极配合；</w:t>
      </w:r>
    </w:p>
    <w:p w14:paraId="30DC88C9">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2.5.2合同履行期间，甲方有权将履行过程中出现的问题反馈给乙方，双方当事人应以书面形式约定需要完善和改进的内容</w:t>
      </w:r>
      <w:bookmarkEnd w:id="130"/>
      <w:bookmarkStart w:id="136" w:name="_Toc186431855"/>
      <w:r>
        <w:rPr>
          <w:rFonts w:hint="eastAsia" w:ascii="宋体" w:hAnsi="宋体" w:eastAsia="宋体" w:cs="宋体"/>
          <w:sz w:val="24"/>
          <w:szCs w:val="24"/>
          <w:highlight w:val="none"/>
        </w:rPr>
        <w:t>。</w:t>
      </w:r>
    </w:p>
    <w:bookmarkEnd w:id="136"/>
    <w:p w14:paraId="2A02390B">
      <w:pPr>
        <w:spacing w:line="360" w:lineRule="auto"/>
        <w:ind w:firstLine="437"/>
        <w:outlineLvl w:val="2"/>
        <w:rPr>
          <w:rFonts w:hint="eastAsia" w:ascii="宋体" w:hAnsi="宋体" w:eastAsia="宋体" w:cs="宋体"/>
          <w:b/>
          <w:bCs/>
          <w:sz w:val="24"/>
          <w:szCs w:val="24"/>
          <w:highlight w:val="none"/>
          <w:lang w:val="zh-CN"/>
        </w:rPr>
      </w:pPr>
      <w:bookmarkStart w:id="137" w:name="_Toc19219"/>
      <w:bookmarkStart w:id="138" w:name="_Toc7836"/>
      <w:bookmarkStart w:id="139" w:name="_Toc28451"/>
      <w:r>
        <w:rPr>
          <w:rFonts w:hint="eastAsia" w:ascii="宋体" w:hAnsi="宋体" w:eastAsia="宋体" w:cs="宋体"/>
          <w:b/>
          <w:bCs/>
          <w:sz w:val="24"/>
          <w:szCs w:val="24"/>
          <w:highlight w:val="none"/>
          <w:lang w:val="zh-CN"/>
        </w:rPr>
        <w:t>2.6 结算方式和付款条件</w:t>
      </w:r>
      <w:bookmarkEnd w:id="131"/>
      <w:bookmarkEnd w:id="132"/>
      <w:bookmarkEnd w:id="133"/>
      <w:bookmarkEnd w:id="134"/>
      <w:bookmarkEnd w:id="135"/>
      <w:bookmarkEnd w:id="137"/>
      <w:bookmarkEnd w:id="138"/>
      <w:bookmarkEnd w:id="139"/>
    </w:p>
    <w:p w14:paraId="2BDAF7DA">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详见</w:t>
      </w:r>
      <w:r>
        <w:rPr>
          <w:rFonts w:hint="eastAsia" w:ascii="宋体" w:hAnsi="宋体" w:eastAsia="宋体" w:cs="宋体"/>
          <w:b/>
          <w:i/>
          <w:sz w:val="24"/>
          <w:szCs w:val="24"/>
          <w:highlight w:val="none"/>
          <w:u w:val="single"/>
        </w:rPr>
        <w:t>合同专用条款</w:t>
      </w:r>
      <w:r>
        <w:rPr>
          <w:rFonts w:hint="eastAsia" w:ascii="宋体" w:hAnsi="宋体" w:eastAsia="宋体" w:cs="宋体"/>
          <w:sz w:val="24"/>
          <w:szCs w:val="24"/>
          <w:highlight w:val="none"/>
        </w:rPr>
        <w:t>。</w:t>
      </w:r>
    </w:p>
    <w:p w14:paraId="344BB3A8">
      <w:pPr>
        <w:spacing w:line="360" w:lineRule="auto"/>
        <w:ind w:firstLine="437"/>
        <w:outlineLvl w:val="2"/>
        <w:rPr>
          <w:rFonts w:hint="eastAsia" w:ascii="宋体" w:hAnsi="宋体" w:eastAsia="宋体" w:cs="宋体"/>
          <w:b/>
          <w:bCs/>
          <w:sz w:val="24"/>
          <w:szCs w:val="24"/>
          <w:highlight w:val="none"/>
          <w:lang w:val="zh-CN"/>
        </w:rPr>
      </w:pPr>
      <w:bookmarkStart w:id="140" w:name="_Ref467379852"/>
      <w:bookmarkStart w:id="141" w:name="_Toc487900358"/>
      <w:bookmarkStart w:id="142" w:name="_Toc279701248"/>
      <w:bookmarkStart w:id="143" w:name="_Ref467379923"/>
      <w:bookmarkStart w:id="144" w:name="_Toc259093677"/>
      <w:bookmarkStart w:id="145" w:name="_Ref467379863"/>
      <w:bookmarkStart w:id="146" w:name="_Toc3225"/>
      <w:bookmarkStart w:id="147" w:name="_Toc16110"/>
      <w:bookmarkStart w:id="148" w:name="_Toc774"/>
      <w:r>
        <w:rPr>
          <w:rFonts w:hint="eastAsia" w:ascii="宋体" w:hAnsi="宋体" w:eastAsia="宋体" w:cs="宋体"/>
          <w:b/>
          <w:bCs/>
          <w:sz w:val="24"/>
          <w:szCs w:val="24"/>
          <w:highlight w:val="none"/>
          <w:lang w:val="zh-CN"/>
        </w:rPr>
        <w:t>2.7 技术资料</w:t>
      </w:r>
      <w:bookmarkEnd w:id="140"/>
      <w:bookmarkEnd w:id="141"/>
      <w:bookmarkEnd w:id="142"/>
      <w:bookmarkEnd w:id="143"/>
      <w:bookmarkEnd w:id="144"/>
      <w:bookmarkEnd w:id="145"/>
      <w:r>
        <w:rPr>
          <w:rFonts w:hint="eastAsia" w:ascii="宋体" w:hAnsi="宋体" w:eastAsia="宋体" w:cs="宋体"/>
          <w:b/>
          <w:bCs/>
          <w:sz w:val="24"/>
          <w:szCs w:val="24"/>
          <w:highlight w:val="none"/>
          <w:lang w:val="zh-CN"/>
        </w:rPr>
        <w:t>和保密义务</w:t>
      </w:r>
      <w:bookmarkEnd w:id="146"/>
      <w:bookmarkEnd w:id="147"/>
      <w:bookmarkEnd w:id="148"/>
    </w:p>
    <w:p w14:paraId="46FA3FE8">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2.7.1乙方有权依据合同约定和项目需要，向甲方了解有关情况，调阅有关资料等，甲方应予积极配合；</w:t>
      </w:r>
    </w:p>
    <w:p w14:paraId="00C7B8E8">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2.7.2乙方有义务妥善保管和保护由甲方提供的前款信息和资料等；</w:t>
      </w:r>
    </w:p>
    <w:p w14:paraId="5DEB5136">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2.7.3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EB054BD">
      <w:pPr>
        <w:spacing w:line="360" w:lineRule="auto"/>
        <w:ind w:firstLine="437"/>
        <w:outlineLvl w:val="2"/>
        <w:rPr>
          <w:rFonts w:hint="eastAsia" w:ascii="宋体" w:hAnsi="宋体" w:eastAsia="宋体" w:cs="宋体"/>
          <w:b/>
          <w:bCs/>
          <w:sz w:val="24"/>
          <w:szCs w:val="24"/>
          <w:highlight w:val="none"/>
          <w:lang w:val="zh-CN"/>
        </w:rPr>
      </w:pPr>
      <w:bookmarkStart w:id="149" w:name="_Toc7860"/>
      <w:r>
        <w:rPr>
          <w:rFonts w:hint="eastAsia" w:ascii="宋体" w:hAnsi="宋体" w:eastAsia="宋体" w:cs="宋体"/>
          <w:b/>
          <w:bCs/>
          <w:sz w:val="24"/>
          <w:szCs w:val="24"/>
          <w:highlight w:val="none"/>
          <w:lang w:val="zh-CN"/>
        </w:rPr>
        <w:t>2.8 质量保证</w:t>
      </w:r>
      <w:bookmarkEnd w:id="149"/>
    </w:p>
    <w:p w14:paraId="14EA9D91">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2.8.1乙方应建立和完善履行合同的内部质量保证体系，并提供相关内部规章制度给甲方，以便甲方进行监督检查；</w:t>
      </w:r>
    </w:p>
    <w:p w14:paraId="362AF59F">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2.8.2乙方应保证履行合同的人员数量和素质、软件和硬件设备的配置、场地、环境和设施等满足全面履行合同的要求，并应接受甲方的监督检查。</w:t>
      </w:r>
    </w:p>
    <w:p w14:paraId="13FEF1AE">
      <w:pPr>
        <w:spacing w:line="360" w:lineRule="auto"/>
        <w:ind w:firstLine="437"/>
        <w:outlineLvl w:val="2"/>
        <w:rPr>
          <w:rFonts w:hint="eastAsia" w:ascii="宋体" w:hAnsi="宋体" w:eastAsia="宋体" w:cs="宋体"/>
          <w:b/>
          <w:bCs/>
          <w:sz w:val="24"/>
          <w:szCs w:val="24"/>
          <w:highlight w:val="none"/>
          <w:lang w:val="zh-CN"/>
        </w:rPr>
      </w:pPr>
      <w:bookmarkStart w:id="150" w:name="_Toc17244"/>
      <w:bookmarkStart w:id="151" w:name="_Toc259093681"/>
      <w:bookmarkStart w:id="152" w:name="_Toc487900362"/>
      <w:bookmarkStart w:id="153" w:name="_Toc279701252"/>
      <w:r>
        <w:rPr>
          <w:rFonts w:hint="eastAsia" w:ascii="宋体" w:hAnsi="宋体" w:eastAsia="宋体" w:cs="宋体"/>
          <w:b/>
          <w:bCs/>
          <w:sz w:val="24"/>
          <w:szCs w:val="24"/>
          <w:highlight w:val="none"/>
          <w:lang w:val="zh-CN"/>
        </w:rPr>
        <w:t>2.9 货物的风险负担</w:t>
      </w:r>
      <w:bookmarkEnd w:id="150"/>
    </w:p>
    <w:p w14:paraId="10E5D203">
      <w:pPr>
        <w:spacing w:line="360" w:lineRule="auto"/>
        <w:ind w:firstLine="435"/>
        <w:rPr>
          <w:rFonts w:hint="eastAsia" w:ascii="宋体" w:hAnsi="宋体" w:eastAsia="宋体" w:cs="宋体"/>
          <w:b/>
          <w:sz w:val="24"/>
          <w:szCs w:val="24"/>
          <w:highlight w:val="none"/>
        </w:rPr>
      </w:pPr>
      <w:r>
        <w:rPr>
          <w:rFonts w:hint="eastAsia" w:ascii="宋体" w:hAnsi="宋体" w:eastAsia="宋体" w:cs="宋体"/>
          <w:sz w:val="24"/>
          <w:szCs w:val="24"/>
          <w:highlight w:val="none"/>
        </w:rPr>
        <w:t>货物或者在途货物或者交付给第一承运人后的货物毁损、灭失的风险负担详见</w:t>
      </w:r>
      <w:r>
        <w:rPr>
          <w:rFonts w:hint="eastAsia" w:ascii="宋体" w:hAnsi="宋体" w:eastAsia="宋体" w:cs="宋体"/>
          <w:b/>
          <w:i/>
          <w:sz w:val="24"/>
          <w:szCs w:val="24"/>
          <w:highlight w:val="none"/>
          <w:u w:val="single"/>
        </w:rPr>
        <w:t>合同专用条款</w:t>
      </w:r>
      <w:r>
        <w:rPr>
          <w:rFonts w:hint="eastAsia" w:ascii="宋体" w:hAnsi="宋体" w:eastAsia="宋体" w:cs="宋体"/>
          <w:sz w:val="24"/>
          <w:szCs w:val="24"/>
          <w:highlight w:val="none"/>
        </w:rPr>
        <w:t>。</w:t>
      </w:r>
    </w:p>
    <w:p w14:paraId="1D1B71B9">
      <w:pPr>
        <w:spacing w:line="360" w:lineRule="auto"/>
        <w:ind w:firstLine="437"/>
        <w:outlineLvl w:val="2"/>
        <w:rPr>
          <w:rFonts w:hint="eastAsia" w:ascii="宋体" w:hAnsi="宋体" w:eastAsia="宋体" w:cs="宋体"/>
          <w:b/>
          <w:bCs/>
          <w:sz w:val="24"/>
          <w:szCs w:val="24"/>
          <w:highlight w:val="none"/>
          <w:lang w:val="zh-CN"/>
        </w:rPr>
      </w:pPr>
      <w:bookmarkStart w:id="154" w:name="_Toc14055"/>
      <w:r>
        <w:rPr>
          <w:rFonts w:hint="eastAsia" w:ascii="宋体" w:hAnsi="宋体" w:eastAsia="宋体" w:cs="宋体"/>
          <w:b/>
          <w:bCs/>
          <w:sz w:val="24"/>
          <w:szCs w:val="24"/>
          <w:highlight w:val="none"/>
          <w:lang w:val="zh-CN"/>
        </w:rPr>
        <w:t>2.10 延迟交货</w:t>
      </w:r>
      <w:bookmarkEnd w:id="151"/>
      <w:bookmarkEnd w:id="152"/>
      <w:bookmarkEnd w:id="153"/>
      <w:bookmarkEnd w:id="154"/>
    </w:p>
    <w:p w14:paraId="7AC4F935">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0A5548D2">
      <w:pPr>
        <w:spacing w:line="360" w:lineRule="auto"/>
        <w:ind w:firstLine="437"/>
        <w:outlineLvl w:val="2"/>
        <w:rPr>
          <w:rFonts w:hint="eastAsia" w:ascii="宋体" w:hAnsi="宋体" w:eastAsia="宋体" w:cs="宋体"/>
          <w:b/>
          <w:bCs/>
          <w:sz w:val="24"/>
          <w:szCs w:val="24"/>
          <w:highlight w:val="none"/>
          <w:lang w:val="zh-CN"/>
        </w:rPr>
      </w:pPr>
      <w:bookmarkStart w:id="155" w:name="_Toc7502"/>
      <w:bookmarkStart w:id="156" w:name="_Toc259093683"/>
      <w:bookmarkStart w:id="157" w:name="_Toc487900364"/>
      <w:bookmarkStart w:id="158" w:name="_Toc279701254"/>
      <w:bookmarkStart w:id="159" w:name="_Ref467378121"/>
      <w:r>
        <w:rPr>
          <w:rFonts w:hint="eastAsia" w:ascii="宋体" w:hAnsi="宋体" w:eastAsia="宋体" w:cs="宋体"/>
          <w:b/>
          <w:bCs/>
          <w:sz w:val="24"/>
          <w:szCs w:val="24"/>
          <w:highlight w:val="none"/>
          <w:lang w:val="zh-CN"/>
        </w:rPr>
        <w:t>2.11 合同变更</w:t>
      </w:r>
      <w:bookmarkEnd w:id="155"/>
    </w:p>
    <w:p w14:paraId="232AE061">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2.11.1双方当事人协商一致，可以签订书面补充合同的形式变更合同，但不得违背采购文件确定的事项；</w:t>
      </w:r>
    </w:p>
    <w:p w14:paraId="1CA49D17">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2.11.2合同继续履行将损害国家利益和社会公共利益的，双方当事人应当以书面形式变更合同。有过错的一方应当承担赔偿责任，双方当事人都有过错的，各自承担相应的责任。</w:t>
      </w:r>
      <w:bookmarkStart w:id="160" w:name="_Toc487900369"/>
      <w:bookmarkStart w:id="161" w:name="_Toc279701259"/>
      <w:bookmarkStart w:id="162" w:name="_Toc259093688"/>
    </w:p>
    <w:p w14:paraId="348D9E14">
      <w:pPr>
        <w:spacing w:line="360" w:lineRule="auto"/>
        <w:ind w:firstLine="437"/>
        <w:outlineLvl w:val="2"/>
        <w:rPr>
          <w:rFonts w:hint="eastAsia" w:ascii="宋体" w:hAnsi="宋体" w:eastAsia="宋体" w:cs="宋体"/>
          <w:b/>
          <w:bCs/>
          <w:sz w:val="24"/>
          <w:szCs w:val="24"/>
          <w:highlight w:val="none"/>
          <w:lang w:val="zh-CN"/>
        </w:rPr>
      </w:pPr>
      <w:bookmarkStart w:id="163" w:name="_Toc22955"/>
      <w:bookmarkStart w:id="164" w:name="_Toc10366"/>
      <w:bookmarkStart w:id="165" w:name="_Toc15237"/>
      <w:r>
        <w:rPr>
          <w:rFonts w:hint="eastAsia" w:ascii="宋体" w:hAnsi="宋体" w:eastAsia="宋体" w:cs="宋体"/>
          <w:b/>
          <w:bCs/>
          <w:sz w:val="24"/>
          <w:szCs w:val="24"/>
          <w:highlight w:val="none"/>
          <w:lang w:val="zh-CN"/>
        </w:rPr>
        <w:t>2.12 合同转让</w:t>
      </w:r>
      <w:bookmarkEnd w:id="160"/>
      <w:bookmarkEnd w:id="161"/>
      <w:bookmarkEnd w:id="162"/>
      <w:r>
        <w:rPr>
          <w:rFonts w:hint="eastAsia" w:ascii="宋体" w:hAnsi="宋体" w:eastAsia="宋体" w:cs="宋体"/>
          <w:b/>
          <w:bCs/>
          <w:sz w:val="24"/>
          <w:szCs w:val="24"/>
          <w:highlight w:val="none"/>
          <w:lang w:val="zh-CN"/>
        </w:rPr>
        <w:t>和分包</w:t>
      </w:r>
      <w:bookmarkEnd w:id="163"/>
      <w:bookmarkEnd w:id="164"/>
      <w:bookmarkEnd w:id="165"/>
    </w:p>
    <w:p w14:paraId="05D55E8C">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2712CC8">
      <w:pPr>
        <w:spacing w:line="360" w:lineRule="auto"/>
        <w:ind w:firstLine="437"/>
        <w:outlineLvl w:val="2"/>
        <w:rPr>
          <w:rFonts w:hint="eastAsia" w:ascii="宋体" w:hAnsi="宋体" w:eastAsia="宋体" w:cs="宋体"/>
          <w:b/>
          <w:bCs/>
          <w:sz w:val="24"/>
          <w:szCs w:val="24"/>
          <w:highlight w:val="none"/>
          <w:lang w:val="zh-CN"/>
        </w:rPr>
      </w:pPr>
      <w:bookmarkStart w:id="166" w:name="_Toc13566"/>
      <w:bookmarkStart w:id="167" w:name="_Toc14066"/>
      <w:bookmarkStart w:id="168" w:name="_Toc16508"/>
      <w:r>
        <w:rPr>
          <w:rFonts w:hint="eastAsia" w:ascii="宋体" w:hAnsi="宋体" w:eastAsia="宋体" w:cs="宋体"/>
          <w:b/>
          <w:bCs/>
          <w:sz w:val="24"/>
          <w:szCs w:val="24"/>
          <w:highlight w:val="none"/>
          <w:lang w:val="zh-CN"/>
        </w:rPr>
        <w:t>2.13 不可抗力</w:t>
      </w:r>
      <w:bookmarkEnd w:id="166"/>
      <w:bookmarkEnd w:id="167"/>
      <w:bookmarkEnd w:id="168"/>
    </w:p>
    <w:p w14:paraId="38AECBA9">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2.13.1如果任何一方遭遇法律规定的不可抗力，致使合同履行受阻时，履行合同的期限应予延长，延长的期限应相当于不可抗力所影响的时间；</w:t>
      </w:r>
    </w:p>
    <w:p w14:paraId="4D86A6EE">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2.13.2因不可抗力致使不能实现合同目的的，当事人可以解除合同；</w:t>
      </w:r>
    </w:p>
    <w:p w14:paraId="250BF44F">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2.13.3因不可抗力致使合同有变更必要的，双方当事人应在</w:t>
      </w:r>
      <w:r>
        <w:rPr>
          <w:rFonts w:hint="eastAsia" w:ascii="宋体" w:hAnsi="宋体" w:eastAsia="宋体" w:cs="宋体"/>
          <w:b/>
          <w:i/>
          <w:sz w:val="24"/>
          <w:szCs w:val="24"/>
          <w:highlight w:val="none"/>
          <w:u w:val="single"/>
        </w:rPr>
        <w:t>合同专用条款</w:t>
      </w:r>
      <w:r>
        <w:rPr>
          <w:rFonts w:hint="eastAsia" w:ascii="宋体" w:hAnsi="宋体" w:eastAsia="宋体" w:cs="宋体"/>
          <w:sz w:val="24"/>
          <w:szCs w:val="24"/>
          <w:highlight w:val="none"/>
        </w:rPr>
        <w:t>约定时间内以书面形式变更合同；</w:t>
      </w:r>
    </w:p>
    <w:p w14:paraId="58749294">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2.13.4受不可抗力影响的一方在不可抗力发生后，应在</w:t>
      </w:r>
      <w:r>
        <w:rPr>
          <w:rFonts w:hint="eastAsia" w:ascii="宋体" w:hAnsi="宋体" w:eastAsia="宋体" w:cs="宋体"/>
          <w:b/>
          <w:i/>
          <w:sz w:val="24"/>
          <w:szCs w:val="24"/>
          <w:highlight w:val="none"/>
          <w:u w:val="single"/>
        </w:rPr>
        <w:t>合同专用条款</w:t>
      </w:r>
      <w:r>
        <w:rPr>
          <w:rFonts w:hint="eastAsia" w:ascii="宋体" w:hAnsi="宋体" w:eastAsia="宋体" w:cs="宋体"/>
          <w:sz w:val="24"/>
          <w:szCs w:val="24"/>
          <w:highlight w:val="none"/>
        </w:rPr>
        <w:t>约定时间内以书面形式通知对方当事人，并在</w:t>
      </w:r>
      <w:r>
        <w:rPr>
          <w:rFonts w:hint="eastAsia" w:ascii="宋体" w:hAnsi="宋体" w:eastAsia="宋体" w:cs="宋体"/>
          <w:b/>
          <w:i/>
          <w:sz w:val="24"/>
          <w:szCs w:val="24"/>
          <w:highlight w:val="none"/>
          <w:u w:val="single"/>
        </w:rPr>
        <w:t>合同专用条款</w:t>
      </w:r>
      <w:r>
        <w:rPr>
          <w:rFonts w:hint="eastAsia" w:ascii="宋体" w:hAnsi="宋体" w:eastAsia="宋体" w:cs="宋体"/>
          <w:sz w:val="24"/>
          <w:szCs w:val="24"/>
          <w:highlight w:val="none"/>
        </w:rPr>
        <w:t>约定时间内，将有关部门出具的证明文件送达对方当事人。</w:t>
      </w:r>
    </w:p>
    <w:p w14:paraId="460F87C5">
      <w:pPr>
        <w:spacing w:line="360" w:lineRule="auto"/>
        <w:ind w:firstLine="437"/>
        <w:outlineLvl w:val="2"/>
        <w:rPr>
          <w:rFonts w:hint="eastAsia" w:ascii="宋体" w:hAnsi="宋体" w:eastAsia="宋体" w:cs="宋体"/>
          <w:b/>
          <w:bCs/>
          <w:sz w:val="24"/>
          <w:szCs w:val="24"/>
          <w:highlight w:val="none"/>
          <w:lang w:val="zh-CN"/>
        </w:rPr>
      </w:pPr>
      <w:bookmarkStart w:id="169" w:name="_Toc279701255"/>
      <w:bookmarkStart w:id="170" w:name="_Toc689"/>
      <w:bookmarkStart w:id="171" w:name="_Toc487900365"/>
      <w:bookmarkStart w:id="172" w:name="_Toc259093684"/>
      <w:bookmarkStart w:id="173" w:name="_Toc30676"/>
      <w:bookmarkStart w:id="174" w:name="_Toc6969"/>
      <w:r>
        <w:rPr>
          <w:rFonts w:hint="eastAsia" w:ascii="宋体" w:hAnsi="宋体" w:eastAsia="宋体" w:cs="宋体"/>
          <w:b/>
          <w:bCs/>
          <w:sz w:val="24"/>
          <w:szCs w:val="24"/>
          <w:highlight w:val="none"/>
          <w:lang w:val="zh-CN"/>
        </w:rPr>
        <w:t>2.14 税费</w:t>
      </w:r>
      <w:bookmarkEnd w:id="169"/>
      <w:bookmarkEnd w:id="170"/>
      <w:bookmarkEnd w:id="171"/>
      <w:bookmarkEnd w:id="172"/>
      <w:bookmarkEnd w:id="173"/>
      <w:bookmarkEnd w:id="174"/>
    </w:p>
    <w:p w14:paraId="13D55D2D">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与合同有关的一切税费，均按照中华人民共和国法律的相关规定缴纳。</w:t>
      </w:r>
    </w:p>
    <w:p w14:paraId="13B4B74F">
      <w:pPr>
        <w:spacing w:line="360" w:lineRule="auto"/>
        <w:ind w:firstLine="437"/>
        <w:outlineLvl w:val="2"/>
        <w:rPr>
          <w:rFonts w:hint="eastAsia" w:ascii="宋体" w:hAnsi="宋体" w:eastAsia="宋体" w:cs="宋体"/>
          <w:b/>
          <w:bCs/>
          <w:sz w:val="24"/>
          <w:szCs w:val="24"/>
          <w:highlight w:val="none"/>
          <w:lang w:val="zh-CN"/>
        </w:rPr>
      </w:pPr>
      <w:bookmarkStart w:id="175" w:name="_Toc8298"/>
      <w:bookmarkStart w:id="176" w:name="_Toc7102"/>
      <w:bookmarkStart w:id="177" w:name="_Toc259093687"/>
      <w:bookmarkStart w:id="178" w:name="_Toc487900368"/>
      <w:bookmarkStart w:id="179" w:name="_Toc16959"/>
      <w:bookmarkStart w:id="180" w:name="_Toc279701258"/>
      <w:r>
        <w:rPr>
          <w:rFonts w:hint="eastAsia" w:ascii="宋体" w:hAnsi="宋体" w:eastAsia="宋体" w:cs="宋体"/>
          <w:b/>
          <w:bCs/>
          <w:sz w:val="24"/>
          <w:szCs w:val="24"/>
          <w:highlight w:val="none"/>
          <w:lang w:val="zh-CN"/>
        </w:rPr>
        <w:t>2.15 乙方破产</w:t>
      </w:r>
      <w:bookmarkEnd w:id="175"/>
      <w:bookmarkEnd w:id="176"/>
      <w:bookmarkEnd w:id="177"/>
      <w:bookmarkEnd w:id="178"/>
      <w:bookmarkEnd w:id="179"/>
      <w:bookmarkEnd w:id="180"/>
    </w:p>
    <w:p w14:paraId="60732928">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7635026">
      <w:pPr>
        <w:spacing w:line="360" w:lineRule="auto"/>
        <w:ind w:firstLine="437"/>
        <w:outlineLvl w:val="2"/>
        <w:rPr>
          <w:rFonts w:hint="eastAsia" w:ascii="宋体" w:hAnsi="宋体" w:eastAsia="宋体" w:cs="宋体"/>
          <w:b/>
          <w:sz w:val="24"/>
          <w:szCs w:val="24"/>
          <w:highlight w:val="none"/>
        </w:rPr>
      </w:pPr>
      <w:bookmarkStart w:id="181" w:name="_Toc15387"/>
      <w:bookmarkStart w:id="182" w:name="_Toc29333"/>
      <w:bookmarkStart w:id="183" w:name="_Toc6134"/>
      <w:r>
        <w:rPr>
          <w:rFonts w:hint="eastAsia" w:ascii="宋体" w:hAnsi="宋体" w:eastAsia="宋体" w:cs="宋体"/>
          <w:b/>
          <w:bCs/>
          <w:sz w:val="24"/>
          <w:szCs w:val="24"/>
          <w:highlight w:val="none"/>
          <w:lang w:val="zh-CN"/>
        </w:rPr>
        <w:t>2.16 合同中止、终止</w:t>
      </w:r>
      <w:bookmarkEnd w:id="181"/>
      <w:bookmarkEnd w:id="182"/>
      <w:bookmarkEnd w:id="183"/>
    </w:p>
    <w:p w14:paraId="73B5D69C">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2.16.1双方当事人不得擅自中止或者终止合同；</w:t>
      </w:r>
    </w:p>
    <w:p w14:paraId="08B88EC9">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2.16.2合同继续履行将损害国家利益和社会公共利益的，双方当事人应当中止或者终止合同。有过错的一方应当承担赔偿责任，双方当事人都有过错的，各自承担相应的责任。</w:t>
      </w:r>
    </w:p>
    <w:p w14:paraId="297033E0">
      <w:pPr>
        <w:spacing w:line="360" w:lineRule="auto"/>
        <w:ind w:firstLine="437"/>
        <w:outlineLvl w:val="2"/>
        <w:rPr>
          <w:rFonts w:hint="eastAsia" w:ascii="宋体" w:hAnsi="宋体" w:eastAsia="宋体" w:cs="宋体"/>
          <w:b/>
          <w:bCs/>
          <w:sz w:val="24"/>
          <w:szCs w:val="24"/>
          <w:highlight w:val="none"/>
          <w:lang w:val="zh-CN"/>
        </w:rPr>
      </w:pPr>
      <w:bookmarkStart w:id="184" w:name="_Toc14563"/>
      <w:bookmarkStart w:id="185" w:name="_Toc1125"/>
      <w:bookmarkStart w:id="186" w:name="_Toc6596"/>
      <w:r>
        <w:rPr>
          <w:rFonts w:hint="eastAsia" w:ascii="宋体" w:hAnsi="宋体" w:eastAsia="宋体" w:cs="宋体"/>
          <w:b/>
          <w:bCs/>
          <w:sz w:val="24"/>
          <w:szCs w:val="24"/>
          <w:highlight w:val="none"/>
          <w:lang w:val="zh-CN"/>
        </w:rPr>
        <w:t>2.17 检验和验收</w:t>
      </w:r>
      <w:bookmarkEnd w:id="184"/>
      <w:bookmarkEnd w:id="185"/>
      <w:bookmarkEnd w:id="186"/>
    </w:p>
    <w:p w14:paraId="024821A8">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2.17.1货物交付前，乙方应对货物的质量、数量等方面进行详细、全面</w:t>
      </w:r>
      <w:r>
        <w:rPr>
          <w:rFonts w:hint="eastAsia" w:ascii="宋体" w:hAnsi="宋体" w:eastAsia="宋体" w:cs="宋体"/>
          <w:sz w:val="24"/>
          <w:szCs w:val="24"/>
          <w:highlight w:val="none"/>
          <w:lang w:eastAsia="zh-CN"/>
        </w:rPr>
        <w:t>地</w:t>
      </w:r>
      <w:r>
        <w:rPr>
          <w:rFonts w:hint="eastAsia" w:ascii="宋体" w:hAnsi="宋体" w:eastAsia="宋体" w:cs="宋体"/>
          <w:sz w:val="24"/>
          <w:szCs w:val="24"/>
          <w:highlight w:val="none"/>
        </w:rPr>
        <w:t>检验，并向甲方出具证明货物符合合同约定的文件；货物交付时，乙方在</w:t>
      </w:r>
      <w:r>
        <w:rPr>
          <w:rFonts w:hint="eastAsia" w:ascii="宋体" w:hAnsi="宋体" w:eastAsia="宋体" w:cs="宋体"/>
          <w:b/>
          <w:i/>
          <w:sz w:val="24"/>
          <w:szCs w:val="24"/>
          <w:highlight w:val="none"/>
          <w:u w:val="single"/>
        </w:rPr>
        <w:t>合同专用条款</w:t>
      </w:r>
      <w:r>
        <w:rPr>
          <w:rFonts w:hint="eastAsia" w:ascii="宋体" w:hAnsi="宋体" w:eastAsia="宋体" w:cs="宋体"/>
          <w:sz w:val="24"/>
          <w:szCs w:val="24"/>
          <w:highlight w:val="none"/>
        </w:rPr>
        <w:t>约定时间内组织验收，并可依法邀请相关方参加，验收应出具验收书。</w:t>
      </w:r>
    </w:p>
    <w:p w14:paraId="00A29175">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397A05B0">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2.17.3检验和验收标准、程序等具体内容以及前述验收书的效力详见</w:t>
      </w:r>
      <w:r>
        <w:rPr>
          <w:rFonts w:hint="eastAsia" w:ascii="宋体" w:hAnsi="宋体" w:eastAsia="宋体" w:cs="宋体"/>
          <w:b/>
          <w:i/>
          <w:sz w:val="24"/>
          <w:szCs w:val="24"/>
          <w:highlight w:val="none"/>
          <w:u w:val="single"/>
        </w:rPr>
        <w:t>合同专用条款</w:t>
      </w:r>
      <w:r>
        <w:rPr>
          <w:rFonts w:hint="eastAsia" w:ascii="宋体" w:hAnsi="宋体" w:eastAsia="宋体" w:cs="宋体"/>
          <w:i/>
          <w:sz w:val="24"/>
          <w:szCs w:val="24"/>
          <w:highlight w:val="none"/>
        </w:rPr>
        <w:t>。</w:t>
      </w:r>
    </w:p>
    <w:bookmarkEnd w:id="156"/>
    <w:bookmarkEnd w:id="157"/>
    <w:bookmarkEnd w:id="158"/>
    <w:bookmarkEnd w:id="159"/>
    <w:p w14:paraId="4380559D">
      <w:pPr>
        <w:spacing w:line="360" w:lineRule="auto"/>
        <w:ind w:firstLine="437"/>
        <w:outlineLvl w:val="2"/>
        <w:rPr>
          <w:rFonts w:hint="eastAsia" w:ascii="宋体" w:hAnsi="宋体" w:eastAsia="宋体" w:cs="宋体"/>
          <w:b/>
          <w:sz w:val="24"/>
          <w:szCs w:val="24"/>
          <w:highlight w:val="none"/>
        </w:rPr>
      </w:pPr>
      <w:bookmarkStart w:id="187" w:name="_Toc4355"/>
      <w:bookmarkStart w:id="188" w:name="_Toc259093691"/>
      <w:bookmarkStart w:id="189" w:name="_Toc279701262"/>
      <w:bookmarkStart w:id="190" w:name="_Toc18540"/>
      <w:bookmarkStart w:id="191" w:name="_Toc30599"/>
      <w:bookmarkStart w:id="192" w:name="_Toc487900372"/>
      <w:r>
        <w:rPr>
          <w:rFonts w:hint="eastAsia" w:ascii="宋体" w:hAnsi="宋体" w:eastAsia="宋体" w:cs="宋体"/>
          <w:b/>
          <w:bCs/>
          <w:sz w:val="24"/>
          <w:szCs w:val="24"/>
          <w:highlight w:val="none"/>
          <w:lang w:val="zh-CN"/>
        </w:rPr>
        <w:t>2.18 计量单位</w:t>
      </w:r>
      <w:bookmarkEnd w:id="187"/>
      <w:bookmarkEnd w:id="188"/>
      <w:bookmarkEnd w:id="189"/>
      <w:bookmarkEnd w:id="190"/>
      <w:bookmarkEnd w:id="191"/>
      <w:bookmarkEnd w:id="192"/>
    </w:p>
    <w:p w14:paraId="5A0456DA">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除技术规范中另有规定外</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合同的计量单位均使用国家法定计量单位。</w:t>
      </w:r>
    </w:p>
    <w:p w14:paraId="27EB7FF5">
      <w:pPr>
        <w:spacing w:line="360" w:lineRule="auto"/>
        <w:ind w:firstLine="437"/>
        <w:outlineLvl w:val="2"/>
        <w:rPr>
          <w:rFonts w:hint="eastAsia" w:ascii="宋体" w:hAnsi="宋体" w:eastAsia="宋体" w:cs="宋体"/>
          <w:b/>
          <w:bCs/>
          <w:sz w:val="24"/>
          <w:szCs w:val="24"/>
          <w:highlight w:val="none"/>
        </w:rPr>
      </w:pPr>
      <w:bookmarkStart w:id="193" w:name="_Toc10330"/>
      <w:bookmarkStart w:id="194" w:name="_Toc487900373"/>
      <w:bookmarkStart w:id="195" w:name="_Toc18567"/>
      <w:bookmarkStart w:id="196" w:name="_Toc259093692"/>
      <w:bookmarkStart w:id="197" w:name="_Toc279701263"/>
      <w:bookmarkStart w:id="198" w:name="_Toc12773"/>
      <w:r>
        <w:rPr>
          <w:rFonts w:hint="eastAsia" w:ascii="宋体" w:hAnsi="宋体" w:eastAsia="宋体" w:cs="宋体"/>
          <w:b/>
          <w:bCs/>
          <w:sz w:val="24"/>
          <w:szCs w:val="24"/>
          <w:highlight w:val="none"/>
        </w:rPr>
        <w:t xml:space="preserve">2.19 </w:t>
      </w:r>
      <w:r>
        <w:rPr>
          <w:rFonts w:hint="eastAsia" w:ascii="宋体" w:hAnsi="宋体" w:eastAsia="宋体" w:cs="宋体"/>
          <w:b/>
          <w:bCs/>
          <w:sz w:val="24"/>
          <w:szCs w:val="24"/>
          <w:highlight w:val="none"/>
          <w:lang w:val="zh-CN"/>
        </w:rPr>
        <w:t>合同使用的文字和适用的法律</w:t>
      </w:r>
      <w:bookmarkEnd w:id="193"/>
      <w:bookmarkEnd w:id="194"/>
      <w:bookmarkEnd w:id="195"/>
      <w:bookmarkEnd w:id="196"/>
      <w:bookmarkEnd w:id="197"/>
      <w:bookmarkEnd w:id="198"/>
    </w:p>
    <w:p w14:paraId="033E90A1">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2.19.1合同使用汉语书就、变更和解释；</w:t>
      </w:r>
    </w:p>
    <w:p w14:paraId="3993F298">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2.19.2合同适用中华人民共和国法律。</w:t>
      </w:r>
    </w:p>
    <w:p w14:paraId="6CEE85EE">
      <w:pPr>
        <w:spacing w:line="360" w:lineRule="auto"/>
        <w:ind w:firstLine="437"/>
        <w:outlineLvl w:val="2"/>
        <w:rPr>
          <w:rFonts w:hint="eastAsia" w:ascii="宋体" w:hAnsi="宋体" w:eastAsia="宋体" w:cs="宋体"/>
          <w:b/>
          <w:sz w:val="24"/>
          <w:szCs w:val="24"/>
          <w:highlight w:val="none"/>
        </w:rPr>
      </w:pPr>
      <w:bookmarkStart w:id="199" w:name="_Toc259093693"/>
      <w:bookmarkStart w:id="200" w:name="_Toc16673"/>
      <w:bookmarkStart w:id="201" w:name="_Toc12004"/>
      <w:bookmarkStart w:id="202" w:name="_Toc3148"/>
      <w:bookmarkStart w:id="203" w:name="_Toc279701264"/>
      <w:bookmarkStart w:id="204" w:name="_Toc487900374"/>
      <w:r>
        <w:rPr>
          <w:rFonts w:hint="eastAsia" w:ascii="宋体" w:hAnsi="宋体" w:eastAsia="宋体" w:cs="宋体"/>
          <w:b/>
          <w:bCs/>
          <w:sz w:val="24"/>
          <w:szCs w:val="24"/>
          <w:highlight w:val="none"/>
          <w:lang w:val="zh-CN"/>
        </w:rPr>
        <w:t>2.20 履约保证金</w:t>
      </w:r>
      <w:bookmarkEnd w:id="199"/>
      <w:bookmarkEnd w:id="200"/>
      <w:bookmarkEnd w:id="201"/>
      <w:bookmarkEnd w:id="202"/>
      <w:bookmarkEnd w:id="203"/>
    </w:p>
    <w:p w14:paraId="5BD27F01">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本项目无</w:t>
      </w:r>
      <w:r>
        <w:rPr>
          <w:rFonts w:hint="eastAsia" w:ascii="宋体" w:hAnsi="宋体" w:eastAsia="宋体" w:cs="宋体"/>
          <w:sz w:val="24"/>
          <w:szCs w:val="24"/>
          <w:highlight w:val="none"/>
        </w:rPr>
        <w:t>履约保证金。</w:t>
      </w:r>
    </w:p>
    <w:bookmarkEnd w:id="204"/>
    <w:p w14:paraId="3EDE159F">
      <w:pPr>
        <w:spacing w:line="360" w:lineRule="auto"/>
        <w:ind w:firstLine="437"/>
        <w:outlineLvl w:val="2"/>
        <w:rPr>
          <w:rFonts w:hint="eastAsia" w:ascii="宋体" w:hAnsi="宋体" w:eastAsia="宋体" w:cs="宋体"/>
          <w:b/>
          <w:sz w:val="24"/>
          <w:szCs w:val="24"/>
          <w:highlight w:val="none"/>
        </w:rPr>
      </w:pPr>
      <w:bookmarkStart w:id="205" w:name="_Toc19890"/>
      <w:bookmarkStart w:id="206" w:name="_Toc14001"/>
      <w:bookmarkStart w:id="207" w:name="_Toc6885"/>
      <w:r>
        <w:rPr>
          <w:rFonts w:hint="eastAsia" w:ascii="宋体" w:hAnsi="宋体" w:eastAsia="宋体" w:cs="宋体"/>
          <w:b/>
          <w:bCs/>
          <w:sz w:val="24"/>
          <w:szCs w:val="24"/>
          <w:highlight w:val="none"/>
          <w:lang w:val="zh-CN"/>
        </w:rPr>
        <w:t>2.21 合同份数</w:t>
      </w:r>
      <w:bookmarkEnd w:id="205"/>
      <w:bookmarkEnd w:id="206"/>
      <w:bookmarkEnd w:id="207"/>
    </w:p>
    <w:p w14:paraId="59BCE343">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合同份数按</w:t>
      </w:r>
      <w:r>
        <w:rPr>
          <w:rFonts w:hint="eastAsia" w:ascii="宋体" w:hAnsi="宋体" w:eastAsia="宋体" w:cs="宋体"/>
          <w:b/>
          <w:i/>
          <w:sz w:val="24"/>
          <w:szCs w:val="24"/>
          <w:highlight w:val="none"/>
          <w:u w:val="single"/>
        </w:rPr>
        <w:t>合同专用条款</w:t>
      </w:r>
      <w:r>
        <w:rPr>
          <w:rFonts w:hint="eastAsia" w:ascii="宋体" w:hAnsi="宋体" w:eastAsia="宋体" w:cs="宋体"/>
          <w:sz w:val="24"/>
          <w:szCs w:val="24"/>
          <w:highlight w:val="none"/>
        </w:rPr>
        <w:t>规定，每份均具有同等法律效力。</w:t>
      </w:r>
    </w:p>
    <w:p w14:paraId="6D61B461">
      <w:pPr>
        <w:spacing w:line="360" w:lineRule="auto"/>
        <w:jc w:val="center"/>
        <w:outlineLvl w:val="1"/>
        <w:rPr>
          <w:rFonts w:hint="eastAsia" w:ascii="宋体" w:hAnsi="宋体" w:eastAsia="宋体" w:cs="宋体"/>
          <w:b/>
          <w:sz w:val="24"/>
          <w:highlight w:val="none"/>
        </w:rPr>
      </w:pPr>
      <w:r>
        <w:rPr>
          <w:rFonts w:hint="eastAsia" w:ascii="宋体" w:hAnsi="宋体" w:eastAsia="宋体" w:cs="宋体"/>
          <w:sz w:val="24"/>
          <w:szCs w:val="24"/>
          <w:highlight w:val="none"/>
        </w:rPr>
        <w:br w:type="page"/>
      </w:r>
      <w:bookmarkStart w:id="208" w:name="_Toc331685784"/>
      <w:r>
        <w:rPr>
          <w:rFonts w:hint="eastAsia" w:ascii="宋体" w:hAnsi="宋体" w:eastAsia="宋体" w:cs="宋体"/>
          <w:b/>
          <w:sz w:val="24"/>
          <w:highlight w:val="none"/>
        </w:rPr>
        <w:t>第三部分 合同专用条款</w:t>
      </w:r>
      <w:bookmarkEnd w:id="208"/>
    </w:p>
    <w:p w14:paraId="44DB8CC1">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2"/>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31"/>
        <w:gridCol w:w="8871"/>
      </w:tblGrid>
      <w:tr w14:paraId="011FA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vAlign w:val="center"/>
          </w:tcPr>
          <w:p w14:paraId="79E8D092">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w:t>
            </w:r>
          </w:p>
        </w:tc>
        <w:tc>
          <w:tcPr>
            <w:tcW w:w="4525" w:type="pct"/>
            <w:vAlign w:val="center"/>
          </w:tcPr>
          <w:p w14:paraId="7940B838">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约定内容</w:t>
            </w:r>
          </w:p>
        </w:tc>
      </w:tr>
      <w:tr w14:paraId="13985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vAlign w:val="center"/>
          </w:tcPr>
          <w:p w14:paraId="316D42AA">
            <w:pPr>
              <w:spacing w:line="560" w:lineRule="exact"/>
              <w:rPr>
                <w:rFonts w:hint="eastAsia" w:ascii="宋体" w:hAnsi="宋体" w:eastAsia="宋体" w:cs="宋体"/>
                <w:sz w:val="24"/>
                <w:szCs w:val="24"/>
                <w:highlight w:val="none"/>
              </w:rPr>
            </w:pPr>
          </w:p>
        </w:tc>
        <w:tc>
          <w:tcPr>
            <w:tcW w:w="4525" w:type="pct"/>
            <w:vAlign w:val="center"/>
          </w:tcPr>
          <w:p w14:paraId="408D217F">
            <w:pPr>
              <w:spacing w:line="560" w:lineRule="exact"/>
              <w:rPr>
                <w:rFonts w:hint="eastAsia" w:ascii="宋体" w:hAnsi="宋体" w:eastAsia="宋体" w:cs="宋体"/>
                <w:sz w:val="24"/>
                <w:szCs w:val="24"/>
                <w:highlight w:val="none"/>
              </w:rPr>
            </w:pPr>
          </w:p>
        </w:tc>
      </w:tr>
      <w:tr w14:paraId="34FBC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14220464">
            <w:pPr>
              <w:spacing w:line="560" w:lineRule="exact"/>
              <w:rPr>
                <w:rFonts w:hint="eastAsia" w:ascii="宋体" w:hAnsi="宋体" w:eastAsia="宋体" w:cs="宋体"/>
                <w:sz w:val="24"/>
                <w:szCs w:val="24"/>
                <w:highlight w:val="none"/>
              </w:rPr>
            </w:pPr>
          </w:p>
        </w:tc>
        <w:tc>
          <w:tcPr>
            <w:tcW w:w="4525" w:type="pct"/>
            <w:vAlign w:val="center"/>
          </w:tcPr>
          <w:p w14:paraId="3E732A10">
            <w:pPr>
              <w:spacing w:line="560" w:lineRule="exact"/>
              <w:rPr>
                <w:rFonts w:hint="eastAsia" w:ascii="宋体" w:hAnsi="宋体" w:eastAsia="宋体" w:cs="宋体"/>
                <w:sz w:val="24"/>
                <w:szCs w:val="24"/>
                <w:highlight w:val="none"/>
              </w:rPr>
            </w:pPr>
          </w:p>
        </w:tc>
      </w:tr>
      <w:tr w14:paraId="74EAB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522C1E5B">
            <w:pPr>
              <w:spacing w:line="560" w:lineRule="exact"/>
              <w:rPr>
                <w:rFonts w:hint="eastAsia" w:ascii="宋体" w:hAnsi="宋体" w:eastAsia="宋体" w:cs="宋体"/>
                <w:sz w:val="24"/>
                <w:szCs w:val="24"/>
                <w:highlight w:val="none"/>
              </w:rPr>
            </w:pPr>
          </w:p>
        </w:tc>
        <w:tc>
          <w:tcPr>
            <w:tcW w:w="4525" w:type="pct"/>
            <w:vAlign w:val="center"/>
          </w:tcPr>
          <w:p w14:paraId="203FC0A5">
            <w:pPr>
              <w:spacing w:line="560" w:lineRule="exact"/>
              <w:rPr>
                <w:rFonts w:hint="eastAsia" w:ascii="宋体" w:hAnsi="宋体" w:eastAsia="宋体" w:cs="宋体"/>
                <w:sz w:val="24"/>
                <w:szCs w:val="24"/>
                <w:highlight w:val="none"/>
              </w:rPr>
            </w:pPr>
          </w:p>
        </w:tc>
      </w:tr>
      <w:tr w14:paraId="777A8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10E27053">
            <w:pPr>
              <w:spacing w:line="560" w:lineRule="exact"/>
              <w:rPr>
                <w:rFonts w:hint="eastAsia" w:ascii="宋体" w:hAnsi="宋体" w:eastAsia="宋体" w:cs="宋体"/>
                <w:sz w:val="24"/>
                <w:szCs w:val="24"/>
                <w:highlight w:val="none"/>
              </w:rPr>
            </w:pPr>
          </w:p>
        </w:tc>
        <w:tc>
          <w:tcPr>
            <w:tcW w:w="4525" w:type="pct"/>
            <w:vAlign w:val="center"/>
          </w:tcPr>
          <w:p w14:paraId="0168B970">
            <w:pPr>
              <w:spacing w:line="560" w:lineRule="exact"/>
              <w:rPr>
                <w:rFonts w:hint="eastAsia" w:ascii="宋体" w:hAnsi="宋体" w:eastAsia="宋体" w:cs="宋体"/>
                <w:sz w:val="24"/>
                <w:szCs w:val="24"/>
                <w:highlight w:val="none"/>
              </w:rPr>
            </w:pPr>
          </w:p>
        </w:tc>
      </w:tr>
      <w:tr w14:paraId="70BEEE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71C27A57">
            <w:pPr>
              <w:spacing w:line="560" w:lineRule="exact"/>
              <w:rPr>
                <w:rFonts w:hint="eastAsia" w:ascii="宋体" w:hAnsi="宋体" w:eastAsia="宋体" w:cs="宋体"/>
                <w:sz w:val="24"/>
                <w:szCs w:val="24"/>
                <w:highlight w:val="none"/>
              </w:rPr>
            </w:pPr>
          </w:p>
        </w:tc>
        <w:tc>
          <w:tcPr>
            <w:tcW w:w="4525" w:type="pct"/>
            <w:vAlign w:val="center"/>
          </w:tcPr>
          <w:p w14:paraId="2B96BC2C">
            <w:pPr>
              <w:spacing w:line="560" w:lineRule="exact"/>
              <w:rPr>
                <w:rFonts w:hint="eastAsia" w:ascii="宋体" w:hAnsi="宋体" w:eastAsia="宋体" w:cs="宋体"/>
                <w:sz w:val="24"/>
                <w:szCs w:val="24"/>
                <w:highlight w:val="none"/>
                <w:u w:val="single"/>
              </w:rPr>
            </w:pPr>
          </w:p>
        </w:tc>
      </w:tr>
      <w:tr w14:paraId="4DBE5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6886F1AA">
            <w:pPr>
              <w:spacing w:line="560" w:lineRule="exact"/>
              <w:rPr>
                <w:rFonts w:hint="eastAsia" w:ascii="宋体" w:hAnsi="宋体" w:eastAsia="宋体" w:cs="宋体"/>
                <w:sz w:val="24"/>
                <w:szCs w:val="24"/>
                <w:highlight w:val="none"/>
              </w:rPr>
            </w:pPr>
          </w:p>
        </w:tc>
        <w:tc>
          <w:tcPr>
            <w:tcW w:w="4525" w:type="pct"/>
            <w:vAlign w:val="center"/>
          </w:tcPr>
          <w:p w14:paraId="179CE34A">
            <w:pPr>
              <w:spacing w:line="560" w:lineRule="exact"/>
              <w:rPr>
                <w:rFonts w:hint="eastAsia" w:ascii="宋体" w:hAnsi="宋体" w:eastAsia="宋体" w:cs="宋体"/>
                <w:sz w:val="24"/>
                <w:szCs w:val="24"/>
                <w:highlight w:val="none"/>
              </w:rPr>
            </w:pPr>
          </w:p>
        </w:tc>
      </w:tr>
      <w:tr w14:paraId="6110A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7B3F6EEC">
            <w:pPr>
              <w:spacing w:line="560" w:lineRule="exact"/>
              <w:rPr>
                <w:rFonts w:hint="eastAsia" w:ascii="宋体" w:hAnsi="宋体" w:eastAsia="宋体" w:cs="宋体"/>
                <w:sz w:val="24"/>
                <w:szCs w:val="24"/>
                <w:highlight w:val="none"/>
              </w:rPr>
            </w:pPr>
          </w:p>
        </w:tc>
        <w:tc>
          <w:tcPr>
            <w:tcW w:w="4525" w:type="pct"/>
            <w:vAlign w:val="center"/>
          </w:tcPr>
          <w:p w14:paraId="50A1737A">
            <w:pPr>
              <w:spacing w:line="560" w:lineRule="exact"/>
              <w:rPr>
                <w:rFonts w:hint="eastAsia" w:ascii="宋体" w:hAnsi="宋体" w:eastAsia="宋体" w:cs="宋体"/>
                <w:sz w:val="24"/>
                <w:szCs w:val="24"/>
                <w:highlight w:val="none"/>
                <w:u w:val="single"/>
              </w:rPr>
            </w:pPr>
          </w:p>
        </w:tc>
      </w:tr>
      <w:tr w14:paraId="65100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551FF2FD">
            <w:pPr>
              <w:spacing w:line="560" w:lineRule="exact"/>
              <w:rPr>
                <w:rFonts w:hint="eastAsia" w:ascii="宋体" w:hAnsi="宋体" w:eastAsia="宋体" w:cs="宋体"/>
                <w:sz w:val="24"/>
                <w:szCs w:val="24"/>
                <w:highlight w:val="none"/>
              </w:rPr>
            </w:pPr>
          </w:p>
        </w:tc>
        <w:tc>
          <w:tcPr>
            <w:tcW w:w="4525" w:type="pct"/>
            <w:vAlign w:val="center"/>
          </w:tcPr>
          <w:p w14:paraId="3E272736">
            <w:pPr>
              <w:spacing w:line="560" w:lineRule="exact"/>
              <w:rPr>
                <w:rFonts w:hint="eastAsia" w:ascii="宋体" w:hAnsi="宋体" w:eastAsia="宋体" w:cs="宋体"/>
                <w:sz w:val="24"/>
                <w:szCs w:val="24"/>
                <w:highlight w:val="none"/>
              </w:rPr>
            </w:pPr>
          </w:p>
        </w:tc>
      </w:tr>
      <w:tr w14:paraId="40408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4A477956">
            <w:pPr>
              <w:spacing w:line="560" w:lineRule="exact"/>
              <w:rPr>
                <w:rFonts w:hint="eastAsia" w:ascii="宋体" w:hAnsi="宋体" w:eastAsia="宋体" w:cs="宋体"/>
                <w:sz w:val="24"/>
                <w:szCs w:val="24"/>
                <w:highlight w:val="none"/>
              </w:rPr>
            </w:pPr>
          </w:p>
        </w:tc>
        <w:tc>
          <w:tcPr>
            <w:tcW w:w="4525" w:type="pct"/>
            <w:vAlign w:val="center"/>
          </w:tcPr>
          <w:p w14:paraId="70C24B22">
            <w:pPr>
              <w:spacing w:line="560" w:lineRule="exact"/>
              <w:rPr>
                <w:rFonts w:hint="eastAsia" w:ascii="宋体" w:hAnsi="宋体" w:eastAsia="宋体" w:cs="宋体"/>
                <w:sz w:val="24"/>
                <w:szCs w:val="24"/>
                <w:highlight w:val="none"/>
              </w:rPr>
            </w:pPr>
          </w:p>
        </w:tc>
      </w:tr>
      <w:tr w14:paraId="0167F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6466C344">
            <w:pPr>
              <w:spacing w:line="560" w:lineRule="exact"/>
              <w:rPr>
                <w:rFonts w:hint="eastAsia" w:ascii="宋体" w:hAnsi="宋体" w:eastAsia="宋体" w:cs="宋体"/>
                <w:sz w:val="24"/>
                <w:szCs w:val="24"/>
                <w:highlight w:val="none"/>
              </w:rPr>
            </w:pPr>
          </w:p>
        </w:tc>
        <w:tc>
          <w:tcPr>
            <w:tcW w:w="4525" w:type="pct"/>
            <w:vAlign w:val="center"/>
          </w:tcPr>
          <w:p w14:paraId="4206A2D6">
            <w:pPr>
              <w:spacing w:line="560" w:lineRule="exact"/>
              <w:rPr>
                <w:rFonts w:hint="eastAsia" w:ascii="宋体" w:hAnsi="宋体" w:eastAsia="宋体" w:cs="宋体"/>
                <w:sz w:val="24"/>
                <w:szCs w:val="24"/>
                <w:highlight w:val="none"/>
              </w:rPr>
            </w:pPr>
          </w:p>
        </w:tc>
      </w:tr>
      <w:tr w14:paraId="3B736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062B00F0">
            <w:pPr>
              <w:spacing w:line="560" w:lineRule="exact"/>
              <w:rPr>
                <w:rFonts w:hint="eastAsia" w:ascii="宋体" w:hAnsi="宋体" w:eastAsia="宋体" w:cs="宋体"/>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vAlign w:val="center"/>
          </w:tcPr>
          <w:p w14:paraId="2826D0D3">
            <w:pPr>
              <w:spacing w:line="560" w:lineRule="exact"/>
              <w:rPr>
                <w:rFonts w:hint="eastAsia" w:ascii="宋体" w:hAnsi="宋体" w:eastAsia="宋体" w:cs="宋体"/>
                <w:sz w:val="24"/>
                <w:szCs w:val="24"/>
                <w:highlight w:val="none"/>
              </w:rPr>
            </w:pPr>
          </w:p>
        </w:tc>
      </w:tr>
      <w:tr w14:paraId="70F94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49AAF1ED">
            <w:pPr>
              <w:spacing w:line="560" w:lineRule="exact"/>
              <w:rPr>
                <w:rFonts w:hint="eastAsia" w:ascii="宋体" w:hAnsi="宋体" w:eastAsia="宋体" w:cs="宋体"/>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vAlign w:val="center"/>
          </w:tcPr>
          <w:p w14:paraId="0553392C">
            <w:pPr>
              <w:spacing w:line="560" w:lineRule="exact"/>
              <w:rPr>
                <w:rFonts w:hint="eastAsia" w:ascii="宋体" w:hAnsi="宋体" w:eastAsia="宋体" w:cs="宋体"/>
                <w:sz w:val="24"/>
                <w:szCs w:val="24"/>
                <w:highlight w:val="none"/>
              </w:rPr>
            </w:pPr>
          </w:p>
        </w:tc>
      </w:tr>
      <w:bookmarkEnd w:id="58"/>
    </w:tbl>
    <w:p w14:paraId="41551FDC">
      <w:pPr>
        <w:widowControl/>
        <w:jc w:val="left"/>
        <w:rPr>
          <w:rFonts w:hint="eastAsia" w:ascii="宋体" w:hAnsi="宋体" w:eastAsia="宋体" w:cs="宋体"/>
          <w:sz w:val="24"/>
          <w:highlight w:val="none"/>
        </w:rPr>
      </w:pPr>
      <w:r>
        <w:rPr>
          <w:rFonts w:hint="eastAsia" w:ascii="宋体" w:hAnsi="宋体" w:eastAsia="宋体" w:cs="宋体"/>
          <w:sz w:val="24"/>
          <w:highlight w:val="none"/>
        </w:rPr>
        <w:br w:type="page"/>
      </w:r>
    </w:p>
    <w:p w14:paraId="50C12E0C">
      <w:pPr>
        <w:spacing w:line="360" w:lineRule="auto"/>
        <w:jc w:val="center"/>
        <w:outlineLvl w:val="0"/>
        <w:rPr>
          <w:rFonts w:hint="eastAsia" w:ascii="宋体" w:hAnsi="宋体" w:eastAsia="宋体" w:cs="宋体"/>
          <w:b/>
          <w:sz w:val="28"/>
          <w:highlight w:val="none"/>
        </w:rPr>
      </w:pPr>
      <w:bookmarkStart w:id="209" w:name="_Toc18808"/>
      <w:bookmarkStart w:id="210" w:name="_Toc63440143"/>
      <w:r>
        <w:rPr>
          <w:rFonts w:hint="eastAsia" w:ascii="宋体" w:hAnsi="宋体" w:eastAsia="宋体" w:cs="宋体"/>
          <w:b/>
          <w:sz w:val="28"/>
          <w:highlight w:val="none"/>
        </w:rPr>
        <w:t>第六章  投标文件格式</w:t>
      </w:r>
      <w:bookmarkEnd w:id="209"/>
      <w:bookmarkEnd w:id="210"/>
    </w:p>
    <w:p w14:paraId="44353E58">
      <w:pPr>
        <w:spacing w:line="500" w:lineRule="exact"/>
        <w:jc w:val="center"/>
        <w:outlineLvl w:val="9"/>
        <w:rPr>
          <w:rFonts w:hint="eastAsia" w:ascii="宋体" w:hAnsi="宋体" w:eastAsia="宋体" w:cs="宋体"/>
          <w:b/>
          <w:sz w:val="32"/>
          <w:highlight w:val="none"/>
        </w:rPr>
      </w:pPr>
      <w:r>
        <w:rPr>
          <w:rFonts w:hint="eastAsia" w:ascii="宋体" w:hAnsi="宋体" w:eastAsia="宋体" w:cs="宋体"/>
          <w:b/>
          <w:sz w:val="32"/>
          <w:highlight w:val="none"/>
        </w:rPr>
        <w:t>某项目</w:t>
      </w:r>
    </w:p>
    <w:p w14:paraId="2A347478">
      <w:pPr>
        <w:spacing w:line="900" w:lineRule="exact"/>
        <w:jc w:val="center"/>
        <w:outlineLvl w:val="9"/>
        <w:rPr>
          <w:rFonts w:hint="eastAsia" w:ascii="宋体" w:hAnsi="宋体" w:eastAsia="宋体" w:cs="宋体"/>
          <w:b/>
          <w:sz w:val="72"/>
          <w:highlight w:val="none"/>
        </w:rPr>
      </w:pPr>
    </w:p>
    <w:p w14:paraId="108227E0">
      <w:pPr>
        <w:spacing w:line="900" w:lineRule="exact"/>
        <w:jc w:val="center"/>
        <w:outlineLvl w:val="9"/>
        <w:rPr>
          <w:rFonts w:hint="eastAsia" w:ascii="宋体" w:hAnsi="宋体" w:eastAsia="宋体" w:cs="宋体"/>
          <w:b/>
          <w:sz w:val="72"/>
          <w:highlight w:val="none"/>
        </w:rPr>
      </w:pPr>
      <w:r>
        <w:rPr>
          <w:rFonts w:hint="eastAsia" w:ascii="宋体" w:hAnsi="宋体" w:eastAsia="宋体" w:cs="宋体"/>
          <w:b/>
          <w:sz w:val="72"/>
          <w:highlight w:val="none"/>
        </w:rPr>
        <w:t>投</w:t>
      </w:r>
    </w:p>
    <w:p w14:paraId="65378BF5">
      <w:pPr>
        <w:spacing w:line="900" w:lineRule="exact"/>
        <w:jc w:val="center"/>
        <w:outlineLvl w:val="9"/>
        <w:rPr>
          <w:rFonts w:hint="eastAsia" w:ascii="宋体" w:hAnsi="宋体" w:eastAsia="宋体" w:cs="宋体"/>
          <w:b/>
          <w:sz w:val="72"/>
          <w:highlight w:val="none"/>
        </w:rPr>
      </w:pPr>
    </w:p>
    <w:p w14:paraId="22039CD3">
      <w:pPr>
        <w:spacing w:line="900" w:lineRule="exact"/>
        <w:jc w:val="center"/>
        <w:outlineLvl w:val="9"/>
        <w:rPr>
          <w:rFonts w:hint="eastAsia" w:ascii="宋体" w:hAnsi="宋体" w:eastAsia="宋体" w:cs="宋体"/>
          <w:b/>
          <w:sz w:val="72"/>
          <w:highlight w:val="none"/>
        </w:rPr>
      </w:pPr>
      <w:r>
        <w:rPr>
          <w:rFonts w:hint="eastAsia" w:ascii="宋体" w:hAnsi="宋体" w:eastAsia="宋体" w:cs="宋体"/>
          <w:b/>
          <w:sz w:val="72"/>
          <w:highlight w:val="none"/>
        </w:rPr>
        <w:t>标</w:t>
      </w:r>
    </w:p>
    <w:p w14:paraId="1E8D6832">
      <w:pPr>
        <w:spacing w:line="900" w:lineRule="exact"/>
        <w:jc w:val="center"/>
        <w:outlineLvl w:val="9"/>
        <w:rPr>
          <w:rFonts w:hint="eastAsia" w:ascii="宋体" w:hAnsi="宋体" w:eastAsia="宋体" w:cs="宋体"/>
          <w:b/>
          <w:sz w:val="72"/>
          <w:highlight w:val="none"/>
        </w:rPr>
      </w:pPr>
    </w:p>
    <w:p w14:paraId="581315B2">
      <w:pPr>
        <w:spacing w:line="900" w:lineRule="exact"/>
        <w:jc w:val="center"/>
        <w:outlineLvl w:val="9"/>
        <w:rPr>
          <w:rFonts w:hint="eastAsia" w:ascii="宋体" w:hAnsi="宋体" w:eastAsia="宋体" w:cs="宋体"/>
          <w:b/>
          <w:sz w:val="72"/>
          <w:highlight w:val="none"/>
        </w:rPr>
      </w:pPr>
      <w:r>
        <w:rPr>
          <w:rFonts w:hint="eastAsia" w:ascii="宋体" w:hAnsi="宋体" w:eastAsia="宋体" w:cs="宋体"/>
          <w:b/>
          <w:sz w:val="72"/>
          <w:highlight w:val="none"/>
        </w:rPr>
        <w:t>文</w:t>
      </w:r>
    </w:p>
    <w:p w14:paraId="1D3FCBD9">
      <w:pPr>
        <w:spacing w:line="900" w:lineRule="exact"/>
        <w:jc w:val="center"/>
        <w:outlineLvl w:val="9"/>
        <w:rPr>
          <w:rFonts w:hint="eastAsia" w:ascii="宋体" w:hAnsi="宋体" w:eastAsia="宋体" w:cs="宋体"/>
          <w:b/>
          <w:sz w:val="72"/>
          <w:highlight w:val="none"/>
        </w:rPr>
      </w:pPr>
    </w:p>
    <w:p w14:paraId="17B53261">
      <w:pPr>
        <w:jc w:val="center"/>
        <w:outlineLvl w:val="9"/>
        <w:rPr>
          <w:rFonts w:hint="eastAsia" w:ascii="宋体" w:hAnsi="宋体" w:eastAsia="宋体" w:cs="宋体"/>
          <w:b/>
          <w:sz w:val="72"/>
          <w:highlight w:val="none"/>
        </w:rPr>
      </w:pPr>
      <w:r>
        <w:rPr>
          <w:rFonts w:hint="eastAsia" w:ascii="宋体" w:hAnsi="宋体" w:eastAsia="宋体" w:cs="宋体"/>
          <w:b/>
          <w:sz w:val="72"/>
          <w:highlight w:val="none"/>
        </w:rPr>
        <w:t>件</w:t>
      </w:r>
    </w:p>
    <w:p w14:paraId="1AC65569">
      <w:pPr>
        <w:spacing w:after="156" w:afterLines="50"/>
        <w:jc w:val="center"/>
        <w:rPr>
          <w:rFonts w:hint="eastAsia" w:ascii="宋体" w:hAnsi="宋体" w:eastAsia="宋体" w:cs="宋体"/>
          <w:b/>
          <w:sz w:val="72"/>
          <w:highlight w:val="none"/>
        </w:rPr>
      </w:pPr>
    </w:p>
    <w:p w14:paraId="19A866D4">
      <w:pPr>
        <w:spacing w:before="156" w:beforeLines="50" w:after="156" w:afterLines="50"/>
        <w:jc w:val="center"/>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【第</w:t>
      </w:r>
      <w:r>
        <w:rPr>
          <w:rFonts w:hint="eastAsia" w:ascii="宋体" w:hAnsi="宋体" w:eastAsia="宋体" w:cs="宋体"/>
          <w:b/>
          <w:sz w:val="32"/>
          <w:szCs w:val="32"/>
          <w:highlight w:val="none"/>
          <w:u w:val="single"/>
        </w:rPr>
        <w:t xml:space="preserve">   </w:t>
      </w:r>
      <w:r>
        <w:rPr>
          <w:rFonts w:hint="eastAsia" w:ascii="宋体" w:hAnsi="宋体" w:eastAsia="宋体" w:cs="宋体"/>
          <w:b/>
          <w:sz w:val="32"/>
          <w:szCs w:val="32"/>
          <w:highlight w:val="none"/>
        </w:rPr>
        <w:t>包】</w:t>
      </w:r>
      <w:r>
        <w:rPr>
          <w:rFonts w:hint="eastAsia" w:ascii="宋体" w:hAnsi="宋体" w:eastAsia="宋体" w:cs="宋体"/>
          <w:b/>
          <w:sz w:val="28"/>
          <w:szCs w:val="28"/>
          <w:highlight w:val="none"/>
        </w:rPr>
        <w:t>（不分包项目删除）</w:t>
      </w:r>
    </w:p>
    <w:p w14:paraId="4BBCC71E">
      <w:pPr>
        <w:spacing w:after="156" w:afterLines="50" w:line="500" w:lineRule="exact"/>
        <w:jc w:val="center"/>
        <w:outlineLvl w:val="9"/>
        <w:rPr>
          <w:rFonts w:hint="eastAsia" w:ascii="宋体" w:hAnsi="宋体" w:eastAsia="宋体" w:cs="宋体"/>
          <w:b/>
          <w:sz w:val="28"/>
          <w:szCs w:val="28"/>
          <w:highlight w:val="none"/>
        </w:rPr>
      </w:pPr>
    </w:p>
    <w:p w14:paraId="04DE2FCD">
      <w:pPr>
        <w:spacing w:after="156" w:afterLines="50" w:line="500" w:lineRule="exact"/>
        <w:jc w:val="center"/>
        <w:outlineLvl w:val="9"/>
        <w:rPr>
          <w:rFonts w:hint="eastAsia" w:ascii="宋体" w:hAnsi="宋体" w:eastAsia="宋体" w:cs="宋体"/>
          <w:b/>
          <w:sz w:val="72"/>
          <w:highlight w:val="none"/>
        </w:rPr>
      </w:pPr>
    </w:p>
    <w:p w14:paraId="27317994">
      <w:pPr>
        <w:spacing w:after="156" w:afterLines="50" w:line="500" w:lineRule="exact"/>
        <w:ind w:firstLine="2522" w:firstLineChars="785"/>
        <w:outlineLvl w:val="9"/>
        <w:rPr>
          <w:rFonts w:hint="eastAsia" w:ascii="宋体" w:hAnsi="宋体" w:eastAsia="宋体" w:cs="宋体"/>
          <w:b/>
          <w:sz w:val="32"/>
          <w:highlight w:val="none"/>
          <w:u w:val="single"/>
        </w:rPr>
      </w:pPr>
      <w:r>
        <w:rPr>
          <w:rFonts w:hint="eastAsia" w:ascii="宋体" w:hAnsi="宋体" w:eastAsia="宋体" w:cs="宋体"/>
          <w:b/>
          <w:sz w:val="32"/>
          <w:highlight w:val="none"/>
        </w:rPr>
        <w:t>投标人：</w:t>
      </w:r>
      <w:r>
        <w:rPr>
          <w:rFonts w:hint="eastAsia" w:ascii="宋体" w:hAnsi="宋体" w:eastAsia="宋体" w:cs="宋体"/>
          <w:b/>
          <w:sz w:val="32"/>
          <w:highlight w:val="none"/>
          <w:u w:val="single"/>
        </w:rPr>
        <w:t xml:space="preserve">               </w:t>
      </w:r>
    </w:p>
    <w:p w14:paraId="6273FF10">
      <w:pPr>
        <w:spacing w:after="156" w:afterLines="50" w:line="500" w:lineRule="exact"/>
        <w:jc w:val="center"/>
        <w:outlineLvl w:val="9"/>
        <w:rPr>
          <w:rFonts w:hint="eastAsia" w:ascii="宋体" w:hAnsi="宋体" w:eastAsia="宋体" w:cs="宋体"/>
          <w:b/>
          <w:sz w:val="32"/>
          <w:highlight w:val="none"/>
        </w:rPr>
      </w:pPr>
      <w:r>
        <w:rPr>
          <w:rFonts w:hint="eastAsia" w:ascii="宋体" w:hAnsi="宋体" w:eastAsia="宋体" w:cs="宋体"/>
          <w:b/>
          <w:sz w:val="32"/>
          <w:highlight w:val="none"/>
          <w:u w:val="single"/>
        </w:rPr>
        <w:t xml:space="preserve">    </w:t>
      </w:r>
      <w:r>
        <w:rPr>
          <w:rFonts w:hint="eastAsia" w:ascii="宋体" w:hAnsi="宋体" w:eastAsia="宋体" w:cs="宋体"/>
          <w:b/>
          <w:sz w:val="32"/>
          <w:highlight w:val="none"/>
        </w:rPr>
        <w:t>年</w:t>
      </w:r>
      <w:r>
        <w:rPr>
          <w:rFonts w:hint="eastAsia" w:ascii="宋体" w:hAnsi="宋体" w:eastAsia="宋体" w:cs="宋体"/>
          <w:b/>
          <w:sz w:val="32"/>
          <w:highlight w:val="none"/>
          <w:u w:val="single"/>
        </w:rPr>
        <w:t xml:space="preserve">  </w:t>
      </w:r>
      <w:r>
        <w:rPr>
          <w:rFonts w:hint="eastAsia" w:ascii="宋体" w:hAnsi="宋体" w:eastAsia="宋体" w:cs="宋体"/>
          <w:b/>
          <w:sz w:val="32"/>
          <w:highlight w:val="none"/>
        </w:rPr>
        <w:t>月</w:t>
      </w:r>
      <w:r>
        <w:rPr>
          <w:rFonts w:hint="eastAsia" w:ascii="宋体" w:hAnsi="宋体" w:eastAsia="宋体" w:cs="宋体"/>
          <w:b/>
          <w:sz w:val="32"/>
          <w:highlight w:val="none"/>
          <w:u w:val="single"/>
        </w:rPr>
        <w:t xml:space="preserve">  </w:t>
      </w:r>
      <w:r>
        <w:rPr>
          <w:rFonts w:hint="eastAsia" w:ascii="宋体" w:hAnsi="宋体" w:eastAsia="宋体" w:cs="宋体"/>
          <w:b/>
          <w:sz w:val="32"/>
          <w:highlight w:val="none"/>
        </w:rPr>
        <w:t>日</w:t>
      </w:r>
    </w:p>
    <w:p w14:paraId="4075EFE0">
      <w:pPr>
        <w:widowControl/>
        <w:jc w:val="left"/>
        <w:rPr>
          <w:rFonts w:hint="eastAsia" w:ascii="宋体" w:hAnsi="宋体" w:eastAsia="宋体" w:cs="宋体"/>
          <w:b/>
          <w:sz w:val="28"/>
          <w:highlight w:val="none"/>
        </w:rPr>
      </w:pPr>
      <w:r>
        <w:rPr>
          <w:rFonts w:hint="eastAsia" w:ascii="宋体" w:hAnsi="宋体" w:eastAsia="宋体" w:cs="宋体"/>
          <w:b/>
          <w:sz w:val="28"/>
          <w:highlight w:val="none"/>
        </w:rPr>
        <w:br w:type="page"/>
      </w:r>
    </w:p>
    <w:p w14:paraId="2697B942">
      <w:pPr>
        <w:numPr>
          <w:ilvl w:val="0"/>
          <w:numId w:val="5"/>
        </w:numPr>
        <w:spacing w:line="360" w:lineRule="auto"/>
        <w:jc w:val="center"/>
        <w:outlineLvl w:val="1"/>
        <w:rPr>
          <w:rFonts w:hint="eastAsia" w:ascii="宋体" w:hAnsi="宋体" w:eastAsia="宋体" w:cs="宋体"/>
          <w:b/>
          <w:sz w:val="24"/>
          <w:highlight w:val="none"/>
        </w:rPr>
      </w:pPr>
      <w:r>
        <w:rPr>
          <w:rFonts w:hint="eastAsia" w:ascii="宋体" w:hAnsi="宋体" w:eastAsia="宋体" w:cs="宋体"/>
          <w:b/>
          <w:sz w:val="24"/>
          <w:highlight w:val="none"/>
        </w:rPr>
        <w:t>开标一览表</w:t>
      </w:r>
    </w:p>
    <w:p w14:paraId="29C16A04">
      <w:pPr>
        <w:pStyle w:val="8"/>
        <w:numPr>
          <w:ilvl w:val="0"/>
          <w:numId w:val="0"/>
        </w:numPr>
        <w:rPr>
          <w:rFonts w:hint="eastAsia"/>
          <w:highlight w:val="none"/>
        </w:rPr>
      </w:pP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7268"/>
      </w:tblGrid>
      <w:tr w14:paraId="1F9B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4D1501BF">
            <w:pPr>
              <w:widowControl/>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项目名称</w:t>
            </w:r>
          </w:p>
        </w:tc>
        <w:tc>
          <w:tcPr>
            <w:tcW w:w="3648" w:type="pct"/>
            <w:tcBorders>
              <w:top w:val="single" w:color="auto" w:sz="4" w:space="0"/>
              <w:bottom w:val="single" w:color="auto" w:sz="4" w:space="0"/>
              <w:right w:val="single" w:color="auto" w:sz="4" w:space="0"/>
            </w:tcBorders>
            <w:vAlign w:val="center"/>
          </w:tcPr>
          <w:p w14:paraId="0BFC5D84">
            <w:pPr>
              <w:spacing w:line="360" w:lineRule="exact"/>
              <w:jc w:val="center"/>
              <w:rPr>
                <w:rFonts w:hint="eastAsia" w:ascii="宋体" w:hAnsi="宋体" w:eastAsia="宋体" w:cs="宋体"/>
                <w:bCs/>
                <w:sz w:val="24"/>
                <w:highlight w:val="none"/>
                <w:u w:val="single"/>
              </w:rPr>
            </w:pPr>
            <w:r>
              <w:rPr>
                <w:rFonts w:hint="eastAsia" w:ascii="宋体" w:hAnsi="宋体" w:eastAsia="宋体" w:cs="宋体"/>
                <w:b/>
                <w:sz w:val="24"/>
                <w:highlight w:val="none"/>
              </w:rPr>
              <w:t>某项目</w:t>
            </w:r>
          </w:p>
        </w:tc>
      </w:tr>
      <w:tr w14:paraId="59FB8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AA78798">
            <w:pPr>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投标人全称</w:t>
            </w:r>
          </w:p>
        </w:tc>
        <w:tc>
          <w:tcPr>
            <w:tcW w:w="3648" w:type="pct"/>
            <w:tcBorders>
              <w:top w:val="nil"/>
            </w:tcBorders>
            <w:vAlign w:val="center"/>
          </w:tcPr>
          <w:p w14:paraId="4A6912B7">
            <w:pPr>
              <w:spacing w:line="360" w:lineRule="auto"/>
              <w:rPr>
                <w:rFonts w:hint="eastAsia" w:ascii="宋体" w:hAnsi="宋体" w:eastAsia="宋体" w:cs="宋体"/>
                <w:sz w:val="24"/>
                <w:highlight w:val="none"/>
              </w:rPr>
            </w:pPr>
          </w:p>
        </w:tc>
      </w:tr>
      <w:tr w14:paraId="72B4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00B50DCE">
            <w:pPr>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投标范围</w:t>
            </w:r>
          </w:p>
        </w:tc>
        <w:tc>
          <w:tcPr>
            <w:tcW w:w="3648" w:type="pct"/>
            <w:tcBorders>
              <w:top w:val="nil"/>
            </w:tcBorders>
            <w:vAlign w:val="center"/>
          </w:tcPr>
          <w:p w14:paraId="31FA4736">
            <w:pPr>
              <w:widowControl/>
              <w:spacing w:line="360" w:lineRule="exact"/>
              <w:rPr>
                <w:rFonts w:hint="eastAsia" w:ascii="宋体" w:hAnsi="宋体" w:eastAsia="宋体" w:cs="宋体"/>
                <w:sz w:val="24"/>
                <w:highlight w:val="none"/>
              </w:rPr>
            </w:pPr>
            <w:r>
              <w:rPr>
                <w:rFonts w:hint="eastAsia" w:ascii="宋体" w:hAnsi="宋体" w:eastAsia="宋体" w:cs="宋体"/>
                <w:sz w:val="24"/>
                <w:szCs w:val="28"/>
                <w:highlight w:val="none"/>
              </w:rPr>
              <w:t>全部/第</w:t>
            </w:r>
            <w:r>
              <w:rPr>
                <w:rFonts w:hint="eastAsia" w:ascii="宋体" w:hAnsi="宋体" w:eastAsia="宋体" w:cs="宋体"/>
                <w:sz w:val="24"/>
                <w:szCs w:val="28"/>
                <w:highlight w:val="none"/>
                <w:u w:val="single"/>
              </w:rPr>
              <w:t xml:space="preserve">   </w:t>
            </w:r>
            <w:r>
              <w:rPr>
                <w:rFonts w:hint="eastAsia" w:ascii="宋体" w:hAnsi="宋体" w:eastAsia="宋体" w:cs="宋体"/>
                <w:sz w:val="24"/>
                <w:szCs w:val="28"/>
                <w:highlight w:val="none"/>
              </w:rPr>
              <w:t>包</w:t>
            </w:r>
          </w:p>
        </w:tc>
      </w:tr>
      <w:tr w14:paraId="5528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72D3C46D">
            <w:pPr>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投标报价</w:t>
            </w:r>
          </w:p>
        </w:tc>
        <w:tc>
          <w:tcPr>
            <w:tcW w:w="3648" w:type="pct"/>
            <w:tcBorders>
              <w:top w:val="nil"/>
            </w:tcBorders>
            <w:vAlign w:val="center"/>
          </w:tcPr>
          <w:p w14:paraId="1A5C46BC">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人民币大写：</w:t>
            </w:r>
            <w:r>
              <w:rPr>
                <w:rFonts w:hint="eastAsia" w:ascii="宋体" w:hAnsi="宋体" w:eastAsia="宋体" w:cs="宋体"/>
                <w:sz w:val="24"/>
                <w:highlight w:val="none"/>
                <w:u w:val="single"/>
              </w:rPr>
              <w:t xml:space="preserve">                     </w:t>
            </w:r>
          </w:p>
          <w:p w14:paraId="41723599">
            <w:pPr>
              <w:spacing w:line="360" w:lineRule="auto"/>
              <w:ind w:right="-670"/>
              <w:rPr>
                <w:rFonts w:hint="eastAsia" w:ascii="宋体" w:hAnsi="宋体" w:eastAsia="宋体" w:cs="宋体"/>
                <w:sz w:val="24"/>
                <w:highlight w:val="none"/>
              </w:rPr>
            </w:pPr>
            <w:r>
              <w:rPr>
                <w:rFonts w:hint="eastAsia" w:ascii="宋体" w:hAnsi="宋体" w:eastAsia="宋体" w:cs="宋体"/>
                <w:sz w:val="24"/>
                <w:highlight w:val="none"/>
              </w:rPr>
              <w:t>人民币小写：</w:t>
            </w:r>
            <w:r>
              <w:rPr>
                <w:rFonts w:hint="eastAsia" w:ascii="宋体" w:hAnsi="宋体" w:eastAsia="宋体" w:cs="宋体"/>
                <w:sz w:val="24"/>
                <w:highlight w:val="none"/>
                <w:u w:val="single"/>
              </w:rPr>
              <w:t xml:space="preserve">                     </w:t>
            </w:r>
          </w:p>
        </w:tc>
      </w:tr>
      <w:tr w14:paraId="42B8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440002C8">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其他</w:t>
            </w:r>
          </w:p>
        </w:tc>
        <w:tc>
          <w:tcPr>
            <w:tcW w:w="3648" w:type="pct"/>
            <w:tcBorders>
              <w:top w:val="nil"/>
            </w:tcBorders>
            <w:vAlign w:val="center"/>
          </w:tcPr>
          <w:p w14:paraId="4447BE26">
            <w:pPr>
              <w:spacing w:line="360" w:lineRule="auto"/>
              <w:jc w:val="left"/>
              <w:rPr>
                <w:rFonts w:hint="eastAsia" w:ascii="宋体" w:hAnsi="宋体" w:eastAsia="宋体" w:cs="宋体"/>
                <w:sz w:val="24"/>
                <w:szCs w:val="28"/>
                <w:highlight w:val="none"/>
              </w:rPr>
            </w:pPr>
          </w:p>
        </w:tc>
      </w:tr>
    </w:tbl>
    <w:p w14:paraId="1543996D">
      <w:pPr>
        <w:spacing w:line="360" w:lineRule="auto"/>
        <w:rPr>
          <w:rFonts w:hint="eastAsia" w:ascii="宋体" w:hAnsi="宋体" w:eastAsia="宋体" w:cs="宋体"/>
          <w:bCs/>
          <w:sz w:val="24"/>
          <w:highlight w:val="none"/>
          <w:u w:val="single"/>
        </w:rPr>
      </w:pPr>
      <w:r>
        <w:rPr>
          <w:rFonts w:hint="eastAsia" w:ascii="宋体" w:hAnsi="宋体" w:eastAsia="宋体" w:cs="宋体"/>
          <w:bCs/>
          <w:sz w:val="24"/>
          <w:highlight w:val="none"/>
        </w:rPr>
        <w:t>投标人：</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eastAsia="zh-CN"/>
        </w:rPr>
        <w:t>（</w:t>
      </w:r>
      <w:r>
        <w:rPr>
          <w:rFonts w:hint="eastAsia" w:ascii="宋体" w:hAnsi="宋体" w:eastAsia="宋体" w:cs="宋体"/>
          <w:bCs/>
          <w:sz w:val="24"/>
          <w:highlight w:val="none"/>
          <w:u w:val="single"/>
          <w:lang w:val="en-US" w:eastAsia="zh-CN"/>
        </w:rPr>
        <w:t>盖章）</w:t>
      </w:r>
      <w:r>
        <w:rPr>
          <w:rFonts w:hint="eastAsia" w:ascii="宋体" w:hAnsi="宋体" w:eastAsia="宋体" w:cs="宋体"/>
          <w:bCs/>
          <w:sz w:val="24"/>
          <w:highlight w:val="none"/>
          <w:u w:val="single"/>
        </w:rPr>
        <w:t xml:space="preserve">        </w:t>
      </w:r>
    </w:p>
    <w:p w14:paraId="735B3157">
      <w:pPr>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日  期：</w:t>
      </w:r>
      <w:r>
        <w:rPr>
          <w:rFonts w:hint="eastAsia" w:ascii="宋体" w:hAnsi="宋体" w:eastAsia="宋体" w:cs="宋体"/>
          <w:bCs/>
          <w:sz w:val="24"/>
          <w:highlight w:val="none"/>
          <w:u w:val="single"/>
        </w:rPr>
        <w:t xml:space="preserve">             </w:t>
      </w:r>
    </w:p>
    <w:p w14:paraId="26893939">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2BD3BF37">
      <w:pPr>
        <w:spacing w:line="360" w:lineRule="auto"/>
        <w:ind w:firstLine="360" w:firstLineChars="150"/>
        <w:rPr>
          <w:rFonts w:hint="eastAsia" w:ascii="宋体" w:hAnsi="宋体" w:eastAsia="宋体" w:cs="宋体"/>
          <w:sz w:val="24"/>
          <w:highlight w:val="none"/>
        </w:rPr>
      </w:pPr>
    </w:p>
    <w:p w14:paraId="0CC55C67">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注：</w:t>
      </w:r>
    </w:p>
    <w:p w14:paraId="3C5AB203">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1.此表用于开标唱标之用。</w:t>
      </w:r>
    </w:p>
    <w:p w14:paraId="4B38658E">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2.表中投标报价即为优惠后报价，并作为评审及定标依据。任何有选择或有条件的投标报价，或者表中某一包别填写多个报价，均为无效报价。</w:t>
      </w:r>
    </w:p>
    <w:p w14:paraId="2C49CA9D">
      <w:pPr>
        <w:spacing w:line="360" w:lineRule="auto"/>
        <w:ind w:firstLine="435"/>
        <w:rPr>
          <w:rFonts w:hint="eastAsia" w:ascii="宋体" w:hAnsi="宋体" w:eastAsia="宋体" w:cs="宋体"/>
          <w:highlight w:val="none"/>
        </w:rPr>
      </w:pPr>
      <w:r>
        <w:rPr>
          <w:rFonts w:hint="eastAsia" w:ascii="宋体" w:hAnsi="宋体" w:eastAsia="宋体" w:cs="宋体"/>
          <w:sz w:val="24"/>
          <w:highlight w:val="none"/>
        </w:rPr>
        <w:t>3.表中大写金额与小写金额不一致的，以大写金额为准。</w:t>
      </w:r>
    </w:p>
    <w:p w14:paraId="4D0829D3">
      <w:pPr>
        <w:widowControl/>
        <w:jc w:val="left"/>
        <w:rPr>
          <w:rFonts w:hint="eastAsia" w:ascii="宋体" w:hAnsi="宋体" w:eastAsia="宋体" w:cs="宋体"/>
          <w:sz w:val="24"/>
          <w:highlight w:val="none"/>
        </w:rPr>
      </w:pPr>
      <w:r>
        <w:rPr>
          <w:rFonts w:hint="eastAsia" w:ascii="宋体" w:hAnsi="宋体" w:eastAsia="宋体" w:cs="宋体"/>
          <w:sz w:val="24"/>
          <w:highlight w:val="none"/>
        </w:rPr>
        <w:br w:type="page"/>
      </w:r>
    </w:p>
    <w:p w14:paraId="757F984D">
      <w:pPr>
        <w:spacing w:line="360" w:lineRule="auto"/>
        <w:jc w:val="center"/>
        <w:outlineLvl w:val="1"/>
        <w:rPr>
          <w:rFonts w:hint="eastAsia" w:ascii="宋体" w:hAnsi="宋体" w:eastAsia="宋体" w:cs="宋体"/>
          <w:b/>
          <w:sz w:val="24"/>
          <w:highlight w:val="none"/>
        </w:rPr>
      </w:pPr>
      <w:r>
        <w:rPr>
          <w:rFonts w:hint="eastAsia" w:ascii="宋体" w:hAnsi="宋体" w:eastAsia="宋体" w:cs="宋体"/>
          <w:b/>
          <w:sz w:val="24"/>
          <w:highlight w:val="none"/>
        </w:rPr>
        <w:t>二、投标函</w:t>
      </w:r>
    </w:p>
    <w:p w14:paraId="41D0E034">
      <w:pPr>
        <w:pStyle w:val="11"/>
        <w:spacing w:line="360" w:lineRule="auto"/>
        <w:rPr>
          <w:rFonts w:hint="eastAsia" w:ascii="宋体" w:hAnsi="宋体" w:eastAsia="宋体" w:cs="宋体"/>
          <w:sz w:val="24"/>
          <w:highlight w:val="none"/>
        </w:rPr>
      </w:pPr>
    </w:p>
    <w:p w14:paraId="5F3572AE">
      <w:pPr>
        <w:pStyle w:val="11"/>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致：</w:t>
      </w:r>
      <w:r>
        <w:rPr>
          <w:rFonts w:hint="eastAsia" w:ascii="宋体" w:hAnsi="宋体" w:eastAsia="宋体" w:cs="宋体"/>
          <w:sz w:val="24"/>
          <w:highlight w:val="none"/>
          <w:u w:val="single"/>
        </w:rPr>
        <w:t>某采购单位</w:t>
      </w:r>
    </w:p>
    <w:p w14:paraId="5BA99EE4">
      <w:pPr>
        <w:pStyle w:val="11"/>
        <w:spacing w:line="360" w:lineRule="auto"/>
        <w:ind w:firstLine="472" w:firstLineChars="196"/>
        <w:rPr>
          <w:rFonts w:hint="eastAsia" w:ascii="宋体" w:hAnsi="宋体" w:eastAsia="宋体" w:cs="宋体"/>
          <w:sz w:val="24"/>
          <w:highlight w:val="none"/>
        </w:rPr>
      </w:pPr>
      <w:r>
        <w:rPr>
          <w:rFonts w:hint="eastAsia" w:ascii="宋体" w:hAnsi="宋体" w:eastAsia="宋体" w:cs="宋体"/>
          <w:sz w:val="24"/>
          <w:highlight w:val="none"/>
          <w:u w:val="single"/>
        </w:rPr>
        <w:t xml:space="preserve">某代理机构 </w:t>
      </w:r>
    </w:p>
    <w:p w14:paraId="5F75ECCA">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根据贵方的招标公告和投标邀请，我方兹宣布同意如下：</w:t>
      </w:r>
    </w:p>
    <w:p w14:paraId="2817D03A">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1.按招标文件规定提供交付的货物（包括安装调试等工作）的最终投标报价见开标一览表，如我方中标，我方承诺愿意按招标文件规定缴纳中标服务费。</w:t>
      </w:r>
    </w:p>
    <w:p w14:paraId="4EA6618B">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2.我方根据招标文件的规定，严格履行合同的责任和义务</w:t>
      </w:r>
      <w:r>
        <w:rPr>
          <w:rFonts w:hint="eastAsia" w:ascii="宋体" w:hAnsi="宋体" w:eastAsia="宋体" w:cs="宋体"/>
          <w:sz w:val="24"/>
          <w:highlight w:val="none"/>
          <w:lang w:eastAsia="zh-CN"/>
        </w:rPr>
        <w:t>，</w:t>
      </w:r>
      <w:r>
        <w:rPr>
          <w:rFonts w:hint="eastAsia" w:ascii="宋体" w:hAnsi="宋体" w:eastAsia="宋体" w:cs="宋体"/>
          <w:sz w:val="24"/>
          <w:highlight w:val="none"/>
        </w:rPr>
        <w:t>并保证于买方要求的日期内完成，并通过买方验收。</w:t>
      </w:r>
    </w:p>
    <w:p w14:paraId="03673BE0">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3.我方承诺报价低于同类货物和服务的市场平均价格。</w:t>
      </w:r>
    </w:p>
    <w:p w14:paraId="3863C05F">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6CEE537B">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5.我方同意从招标文件规定的开标日期起遵循本招标文件，并在招标文件规定的投标有效期之前均具有约束力。</w:t>
      </w:r>
    </w:p>
    <w:p w14:paraId="22DA83D5">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4FF31DA4">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7.我方完全理解贵方不一定接受最低报价的投标。</w:t>
      </w:r>
    </w:p>
    <w:p w14:paraId="31A9834A">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8.我方接受招标文件规定的付款方式、免费质保要求。</w:t>
      </w:r>
    </w:p>
    <w:p w14:paraId="2B226DBC">
      <w:pPr>
        <w:spacing w:line="360" w:lineRule="auto"/>
        <w:ind w:firstLine="4800" w:firstLineChars="2000"/>
        <w:rPr>
          <w:rFonts w:hint="eastAsia" w:ascii="宋体" w:hAnsi="宋体" w:eastAsia="宋体" w:cs="宋体"/>
          <w:sz w:val="24"/>
          <w:highlight w:val="none"/>
        </w:rPr>
      </w:pPr>
    </w:p>
    <w:p w14:paraId="1CA402EB">
      <w:pPr>
        <w:spacing w:line="360" w:lineRule="auto"/>
        <w:ind w:firstLine="5520" w:firstLineChars="2300"/>
        <w:rPr>
          <w:rFonts w:hint="eastAsia" w:ascii="宋体" w:hAnsi="宋体" w:eastAsia="宋体" w:cs="宋体"/>
          <w:bCs/>
          <w:sz w:val="24"/>
          <w:highlight w:val="none"/>
          <w:u w:val="single"/>
        </w:rPr>
      </w:pPr>
      <w:r>
        <w:rPr>
          <w:rFonts w:hint="eastAsia" w:ascii="宋体" w:hAnsi="宋体" w:eastAsia="宋体" w:cs="宋体"/>
          <w:bCs/>
          <w:sz w:val="24"/>
          <w:highlight w:val="none"/>
        </w:rPr>
        <w:t>投标人：</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eastAsia="zh-CN"/>
        </w:rPr>
        <w:t>（</w:t>
      </w:r>
      <w:r>
        <w:rPr>
          <w:rFonts w:hint="eastAsia" w:ascii="宋体" w:hAnsi="宋体" w:eastAsia="宋体" w:cs="宋体"/>
          <w:bCs/>
          <w:sz w:val="24"/>
          <w:highlight w:val="none"/>
          <w:u w:val="single"/>
          <w:lang w:val="en-US" w:eastAsia="zh-CN"/>
        </w:rPr>
        <w:t>盖章）</w:t>
      </w:r>
      <w:r>
        <w:rPr>
          <w:rFonts w:hint="eastAsia" w:ascii="宋体" w:hAnsi="宋体" w:eastAsia="宋体" w:cs="宋体"/>
          <w:bCs/>
          <w:sz w:val="24"/>
          <w:highlight w:val="none"/>
          <w:u w:val="single"/>
        </w:rPr>
        <w:t xml:space="preserve">        </w:t>
      </w:r>
    </w:p>
    <w:p w14:paraId="556715F1">
      <w:pPr>
        <w:spacing w:line="360" w:lineRule="auto"/>
        <w:ind w:firstLine="5520" w:firstLineChars="2300"/>
        <w:rPr>
          <w:rFonts w:hint="eastAsia" w:ascii="宋体" w:hAnsi="宋体" w:eastAsia="宋体" w:cs="宋体"/>
          <w:bCs/>
          <w:sz w:val="24"/>
          <w:highlight w:val="none"/>
        </w:rPr>
      </w:pPr>
      <w:r>
        <w:rPr>
          <w:rFonts w:hint="eastAsia" w:ascii="宋体" w:hAnsi="宋体" w:eastAsia="宋体" w:cs="宋体"/>
          <w:bCs/>
          <w:sz w:val="24"/>
          <w:highlight w:val="none"/>
        </w:rPr>
        <w:t>日  期：</w:t>
      </w:r>
      <w:r>
        <w:rPr>
          <w:rFonts w:hint="eastAsia" w:ascii="宋体" w:hAnsi="宋体" w:eastAsia="宋体" w:cs="宋体"/>
          <w:bCs/>
          <w:sz w:val="24"/>
          <w:highlight w:val="none"/>
          <w:u w:val="single"/>
        </w:rPr>
        <w:t xml:space="preserve">             </w:t>
      </w:r>
    </w:p>
    <w:p w14:paraId="0399A304">
      <w:pPr>
        <w:widowControl/>
        <w:jc w:val="left"/>
        <w:rPr>
          <w:rFonts w:hint="eastAsia" w:ascii="宋体" w:hAnsi="宋体" w:eastAsia="宋体" w:cs="宋体"/>
          <w:sz w:val="24"/>
          <w:highlight w:val="none"/>
        </w:rPr>
      </w:pPr>
      <w:r>
        <w:rPr>
          <w:rFonts w:hint="eastAsia" w:ascii="宋体" w:hAnsi="宋体" w:eastAsia="宋体" w:cs="宋体"/>
          <w:sz w:val="24"/>
          <w:highlight w:val="none"/>
        </w:rPr>
        <w:br w:type="page"/>
      </w:r>
    </w:p>
    <w:p w14:paraId="4434055C">
      <w:pPr>
        <w:spacing w:line="360" w:lineRule="auto"/>
        <w:jc w:val="center"/>
        <w:outlineLvl w:val="1"/>
        <w:rPr>
          <w:rFonts w:hint="eastAsia" w:ascii="宋体" w:hAnsi="宋体" w:eastAsia="宋体" w:cs="宋体"/>
          <w:b/>
          <w:sz w:val="24"/>
          <w:highlight w:val="none"/>
        </w:rPr>
      </w:pPr>
      <w:r>
        <w:rPr>
          <w:rFonts w:hint="eastAsia" w:ascii="宋体" w:hAnsi="宋体" w:eastAsia="宋体" w:cs="宋体"/>
          <w:b/>
          <w:sz w:val="24"/>
          <w:highlight w:val="none"/>
        </w:rPr>
        <w:t>三、无重大违法记录声明函、无不良信用记录声明函</w:t>
      </w:r>
    </w:p>
    <w:p w14:paraId="6F3E5992">
      <w:pPr>
        <w:spacing w:line="360" w:lineRule="auto"/>
        <w:jc w:val="center"/>
        <w:rPr>
          <w:rFonts w:hint="eastAsia" w:ascii="宋体" w:hAnsi="宋体" w:eastAsia="宋体" w:cs="宋体"/>
          <w:i/>
          <w:sz w:val="24"/>
          <w:highlight w:val="none"/>
        </w:rPr>
      </w:pPr>
      <w:r>
        <w:rPr>
          <w:rFonts w:hint="eastAsia" w:ascii="宋体" w:hAnsi="宋体" w:eastAsia="宋体" w:cs="宋体"/>
          <w:i/>
          <w:sz w:val="24"/>
          <w:highlight w:val="none"/>
          <w:lang w:eastAsia="zh-CN"/>
        </w:rPr>
        <w:t>（</w:t>
      </w:r>
      <w:r>
        <w:rPr>
          <w:rFonts w:hint="eastAsia" w:ascii="宋体" w:hAnsi="宋体" w:eastAsia="宋体" w:cs="宋体"/>
          <w:i/>
          <w:sz w:val="24"/>
          <w:highlight w:val="none"/>
        </w:rPr>
        <w:t>联合体参加投标的，联合体各方均须提供）</w:t>
      </w:r>
    </w:p>
    <w:p w14:paraId="3A08123C">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3E87E178">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2.本单位郑重声明，我单位无以下不良信用记录情形：</w:t>
      </w:r>
    </w:p>
    <w:p w14:paraId="15366D59">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（1）被人民法院列入失信被执行人；</w:t>
      </w:r>
    </w:p>
    <w:p w14:paraId="170712C0">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（2）被税务部门列入重大税收违法案件当事人名单；</w:t>
      </w:r>
    </w:p>
    <w:p w14:paraId="1A70CB4D">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（3）被政府采购监管部门列入政府采购严重违法失信行为记录名单。</w:t>
      </w:r>
    </w:p>
    <w:p w14:paraId="2DC80FF9">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w:t>
      </w:r>
    </w:p>
    <w:p w14:paraId="45F7C8C7">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本单位对上述声明的真实性负责。如有虚假，将依法承担相应责任。</w:t>
      </w:r>
    </w:p>
    <w:p w14:paraId="25EBEDF2">
      <w:pPr>
        <w:spacing w:line="360" w:lineRule="auto"/>
        <w:ind w:firstLine="5520" w:firstLineChars="2300"/>
        <w:rPr>
          <w:rFonts w:hint="eastAsia" w:ascii="宋体" w:hAnsi="宋体" w:eastAsia="宋体" w:cs="宋体"/>
          <w:bCs/>
          <w:sz w:val="24"/>
          <w:highlight w:val="none"/>
        </w:rPr>
      </w:pPr>
    </w:p>
    <w:p w14:paraId="2AACB7A7">
      <w:pPr>
        <w:spacing w:line="360" w:lineRule="auto"/>
        <w:ind w:firstLine="5520" w:firstLineChars="2300"/>
        <w:rPr>
          <w:rFonts w:hint="eastAsia" w:ascii="宋体" w:hAnsi="宋体" w:eastAsia="宋体" w:cs="宋体"/>
          <w:bCs/>
          <w:sz w:val="24"/>
          <w:highlight w:val="none"/>
        </w:rPr>
      </w:pPr>
    </w:p>
    <w:p w14:paraId="314E57C0">
      <w:pPr>
        <w:spacing w:line="360" w:lineRule="auto"/>
        <w:ind w:firstLine="5520" w:firstLineChars="2300"/>
        <w:rPr>
          <w:rFonts w:hint="eastAsia" w:ascii="宋体" w:hAnsi="宋体" w:eastAsia="宋体" w:cs="宋体"/>
          <w:bCs/>
          <w:sz w:val="24"/>
          <w:highlight w:val="none"/>
          <w:u w:val="single"/>
        </w:rPr>
      </w:pPr>
      <w:r>
        <w:rPr>
          <w:rFonts w:hint="eastAsia" w:ascii="宋体" w:hAnsi="宋体" w:eastAsia="宋体" w:cs="宋体"/>
          <w:bCs/>
          <w:sz w:val="24"/>
          <w:highlight w:val="none"/>
        </w:rPr>
        <w:t>投标人：</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eastAsia="zh-CN"/>
        </w:rPr>
        <w:t>（</w:t>
      </w:r>
      <w:r>
        <w:rPr>
          <w:rFonts w:hint="eastAsia" w:ascii="宋体" w:hAnsi="宋体" w:eastAsia="宋体" w:cs="宋体"/>
          <w:bCs/>
          <w:sz w:val="24"/>
          <w:highlight w:val="none"/>
          <w:u w:val="single"/>
          <w:lang w:val="en-US" w:eastAsia="zh-CN"/>
        </w:rPr>
        <w:t>盖章）</w:t>
      </w:r>
      <w:r>
        <w:rPr>
          <w:rFonts w:hint="eastAsia" w:ascii="宋体" w:hAnsi="宋体" w:eastAsia="宋体" w:cs="宋体"/>
          <w:bCs/>
          <w:sz w:val="24"/>
          <w:highlight w:val="none"/>
          <w:u w:val="single"/>
        </w:rPr>
        <w:t xml:space="preserve">        </w:t>
      </w:r>
    </w:p>
    <w:p w14:paraId="4EDA8063">
      <w:pPr>
        <w:spacing w:line="360" w:lineRule="auto"/>
        <w:ind w:firstLine="5520" w:firstLineChars="2300"/>
        <w:rPr>
          <w:rFonts w:hint="eastAsia" w:ascii="宋体" w:hAnsi="宋体" w:eastAsia="宋体" w:cs="宋体"/>
          <w:bCs/>
          <w:sz w:val="24"/>
          <w:highlight w:val="none"/>
        </w:rPr>
      </w:pPr>
      <w:r>
        <w:rPr>
          <w:rFonts w:hint="eastAsia" w:ascii="宋体" w:hAnsi="宋体" w:eastAsia="宋体" w:cs="宋体"/>
          <w:bCs/>
          <w:sz w:val="24"/>
          <w:highlight w:val="none"/>
        </w:rPr>
        <w:t>日  期：</w:t>
      </w:r>
      <w:r>
        <w:rPr>
          <w:rFonts w:hint="eastAsia" w:ascii="宋体" w:hAnsi="宋体" w:eastAsia="宋体" w:cs="宋体"/>
          <w:bCs/>
          <w:sz w:val="24"/>
          <w:highlight w:val="none"/>
          <w:u w:val="single"/>
        </w:rPr>
        <w:t xml:space="preserve">             </w:t>
      </w:r>
    </w:p>
    <w:p w14:paraId="28F07C39">
      <w:pPr>
        <w:spacing w:line="360" w:lineRule="auto"/>
        <w:ind w:firstLine="4800" w:firstLineChars="2000"/>
        <w:rPr>
          <w:rFonts w:hint="eastAsia" w:ascii="宋体" w:hAnsi="宋体" w:eastAsia="宋体" w:cs="宋体"/>
          <w:sz w:val="24"/>
          <w:highlight w:val="none"/>
          <w:u w:val="single"/>
        </w:rPr>
      </w:pPr>
      <w:r>
        <w:rPr>
          <w:rFonts w:hint="eastAsia" w:ascii="宋体" w:hAnsi="宋体" w:eastAsia="宋体" w:cs="宋体"/>
          <w:sz w:val="24"/>
          <w:highlight w:val="none"/>
          <w:u w:val="single"/>
        </w:rPr>
        <w:br w:type="page"/>
      </w:r>
    </w:p>
    <w:p w14:paraId="21D33E1E">
      <w:pPr>
        <w:spacing w:line="360" w:lineRule="auto"/>
        <w:jc w:val="center"/>
        <w:outlineLvl w:val="1"/>
        <w:rPr>
          <w:rFonts w:hint="eastAsia" w:ascii="宋体" w:hAnsi="宋体" w:eastAsia="宋体" w:cs="宋体"/>
          <w:b/>
          <w:sz w:val="24"/>
          <w:highlight w:val="none"/>
        </w:rPr>
      </w:pPr>
      <w:r>
        <w:rPr>
          <w:rFonts w:hint="eastAsia" w:ascii="宋体" w:hAnsi="宋体" w:eastAsia="宋体" w:cs="宋体"/>
          <w:b/>
          <w:sz w:val="24"/>
          <w:highlight w:val="none"/>
        </w:rPr>
        <w:t>四、授权书</w:t>
      </w:r>
    </w:p>
    <w:p w14:paraId="1BB854B4">
      <w:pPr>
        <w:pStyle w:val="10"/>
        <w:snapToGrid w:val="0"/>
        <w:spacing w:line="360" w:lineRule="auto"/>
        <w:ind w:firstLine="480" w:firstLineChars="200"/>
        <w:jc w:val="left"/>
        <w:rPr>
          <w:rFonts w:hint="eastAsia" w:ascii="宋体" w:hAnsi="宋体" w:eastAsia="宋体" w:cs="宋体"/>
          <w:sz w:val="24"/>
          <w:szCs w:val="28"/>
          <w:highlight w:val="none"/>
        </w:rPr>
      </w:pPr>
    </w:p>
    <w:p w14:paraId="7008A86D">
      <w:pPr>
        <w:spacing w:line="360" w:lineRule="auto"/>
        <w:ind w:firstLine="435"/>
        <w:rPr>
          <w:rFonts w:hint="eastAsia" w:ascii="宋体" w:hAnsi="宋体" w:eastAsia="宋体" w:cs="宋体"/>
          <w:sz w:val="24"/>
          <w:szCs w:val="28"/>
          <w:highlight w:val="none"/>
        </w:rPr>
      </w:pPr>
      <w:r>
        <w:rPr>
          <w:rFonts w:hint="eastAsia" w:ascii="宋体" w:hAnsi="宋体" w:eastAsia="宋体" w:cs="宋体"/>
          <w:sz w:val="24"/>
          <w:szCs w:val="28"/>
          <w:highlight w:val="none"/>
        </w:rPr>
        <w:t>本</w:t>
      </w:r>
      <w:r>
        <w:rPr>
          <w:rFonts w:hint="eastAsia" w:ascii="宋体" w:hAnsi="宋体" w:eastAsia="宋体" w:cs="宋体"/>
          <w:sz w:val="24"/>
          <w:highlight w:val="none"/>
        </w:rPr>
        <w:t>授权</w:t>
      </w:r>
      <w:r>
        <w:rPr>
          <w:rFonts w:hint="eastAsia" w:ascii="宋体" w:hAnsi="宋体" w:eastAsia="宋体" w:cs="宋体"/>
          <w:sz w:val="24"/>
          <w:szCs w:val="28"/>
          <w:highlight w:val="none"/>
        </w:rPr>
        <w:t>书声明：</w:t>
      </w:r>
      <w:r>
        <w:rPr>
          <w:rFonts w:hint="eastAsia" w:ascii="宋体" w:hAnsi="宋体" w:eastAsia="宋体" w:cs="宋体"/>
          <w:sz w:val="24"/>
          <w:szCs w:val="28"/>
          <w:highlight w:val="none"/>
          <w:u w:val="single"/>
        </w:rPr>
        <w:t xml:space="preserve">           </w:t>
      </w:r>
      <w:r>
        <w:rPr>
          <w:rFonts w:hint="eastAsia" w:ascii="宋体" w:hAnsi="宋体" w:eastAsia="宋体" w:cs="宋体"/>
          <w:sz w:val="24"/>
          <w:szCs w:val="28"/>
          <w:highlight w:val="none"/>
        </w:rPr>
        <w:t>（投标人名称）授权</w:t>
      </w:r>
      <w:r>
        <w:rPr>
          <w:rFonts w:hint="eastAsia" w:ascii="宋体" w:hAnsi="宋体" w:eastAsia="宋体" w:cs="宋体"/>
          <w:sz w:val="24"/>
          <w:szCs w:val="28"/>
          <w:highlight w:val="none"/>
          <w:u w:val="single"/>
        </w:rPr>
        <w:t xml:space="preserve">       </w:t>
      </w:r>
      <w:r>
        <w:rPr>
          <w:rFonts w:hint="eastAsia" w:ascii="宋体" w:hAnsi="宋体" w:eastAsia="宋体" w:cs="宋体"/>
          <w:sz w:val="24"/>
          <w:szCs w:val="28"/>
          <w:highlight w:val="none"/>
        </w:rPr>
        <w:t>（投标人授权代表姓名）代表我方参加本项目</w:t>
      </w:r>
      <w:r>
        <w:rPr>
          <w:rFonts w:hint="eastAsia" w:ascii="宋体" w:hAnsi="宋体" w:eastAsia="宋体" w:cs="宋体"/>
          <w:bCs/>
          <w:sz w:val="24"/>
          <w:szCs w:val="28"/>
          <w:highlight w:val="none"/>
        </w:rPr>
        <w:t>采购活动</w:t>
      </w:r>
      <w:r>
        <w:rPr>
          <w:rFonts w:hint="eastAsia" w:ascii="宋体" w:hAnsi="宋体" w:eastAsia="宋体" w:cs="宋体"/>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3CA3EA2F">
      <w:pPr>
        <w:spacing w:line="360" w:lineRule="auto"/>
        <w:ind w:firstLine="435"/>
        <w:rPr>
          <w:rFonts w:hint="eastAsia" w:ascii="宋体" w:hAnsi="宋体" w:eastAsia="宋体" w:cs="宋体"/>
          <w:sz w:val="24"/>
          <w:szCs w:val="28"/>
          <w:highlight w:val="none"/>
        </w:rPr>
      </w:pPr>
      <w:r>
        <w:rPr>
          <w:rFonts w:hint="eastAsia" w:ascii="宋体" w:hAnsi="宋体" w:eastAsia="宋体" w:cs="宋体"/>
          <w:sz w:val="24"/>
          <w:szCs w:val="28"/>
          <w:highlight w:val="none"/>
        </w:rPr>
        <w:t>本授权书自出具之日起生效。</w:t>
      </w:r>
    </w:p>
    <w:p w14:paraId="2C386C9F">
      <w:pPr>
        <w:spacing w:line="360" w:lineRule="auto"/>
        <w:ind w:firstLine="435"/>
        <w:rPr>
          <w:rFonts w:hint="eastAsia" w:ascii="宋体" w:hAnsi="宋体" w:eastAsia="宋体" w:cs="宋体"/>
          <w:sz w:val="24"/>
          <w:highlight w:val="none"/>
        </w:rPr>
      </w:pPr>
      <w:r>
        <w:rPr>
          <w:rFonts w:hint="eastAsia" w:ascii="宋体" w:hAnsi="宋体" w:eastAsia="宋体" w:cs="宋体"/>
          <w:sz w:val="24"/>
          <w:szCs w:val="28"/>
          <w:highlight w:val="none"/>
        </w:rPr>
        <w:t>授权</w:t>
      </w:r>
      <w:r>
        <w:rPr>
          <w:rFonts w:hint="eastAsia" w:ascii="宋体" w:hAnsi="宋体" w:eastAsia="宋体" w:cs="宋体"/>
          <w:sz w:val="24"/>
          <w:highlight w:val="none"/>
        </w:rPr>
        <w:t>代表身份证明扫描件：</w:t>
      </w:r>
    </w:p>
    <w:p w14:paraId="087AFC11">
      <w:pPr>
        <w:spacing w:line="360" w:lineRule="auto"/>
        <w:ind w:firstLine="435"/>
        <w:rPr>
          <w:rFonts w:hint="eastAsia" w:ascii="宋体" w:hAnsi="宋体" w:eastAsia="宋体" w:cs="宋体"/>
          <w:sz w:val="24"/>
          <w:highlight w:val="none"/>
        </w:rPr>
      </w:pPr>
    </w:p>
    <w:p w14:paraId="5239FB79">
      <w:pPr>
        <w:spacing w:line="360" w:lineRule="auto"/>
        <w:ind w:firstLine="435"/>
        <w:rPr>
          <w:rFonts w:hint="eastAsia" w:ascii="宋体" w:hAnsi="宋体" w:eastAsia="宋体" w:cs="宋体"/>
          <w:sz w:val="24"/>
          <w:highlight w:val="none"/>
        </w:rPr>
      </w:pPr>
    </w:p>
    <w:p w14:paraId="440B5984">
      <w:pPr>
        <w:spacing w:line="360" w:lineRule="auto"/>
        <w:ind w:firstLine="435"/>
        <w:rPr>
          <w:rFonts w:hint="eastAsia" w:ascii="宋体" w:hAnsi="宋体" w:eastAsia="宋体" w:cs="宋体"/>
          <w:sz w:val="24"/>
          <w:highlight w:val="none"/>
        </w:rPr>
      </w:pPr>
    </w:p>
    <w:p w14:paraId="0CF89A98">
      <w:pPr>
        <w:spacing w:line="360" w:lineRule="auto"/>
        <w:ind w:firstLine="435"/>
        <w:rPr>
          <w:rFonts w:hint="eastAsia" w:ascii="宋体" w:hAnsi="宋体" w:eastAsia="宋体" w:cs="宋体"/>
          <w:sz w:val="24"/>
          <w:szCs w:val="28"/>
          <w:highlight w:val="none"/>
          <w:u w:val="single"/>
          <w:lang w:val="zh-CN"/>
        </w:rPr>
      </w:pPr>
      <w:r>
        <w:rPr>
          <w:rFonts w:hint="eastAsia" w:ascii="宋体" w:hAnsi="宋体" w:eastAsia="宋体" w:cs="宋体"/>
          <w:sz w:val="24"/>
          <w:szCs w:val="28"/>
          <w:highlight w:val="none"/>
        </w:rPr>
        <w:t>授权代表联系方式：</w:t>
      </w:r>
      <w:r>
        <w:rPr>
          <w:rFonts w:hint="eastAsia" w:ascii="宋体" w:hAnsi="宋体" w:eastAsia="宋体" w:cs="宋体"/>
          <w:sz w:val="24"/>
          <w:szCs w:val="28"/>
          <w:highlight w:val="none"/>
          <w:u w:val="single"/>
        </w:rPr>
        <w:t xml:space="preserve">          （请填写手机号码）</w:t>
      </w:r>
    </w:p>
    <w:p w14:paraId="460509B7">
      <w:pPr>
        <w:spacing w:line="360" w:lineRule="auto"/>
        <w:ind w:firstLine="435"/>
        <w:rPr>
          <w:rFonts w:hint="eastAsia" w:ascii="宋体" w:hAnsi="宋体" w:eastAsia="宋体" w:cs="宋体"/>
          <w:sz w:val="24"/>
          <w:szCs w:val="28"/>
          <w:highlight w:val="none"/>
          <w:lang w:val="zh-CN"/>
        </w:rPr>
      </w:pPr>
    </w:p>
    <w:p w14:paraId="33C81C63">
      <w:pPr>
        <w:spacing w:line="360" w:lineRule="auto"/>
        <w:ind w:firstLine="435"/>
        <w:rPr>
          <w:rFonts w:hint="eastAsia" w:ascii="宋体" w:hAnsi="宋体" w:eastAsia="宋体" w:cs="宋体"/>
          <w:sz w:val="24"/>
          <w:szCs w:val="28"/>
          <w:highlight w:val="none"/>
        </w:rPr>
      </w:pPr>
      <w:r>
        <w:rPr>
          <w:rFonts w:hint="eastAsia" w:ascii="宋体" w:hAnsi="宋体" w:eastAsia="宋体" w:cs="宋体"/>
          <w:sz w:val="24"/>
          <w:highlight w:val="none"/>
        </w:rPr>
        <w:t>特此</w:t>
      </w:r>
      <w:r>
        <w:rPr>
          <w:rFonts w:hint="eastAsia" w:ascii="宋体" w:hAnsi="宋体" w:eastAsia="宋体" w:cs="宋体"/>
          <w:sz w:val="24"/>
          <w:szCs w:val="28"/>
          <w:highlight w:val="none"/>
        </w:rPr>
        <w:t>声明。</w:t>
      </w:r>
    </w:p>
    <w:p w14:paraId="3EFDB982">
      <w:pPr>
        <w:spacing w:line="360" w:lineRule="auto"/>
        <w:rPr>
          <w:rFonts w:hint="eastAsia" w:ascii="宋体" w:hAnsi="宋体" w:eastAsia="宋体" w:cs="宋体"/>
          <w:sz w:val="24"/>
          <w:szCs w:val="28"/>
          <w:highlight w:val="none"/>
        </w:rPr>
      </w:pPr>
    </w:p>
    <w:p w14:paraId="7CD49016">
      <w:pPr>
        <w:spacing w:line="360" w:lineRule="auto"/>
        <w:ind w:firstLine="5520" w:firstLineChars="2300"/>
        <w:rPr>
          <w:rFonts w:hint="eastAsia" w:ascii="宋体" w:hAnsi="宋体" w:eastAsia="宋体" w:cs="宋体"/>
          <w:bCs/>
          <w:sz w:val="24"/>
          <w:highlight w:val="none"/>
          <w:u w:val="single"/>
        </w:rPr>
      </w:pPr>
      <w:r>
        <w:rPr>
          <w:rFonts w:hint="eastAsia" w:ascii="宋体" w:hAnsi="宋体" w:eastAsia="宋体" w:cs="宋体"/>
          <w:bCs/>
          <w:sz w:val="24"/>
          <w:highlight w:val="none"/>
        </w:rPr>
        <w:t>投标人：</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eastAsia="zh-CN"/>
        </w:rPr>
        <w:t>（</w:t>
      </w:r>
      <w:r>
        <w:rPr>
          <w:rFonts w:hint="eastAsia" w:ascii="宋体" w:hAnsi="宋体" w:eastAsia="宋体" w:cs="宋体"/>
          <w:bCs/>
          <w:sz w:val="24"/>
          <w:highlight w:val="none"/>
          <w:u w:val="single"/>
          <w:lang w:val="en-US" w:eastAsia="zh-CN"/>
        </w:rPr>
        <w:t>盖章）</w:t>
      </w:r>
      <w:r>
        <w:rPr>
          <w:rFonts w:hint="eastAsia" w:ascii="宋体" w:hAnsi="宋体" w:eastAsia="宋体" w:cs="宋体"/>
          <w:bCs/>
          <w:sz w:val="24"/>
          <w:highlight w:val="none"/>
          <w:u w:val="single"/>
        </w:rPr>
        <w:t xml:space="preserve">        </w:t>
      </w:r>
    </w:p>
    <w:p w14:paraId="6B18E76E">
      <w:pPr>
        <w:spacing w:line="360" w:lineRule="auto"/>
        <w:ind w:firstLine="5520" w:firstLineChars="2300"/>
        <w:rPr>
          <w:rFonts w:hint="eastAsia" w:ascii="宋体" w:hAnsi="宋体" w:eastAsia="宋体" w:cs="宋体"/>
          <w:bCs/>
          <w:sz w:val="24"/>
          <w:highlight w:val="none"/>
        </w:rPr>
      </w:pPr>
      <w:r>
        <w:rPr>
          <w:rFonts w:hint="eastAsia" w:ascii="宋体" w:hAnsi="宋体" w:eastAsia="宋体" w:cs="宋体"/>
          <w:bCs/>
          <w:sz w:val="24"/>
          <w:highlight w:val="none"/>
        </w:rPr>
        <w:t>日  期：</w:t>
      </w:r>
      <w:r>
        <w:rPr>
          <w:rFonts w:hint="eastAsia" w:ascii="宋体" w:hAnsi="宋体" w:eastAsia="宋体" w:cs="宋体"/>
          <w:bCs/>
          <w:sz w:val="24"/>
          <w:highlight w:val="none"/>
          <w:u w:val="single"/>
        </w:rPr>
        <w:t xml:space="preserve">             </w:t>
      </w:r>
    </w:p>
    <w:p w14:paraId="1A48A524">
      <w:pPr>
        <w:spacing w:line="360" w:lineRule="auto"/>
        <w:ind w:firstLine="435"/>
        <w:rPr>
          <w:rFonts w:hint="eastAsia" w:ascii="宋体" w:hAnsi="宋体" w:eastAsia="宋体" w:cs="宋体"/>
          <w:sz w:val="24"/>
          <w:highlight w:val="none"/>
        </w:rPr>
      </w:pPr>
    </w:p>
    <w:p w14:paraId="63880B10">
      <w:pPr>
        <w:spacing w:line="360" w:lineRule="auto"/>
        <w:ind w:firstLine="435"/>
        <w:rPr>
          <w:rFonts w:hint="eastAsia" w:ascii="宋体" w:hAnsi="宋体" w:eastAsia="宋体" w:cs="宋体"/>
          <w:sz w:val="24"/>
          <w:highlight w:val="none"/>
        </w:rPr>
      </w:pPr>
    </w:p>
    <w:p w14:paraId="4F41F53E">
      <w:pPr>
        <w:spacing w:line="360" w:lineRule="auto"/>
        <w:rPr>
          <w:rFonts w:hint="eastAsia" w:ascii="宋体" w:hAnsi="宋体" w:eastAsia="宋体" w:cs="宋体"/>
          <w:sz w:val="24"/>
          <w:highlight w:val="none"/>
        </w:rPr>
      </w:pPr>
      <w:r>
        <w:rPr>
          <w:rFonts w:hint="eastAsia" w:ascii="宋体" w:hAnsi="宋体" w:eastAsia="宋体" w:cs="宋体"/>
          <w:sz w:val="24"/>
          <w:highlight w:val="none"/>
        </w:rPr>
        <w:t>注：</w:t>
      </w:r>
    </w:p>
    <w:p w14:paraId="5743A56A">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1.本项目只允许有唯一的投标人授权代表，提供身份证明扫描件；</w:t>
      </w:r>
    </w:p>
    <w:p w14:paraId="02C44122">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2.法定代表人参加投标的无需提供授权书，提供身份证明扫描件。</w:t>
      </w:r>
    </w:p>
    <w:p w14:paraId="23EC0BA3">
      <w:pPr>
        <w:widowControl/>
        <w:jc w:val="left"/>
        <w:rPr>
          <w:rFonts w:hint="eastAsia" w:ascii="宋体" w:hAnsi="宋体" w:eastAsia="宋体" w:cs="宋体"/>
          <w:sz w:val="24"/>
          <w:highlight w:val="none"/>
        </w:rPr>
      </w:pPr>
      <w:r>
        <w:rPr>
          <w:rFonts w:hint="eastAsia" w:ascii="宋体" w:hAnsi="宋体" w:eastAsia="宋体" w:cs="宋体"/>
          <w:sz w:val="24"/>
          <w:highlight w:val="none"/>
        </w:rPr>
        <w:br w:type="page"/>
      </w:r>
    </w:p>
    <w:p w14:paraId="5B01A3B0">
      <w:pPr>
        <w:spacing w:line="360" w:lineRule="auto"/>
        <w:jc w:val="center"/>
        <w:outlineLvl w:val="1"/>
        <w:rPr>
          <w:rFonts w:hint="eastAsia" w:ascii="宋体" w:hAnsi="宋体" w:eastAsia="宋体" w:cs="宋体"/>
          <w:b/>
          <w:sz w:val="24"/>
          <w:highlight w:val="none"/>
        </w:rPr>
      </w:pPr>
      <w:r>
        <w:rPr>
          <w:rFonts w:hint="eastAsia" w:ascii="宋体" w:hAnsi="宋体" w:eastAsia="宋体" w:cs="宋体"/>
          <w:b/>
          <w:sz w:val="24"/>
          <w:highlight w:val="none"/>
        </w:rPr>
        <w:t>五、投标分项报价表</w:t>
      </w:r>
    </w:p>
    <w:p w14:paraId="7D84A793">
      <w:pPr>
        <w:spacing w:line="360" w:lineRule="auto"/>
        <w:ind w:firstLine="435"/>
        <w:rPr>
          <w:rFonts w:hint="eastAsia" w:ascii="宋体" w:hAnsi="宋体" w:eastAsia="宋体" w:cs="宋体"/>
          <w:b/>
          <w:sz w:val="24"/>
          <w:highlight w:val="none"/>
        </w:rPr>
      </w:pP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548"/>
        <w:gridCol w:w="1540"/>
        <w:gridCol w:w="1540"/>
        <w:gridCol w:w="785"/>
        <w:gridCol w:w="785"/>
        <w:gridCol w:w="1098"/>
        <w:gridCol w:w="1098"/>
        <w:gridCol w:w="783"/>
      </w:tblGrid>
      <w:tr w14:paraId="6A85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6F432963">
            <w:pPr>
              <w:pStyle w:val="30"/>
              <w:widowControl w:val="0"/>
              <w:spacing w:before="0" w:beforeAutospacing="0" w:after="0" w:afterAutospacing="0"/>
              <w:rPr>
                <w:rFonts w:hint="eastAsia" w:ascii="宋体" w:hAnsi="宋体" w:eastAsia="宋体" w:cs="宋体"/>
                <w:bCs w:val="0"/>
                <w:kern w:val="2"/>
                <w:sz w:val="24"/>
                <w:szCs w:val="20"/>
                <w:highlight w:val="none"/>
              </w:rPr>
            </w:pPr>
            <w:r>
              <w:rPr>
                <w:rFonts w:hint="eastAsia" w:ascii="宋体" w:hAnsi="宋体" w:eastAsia="宋体" w:cs="宋体"/>
                <w:bCs w:val="0"/>
                <w:kern w:val="2"/>
                <w:sz w:val="24"/>
                <w:szCs w:val="20"/>
                <w:highlight w:val="none"/>
              </w:rPr>
              <w:t>序号</w:t>
            </w:r>
          </w:p>
        </w:tc>
        <w:tc>
          <w:tcPr>
            <w:tcW w:w="777" w:type="pct"/>
            <w:vAlign w:val="center"/>
          </w:tcPr>
          <w:p w14:paraId="027EE37E">
            <w:pPr>
              <w:jc w:val="center"/>
              <w:rPr>
                <w:rFonts w:hint="eastAsia" w:ascii="宋体" w:hAnsi="宋体" w:eastAsia="宋体" w:cs="宋体"/>
                <w:b/>
                <w:sz w:val="24"/>
                <w:highlight w:val="none"/>
              </w:rPr>
            </w:pPr>
            <w:r>
              <w:rPr>
                <w:rFonts w:hint="eastAsia" w:ascii="宋体" w:hAnsi="宋体" w:eastAsia="宋体" w:cs="宋体"/>
                <w:b/>
                <w:sz w:val="24"/>
                <w:highlight w:val="none"/>
              </w:rPr>
              <w:t>货物名称</w:t>
            </w:r>
          </w:p>
        </w:tc>
        <w:tc>
          <w:tcPr>
            <w:tcW w:w="773" w:type="pct"/>
            <w:vAlign w:val="center"/>
          </w:tcPr>
          <w:p w14:paraId="458687F7">
            <w:pPr>
              <w:jc w:val="center"/>
              <w:rPr>
                <w:rFonts w:hint="eastAsia" w:ascii="宋体" w:hAnsi="宋体" w:eastAsia="宋体" w:cs="宋体"/>
                <w:b/>
                <w:sz w:val="24"/>
                <w:highlight w:val="none"/>
              </w:rPr>
            </w:pPr>
            <w:r>
              <w:rPr>
                <w:rFonts w:hint="eastAsia" w:ascii="宋体" w:hAnsi="宋体" w:eastAsia="宋体" w:cs="宋体"/>
                <w:b/>
                <w:sz w:val="24"/>
                <w:highlight w:val="none"/>
              </w:rPr>
              <w:t>品牌、型</w:t>
            </w:r>
          </w:p>
          <w:p w14:paraId="5804E34F">
            <w:pPr>
              <w:jc w:val="center"/>
              <w:rPr>
                <w:rFonts w:hint="eastAsia" w:ascii="宋体" w:hAnsi="宋体" w:eastAsia="宋体" w:cs="宋体"/>
                <w:b/>
                <w:sz w:val="24"/>
                <w:highlight w:val="none"/>
              </w:rPr>
            </w:pPr>
            <w:r>
              <w:rPr>
                <w:rFonts w:hint="eastAsia" w:ascii="宋体" w:hAnsi="宋体" w:eastAsia="宋体" w:cs="宋体"/>
                <w:b/>
                <w:sz w:val="24"/>
                <w:highlight w:val="none"/>
              </w:rPr>
              <w:t>号规格</w:t>
            </w:r>
          </w:p>
        </w:tc>
        <w:tc>
          <w:tcPr>
            <w:tcW w:w="773" w:type="pct"/>
            <w:vAlign w:val="center"/>
          </w:tcPr>
          <w:p w14:paraId="3ED36651">
            <w:pPr>
              <w:jc w:val="center"/>
              <w:rPr>
                <w:rFonts w:hint="eastAsia" w:ascii="宋体" w:hAnsi="宋体" w:eastAsia="宋体" w:cs="宋体"/>
                <w:b/>
                <w:sz w:val="24"/>
                <w:highlight w:val="none"/>
              </w:rPr>
            </w:pPr>
            <w:r>
              <w:rPr>
                <w:rFonts w:hint="eastAsia" w:ascii="宋体" w:hAnsi="宋体" w:eastAsia="宋体" w:cs="宋体"/>
                <w:b/>
                <w:sz w:val="24"/>
                <w:highlight w:val="none"/>
              </w:rPr>
              <w:t>原产地及</w:t>
            </w:r>
          </w:p>
          <w:p w14:paraId="51BAE5C6">
            <w:pPr>
              <w:jc w:val="center"/>
              <w:rPr>
                <w:rFonts w:hint="eastAsia" w:ascii="宋体" w:hAnsi="宋体" w:eastAsia="宋体" w:cs="宋体"/>
                <w:b/>
                <w:sz w:val="24"/>
                <w:highlight w:val="none"/>
              </w:rPr>
            </w:pPr>
            <w:r>
              <w:rPr>
                <w:rFonts w:hint="eastAsia" w:ascii="宋体" w:hAnsi="宋体" w:eastAsia="宋体" w:cs="宋体"/>
                <w:b/>
                <w:sz w:val="24"/>
                <w:highlight w:val="none"/>
              </w:rPr>
              <w:t>生产厂商</w:t>
            </w:r>
          </w:p>
        </w:tc>
        <w:tc>
          <w:tcPr>
            <w:tcW w:w="394" w:type="pct"/>
            <w:vAlign w:val="center"/>
          </w:tcPr>
          <w:p w14:paraId="3D31FBD0">
            <w:pPr>
              <w:jc w:val="center"/>
              <w:rPr>
                <w:rFonts w:hint="eastAsia" w:ascii="宋体" w:hAnsi="宋体" w:eastAsia="宋体" w:cs="宋体"/>
                <w:b/>
                <w:sz w:val="24"/>
                <w:highlight w:val="none"/>
              </w:rPr>
            </w:pPr>
            <w:r>
              <w:rPr>
                <w:rFonts w:hint="eastAsia" w:ascii="宋体" w:hAnsi="宋体" w:eastAsia="宋体" w:cs="宋体"/>
                <w:b/>
                <w:sz w:val="24"/>
                <w:highlight w:val="none"/>
              </w:rPr>
              <w:t>单位</w:t>
            </w:r>
          </w:p>
        </w:tc>
        <w:tc>
          <w:tcPr>
            <w:tcW w:w="394" w:type="pct"/>
            <w:vAlign w:val="center"/>
          </w:tcPr>
          <w:p w14:paraId="6645E6B1">
            <w:pPr>
              <w:jc w:val="center"/>
              <w:rPr>
                <w:rFonts w:hint="eastAsia" w:ascii="宋体" w:hAnsi="宋体" w:eastAsia="宋体" w:cs="宋体"/>
                <w:b/>
                <w:sz w:val="24"/>
                <w:highlight w:val="none"/>
              </w:rPr>
            </w:pPr>
            <w:r>
              <w:rPr>
                <w:rFonts w:hint="eastAsia" w:ascii="宋体" w:hAnsi="宋体" w:eastAsia="宋体" w:cs="宋体"/>
                <w:b/>
                <w:sz w:val="24"/>
                <w:highlight w:val="none"/>
              </w:rPr>
              <w:t>数量</w:t>
            </w:r>
          </w:p>
        </w:tc>
        <w:tc>
          <w:tcPr>
            <w:tcW w:w="551" w:type="pct"/>
            <w:vAlign w:val="center"/>
          </w:tcPr>
          <w:p w14:paraId="263F3F3C">
            <w:pPr>
              <w:jc w:val="center"/>
              <w:rPr>
                <w:rFonts w:hint="eastAsia" w:ascii="宋体" w:hAnsi="宋体" w:eastAsia="宋体" w:cs="宋体"/>
                <w:b/>
                <w:sz w:val="24"/>
                <w:highlight w:val="none"/>
              </w:rPr>
            </w:pPr>
            <w:r>
              <w:rPr>
                <w:rFonts w:hint="eastAsia" w:ascii="宋体" w:hAnsi="宋体" w:eastAsia="宋体" w:cs="宋体"/>
                <w:b/>
                <w:sz w:val="24"/>
                <w:highlight w:val="none"/>
              </w:rPr>
              <w:t>单价</w:t>
            </w:r>
          </w:p>
          <w:p w14:paraId="7A71B895">
            <w:pPr>
              <w:jc w:val="center"/>
              <w:rPr>
                <w:rFonts w:hint="eastAsia" w:ascii="宋体" w:hAnsi="宋体" w:eastAsia="宋体" w:cs="宋体"/>
                <w:b/>
                <w:sz w:val="24"/>
                <w:highlight w:val="none"/>
              </w:rPr>
            </w:pPr>
            <w:r>
              <w:rPr>
                <w:rFonts w:hint="eastAsia" w:ascii="宋体" w:hAnsi="宋体" w:eastAsia="宋体" w:cs="宋体"/>
                <w:b/>
                <w:sz w:val="24"/>
                <w:highlight w:val="none"/>
              </w:rPr>
              <w:t>（元）</w:t>
            </w:r>
          </w:p>
        </w:tc>
        <w:tc>
          <w:tcPr>
            <w:tcW w:w="551" w:type="pct"/>
            <w:vAlign w:val="center"/>
          </w:tcPr>
          <w:p w14:paraId="0777DB87">
            <w:pPr>
              <w:jc w:val="center"/>
              <w:rPr>
                <w:rFonts w:hint="eastAsia" w:ascii="宋体" w:hAnsi="宋体" w:eastAsia="宋体" w:cs="宋体"/>
                <w:b/>
                <w:sz w:val="24"/>
                <w:highlight w:val="none"/>
              </w:rPr>
            </w:pPr>
            <w:r>
              <w:rPr>
                <w:rFonts w:hint="eastAsia" w:ascii="宋体" w:hAnsi="宋体" w:eastAsia="宋体" w:cs="宋体"/>
                <w:b/>
                <w:sz w:val="24"/>
                <w:highlight w:val="none"/>
              </w:rPr>
              <w:t>小计</w:t>
            </w:r>
          </w:p>
          <w:p w14:paraId="0189D162">
            <w:pPr>
              <w:jc w:val="center"/>
              <w:rPr>
                <w:rFonts w:hint="eastAsia" w:ascii="宋体" w:hAnsi="宋体" w:eastAsia="宋体" w:cs="宋体"/>
                <w:b/>
                <w:sz w:val="24"/>
                <w:highlight w:val="none"/>
              </w:rPr>
            </w:pPr>
            <w:r>
              <w:rPr>
                <w:rFonts w:hint="eastAsia" w:ascii="宋体" w:hAnsi="宋体" w:eastAsia="宋体" w:cs="宋体"/>
                <w:b/>
                <w:sz w:val="24"/>
                <w:highlight w:val="none"/>
              </w:rPr>
              <w:t>（元）</w:t>
            </w:r>
          </w:p>
        </w:tc>
        <w:tc>
          <w:tcPr>
            <w:tcW w:w="393" w:type="pct"/>
            <w:vAlign w:val="center"/>
          </w:tcPr>
          <w:p w14:paraId="63308834">
            <w:pPr>
              <w:jc w:val="center"/>
              <w:rPr>
                <w:rFonts w:hint="eastAsia" w:ascii="宋体" w:hAnsi="宋体" w:eastAsia="宋体" w:cs="宋体"/>
                <w:b/>
                <w:sz w:val="24"/>
                <w:highlight w:val="none"/>
              </w:rPr>
            </w:pPr>
            <w:r>
              <w:rPr>
                <w:rFonts w:hint="eastAsia" w:ascii="宋体" w:hAnsi="宋体" w:eastAsia="宋体" w:cs="宋体"/>
                <w:b/>
                <w:sz w:val="24"/>
                <w:highlight w:val="none"/>
              </w:rPr>
              <w:t>备注</w:t>
            </w:r>
          </w:p>
        </w:tc>
      </w:tr>
      <w:tr w14:paraId="4DAF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0CDD9DE8">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777" w:type="pct"/>
          </w:tcPr>
          <w:p w14:paraId="16B081B5">
            <w:pPr>
              <w:rPr>
                <w:rFonts w:hint="eastAsia" w:ascii="宋体" w:hAnsi="宋体" w:eastAsia="宋体" w:cs="宋体"/>
                <w:sz w:val="24"/>
                <w:highlight w:val="none"/>
              </w:rPr>
            </w:pPr>
          </w:p>
        </w:tc>
        <w:tc>
          <w:tcPr>
            <w:tcW w:w="773" w:type="pct"/>
          </w:tcPr>
          <w:p w14:paraId="3453EC7A">
            <w:pPr>
              <w:rPr>
                <w:rFonts w:hint="eastAsia" w:ascii="宋体" w:hAnsi="宋体" w:eastAsia="宋体" w:cs="宋体"/>
                <w:sz w:val="24"/>
                <w:highlight w:val="none"/>
              </w:rPr>
            </w:pPr>
          </w:p>
        </w:tc>
        <w:tc>
          <w:tcPr>
            <w:tcW w:w="773" w:type="pct"/>
          </w:tcPr>
          <w:p w14:paraId="3FA6D7BB">
            <w:pPr>
              <w:rPr>
                <w:rFonts w:hint="eastAsia" w:ascii="宋体" w:hAnsi="宋体" w:eastAsia="宋体" w:cs="宋体"/>
                <w:sz w:val="24"/>
                <w:highlight w:val="none"/>
              </w:rPr>
            </w:pPr>
          </w:p>
        </w:tc>
        <w:tc>
          <w:tcPr>
            <w:tcW w:w="394" w:type="pct"/>
          </w:tcPr>
          <w:p w14:paraId="4EAEDB97">
            <w:pPr>
              <w:rPr>
                <w:rFonts w:hint="eastAsia" w:ascii="宋体" w:hAnsi="宋体" w:eastAsia="宋体" w:cs="宋体"/>
                <w:sz w:val="24"/>
                <w:highlight w:val="none"/>
              </w:rPr>
            </w:pPr>
          </w:p>
        </w:tc>
        <w:tc>
          <w:tcPr>
            <w:tcW w:w="394" w:type="pct"/>
          </w:tcPr>
          <w:p w14:paraId="12B505B8">
            <w:pPr>
              <w:rPr>
                <w:rFonts w:hint="eastAsia" w:ascii="宋体" w:hAnsi="宋体" w:eastAsia="宋体" w:cs="宋体"/>
                <w:sz w:val="24"/>
                <w:highlight w:val="none"/>
              </w:rPr>
            </w:pPr>
          </w:p>
        </w:tc>
        <w:tc>
          <w:tcPr>
            <w:tcW w:w="551" w:type="pct"/>
          </w:tcPr>
          <w:p w14:paraId="3F4D2B69">
            <w:pPr>
              <w:rPr>
                <w:rFonts w:hint="eastAsia" w:ascii="宋体" w:hAnsi="宋体" w:eastAsia="宋体" w:cs="宋体"/>
                <w:sz w:val="24"/>
                <w:highlight w:val="none"/>
              </w:rPr>
            </w:pPr>
          </w:p>
        </w:tc>
        <w:tc>
          <w:tcPr>
            <w:tcW w:w="551" w:type="pct"/>
          </w:tcPr>
          <w:p w14:paraId="7AFB2186">
            <w:pPr>
              <w:rPr>
                <w:rFonts w:hint="eastAsia" w:ascii="宋体" w:hAnsi="宋体" w:eastAsia="宋体" w:cs="宋体"/>
                <w:sz w:val="24"/>
                <w:highlight w:val="none"/>
              </w:rPr>
            </w:pPr>
          </w:p>
        </w:tc>
        <w:tc>
          <w:tcPr>
            <w:tcW w:w="393" w:type="pct"/>
          </w:tcPr>
          <w:p w14:paraId="49078B09">
            <w:pPr>
              <w:rPr>
                <w:rFonts w:hint="eastAsia" w:ascii="宋体" w:hAnsi="宋体" w:eastAsia="宋体" w:cs="宋体"/>
                <w:sz w:val="24"/>
                <w:highlight w:val="none"/>
              </w:rPr>
            </w:pPr>
          </w:p>
        </w:tc>
      </w:tr>
      <w:tr w14:paraId="3CD7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365CF734">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777" w:type="pct"/>
          </w:tcPr>
          <w:p w14:paraId="5176303C">
            <w:pPr>
              <w:rPr>
                <w:rFonts w:hint="eastAsia" w:ascii="宋体" w:hAnsi="宋体" w:eastAsia="宋体" w:cs="宋体"/>
                <w:sz w:val="24"/>
                <w:highlight w:val="none"/>
              </w:rPr>
            </w:pPr>
          </w:p>
        </w:tc>
        <w:tc>
          <w:tcPr>
            <w:tcW w:w="773" w:type="pct"/>
          </w:tcPr>
          <w:p w14:paraId="756CA2B1">
            <w:pPr>
              <w:rPr>
                <w:rFonts w:hint="eastAsia" w:ascii="宋体" w:hAnsi="宋体" w:eastAsia="宋体" w:cs="宋体"/>
                <w:sz w:val="24"/>
                <w:highlight w:val="none"/>
              </w:rPr>
            </w:pPr>
          </w:p>
        </w:tc>
        <w:tc>
          <w:tcPr>
            <w:tcW w:w="773" w:type="pct"/>
          </w:tcPr>
          <w:p w14:paraId="4CB1E464">
            <w:pPr>
              <w:rPr>
                <w:rFonts w:hint="eastAsia" w:ascii="宋体" w:hAnsi="宋体" w:eastAsia="宋体" w:cs="宋体"/>
                <w:sz w:val="24"/>
                <w:highlight w:val="none"/>
              </w:rPr>
            </w:pPr>
          </w:p>
        </w:tc>
        <w:tc>
          <w:tcPr>
            <w:tcW w:w="394" w:type="pct"/>
          </w:tcPr>
          <w:p w14:paraId="29D17B4D">
            <w:pPr>
              <w:rPr>
                <w:rFonts w:hint="eastAsia" w:ascii="宋体" w:hAnsi="宋体" w:eastAsia="宋体" w:cs="宋体"/>
                <w:sz w:val="24"/>
                <w:highlight w:val="none"/>
              </w:rPr>
            </w:pPr>
          </w:p>
        </w:tc>
        <w:tc>
          <w:tcPr>
            <w:tcW w:w="394" w:type="pct"/>
          </w:tcPr>
          <w:p w14:paraId="57E2A0F2">
            <w:pPr>
              <w:rPr>
                <w:rFonts w:hint="eastAsia" w:ascii="宋体" w:hAnsi="宋体" w:eastAsia="宋体" w:cs="宋体"/>
                <w:sz w:val="24"/>
                <w:highlight w:val="none"/>
              </w:rPr>
            </w:pPr>
          </w:p>
        </w:tc>
        <w:tc>
          <w:tcPr>
            <w:tcW w:w="551" w:type="pct"/>
          </w:tcPr>
          <w:p w14:paraId="47089269">
            <w:pPr>
              <w:rPr>
                <w:rFonts w:hint="eastAsia" w:ascii="宋体" w:hAnsi="宋体" w:eastAsia="宋体" w:cs="宋体"/>
                <w:sz w:val="24"/>
                <w:highlight w:val="none"/>
              </w:rPr>
            </w:pPr>
          </w:p>
        </w:tc>
        <w:tc>
          <w:tcPr>
            <w:tcW w:w="551" w:type="pct"/>
          </w:tcPr>
          <w:p w14:paraId="1B260FA2">
            <w:pPr>
              <w:rPr>
                <w:rFonts w:hint="eastAsia" w:ascii="宋体" w:hAnsi="宋体" w:eastAsia="宋体" w:cs="宋体"/>
                <w:sz w:val="24"/>
                <w:highlight w:val="none"/>
              </w:rPr>
            </w:pPr>
          </w:p>
        </w:tc>
        <w:tc>
          <w:tcPr>
            <w:tcW w:w="393" w:type="pct"/>
          </w:tcPr>
          <w:p w14:paraId="05337E12">
            <w:pPr>
              <w:rPr>
                <w:rFonts w:hint="eastAsia" w:ascii="宋体" w:hAnsi="宋体" w:eastAsia="宋体" w:cs="宋体"/>
                <w:sz w:val="24"/>
                <w:highlight w:val="none"/>
              </w:rPr>
            </w:pPr>
          </w:p>
        </w:tc>
      </w:tr>
      <w:tr w14:paraId="5814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1DC7DB1">
            <w:pPr>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777" w:type="pct"/>
          </w:tcPr>
          <w:p w14:paraId="0B1A39E3">
            <w:pPr>
              <w:rPr>
                <w:rFonts w:hint="eastAsia" w:ascii="宋体" w:hAnsi="宋体" w:eastAsia="宋体" w:cs="宋体"/>
                <w:sz w:val="24"/>
                <w:highlight w:val="none"/>
              </w:rPr>
            </w:pPr>
          </w:p>
        </w:tc>
        <w:tc>
          <w:tcPr>
            <w:tcW w:w="773" w:type="pct"/>
          </w:tcPr>
          <w:p w14:paraId="0A02700E">
            <w:pPr>
              <w:rPr>
                <w:rFonts w:hint="eastAsia" w:ascii="宋体" w:hAnsi="宋体" w:eastAsia="宋体" w:cs="宋体"/>
                <w:sz w:val="24"/>
                <w:highlight w:val="none"/>
              </w:rPr>
            </w:pPr>
          </w:p>
        </w:tc>
        <w:tc>
          <w:tcPr>
            <w:tcW w:w="773" w:type="pct"/>
          </w:tcPr>
          <w:p w14:paraId="6D76D027">
            <w:pPr>
              <w:rPr>
                <w:rFonts w:hint="eastAsia" w:ascii="宋体" w:hAnsi="宋体" w:eastAsia="宋体" w:cs="宋体"/>
                <w:sz w:val="24"/>
                <w:highlight w:val="none"/>
              </w:rPr>
            </w:pPr>
          </w:p>
        </w:tc>
        <w:tc>
          <w:tcPr>
            <w:tcW w:w="394" w:type="pct"/>
          </w:tcPr>
          <w:p w14:paraId="16E66B26">
            <w:pPr>
              <w:rPr>
                <w:rFonts w:hint="eastAsia" w:ascii="宋体" w:hAnsi="宋体" w:eastAsia="宋体" w:cs="宋体"/>
                <w:sz w:val="24"/>
                <w:highlight w:val="none"/>
              </w:rPr>
            </w:pPr>
          </w:p>
        </w:tc>
        <w:tc>
          <w:tcPr>
            <w:tcW w:w="394" w:type="pct"/>
          </w:tcPr>
          <w:p w14:paraId="242A56A7">
            <w:pPr>
              <w:rPr>
                <w:rFonts w:hint="eastAsia" w:ascii="宋体" w:hAnsi="宋体" w:eastAsia="宋体" w:cs="宋体"/>
                <w:sz w:val="24"/>
                <w:highlight w:val="none"/>
              </w:rPr>
            </w:pPr>
          </w:p>
        </w:tc>
        <w:tc>
          <w:tcPr>
            <w:tcW w:w="551" w:type="pct"/>
          </w:tcPr>
          <w:p w14:paraId="3BA768F9">
            <w:pPr>
              <w:rPr>
                <w:rFonts w:hint="eastAsia" w:ascii="宋体" w:hAnsi="宋体" w:eastAsia="宋体" w:cs="宋体"/>
                <w:sz w:val="24"/>
                <w:highlight w:val="none"/>
              </w:rPr>
            </w:pPr>
          </w:p>
        </w:tc>
        <w:tc>
          <w:tcPr>
            <w:tcW w:w="551" w:type="pct"/>
          </w:tcPr>
          <w:p w14:paraId="1EB1A94F">
            <w:pPr>
              <w:rPr>
                <w:rFonts w:hint="eastAsia" w:ascii="宋体" w:hAnsi="宋体" w:eastAsia="宋体" w:cs="宋体"/>
                <w:sz w:val="24"/>
                <w:highlight w:val="none"/>
              </w:rPr>
            </w:pPr>
          </w:p>
        </w:tc>
        <w:tc>
          <w:tcPr>
            <w:tcW w:w="393" w:type="pct"/>
          </w:tcPr>
          <w:p w14:paraId="668FA553">
            <w:pPr>
              <w:rPr>
                <w:rFonts w:hint="eastAsia" w:ascii="宋体" w:hAnsi="宋体" w:eastAsia="宋体" w:cs="宋体"/>
                <w:sz w:val="24"/>
                <w:highlight w:val="none"/>
              </w:rPr>
            </w:pPr>
          </w:p>
        </w:tc>
      </w:tr>
      <w:tr w14:paraId="30F94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4BE5CD1A">
            <w:pPr>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777" w:type="pct"/>
          </w:tcPr>
          <w:p w14:paraId="12B4927D">
            <w:pPr>
              <w:rPr>
                <w:rFonts w:hint="eastAsia" w:ascii="宋体" w:hAnsi="宋体" w:eastAsia="宋体" w:cs="宋体"/>
                <w:sz w:val="24"/>
                <w:highlight w:val="none"/>
              </w:rPr>
            </w:pPr>
          </w:p>
        </w:tc>
        <w:tc>
          <w:tcPr>
            <w:tcW w:w="773" w:type="pct"/>
          </w:tcPr>
          <w:p w14:paraId="488A70F5">
            <w:pPr>
              <w:rPr>
                <w:rFonts w:hint="eastAsia" w:ascii="宋体" w:hAnsi="宋体" w:eastAsia="宋体" w:cs="宋体"/>
                <w:sz w:val="24"/>
                <w:highlight w:val="none"/>
              </w:rPr>
            </w:pPr>
          </w:p>
        </w:tc>
        <w:tc>
          <w:tcPr>
            <w:tcW w:w="773" w:type="pct"/>
          </w:tcPr>
          <w:p w14:paraId="01006098">
            <w:pPr>
              <w:rPr>
                <w:rFonts w:hint="eastAsia" w:ascii="宋体" w:hAnsi="宋体" w:eastAsia="宋体" w:cs="宋体"/>
                <w:sz w:val="24"/>
                <w:highlight w:val="none"/>
              </w:rPr>
            </w:pPr>
          </w:p>
        </w:tc>
        <w:tc>
          <w:tcPr>
            <w:tcW w:w="394" w:type="pct"/>
          </w:tcPr>
          <w:p w14:paraId="203C2ED1">
            <w:pPr>
              <w:rPr>
                <w:rFonts w:hint="eastAsia" w:ascii="宋体" w:hAnsi="宋体" w:eastAsia="宋体" w:cs="宋体"/>
                <w:sz w:val="24"/>
                <w:highlight w:val="none"/>
              </w:rPr>
            </w:pPr>
          </w:p>
        </w:tc>
        <w:tc>
          <w:tcPr>
            <w:tcW w:w="394" w:type="pct"/>
          </w:tcPr>
          <w:p w14:paraId="54883A81">
            <w:pPr>
              <w:rPr>
                <w:rFonts w:hint="eastAsia" w:ascii="宋体" w:hAnsi="宋体" w:eastAsia="宋体" w:cs="宋体"/>
                <w:sz w:val="24"/>
                <w:highlight w:val="none"/>
              </w:rPr>
            </w:pPr>
          </w:p>
        </w:tc>
        <w:tc>
          <w:tcPr>
            <w:tcW w:w="551" w:type="pct"/>
          </w:tcPr>
          <w:p w14:paraId="7F191175">
            <w:pPr>
              <w:rPr>
                <w:rFonts w:hint="eastAsia" w:ascii="宋体" w:hAnsi="宋体" w:eastAsia="宋体" w:cs="宋体"/>
                <w:sz w:val="24"/>
                <w:highlight w:val="none"/>
              </w:rPr>
            </w:pPr>
          </w:p>
        </w:tc>
        <w:tc>
          <w:tcPr>
            <w:tcW w:w="551" w:type="pct"/>
          </w:tcPr>
          <w:p w14:paraId="1F64DFD3">
            <w:pPr>
              <w:rPr>
                <w:rFonts w:hint="eastAsia" w:ascii="宋体" w:hAnsi="宋体" w:eastAsia="宋体" w:cs="宋体"/>
                <w:sz w:val="24"/>
                <w:highlight w:val="none"/>
              </w:rPr>
            </w:pPr>
          </w:p>
        </w:tc>
        <w:tc>
          <w:tcPr>
            <w:tcW w:w="393" w:type="pct"/>
          </w:tcPr>
          <w:p w14:paraId="32C0A757">
            <w:pPr>
              <w:rPr>
                <w:rFonts w:hint="eastAsia" w:ascii="宋体" w:hAnsi="宋体" w:eastAsia="宋体" w:cs="宋体"/>
                <w:sz w:val="24"/>
                <w:highlight w:val="none"/>
              </w:rPr>
            </w:pPr>
          </w:p>
        </w:tc>
      </w:tr>
      <w:tr w14:paraId="75200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13CFF07">
            <w:pPr>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777" w:type="pct"/>
          </w:tcPr>
          <w:p w14:paraId="25A1B540">
            <w:pPr>
              <w:rPr>
                <w:rFonts w:hint="eastAsia" w:ascii="宋体" w:hAnsi="宋体" w:eastAsia="宋体" w:cs="宋体"/>
                <w:sz w:val="24"/>
                <w:highlight w:val="none"/>
              </w:rPr>
            </w:pPr>
          </w:p>
        </w:tc>
        <w:tc>
          <w:tcPr>
            <w:tcW w:w="773" w:type="pct"/>
          </w:tcPr>
          <w:p w14:paraId="2C6C5ED5">
            <w:pPr>
              <w:rPr>
                <w:rFonts w:hint="eastAsia" w:ascii="宋体" w:hAnsi="宋体" w:eastAsia="宋体" w:cs="宋体"/>
                <w:sz w:val="24"/>
                <w:highlight w:val="none"/>
              </w:rPr>
            </w:pPr>
          </w:p>
        </w:tc>
        <w:tc>
          <w:tcPr>
            <w:tcW w:w="773" w:type="pct"/>
          </w:tcPr>
          <w:p w14:paraId="23AA52EC">
            <w:pPr>
              <w:rPr>
                <w:rFonts w:hint="eastAsia" w:ascii="宋体" w:hAnsi="宋体" w:eastAsia="宋体" w:cs="宋体"/>
                <w:sz w:val="24"/>
                <w:highlight w:val="none"/>
              </w:rPr>
            </w:pPr>
          </w:p>
        </w:tc>
        <w:tc>
          <w:tcPr>
            <w:tcW w:w="394" w:type="pct"/>
          </w:tcPr>
          <w:p w14:paraId="1EA48C21">
            <w:pPr>
              <w:rPr>
                <w:rFonts w:hint="eastAsia" w:ascii="宋体" w:hAnsi="宋体" w:eastAsia="宋体" w:cs="宋体"/>
                <w:sz w:val="24"/>
                <w:highlight w:val="none"/>
              </w:rPr>
            </w:pPr>
          </w:p>
        </w:tc>
        <w:tc>
          <w:tcPr>
            <w:tcW w:w="394" w:type="pct"/>
          </w:tcPr>
          <w:p w14:paraId="44E756B4">
            <w:pPr>
              <w:rPr>
                <w:rFonts w:hint="eastAsia" w:ascii="宋体" w:hAnsi="宋体" w:eastAsia="宋体" w:cs="宋体"/>
                <w:sz w:val="24"/>
                <w:highlight w:val="none"/>
              </w:rPr>
            </w:pPr>
          </w:p>
        </w:tc>
        <w:tc>
          <w:tcPr>
            <w:tcW w:w="551" w:type="pct"/>
          </w:tcPr>
          <w:p w14:paraId="2F254BA3">
            <w:pPr>
              <w:rPr>
                <w:rFonts w:hint="eastAsia" w:ascii="宋体" w:hAnsi="宋体" w:eastAsia="宋体" w:cs="宋体"/>
                <w:sz w:val="24"/>
                <w:highlight w:val="none"/>
              </w:rPr>
            </w:pPr>
          </w:p>
        </w:tc>
        <w:tc>
          <w:tcPr>
            <w:tcW w:w="551" w:type="pct"/>
          </w:tcPr>
          <w:p w14:paraId="2EEDAE9A">
            <w:pPr>
              <w:rPr>
                <w:rFonts w:hint="eastAsia" w:ascii="宋体" w:hAnsi="宋体" w:eastAsia="宋体" w:cs="宋体"/>
                <w:sz w:val="24"/>
                <w:highlight w:val="none"/>
              </w:rPr>
            </w:pPr>
          </w:p>
        </w:tc>
        <w:tc>
          <w:tcPr>
            <w:tcW w:w="393" w:type="pct"/>
          </w:tcPr>
          <w:p w14:paraId="0532FD75">
            <w:pPr>
              <w:rPr>
                <w:rFonts w:hint="eastAsia" w:ascii="宋体" w:hAnsi="宋体" w:eastAsia="宋体" w:cs="宋体"/>
                <w:sz w:val="24"/>
                <w:highlight w:val="none"/>
              </w:rPr>
            </w:pPr>
          </w:p>
        </w:tc>
      </w:tr>
      <w:tr w14:paraId="200F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D5BCB41">
            <w:pPr>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777" w:type="pct"/>
          </w:tcPr>
          <w:p w14:paraId="1060FD8E">
            <w:pPr>
              <w:rPr>
                <w:rFonts w:hint="eastAsia" w:ascii="宋体" w:hAnsi="宋体" w:eastAsia="宋体" w:cs="宋体"/>
                <w:sz w:val="24"/>
                <w:highlight w:val="none"/>
              </w:rPr>
            </w:pPr>
          </w:p>
        </w:tc>
        <w:tc>
          <w:tcPr>
            <w:tcW w:w="773" w:type="pct"/>
          </w:tcPr>
          <w:p w14:paraId="3EF6B557">
            <w:pPr>
              <w:rPr>
                <w:rFonts w:hint="eastAsia" w:ascii="宋体" w:hAnsi="宋体" w:eastAsia="宋体" w:cs="宋体"/>
                <w:sz w:val="24"/>
                <w:highlight w:val="none"/>
              </w:rPr>
            </w:pPr>
          </w:p>
        </w:tc>
        <w:tc>
          <w:tcPr>
            <w:tcW w:w="773" w:type="pct"/>
          </w:tcPr>
          <w:p w14:paraId="29035ADC">
            <w:pPr>
              <w:rPr>
                <w:rFonts w:hint="eastAsia" w:ascii="宋体" w:hAnsi="宋体" w:eastAsia="宋体" w:cs="宋体"/>
                <w:sz w:val="24"/>
                <w:highlight w:val="none"/>
              </w:rPr>
            </w:pPr>
          </w:p>
        </w:tc>
        <w:tc>
          <w:tcPr>
            <w:tcW w:w="394" w:type="pct"/>
          </w:tcPr>
          <w:p w14:paraId="02C6993E">
            <w:pPr>
              <w:rPr>
                <w:rFonts w:hint="eastAsia" w:ascii="宋体" w:hAnsi="宋体" w:eastAsia="宋体" w:cs="宋体"/>
                <w:sz w:val="24"/>
                <w:highlight w:val="none"/>
              </w:rPr>
            </w:pPr>
          </w:p>
        </w:tc>
        <w:tc>
          <w:tcPr>
            <w:tcW w:w="394" w:type="pct"/>
          </w:tcPr>
          <w:p w14:paraId="042CDC8C">
            <w:pPr>
              <w:rPr>
                <w:rFonts w:hint="eastAsia" w:ascii="宋体" w:hAnsi="宋体" w:eastAsia="宋体" w:cs="宋体"/>
                <w:sz w:val="24"/>
                <w:highlight w:val="none"/>
              </w:rPr>
            </w:pPr>
          </w:p>
        </w:tc>
        <w:tc>
          <w:tcPr>
            <w:tcW w:w="551" w:type="pct"/>
          </w:tcPr>
          <w:p w14:paraId="71E9ACD4">
            <w:pPr>
              <w:rPr>
                <w:rFonts w:hint="eastAsia" w:ascii="宋体" w:hAnsi="宋体" w:eastAsia="宋体" w:cs="宋体"/>
                <w:sz w:val="24"/>
                <w:highlight w:val="none"/>
              </w:rPr>
            </w:pPr>
          </w:p>
        </w:tc>
        <w:tc>
          <w:tcPr>
            <w:tcW w:w="551" w:type="pct"/>
          </w:tcPr>
          <w:p w14:paraId="3C3619DB">
            <w:pPr>
              <w:rPr>
                <w:rFonts w:hint="eastAsia" w:ascii="宋体" w:hAnsi="宋体" w:eastAsia="宋体" w:cs="宋体"/>
                <w:sz w:val="24"/>
                <w:highlight w:val="none"/>
              </w:rPr>
            </w:pPr>
          </w:p>
        </w:tc>
        <w:tc>
          <w:tcPr>
            <w:tcW w:w="393" w:type="pct"/>
          </w:tcPr>
          <w:p w14:paraId="6BC4C883">
            <w:pPr>
              <w:rPr>
                <w:rFonts w:hint="eastAsia" w:ascii="宋体" w:hAnsi="宋体" w:eastAsia="宋体" w:cs="宋体"/>
                <w:sz w:val="24"/>
                <w:highlight w:val="none"/>
              </w:rPr>
            </w:pPr>
          </w:p>
        </w:tc>
      </w:tr>
      <w:tr w14:paraId="5858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037773C">
            <w:pPr>
              <w:jc w:val="center"/>
              <w:rPr>
                <w:rFonts w:hint="eastAsia" w:ascii="宋体" w:hAnsi="宋体" w:eastAsia="宋体" w:cs="宋体"/>
                <w:sz w:val="24"/>
                <w:highlight w:val="none"/>
              </w:rPr>
            </w:pPr>
            <w:r>
              <w:rPr>
                <w:rFonts w:hint="eastAsia" w:ascii="宋体" w:hAnsi="宋体" w:eastAsia="宋体" w:cs="宋体"/>
                <w:sz w:val="24"/>
                <w:highlight w:val="none"/>
              </w:rPr>
              <w:t>7</w:t>
            </w:r>
          </w:p>
        </w:tc>
        <w:tc>
          <w:tcPr>
            <w:tcW w:w="777" w:type="pct"/>
          </w:tcPr>
          <w:p w14:paraId="1722E240">
            <w:pPr>
              <w:rPr>
                <w:rFonts w:hint="eastAsia" w:ascii="宋体" w:hAnsi="宋体" w:eastAsia="宋体" w:cs="宋体"/>
                <w:sz w:val="24"/>
                <w:highlight w:val="none"/>
              </w:rPr>
            </w:pPr>
          </w:p>
        </w:tc>
        <w:tc>
          <w:tcPr>
            <w:tcW w:w="773" w:type="pct"/>
          </w:tcPr>
          <w:p w14:paraId="53C01367">
            <w:pPr>
              <w:rPr>
                <w:rFonts w:hint="eastAsia" w:ascii="宋体" w:hAnsi="宋体" w:eastAsia="宋体" w:cs="宋体"/>
                <w:sz w:val="24"/>
                <w:highlight w:val="none"/>
              </w:rPr>
            </w:pPr>
          </w:p>
        </w:tc>
        <w:tc>
          <w:tcPr>
            <w:tcW w:w="773" w:type="pct"/>
          </w:tcPr>
          <w:p w14:paraId="4F336411">
            <w:pPr>
              <w:rPr>
                <w:rFonts w:hint="eastAsia" w:ascii="宋体" w:hAnsi="宋体" w:eastAsia="宋体" w:cs="宋体"/>
                <w:sz w:val="24"/>
                <w:highlight w:val="none"/>
              </w:rPr>
            </w:pPr>
          </w:p>
        </w:tc>
        <w:tc>
          <w:tcPr>
            <w:tcW w:w="394" w:type="pct"/>
          </w:tcPr>
          <w:p w14:paraId="1D32CA47">
            <w:pPr>
              <w:rPr>
                <w:rFonts w:hint="eastAsia" w:ascii="宋体" w:hAnsi="宋体" w:eastAsia="宋体" w:cs="宋体"/>
                <w:sz w:val="24"/>
                <w:highlight w:val="none"/>
              </w:rPr>
            </w:pPr>
          </w:p>
        </w:tc>
        <w:tc>
          <w:tcPr>
            <w:tcW w:w="394" w:type="pct"/>
          </w:tcPr>
          <w:p w14:paraId="05AA0F5F">
            <w:pPr>
              <w:rPr>
                <w:rFonts w:hint="eastAsia" w:ascii="宋体" w:hAnsi="宋体" w:eastAsia="宋体" w:cs="宋体"/>
                <w:sz w:val="24"/>
                <w:highlight w:val="none"/>
              </w:rPr>
            </w:pPr>
          </w:p>
        </w:tc>
        <w:tc>
          <w:tcPr>
            <w:tcW w:w="551" w:type="pct"/>
          </w:tcPr>
          <w:p w14:paraId="08BAA201">
            <w:pPr>
              <w:rPr>
                <w:rFonts w:hint="eastAsia" w:ascii="宋体" w:hAnsi="宋体" w:eastAsia="宋体" w:cs="宋体"/>
                <w:sz w:val="24"/>
                <w:highlight w:val="none"/>
              </w:rPr>
            </w:pPr>
          </w:p>
        </w:tc>
        <w:tc>
          <w:tcPr>
            <w:tcW w:w="551" w:type="pct"/>
          </w:tcPr>
          <w:p w14:paraId="063BB912">
            <w:pPr>
              <w:rPr>
                <w:rFonts w:hint="eastAsia" w:ascii="宋体" w:hAnsi="宋体" w:eastAsia="宋体" w:cs="宋体"/>
                <w:sz w:val="24"/>
                <w:highlight w:val="none"/>
              </w:rPr>
            </w:pPr>
          </w:p>
        </w:tc>
        <w:tc>
          <w:tcPr>
            <w:tcW w:w="393" w:type="pct"/>
          </w:tcPr>
          <w:p w14:paraId="52DEE673">
            <w:pPr>
              <w:rPr>
                <w:rFonts w:hint="eastAsia" w:ascii="宋体" w:hAnsi="宋体" w:eastAsia="宋体" w:cs="宋体"/>
                <w:sz w:val="24"/>
                <w:highlight w:val="none"/>
              </w:rPr>
            </w:pPr>
          </w:p>
        </w:tc>
      </w:tr>
      <w:tr w14:paraId="4622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3C20825D">
            <w:pPr>
              <w:jc w:val="center"/>
              <w:rPr>
                <w:rFonts w:hint="eastAsia" w:ascii="宋体" w:hAnsi="宋体" w:eastAsia="宋体" w:cs="宋体"/>
                <w:sz w:val="24"/>
                <w:highlight w:val="none"/>
              </w:rPr>
            </w:pPr>
            <w:r>
              <w:rPr>
                <w:rFonts w:hint="eastAsia" w:ascii="宋体" w:hAnsi="宋体" w:eastAsia="宋体" w:cs="宋体"/>
                <w:sz w:val="24"/>
                <w:highlight w:val="none"/>
              </w:rPr>
              <w:t>8</w:t>
            </w:r>
          </w:p>
        </w:tc>
        <w:tc>
          <w:tcPr>
            <w:tcW w:w="777" w:type="pct"/>
          </w:tcPr>
          <w:p w14:paraId="4DA4FBC7">
            <w:pPr>
              <w:rPr>
                <w:rFonts w:hint="eastAsia" w:ascii="宋体" w:hAnsi="宋体" w:eastAsia="宋体" w:cs="宋体"/>
                <w:sz w:val="24"/>
                <w:highlight w:val="none"/>
              </w:rPr>
            </w:pPr>
          </w:p>
        </w:tc>
        <w:tc>
          <w:tcPr>
            <w:tcW w:w="773" w:type="pct"/>
          </w:tcPr>
          <w:p w14:paraId="0F71DBFD">
            <w:pPr>
              <w:rPr>
                <w:rFonts w:hint="eastAsia" w:ascii="宋体" w:hAnsi="宋体" w:eastAsia="宋体" w:cs="宋体"/>
                <w:sz w:val="24"/>
                <w:highlight w:val="none"/>
              </w:rPr>
            </w:pPr>
          </w:p>
        </w:tc>
        <w:tc>
          <w:tcPr>
            <w:tcW w:w="773" w:type="pct"/>
          </w:tcPr>
          <w:p w14:paraId="188E6F6B">
            <w:pPr>
              <w:rPr>
                <w:rFonts w:hint="eastAsia" w:ascii="宋体" w:hAnsi="宋体" w:eastAsia="宋体" w:cs="宋体"/>
                <w:sz w:val="24"/>
                <w:highlight w:val="none"/>
              </w:rPr>
            </w:pPr>
          </w:p>
        </w:tc>
        <w:tc>
          <w:tcPr>
            <w:tcW w:w="394" w:type="pct"/>
          </w:tcPr>
          <w:p w14:paraId="728829AA">
            <w:pPr>
              <w:rPr>
                <w:rFonts w:hint="eastAsia" w:ascii="宋体" w:hAnsi="宋体" w:eastAsia="宋体" w:cs="宋体"/>
                <w:sz w:val="24"/>
                <w:highlight w:val="none"/>
              </w:rPr>
            </w:pPr>
          </w:p>
        </w:tc>
        <w:tc>
          <w:tcPr>
            <w:tcW w:w="394" w:type="pct"/>
          </w:tcPr>
          <w:p w14:paraId="02D9C81C">
            <w:pPr>
              <w:rPr>
                <w:rFonts w:hint="eastAsia" w:ascii="宋体" w:hAnsi="宋体" w:eastAsia="宋体" w:cs="宋体"/>
                <w:sz w:val="24"/>
                <w:highlight w:val="none"/>
              </w:rPr>
            </w:pPr>
          </w:p>
        </w:tc>
        <w:tc>
          <w:tcPr>
            <w:tcW w:w="551" w:type="pct"/>
          </w:tcPr>
          <w:p w14:paraId="5BAA2551">
            <w:pPr>
              <w:rPr>
                <w:rFonts w:hint="eastAsia" w:ascii="宋体" w:hAnsi="宋体" w:eastAsia="宋体" w:cs="宋体"/>
                <w:sz w:val="24"/>
                <w:highlight w:val="none"/>
              </w:rPr>
            </w:pPr>
          </w:p>
        </w:tc>
        <w:tc>
          <w:tcPr>
            <w:tcW w:w="551" w:type="pct"/>
          </w:tcPr>
          <w:p w14:paraId="00A80FED">
            <w:pPr>
              <w:rPr>
                <w:rFonts w:hint="eastAsia" w:ascii="宋体" w:hAnsi="宋体" w:eastAsia="宋体" w:cs="宋体"/>
                <w:sz w:val="24"/>
                <w:highlight w:val="none"/>
              </w:rPr>
            </w:pPr>
          </w:p>
        </w:tc>
        <w:tc>
          <w:tcPr>
            <w:tcW w:w="393" w:type="pct"/>
          </w:tcPr>
          <w:p w14:paraId="4DA63006">
            <w:pPr>
              <w:rPr>
                <w:rFonts w:hint="eastAsia" w:ascii="宋体" w:hAnsi="宋体" w:eastAsia="宋体" w:cs="宋体"/>
                <w:sz w:val="24"/>
                <w:highlight w:val="none"/>
              </w:rPr>
            </w:pPr>
          </w:p>
        </w:tc>
      </w:tr>
      <w:tr w14:paraId="081D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C589D9B">
            <w:pPr>
              <w:jc w:val="center"/>
              <w:rPr>
                <w:rFonts w:hint="eastAsia" w:ascii="宋体" w:hAnsi="宋体" w:eastAsia="宋体" w:cs="宋体"/>
                <w:sz w:val="24"/>
                <w:highlight w:val="none"/>
              </w:rPr>
            </w:pPr>
            <w:r>
              <w:rPr>
                <w:rFonts w:hint="eastAsia" w:ascii="宋体" w:hAnsi="宋体" w:eastAsia="宋体" w:cs="宋体"/>
                <w:sz w:val="24"/>
                <w:highlight w:val="none"/>
              </w:rPr>
              <w:t>9</w:t>
            </w:r>
          </w:p>
        </w:tc>
        <w:tc>
          <w:tcPr>
            <w:tcW w:w="777" w:type="pct"/>
          </w:tcPr>
          <w:p w14:paraId="48650E7C">
            <w:pPr>
              <w:rPr>
                <w:rFonts w:hint="eastAsia" w:ascii="宋体" w:hAnsi="宋体" w:eastAsia="宋体" w:cs="宋体"/>
                <w:sz w:val="24"/>
                <w:highlight w:val="none"/>
              </w:rPr>
            </w:pPr>
          </w:p>
        </w:tc>
        <w:tc>
          <w:tcPr>
            <w:tcW w:w="773" w:type="pct"/>
          </w:tcPr>
          <w:p w14:paraId="7B107FC0">
            <w:pPr>
              <w:rPr>
                <w:rFonts w:hint="eastAsia" w:ascii="宋体" w:hAnsi="宋体" w:eastAsia="宋体" w:cs="宋体"/>
                <w:sz w:val="24"/>
                <w:highlight w:val="none"/>
              </w:rPr>
            </w:pPr>
          </w:p>
        </w:tc>
        <w:tc>
          <w:tcPr>
            <w:tcW w:w="773" w:type="pct"/>
          </w:tcPr>
          <w:p w14:paraId="4F09E271">
            <w:pPr>
              <w:rPr>
                <w:rFonts w:hint="eastAsia" w:ascii="宋体" w:hAnsi="宋体" w:eastAsia="宋体" w:cs="宋体"/>
                <w:sz w:val="24"/>
                <w:highlight w:val="none"/>
              </w:rPr>
            </w:pPr>
          </w:p>
        </w:tc>
        <w:tc>
          <w:tcPr>
            <w:tcW w:w="394" w:type="pct"/>
          </w:tcPr>
          <w:p w14:paraId="244F28E8">
            <w:pPr>
              <w:rPr>
                <w:rFonts w:hint="eastAsia" w:ascii="宋体" w:hAnsi="宋体" w:eastAsia="宋体" w:cs="宋体"/>
                <w:sz w:val="24"/>
                <w:highlight w:val="none"/>
              </w:rPr>
            </w:pPr>
          </w:p>
        </w:tc>
        <w:tc>
          <w:tcPr>
            <w:tcW w:w="394" w:type="pct"/>
          </w:tcPr>
          <w:p w14:paraId="1C50BC18">
            <w:pPr>
              <w:rPr>
                <w:rFonts w:hint="eastAsia" w:ascii="宋体" w:hAnsi="宋体" w:eastAsia="宋体" w:cs="宋体"/>
                <w:sz w:val="24"/>
                <w:highlight w:val="none"/>
              </w:rPr>
            </w:pPr>
          </w:p>
        </w:tc>
        <w:tc>
          <w:tcPr>
            <w:tcW w:w="551" w:type="pct"/>
          </w:tcPr>
          <w:p w14:paraId="235302A6">
            <w:pPr>
              <w:rPr>
                <w:rFonts w:hint="eastAsia" w:ascii="宋体" w:hAnsi="宋体" w:eastAsia="宋体" w:cs="宋体"/>
                <w:sz w:val="24"/>
                <w:highlight w:val="none"/>
              </w:rPr>
            </w:pPr>
          </w:p>
        </w:tc>
        <w:tc>
          <w:tcPr>
            <w:tcW w:w="551" w:type="pct"/>
          </w:tcPr>
          <w:p w14:paraId="67E80241">
            <w:pPr>
              <w:rPr>
                <w:rFonts w:hint="eastAsia" w:ascii="宋体" w:hAnsi="宋体" w:eastAsia="宋体" w:cs="宋体"/>
                <w:sz w:val="24"/>
                <w:highlight w:val="none"/>
              </w:rPr>
            </w:pPr>
          </w:p>
        </w:tc>
        <w:tc>
          <w:tcPr>
            <w:tcW w:w="393" w:type="pct"/>
          </w:tcPr>
          <w:p w14:paraId="395EBC0C">
            <w:pPr>
              <w:rPr>
                <w:rFonts w:hint="eastAsia" w:ascii="宋体" w:hAnsi="宋体" w:eastAsia="宋体" w:cs="宋体"/>
                <w:sz w:val="24"/>
                <w:highlight w:val="none"/>
              </w:rPr>
            </w:pPr>
          </w:p>
        </w:tc>
      </w:tr>
      <w:tr w14:paraId="5AA9F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7FCA993">
            <w:pPr>
              <w:jc w:val="center"/>
              <w:rPr>
                <w:rFonts w:hint="eastAsia" w:ascii="宋体" w:hAnsi="宋体" w:eastAsia="宋体" w:cs="宋体"/>
                <w:sz w:val="24"/>
                <w:highlight w:val="none"/>
              </w:rPr>
            </w:pPr>
            <w:r>
              <w:rPr>
                <w:rFonts w:hint="eastAsia" w:ascii="宋体" w:hAnsi="宋体" w:eastAsia="宋体" w:cs="宋体"/>
                <w:sz w:val="24"/>
                <w:highlight w:val="none"/>
              </w:rPr>
              <w:t>10</w:t>
            </w:r>
          </w:p>
        </w:tc>
        <w:tc>
          <w:tcPr>
            <w:tcW w:w="777" w:type="pct"/>
          </w:tcPr>
          <w:p w14:paraId="3A596F04">
            <w:pPr>
              <w:rPr>
                <w:rFonts w:hint="eastAsia" w:ascii="宋体" w:hAnsi="宋体" w:eastAsia="宋体" w:cs="宋体"/>
                <w:sz w:val="24"/>
                <w:highlight w:val="none"/>
              </w:rPr>
            </w:pPr>
          </w:p>
        </w:tc>
        <w:tc>
          <w:tcPr>
            <w:tcW w:w="773" w:type="pct"/>
          </w:tcPr>
          <w:p w14:paraId="04CC28EE">
            <w:pPr>
              <w:rPr>
                <w:rFonts w:hint="eastAsia" w:ascii="宋体" w:hAnsi="宋体" w:eastAsia="宋体" w:cs="宋体"/>
                <w:sz w:val="24"/>
                <w:highlight w:val="none"/>
              </w:rPr>
            </w:pPr>
          </w:p>
        </w:tc>
        <w:tc>
          <w:tcPr>
            <w:tcW w:w="773" w:type="pct"/>
          </w:tcPr>
          <w:p w14:paraId="0EAA54C2">
            <w:pPr>
              <w:rPr>
                <w:rFonts w:hint="eastAsia" w:ascii="宋体" w:hAnsi="宋体" w:eastAsia="宋体" w:cs="宋体"/>
                <w:sz w:val="24"/>
                <w:highlight w:val="none"/>
              </w:rPr>
            </w:pPr>
          </w:p>
        </w:tc>
        <w:tc>
          <w:tcPr>
            <w:tcW w:w="394" w:type="pct"/>
          </w:tcPr>
          <w:p w14:paraId="5FC60106">
            <w:pPr>
              <w:rPr>
                <w:rFonts w:hint="eastAsia" w:ascii="宋体" w:hAnsi="宋体" w:eastAsia="宋体" w:cs="宋体"/>
                <w:sz w:val="24"/>
                <w:highlight w:val="none"/>
              </w:rPr>
            </w:pPr>
          </w:p>
        </w:tc>
        <w:tc>
          <w:tcPr>
            <w:tcW w:w="394" w:type="pct"/>
          </w:tcPr>
          <w:p w14:paraId="658421AB">
            <w:pPr>
              <w:rPr>
                <w:rFonts w:hint="eastAsia" w:ascii="宋体" w:hAnsi="宋体" w:eastAsia="宋体" w:cs="宋体"/>
                <w:sz w:val="24"/>
                <w:highlight w:val="none"/>
              </w:rPr>
            </w:pPr>
          </w:p>
        </w:tc>
        <w:tc>
          <w:tcPr>
            <w:tcW w:w="551" w:type="pct"/>
          </w:tcPr>
          <w:p w14:paraId="23E4CA5E">
            <w:pPr>
              <w:rPr>
                <w:rFonts w:hint="eastAsia" w:ascii="宋体" w:hAnsi="宋体" w:eastAsia="宋体" w:cs="宋体"/>
                <w:sz w:val="24"/>
                <w:highlight w:val="none"/>
              </w:rPr>
            </w:pPr>
          </w:p>
        </w:tc>
        <w:tc>
          <w:tcPr>
            <w:tcW w:w="551" w:type="pct"/>
          </w:tcPr>
          <w:p w14:paraId="7EE99AB2">
            <w:pPr>
              <w:rPr>
                <w:rFonts w:hint="eastAsia" w:ascii="宋体" w:hAnsi="宋体" w:eastAsia="宋体" w:cs="宋体"/>
                <w:sz w:val="24"/>
                <w:highlight w:val="none"/>
              </w:rPr>
            </w:pPr>
          </w:p>
        </w:tc>
        <w:tc>
          <w:tcPr>
            <w:tcW w:w="393" w:type="pct"/>
          </w:tcPr>
          <w:p w14:paraId="30009B92">
            <w:pPr>
              <w:rPr>
                <w:rFonts w:hint="eastAsia" w:ascii="宋体" w:hAnsi="宋体" w:eastAsia="宋体" w:cs="宋体"/>
                <w:sz w:val="24"/>
                <w:highlight w:val="none"/>
              </w:rPr>
            </w:pPr>
          </w:p>
        </w:tc>
      </w:tr>
      <w:tr w14:paraId="2821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E98E856">
            <w:pPr>
              <w:jc w:val="center"/>
              <w:rPr>
                <w:rFonts w:hint="eastAsia" w:ascii="宋体" w:hAnsi="宋体" w:eastAsia="宋体" w:cs="宋体"/>
                <w:sz w:val="24"/>
                <w:highlight w:val="none"/>
              </w:rPr>
            </w:pPr>
            <w:r>
              <w:rPr>
                <w:rFonts w:hint="eastAsia" w:ascii="宋体" w:hAnsi="宋体" w:eastAsia="宋体" w:cs="宋体"/>
                <w:sz w:val="24"/>
                <w:highlight w:val="none"/>
              </w:rPr>
              <w:t>11</w:t>
            </w:r>
          </w:p>
        </w:tc>
        <w:tc>
          <w:tcPr>
            <w:tcW w:w="777" w:type="pct"/>
          </w:tcPr>
          <w:p w14:paraId="63CB188E">
            <w:pPr>
              <w:rPr>
                <w:rFonts w:hint="eastAsia" w:ascii="宋体" w:hAnsi="宋体" w:eastAsia="宋体" w:cs="宋体"/>
                <w:sz w:val="24"/>
                <w:highlight w:val="none"/>
              </w:rPr>
            </w:pPr>
          </w:p>
        </w:tc>
        <w:tc>
          <w:tcPr>
            <w:tcW w:w="773" w:type="pct"/>
          </w:tcPr>
          <w:p w14:paraId="68738EAF">
            <w:pPr>
              <w:rPr>
                <w:rFonts w:hint="eastAsia" w:ascii="宋体" w:hAnsi="宋体" w:eastAsia="宋体" w:cs="宋体"/>
                <w:sz w:val="24"/>
                <w:highlight w:val="none"/>
              </w:rPr>
            </w:pPr>
          </w:p>
        </w:tc>
        <w:tc>
          <w:tcPr>
            <w:tcW w:w="773" w:type="pct"/>
          </w:tcPr>
          <w:p w14:paraId="11B550B2">
            <w:pPr>
              <w:rPr>
                <w:rFonts w:hint="eastAsia" w:ascii="宋体" w:hAnsi="宋体" w:eastAsia="宋体" w:cs="宋体"/>
                <w:sz w:val="24"/>
                <w:highlight w:val="none"/>
              </w:rPr>
            </w:pPr>
          </w:p>
        </w:tc>
        <w:tc>
          <w:tcPr>
            <w:tcW w:w="394" w:type="pct"/>
          </w:tcPr>
          <w:p w14:paraId="12E7AE3A">
            <w:pPr>
              <w:rPr>
                <w:rFonts w:hint="eastAsia" w:ascii="宋体" w:hAnsi="宋体" w:eastAsia="宋体" w:cs="宋体"/>
                <w:sz w:val="24"/>
                <w:highlight w:val="none"/>
              </w:rPr>
            </w:pPr>
          </w:p>
        </w:tc>
        <w:tc>
          <w:tcPr>
            <w:tcW w:w="394" w:type="pct"/>
          </w:tcPr>
          <w:p w14:paraId="52B9DB91">
            <w:pPr>
              <w:rPr>
                <w:rFonts w:hint="eastAsia" w:ascii="宋体" w:hAnsi="宋体" w:eastAsia="宋体" w:cs="宋体"/>
                <w:sz w:val="24"/>
                <w:highlight w:val="none"/>
              </w:rPr>
            </w:pPr>
          </w:p>
        </w:tc>
        <w:tc>
          <w:tcPr>
            <w:tcW w:w="551" w:type="pct"/>
          </w:tcPr>
          <w:p w14:paraId="03848B69">
            <w:pPr>
              <w:rPr>
                <w:rFonts w:hint="eastAsia" w:ascii="宋体" w:hAnsi="宋体" w:eastAsia="宋体" w:cs="宋体"/>
                <w:sz w:val="24"/>
                <w:highlight w:val="none"/>
              </w:rPr>
            </w:pPr>
          </w:p>
        </w:tc>
        <w:tc>
          <w:tcPr>
            <w:tcW w:w="551" w:type="pct"/>
          </w:tcPr>
          <w:p w14:paraId="134DFB83">
            <w:pPr>
              <w:rPr>
                <w:rFonts w:hint="eastAsia" w:ascii="宋体" w:hAnsi="宋体" w:eastAsia="宋体" w:cs="宋体"/>
                <w:sz w:val="24"/>
                <w:highlight w:val="none"/>
              </w:rPr>
            </w:pPr>
          </w:p>
        </w:tc>
        <w:tc>
          <w:tcPr>
            <w:tcW w:w="393" w:type="pct"/>
          </w:tcPr>
          <w:p w14:paraId="752E0884">
            <w:pPr>
              <w:rPr>
                <w:rFonts w:hint="eastAsia" w:ascii="宋体" w:hAnsi="宋体" w:eastAsia="宋体" w:cs="宋体"/>
                <w:sz w:val="24"/>
                <w:highlight w:val="none"/>
              </w:rPr>
            </w:pPr>
          </w:p>
        </w:tc>
      </w:tr>
      <w:tr w14:paraId="2A44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238EC96">
            <w:pPr>
              <w:jc w:val="center"/>
              <w:rPr>
                <w:rFonts w:hint="eastAsia" w:ascii="宋体" w:hAnsi="宋体" w:eastAsia="宋体" w:cs="宋体"/>
                <w:sz w:val="24"/>
                <w:highlight w:val="none"/>
              </w:rPr>
            </w:pPr>
            <w:r>
              <w:rPr>
                <w:rFonts w:hint="eastAsia" w:ascii="宋体" w:hAnsi="宋体" w:eastAsia="宋体" w:cs="宋体"/>
                <w:sz w:val="24"/>
                <w:highlight w:val="none"/>
              </w:rPr>
              <w:t>12</w:t>
            </w:r>
          </w:p>
        </w:tc>
        <w:tc>
          <w:tcPr>
            <w:tcW w:w="777" w:type="pct"/>
          </w:tcPr>
          <w:p w14:paraId="3E7B6FDF">
            <w:pPr>
              <w:rPr>
                <w:rFonts w:hint="eastAsia" w:ascii="宋体" w:hAnsi="宋体" w:eastAsia="宋体" w:cs="宋体"/>
                <w:sz w:val="24"/>
                <w:highlight w:val="none"/>
              </w:rPr>
            </w:pPr>
          </w:p>
        </w:tc>
        <w:tc>
          <w:tcPr>
            <w:tcW w:w="773" w:type="pct"/>
          </w:tcPr>
          <w:p w14:paraId="5240E529">
            <w:pPr>
              <w:rPr>
                <w:rFonts w:hint="eastAsia" w:ascii="宋体" w:hAnsi="宋体" w:eastAsia="宋体" w:cs="宋体"/>
                <w:sz w:val="24"/>
                <w:highlight w:val="none"/>
              </w:rPr>
            </w:pPr>
          </w:p>
        </w:tc>
        <w:tc>
          <w:tcPr>
            <w:tcW w:w="773" w:type="pct"/>
          </w:tcPr>
          <w:p w14:paraId="4C3EEF86">
            <w:pPr>
              <w:rPr>
                <w:rFonts w:hint="eastAsia" w:ascii="宋体" w:hAnsi="宋体" w:eastAsia="宋体" w:cs="宋体"/>
                <w:sz w:val="24"/>
                <w:highlight w:val="none"/>
              </w:rPr>
            </w:pPr>
          </w:p>
        </w:tc>
        <w:tc>
          <w:tcPr>
            <w:tcW w:w="394" w:type="pct"/>
          </w:tcPr>
          <w:p w14:paraId="4763AE7C">
            <w:pPr>
              <w:rPr>
                <w:rFonts w:hint="eastAsia" w:ascii="宋体" w:hAnsi="宋体" w:eastAsia="宋体" w:cs="宋体"/>
                <w:sz w:val="24"/>
                <w:highlight w:val="none"/>
              </w:rPr>
            </w:pPr>
          </w:p>
        </w:tc>
        <w:tc>
          <w:tcPr>
            <w:tcW w:w="394" w:type="pct"/>
          </w:tcPr>
          <w:p w14:paraId="34773F28">
            <w:pPr>
              <w:rPr>
                <w:rFonts w:hint="eastAsia" w:ascii="宋体" w:hAnsi="宋体" w:eastAsia="宋体" w:cs="宋体"/>
                <w:sz w:val="24"/>
                <w:highlight w:val="none"/>
              </w:rPr>
            </w:pPr>
          </w:p>
        </w:tc>
        <w:tc>
          <w:tcPr>
            <w:tcW w:w="551" w:type="pct"/>
          </w:tcPr>
          <w:p w14:paraId="7B32D018">
            <w:pPr>
              <w:rPr>
                <w:rFonts w:hint="eastAsia" w:ascii="宋体" w:hAnsi="宋体" w:eastAsia="宋体" w:cs="宋体"/>
                <w:sz w:val="24"/>
                <w:highlight w:val="none"/>
              </w:rPr>
            </w:pPr>
          </w:p>
        </w:tc>
        <w:tc>
          <w:tcPr>
            <w:tcW w:w="551" w:type="pct"/>
          </w:tcPr>
          <w:p w14:paraId="7B6A8D7B">
            <w:pPr>
              <w:rPr>
                <w:rFonts w:hint="eastAsia" w:ascii="宋体" w:hAnsi="宋体" w:eastAsia="宋体" w:cs="宋体"/>
                <w:sz w:val="24"/>
                <w:highlight w:val="none"/>
              </w:rPr>
            </w:pPr>
          </w:p>
        </w:tc>
        <w:tc>
          <w:tcPr>
            <w:tcW w:w="393" w:type="pct"/>
          </w:tcPr>
          <w:p w14:paraId="619E78B9">
            <w:pPr>
              <w:rPr>
                <w:rFonts w:hint="eastAsia" w:ascii="宋体" w:hAnsi="宋体" w:eastAsia="宋体" w:cs="宋体"/>
                <w:sz w:val="24"/>
                <w:highlight w:val="none"/>
              </w:rPr>
            </w:pPr>
          </w:p>
        </w:tc>
      </w:tr>
      <w:tr w14:paraId="2CA0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B09E04B">
            <w:pPr>
              <w:jc w:val="center"/>
              <w:rPr>
                <w:rFonts w:hint="eastAsia" w:ascii="宋体" w:hAnsi="宋体" w:eastAsia="宋体" w:cs="宋体"/>
                <w:sz w:val="24"/>
                <w:highlight w:val="none"/>
              </w:rPr>
            </w:pPr>
            <w:r>
              <w:rPr>
                <w:rFonts w:hint="eastAsia" w:ascii="宋体" w:hAnsi="宋体" w:eastAsia="宋体" w:cs="宋体"/>
                <w:sz w:val="24"/>
                <w:highlight w:val="none"/>
              </w:rPr>
              <w:t>13</w:t>
            </w:r>
          </w:p>
        </w:tc>
        <w:tc>
          <w:tcPr>
            <w:tcW w:w="777" w:type="pct"/>
          </w:tcPr>
          <w:p w14:paraId="374D68FE">
            <w:pPr>
              <w:rPr>
                <w:rFonts w:hint="eastAsia" w:ascii="宋体" w:hAnsi="宋体" w:eastAsia="宋体" w:cs="宋体"/>
                <w:sz w:val="24"/>
                <w:highlight w:val="none"/>
              </w:rPr>
            </w:pPr>
          </w:p>
        </w:tc>
        <w:tc>
          <w:tcPr>
            <w:tcW w:w="773" w:type="pct"/>
          </w:tcPr>
          <w:p w14:paraId="4E82C362">
            <w:pPr>
              <w:rPr>
                <w:rFonts w:hint="eastAsia" w:ascii="宋体" w:hAnsi="宋体" w:eastAsia="宋体" w:cs="宋体"/>
                <w:sz w:val="24"/>
                <w:highlight w:val="none"/>
              </w:rPr>
            </w:pPr>
          </w:p>
        </w:tc>
        <w:tc>
          <w:tcPr>
            <w:tcW w:w="773" w:type="pct"/>
          </w:tcPr>
          <w:p w14:paraId="20BB374E">
            <w:pPr>
              <w:rPr>
                <w:rFonts w:hint="eastAsia" w:ascii="宋体" w:hAnsi="宋体" w:eastAsia="宋体" w:cs="宋体"/>
                <w:sz w:val="24"/>
                <w:highlight w:val="none"/>
              </w:rPr>
            </w:pPr>
          </w:p>
        </w:tc>
        <w:tc>
          <w:tcPr>
            <w:tcW w:w="394" w:type="pct"/>
          </w:tcPr>
          <w:p w14:paraId="4B726954">
            <w:pPr>
              <w:rPr>
                <w:rFonts w:hint="eastAsia" w:ascii="宋体" w:hAnsi="宋体" w:eastAsia="宋体" w:cs="宋体"/>
                <w:sz w:val="24"/>
                <w:highlight w:val="none"/>
              </w:rPr>
            </w:pPr>
          </w:p>
        </w:tc>
        <w:tc>
          <w:tcPr>
            <w:tcW w:w="394" w:type="pct"/>
          </w:tcPr>
          <w:p w14:paraId="1F35C1E8">
            <w:pPr>
              <w:rPr>
                <w:rFonts w:hint="eastAsia" w:ascii="宋体" w:hAnsi="宋体" w:eastAsia="宋体" w:cs="宋体"/>
                <w:sz w:val="24"/>
                <w:highlight w:val="none"/>
              </w:rPr>
            </w:pPr>
          </w:p>
        </w:tc>
        <w:tc>
          <w:tcPr>
            <w:tcW w:w="551" w:type="pct"/>
          </w:tcPr>
          <w:p w14:paraId="25077294">
            <w:pPr>
              <w:rPr>
                <w:rFonts w:hint="eastAsia" w:ascii="宋体" w:hAnsi="宋体" w:eastAsia="宋体" w:cs="宋体"/>
                <w:sz w:val="24"/>
                <w:highlight w:val="none"/>
              </w:rPr>
            </w:pPr>
          </w:p>
        </w:tc>
        <w:tc>
          <w:tcPr>
            <w:tcW w:w="551" w:type="pct"/>
          </w:tcPr>
          <w:p w14:paraId="2F127BC4">
            <w:pPr>
              <w:rPr>
                <w:rFonts w:hint="eastAsia" w:ascii="宋体" w:hAnsi="宋体" w:eastAsia="宋体" w:cs="宋体"/>
                <w:sz w:val="24"/>
                <w:highlight w:val="none"/>
              </w:rPr>
            </w:pPr>
          </w:p>
        </w:tc>
        <w:tc>
          <w:tcPr>
            <w:tcW w:w="393" w:type="pct"/>
          </w:tcPr>
          <w:p w14:paraId="0B0F2304">
            <w:pPr>
              <w:rPr>
                <w:rFonts w:hint="eastAsia" w:ascii="宋体" w:hAnsi="宋体" w:eastAsia="宋体" w:cs="宋体"/>
                <w:sz w:val="24"/>
                <w:highlight w:val="none"/>
              </w:rPr>
            </w:pPr>
          </w:p>
        </w:tc>
      </w:tr>
      <w:tr w14:paraId="6FD0B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F3CAC52">
            <w:pPr>
              <w:jc w:val="center"/>
              <w:rPr>
                <w:rFonts w:hint="eastAsia" w:ascii="宋体" w:hAnsi="宋体" w:eastAsia="宋体" w:cs="宋体"/>
                <w:sz w:val="24"/>
                <w:highlight w:val="none"/>
              </w:rPr>
            </w:pPr>
          </w:p>
        </w:tc>
        <w:tc>
          <w:tcPr>
            <w:tcW w:w="777" w:type="pct"/>
            <w:vAlign w:val="center"/>
          </w:tcPr>
          <w:p w14:paraId="03E0444F">
            <w:pPr>
              <w:pStyle w:val="38"/>
              <w:rPr>
                <w:rFonts w:hint="eastAsia" w:ascii="宋体" w:hAnsi="宋体" w:eastAsia="宋体" w:cs="宋体"/>
                <w:highlight w:val="none"/>
              </w:rPr>
            </w:pPr>
            <w:r>
              <w:rPr>
                <w:rFonts w:hint="eastAsia" w:ascii="宋体" w:hAnsi="宋体" w:eastAsia="宋体" w:cs="宋体"/>
                <w:highlight w:val="none"/>
              </w:rPr>
              <w:t>其他费用</w:t>
            </w:r>
          </w:p>
        </w:tc>
        <w:tc>
          <w:tcPr>
            <w:tcW w:w="773" w:type="pct"/>
          </w:tcPr>
          <w:p w14:paraId="6CCC0150">
            <w:pPr>
              <w:rPr>
                <w:rFonts w:hint="eastAsia" w:ascii="宋体" w:hAnsi="宋体" w:eastAsia="宋体" w:cs="宋体"/>
                <w:sz w:val="24"/>
                <w:highlight w:val="none"/>
              </w:rPr>
            </w:pPr>
          </w:p>
        </w:tc>
        <w:tc>
          <w:tcPr>
            <w:tcW w:w="773" w:type="pct"/>
          </w:tcPr>
          <w:p w14:paraId="363C824E">
            <w:pPr>
              <w:rPr>
                <w:rFonts w:hint="eastAsia" w:ascii="宋体" w:hAnsi="宋体" w:eastAsia="宋体" w:cs="宋体"/>
                <w:sz w:val="24"/>
                <w:highlight w:val="none"/>
              </w:rPr>
            </w:pPr>
          </w:p>
        </w:tc>
        <w:tc>
          <w:tcPr>
            <w:tcW w:w="394" w:type="pct"/>
          </w:tcPr>
          <w:p w14:paraId="466E5E80">
            <w:pPr>
              <w:rPr>
                <w:rFonts w:hint="eastAsia" w:ascii="宋体" w:hAnsi="宋体" w:eastAsia="宋体" w:cs="宋体"/>
                <w:sz w:val="24"/>
                <w:highlight w:val="none"/>
              </w:rPr>
            </w:pPr>
          </w:p>
        </w:tc>
        <w:tc>
          <w:tcPr>
            <w:tcW w:w="394" w:type="pct"/>
          </w:tcPr>
          <w:p w14:paraId="74C5F702">
            <w:pPr>
              <w:rPr>
                <w:rFonts w:hint="eastAsia" w:ascii="宋体" w:hAnsi="宋体" w:eastAsia="宋体" w:cs="宋体"/>
                <w:sz w:val="24"/>
                <w:highlight w:val="none"/>
              </w:rPr>
            </w:pPr>
          </w:p>
        </w:tc>
        <w:tc>
          <w:tcPr>
            <w:tcW w:w="551" w:type="pct"/>
          </w:tcPr>
          <w:p w14:paraId="2B312F79">
            <w:pPr>
              <w:rPr>
                <w:rFonts w:hint="eastAsia" w:ascii="宋体" w:hAnsi="宋体" w:eastAsia="宋体" w:cs="宋体"/>
                <w:sz w:val="24"/>
                <w:highlight w:val="none"/>
              </w:rPr>
            </w:pPr>
          </w:p>
        </w:tc>
        <w:tc>
          <w:tcPr>
            <w:tcW w:w="551" w:type="pct"/>
          </w:tcPr>
          <w:p w14:paraId="5770CD95">
            <w:pPr>
              <w:rPr>
                <w:rFonts w:hint="eastAsia" w:ascii="宋体" w:hAnsi="宋体" w:eastAsia="宋体" w:cs="宋体"/>
                <w:sz w:val="24"/>
                <w:highlight w:val="none"/>
              </w:rPr>
            </w:pPr>
          </w:p>
        </w:tc>
        <w:tc>
          <w:tcPr>
            <w:tcW w:w="393" w:type="pct"/>
          </w:tcPr>
          <w:p w14:paraId="7A8A5AE5">
            <w:pPr>
              <w:rPr>
                <w:rFonts w:hint="eastAsia" w:ascii="宋体" w:hAnsi="宋体" w:eastAsia="宋体" w:cs="宋体"/>
                <w:sz w:val="24"/>
                <w:highlight w:val="none"/>
              </w:rPr>
            </w:pPr>
          </w:p>
        </w:tc>
      </w:tr>
      <w:tr w14:paraId="1123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A8CC78B">
            <w:pPr>
              <w:jc w:val="center"/>
              <w:rPr>
                <w:rFonts w:hint="eastAsia" w:ascii="宋体" w:hAnsi="宋体" w:eastAsia="宋体" w:cs="宋体"/>
                <w:sz w:val="24"/>
                <w:highlight w:val="none"/>
              </w:rPr>
            </w:pPr>
          </w:p>
        </w:tc>
        <w:tc>
          <w:tcPr>
            <w:tcW w:w="777" w:type="pct"/>
          </w:tcPr>
          <w:p w14:paraId="6A119E25">
            <w:pPr>
              <w:rPr>
                <w:rFonts w:hint="eastAsia" w:ascii="宋体" w:hAnsi="宋体" w:eastAsia="宋体" w:cs="宋体"/>
                <w:sz w:val="24"/>
                <w:highlight w:val="none"/>
              </w:rPr>
            </w:pPr>
            <w:r>
              <w:rPr>
                <w:rFonts w:hint="eastAsia" w:ascii="宋体" w:hAnsi="宋体" w:eastAsia="宋体" w:cs="宋体"/>
                <w:sz w:val="24"/>
                <w:highlight w:val="none"/>
              </w:rPr>
              <w:t>…</w:t>
            </w:r>
          </w:p>
        </w:tc>
        <w:tc>
          <w:tcPr>
            <w:tcW w:w="773" w:type="pct"/>
          </w:tcPr>
          <w:p w14:paraId="56B54332">
            <w:pPr>
              <w:rPr>
                <w:rFonts w:hint="eastAsia" w:ascii="宋体" w:hAnsi="宋体" w:eastAsia="宋体" w:cs="宋体"/>
                <w:sz w:val="24"/>
                <w:highlight w:val="none"/>
              </w:rPr>
            </w:pPr>
          </w:p>
        </w:tc>
        <w:tc>
          <w:tcPr>
            <w:tcW w:w="773" w:type="pct"/>
          </w:tcPr>
          <w:p w14:paraId="4155D81B">
            <w:pPr>
              <w:rPr>
                <w:rFonts w:hint="eastAsia" w:ascii="宋体" w:hAnsi="宋体" w:eastAsia="宋体" w:cs="宋体"/>
                <w:sz w:val="24"/>
                <w:highlight w:val="none"/>
              </w:rPr>
            </w:pPr>
          </w:p>
        </w:tc>
        <w:tc>
          <w:tcPr>
            <w:tcW w:w="394" w:type="pct"/>
          </w:tcPr>
          <w:p w14:paraId="29647FF0">
            <w:pPr>
              <w:rPr>
                <w:rFonts w:hint="eastAsia" w:ascii="宋体" w:hAnsi="宋体" w:eastAsia="宋体" w:cs="宋体"/>
                <w:sz w:val="24"/>
                <w:highlight w:val="none"/>
              </w:rPr>
            </w:pPr>
          </w:p>
        </w:tc>
        <w:tc>
          <w:tcPr>
            <w:tcW w:w="394" w:type="pct"/>
          </w:tcPr>
          <w:p w14:paraId="5471CBE2">
            <w:pPr>
              <w:rPr>
                <w:rFonts w:hint="eastAsia" w:ascii="宋体" w:hAnsi="宋体" w:eastAsia="宋体" w:cs="宋体"/>
                <w:sz w:val="24"/>
                <w:highlight w:val="none"/>
              </w:rPr>
            </w:pPr>
          </w:p>
        </w:tc>
        <w:tc>
          <w:tcPr>
            <w:tcW w:w="551" w:type="pct"/>
          </w:tcPr>
          <w:p w14:paraId="0F5F1C79">
            <w:pPr>
              <w:rPr>
                <w:rFonts w:hint="eastAsia" w:ascii="宋体" w:hAnsi="宋体" w:eastAsia="宋体" w:cs="宋体"/>
                <w:sz w:val="24"/>
                <w:highlight w:val="none"/>
              </w:rPr>
            </w:pPr>
          </w:p>
        </w:tc>
        <w:tc>
          <w:tcPr>
            <w:tcW w:w="551" w:type="pct"/>
          </w:tcPr>
          <w:p w14:paraId="07653263">
            <w:pPr>
              <w:rPr>
                <w:rFonts w:hint="eastAsia" w:ascii="宋体" w:hAnsi="宋体" w:eastAsia="宋体" w:cs="宋体"/>
                <w:sz w:val="24"/>
                <w:highlight w:val="none"/>
              </w:rPr>
            </w:pPr>
          </w:p>
        </w:tc>
        <w:tc>
          <w:tcPr>
            <w:tcW w:w="393" w:type="pct"/>
          </w:tcPr>
          <w:p w14:paraId="469DE62C">
            <w:pPr>
              <w:rPr>
                <w:rFonts w:hint="eastAsia" w:ascii="宋体" w:hAnsi="宋体" w:eastAsia="宋体" w:cs="宋体"/>
                <w:sz w:val="24"/>
                <w:highlight w:val="none"/>
              </w:rPr>
            </w:pPr>
          </w:p>
        </w:tc>
      </w:tr>
      <w:tr w14:paraId="2106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A4BDA19">
            <w:pPr>
              <w:jc w:val="center"/>
              <w:rPr>
                <w:rFonts w:hint="eastAsia" w:ascii="宋体" w:hAnsi="宋体" w:eastAsia="宋体" w:cs="宋体"/>
                <w:sz w:val="24"/>
                <w:highlight w:val="none"/>
              </w:rPr>
            </w:pPr>
          </w:p>
        </w:tc>
        <w:tc>
          <w:tcPr>
            <w:tcW w:w="777" w:type="pct"/>
          </w:tcPr>
          <w:p w14:paraId="559EEBD2">
            <w:pPr>
              <w:pStyle w:val="38"/>
              <w:rPr>
                <w:rFonts w:hint="eastAsia" w:ascii="宋体" w:hAnsi="宋体" w:eastAsia="宋体" w:cs="宋体"/>
                <w:highlight w:val="none"/>
              </w:rPr>
            </w:pPr>
            <w:r>
              <w:rPr>
                <w:rFonts w:hint="eastAsia" w:ascii="宋体" w:hAnsi="宋体" w:eastAsia="宋体" w:cs="宋体"/>
                <w:highlight w:val="none"/>
              </w:rPr>
              <w:t>…</w:t>
            </w:r>
          </w:p>
        </w:tc>
        <w:tc>
          <w:tcPr>
            <w:tcW w:w="773" w:type="pct"/>
          </w:tcPr>
          <w:p w14:paraId="21D53994">
            <w:pPr>
              <w:rPr>
                <w:rFonts w:hint="eastAsia" w:ascii="宋体" w:hAnsi="宋体" w:eastAsia="宋体" w:cs="宋体"/>
                <w:sz w:val="24"/>
                <w:highlight w:val="none"/>
              </w:rPr>
            </w:pPr>
          </w:p>
        </w:tc>
        <w:tc>
          <w:tcPr>
            <w:tcW w:w="773" w:type="pct"/>
          </w:tcPr>
          <w:p w14:paraId="7F06655A">
            <w:pPr>
              <w:rPr>
                <w:rFonts w:hint="eastAsia" w:ascii="宋体" w:hAnsi="宋体" w:eastAsia="宋体" w:cs="宋体"/>
                <w:sz w:val="24"/>
                <w:highlight w:val="none"/>
              </w:rPr>
            </w:pPr>
          </w:p>
        </w:tc>
        <w:tc>
          <w:tcPr>
            <w:tcW w:w="394" w:type="pct"/>
          </w:tcPr>
          <w:p w14:paraId="70A69897">
            <w:pPr>
              <w:rPr>
                <w:rFonts w:hint="eastAsia" w:ascii="宋体" w:hAnsi="宋体" w:eastAsia="宋体" w:cs="宋体"/>
                <w:sz w:val="24"/>
                <w:highlight w:val="none"/>
              </w:rPr>
            </w:pPr>
          </w:p>
        </w:tc>
        <w:tc>
          <w:tcPr>
            <w:tcW w:w="394" w:type="pct"/>
          </w:tcPr>
          <w:p w14:paraId="01C09FC3">
            <w:pPr>
              <w:rPr>
                <w:rFonts w:hint="eastAsia" w:ascii="宋体" w:hAnsi="宋体" w:eastAsia="宋体" w:cs="宋体"/>
                <w:sz w:val="24"/>
                <w:highlight w:val="none"/>
              </w:rPr>
            </w:pPr>
          </w:p>
        </w:tc>
        <w:tc>
          <w:tcPr>
            <w:tcW w:w="551" w:type="pct"/>
          </w:tcPr>
          <w:p w14:paraId="4D31F41B">
            <w:pPr>
              <w:rPr>
                <w:rFonts w:hint="eastAsia" w:ascii="宋体" w:hAnsi="宋体" w:eastAsia="宋体" w:cs="宋体"/>
                <w:sz w:val="24"/>
                <w:highlight w:val="none"/>
              </w:rPr>
            </w:pPr>
          </w:p>
        </w:tc>
        <w:tc>
          <w:tcPr>
            <w:tcW w:w="551" w:type="pct"/>
          </w:tcPr>
          <w:p w14:paraId="726DAB06">
            <w:pPr>
              <w:rPr>
                <w:rFonts w:hint="eastAsia" w:ascii="宋体" w:hAnsi="宋体" w:eastAsia="宋体" w:cs="宋体"/>
                <w:sz w:val="24"/>
                <w:highlight w:val="none"/>
              </w:rPr>
            </w:pPr>
          </w:p>
        </w:tc>
        <w:tc>
          <w:tcPr>
            <w:tcW w:w="393" w:type="pct"/>
          </w:tcPr>
          <w:p w14:paraId="02E0FBAD">
            <w:pPr>
              <w:rPr>
                <w:rFonts w:hint="eastAsia" w:ascii="宋体" w:hAnsi="宋体" w:eastAsia="宋体" w:cs="宋体"/>
                <w:sz w:val="24"/>
                <w:highlight w:val="none"/>
              </w:rPr>
            </w:pPr>
          </w:p>
        </w:tc>
      </w:tr>
      <w:tr w14:paraId="59332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B01B2CA">
            <w:pPr>
              <w:jc w:val="center"/>
              <w:rPr>
                <w:rFonts w:hint="eastAsia" w:ascii="宋体" w:hAnsi="宋体" w:eastAsia="宋体" w:cs="宋体"/>
                <w:sz w:val="24"/>
                <w:highlight w:val="none"/>
              </w:rPr>
            </w:pPr>
          </w:p>
        </w:tc>
        <w:tc>
          <w:tcPr>
            <w:tcW w:w="777" w:type="pct"/>
          </w:tcPr>
          <w:p w14:paraId="5E8D0CF4">
            <w:pPr>
              <w:rPr>
                <w:rFonts w:hint="eastAsia" w:ascii="宋体" w:hAnsi="宋体" w:eastAsia="宋体" w:cs="宋体"/>
                <w:sz w:val="24"/>
                <w:highlight w:val="none"/>
              </w:rPr>
            </w:pPr>
            <w:r>
              <w:rPr>
                <w:rFonts w:hint="eastAsia" w:ascii="宋体" w:hAnsi="宋体" w:eastAsia="宋体" w:cs="宋体"/>
                <w:sz w:val="24"/>
                <w:highlight w:val="none"/>
              </w:rPr>
              <w:t>…</w:t>
            </w:r>
          </w:p>
        </w:tc>
        <w:tc>
          <w:tcPr>
            <w:tcW w:w="773" w:type="pct"/>
          </w:tcPr>
          <w:p w14:paraId="40CE081D">
            <w:pPr>
              <w:rPr>
                <w:rFonts w:hint="eastAsia" w:ascii="宋体" w:hAnsi="宋体" w:eastAsia="宋体" w:cs="宋体"/>
                <w:sz w:val="24"/>
                <w:highlight w:val="none"/>
              </w:rPr>
            </w:pPr>
          </w:p>
        </w:tc>
        <w:tc>
          <w:tcPr>
            <w:tcW w:w="773" w:type="pct"/>
          </w:tcPr>
          <w:p w14:paraId="32A7B814">
            <w:pPr>
              <w:rPr>
                <w:rFonts w:hint="eastAsia" w:ascii="宋体" w:hAnsi="宋体" w:eastAsia="宋体" w:cs="宋体"/>
                <w:sz w:val="24"/>
                <w:highlight w:val="none"/>
              </w:rPr>
            </w:pPr>
          </w:p>
        </w:tc>
        <w:tc>
          <w:tcPr>
            <w:tcW w:w="394" w:type="pct"/>
          </w:tcPr>
          <w:p w14:paraId="52DCA251">
            <w:pPr>
              <w:rPr>
                <w:rFonts w:hint="eastAsia" w:ascii="宋体" w:hAnsi="宋体" w:eastAsia="宋体" w:cs="宋体"/>
                <w:sz w:val="24"/>
                <w:highlight w:val="none"/>
              </w:rPr>
            </w:pPr>
          </w:p>
        </w:tc>
        <w:tc>
          <w:tcPr>
            <w:tcW w:w="394" w:type="pct"/>
          </w:tcPr>
          <w:p w14:paraId="4A94335B">
            <w:pPr>
              <w:rPr>
                <w:rFonts w:hint="eastAsia" w:ascii="宋体" w:hAnsi="宋体" w:eastAsia="宋体" w:cs="宋体"/>
                <w:sz w:val="24"/>
                <w:highlight w:val="none"/>
              </w:rPr>
            </w:pPr>
          </w:p>
        </w:tc>
        <w:tc>
          <w:tcPr>
            <w:tcW w:w="551" w:type="pct"/>
          </w:tcPr>
          <w:p w14:paraId="174B3678">
            <w:pPr>
              <w:rPr>
                <w:rFonts w:hint="eastAsia" w:ascii="宋体" w:hAnsi="宋体" w:eastAsia="宋体" w:cs="宋体"/>
                <w:sz w:val="24"/>
                <w:highlight w:val="none"/>
              </w:rPr>
            </w:pPr>
          </w:p>
        </w:tc>
        <w:tc>
          <w:tcPr>
            <w:tcW w:w="551" w:type="pct"/>
          </w:tcPr>
          <w:p w14:paraId="10239AB7">
            <w:pPr>
              <w:rPr>
                <w:rFonts w:hint="eastAsia" w:ascii="宋体" w:hAnsi="宋体" w:eastAsia="宋体" w:cs="宋体"/>
                <w:sz w:val="24"/>
                <w:highlight w:val="none"/>
              </w:rPr>
            </w:pPr>
          </w:p>
        </w:tc>
        <w:tc>
          <w:tcPr>
            <w:tcW w:w="393" w:type="pct"/>
          </w:tcPr>
          <w:p w14:paraId="089A3B54">
            <w:pPr>
              <w:rPr>
                <w:rFonts w:hint="eastAsia" w:ascii="宋体" w:hAnsi="宋体" w:eastAsia="宋体" w:cs="宋体"/>
                <w:sz w:val="24"/>
                <w:highlight w:val="none"/>
              </w:rPr>
            </w:pPr>
          </w:p>
        </w:tc>
      </w:tr>
      <w:tr w14:paraId="019F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06A8BED6">
            <w:pPr>
              <w:pStyle w:val="38"/>
              <w:jc w:val="center"/>
              <w:rPr>
                <w:rFonts w:hint="eastAsia" w:ascii="宋体" w:hAnsi="宋体" w:eastAsia="宋体" w:cs="宋体"/>
                <w:highlight w:val="none"/>
              </w:rPr>
            </w:pPr>
            <w:r>
              <w:rPr>
                <w:rFonts w:hint="eastAsia" w:ascii="宋体" w:hAnsi="宋体" w:eastAsia="宋体" w:cs="宋体"/>
                <w:highlight w:val="none"/>
              </w:rPr>
              <w:t>合计（元）</w:t>
            </w:r>
          </w:p>
        </w:tc>
        <w:tc>
          <w:tcPr>
            <w:tcW w:w="773" w:type="pct"/>
          </w:tcPr>
          <w:p w14:paraId="69A0C808">
            <w:pPr>
              <w:rPr>
                <w:rFonts w:hint="eastAsia" w:ascii="宋体" w:hAnsi="宋体" w:eastAsia="宋体" w:cs="宋体"/>
                <w:sz w:val="24"/>
                <w:highlight w:val="none"/>
              </w:rPr>
            </w:pPr>
          </w:p>
        </w:tc>
        <w:tc>
          <w:tcPr>
            <w:tcW w:w="773" w:type="pct"/>
          </w:tcPr>
          <w:p w14:paraId="513A711E">
            <w:pPr>
              <w:rPr>
                <w:rFonts w:hint="eastAsia" w:ascii="宋体" w:hAnsi="宋体" w:eastAsia="宋体" w:cs="宋体"/>
                <w:sz w:val="24"/>
                <w:highlight w:val="none"/>
              </w:rPr>
            </w:pPr>
          </w:p>
        </w:tc>
        <w:tc>
          <w:tcPr>
            <w:tcW w:w="394" w:type="pct"/>
          </w:tcPr>
          <w:p w14:paraId="0436B110">
            <w:pPr>
              <w:rPr>
                <w:rFonts w:hint="eastAsia" w:ascii="宋体" w:hAnsi="宋体" w:eastAsia="宋体" w:cs="宋体"/>
                <w:sz w:val="24"/>
                <w:highlight w:val="none"/>
              </w:rPr>
            </w:pPr>
          </w:p>
        </w:tc>
        <w:tc>
          <w:tcPr>
            <w:tcW w:w="394" w:type="pct"/>
          </w:tcPr>
          <w:p w14:paraId="0E82574F">
            <w:pPr>
              <w:rPr>
                <w:rFonts w:hint="eastAsia" w:ascii="宋体" w:hAnsi="宋体" w:eastAsia="宋体" w:cs="宋体"/>
                <w:sz w:val="24"/>
                <w:highlight w:val="none"/>
              </w:rPr>
            </w:pPr>
          </w:p>
        </w:tc>
        <w:tc>
          <w:tcPr>
            <w:tcW w:w="551" w:type="pct"/>
          </w:tcPr>
          <w:p w14:paraId="2F5DD0E0">
            <w:pPr>
              <w:rPr>
                <w:rFonts w:hint="eastAsia" w:ascii="宋体" w:hAnsi="宋体" w:eastAsia="宋体" w:cs="宋体"/>
                <w:sz w:val="24"/>
                <w:highlight w:val="none"/>
              </w:rPr>
            </w:pPr>
          </w:p>
        </w:tc>
        <w:tc>
          <w:tcPr>
            <w:tcW w:w="551" w:type="pct"/>
          </w:tcPr>
          <w:p w14:paraId="51AE7878">
            <w:pPr>
              <w:rPr>
                <w:rFonts w:hint="eastAsia" w:ascii="宋体" w:hAnsi="宋体" w:eastAsia="宋体" w:cs="宋体"/>
                <w:sz w:val="24"/>
                <w:highlight w:val="none"/>
              </w:rPr>
            </w:pPr>
          </w:p>
        </w:tc>
        <w:tc>
          <w:tcPr>
            <w:tcW w:w="393" w:type="pct"/>
          </w:tcPr>
          <w:p w14:paraId="1699F47A">
            <w:pPr>
              <w:rPr>
                <w:rFonts w:hint="eastAsia" w:ascii="宋体" w:hAnsi="宋体" w:eastAsia="宋体" w:cs="宋体"/>
                <w:sz w:val="24"/>
                <w:highlight w:val="none"/>
              </w:rPr>
            </w:pPr>
          </w:p>
        </w:tc>
      </w:tr>
    </w:tbl>
    <w:p w14:paraId="7D4E8B70">
      <w:pPr>
        <w:spacing w:line="360" w:lineRule="auto"/>
        <w:ind w:firstLine="5520" w:firstLineChars="2300"/>
        <w:rPr>
          <w:rFonts w:hint="eastAsia" w:ascii="宋体" w:hAnsi="宋体" w:eastAsia="宋体" w:cs="宋体"/>
          <w:bCs/>
          <w:sz w:val="24"/>
          <w:highlight w:val="none"/>
        </w:rPr>
      </w:pPr>
    </w:p>
    <w:p w14:paraId="2A48FED8">
      <w:pPr>
        <w:spacing w:line="360" w:lineRule="auto"/>
        <w:ind w:firstLine="5520" w:firstLineChars="2300"/>
        <w:rPr>
          <w:rFonts w:hint="eastAsia" w:ascii="宋体" w:hAnsi="宋体" w:eastAsia="宋体" w:cs="宋体"/>
          <w:bCs/>
          <w:sz w:val="24"/>
          <w:highlight w:val="none"/>
          <w:u w:val="single"/>
        </w:rPr>
      </w:pPr>
      <w:r>
        <w:rPr>
          <w:rFonts w:hint="eastAsia" w:ascii="宋体" w:hAnsi="宋体" w:eastAsia="宋体" w:cs="宋体"/>
          <w:bCs/>
          <w:sz w:val="24"/>
          <w:highlight w:val="none"/>
        </w:rPr>
        <w:t>投标人：</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eastAsia="zh-CN"/>
        </w:rPr>
        <w:t>（</w:t>
      </w:r>
      <w:r>
        <w:rPr>
          <w:rFonts w:hint="eastAsia" w:ascii="宋体" w:hAnsi="宋体" w:eastAsia="宋体" w:cs="宋体"/>
          <w:bCs/>
          <w:sz w:val="24"/>
          <w:highlight w:val="none"/>
          <w:u w:val="single"/>
          <w:lang w:val="en-US" w:eastAsia="zh-CN"/>
        </w:rPr>
        <w:t>盖章）</w:t>
      </w:r>
      <w:r>
        <w:rPr>
          <w:rFonts w:hint="eastAsia" w:ascii="宋体" w:hAnsi="宋体" w:eastAsia="宋体" w:cs="宋体"/>
          <w:bCs/>
          <w:sz w:val="24"/>
          <w:highlight w:val="none"/>
          <w:u w:val="single"/>
        </w:rPr>
        <w:t xml:space="preserve">        </w:t>
      </w:r>
    </w:p>
    <w:p w14:paraId="2BDCDC89">
      <w:pPr>
        <w:spacing w:line="360" w:lineRule="auto"/>
        <w:ind w:firstLine="5520" w:firstLineChars="2300"/>
        <w:rPr>
          <w:rFonts w:hint="eastAsia" w:ascii="宋体" w:hAnsi="宋体" w:eastAsia="宋体" w:cs="宋体"/>
          <w:b/>
          <w:bCs/>
          <w:sz w:val="24"/>
          <w:szCs w:val="28"/>
          <w:highlight w:val="none"/>
        </w:rPr>
      </w:pPr>
      <w:r>
        <w:rPr>
          <w:rFonts w:hint="eastAsia" w:ascii="宋体" w:hAnsi="宋体" w:eastAsia="宋体" w:cs="宋体"/>
          <w:bCs/>
          <w:sz w:val="24"/>
          <w:highlight w:val="none"/>
        </w:rPr>
        <w:t>日  期：</w:t>
      </w:r>
      <w:r>
        <w:rPr>
          <w:rFonts w:hint="eastAsia" w:ascii="宋体" w:hAnsi="宋体" w:eastAsia="宋体" w:cs="宋体"/>
          <w:bCs/>
          <w:sz w:val="24"/>
          <w:highlight w:val="none"/>
          <w:u w:val="single"/>
        </w:rPr>
        <w:t xml:space="preserve">             </w:t>
      </w:r>
    </w:p>
    <w:p w14:paraId="04925F57">
      <w:pPr>
        <w:adjustRightInd w:val="0"/>
        <w:snapToGrid w:val="0"/>
        <w:spacing w:line="360" w:lineRule="auto"/>
        <w:rPr>
          <w:rFonts w:hint="eastAsia" w:ascii="宋体" w:hAnsi="宋体" w:eastAsia="宋体" w:cs="宋体"/>
          <w:b/>
          <w:bCs/>
          <w:sz w:val="24"/>
          <w:szCs w:val="28"/>
          <w:highlight w:val="none"/>
        </w:rPr>
      </w:pPr>
      <w:r>
        <w:rPr>
          <w:rFonts w:hint="eastAsia" w:ascii="宋体" w:hAnsi="宋体" w:eastAsia="宋体" w:cs="宋体"/>
          <w:b/>
          <w:bCs/>
          <w:sz w:val="24"/>
          <w:szCs w:val="28"/>
          <w:highlight w:val="none"/>
        </w:rPr>
        <w:t>注：</w:t>
      </w:r>
    </w:p>
    <w:p w14:paraId="0ADC413A">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69593164">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2.表中须明确列出所投产品的货物名称、品牌、型号规格、原产地及生产厂商，否则可能导致</w:t>
      </w:r>
      <w:r>
        <w:rPr>
          <w:rFonts w:hint="eastAsia" w:ascii="宋体" w:hAnsi="宋体" w:eastAsia="宋体" w:cs="宋体"/>
          <w:b/>
          <w:bCs/>
          <w:sz w:val="24"/>
          <w:highlight w:val="none"/>
        </w:rPr>
        <w:t>投标无效</w:t>
      </w:r>
      <w:r>
        <w:rPr>
          <w:rFonts w:hint="eastAsia" w:ascii="宋体" w:hAnsi="宋体" w:eastAsia="宋体" w:cs="宋体"/>
          <w:sz w:val="24"/>
          <w:highlight w:val="none"/>
        </w:rPr>
        <w:t>。</w:t>
      </w:r>
    </w:p>
    <w:p w14:paraId="3FE3ACA5">
      <w:pPr>
        <w:widowControl/>
        <w:jc w:val="left"/>
        <w:rPr>
          <w:rFonts w:hint="eastAsia" w:ascii="宋体" w:hAnsi="宋体" w:eastAsia="宋体" w:cs="宋体"/>
          <w:sz w:val="24"/>
          <w:highlight w:val="none"/>
        </w:rPr>
      </w:pPr>
      <w:r>
        <w:rPr>
          <w:rFonts w:hint="eastAsia" w:ascii="宋体" w:hAnsi="宋体" w:eastAsia="宋体" w:cs="宋体"/>
          <w:sz w:val="24"/>
          <w:highlight w:val="none"/>
        </w:rPr>
        <w:br w:type="page"/>
      </w:r>
    </w:p>
    <w:p w14:paraId="6905F0D1">
      <w:pPr>
        <w:spacing w:line="360" w:lineRule="auto"/>
        <w:jc w:val="center"/>
        <w:outlineLvl w:val="1"/>
        <w:rPr>
          <w:rFonts w:hint="eastAsia" w:ascii="宋体" w:hAnsi="宋体" w:eastAsia="宋体" w:cs="宋体"/>
          <w:b/>
          <w:sz w:val="24"/>
          <w:highlight w:val="none"/>
        </w:rPr>
      </w:pPr>
      <w:r>
        <w:rPr>
          <w:rFonts w:hint="eastAsia" w:ascii="宋体" w:hAnsi="宋体" w:eastAsia="宋体" w:cs="宋体"/>
          <w:b/>
          <w:sz w:val="24"/>
          <w:highlight w:val="none"/>
        </w:rPr>
        <w:t>六、投标响应表</w:t>
      </w:r>
    </w:p>
    <w:p w14:paraId="1118EA0C">
      <w:pPr>
        <w:spacing w:line="360" w:lineRule="auto"/>
        <w:ind w:firstLine="435"/>
        <w:outlineLvl w:val="2"/>
        <w:rPr>
          <w:rFonts w:hint="eastAsia" w:ascii="宋体" w:hAnsi="宋体" w:eastAsia="宋体" w:cs="宋体"/>
          <w:b/>
          <w:sz w:val="24"/>
          <w:highlight w:val="none"/>
        </w:rPr>
      </w:pPr>
      <w:r>
        <w:rPr>
          <w:rFonts w:hint="eastAsia" w:ascii="宋体" w:hAnsi="宋体" w:eastAsia="宋体" w:cs="宋体"/>
          <w:b/>
          <w:sz w:val="24"/>
          <w:highlight w:val="none"/>
        </w:rPr>
        <w:t>6.1商务响应表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2239"/>
        <w:gridCol w:w="2919"/>
        <w:gridCol w:w="3011"/>
        <w:gridCol w:w="946"/>
      </w:tblGrid>
      <w:tr w14:paraId="3620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14:paraId="3DD3F3C1">
            <w:pPr>
              <w:pStyle w:val="10"/>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124" w:type="pct"/>
            <w:vAlign w:val="center"/>
          </w:tcPr>
          <w:p w14:paraId="6DC0D829">
            <w:pPr>
              <w:pStyle w:val="10"/>
              <w:jc w:val="center"/>
              <w:rPr>
                <w:rFonts w:hint="eastAsia" w:ascii="宋体" w:hAnsi="宋体" w:eastAsia="宋体" w:cs="宋体"/>
                <w:b/>
                <w:sz w:val="24"/>
                <w:highlight w:val="none"/>
              </w:rPr>
            </w:pPr>
            <w:r>
              <w:rPr>
                <w:rFonts w:hint="eastAsia" w:ascii="宋体" w:hAnsi="宋体" w:eastAsia="宋体" w:cs="宋体"/>
                <w:b/>
                <w:bCs/>
                <w:sz w:val="24"/>
                <w:szCs w:val="24"/>
                <w:highlight w:val="none"/>
              </w:rPr>
              <w:t>商务条款</w:t>
            </w:r>
          </w:p>
        </w:tc>
        <w:tc>
          <w:tcPr>
            <w:tcW w:w="1465" w:type="pct"/>
            <w:vAlign w:val="center"/>
          </w:tcPr>
          <w:p w14:paraId="5D673041">
            <w:pPr>
              <w:pStyle w:val="10"/>
              <w:jc w:val="center"/>
              <w:rPr>
                <w:rFonts w:hint="eastAsia" w:ascii="宋体" w:hAnsi="宋体" w:eastAsia="宋体" w:cs="宋体"/>
                <w:b/>
                <w:sz w:val="24"/>
                <w:highlight w:val="none"/>
              </w:rPr>
            </w:pPr>
            <w:r>
              <w:rPr>
                <w:rFonts w:hint="eastAsia" w:ascii="宋体" w:hAnsi="宋体" w:eastAsia="宋体" w:cs="宋体"/>
                <w:b/>
                <w:sz w:val="24"/>
                <w:highlight w:val="none"/>
              </w:rPr>
              <w:t>招标文件要求</w:t>
            </w:r>
          </w:p>
        </w:tc>
        <w:tc>
          <w:tcPr>
            <w:tcW w:w="1511" w:type="pct"/>
            <w:vAlign w:val="center"/>
          </w:tcPr>
          <w:p w14:paraId="267E615C">
            <w:pPr>
              <w:pStyle w:val="10"/>
              <w:jc w:val="center"/>
              <w:rPr>
                <w:rFonts w:hint="eastAsia" w:ascii="宋体" w:hAnsi="宋体" w:eastAsia="宋体" w:cs="宋体"/>
                <w:b/>
                <w:sz w:val="24"/>
                <w:highlight w:val="none"/>
              </w:rPr>
            </w:pPr>
            <w:r>
              <w:rPr>
                <w:rFonts w:hint="eastAsia" w:ascii="宋体" w:hAnsi="宋体" w:eastAsia="宋体" w:cs="宋体"/>
                <w:b/>
                <w:sz w:val="24"/>
                <w:highlight w:val="none"/>
              </w:rPr>
              <w:t>投标人承诺</w:t>
            </w:r>
          </w:p>
        </w:tc>
        <w:tc>
          <w:tcPr>
            <w:tcW w:w="475" w:type="pct"/>
            <w:vAlign w:val="center"/>
          </w:tcPr>
          <w:p w14:paraId="5A3730E2">
            <w:pPr>
              <w:pStyle w:val="10"/>
              <w:jc w:val="center"/>
              <w:rPr>
                <w:rFonts w:hint="eastAsia" w:ascii="宋体" w:hAnsi="宋体" w:eastAsia="宋体" w:cs="宋体"/>
                <w:b/>
                <w:sz w:val="24"/>
                <w:highlight w:val="none"/>
              </w:rPr>
            </w:pPr>
            <w:r>
              <w:rPr>
                <w:rFonts w:hint="eastAsia" w:ascii="宋体" w:hAnsi="宋体" w:eastAsia="宋体" w:cs="宋体"/>
                <w:b/>
                <w:sz w:val="24"/>
                <w:highlight w:val="none"/>
              </w:rPr>
              <w:t>偏离说明</w:t>
            </w:r>
          </w:p>
        </w:tc>
      </w:tr>
      <w:tr w14:paraId="1CAC6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58C05FF5">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124" w:type="pct"/>
            <w:vAlign w:val="center"/>
          </w:tcPr>
          <w:p w14:paraId="3EA62E00">
            <w:pPr>
              <w:jc w:val="center"/>
              <w:rPr>
                <w:rFonts w:hint="eastAsia" w:ascii="宋体" w:hAnsi="宋体" w:eastAsia="宋体" w:cs="宋体"/>
                <w:sz w:val="24"/>
                <w:highlight w:val="none"/>
              </w:rPr>
            </w:pPr>
            <w:r>
              <w:rPr>
                <w:rFonts w:hint="eastAsia" w:ascii="宋体" w:hAnsi="宋体" w:eastAsia="宋体" w:cs="宋体"/>
                <w:sz w:val="24"/>
                <w:highlight w:val="none"/>
              </w:rPr>
              <w:t>付款方式</w:t>
            </w:r>
          </w:p>
        </w:tc>
        <w:tc>
          <w:tcPr>
            <w:tcW w:w="1465" w:type="pct"/>
            <w:vAlign w:val="center"/>
          </w:tcPr>
          <w:p w14:paraId="5516AA89">
            <w:pPr>
              <w:jc w:val="center"/>
              <w:rPr>
                <w:rFonts w:hint="eastAsia" w:ascii="宋体" w:hAnsi="宋体" w:eastAsia="宋体" w:cs="宋体"/>
                <w:sz w:val="24"/>
                <w:highlight w:val="none"/>
              </w:rPr>
            </w:pPr>
          </w:p>
        </w:tc>
        <w:tc>
          <w:tcPr>
            <w:tcW w:w="1511" w:type="pct"/>
            <w:vAlign w:val="center"/>
          </w:tcPr>
          <w:p w14:paraId="336DF5FD">
            <w:pPr>
              <w:jc w:val="center"/>
              <w:rPr>
                <w:rFonts w:hint="eastAsia" w:ascii="宋体" w:hAnsi="宋体" w:eastAsia="宋体" w:cs="宋体"/>
                <w:sz w:val="24"/>
                <w:highlight w:val="none"/>
              </w:rPr>
            </w:pPr>
          </w:p>
        </w:tc>
        <w:tc>
          <w:tcPr>
            <w:tcW w:w="475" w:type="pct"/>
            <w:vAlign w:val="center"/>
          </w:tcPr>
          <w:p w14:paraId="2AD097FF">
            <w:pPr>
              <w:jc w:val="center"/>
              <w:rPr>
                <w:rFonts w:hint="eastAsia" w:ascii="宋体" w:hAnsi="宋体" w:eastAsia="宋体" w:cs="宋体"/>
                <w:sz w:val="24"/>
                <w:highlight w:val="none"/>
              </w:rPr>
            </w:pPr>
          </w:p>
        </w:tc>
      </w:tr>
      <w:tr w14:paraId="445B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1525ACE4">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1124" w:type="pct"/>
            <w:vAlign w:val="center"/>
          </w:tcPr>
          <w:p w14:paraId="6421B2CC">
            <w:pPr>
              <w:jc w:val="center"/>
              <w:rPr>
                <w:rFonts w:hint="eastAsia" w:ascii="宋体" w:hAnsi="宋体" w:eastAsia="宋体" w:cs="宋体"/>
                <w:sz w:val="24"/>
                <w:highlight w:val="none"/>
              </w:rPr>
            </w:pPr>
            <w:r>
              <w:rPr>
                <w:rFonts w:hint="eastAsia" w:ascii="宋体" w:hAnsi="宋体" w:eastAsia="宋体" w:cs="宋体"/>
                <w:sz w:val="24"/>
                <w:highlight w:val="none"/>
              </w:rPr>
              <w:t>供货及安装地点</w:t>
            </w:r>
          </w:p>
        </w:tc>
        <w:tc>
          <w:tcPr>
            <w:tcW w:w="1465" w:type="pct"/>
            <w:vAlign w:val="center"/>
          </w:tcPr>
          <w:p w14:paraId="15D5D0A1">
            <w:pPr>
              <w:jc w:val="center"/>
              <w:rPr>
                <w:rFonts w:hint="eastAsia" w:ascii="宋体" w:hAnsi="宋体" w:eastAsia="宋体" w:cs="宋体"/>
                <w:sz w:val="24"/>
                <w:highlight w:val="none"/>
              </w:rPr>
            </w:pPr>
          </w:p>
        </w:tc>
        <w:tc>
          <w:tcPr>
            <w:tcW w:w="1511" w:type="pct"/>
            <w:vAlign w:val="center"/>
          </w:tcPr>
          <w:p w14:paraId="5FB9E13B">
            <w:pPr>
              <w:jc w:val="center"/>
              <w:rPr>
                <w:rFonts w:hint="eastAsia" w:ascii="宋体" w:hAnsi="宋体" w:eastAsia="宋体" w:cs="宋体"/>
                <w:sz w:val="24"/>
                <w:highlight w:val="none"/>
              </w:rPr>
            </w:pPr>
          </w:p>
        </w:tc>
        <w:tc>
          <w:tcPr>
            <w:tcW w:w="475" w:type="pct"/>
            <w:vAlign w:val="center"/>
          </w:tcPr>
          <w:p w14:paraId="5C31D5E6">
            <w:pPr>
              <w:jc w:val="center"/>
              <w:rPr>
                <w:rFonts w:hint="eastAsia" w:ascii="宋体" w:hAnsi="宋体" w:eastAsia="宋体" w:cs="宋体"/>
                <w:sz w:val="24"/>
                <w:highlight w:val="none"/>
              </w:rPr>
            </w:pPr>
          </w:p>
        </w:tc>
      </w:tr>
      <w:tr w14:paraId="0B89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3C1CEE7E">
            <w:pPr>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1124" w:type="pct"/>
            <w:vAlign w:val="center"/>
          </w:tcPr>
          <w:p w14:paraId="0B3E05F7">
            <w:pPr>
              <w:jc w:val="center"/>
              <w:rPr>
                <w:rFonts w:hint="eastAsia" w:ascii="宋体" w:hAnsi="宋体" w:eastAsia="宋体" w:cs="宋体"/>
                <w:sz w:val="24"/>
                <w:highlight w:val="none"/>
              </w:rPr>
            </w:pPr>
            <w:r>
              <w:rPr>
                <w:rFonts w:hint="eastAsia" w:ascii="宋体" w:hAnsi="宋体" w:eastAsia="宋体" w:cs="宋体"/>
                <w:sz w:val="24"/>
                <w:highlight w:val="none"/>
              </w:rPr>
              <w:t>供货及安装期限</w:t>
            </w:r>
          </w:p>
        </w:tc>
        <w:tc>
          <w:tcPr>
            <w:tcW w:w="1465" w:type="pct"/>
            <w:vAlign w:val="center"/>
          </w:tcPr>
          <w:p w14:paraId="0F21D43C">
            <w:pPr>
              <w:jc w:val="center"/>
              <w:rPr>
                <w:rFonts w:hint="eastAsia" w:ascii="宋体" w:hAnsi="宋体" w:eastAsia="宋体" w:cs="宋体"/>
                <w:sz w:val="24"/>
                <w:highlight w:val="none"/>
              </w:rPr>
            </w:pPr>
          </w:p>
        </w:tc>
        <w:tc>
          <w:tcPr>
            <w:tcW w:w="1511" w:type="pct"/>
            <w:vAlign w:val="center"/>
          </w:tcPr>
          <w:p w14:paraId="608AACA2">
            <w:pPr>
              <w:pStyle w:val="38"/>
              <w:jc w:val="center"/>
              <w:rPr>
                <w:rFonts w:hint="eastAsia" w:ascii="宋体" w:hAnsi="宋体" w:eastAsia="宋体" w:cs="宋体"/>
                <w:highlight w:val="none"/>
              </w:rPr>
            </w:pPr>
          </w:p>
        </w:tc>
        <w:tc>
          <w:tcPr>
            <w:tcW w:w="475" w:type="pct"/>
            <w:vAlign w:val="center"/>
          </w:tcPr>
          <w:p w14:paraId="3007962A">
            <w:pPr>
              <w:jc w:val="center"/>
              <w:rPr>
                <w:rFonts w:hint="eastAsia" w:ascii="宋体" w:hAnsi="宋体" w:eastAsia="宋体" w:cs="宋体"/>
                <w:sz w:val="24"/>
                <w:highlight w:val="none"/>
              </w:rPr>
            </w:pPr>
          </w:p>
        </w:tc>
      </w:tr>
      <w:tr w14:paraId="3887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58EE97F3">
            <w:pPr>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1124" w:type="pct"/>
            <w:vAlign w:val="center"/>
          </w:tcPr>
          <w:p w14:paraId="2204EE8B">
            <w:pPr>
              <w:jc w:val="center"/>
              <w:rPr>
                <w:rFonts w:hint="eastAsia" w:ascii="宋体" w:hAnsi="宋体" w:eastAsia="宋体" w:cs="宋体"/>
                <w:sz w:val="24"/>
                <w:highlight w:val="none"/>
              </w:rPr>
            </w:pPr>
            <w:r>
              <w:rPr>
                <w:rFonts w:hint="eastAsia" w:ascii="宋体" w:hAnsi="宋体" w:eastAsia="宋体" w:cs="宋体"/>
                <w:sz w:val="24"/>
                <w:highlight w:val="none"/>
              </w:rPr>
              <w:t>免费质保期</w:t>
            </w:r>
          </w:p>
        </w:tc>
        <w:tc>
          <w:tcPr>
            <w:tcW w:w="1465" w:type="pct"/>
            <w:vAlign w:val="center"/>
          </w:tcPr>
          <w:p w14:paraId="1E1A1C1F">
            <w:pPr>
              <w:jc w:val="center"/>
              <w:rPr>
                <w:rFonts w:hint="eastAsia" w:ascii="宋体" w:hAnsi="宋体" w:eastAsia="宋体" w:cs="宋体"/>
                <w:sz w:val="24"/>
                <w:highlight w:val="none"/>
              </w:rPr>
            </w:pPr>
          </w:p>
        </w:tc>
        <w:tc>
          <w:tcPr>
            <w:tcW w:w="1511" w:type="pct"/>
            <w:vAlign w:val="center"/>
          </w:tcPr>
          <w:p w14:paraId="049AEF73">
            <w:pPr>
              <w:jc w:val="center"/>
              <w:rPr>
                <w:rFonts w:hint="eastAsia" w:ascii="宋体" w:hAnsi="宋体" w:eastAsia="宋体" w:cs="宋体"/>
                <w:sz w:val="24"/>
                <w:highlight w:val="none"/>
              </w:rPr>
            </w:pPr>
          </w:p>
        </w:tc>
        <w:tc>
          <w:tcPr>
            <w:tcW w:w="475" w:type="pct"/>
            <w:vAlign w:val="center"/>
          </w:tcPr>
          <w:p w14:paraId="002998C6">
            <w:pPr>
              <w:jc w:val="center"/>
              <w:rPr>
                <w:rFonts w:hint="eastAsia" w:ascii="宋体" w:hAnsi="宋体" w:eastAsia="宋体" w:cs="宋体"/>
                <w:sz w:val="24"/>
                <w:highlight w:val="none"/>
              </w:rPr>
            </w:pPr>
          </w:p>
        </w:tc>
      </w:tr>
      <w:tr w14:paraId="6BDC9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425" w:type="pct"/>
            <w:vAlign w:val="center"/>
          </w:tcPr>
          <w:p w14:paraId="548BA11F">
            <w:pPr>
              <w:jc w:val="center"/>
              <w:rPr>
                <w:rFonts w:hint="eastAsia" w:ascii="宋体" w:hAnsi="宋体" w:eastAsia="宋体" w:cs="宋体"/>
                <w:sz w:val="24"/>
                <w:highlight w:val="none"/>
              </w:rPr>
            </w:pPr>
            <w:r>
              <w:rPr>
                <w:rFonts w:hint="eastAsia" w:ascii="宋体" w:hAnsi="宋体" w:eastAsia="宋体" w:cs="宋体"/>
                <w:sz w:val="24"/>
                <w:highlight w:val="none"/>
              </w:rPr>
              <w:t>…</w:t>
            </w:r>
          </w:p>
        </w:tc>
        <w:tc>
          <w:tcPr>
            <w:tcW w:w="1124" w:type="pct"/>
            <w:vAlign w:val="center"/>
          </w:tcPr>
          <w:p w14:paraId="3526CCC7">
            <w:pPr>
              <w:jc w:val="center"/>
              <w:rPr>
                <w:rFonts w:hint="eastAsia" w:ascii="宋体" w:hAnsi="宋体" w:eastAsia="宋体" w:cs="宋体"/>
                <w:sz w:val="24"/>
                <w:highlight w:val="none"/>
              </w:rPr>
            </w:pPr>
          </w:p>
        </w:tc>
        <w:tc>
          <w:tcPr>
            <w:tcW w:w="1465" w:type="pct"/>
            <w:vAlign w:val="center"/>
          </w:tcPr>
          <w:p w14:paraId="62775DF7">
            <w:pPr>
              <w:jc w:val="center"/>
              <w:rPr>
                <w:rFonts w:hint="eastAsia" w:ascii="宋体" w:hAnsi="宋体" w:eastAsia="宋体" w:cs="宋体"/>
                <w:sz w:val="24"/>
                <w:highlight w:val="none"/>
              </w:rPr>
            </w:pPr>
          </w:p>
        </w:tc>
        <w:tc>
          <w:tcPr>
            <w:tcW w:w="1511" w:type="pct"/>
            <w:vAlign w:val="center"/>
          </w:tcPr>
          <w:p w14:paraId="5AA73A17">
            <w:pPr>
              <w:jc w:val="center"/>
              <w:rPr>
                <w:rFonts w:hint="eastAsia" w:ascii="宋体" w:hAnsi="宋体" w:eastAsia="宋体" w:cs="宋体"/>
                <w:sz w:val="24"/>
                <w:highlight w:val="none"/>
              </w:rPr>
            </w:pPr>
          </w:p>
        </w:tc>
        <w:tc>
          <w:tcPr>
            <w:tcW w:w="475" w:type="pct"/>
            <w:vAlign w:val="center"/>
          </w:tcPr>
          <w:p w14:paraId="138BFD41">
            <w:pPr>
              <w:jc w:val="center"/>
              <w:rPr>
                <w:rFonts w:hint="eastAsia" w:ascii="宋体" w:hAnsi="宋体" w:eastAsia="宋体" w:cs="宋体"/>
                <w:sz w:val="24"/>
                <w:highlight w:val="none"/>
              </w:rPr>
            </w:pPr>
          </w:p>
        </w:tc>
      </w:tr>
    </w:tbl>
    <w:p w14:paraId="6803A25D">
      <w:pPr>
        <w:spacing w:line="360" w:lineRule="auto"/>
        <w:ind w:firstLine="435"/>
        <w:outlineLvl w:val="2"/>
        <w:rPr>
          <w:rFonts w:hint="eastAsia" w:ascii="宋体" w:hAnsi="宋体" w:eastAsia="宋体" w:cs="宋体"/>
          <w:b/>
          <w:sz w:val="24"/>
          <w:highlight w:val="none"/>
        </w:rPr>
      </w:pPr>
      <w:r>
        <w:rPr>
          <w:rFonts w:hint="eastAsia" w:ascii="宋体" w:hAnsi="宋体" w:eastAsia="宋体" w:cs="宋体"/>
          <w:b/>
          <w:sz w:val="24"/>
          <w:highlight w:val="none"/>
        </w:rPr>
        <w:t>6.2技术响应表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1823"/>
        <w:gridCol w:w="3348"/>
        <w:gridCol w:w="2902"/>
        <w:gridCol w:w="1000"/>
      </w:tblGrid>
      <w:tr w14:paraId="3DF4B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1752B9E9">
            <w:pPr>
              <w:pStyle w:val="10"/>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915" w:type="pct"/>
            <w:vAlign w:val="center"/>
          </w:tcPr>
          <w:p w14:paraId="770F9959">
            <w:pPr>
              <w:pStyle w:val="10"/>
              <w:jc w:val="center"/>
              <w:rPr>
                <w:rFonts w:hint="eastAsia" w:ascii="宋体" w:hAnsi="宋体" w:eastAsia="宋体" w:cs="宋体"/>
                <w:b/>
                <w:sz w:val="24"/>
                <w:highlight w:val="none"/>
              </w:rPr>
            </w:pPr>
            <w:r>
              <w:rPr>
                <w:rFonts w:hint="eastAsia" w:ascii="宋体" w:hAnsi="宋体" w:eastAsia="宋体" w:cs="宋体"/>
                <w:b/>
                <w:bCs/>
                <w:sz w:val="24"/>
                <w:szCs w:val="24"/>
                <w:highlight w:val="none"/>
              </w:rPr>
              <w:t>货物名称</w:t>
            </w:r>
          </w:p>
        </w:tc>
        <w:tc>
          <w:tcPr>
            <w:tcW w:w="1680" w:type="pct"/>
            <w:vAlign w:val="center"/>
          </w:tcPr>
          <w:p w14:paraId="1B971984">
            <w:pPr>
              <w:pStyle w:val="10"/>
              <w:jc w:val="center"/>
              <w:rPr>
                <w:rFonts w:hint="eastAsia" w:ascii="宋体" w:hAnsi="宋体" w:eastAsia="宋体" w:cs="宋体"/>
                <w:b/>
                <w:sz w:val="24"/>
                <w:highlight w:val="none"/>
              </w:rPr>
            </w:pPr>
            <w:r>
              <w:rPr>
                <w:rFonts w:hint="eastAsia" w:ascii="宋体" w:hAnsi="宋体" w:eastAsia="宋体" w:cs="宋体"/>
                <w:b/>
                <w:sz w:val="24"/>
                <w:highlight w:val="none"/>
              </w:rPr>
              <w:t>招标文件规定的技术参数及要求</w:t>
            </w:r>
          </w:p>
        </w:tc>
        <w:tc>
          <w:tcPr>
            <w:tcW w:w="1456" w:type="pct"/>
            <w:vAlign w:val="center"/>
          </w:tcPr>
          <w:p w14:paraId="4A10FE42">
            <w:pPr>
              <w:pStyle w:val="10"/>
              <w:jc w:val="center"/>
              <w:rPr>
                <w:rFonts w:hint="eastAsia" w:ascii="宋体" w:hAnsi="宋体" w:eastAsia="宋体" w:cs="宋体"/>
                <w:b/>
                <w:sz w:val="24"/>
                <w:highlight w:val="none"/>
              </w:rPr>
            </w:pPr>
            <w:r>
              <w:rPr>
                <w:rFonts w:hint="eastAsia" w:ascii="宋体" w:hAnsi="宋体" w:eastAsia="宋体" w:cs="宋体"/>
                <w:b/>
                <w:sz w:val="24"/>
                <w:highlight w:val="none"/>
              </w:rPr>
              <w:t>所投产品的品牌、型号及技术参数</w:t>
            </w:r>
          </w:p>
        </w:tc>
        <w:tc>
          <w:tcPr>
            <w:tcW w:w="502" w:type="pct"/>
            <w:vAlign w:val="center"/>
          </w:tcPr>
          <w:p w14:paraId="2531BD7F">
            <w:pPr>
              <w:pStyle w:val="10"/>
              <w:jc w:val="center"/>
              <w:rPr>
                <w:rFonts w:hint="eastAsia" w:ascii="宋体" w:hAnsi="宋体" w:eastAsia="宋体" w:cs="宋体"/>
                <w:b/>
                <w:sz w:val="24"/>
                <w:highlight w:val="none"/>
              </w:rPr>
            </w:pPr>
            <w:r>
              <w:rPr>
                <w:rFonts w:hint="eastAsia" w:ascii="宋体" w:hAnsi="宋体" w:eastAsia="宋体" w:cs="宋体"/>
                <w:b/>
                <w:sz w:val="24"/>
                <w:highlight w:val="none"/>
              </w:rPr>
              <w:t>偏离说明</w:t>
            </w:r>
          </w:p>
        </w:tc>
      </w:tr>
      <w:tr w14:paraId="12B33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42DCE94">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915" w:type="pct"/>
            <w:vAlign w:val="center"/>
          </w:tcPr>
          <w:p w14:paraId="0249EBAA">
            <w:pPr>
              <w:jc w:val="center"/>
              <w:rPr>
                <w:rFonts w:hint="eastAsia" w:ascii="宋体" w:hAnsi="宋体" w:eastAsia="宋体" w:cs="宋体"/>
                <w:sz w:val="24"/>
                <w:highlight w:val="none"/>
              </w:rPr>
            </w:pPr>
          </w:p>
        </w:tc>
        <w:tc>
          <w:tcPr>
            <w:tcW w:w="1680" w:type="pct"/>
            <w:vAlign w:val="center"/>
          </w:tcPr>
          <w:p w14:paraId="0C56867C">
            <w:pPr>
              <w:jc w:val="center"/>
              <w:rPr>
                <w:rFonts w:hint="eastAsia" w:ascii="宋体" w:hAnsi="宋体" w:eastAsia="宋体" w:cs="宋体"/>
                <w:sz w:val="24"/>
                <w:highlight w:val="none"/>
              </w:rPr>
            </w:pPr>
          </w:p>
        </w:tc>
        <w:tc>
          <w:tcPr>
            <w:tcW w:w="1456" w:type="pct"/>
            <w:vAlign w:val="center"/>
          </w:tcPr>
          <w:p w14:paraId="37710C2A">
            <w:pPr>
              <w:jc w:val="center"/>
              <w:rPr>
                <w:rFonts w:hint="eastAsia" w:ascii="宋体" w:hAnsi="宋体" w:eastAsia="宋体" w:cs="宋体"/>
                <w:sz w:val="24"/>
                <w:highlight w:val="none"/>
              </w:rPr>
            </w:pPr>
          </w:p>
        </w:tc>
        <w:tc>
          <w:tcPr>
            <w:tcW w:w="502" w:type="pct"/>
            <w:vAlign w:val="center"/>
          </w:tcPr>
          <w:p w14:paraId="5346FCD8">
            <w:pPr>
              <w:jc w:val="center"/>
              <w:rPr>
                <w:rFonts w:hint="eastAsia" w:ascii="宋体" w:hAnsi="宋体" w:eastAsia="宋体" w:cs="宋体"/>
                <w:sz w:val="24"/>
                <w:highlight w:val="none"/>
              </w:rPr>
            </w:pPr>
          </w:p>
        </w:tc>
      </w:tr>
      <w:tr w14:paraId="41AE7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F681A98">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915" w:type="pct"/>
            <w:vAlign w:val="center"/>
          </w:tcPr>
          <w:p w14:paraId="229CA6EC">
            <w:pPr>
              <w:jc w:val="center"/>
              <w:rPr>
                <w:rFonts w:hint="eastAsia" w:ascii="宋体" w:hAnsi="宋体" w:eastAsia="宋体" w:cs="宋体"/>
                <w:sz w:val="24"/>
                <w:highlight w:val="none"/>
              </w:rPr>
            </w:pPr>
          </w:p>
        </w:tc>
        <w:tc>
          <w:tcPr>
            <w:tcW w:w="1680" w:type="pct"/>
            <w:vAlign w:val="center"/>
          </w:tcPr>
          <w:p w14:paraId="6EFFC38C">
            <w:pPr>
              <w:jc w:val="center"/>
              <w:rPr>
                <w:rFonts w:hint="eastAsia" w:ascii="宋体" w:hAnsi="宋体" w:eastAsia="宋体" w:cs="宋体"/>
                <w:sz w:val="24"/>
                <w:highlight w:val="none"/>
              </w:rPr>
            </w:pPr>
          </w:p>
        </w:tc>
        <w:tc>
          <w:tcPr>
            <w:tcW w:w="1456" w:type="pct"/>
            <w:vAlign w:val="center"/>
          </w:tcPr>
          <w:p w14:paraId="5904E151">
            <w:pPr>
              <w:jc w:val="center"/>
              <w:rPr>
                <w:rFonts w:hint="eastAsia" w:ascii="宋体" w:hAnsi="宋体" w:eastAsia="宋体" w:cs="宋体"/>
                <w:sz w:val="24"/>
                <w:highlight w:val="none"/>
              </w:rPr>
            </w:pPr>
          </w:p>
        </w:tc>
        <w:tc>
          <w:tcPr>
            <w:tcW w:w="502" w:type="pct"/>
            <w:vAlign w:val="center"/>
          </w:tcPr>
          <w:p w14:paraId="4C3286FF">
            <w:pPr>
              <w:jc w:val="center"/>
              <w:rPr>
                <w:rFonts w:hint="eastAsia" w:ascii="宋体" w:hAnsi="宋体" w:eastAsia="宋体" w:cs="宋体"/>
                <w:sz w:val="24"/>
                <w:highlight w:val="none"/>
              </w:rPr>
            </w:pPr>
          </w:p>
        </w:tc>
      </w:tr>
      <w:tr w14:paraId="0B639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A6BD5BB">
            <w:pPr>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915" w:type="pct"/>
            <w:vAlign w:val="center"/>
          </w:tcPr>
          <w:p w14:paraId="732F0B96">
            <w:pPr>
              <w:jc w:val="center"/>
              <w:rPr>
                <w:rFonts w:hint="eastAsia" w:ascii="宋体" w:hAnsi="宋体" w:eastAsia="宋体" w:cs="宋体"/>
                <w:sz w:val="24"/>
                <w:highlight w:val="none"/>
              </w:rPr>
            </w:pPr>
          </w:p>
        </w:tc>
        <w:tc>
          <w:tcPr>
            <w:tcW w:w="1680" w:type="pct"/>
            <w:vAlign w:val="center"/>
          </w:tcPr>
          <w:p w14:paraId="6ECCC65C">
            <w:pPr>
              <w:jc w:val="center"/>
              <w:rPr>
                <w:rFonts w:hint="eastAsia" w:ascii="宋体" w:hAnsi="宋体" w:eastAsia="宋体" w:cs="宋体"/>
                <w:sz w:val="24"/>
                <w:highlight w:val="none"/>
              </w:rPr>
            </w:pPr>
          </w:p>
        </w:tc>
        <w:tc>
          <w:tcPr>
            <w:tcW w:w="1456" w:type="pct"/>
            <w:vAlign w:val="center"/>
          </w:tcPr>
          <w:p w14:paraId="0663A8E7">
            <w:pPr>
              <w:pStyle w:val="38"/>
              <w:jc w:val="center"/>
              <w:rPr>
                <w:rFonts w:hint="eastAsia" w:ascii="宋体" w:hAnsi="宋体" w:eastAsia="宋体" w:cs="宋体"/>
                <w:highlight w:val="none"/>
              </w:rPr>
            </w:pPr>
          </w:p>
        </w:tc>
        <w:tc>
          <w:tcPr>
            <w:tcW w:w="502" w:type="pct"/>
            <w:vAlign w:val="center"/>
          </w:tcPr>
          <w:p w14:paraId="79C5E009">
            <w:pPr>
              <w:jc w:val="center"/>
              <w:rPr>
                <w:rFonts w:hint="eastAsia" w:ascii="宋体" w:hAnsi="宋体" w:eastAsia="宋体" w:cs="宋体"/>
                <w:sz w:val="24"/>
                <w:highlight w:val="none"/>
              </w:rPr>
            </w:pPr>
          </w:p>
        </w:tc>
      </w:tr>
      <w:tr w14:paraId="723A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B4C6F95">
            <w:pPr>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915" w:type="pct"/>
            <w:vAlign w:val="center"/>
          </w:tcPr>
          <w:p w14:paraId="335A5EAB">
            <w:pPr>
              <w:jc w:val="center"/>
              <w:rPr>
                <w:rFonts w:hint="eastAsia" w:ascii="宋体" w:hAnsi="宋体" w:eastAsia="宋体" w:cs="宋体"/>
                <w:sz w:val="24"/>
                <w:highlight w:val="none"/>
              </w:rPr>
            </w:pPr>
          </w:p>
        </w:tc>
        <w:tc>
          <w:tcPr>
            <w:tcW w:w="1680" w:type="pct"/>
            <w:vAlign w:val="center"/>
          </w:tcPr>
          <w:p w14:paraId="161AF12E">
            <w:pPr>
              <w:jc w:val="center"/>
              <w:rPr>
                <w:rFonts w:hint="eastAsia" w:ascii="宋体" w:hAnsi="宋体" w:eastAsia="宋体" w:cs="宋体"/>
                <w:sz w:val="24"/>
                <w:highlight w:val="none"/>
              </w:rPr>
            </w:pPr>
          </w:p>
        </w:tc>
        <w:tc>
          <w:tcPr>
            <w:tcW w:w="1456" w:type="pct"/>
            <w:vAlign w:val="center"/>
          </w:tcPr>
          <w:p w14:paraId="4D7618CF">
            <w:pPr>
              <w:pStyle w:val="38"/>
              <w:jc w:val="center"/>
              <w:rPr>
                <w:rFonts w:hint="eastAsia" w:ascii="宋体" w:hAnsi="宋体" w:eastAsia="宋体" w:cs="宋体"/>
                <w:highlight w:val="none"/>
              </w:rPr>
            </w:pPr>
          </w:p>
        </w:tc>
        <w:tc>
          <w:tcPr>
            <w:tcW w:w="502" w:type="pct"/>
            <w:vAlign w:val="center"/>
          </w:tcPr>
          <w:p w14:paraId="2BD023C6">
            <w:pPr>
              <w:jc w:val="center"/>
              <w:rPr>
                <w:rFonts w:hint="eastAsia" w:ascii="宋体" w:hAnsi="宋体" w:eastAsia="宋体" w:cs="宋体"/>
                <w:sz w:val="24"/>
                <w:highlight w:val="none"/>
              </w:rPr>
            </w:pPr>
          </w:p>
        </w:tc>
      </w:tr>
      <w:tr w14:paraId="7A7EE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FF1864B">
            <w:pPr>
              <w:jc w:val="center"/>
              <w:rPr>
                <w:rFonts w:hint="eastAsia" w:ascii="宋体" w:hAnsi="宋体" w:eastAsia="宋体" w:cs="宋体"/>
                <w:sz w:val="24"/>
                <w:highlight w:val="none"/>
              </w:rPr>
            </w:pPr>
            <w:r>
              <w:rPr>
                <w:rFonts w:hint="eastAsia" w:ascii="宋体" w:hAnsi="宋体" w:eastAsia="宋体" w:cs="宋体"/>
                <w:sz w:val="24"/>
                <w:highlight w:val="none"/>
              </w:rPr>
              <w:t>…</w:t>
            </w:r>
          </w:p>
        </w:tc>
        <w:tc>
          <w:tcPr>
            <w:tcW w:w="915" w:type="pct"/>
            <w:vAlign w:val="center"/>
          </w:tcPr>
          <w:p w14:paraId="18D7245A">
            <w:pPr>
              <w:jc w:val="center"/>
              <w:rPr>
                <w:rFonts w:hint="eastAsia" w:ascii="宋体" w:hAnsi="宋体" w:eastAsia="宋体" w:cs="宋体"/>
                <w:sz w:val="24"/>
                <w:highlight w:val="none"/>
              </w:rPr>
            </w:pPr>
          </w:p>
        </w:tc>
        <w:tc>
          <w:tcPr>
            <w:tcW w:w="1680" w:type="pct"/>
            <w:vAlign w:val="center"/>
          </w:tcPr>
          <w:p w14:paraId="6B7D0135">
            <w:pPr>
              <w:jc w:val="center"/>
              <w:rPr>
                <w:rFonts w:hint="eastAsia" w:ascii="宋体" w:hAnsi="宋体" w:eastAsia="宋体" w:cs="宋体"/>
                <w:sz w:val="24"/>
                <w:highlight w:val="none"/>
              </w:rPr>
            </w:pPr>
          </w:p>
        </w:tc>
        <w:tc>
          <w:tcPr>
            <w:tcW w:w="1456" w:type="pct"/>
            <w:vAlign w:val="center"/>
          </w:tcPr>
          <w:p w14:paraId="6AD93291">
            <w:pPr>
              <w:jc w:val="center"/>
              <w:rPr>
                <w:rFonts w:hint="eastAsia" w:ascii="宋体" w:hAnsi="宋体" w:eastAsia="宋体" w:cs="宋体"/>
                <w:sz w:val="24"/>
                <w:highlight w:val="none"/>
              </w:rPr>
            </w:pPr>
          </w:p>
        </w:tc>
        <w:tc>
          <w:tcPr>
            <w:tcW w:w="502" w:type="pct"/>
            <w:vAlign w:val="center"/>
          </w:tcPr>
          <w:p w14:paraId="7D93CB39">
            <w:pPr>
              <w:jc w:val="center"/>
              <w:rPr>
                <w:rFonts w:hint="eastAsia" w:ascii="宋体" w:hAnsi="宋体" w:eastAsia="宋体" w:cs="宋体"/>
                <w:sz w:val="24"/>
                <w:highlight w:val="none"/>
              </w:rPr>
            </w:pPr>
          </w:p>
        </w:tc>
      </w:tr>
    </w:tbl>
    <w:p w14:paraId="79D10951">
      <w:pPr>
        <w:spacing w:line="360" w:lineRule="auto"/>
        <w:ind w:firstLine="5520" w:firstLineChars="2300"/>
        <w:rPr>
          <w:rFonts w:hint="eastAsia" w:ascii="宋体" w:hAnsi="宋体" w:eastAsia="宋体" w:cs="宋体"/>
          <w:bCs/>
          <w:sz w:val="24"/>
          <w:highlight w:val="none"/>
        </w:rPr>
      </w:pPr>
    </w:p>
    <w:p w14:paraId="025F1FBD">
      <w:pPr>
        <w:spacing w:line="360" w:lineRule="auto"/>
        <w:ind w:firstLine="5520" w:firstLineChars="2300"/>
        <w:rPr>
          <w:rFonts w:hint="eastAsia" w:ascii="宋体" w:hAnsi="宋体" w:eastAsia="宋体" w:cs="宋体"/>
          <w:bCs/>
          <w:sz w:val="24"/>
          <w:highlight w:val="none"/>
          <w:u w:val="single"/>
        </w:rPr>
      </w:pPr>
      <w:r>
        <w:rPr>
          <w:rFonts w:hint="eastAsia" w:ascii="宋体" w:hAnsi="宋体" w:eastAsia="宋体" w:cs="宋体"/>
          <w:bCs/>
          <w:sz w:val="24"/>
          <w:highlight w:val="none"/>
        </w:rPr>
        <w:t>投标人：</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eastAsia="zh-CN"/>
        </w:rPr>
        <w:t>（</w:t>
      </w:r>
      <w:r>
        <w:rPr>
          <w:rFonts w:hint="eastAsia" w:ascii="宋体" w:hAnsi="宋体" w:eastAsia="宋体" w:cs="宋体"/>
          <w:bCs/>
          <w:sz w:val="24"/>
          <w:highlight w:val="none"/>
          <w:u w:val="single"/>
          <w:lang w:val="en-US" w:eastAsia="zh-CN"/>
        </w:rPr>
        <w:t>盖章）</w:t>
      </w:r>
      <w:r>
        <w:rPr>
          <w:rFonts w:hint="eastAsia" w:ascii="宋体" w:hAnsi="宋体" w:eastAsia="宋体" w:cs="宋体"/>
          <w:bCs/>
          <w:sz w:val="24"/>
          <w:highlight w:val="none"/>
          <w:u w:val="single"/>
        </w:rPr>
        <w:t xml:space="preserve">        </w:t>
      </w:r>
    </w:p>
    <w:p w14:paraId="4FCCFE23">
      <w:pPr>
        <w:spacing w:line="360" w:lineRule="auto"/>
        <w:ind w:firstLine="5520" w:firstLineChars="2300"/>
        <w:rPr>
          <w:rFonts w:hint="eastAsia" w:ascii="宋体" w:hAnsi="宋体" w:eastAsia="宋体" w:cs="宋体"/>
          <w:bCs/>
          <w:sz w:val="24"/>
          <w:highlight w:val="none"/>
        </w:rPr>
      </w:pPr>
      <w:r>
        <w:rPr>
          <w:rFonts w:hint="eastAsia" w:ascii="宋体" w:hAnsi="宋体" w:eastAsia="宋体" w:cs="宋体"/>
          <w:bCs/>
          <w:sz w:val="24"/>
          <w:highlight w:val="none"/>
        </w:rPr>
        <w:t>日  期：</w:t>
      </w:r>
      <w:r>
        <w:rPr>
          <w:rFonts w:hint="eastAsia" w:ascii="宋体" w:hAnsi="宋体" w:eastAsia="宋体" w:cs="宋体"/>
          <w:bCs/>
          <w:sz w:val="24"/>
          <w:highlight w:val="none"/>
          <w:u w:val="single"/>
        </w:rPr>
        <w:t xml:space="preserve">             </w:t>
      </w:r>
    </w:p>
    <w:p w14:paraId="2FCC9EBD">
      <w:pPr>
        <w:pStyle w:val="11"/>
        <w:spacing w:line="360" w:lineRule="auto"/>
        <w:rPr>
          <w:rFonts w:hint="eastAsia" w:ascii="宋体" w:hAnsi="宋体" w:eastAsia="宋体" w:cs="宋体"/>
          <w:sz w:val="24"/>
          <w:highlight w:val="none"/>
        </w:rPr>
      </w:pPr>
      <w:r>
        <w:rPr>
          <w:rFonts w:hint="eastAsia" w:ascii="宋体" w:hAnsi="宋体" w:eastAsia="宋体" w:cs="宋体"/>
          <w:b w:val="0"/>
          <w:sz w:val="24"/>
          <w:highlight w:val="none"/>
        </w:rPr>
        <w:br w:type="page"/>
      </w:r>
    </w:p>
    <w:p w14:paraId="36DB4512">
      <w:pPr>
        <w:pStyle w:val="8"/>
        <w:rPr>
          <w:rFonts w:hint="eastAsia" w:ascii="宋体" w:hAnsi="宋体" w:eastAsia="宋体" w:cs="宋体"/>
          <w:sz w:val="24"/>
          <w:highlight w:val="none"/>
        </w:rPr>
      </w:pPr>
    </w:p>
    <w:p w14:paraId="77A2C059">
      <w:pPr>
        <w:spacing w:line="360" w:lineRule="auto"/>
        <w:jc w:val="center"/>
        <w:outlineLvl w:val="1"/>
        <w:rPr>
          <w:rFonts w:hint="eastAsia" w:ascii="宋体" w:hAnsi="宋体" w:eastAsia="宋体" w:cs="宋体"/>
          <w:b/>
          <w:sz w:val="24"/>
          <w:highlight w:val="none"/>
        </w:rPr>
      </w:pPr>
      <w:r>
        <w:rPr>
          <w:rFonts w:hint="eastAsia" w:ascii="宋体" w:hAnsi="宋体" w:eastAsia="宋体" w:cs="宋体"/>
          <w:b/>
          <w:sz w:val="24"/>
          <w:highlight w:val="none"/>
          <w:lang w:val="en-US" w:eastAsia="zh-CN"/>
        </w:rPr>
        <w:t>七</w:t>
      </w:r>
      <w:r>
        <w:rPr>
          <w:rFonts w:hint="eastAsia" w:ascii="宋体" w:hAnsi="宋体" w:eastAsia="宋体" w:cs="宋体"/>
          <w:b/>
          <w:sz w:val="24"/>
          <w:highlight w:val="none"/>
        </w:rPr>
        <w:t>、投标业绩承诺函</w:t>
      </w:r>
    </w:p>
    <w:p w14:paraId="080F13E0">
      <w:pPr>
        <w:spacing w:line="360" w:lineRule="auto"/>
        <w:ind w:firstLine="435"/>
        <w:rPr>
          <w:rFonts w:hint="eastAsia" w:ascii="宋体" w:hAnsi="宋体" w:eastAsia="宋体" w:cs="宋体"/>
          <w:sz w:val="24"/>
          <w:highlight w:val="none"/>
        </w:rPr>
      </w:pPr>
    </w:p>
    <w:p w14:paraId="101C7944">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我单位同意中标结果公告中公示以下业绩并承诺：投标文件中所提供的业绩均真实有效，且不属于与关联公司（如母公司、控股公司、分公司、子公司、同一法定代表人的公司）之间的业绩，若被发现存在任何虚假、隐瞒情况，我单位承担由此产生的一切后果。</w:t>
      </w:r>
    </w:p>
    <w:p w14:paraId="6BA70D49">
      <w:pPr>
        <w:spacing w:line="360" w:lineRule="auto"/>
        <w:ind w:firstLine="435"/>
        <w:rPr>
          <w:rFonts w:hint="eastAsia" w:ascii="宋体" w:hAnsi="宋体" w:eastAsia="宋体" w:cs="宋体"/>
          <w:sz w:val="24"/>
          <w:highlight w:val="none"/>
        </w:rPr>
      </w:pPr>
    </w:p>
    <w:p w14:paraId="50CA354F">
      <w:pPr>
        <w:spacing w:line="360" w:lineRule="auto"/>
        <w:ind w:firstLine="5520" w:firstLineChars="2300"/>
        <w:rPr>
          <w:rFonts w:hint="eastAsia" w:ascii="宋体" w:hAnsi="宋体" w:eastAsia="宋体" w:cs="宋体"/>
          <w:bCs/>
          <w:sz w:val="24"/>
          <w:highlight w:val="none"/>
          <w:u w:val="single"/>
        </w:rPr>
      </w:pPr>
      <w:r>
        <w:rPr>
          <w:rFonts w:hint="eastAsia" w:ascii="宋体" w:hAnsi="宋体" w:eastAsia="宋体" w:cs="宋体"/>
          <w:bCs/>
          <w:sz w:val="24"/>
          <w:highlight w:val="none"/>
        </w:rPr>
        <w:t>投标人：</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eastAsia="zh-CN"/>
        </w:rPr>
        <w:t>（</w:t>
      </w:r>
      <w:r>
        <w:rPr>
          <w:rFonts w:hint="eastAsia" w:ascii="宋体" w:hAnsi="宋体" w:eastAsia="宋体" w:cs="宋体"/>
          <w:bCs/>
          <w:sz w:val="24"/>
          <w:highlight w:val="none"/>
          <w:u w:val="single"/>
          <w:lang w:val="en-US" w:eastAsia="zh-CN"/>
        </w:rPr>
        <w:t>盖章）</w:t>
      </w:r>
      <w:r>
        <w:rPr>
          <w:rFonts w:hint="eastAsia" w:ascii="宋体" w:hAnsi="宋体" w:eastAsia="宋体" w:cs="宋体"/>
          <w:bCs/>
          <w:sz w:val="24"/>
          <w:highlight w:val="none"/>
          <w:u w:val="single"/>
        </w:rPr>
        <w:t xml:space="preserve">        </w:t>
      </w:r>
    </w:p>
    <w:p w14:paraId="0C54518A">
      <w:pPr>
        <w:spacing w:line="360" w:lineRule="auto"/>
        <w:ind w:firstLine="5520" w:firstLineChars="2300"/>
        <w:rPr>
          <w:rFonts w:hint="eastAsia" w:ascii="宋体" w:hAnsi="宋体" w:eastAsia="宋体" w:cs="宋体"/>
          <w:bCs/>
          <w:sz w:val="24"/>
          <w:highlight w:val="none"/>
        </w:rPr>
      </w:pPr>
      <w:r>
        <w:rPr>
          <w:rFonts w:hint="eastAsia" w:ascii="宋体" w:hAnsi="宋体" w:eastAsia="宋体" w:cs="宋体"/>
          <w:bCs/>
          <w:sz w:val="24"/>
          <w:highlight w:val="none"/>
        </w:rPr>
        <w:t>日  期：</w:t>
      </w:r>
      <w:r>
        <w:rPr>
          <w:rFonts w:hint="eastAsia" w:ascii="宋体" w:hAnsi="宋体" w:eastAsia="宋体" w:cs="宋体"/>
          <w:bCs/>
          <w:sz w:val="24"/>
          <w:highlight w:val="none"/>
          <w:u w:val="single"/>
        </w:rPr>
        <w:t xml:space="preserve">             </w:t>
      </w:r>
    </w:p>
    <w:p w14:paraId="407EC3D9">
      <w:pPr>
        <w:tabs>
          <w:tab w:val="left" w:pos="630"/>
        </w:tabs>
        <w:spacing w:line="360" w:lineRule="auto"/>
        <w:ind w:firstLine="3700" w:firstLineChars="1762"/>
        <w:rPr>
          <w:rFonts w:hint="eastAsia" w:ascii="宋体" w:hAnsi="宋体" w:eastAsia="宋体" w:cs="宋体"/>
          <w:highlight w:val="none"/>
        </w:rPr>
      </w:pP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4800"/>
        <w:gridCol w:w="2955"/>
        <w:gridCol w:w="1108"/>
      </w:tblGrid>
      <w:tr w14:paraId="13FBE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2" w:type="pct"/>
            <w:vAlign w:val="center"/>
          </w:tcPr>
          <w:p w14:paraId="73FAAA5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409" w:type="pct"/>
            <w:vAlign w:val="center"/>
          </w:tcPr>
          <w:p w14:paraId="7FD8188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1483" w:type="pct"/>
            <w:vAlign w:val="center"/>
          </w:tcPr>
          <w:p w14:paraId="05F5498D">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供货范围</w:t>
            </w:r>
          </w:p>
        </w:tc>
        <w:tc>
          <w:tcPr>
            <w:tcW w:w="556" w:type="pct"/>
            <w:vAlign w:val="center"/>
          </w:tcPr>
          <w:p w14:paraId="12D6E78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09D9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6D86EF2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409" w:type="pct"/>
            <w:vAlign w:val="center"/>
          </w:tcPr>
          <w:p w14:paraId="622933AE">
            <w:pPr>
              <w:spacing w:line="360" w:lineRule="auto"/>
              <w:rPr>
                <w:rFonts w:hint="eastAsia" w:ascii="宋体" w:hAnsi="宋体" w:eastAsia="宋体" w:cs="宋体"/>
                <w:sz w:val="24"/>
                <w:szCs w:val="24"/>
                <w:highlight w:val="none"/>
              </w:rPr>
            </w:pPr>
          </w:p>
        </w:tc>
        <w:tc>
          <w:tcPr>
            <w:tcW w:w="1483" w:type="pct"/>
            <w:vAlign w:val="center"/>
          </w:tcPr>
          <w:p w14:paraId="74604FA8">
            <w:pPr>
              <w:spacing w:line="360" w:lineRule="auto"/>
              <w:rPr>
                <w:rFonts w:hint="eastAsia" w:ascii="宋体" w:hAnsi="宋体" w:eastAsia="宋体" w:cs="宋体"/>
                <w:sz w:val="24"/>
                <w:szCs w:val="24"/>
                <w:highlight w:val="none"/>
              </w:rPr>
            </w:pPr>
          </w:p>
        </w:tc>
        <w:tc>
          <w:tcPr>
            <w:tcW w:w="556" w:type="pct"/>
            <w:vAlign w:val="center"/>
          </w:tcPr>
          <w:p w14:paraId="6F37DFDC">
            <w:pPr>
              <w:spacing w:line="360" w:lineRule="auto"/>
              <w:rPr>
                <w:rFonts w:hint="eastAsia" w:ascii="宋体" w:hAnsi="宋体" w:eastAsia="宋体" w:cs="宋体"/>
                <w:sz w:val="24"/>
                <w:szCs w:val="24"/>
                <w:highlight w:val="none"/>
              </w:rPr>
            </w:pPr>
          </w:p>
        </w:tc>
      </w:tr>
      <w:tr w14:paraId="3142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405A8C0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409" w:type="pct"/>
            <w:vAlign w:val="center"/>
          </w:tcPr>
          <w:p w14:paraId="5E773AF2">
            <w:pPr>
              <w:spacing w:line="360" w:lineRule="auto"/>
              <w:rPr>
                <w:rFonts w:hint="eastAsia" w:ascii="宋体" w:hAnsi="宋体" w:eastAsia="宋体" w:cs="宋体"/>
                <w:sz w:val="24"/>
                <w:szCs w:val="24"/>
                <w:highlight w:val="none"/>
              </w:rPr>
            </w:pPr>
          </w:p>
        </w:tc>
        <w:tc>
          <w:tcPr>
            <w:tcW w:w="1483" w:type="pct"/>
            <w:vAlign w:val="center"/>
          </w:tcPr>
          <w:p w14:paraId="1384C4CD">
            <w:pPr>
              <w:spacing w:line="360" w:lineRule="auto"/>
              <w:rPr>
                <w:rFonts w:hint="eastAsia" w:ascii="宋体" w:hAnsi="宋体" w:eastAsia="宋体" w:cs="宋体"/>
                <w:sz w:val="24"/>
                <w:szCs w:val="24"/>
                <w:highlight w:val="none"/>
              </w:rPr>
            </w:pPr>
          </w:p>
        </w:tc>
        <w:tc>
          <w:tcPr>
            <w:tcW w:w="556" w:type="pct"/>
            <w:vAlign w:val="center"/>
          </w:tcPr>
          <w:p w14:paraId="5DE475CE">
            <w:pPr>
              <w:spacing w:line="360" w:lineRule="auto"/>
              <w:rPr>
                <w:rFonts w:hint="eastAsia" w:ascii="宋体" w:hAnsi="宋体" w:eastAsia="宋体" w:cs="宋体"/>
                <w:sz w:val="24"/>
                <w:szCs w:val="24"/>
                <w:highlight w:val="none"/>
              </w:rPr>
            </w:pPr>
          </w:p>
        </w:tc>
      </w:tr>
      <w:tr w14:paraId="005E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3807EA8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409" w:type="pct"/>
            <w:vAlign w:val="center"/>
          </w:tcPr>
          <w:p w14:paraId="3F658638">
            <w:pPr>
              <w:spacing w:line="360" w:lineRule="auto"/>
              <w:rPr>
                <w:rFonts w:hint="eastAsia" w:ascii="宋体" w:hAnsi="宋体" w:eastAsia="宋体" w:cs="宋体"/>
                <w:sz w:val="24"/>
                <w:szCs w:val="24"/>
                <w:highlight w:val="none"/>
              </w:rPr>
            </w:pPr>
          </w:p>
        </w:tc>
        <w:tc>
          <w:tcPr>
            <w:tcW w:w="1483" w:type="pct"/>
            <w:vAlign w:val="center"/>
          </w:tcPr>
          <w:p w14:paraId="625863A8">
            <w:pPr>
              <w:spacing w:line="360" w:lineRule="auto"/>
              <w:rPr>
                <w:rFonts w:hint="eastAsia" w:ascii="宋体" w:hAnsi="宋体" w:eastAsia="宋体" w:cs="宋体"/>
                <w:sz w:val="24"/>
                <w:szCs w:val="24"/>
                <w:highlight w:val="none"/>
              </w:rPr>
            </w:pPr>
          </w:p>
        </w:tc>
        <w:tc>
          <w:tcPr>
            <w:tcW w:w="556" w:type="pct"/>
            <w:vAlign w:val="center"/>
          </w:tcPr>
          <w:p w14:paraId="139BBBBF">
            <w:pPr>
              <w:spacing w:line="360" w:lineRule="auto"/>
              <w:rPr>
                <w:rFonts w:hint="eastAsia" w:ascii="宋体" w:hAnsi="宋体" w:eastAsia="宋体" w:cs="宋体"/>
                <w:sz w:val="24"/>
                <w:szCs w:val="24"/>
                <w:highlight w:val="none"/>
              </w:rPr>
            </w:pPr>
          </w:p>
        </w:tc>
      </w:tr>
      <w:tr w14:paraId="3EBD4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16E17F8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409" w:type="pct"/>
            <w:vAlign w:val="center"/>
          </w:tcPr>
          <w:p w14:paraId="78506A3D">
            <w:pPr>
              <w:spacing w:line="360" w:lineRule="auto"/>
              <w:rPr>
                <w:rFonts w:hint="eastAsia" w:ascii="宋体" w:hAnsi="宋体" w:eastAsia="宋体" w:cs="宋体"/>
                <w:sz w:val="24"/>
                <w:szCs w:val="24"/>
                <w:highlight w:val="none"/>
              </w:rPr>
            </w:pPr>
          </w:p>
        </w:tc>
        <w:tc>
          <w:tcPr>
            <w:tcW w:w="1483" w:type="pct"/>
            <w:vAlign w:val="center"/>
          </w:tcPr>
          <w:p w14:paraId="72794FE9">
            <w:pPr>
              <w:spacing w:line="360" w:lineRule="auto"/>
              <w:rPr>
                <w:rFonts w:hint="eastAsia" w:ascii="宋体" w:hAnsi="宋体" w:eastAsia="宋体" w:cs="宋体"/>
                <w:sz w:val="24"/>
                <w:szCs w:val="24"/>
                <w:highlight w:val="none"/>
              </w:rPr>
            </w:pPr>
          </w:p>
        </w:tc>
        <w:tc>
          <w:tcPr>
            <w:tcW w:w="556" w:type="pct"/>
            <w:vAlign w:val="center"/>
          </w:tcPr>
          <w:p w14:paraId="2A560C93">
            <w:pPr>
              <w:spacing w:line="360" w:lineRule="auto"/>
              <w:rPr>
                <w:rFonts w:hint="eastAsia" w:ascii="宋体" w:hAnsi="宋体" w:eastAsia="宋体" w:cs="宋体"/>
                <w:sz w:val="24"/>
                <w:szCs w:val="24"/>
                <w:highlight w:val="none"/>
              </w:rPr>
            </w:pPr>
          </w:p>
        </w:tc>
      </w:tr>
      <w:tr w14:paraId="1296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4BE2397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409" w:type="pct"/>
            <w:vAlign w:val="center"/>
          </w:tcPr>
          <w:p w14:paraId="6EA9CCA1">
            <w:pPr>
              <w:spacing w:line="360" w:lineRule="auto"/>
              <w:rPr>
                <w:rFonts w:hint="eastAsia" w:ascii="宋体" w:hAnsi="宋体" w:eastAsia="宋体" w:cs="宋体"/>
                <w:sz w:val="24"/>
                <w:szCs w:val="24"/>
                <w:highlight w:val="none"/>
              </w:rPr>
            </w:pPr>
          </w:p>
        </w:tc>
        <w:tc>
          <w:tcPr>
            <w:tcW w:w="1483" w:type="pct"/>
            <w:vAlign w:val="center"/>
          </w:tcPr>
          <w:p w14:paraId="69B0D21D">
            <w:pPr>
              <w:spacing w:line="360" w:lineRule="auto"/>
              <w:rPr>
                <w:rFonts w:hint="eastAsia" w:ascii="宋体" w:hAnsi="宋体" w:eastAsia="宋体" w:cs="宋体"/>
                <w:sz w:val="24"/>
                <w:szCs w:val="24"/>
                <w:highlight w:val="none"/>
              </w:rPr>
            </w:pPr>
          </w:p>
        </w:tc>
        <w:tc>
          <w:tcPr>
            <w:tcW w:w="556" w:type="pct"/>
            <w:vAlign w:val="center"/>
          </w:tcPr>
          <w:p w14:paraId="564DB6A2">
            <w:pPr>
              <w:spacing w:line="360" w:lineRule="auto"/>
              <w:rPr>
                <w:rFonts w:hint="eastAsia" w:ascii="宋体" w:hAnsi="宋体" w:eastAsia="宋体" w:cs="宋体"/>
                <w:sz w:val="24"/>
                <w:szCs w:val="24"/>
                <w:highlight w:val="none"/>
              </w:rPr>
            </w:pPr>
          </w:p>
        </w:tc>
      </w:tr>
      <w:tr w14:paraId="66B1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19F7EC9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2409" w:type="pct"/>
            <w:vAlign w:val="center"/>
          </w:tcPr>
          <w:p w14:paraId="39FCE801">
            <w:pPr>
              <w:spacing w:line="360" w:lineRule="auto"/>
              <w:rPr>
                <w:rFonts w:hint="eastAsia" w:ascii="宋体" w:hAnsi="宋体" w:eastAsia="宋体" w:cs="宋体"/>
                <w:sz w:val="24"/>
                <w:szCs w:val="24"/>
                <w:highlight w:val="none"/>
              </w:rPr>
            </w:pPr>
          </w:p>
        </w:tc>
        <w:tc>
          <w:tcPr>
            <w:tcW w:w="1483" w:type="pct"/>
            <w:vAlign w:val="center"/>
          </w:tcPr>
          <w:p w14:paraId="2F9F879A">
            <w:pPr>
              <w:spacing w:line="360" w:lineRule="auto"/>
              <w:rPr>
                <w:rFonts w:hint="eastAsia" w:ascii="宋体" w:hAnsi="宋体" w:eastAsia="宋体" w:cs="宋体"/>
                <w:sz w:val="24"/>
                <w:szCs w:val="24"/>
                <w:highlight w:val="none"/>
              </w:rPr>
            </w:pPr>
          </w:p>
        </w:tc>
        <w:tc>
          <w:tcPr>
            <w:tcW w:w="556" w:type="pct"/>
            <w:vAlign w:val="center"/>
          </w:tcPr>
          <w:p w14:paraId="3E909741">
            <w:pPr>
              <w:spacing w:line="360" w:lineRule="auto"/>
              <w:rPr>
                <w:rFonts w:hint="eastAsia" w:ascii="宋体" w:hAnsi="宋体" w:eastAsia="宋体" w:cs="宋体"/>
                <w:sz w:val="24"/>
                <w:szCs w:val="24"/>
                <w:highlight w:val="none"/>
              </w:rPr>
            </w:pPr>
          </w:p>
        </w:tc>
      </w:tr>
    </w:tbl>
    <w:p w14:paraId="53D37AE2">
      <w:pPr>
        <w:adjustRightInd w:val="0"/>
        <w:snapToGrid w:val="0"/>
        <w:spacing w:line="360" w:lineRule="auto"/>
        <w:rPr>
          <w:rFonts w:hint="eastAsia" w:ascii="宋体" w:hAnsi="宋体" w:eastAsia="宋体" w:cs="宋体"/>
          <w:b/>
          <w:bCs/>
          <w:sz w:val="24"/>
          <w:szCs w:val="28"/>
          <w:highlight w:val="none"/>
        </w:rPr>
      </w:pPr>
    </w:p>
    <w:p w14:paraId="1E7C75C0">
      <w:pPr>
        <w:adjustRightInd w:val="0"/>
        <w:snapToGrid w:val="0"/>
        <w:spacing w:line="360" w:lineRule="auto"/>
        <w:rPr>
          <w:rFonts w:hint="eastAsia" w:ascii="宋体" w:hAnsi="宋体" w:eastAsia="宋体" w:cs="宋体"/>
          <w:b/>
          <w:bCs/>
          <w:sz w:val="24"/>
          <w:szCs w:val="28"/>
          <w:highlight w:val="none"/>
        </w:rPr>
      </w:pPr>
      <w:r>
        <w:rPr>
          <w:rFonts w:hint="eastAsia" w:ascii="宋体" w:hAnsi="宋体" w:eastAsia="宋体" w:cs="宋体"/>
          <w:b/>
          <w:bCs/>
          <w:sz w:val="24"/>
          <w:szCs w:val="28"/>
          <w:highlight w:val="none"/>
        </w:rPr>
        <w:t>注：</w:t>
      </w:r>
    </w:p>
    <w:p w14:paraId="2DD2465D">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1.表中所列业绩应为投标人满足招标文件要求的业绩；</w:t>
      </w:r>
    </w:p>
    <w:p w14:paraId="63A9B87B">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2.中标人提供的以上业绩情况，如招标文件《投标人须知前附表》有约定的，将按约定随中标结果公告同时公告。</w:t>
      </w:r>
    </w:p>
    <w:p w14:paraId="0FFF36FE">
      <w:pPr>
        <w:widowControl/>
        <w:jc w:val="left"/>
        <w:rPr>
          <w:rFonts w:hint="eastAsia" w:ascii="宋体" w:hAnsi="宋体" w:eastAsia="宋体" w:cs="宋体"/>
          <w:sz w:val="28"/>
          <w:highlight w:val="none"/>
        </w:rPr>
      </w:pPr>
      <w:r>
        <w:rPr>
          <w:rFonts w:hint="eastAsia" w:ascii="宋体" w:hAnsi="宋体" w:eastAsia="宋体" w:cs="宋体"/>
          <w:sz w:val="24"/>
          <w:highlight w:val="none"/>
        </w:rPr>
        <w:br w:type="page"/>
      </w:r>
    </w:p>
    <w:p w14:paraId="6F61C6EF">
      <w:pPr>
        <w:spacing w:line="360" w:lineRule="auto"/>
        <w:jc w:val="center"/>
        <w:outlineLvl w:val="1"/>
        <w:rPr>
          <w:rFonts w:hint="eastAsia" w:ascii="宋体" w:hAnsi="宋体" w:eastAsia="宋体" w:cs="宋体"/>
          <w:b/>
          <w:sz w:val="24"/>
          <w:highlight w:val="none"/>
          <w:lang w:val="en-US" w:eastAsia="zh-CN"/>
        </w:rPr>
      </w:pPr>
      <w:bookmarkStart w:id="211" w:name="_Toc13157"/>
      <w:r>
        <w:rPr>
          <w:rFonts w:hint="eastAsia" w:ascii="宋体" w:hAnsi="宋体" w:eastAsia="宋体" w:cs="宋体"/>
          <w:b/>
          <w:sz w:val="24"/>
          <w:highlight w:val="none"/>
          <w:lang w:val="en-US" w:eastAsia="zh-CN"/>
        </w:rPr>
        <w:t>八、</w:t>
      </w:r>
      <w:bookmarkEnd w:id="211"/>
      <w:bookmarkStart w:id="212" w:name="_Hlk11531103"/>
      <w:r>
        <w:rPr>
          <w:rFonts w:hint="eastAsia" w:ascii="宋体" w:hAnsi="宋体" w:eastAsia="宋体" w:cs="宋体"/>
          <w:b/>
          <w:sz w:val="24"/>
          <w:highlight w:val="none"/>
          <w:lang w:val="en-US" w:eastAsia="zh-CN"/>
        </w:rPr>
        <w:t>主要中标标的承诺函</w:t>
      </w:r>
    </w:p>
    <w:p w14:paraId="7420BBBE">
      <w:pPr>
        <w:spacing w:line="360" w:lineRule="auto"/>
        <w:ind w:firstLine="435"/>
        <w:jc w:val="center"/>
        <w:rPr>
          <w:rFonts w:hint="eastAsia" w:ascii="宋体" w:hAnsi="宋体" w:eastAsia="宋体" w:cs="宋体"/>
          <w:i/>
          <w:iCs/>
          <w:sz w:val="24"/>
          <w:szCs w:val="24"/>
          <w:highlight w:val="none"/>
        </w:rPr>
      </w:pPr>
      <w:r>
        <w:rPr>
          <w:rFonts w:hint="eastAsia" w:ascii="宋体" w:hAnsi="宋体" w:eastAsia="宋体" w:cs="宋体"/>
          <w:i/>
          <w:iCs/>
          <w:sz w:val="24"/>
          <w:szCs w:val="24"/>
          <w:highlight w:val="none"/>
          <w:lang w:val="en-US" w:eastAsia="zh-CN"/>
        </w:rPr>
        <w:t xml:space="preserve"> </w:t>
      </w:r>
    </w:p>
    <w:p w14:paraId="48CECD7D">
      <w:pPr>
        <w:spacing w:line="360" w:lineRule="auto"/>
        <w:ind w:firstLine="435"/>
        <w:jc w:val="center"/>
        <w:rPr>
          <w:rFonts w:hint="eastAsia" w:ascii="宋体" w:hAnsi="宋体" w:eastAsia="宋体" w:cs="宋体"/>
          <w:sz w:val="24"/>
          <w:szCs w:val="24"/>
          <w:highlight w:val="none"/>
        </w:rPr>
      </w:pPr>
    </w:p>
    <w:p w14:paraId="7A35F147">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我单位</w:t>
      </w:r>
      <w:r>
        <w:rPr>
          <w:rFonts w:hint="eastAsia" w:ascii="宋体" w:hAnsi="宋体" w:eastAsia="宋体" w:cs="宋体"/>
          <w:sz w:val="24"/>
          <w:highlight w:val="none"/>
        </w:rPr>
        <w:t>同意中标结果</w:t>
      </w:r>
      <w:r>
        <w:rPr>
          <w:rFonts w:hint="eastAsia" w:ascii="宋体" w:hAnsi="宋体" w:eastAsia="宋体" w:cs="宋体"/>
          <w:sz w:val="24"/>
          <w:szCs w:val="24"/>
          <w:highlight w:val="none"/>
        </w:rPr>
        <w:t>公告中公示以下主要中标标的信息并承诺：投标文件中所提供的主要中标标的信息均真实有效。若被发现存在任何虚假、隐瞒情况，我单位承担由此产生的一切后果。</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1600"/>
        <w:gridCol w:w="1074"/>
        <w:gridCol w:w="1664"/>
        <w:gridCol w:w="1911"/>
        <w:gridCol w:w="1829"/>
        <w:gridCol w:w="1014"/>
      </w:tblGrid>
      <w:tr w14:paraId="013B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37" w:type="pct"/>
            <w:vAlign w:val="center"/>
          </w:tcPr>
          <w:p w14:paraId="7C7A5E78">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803" w:type="pct"/>
            <w:vAlign w:val="center"/>
          </w:tcPr>
          <w:p w14:paraId="3A45655D">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货物名称</w:t>
            </w:r>
          </w:p>
        </w:tc>
        <w:tc>
          <w:tcPr>
            <w:tcW w:w="539" w:type="pct"/>
            <w:vAlign w:val="center"/>
          </w:tcPr>
          <w:p w14:paraId="5078E500">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品牌</w:t>
            </w:r>
          </w:p>
        </w:tc>
        <w:tc>
          <w:tcPr>
            <w:tcW w:w="835" w:type="pct"/>
            <w:vAlign w:val="center"/>
          </w:tcPr>
          <w:p w14:paraId="3E0AEB48">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规格型号</w:t>
            </w:r>
          </w:p>
        </w:tc>
        <w:tc>
          <w:tcPr>
            <w:tcW w:w="959" w:type="pct"/>
            <w:vAlign w:val="center"/>
          </w:tcPr>
          <w:p w14:paraId="38382A3E">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918" w:type="pct"/>
            <w:vAlign w:val="center"/>
          </w:tcPr>
          <w:p w14:paraId="10160794">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单价</w:t>
            </w:r>
          </w:p>
        </w:tc>
        <w:tc>
          <w:tcPr>
            <w:tcW w:w="509" w:type="pct"/>
            <w:vAlign w:val="center"/>
          </w:tcPr>
          <w:p w14:paraId="220A9D5E">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0D48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vAlign w:val="center"/>
          </w:tcPr>
          <w:p w14:paraId="3221807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03" w:type="pct"/>
            <w:vAlign w:val="center"/>
          </w:tcPr>
          <w:p w14:paraId="312FB2AE">
            <w:pPr>
              <w:spacing w:line="360" w:lineRule="auto"/>
              <w:rPr>
                <w:rFonts w:hint="eastAsia" w:ascii="宋体" w:hAnsi="宋体" w:eastAsia="宋体" w:cs="宋体"/>
                <w:sz w:val="24"/>
                <w:szCs w:val="24"/>
                <w:highlight w:val="none"/>
              </w:rPr>
            </w:pPr>
          </w:p>
        </w:tc>
        <w:tc>
          <w:tcPr>
            <w:tcW w:w="539" w:type="pct"/>
            <w:vAlign w:val="center"/>
          </w:tcPr>
          <w:p w14:paraId="6241FA80">
            <w:pPr>
              <w:spacing w:line="360" w:lineRule="auto"/>
              <w:rPr>
                <w:rFonts w:hint="eastAsia" w:ascii="宋体" w:hAnsi="宋体" w:eastAsia="宋体" w:cs="宋体"/>
                <w:sz w:val="24"/>
                <w:szCs w:val="24"/>
                <w:highlight w:val="none"/>
              </w:rPr>
            </w:pPr>
          </w:p>
        </w:tc>
        <w:tc>
          <w:tcPr>
            <w:tcW w:w="835" w:type="pct"/>
            <w:vAlign w:val="center"/>
          </w:tcPr>
          <w:p w14:paraId="63EA9CE8">
            <w:pPr>
              <w:spacing w:line="360" w:lineRule="auto"/>
              <w:rPr>
                <w:rFonts w:hint="eastAsia" w:ascii="宋体" w:hAnsi="宋体" w:eastAsia="宋体" w:cs="宋体"/>
                <w:sz w:val="24"/>
                <w:szCs w:val="24"/>
                <w:highlight w:val="none"/>
              </w:rPr>
            </w:pPr>
          </w:p>
        </w:tc>
        <w:tc>
          <w:tcPr>
            <w:tcW w:w="959" w:type="pct"/>
            <w:vAlign w:val="center"/>
          </w:tcPr>
          <w:p w14:paraId="64DCCBC0">
            <w:pPr>
              <w:spacing w:line="360" w:lineRule="auto"/>
              <w:rPr>
                <w:rFonts w:hint="eastAsia" w:ascii="宋体" w:hAnsi="宋体" w:eastAsia="宋体" w:cs="宋体"/>
                <w:sz w:val="24"/>
                <w:szCs w:val="24"/>
                <w:highlight w:val="none"/>
              </w:rPr>
            </w:pPr>
          </w:p>
        </w:tc>
        <w:tc>
          <w:tcPr>
            <w:tcW w:w="918" w:type="pct"/>
            <w:vAlign w:val="center"/>
          </w:tcPr>
          <w:p w14:paraId="67F4DE8E">
            <w:pPr>
              <w:spacing w:line="360" w:lineRule="auto"/>
              <w:rPr>
                <w:rFonts w:hint="eastAsia" w:ascii="宋体" w:hAnsi="宋体" w:eastAsia="宋体" w:cs="宋体"/>
                <w:sz w:val="24"/>
                <w:szCs w:val="24"/>
                <w:highlight w:val="none"/>
              </w:rPr>
            </w:pPr>
          </w:p>
        </w:tc>
        <w:tc>
          <w:tcPr>
            <w:tcW w:w="509" w:type="pct"/>
            <w:vAlign w:val="center"/>
          </w:tcPr>
          <w:p w14:paraId="6339CB43">
            <w:pPr>
              <w:spacing w:line="360" w:lineRule="auto"/>
              <w:rPr>
                <w:rFonts w:hint="eastAsia" w:ascii="宋体" w:hAnsi="宋体" w:eastAsia="宋体" w:cs="宋体"/>
                <w:sz w:val="24"/>
                <w:szCs w:val="24"/>
                <w:highlight w:val="none"/>
              </w:rPr>
            </w:pPr>
          </w:p>
        </w:tc>
      </w:tr>
      <w:tr w14:paraId="6954D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vAlign w:val="center"/>
          </w:tcPr>
          <w:p w14:paraId="5F8A868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03" w:type="pct"/>
            <w:vAlign w:val="center"/>
          </w:tcPr>
          <w:p w14:paraId="26D405DC">
            <w:pPr>
              <w:spacing w:line="360" w:lineRule="auto"/>
              <w:rPr>
                <w:rFonts w:hint="eastAsia" w:ascii="宋体" w:hAnsi="宋体" w:eastAsia="宋体" w:cs="宋体"/>
                <w:sz w:val="24"/>
                <w:szCs w:val="24"/>
                <w:highlight w:val="none"/>
              </w:rPr>
            </w:pPr>
          </w:p>
        </w:tc>
        <w:tc>
          <w:tcPr>
            <w:tcW w:w="539" w:type="pct"/>
            <w:vAlign w:val="center"/>
          </w:tcPr>
          <w:p w14:paraId="3FA21470">
            <w:pPr>
              <w:spacing w:line="360" w:lineRule="auto"/>
              <w:rPr>
                <w:rFonts w:hint="eastAsia" w:ascii="宋体" w:hAnsi="宋体" w:eastAsia="宋体" w:cs="宋体"/>
                <w:sz w:val="24"/>
                <w:szCs w:val="24"/>
                <w:highlight w:val="none"/>
              </w:rPr>
            </w:pPr>
          </w:p>
        </w:tc>
        <w:tc>
          <w:tcPr>
            <w:tcW w:w="835" w:type="pct"/>
            <w:vAlign w:val="center"/>
          </w:tcPr>
          <w:p w14:paraId="5BB34B11">
            <w:pPr>
              <w:spacing w:line="360" w:lineRule="auto"/>
              <w:rPr>
                <w:rFonts w:hint="eastAsia" w:ascii="宋体" w:hAnsi="宋体" w:eastAsia="宋体" w:cs="宋体"/>
                <w:sz w:val="24"/>
                <w:szCs w:val="24"/>
                <w:highlight w:val="none"/>
              </w:rPr>
            </w:pPr>
          </w:p>
        </w:tc>
        <w:tc>
          <w:tcPr>
            <w:tcW w:w="959" w:type="pct"/>
            <w:vAlign w:val="center"/>
          </w:tcPr>
          <w:p w14:paraId="0CCA7D79">
            <w:pPr>
              <w:spacing w:line="360" w:lineRule="auto"/>
              <w:rPr>
                <w:rFonts w:hint="eastAsia" w:ascii="宋体" w:hAnsi="宋体" w:eastAsia="宋体" w:cs="宋体"/>
                <w:sz w:val="24"/>
                <w:szCs w:val="24"/>
                <w:highlight w:val="none"/>
              </w:rPr>
            </w:pPr>
          </w:p>
        </w:tc>
        <w:tc>
          <w:tcPr>
            <w:tcW w:w="918" w:type="pct"/>
            <w:vAlign w:val="center"/>
          </w:tcPr>
          <w:p w14:paraId="4F4383B1">
            <w:pPr>
              <w:spacing w:line="360" w:lineRule="auto"/>
              <w:rPr>
                <w:rFonts w:hint="eastAsia" w:ascii="宋体" w:hAnsi="宋体" w:eastAsia="宋体" w:cs="宋体"/>
                <w:sz w:val="24"/>
                <w:szCs w:val="24"/>
                <w:highlight w:val="none"/>
              </w:rPr>
            </w:pPr>
          </w:p>
        </w:tc>
        <w:tc>
          <w:tcPr>
            <w:tcW w:w="509" w:type="pct"/>
            <w:vAlign w:val="center"/>
          </w:tcPr>
          <w:p w14:paraId="343DF8D1">
            <w:pPr>
              <w:spacing w:line="360" w:lineRule="auto"/>
              <w:rPr>
                <w:rFonts w:hint="eastAsia" w:ascii="宋体" w:hAnsi="宋体" w:eastAsia="宋体" w:cs="宋体"/>
                <w:sz w:val="24"/>
                <w:szCs w:val="24"/>
                <w:highlight w:val="none"/>
              </w:rPr>
            </w:pPr>
          </w:p>
        </w:tc>
      </w:tr>
      <w:tr w14:paraId="646F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vAlign w:val="center"/>
          </w:tcPr>
          <w:p w14:paraId="5A6B178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803" w:type="pct"/>
            <w:vAlign w:val="center"/>
          </w:tcPr>
          <w:p w14:paraId="76CB2A18">
            <w:pPr>
              <w:spacing w:line="360" w:lineRule="auto"/>
              <w:rPr>
                <w:rFonts w:hint="eastAsia" w:ascii="宋体" w:hAnsi="宋体" w:eastAsia="宋体" w:cs="宋体"/>
                <w:sz w:val="24"/>
                <w:szCs w:val="24"/>
                <w:highlight w:val="none"/>
              </w:rPr>
            </w:pPr>
          </w:p>
        </w:tc>
        <w:tc>
          <w:tcPr>
            <w:tcW w:w="539" w:type="pct"/>
            <w:vAlign w:val="center"/>
          </w:tcPr>
          <w:p w14:paraId="21056824">
            <w:pPr>
              <w:spacing w:line="360" w:lineRule="auto"/>
              <w:rPr>
                <w:rFonts w:hint="eastAsia" w:ascii="宋体" w:hAnsi="宋体" w:eastAsia="宋体" w:cs="宋体"/>
                <w:sz w:val="24"/>
                <w:szCs w:val="24"/>
                <w:highlight w:val="none"/>
              </w:rPr>
            </w:pPr>
          </w:p>
        </w:tc>
        <w:tc>
          <w:tcPr>
            <w:tcW w:w="835" w:type="pct"/>
            <w:vAlign w:val="center"/>
          </w:tcPr>
          <w:p w14:paraId="323B5DF1">
            <w:pPr>
              <w:spacing w:line="360" w:lineRule="auto"/>
              <w:rPr>
                <w:rFonts w:hint="eastAsia" w:ascii="宋体" w:hAnsi="宋体" w:eastAsia="宋体" w:cs="宋体"/>
                <w:sz w:val="24"/>
                <w:szCs w:val="24"/>
                <w:highlight w:val="none"/>
              </w:rPr>
            </w:pPr>
          </w:p>
        </w:tc>
        <w:tc>
          <w:tcPr>
            <w:tcW w:w="959" w:type="pct"/>
            <w:vAlign w:val="center"/>
          </w:tcPr>
          <w:p w14:paraId="3494BB95">
            <w:pPr>
              <w:spacing w:line="360" w:lineRule="auto"/>
              <w:rPr>
                <w:rFonts w:hint="eastAsia" w:ascii="宋体" w:hAnsi="宋体" w:eastAsia="宋体" w:cs="宋体"/>
                <w:sz w:val="24"/>
                <w:szCs w:val="24"/>
                <w:highlight w:val="none"/>
              </w:rPr>
            </w:pPr>
          </w:p>
        </w:tc>
        <w:tc>
          <w:tcPr>
            <w:tcW w:w="918" w:type="pct"/>
            <w:vAlign w:val="center"/>
          </w:tcPr>
          <w:p w14:paraId="133888DD">
            <w:pPr>
              <w:spacing w:line="360" w:lineRule="auto"/>
              <w:rPr>
                <w:rFonts w:hint="eastAsia" w:ascii="宋体" w:hAnsi="宋体" w:eastAsia="宋体" w:cs="宋体"/>
                <w:sz w:val="24"/>
                <w:szCs w:val="24"/>
                <w:highlight w:val="none"/>
              </w:rPr>
            </w:pPr>
          </w:p>
        </w:tc>
        <w:tc>
          <w:tcPr>
            <w:tcW w:w="509" w:type="pct"/>
            <w:vAlign w:val="center"/>
          </w:tcPr>
          <w:p w14:paraId="61742BE6">
            <w:pPr>
              <w:spacing w:line="360" w:lineRule="auto"/>
              <w:rPr>
                <w:rFonts w:hint="eastAsia" w:ascii="宋体" w:hAnsi="宋体" w:eastAsia="宋体" w:cs="宋体"/>
                <w:sz w:val="24"/>
                <w:szCs w:val="24"/>
                <w:highlight w:val="none"/>
              </w:rPr>
            </w:pPr>
          </w:p>
        </w:tc>
      </w:tr>
      <w:tr w14:paraId="37CE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vAlign w:val="center"/>
          </w:tcPr>
          <w:p w14:paraId="6BD5BD6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803" w:type="pct"/>
            <w:vAlign w:val="center"/>
          </w:tcPr>
          <w:p w14:paraId="6B219AD2">
            <w:pPr>
              <w:spacing w:line="360" w:lineRule="auto"/>
              <w:rPr>
                <w:rFonts w:hint="eastAsia" w:ascii="宋体" w:hAnsi="宋体" w:eastAsia="宋体" w:cs="宋体"/>
                <w:sz w:val="24"/>
                <w:szCs w:val="24"/>
                <w:highlight w:val="none"/>
              </w:rPr>
            </w:pPr>
          </w:p>
        </w:tc>
        <w:tc>
          <w:tcPr>
            <w:tcW w:w="539" w:type="pct"/>
            <w:vAlign w:val="center"/>
          </w:tcPr>
          <w:p w14:paraId="61BE6965">
            <w:pPr>
              <w:spacing w:line="360" w:lineRule="auto"/>
              <w:rPr>
                <w:rFonts w:hint="eastAsia" w:ascii="宋体" w:hAnsi="宋体" w:eastAsia="宋体" w:cs="宋体"/>
                <w:sz w:val="24"/>
                <w:szCs w:val="24"/>
                <w:highlight w:val="none"/>
              </w:rPr>
            </w:pPr>
          </w:p>
        </w:tc>
        <w:tc>
          <w:tcPr>
            <w:tcW w:w="835" w:type="pct"/>
            <w:vAlign w:val="center"/>
          </w:tcPr>
          <w:p w14:paraId="3D847D27">
            <w:pPr>
              <w:spacing w:line="360" w:lineRule="auto"/>
              <w:rPr>
                <w:rFonts w:hint="eastAsia" w:ascii="宋体" w:hAnsi="宋体" w:eastAsia="宋体" w:cs="宋体"/>
                <w:sz w:val="24"/>
                <w:szCs w:val="24"/>
                <w:highlight w:val="none"/>
              </w:rPr>
            </w:pPr>
          </w:p>
        </w:tc>
        <w:tc>
          <w:tcPr>
            <w:tcW w:w="959" w:type="pct"/>
            <w:vAlign w:val="center"/>
          </w:tcPr>
          <w:p w14:paraId="34F3D71D">
            <w:pPr>
              <w:spacing w:line="360" w:lineRule="auto"/>
              <w:rPr>
                <w:rFonts w:hint="eastAsia" w:ascii="宋体" w:hAnsi="宋体" w:eastAsia="宋体" w:cs="宋体"/>
                <w:sz w:val="24"/>
                <w:szCs w:val="24"/>
                <w:highlight w:val="none"/>
              </w:rPr>
            </w:pPr>
          </w:p>
        </w:tc>
        <w:tc>
          <w:tcPr>
            <w:tcW w:w="918" w:type="pct"/>
            <w:vAlign w:val="center"/>
          </w:tcPr>
          <w:p w14:paraId="0CD66EED">
            <w:pPr>
              <w:spacing w:line="360" w:lineRule="auto"/>
              <w:rPr>
                <w:rFonts w:hint="eastAsia" w:ascii="宋体" w:hAnsi="宋体" w:eastAsia="宋体" w:cs="宋体"/>
                <w:sz w:val="24"/>
                <w:szCs w:val="24"/>
                <w:highlight w:val="none"/>
              </w:rPr>
            </w:pPr>
          </w:p>
        </w:tc>
        <w:tc>
          <w:tcPr>
            <w:tcW w:w="509" w:type="pct"/>
            <w:vAlign w:val="center"/>
          </w:tcPr>
          <w:p w14:paraId="19EB4C90">
            <w:pPr>
              <w:spacing w:line="360" w:lineRule="auto"/>
              <w:rPr>
                <w:rFonts w:hint="eastAsia" w:ascii="宋体" w:hAnsi="宋体" w:eastAsia="宋体" w:cs="宋体"/>
                <w:sz w:val="24"/>
                <w:szCs w:val="24"/>
                <w:highlight w:val="none"/>
              </w:rPr>
            </w:pPr>
          </w:p>
        </w:tc>
      </w:tr>
      <w:tr w14:paraId="6B1E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vAlign w:val="center"/>
          </w:tcPr>
          <w:p w14:paraId="2C7C4ED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803" w:type="pct"/>
            <w:vAlign w:val="center"/>
          </w:tcPr>
          <w:p w14:paraId="074A39EB">
            <w:pPr>
              <w:spacing w:line="360" w:lineRule="auto"/>
              <w:rPr>
                <w:rFonts w:hint="eastAsia" w:ascii="宋体" w:hAnsi="宋体" w:eastAsia="宋体" w:cs="宋体"/>
                <w:sz w:val="24"/>
                <w:szCs w:val="24"/>
                <w:highlight w:val="none"/>
              </w:rPr>
            </w:pPr>
          </w:p>
        </w:tc>
        <w:tc>
          <w:tcPr>
            <w:tcW w:w="539" w:type="pct"/>
            <w:vAlign w:val="center"/>
          </w:tcPr>
          <w:p w14:paraId="5A3566C1">
            <w:pPr>
              <w:spacing w:line="360" w:lineRule="auto"/>
              <w:rPr>
                <w:rFonts w:hint="eastAsia" w:ascii="宋体" w:hAnsi="宋体" w:eastAsia="宋体" w:cs="宋体"/>
                <w:sz w:val="24"/>
                <w:szCs w:val="24"/>
                <w:highlight w:val="none"/>
              </w:rPr>
            </w:pPr>
          </w:p>
        </w:tc>
        <w:tc>
          <w:tcPr>
            <w:tcW w:w="835" w:type="pct"/>
            <w:vAlign w:val="center"/>
          </w:tcPr>
          <w:p w14:paraId="1276EB05">
            <w:pPr>
              <w:spacing w:line="360" w:lineRule="auto"/>
              <w:rPr>
                <w:rFonts w:hint="eastAsia" w:ascii="宋体" w:hAnsi="宋体" w:eastAsia="宋体" w:cs="宋体"/>
                <w:sz w:val="24"/>
                <w:szCs w:val="24"/>
                <w:highlight w:val="none"/>
              </w:rPr>
            </w:pPr>
          </w:p>
        </w:tc>
        <w:tc>
          <w:tcPr>
            <w:tcW w:w="959" w:type="pct"/>
            <w:vAlign w:val="center"/>
          </w:tcPr>
          <w:p w14:paraId="1C61D6D7">
            <w:pPr>
              <w:spacing w:line="360" w:lineRule="auto"/>
              <w:rPr>
                <w:rFonts w:hint="eastAsia" w:ascii="宋体" w:hAnsi="宋体" w:eastAsia="宋体" w:cs="宋体"/>
                <w:sz w:val="24"/>
                <w:szCs w:val="24"/>
                <w:highlight w:val="none"/>
              </w:rPr>
            </w:pPr>
          </w:p>
        </w:tc>
        <w:tc>
          <w:tcPr>
            <w:tcW w:w="918" w:type="pct"/>
            <w:vAlign w:val="center"/>
          </w:tcPr>
          <w:p w14:paraId="1730EB4E">
            <w:pPr>
              <w:spacing w:line="360" w:lineRule="auto"/>
              <w:rPr>
                <w:rFonts w:hint="eastAsia" w:ascii="宋体" w:hAnsi="宋体" w:eastAsia="宋体" w:cs="宋体"/>
                <w:sz w:val="24"/>
                <w:szCs w:val="24"/>
                <w:highlight w:val="none"/>
              </w:rPr>
            </w:pPr>
          </w:p>
        </w:tc>
        <w:tc>
          <w:tcPr>
            <w:tcW w:w="509" w:type="pct"/>
            <w:vAlign w:val="center"/>
          </w:tcPr>
          <w:p w14:paraId="4EC3C40A">
            <w:pPr>
              <w:spacing w:line="360" w:lineRule="auto"/>
              <w:rPr>
                <w:rFonts w:hint="eastAsia" w:ascii="宋体" w:hAnsi="宋体" w:eastAsia="宋体" w:cs="宋体"/>
                <w:sz w:val="24"/>
                <w:szCs w:val="24"/>
                <w:highlight w:val="none"/>
              </w:rPr>
            </w:pPr>
          </w:p>
        </w:tc>
      </w:tr>
      <w:tr w14:paraId="55B0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vAlign w:val="center"/>
          </w:tcPr>
          <w:p w14:paraId="72A9479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803" w:type="pct"/>
            <w:vAlign w:val="center"/>
          </w:tcPr>
          <w:p w14:paraId="79485B26">
            <w:pPr>
              <w:spacing w:line="360" w:lineRule="auto"/>
              <w:rPr>
                <w:rFonts w:hint="eastAsia" w:ascii="宋体" w:hAnsi="宋体" w:eastAsia="宋体" w:cs="宋体"/>
                <w:sz w:val="24"/>
                <w:szCs w:val="24"/>
                <w:highlight w:val="none"/>
              </w:rPr>
            </w:pPr>
          </w:p>
        </w:tc>
        <w:tc>
          <w:tcPr>
            <w:tcW w:w="539" w:type="pct"/>
            <w:vAlign w:val="center"/>
          </w:tcPr>
          <w:p w14:paraId="4BF51847">
            <w:pPr>
              <w:spacing w:line="360" w:lineRule="auto"/>
              <w:rPr>
                <w:rFonts w:hint="eastAsia" w:ascii="宋体" w:hAnsi="宋体" w:eastAsia="宋体" w:cs="宋体"/>
                <w:sz w:val="24"/>
                <w:szCs w:val="24"/>
                <w:highlight w:val="none"/>
              </w:rPr>
            </w:pPr>
          </w:p>
        </w:tc>
        <w:tc>
          <w:tcPr>
            <w:tcW w:w="835" w:type="pct"/>
            <w:vAlign w:val="center"/>
          </w:tcPr>
          <w:p w14:paraId="1570AAF9">
            <w:pPr>
              <w:spacing w:line="360" w:lineRule="auto"/>
              <w:rPr>
                <w:rFonts w:hint="eastAsia" w:ascii="宋体" w:hAnsi="宋体" w:eastAsia="宋体" w:cs="宋体"/>
                <w:sz w:val="24"/>
                <w:szCs w:val="24"/>
                <w:highlight w:val="none"/>
              </w:rPr>
            </w:pPr>
          </w:p>
        </w:tc>
        <w:tc>
          <w:tcPr>
            <w:tcW w:w="959" w:type="pct"/>
            <w:vAlign w:val="center"/>
          </w:tcPr>
          <w:p w14:paraId="0E257CD0">
            <w:pPr>
              <w:spacing w:line="360" w:lineRule="auto"/>
              <w:rPr>
                <w:rFonts w:hint="eastAsia" w:ascii="宋体" w:hAnsi="宋体" w:eastAsia="宋体" w:cs="宋体"/>
                <w:sz w:val="24"/>
                <w:szCs w:val="24"/>
                <w:highlight w:val="none"/>
              </w:rPr>
            </w:pPr>
          </w:p>
        </w:tc>
        <w:tc>
          <w:tcPr>
            <w:tcW w:w="918" w:type="pct"/>
            <w:vAlign w:val="center"/>
          </w:tcPr>
          <w:p w14:paraId="028AD5DE">
            <w:pPr>
              <w:spacing w:line="360" w:lineRule="auto"/>
              <w:rPr>
                <w:rFonts w:hint="eastAsia" w:ascii="宋体" w:hAnsi="宋体" w:eastAsia="宋体" w:cs="宋体"/>
                <w:sz w:val="24"/>
                <w:szCs w:val="24"/>
                <w:highlight w:val="none"/>
              </w:rPr>
            </w:pPr>
          </w:p>
        </w:tc>
        <w:tc>
          <w:tcPr>
            <w:tcW w:w="509" w:type="pct"/>
            <w:vAlign w:val="center"/>
          </w:tcPr>
          <w:p w14:paraId="7070821F">
            <w:pPr>
              <w:spacing w:line="360" w:lineRule="auto"/>
              <w:rPr>
                <w:rFonts w:hint="eastAsia" w:ascii="宋体" w:hAnsi="宋体" w:eastAsia="宋体" w:cs="宋体"/>
                <w:sz w:val="24"/>
                <w:szCs w:val="24"/>
                <w:highlight w:val="none"/>
              </w:rPr>
            </w:pPr>
          </w:p>
        </w:tc>
      </w:tr>
    </w:tbl>
    <w:p w14:paraId="7EBEE78E">
      <w:pPr>
        <w:spacing w:line="360" w:lineRule="auto"/>
        <w:ind w:firstLine="4245" w:firstLineChars="1762"/>
        <w:rPr>
          <w:rFonts w:hint="eastAsia" w:ascii="宋体" w:hAnsi="宋体" w:eastAsia="宋体" w:cs="宋体"/>
          <w:b/>
          <w:sz w:val="24"/>
          <w:highlight w:val="none"/>
        </w:rPr>
      </w:pPr>
    </w:p>
    <w:p w14:paraId="1EE5C1D1">
      <w:pPr>
        <w:spacing w:line="360" w:lineRule="auto"/>
        <w:ind w:firstLine="5520" w:firstLineChars="2300"/>
        <w:rPr>
          <w:rFonts w:hint="eastAsia" w:ascii="宋体" w:hAnsi="宋体" w:eastAsia="宋体" w:cs="宋体"/>
          <w:bCs/>
          <w:sz w:val="24"/>
          <w:highlight w:val="none"/>
          <w:u w:val="single"/>
        </w:rPr>
      </w:pPr>
      <w:r>
        <w:rPr>
          <w:rFonts w:hint="eastAsia" w:ascii="宋体" w:hAnsi="宋体" w:eastAsia="宋体" w:cs="宋体"/>
          <w:bCs/>
          <w:sz w:val="24"/>
          <w:highlight w:val="none"/>
        </w:rPr>
        <w:t>投标人：</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eastAsia="zh-CN"/>
        </w:rPr>
        <w:t>（</w:t>
      </w:r>
      <w:r>
        <w:rPr>
          <w:rFonts w:hint="eastAsia" w:ascii="宋体" w:hAnsi="宋体" w:eastAsia="宋体" w:cs="宋体"/>
          <w:bCs/>
          <w:sz w:val="24"/>
          <w:highlight w:val="none"/>
          <w:u w:val="single"/>
          <w:lang w:val="en-US" w:eastAsia="zh-CN"/>
        </w:rPr>
        <w:t>盖章）</w:t>
      </w:r>
      <w:r>
        <w:rPr>
          <w:rFonts w:hint="eastAsia" w:ascii="宋体" w:hAnsi="宋体" w:eastAsia="宋体" w:cs="宋体"/>
          <w:bCs/>
          <w:sz w:val="24"/>
          <w:highlight w:val="none"/>
          <w:u w:val="single"/>
        </w:rPr>
        <w:t xml:space="preserve">        </w:t>
      </w:r>
    </w:p>
    <w:p w14:paraId="6A4FB16D">
      <w:pPr>
        <w:spacing w:line="360" w:lineRule="auto"/>
        <w:ind w:firstLine="5520" w:firstLineChars="2300"/>
        <w:rPr>
          <w:rFonts w:hint="eastAsia" w:ascii="宋体" w:hAnsi="宋体" w:eastAsia="宋体" w:cs="宋体"/>
          <w:bCs/>
          <w:sz w:val="24"/>
          <w:highlight w:val="none"/>
        </w:rPr>
      </w:pPr>
      <w:r>
        <w:rPr>
          <w:rFonts w:hint="eastAsia" w:ascii="宋体" w:hAnsi="宋体" w:eastAsia="宋体" w:cs="宋体"/>
          <w:bCs/>
          <w:sz w:val="24"/>
          <w:highlight w:val="none"/>
        </w:rPr>
        <w:t>日  期：</w:t>
      </w:r>
      <w:r>
        <w:rPr>
          <w:rFonts w:hint="eastAsia" w:ascii="宋体" w:hAnsi="宋体" w:eastAsia="宋体" w:cs="宋体"/>
          <w:bCs/>
          <w:sz w:val="24"/>
          <w:highlight w:val="none"/>
          <w:u w:val="single"/>
        </w:rPr>
        <w:t xml:space="preserve">             </w:t>
      </w:r>
    </w:p>
    <w:p w14:paraId="30D4B1FA">
      <w:pPr>
        <w:adjustRightInd w:val="0"/>
        <w:snapToGrid w:val="0"/>
        <w:spacing w:line="360" w:lineRule="auto"/>
        <w:rPr>
          <w:rFonts w:hint="eastAsia" w:ascii="宋体" w:hAnsi="宋体" w:eastAsia="宋体" w:cs="宋体"/>
          <w:b/>
          <w:bCs/>
          <w:sz w:val="24"/>
          <w:szCs w:val="24"/>
          <w:highlight w:val="none"/>
        </w:rPr>
      </w:pPr>
    </w:p>
    <w:p w14:paraId="6240A3F4">
      <w:pPr>
        <w:adjustRightInd w:val="0"/>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w:t>
      </w:r>
    </w:p>
    <w:p w14:paraId="523C8B73">
      <w:pPr>
        <w:spacing w:line="360" w:lineRule="auto"/>
        <w:ind w:firstLine="435"/>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sz w:val="24"/>
          <w:szCs w:val="24"/>
          <w:highlight w:val="none"/>
        </w:rPr>
        <w:t>表中所列内容为满足本项目要求的</w:t>
      </w:r>
      <w:r>
        <w:rPr>
          <w:rFonts w:hint="eastAsia" w:ascii="宋体" w:hAnsi="宋体" w:eastAsia="宋体" w:cs="宋体"/>
          <w:bCs/>
          <w:sz w:val="24"/>
          <w:szCs w:val="24"/>
          <w:highlight w:val="none"/>
        </w:rPr>
        <w:t>主要中标标的信息；</w:t>
      </w:r>
    </w:p>
    <w:p w14:paraId="3411231C">
      <w:pPr>
        <w:spacing w:line="360" w:lineRule="auto"/>
        <w:ind w:firstLine="435"/>
        <w:rPr>
          <w:rFonts w:hint="eastAsia" w:ascii="宋体" w:hAnsi="宋体" w:eastAsia="宋体" w:cs="宋体"/>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sz w:val="24"/>
          <w:szCs w:val="24"/>
          <w:highlight w:val="none"/>
        </w:rPr>
        <w:t>中标人提供的以上承诺情况（含货物名称、品牌、规格型号、数量、单价），将按约定随</w:t>
      </w:r>
      <w:r>
        <w:rPr>
          <w:rFonts w:hint="eastAsia" w:ascii="宋体" w:hAnsi="宋体" w:eastAsia="宋体" w:cs="宋体"/>
          <w:sz w:val="24"/>
          <w:highlight w:val="none"/>
        </w:rPr>
        <w:t>中标结果公告</w:t>
      </w:r>
      <w:r>
        <w:rPr>
          <w:rFonts w:hint="eastAsia" w:ascii="宋体" w:hAnsi="宋体" w:eastAsia="宋体" w:cs="宋体"/>
          <w:sz w:val="24"/>
          <w:szCs w:val="24"/>
          <w:highlight w:val="none"/>
        </w:rPr>
        <w:t>同时公告。</w:t>
      </w:r>
    </w:p>
    <w:bookmarkEnd w:id="212"/>
    <w:p w14:paraId="5EB76E49">
      <w:pPr>
        <w:spacing w:line="360" w:lineRule="auto"/>
        <w:ind w:firstLine="435"/>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3.本页</w:t>
      </w:r>
      <w:r>
        <w:rPr>
          <w:rFonts w:hint="eastAsia" w:ascii="宋体" w:hAnsi="宋体" w:eastAsia="宋体" w:cs="宋体"/>
          <w:b/>
          <w:bCs/>
          <w:sz w:val="24"/>
          <w:highlight w:val="none"/>
        </w:rPr>
        <w:t>《主要中标标的承诺函》</w:t>
      </w:r>
      <w:r>
        <w:rPr>
          <w:rFonts w:hint="eastAsia" w:ascii="宋体" w:hAnsi="宋体" w:eastAsia="宋体" w:cs="宋体"/>
          <w:b/>
          <w:bCs/>
          <w:sz w:val="24"/>
          <w:szCs w:val="24"/>
          <w:highlight w:val="none"/>
        </w:rPr>
        <w:t>仅作为结果公告使用，请投标人规范填写。</w:t>
      </w:r>
    </w:p>
    <w:p w14:paraId="6E21DB09">
      <w:pPr>
        <w:widowControl/>
        <w:jc w:val="left"/>
        <w:rPr>
          <w:rFonts w:hint="eastAsia" w:ascii="宋体" w:hAnsi="宋体" w:eastAsia="宋体" w:cs="宋体"/>
          <w:sz w:val="24"/>
          <w:highlight w:val="none"/>
        </w:rPr>
      </w:pPr>
      <w:r>
        <w:rPr>
          <w:rFonts w:hint="eastAsia" w:ascii="宋体" w:hAnsi="宋体" w:eastAsia="宋体" w:cs="宋体"/>
          <w:sz w:val="24"/>
          <w:highlight w:val="none"/>
        </w:rPr>
        <w:br w:type="page"/>
      </w:r>
    </w:p>
    <w:p w14:paraId="46EBE7CE">
      <w:pPr>
        <w:spacing w:line="360" w:lineRule="auto"/>
        <w:jc w:val="center"/>
        <w:outlineLvl w:val="1"/>
        <w:rPr>
          <w:rFonts w:hint="eastAsia" w:ascii="宋体" w:hAnsi="宋体" w:eastAsia="宋体" w:cs="宋体"/>
          <w:b/>
          <w:sz w:val="24"/>
          <w:highlight w:val="none"/>
        </w:rPr>
      </w:pPr>
      <w:r>
        <w:rPr>
          <w:rFonts w:hint="eastAsia" w:ascii="宋体" w:hAnsi="宋体" w:eastAsia="宋体" w:cs="宋体"/>
          <w:b/>
          <w:sz w:val="24"/>
          <w:highlight w:val="none"/>
          <w:lang w:val="en-US" w:eastAsia="zh-CN"/>
        </w:rPr>
        <w:t>九</w:t>
      </w:r>
      <w:r>
        <w:rPr>
          <w:rFonts w:hint="eastAsia" w:ascii="宋体" w:hAnsi="宋体" w:eastAsia="宋体" w:cs="宋体"/>
          <w:b/>
          <w:sz w:val="24"/>
          <w:highlight w:val="none"/>
        </w:rPr>
        <w:t>、中小企业声明函</w:t>
      </w:r>
    </w:p>
    <w:p w14:paraId="0F160599">
      <w:pPr>
        <w:spacing w:line="360" w:lineRule="auto"/>
        <w:jc w:val="center"/>
        <w:rPr>
          <w:rFonts w:hint="eastAsia" w:ascii="宋体" w:hAnsi="宋体" w:eastAsia="宋体" w:cs="宋体"/>
          <w:i/>
          <w:sz w:val="24"/>
          <w:szCs w:val="24"/>
          <w:highlight w:val="none"/>
          <w:lang w:val="zh-CN"/>
        </w:rPr>
      </w:pPr>
      <w:r>
        <w:rPr>
          <w:rFonts w:hint="eastAsia" w:ascii="宋体" w:hAnsi="宋体" w:eastAsia="宋体" w:cs="宋体"/>
          <w:i/>
          <w:sz w:val="24"/>
          <w:szCs w:val="24"/>
          <w:highlight w:val="none"/>
          <w:lang w:val="zh-CN"/>
        </w:rPr>
        <w:t>（非中小企业投标，不需此件）</w:t>
      </w:r>
    </w:p>
    <w:p w14:paraId="02BD0E27">
      <w:pPr>
        <w:rPr>
          <w:rFonts w:hint="eastAsia" w:ascii="宋体" w:hAnsi="宋体" w:eastAsia="宋体" w:cs="宋体"/>
          <w:sz w:val="24"/>
          <w:szCs w:val="24"/>
          <w:highlight w:val="none"/>
        </w:rPr>
      </w:pPr>
    </w:p>
    <w:p w14:paraId="22CC822F">
      <w:pPr>
        <w:spacing w:line="360" w:lineRule="auto"/>
        <w:ind w:firstLine="435"/>
        <w:rPr>
          <w:rFonts w:hint="eastAsia" w:ascii="宋体" w:hAnsi="宋体" w:eastAsia="宋体" w:cs="宋体"/>
          <w:sz w:val="24"/>
          <w:szCs w:val="24"/>
          <w:highlight w:val="none"/>
          <w:lang w:val="zh-CN"/>
        </w:rPr>
      </w:pPr>
      <w:bookmarkStart w:id="213" w:name="OLE_LINK14"/>
      <w:bookmarkStart w:id="214" w:name="OLE_LINK13"/>
      <w:r>
        <w:rPr>
          <w:rFonts w:hint="eastAsia" w:ascii="宋体" w:hAnsi="宋体" w:eastAsia="宋体" w:cs="宋体"/>
          <w:sz w:val="24"/>
          <w:szCs w:val="24"/>
          <w:highlight w:val="none"/>
          <w:lang w:val="zh-CN"/>
        </w:rPr>
        <w:t>本公司（联合体）郑重声明，根据《政府采购促进中小企业发展管理办法》（财库﹝2020﹞46号）的规定，本公司（联合体）参加</w:t>
      </w:r>
      <w:r>
        <w:rPr>
          <w:rFonts w:hint="eastAsia" w:ascii="宋体" w:hAnsi="宋体" w:eastAsia="宋体" w:cs="宋体"/>
          <w:sz w:val="24"/>
          <w:szCs w:val="24"/>
          <w:highlight w:val="none"/>
          <w:u w:val="single"/>
          <w:lang w:val="zh-CN"/>
        </w:rPr>
        <w:t>（某采购单位）</w:t>
      </w:r>
      <w:r>
        <w:rPr>
          <w:rFonts w:hint="eastAsia" w:ascii="宋体" w:hAnsi="宋体" w:eastAsia="宋体" w:cs="宋体"/>
          <w:sz w:val="24"/>
          <w:szCs w:val="24"/>
          <w:highlight w:val="none"/>
          <w:lang w:val="zh-CN"/>
        </w:rPr>
        <w:t>的</w:t>
      </w:r>
      <w:r>
        <w:rPr>
          <w:rFonts w:hint="eastAsia" w:ascii="宋体" w:hAnsi="宋体" w:eastAsia="宋体" w:cs="宋体"/>
          <w:sz w:val="24"/>
          <w:szCs w:val="24"/>
          <w:highlight w:val="none"/>
          <w:u w:val="single"/>
          <w:lang w:val="zh-CN"/>
        </w:rPr>
        <w:t>（某项目）</w:t>
      </w:r>
      <w:r>
        <w:rPr>
          <w:rFonts w:hint="eastAsia" w:ascii="宋体" w:hAnsi="宋体" w:eastAsia="宋体" w:cs="宋体"/>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192D0181">
      <w:pPr>
        <w:spacing w:line="360" w:lineRule="auto"/>
        <w:ind w:firstLine="435"/>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w:t>
      </w:r>
      <w:r>
        <w:rPr>
          <w:rFonts w:hint="eastAsia" w:ascii="宋体" w:hAnsi="宋体" w:eastAsia="宋体" w:cs="宋体"/>
          <w:sz w:val="24"/>
          <w:szCs w:val="24"/>
          <w:highlight w:val="none"/>
          <w:u w:val="single"/>
          <w:lang w:val="zh-CN"/>
        </w:rPr>
        <w:t xml:space="preserve"> （标的名称） </w:t>
      </w:r>
      <w:r>
        <w:rPr>
          <w:rFonts w:hint="eastAsia" w:ascii="宋体" w:hAnsi="宋体" w:eastAsia="宋体" w:cs="宋体"/>
          <w:sz w:val="24"/>
          <w:szCs w:val="24"/>
          <w:highlight w:val="none"/>
          <w:lang w:val="zh-CN"/>
        </w:rPr>
        <w:t>，属于</w:t>
      </w:r>
      <w:r>
        <w:rPr>
          <w:rFonts w:hint="eastAsia" w:ascii="宋体" w:hAnsi="宋体" w:eastAsia="宋体" w:cs="宋体"/>
          <w:sz w:val="24"/>
          <w:szCs w:val="24"/>
          <w:highlight w:val="none"/>
          <w:u w:val="single"/>
          <w:lang w:val="zh-CN"/>
        </w:rPr>
        <w:t>（采购文件中明确的所属行业）</w:t>
      </w:r>
      <w:r>
        <w:rPr>
          <w:rFonts w:hint="eastAsia" w:ascii="宋体" w:hAnsi="宋体" w:eastAsia="宋体" w:cs="宋体"/>
          <w:sz w:val="24"/>
          <w:szCs w:val="24"/>
          <w:highlight w:val="none"/>
          <w:lang w:val="zh-CN"/>
        </w:rPr>
        <w:t>行业；制造商为</w:t>
      </w:r>
      <w:r>
        <w:rPr>
          <w:rFonts w:hint="eastAsia" w:ascii="宋体" w:hAnsi="宋体" w:eastAsia="宋体" w:cs="宋体"/>
          <w:sz w:val="24"/>
          <w:szCs w:val="24"/>
          <w:highlight w:val="none"/>
          <w:u w:val="single"/>
          <w:lang w:val="zh-CN"/>
        </w:rPr>
        <w:t>（企业名称）</w:t>
      </w:r>
      <w:r>
        <w:rPr>
          <w:rFonts w:hint="eastAsia" w:ascii="宋体" w:hAnsi="宋体" w:eastAsia="宋体" w:cs="宋体"/>
          <w:sz w:val="24"/>
          <w:szCs w:val="24"/>
          <w:highlight w:val="none"/>
          <w:lang w:val="zh-CN"/>
        </w:rPr>
        <w:t>，从业人员</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人，营业收入为</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万元，资产总额为</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万元，属于</w:t>
      </w:r>
      <w:r>
        <w:rPr>
          <w:rFonts w:hint="eastAsia" w:ascii="宋体" w:hAnsi="宋体" w:eastAsia="宋体" w:cs="宋体"/>
          <w:sz w:val="24"/>
          <w:szCs w:val="24"/>
          <w:highlight w:val="none"/>
          <w:u w:val="single"/>
          <w:lang w:val="zh-CN"/>
        </w:rPr>
        <w:t>（中型企业、小型企业、微型企业）</w:t>
      </w:r>
      <w:r>
        <w:rPr>
          <w:rFonts w:hint="eastAsia" w:ascii="宋体" w:hAnsi="宋体" w:eastAsia="宋体" w:cs="宋体"/>
          <w:sz w:val="24"/>
          <w:szCs w:val="24"/>
          <w:highlight w:val="none"/>
          <w:lang w:val="zh-CN"/>
        </w:rPr>
        <w:t xml:space="preserve">； </w:t>
      </w:r>
    </w:p>
    <w:p w14:paraId="2DDBD74B">
      <w:pPr>
        <w:spacing w:line="360" w:lineRule="auto"/>
        <w:ind w:firstLine="435"/>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w:t>
      </w:r>
      <w:r>
        <w:rPr>
          <w:rFonts w:hint="eastAsia" w:ascii="宋体" w:hAnsi="宋体" w:eastAsia="宋体" w:cs="宋体"/>
          <w:sz w:val="24"/>
          <w:szCs w:val="24"/>
          <w:highlight w:val="none"/>
          <w:u w:val="single"/>
          <w:lang w:val="zh-CN"/>
        </w:rPr>
        <w:t xml:space="preserve"> （标的名称） </w:t>
      </w:r>
      <w:r>
        <w:rPr>
          <w:rFonts w:hint="eastAsia" w:ascii="宋体" w:hAnsi="宋体" w:eastAsia="宋体" w:cs="宋体"/>
          <w:sz w:val="24"/>
          <w:szCs w:val="24"/>
          <w:highlight w:val="none"/>
          <w:lang w:val="zh-CN"/>
        </w:rPr>
        <w:t>，属于</w:t>
      </w:r>
      <w:r>
        <w:rPr>
          <w:rFonts w:hint="eastAsia" w:ascii="宋体" w:hAnsi="宋体" w:eastAsia="宋体" w:cs="宋体"/>
          <w:sz w:val="24"/>
          <w:szCs w:val="24"/>
          <w:highlight w:val="none"/>
          <w:u w:val="single"/>
          <w:lang w:val="zh-CN"/>
        </w:rPr>
        <w:t>（采购文件中明确的所属行业）</w:t>
      </w:r>
      <w:r>
        <w:rPr>
          <w:rFonts w:hint="eastAsia" w:ascii="宋体" w:hAnsi="宋体" w:eastAsia="宋体" w:cs="宋体"/>
          <w:sz w:val="24"/>
          <w:szCs w:val="24"/>
          <w:highlight w:val="none"/>
          <w:lang w:val="zh-CN"/>
        </w:rPr>
        <w:t>行业；制造商为</w:t>
      </w:r>
      <w:r>
        <w:rPr>
          <w:rFonts w:hint="eastAsia" w:ascii="宋体" w:hAnsi="宋体" w:eastAsia="宋体" w:cs="宋体"/>
          <w:sz w:val="24"/>
          <w:szCs w:val="24"/>
          <w:highlight w:val="none"/>
          <w:u w:val="single"/>
          <w:lang w:val="zh-CN"/>
        </w:rPr>
        <w:t>（企业名称）</w:t>
      </w:r>
      <w:r>
        <w:rPr>
          <w:rFonts w:hint="eastAsia" w:ascii="宋体" w:hAnsi="宋体" w:eastAsia="宋体" w:cs="宋体"/>
          <w:sz w:val="24"/>
          <w:szCs w:val="24"/>
          <w:highlight w:val="none"/>
          <w:lang w:val="zh-CN"/>
        </w:rPr>
        <w:t>，从业人员</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人，营业收入为</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万元，资产总额为</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万元，属于</w:t>
      </w:r>
      <w:r>
        <w:rPr>
          <w:rFonts w:hint="eastAsia" w:ascii="宋体" w:hAnsi="宋体" w:eastAsia="宋体" w:cs="宋体"/>
          <w:sz w:val="24"/>
          <w:szCs w:val="24"/>
          <w:highlight w:val="none"/>
          <w:u w:val="single"/>
          <w:lang w:val="zh-CN"/>
        </w:rPr>
        <w:t>（中型企业、小型企业、微型企业）</w:t>
      </w:r>
      <w:r>
        <w:rPr>
          <w:rFonts w:hint="eastAsia" w:ascii="宋体" w:hAnsi="宋体" w:eastAsia="宋体" w:cs="宋体"/>
          <w:sz w:val="24"/>
          <w:szCs w:val="24"/>
          <w:highlight w:val="none"/>
          <w:lang w:val="zh-CN"/>
        </w:rPr>
        <w:t xml:space="preserve">； </w:t>
      </w:r>
    </w:p>
    <w:p w14:paraId="3096269F">
      <w:pPr>
        <w:spacing w:line="360" w:lineRule="auto"/>
        <w:ind w:firstLine="435"/>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w:t>
      </w:r>
    </w:p>
    <w:p w14:paraId="256DFA4E">
      <w:pPr>
        <w:spacing w:line="360" w:lineRule="auto"/>
        <w:ind w:firstLine="435"/>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以上企业，不属于大企业的分支机构，不存在控股股东为大企业的情形，也不存在与大企业的负责人为同一人的情形。</w:t>
      </w:r>
    </w:p>
    <w:p w14:paraId="1BBB0B34">
      <w:pPr>
        <w:spacing w:line="360" w:lineRule="auto"/>
        <w:ind w:firstLine="435"/>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本企业对上述声明内容的真实性负责。如有虚假，将依法承担相应责任。 </w:t>
      </w:r>
    </w:p>
    <w:p w14:paraId="20A30A7F">
      <w:pPr>
        <w:spacing w:line="360" w:lineRule="auto"/>
        <w:ind w:firstLine="435"/>
        <w:rPr>
          <w:rFonts w:hint="eastAsia" w:ascii="宋体" w:hAnsi="宋体" w:eastAsia="宋体" w:cs="宋体"/>
          <w:sz w:val="24"/>
          <w:szCs w:val="24"/>
          <w:highlight w:val="none"/>
        </w:rPr>
      </w:pPr>
    </w:p>
    <w:p w14:paraId="389E0C04">
      <w:pPr>
        <w:spacing w:line="360" w:lineRule="auto"/>
        <w:ind w:firstLine="435"/>
        <w:rPr>
          <w:rFonts w:hint="eastAsia" w:ascii="宋体" w:hAnsi="宋体" w:eastAsia="宋体" w:cs="宋体"/>
          <w:sz w:val="24"/>
          <w:szCs w:val="24"/>
          <w:highlight w:val="none"/>
        </w:rPr>
      </w:pPr>
    </w:p>
    <w:p w14:paraId="59A21064">
      <w:pPr>
        <w:spacing w:line="360" w:lineRule="auto"/>
        <w:ind w:firstLine="5520" w:firstLineChars="2300"/>
        <w:rPr>
          <w:rFonts w:hint="eastAsia" w:ascii="宋体" w:hAnsi="宋体" w:eastAsia="宋体" w:cs="宋体"/>
          <w:bCs/>
          <w:sz w:val="24"/>
          <w:highlight w:val="none"/>
          <w:u w:val="single"/>
        </w:rPr>
      </w:pPr>
      <w:r>
        <w:rPr>
          <w:rFonts w:hint="eastAsia" w:ascii="宋体" w:hAnsi="宋体" w:eastAsia="宋体" w:cs="宋体"/>
          <w:bCs/>
          <w:sz w:val="24"/>
          <w:highlight w:val="none"/>
        </w:rPr>
        <w:t>投标人：</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eastAsia="zh-CN"/>
        </w:rPr>
        <w:t>（</w:t>
      </w:r>
      <w:r>
        <w:rPr>
          <w:rFonts w:hint="eastAsia" w:ascii="宋体" w:hAnsi="宋体" w:eastAsia="宋体" w:cs="宋体"/>
          <w:bCs/>
          <w:sz w:val="24"/>
          <w:highlight w:val="none"/>
          <w:u w:val="single"/>
          <w:lang w:val="en-US" w:eastAsia="zh-CN"/>
        </w:rPr>
        <w:t>盖章）</w:t>
      </w:r>
      <w:r>
        <w:rPr>
          <w:rFonts w:hint="eastAsia" w:ascii="宋体" w:hAnsi="宋体" w:eastAsia="宋体" w:cs="宋体"/>
          <w:bCs/>
          <w:sz w:val="24"/>
          <w:highlight w:val="none"/>
          <w:u w:val="single"/>
        </w:rPr>
        <w:t xml:space="preserve">        </w:t>
      </w:r>
    </w:p>
    <w:p w14:paraId="72B793B3">
      <w:pPr>
        <w:spacing w:line="360" w:lineRule="auto"/>
        <w:ind w:firstLine="5520" w:firstLineChars="2300"/>
        <w:rPr>
          <w:rFonts w:hint="eastAsia" w:ascii="宋体" w:hAnsi="宋体" w:eastAsia="宋体" w:cs="宋体"/>
          <w:bCs/>
          <w:sz w:val="24"/>
          <w:highlight w:val="none"/>
        </w:rPr>
      </w:pPr>
      <w:r>
        <w:rPr>
          <w:rFonts w:hint="eastAsia" w:ascii="宋体" w:hAnsi="宋体" w:eastAsia="宋体" w:cs="宋体"/>
          <w:bCs/>
          <w:sz w:val="24"/>
          <w:highlight w:val="none"/>
        </w:rPr>
        <w:t>日  期：</w:t>
      </w:r>
      <w:r>
        <w:rPr>
          <w:rFonts w:hint="eastAsia" w:ascii="宋体" w:hAnsi="宋体" w:eastAsia="宋体" w:cs="宋体"/>
          <w:bCs/>
          <w:sz w:val="24"/>
          <w:highlight w:val="none"/>
          <w:u w:val="single"/>
        </w:rPr>
        <w:t xml:space="preserve">             </w:t>
      </w:r>
    </w:p>
    <w:p w14:paraId="72F70F21">
      <w:pPr>
        <w:tabs>
          <w:tab w:val="left" w:pos="4620"/>
        </w:tabs>
        <w:spacing w:line="360" w:lineRule="auto"/>
        <w:jc w:val="left"/>
        <w:rPr>
          <w:rFonts w:hint="eastAsia" w:ascii="宋体" w:hAnsi="宋体" w:eastAsia="宋体" w:cs="宋体"/>
          <w:sz w:val="24"/>
          <w:szCs w:val="24"/>
          <w:highlight w:val="none"/>
        </w:rPr>
      </w:pPr>
    </w:p>
    <w:bookmarkEnd w:id="213"/>
    <w:bookmarkEnd w:id="214"/>
    <w:p w14:paraId="0443D201">
      <w:pPr>
        <w:tabs>
          <w:tab w:val="left" w:pos="4620"/>
        </w:tabs>
        <w:spacing w:line="360" w:lineRule="auto"/>
        <w:jc w:val="left"/>
        <w:rPr>
          <w:rFonts w:hint="eastAsia" w:ascii="宋体" w:hAnsi="宋体" w:eastAsia="宋体" w:cs="宋体"/>
          <w:b/>
          <w:szCs w:val="24"/>
          <w:highlight w:val="none"/>
        </w:rPr>
      </w:pPr>
      <w:r>
        <w:rPr>
          <w:rFonts w:hint="eastAsia" w:ascii="宋体" w:hAnsi="宋体" w:eastAsia="宋体" w:cs="宋体"/>
          <w:b/>
          <w:szCs w:val="24"/>
          <w:highlight w:val="none"/>
        </w:rPr>
        <w:t>注：</w:t>
      </w:r>
    </w:p>
    <w:p w14:paraId="1569876D">
      <w:pPr>
        <w:tabs>
          <w:tab w:val="left" w:pos="4620"/>
        </w:tabs>
        <w:spacing w:line="360" w:lineRule="auto"/>
        <w:jc w:val="left"/>
        <w:rPr>
          <w:rFonts w:hint="eastAsia" w:ascii="宋体" w:hAnsi="宋体" w:eastAsia="宋体" w:cs="宋体"/>
          <w:szCs w:val="24"/>
          <w:highlight w:val="none"/>
        </w:rPr>
      </w:pPr>
      <w:r>
        <w:rPr>
          <w:rFonts w:hint="eastAsia" w:ascii="宋体" w:hAnsi="宋体" w:eastAsia="宋体" w:cs="宋体"/>
          <w:szCs w:val="24"/>
          <w:highlight w:val="none"/>
        </w:rPr>
        <w:t>1.从业人员、营业收入、资产总额填报上一年数据，无上一年数据的新成立企业可不填报。</w:t>
      </w:r>
    </w:p>
    <w:p w14:paraId="7BCDC26F">
      <w:pPr>
        <w:tabs>
          <w:tab w:val="left" w:pos="4620"/>
        </w:tabs>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2.投标人应根据《政府采购促进中小企业发展管理办法》（财库﹝2020﹞46号）和《关于印发中小企业划型标准规定的通知》</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rPr>
        <w:t>工信部联企业〔2011〕300号</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rPr>
        <w:t>相关规定，如实填写中小企业声明函。</w:t>
      </w:r>
      <w:r>
        <w:rPr>
          <w:rFonts w:hint="eastAsia" w:ascii="宋体" w:hAnsi="宋体" w:eastAsia="宋体" w:cs="宋体"/>
          <w:b/>
          <w:bCs/>
          <w:szCs w:val="21"/>
          <w:highlight w:val="none"/>
          <w:lang w:val="zh-CN"/>
        </w:rPr>
        <w:t>如有虚假，将依法承担相应责任。</w:t>
      </w:r>
      <w:r>
        <w:rPr>
          <w:rFonts w:hint="eastAsia" w:ascii="宋体" w:hAnsi="宋体" w:eastAsia="宋体" w:cs="宋体"/>
          <w:b/>
          <w:bCs/>
          <w:szCs w:val="21"/>
          <w:highlight w:val="none"/>
        </w:rPr>
        <w:t>投标人自行登录工业和信息化部官网进行中小企业规模类型自测（查询网址https://www.miit.gov.cn/）。</w:t>
      </w:r>
    </w:p>
    <w:p w14:paraId="1D3DBDC3">
      <w:pPr>
        <w:tabs>
          <w:tab w:val="left" w:pos="4620"/>
        </w:tabs>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3.上述“</w:t>
      </w:r>
      <w:r>
        <w:rPr>
          <w:rFonts w:hint="eastAsia" w:ascii="宋体" w:hAnsi="宋体" w:eastAsia="宋体" w:cs="宋体"/>
          <w:b/>
          <w:bCs/>
          <w:szCs w:val="21"/>
          <w:highlight w:val="none"/>
          <w:u w:val="single"/>
          <w:lang w:val="zh-CN"/>
        </w:rPr>
        <w:t>标的名称</w:t>
      </w:r>
      <w:r>
        <w:rPr>
          <w:rFonts w:hint="eastAsia" w:ascii="宋体" w:hAnsi="宋体" w:eastAsia="宋体" w:cs="宋体"/>
          <w:b/>
          <w:bCs/>
          <w:szCs w:val="21"/>
          <w:highlight w:val="none"/>
        </w:rPr>
        <w:t>”，详见第三章采购需求中明确的“货物名称”。</w:t>
      </w:r>
    </w:p>
    <w:p w14:paraId="042C07A9">
      <w:pPr>
        <w:tabs>
          <w:tab w:val="left" w:pos="4620"/>
        </w:tabs>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4.上述“</w:t>
      </w:r>
      <w:r>
        <w:rPr>
          <w:rFonts w:hint="eastAsia" w:ascii="宋体" w:hAnsi="宋体" w:eastAsia="宋体" w:cs="宋体"/>
          <w:b/>
          <w:bCs/>
          <w:szCs w:val="21"/>
          <w:highlight w:val="none"/>
          <w:u w:val="single"/>
        </w:rPr>
        <w:t>采购文件中明确的所属行业</w:t>
      </w:r>
      <w:r>
        <w:rPr>
          <w:rFonts w:hint="eastAsia" w:ascii="宋体" w:hAnsi="宋体" w:eastAsia="宋体" w:cs="宋体"/>
          <w:b/>
          <w:bCs/>
          <w:szCs w:val="21"/>
          <w:highlight w:val="none"/>
        </w:rPr>
        <w:t>”，详见第三章采购需求中明确的“所属行业”。</w:t>
      </w:r>
    </w:p>
    <w:p w14:paraId="3482DFA2">
      <w:pPr>
        <w:tabs>
          <w:tab w:val="left" w:pos="4620"/>
        </w:tabs>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5.填写示例：</w:t>
      </w:r>
      <w:r>
        <w:rPr>
          <w:rFonts w:hint="eastAsia" w:ascii="宋体" w:hAnsi="宋体" w:eastAsia="宋体" w:cs="宋体"/>
          <w:b/>
          <w:bCs/>
          <w:szCs w:val="21"/>
          <w:highlight w:val="none"/>
          <w:u w:val="single"/>
          <w:lang w:val="zh-CN"/>
        </w:rPr>
        <w:t>某设备</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属于</w:t>
      </w:r>
      <w:r>
        <w:rPr>
          <w:rFonts w:hint="eastAsia" w:ascii="宋体" w:hAnsi="宋体" w:eastAsia="宋体" w:cs="宋体"/>
          <w:b/>
          <w:bCs/>
          <w:szCs w:val="21"/>
          <w:highlight w:val="none"/>
          <w:u w:val="single"/>
        </w:rPr>
        <w:t>（填写第三章采购需求中对应货物的“所属行业”，如工业）</w:t>
      </w:r>
      <w:r>
        <w:rPr>
          <w:rFonts w:hint="eastAsia" w:ascii="宋体" w:hAnsi="宋体" w:eastAsia="宋体" w:cs="宋体"/>
          <w:b/>
          <w:bCs/>
          <w:szCs w:val="21"/>
          <w:highlight w:val="none"/>
          <w:lang w:val="zh-CN"/>
        </w:rPr>
        <w:t>行业</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承接企业为</w:t>
      </w:r>
      <w:r>
        <w:rPr>
          <w:rFonts w:hint="eastAsia" w:ascii="宋体" w:hAnsi="宋体" w:eastAsia="宋体" w:cs="宋体"/>
          <w:b/>
          <w:bCs/>
          <w:szCs w:val="21"/>
          <w:highlight w:val="none"/>
          <w:u w:val="single"/>
          <w:lang w:val="zh-CN"/>
        </w:rPr>
        <w:t>某</w:t>
      </w:r>
      <w:r>
        <w:rPr>
          <w:rFonts w:hint="eastAsia" w:ascii="宋体" w:hAnsi="宋体" w:eastAsia="宋体" w:cs="宋体"/>
          <w:b/>
          <w:bCs/>
          <w:szCs w:val="21"/>
          <w:highlight w:val="none"/>
          <w:u w:val="single"/>
        </w:rPr>
        <w:t>企业</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从业人员</w:t>
      </w:r>
      <w:r>
        <w:rPr>
          <w:rFonts w:hint="eastAsia" w:ascii="宋体" w:hAnsi="宋体" w:eastAsia="宋体" w:cs="宋体"/>
          <w:b/>
          <w:bCs/>
          <w:szCs w:val="21"/>
          <w:highlight w:val="none"/>
          <w:u w:val="single"/>
        </w:rPr>
        <w:t>100</w:t>
      </w:r>
      <w:r>
        <w:rPr>
          <w:rFonts w:hint="eastAsia" w:ascii="宋体" w:hAnsi="宋体" w:eastAsia="宋体" w:cs="宋体"/>
          <w:b/>
          <w:bCs/>
          <w:szCs w:val="21"/>
          <w:highlight w:val="none"/>
          <w:lang w:val="zh-CN"/>
        </w:rPr>
        <w:t>人</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营业收入为</w:t>
      </w:r>
      <w:r>
        <w:rPr>
          <w:rFonts w:hint="eastAsia" w:ascii="宋体" w:hAnsi="宋体" w:eastAsia="宋体" w:cs="宋体"/>
          <w:b/>
          <w:bCs/>
          <w:szCs w:val="21"/>
          <w:highlight w:val="none"/>
          <w:u w:val="single"/>
        </w:rPr>
        <w:t>10000</w:t>
      </w:r>
      <w:r>
        <w:rPr>
          <w:rFonts w:hint="eastAsia" w:ascii="宋体" w:hAnsi="宋体" w:eastAsia="宋体" w:cs="宋体"/>
          <w:b/>
          <w:bCs/>
          <w:szCs w:val="21"/>
          <w:highlight w:val="none"/>
          <w:lang w:val="zh-CN"/>
        </w:rPr>
        <w:t>万元</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资产总额为</w:t>
      </w:r>
      <w:r>
        <w:rPr>
          <w:rFonts w:hint="eastAsia" w:ascii="宋体" w:hAnsi="宋体" w:eastAsia="宋体" w:cs="宋体"/>
          <w:b/>
          <w:bCs/>
          <w:szCs w:val="21"/>
          <w:highlight w:val="none"/>
          <w:u w:val="single"/>
        </w:rPr>
        <w:t>5000</w:t>
      </w:r>
      <w:r>
        <w:rPr>
          <w:rFonts w:hint="eastAsia" w:ascii="宋体" w:hAnsi="宋体" w:eastAsia="宋体" w:cs="宋体"/>
          <w:b/>
          <w:bCs/>
          <w:szCs w:val="21"/>
          <w:highlight w:val="none"/>
          <w:lang w:val="zh-CN"/>
        </w:rPr>
        <w:t>万元</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属于</w:t>
      </w:r>
      <w:r>
        <w:rPr>
          <w:rFonts w:hint="eastAsia" w:ascii="宋体" w:hAnsi="宋体" w:eastAsia="宋体" w:cs="宋体"/>
          <w:b/>
          <w:bCs/>
          <w:szCs w:val="21"/>
          <w:highlight w:val="none"/>
          <w:u w:val="single"/>
          <w:lang w:val="zh-CN"/>
        </w:rPr>
        <w:t>小型</w:t>
      </w:r>
      <w:r>
        <w:rPr>
          <w:rFonts w:hint="eastAsia" w:ascii="宋体" w:hAnsi="宋体" w:eastAsia="宋体" w:cs="宋体"/>
          <w:b/>
          <w:bCs/>
          <w:szCs w:val="21"/>
          <w:highlight w:val="none"/>
          <w:lang w:val="zh-CN"/>
        </w:rPr>
        <w:t>企业</w:t>
      </w:r>
      <w:r>
        <w:rPr>
          <w:rFonts w:hint="eastAsia" w:ascii="宋体" w:hAnsi="宋体" w:eastAsia="宋体" w:cs="宋体"/>
          <w:b/>
          <w:bCs/>
          <w:szCs w:val="21"/>
          <w:highlight w:val="none"/>
        </w:rPr>
        <w:t>[投标人自行登录工业和信息化部官网进行中小企业规模类型自测（查询网址https://www.miit.gov.cn/）查询]</w:t>
      </w:r>
      <w:r>
        <w:rPr>
          <w:rFonts w:hint="eastAsia" w:ascii="宋体" w:hAnsi="宋体" w:eastAsia="宋体" w:cs="宋体"/>
          <w:b/>
          <w:bCs/>
          <w:szCs w:val="21"/>
          <w:highlight w:val="none"/>
          <w:lang w:val="zh-CN"/>
        </w:rPr>
        <w:t>。</w:t>
      </w:r>
    </w:p>
    <w:p w14:paraId="19187D31">
      <w:pPr>
        <w:rPr>
          <w:rFonts w:hint="eastAsia" w:ascii="宋体" w:hAnsi="宋体" w:eastAsia="宋体" w:cs="宋体"/>
          <w:b/>
          <w:sz w:val="24"/>
          <w:highlight w:val="none"/>
        </w:rPr>
      </w:pPr>
      <w:r>
        <w:rPr>
          <w:rFonts w:hint="eastAsia" w:ascii="宋体" w:hAnsi="宋体" w:eastAsia="宋体" w:cs="宋体"/>
          <w:b/>
          <w:sz w:val="24"/>
          <w:highlight w:val="none"/>
        </w:rPr>
        <w:br w:type="page"/>
      </w:r>
    </w:p>
    <w:p w14:paraId="7A14B79F">
      <w:pPr>
        <w:spacing w:line="360" w:lineRule="auto"/>
        <w:jc w:val="center"/>
        <w:outlineLvl w:val="1"/>
        <w:rPr>
          <w:rFonts w:hint="eastAsia" w:ascii="宋体" w:hAnsi="宋体" w:eastAsia="宋体" w:cs="宋体"/>
          <w:b/>
          <w:sz w:val="24"/>
          <w:highlight w:val="none"/>
        </w:rPr>
      </w:pPr>
      <w:r>
        <w:rPr>
          <w:rFonts w:hint="eastAsia" w:ascii="宋体" w:hAnsi="宋体" w:eastAsia="宋体" w:cs="宋体"/>
          <w:b/>
          <w:sz w:val="24"/>
          <w:highlight w:val="none"/>
        </w:rPr>
        <w:t>十、残疾人福利性单位声明函</w:t>
      </w:r>
    </w:p>
    <w:p w14:paraId="5F25C613">
      <w:pPr>
        <w:spacing w:line="360" w:lineRule="auto"/>
        <w:ind w:firstLine="435"/>
        <w:rPr>
          <w:rFonts w:hint="eastAsia" w:ascii="宋体" w:hAnsi="宋体" w:eastAsia="宋体" w:cs="宋体"/>
          <w:spacing w:val="6"/>
          <w:sz w:val="24"/>
          <w:szCs w:val="24"/>
          <w:highlight w:val="none"/>
        </w:rPr>
      </w:pPr>
      <w:r>
        <w:rPr>
          <w:rFonts w:hint="eastAsia" w:ascii="宋体" w:hAnsi="宋体" w:eastAsia="宋体" w:cs="宋体"/>
          <w:b/>
          <w:i/>
          <w:color w:val="FF0000"/>
          <w:sz w:val="24"/>
          <w:szCs w:val="24"/>
          <w:highlight w:val="none"/>
        </w:rPr>
        <w:t>（请完整填写声明函内容，否则不予认可；非残疾人福利性单位投标，不需此件）</w:t>
      </w:r>
    </w:p>
    <w:p w14:paraId="7F228A68">
      <w:pPr>
        <w:spacing w:line="360" w:lineRule="auto"/>
        <w:ind w:firstLine="435"/>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本单位</w:t>
      </w:r>
      <w:r>
        <w:rPr>
          <w:rFonts w:hint="eastAsia" w:ascii="宋体" w:hAnsi="宋体" w:eastAsia="宋体" w:cs="宋体"/>
          <w:sz w:val="24"/>
          <w:highlight w:val="none"/>
        </w:rPr>
        <w:t>郑重</w:t>
      </w:r>
      <w:r>
        <w:rPr>
          <w:rFonts w:hint="eastAsia" w:ascii="宋体" w:hAnsi="宋体" w:eastAsia="宋体" w:cs="宋体"/>
          <w:spacing w:val="6"/>
          <w:sz w:val="24"/>
          <w:szCs w:val="24"/>
          <w:highlight w:val="none"/>
        </w:rPr>
        <w:t>声明，根据《财政部 民政部 中国残疾人联合会关于促进残疾人就业政府采购政策的通知》（财库</w:t>
      </w:r>
      <w:r>
        <w:rPr>
          <w:rFonts w:hint="eastAsia" w:ascii="宋体" w:hAnsi="宋体" w:eastAsia="宋体" w:cs="宋体"/>
          <w:sz w:val="24"/>
          <w:szCs w:val="24"/>
          <w:highlight w:val="none"/>
        </w:rPr>
        <w:t>〔2017〕141</w:t>
      </w:r>
      <w:r>
        <w:rPr>
          <w:rFonts w:hint="eastAsia" w:ascii="宋体" w:hAnsi="宋体" w:eastAsia="宋体" w:cs="宋体"/>
          <w:spacing w:val="6"/>
          <w:sz w:val="24"/>
          <w:szCs w:val="24"/>
          <w:highlight w:val="none"/>
        </w:rPr>
        <w:t>号）的规定，本单位为</w:t>
      </w:r>
      <w:r>
        <w:rPr>
          <w:rFonts w:hint="eastAsia" w:ascii="宋体" w:hAnsi="宋体" w:eastAsia="宋体" w:cs="宋体"/>
          <w:bCs/>
          <w:sz w:val="24"/>
          <w:szCs w:val="24"/>
          <w:highlight w:val="none"/>
        </w:rPr>
        <w:t>符合</w:t>
      </w:r>
      <w:r>
        <w:rPr>
          <w:rFonts w:hint="eastAsia" w:ascii="宋体" w:hAnsi="宋体" w:eastAsia="宋体" w:cs="宋体"/>
          <w:spacing w:val="6"/>
          <w:sz w:val="24"/>
          <w:szCs w:val="24"/>
          <w:highlight w:val="none"/>
        </w:rPr>
        <w:t>条件的残疾人福利性单位，且本单位参加</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rPr>
        <w:t>单位的</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rPr>
        <w:t>项目采购活动提供本单位制造的货物，或者提供其他残疾人福利性单位制造的货物（不包括使用非残疾人福利性单位注册商标的货物）。</w:t>
      </w:r>
    </w:p>
    <w:p w14:paraId="2F9772DC">
      <w:pPr>
        <w:spacing w:line="360" w:lineRule="auto"/>
        <w:ind w:firstLine="435"/>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本单位对上述声明的真实性负责。如有虚假，将依法承担相应责任。</w:t>
      </w:r>
    </w:p>
    <w:p w14:paraId="5B0FE24C">
      <w:pPr>
        <w:spacing w:line="360" w:lineRule="auto"/>
        <w:ind w:firstLine="4228" w:firstLineChars="1762"/>
        <w:rPr>
          <w:rFonts w:hint="eastAsia" w:ascii="宋体" w:hAnsi="宋体" w:eastAsia="宋体" w:cs="宋体"/>
          <w:sz w:val="24"/>
          <w:szCs w:val="24"/>
          <w:highlight w:val="none"/>
        </w:rPr>
      </w:pPr>
    </w:p>
    <w:p w14:paraId="060C5732">
      <w:pPr>
        <w:spacing w:line="360" w:lineRule="auto"/>
        <w:ind w:firstLine="4228" w:firstLineChars="1762"/>
        <w:rPr>
          <w:rFonts w:hint="eastAsia" w:ascii="宋体" w:hAnsi="宋体" w:eastAsia="宋体" w:cs="宋体"/>
          <w:sz w:val="24"/>
          <w:szCs w:val="24"/>
          <w:highlight w:val="none"/>
        </w:rPr>
      </w:pPr>
    </w:p>
    <w:p w14:paraId="08288C25">
      <w:pPr>
        <w:spacing w:line="360" w:lineRule="auto"/>
        <w:ind w:firstLine="5520" w:firstLineChars="2300"/>
        <w:rPr>
          <w:rFonts w:hint="eastAsia" w:ascii="宋体" w:hAnsi="宋体" w:eastAsia="宋体" w:cs="宋体"/>
          <w:bCs/>
          <w:sz w:val="24"/>
          <w:highlight w:val="none"/>
          <w:u w:val="single"/>
        </w:rPr>
      </w:pPr>
      <w:r>
        <w:rPr>
          <w:rFonts w:hint="eastAsia" w:ascii="宋体" w:hAnsi="宋体" w:eastAsia="宋体" w:cs="宋体"/>
          <w:bCs/>
          <w:sz w:val="24"/>
          <w:highlight w:val="none"/>
        </w:rPr>
        <w:t>投标人：</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eastAsia="zh-CN"/>
        </w:rPr>
        <w:t>（</w:t>
      </w:r>
      <w:r>
        <w:rPr>
          <w:rFonts w:hint="eastAsia" w:ascii="宋体" w:hAnsi="宋体" w:eastAsia="宋体" w:cs="宋体"/>
          <w:bCs/>
          <w:sz w:val="24"/>
          <w:highlight w:val="none"/>
          <w:u w:val="single"/>
          <w:lang w:val="en-US" w:eastAsia="zh-CN"/>
        </w:rPr>
        <w:t>盖章）</w:t>
      </w:r>
      <w:r>
        <w:rPr>
          <w:rFonts w:hint="eastAsia" w:ascii="宋体" w:hAnsi="宋体" w:eastAsia="宋体" w:cs="宋体"/>
          <w:bCs/>
          <w:sz w:val="24"/>
          <w:highlight w:val="none"/>
          <w:u w:val="single"/>
        </w:rPr>
        <w:t xml:space="preserve">        </w:t>
      </w:r>
    </w:p>
    <w:p w14:paraId="0DACC6E1">
      <w:pPr>
        <w:spacing w:line="360" w:lineRule="auto"/>
        <w:ind w:firstLine="5520" w:firstLineChars="2300"/>
        <w:rPr>
          <w:rFonts w:hint="eastAsia" w:ascii="宋体" w:hAnsi="宋体" w:eastAsia="宋体" w:cs="宋体"/>
          <w:bCs/>
          <w:sz w:val="24"/>
          <w:highlight w:val="none"/>
        </w:rPr>
      </w:pPr>
      <w:r>
        <w:rPr>
          <w:rFonts w:hint="eastAsia" w:ascii="宋体" w:hAnsi="宋体" w:eastAsia="宋体" w:cs="宋体"/>
          <w:bCs/>
          <w:sz w:val="24"/>
          <w:highlight w:val="none"/>
        </w:rPr>
        <w:t>日  期：</w:t>
      </w:r>
      <w:r>
        <w:rPr>
          <w:rFonts w:hint="eastAsia" w:ascii="宋体" w:hAnsi="宋体" w:eastAsia="宋体" w:cs="宋体"/>
          <w:bCs/>
          <w:sz w:val="24"/>
          <w:highlight w:val="none"/>
          <w:u w:val="single"/>
        </w:rPr>
        <w:t xml:space="preserve">             </w:t>
      </w:r>
    </w:p>
    <w:p w14:paraId="007B5067">
      <w:pPr>
        <w:widowControl/>
        <w:jc w:val="left"/>
        <w:rPr>
          <w:rFonts w:hint="eastAsia" w:ascii="宋体" w:hAnsi="宋体" w:eastAsia="宋体" w:cs="宋体"/>
          <w:sz w:val="24"/>
          <w:highlight w:val="none"/>
        </w:rPr>
      </w:pPr>
      <w:r>
        <w:rPr>
          <w:rFonts w:hint="eastAsia" w:ascii="宋体" w:hAnsi="宋体" w:eastAsia="宋体" w:cs="宋体"/>
          <w:sz w:val="24"/>
          <w:highlight w:val="none"/>
        </w:rPr>
        <w:br w:type="page"/>
      </w:r>
    </w:p>
    <w:p w14:paraId="67F4CE1A">
      <w:pPr>
        <w:spacing w:line="360" w:lineRule="auto"/>
        <w:jc w:val="center"/>
        <w:outlineLvl w:val="1"/>
        <w:rPr>
          <w:rFonts w:hint="eastAsia" w:ascii="宋体" w:hAnsi="宋体" w:eastAsia="宋体" w:cs="宋体"/>
          <w:b/>
          <w:sz w:val="24"/>
          <w:highlight w:val="none"/>
        </w:rPr>
      </w:pPr>
      <w:bookmarkStart w:id="215" w:name="_Toc300210382"/>
      <w:bookmarkStart w:id="216" w:name="_Toc457768004"/>
      <w:bookmarkStart w:id="217" w:name="_Toc520299348"/>
      <w:bookmarkStart w:id="218" w:name="_Hlk11701496"/>
      <w:r>
        <w:rPr>
          <w:rFonts w:hint="eastAsia" w:ascii="宋体" w:hAnsi="宋体" w:eastAsia="宋体" w:cs="宋体"/>
          <w:b/>
          <w:sz w:val="24"/>
          <w:highlight w:val="none"/>
        </w:rPr>
        <w:t>十</w:t>
      </w:r>
      <w:r>
        <w:rPr>
          <w:rFonts w:hint="eastAsia" w:ascii="宋体" w:hAnsi="宋体" w:eastAsia="宋体" w:cs="宋体"/>
          <w:b/>
          <w:sz w:val="24"/>
          <w:highlight w:val="none"/>
          <w:lang w:val="en-US" w:eastAsia="zh-CN"/>
        </w:rPr>
        <w:t>一</w:t>
      </w:r>
      <w:r>
        <w:rPr>
          <w:rFonts w:hint="eastAsia" w:ascii="宋体" w:hAnsi="宋体" w:eastAsia="宋体" w:cs="宋体"/>
          <w:b/>
          <w:sz w:val="24"/>
          <w:highlight w:val="none"/>
        </w:rPr>
        <w:t>、</w:t>
      </w:r>
      <w:bookmarkEnd w:id="215"/>
      <w:bookmarkEnd w:id="216"/>
      <w:bookmarkEnd w:id="217"/>
      <w:r>
        <w:rPr>
          <w:rFonts w:hint="eastAsia" w:ascii="宋体" w:hAnsi="宋体" w:eastAsia="宋体" w:cs="宋体"/>
          <w:b/>
          <w:sz w:val="24"/>
          <w:highlight w:val="none"/>
        </w:rPr>
        <w:t>诚信履约承诺函</w:t>
      </w:r>
    </w:p>
    <w:p w14:paraId="0E5C5325">
      <w:pPr>
        <w:spacing w:line="360" w:lineRule="auto"/>
        <w:rPr>
          <w:rFonts w:hint="eastAsia" w:ascii="宋体" w:hAnsi="宋体" w:eastAsia="宋体" w:cs="宋体"/>
          <w:b/>
          <w:bCs/>
          <w:sz w:val="24"/>
          <w:highlight w:val="none"/>
        </w:rPr>
      </w:pPr>
    </w:p>
    <w:p w14:paraId="0302DE65">
      <w:pPr>
        <w:spacing w:line="360" w:lineRule="auto"/>
        <w:rPr>
          <w:rFonts w:hint="eastAsia" w:ascii="宋体" w:hAnsi="宋体" w:eastAsia="宋体" w:cs="宋体"/>
          <w:b/>
          <w:bCs/>
          <w:sz w:val="24"/>
          <w:highlight w:val="none"/>
          <w:u w:val="single"/>
        </w:rPr>
      </w:pPr>
      <w:r>
        <w:rPr>
          <w:rFonts w:hint="eastAsia" w:ascii="宋体" w:hAnsi="宋体" w:eastAsia="宋体" w:cs="宋体"/>
          <w:b/>
          <w:bCs/>
          <w:sz w:val="24"/>
          <w:highlight w:val="none"/>
        </w:rPr>
        <w:t>致：</w:t>
      </w:r>
      <w:r>
        <w:rPr>
          <w:rFonts w:hint="eastAsia" w:ascii="宋体" w:hAnsi="宋体" w:eastAsia="宋体" w:cs="宋体"/>
          <w:b/>
          <w:bCs/>
          <w:sz w:val="24"/>
          <w:highlight w:val="none"/>
          <w:u w:val="single"/>
        </w:rPr>
        <w:t>某采购单位</w:t>
      </w:r>
    </w:p>
    <w:p w14:paraId="215C0581">
      <w:pPr>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u w:val="single"/>
        </w:rPr>
        <w:t xml:space="preserve">某代理机构 </w:t>
      </w:r>
    </w:p>
    <w:p w14:paraId="54A5833E">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如我单位被确定为本项目中标人，我单位承诺在合同签订及履约过程中将严格执行《中华人民共和国政府采购法</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中华人民共和国政府采购法实施条例》及本项目采购文件中关于合同签订及履约的相关规定，不出现以下情形：</w:t>
      </w:r>
    </w:p>
    <w:p w14:paraId="49077BE6">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（1）中标或者成交后无正当理由拒不与</w:t>
      </w:r>
      <w:r>
        <w:rPr>
          <w:rFonts w:hint="eastAsia" w:ascii="宋体" w:hAnsi="宋体" w:eastAsia="宋体" w:cs="宋体"/>
          <w:bCs/>
          <w:sz w:val="24"/>
          <w:highlight w:val="none"/>
          <w:lang w:eastAsia="zh-CN"/>
        </w:rPr>
        <w:t>招标人</w:t>
      </w:r>
      <w:r>
        <w:rPr>
          <w:rFonts w:hint="eastAsia" w:ascii="宋体" w:hAnsi="宋体" w:eastAsia="宋体" w:cs="宋体"/>
          <w:bCs/>
          <w:sz w:val="24"/>
          <w:highlight w:val="none"/>
        </w:rPr>
        <w:t>签订政府采购合同；</w:t>
      </w:r>
    </w:p>
    <w:p w14:paraId="745AF133">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（2）未按照采购文件确定的事项签订政府采购合同；</w:t>
      </w:r>
    </w:p>
    <w:p w14:paraId="796F3A5F">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（3）将政府采购合同转包；</w:t>
      </w:r>
    </w:p>
    <w:p w14:paraId="5FA62561">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（4）提供假冒伪劣产品；</w:t>
      </w:r>
    </w:p>
    <w:p w14:paraId="404BE858">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（5）擅自变更、中止或者终止政府采购合同。</w:t>
      </w:r>
    </w:p>
    <w:p w14:paraId="7463BB04">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A11CBD1">
      <w:pPr>
        <w:spacing w:line="360" w:lineRule="auto"/>
        <w:rPr>
          <w:rFonts w:hint="eastAsia" w:ascii="宋体" w:hAnsi="宋体" w:eastAsia="宋体" w:cs="宋体"/>
          <w:bCs/>
          <w:sz w:val="24"/>
          <w:highlight w:val="none"/>
        </w:rPr>
      </w:pPr>
    </w:p>
    <w:p w14:paraId="227E4F34">
      <w:pPr>
        <w:spacing w:line="360" w:lineRule="auto"/>
        <w:rPr>
          <w:rFonts w:hint="eastAsia" w:ascii="宋体" w:hAnsi="宋体" w:eastAsia="宋体" w:cs="宋体"/>
          <w:bCs/>
          <w:sz w:val="24"/>
          <w:highlight w:val="none"/>
        </w:rPr>
      </w:pPr>
    </w:p>
    <w:p w14:paraId="4DA23E28">
      <w:pPr>
        <w:spacing w:line="360" w:lineRule="auto"/>
        <w:ind w:firstLine="5520" w:firstLineChars="2300"/>
        <w:rPr>
          <w:rFonts w:hint="eastAsia" w:ascii="宋体" w:hAnsi="宋体" w:eastAsia="宋体" w:cs="宋体"/>
          <w:bCs/>
          <w:sz w:val="24"/>
          <w:highlight w:val="none"/>
          <w:u w:val="single"/>
        </w:rPr>
      </w:pPr>
      <w:r>
        <w:rPr>
          <w:rFonts w:hint="eastAsia" w:ascii="宋体" w:hAnsi="宋体" w:eastAsia="宋体" w:cs="宋体"/>
          <w:bCs/>
          <w:sz w:val="24"/>
          <w:highlight w:val="none"/>
        </w:rPr>
        <w:t>投标人：</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eastAsia="zh-CN"/>
        </w:rPr>
        <w:t>（</w:t>
      </w:r>
      <w:r>
        <w:rPr>
          <w:rFonts w:hint="eastAsia" w:ascii="宋体" w:hAnsi="宋体" w:eastAsia="宋体" w:cs="宋体"/>
          <w:bCs/>
          <w:sz w:val="24"/>
          <w:highlight w:val="none"/>
          <w:u w:val="single"/>
          <w:lang w:val="en-US" w:eastAsia="zh-CN"/>
        </w:rPr>
        <w:t>盖章）</w:t>
      </w:r>
      <w:r>
        <w:rPr>
          <w:rFonts w:hint="eastAsia" w:ascii="宋体" w:hAnsi="宋体" w:eastAsia="宋体" w:cs="宋体"/>
          <w:bCs/>
          <w:sz w:val="24"/>
          <w:highlight w:val="none"/>
          <w:u w:val="single"/>
        </w:rPr>
        <w:t xml:space="preserve">        </w:t>
      </w:r>
    </w:p>
    <w:p w14:paraId="2DB8B7B0">
      <w:pPr>
        <w:spacing w:line="360" w:lineRule="auto"/>
        <w:ind w:firstLine="5520" w:firstLineChars="2300"/>
        <w:rPr>
          <w:rFonts w:hint="eastAsia" w:ascii="宋体" w:hAnsi="宋体" w:eastAsia="宋体" w:cs="宋体"/>
          <w:bCs/>
          <w:sz w:val="24"/>
          <w:highlight w:val="none"/>
        </w:rPr>
      </w:pPr>
      <w:r>
        <w:rPr>
          <w:rFonts w:hint="eastAsia" w:ascii="宋体" w:hAnsi="宋体" w:eastAsia="宋体" w:cs="宋体"/>
          <w:bCs/>
          <w:sz w:val="24"/>
          <w:highlight w:val="none"/>
        </w:rPr>
        <w:t>日  期：</w:t>
      </w:r>
      <w:r>
        <w:rPr>
          <w:rFonts w:hint="eastAsia" w:ascii="宋体" w:hAnsi="宋体" w:eastAsia="宋体" w:cs="宋体"/>
          <w:bCs/>
          <w:sz w:val="24"/>
          <w:highlight w:val="none"/>
          <w:u w:val="single"/>
        </w:rPr>
        <w:t xml:space="preserve">             </w:t>
      </w:r>
    </w:p>
    <w:p w14:paraId="5250A91F">
      <w:pPr>
        <w:widowControl/>
        <w:jc w:val="left"/>
        <w:rPr>
          <w:rFonts w:hint="eastAsia" w:ascii="宋体" w:hAnsi="宋体" w:eastAsia="宋体" w:cs="宋体"/>
          <w:sz w:val="24"/>
          <w:highlight w:val="none"/>
        </w:rPr>
      </w:pPr>
      <w:r>
        <w:rPr>
          <w:rFonts w:hint="eastAsia" w:ascii="宋体" w:hAnsi="宋体" w:eastAsia="宋体" w:cs="宋体"/>
          <w:sz w:val="24"/>
          <w:highlight w:val="none"/>
        </w:rPr>
        <w:br w:type="page"/>
      </w:r>
    </w:p>
    <w:bookmarkEnd w:id="218"/>
    <w:p w14:paraId="6554AFAF">
      <w:pPr>
        <w:spacing w:line="360" w:lineRule="auto"/>
        <w:jc w:val="center"/>
        <w:outlineLvl w:val="1"/>
        <w:rPr>
          <w:rFonts w:hint="eastAsia" w:ascii="宋体" w:hAnsi="宋体" w:eastAsia="宋体" w:cs="宋体"/>
          <w:b/>
          <w:sz w:val="24"/>
          <w:highlight w:val="none"/>
        </w:rPr>
      </w:pPr>
      <w:r>
        <w:rPr>
          <w:rFonts w:hint="eastAsia" w:ascii="宋体" w:hAnsi="宋体" w:eastAsia="宋体" w:cs="宋体"/>
          <w:b/>
          <w:sz w:val="24"/>
          <w:highlight w:val="none"/>
        </w:rPr>
        <w:t>十</w:t>
      </w:r>
      <w:r>
        <w:rPr>
          <w:rFonts w:hint="eastAsia" w:ascii="宋体" w:hAnsi="宋体" w:eastAsia="宋体" w:cs="宋体"/>
          <w:b/>
          <w:sz w:val="24"/>
          <w:highlight w:val="none"/>
          <w:lang w:val="en-US" w:eastAsia="zh-CN"/>
        </w:rPr>
        <w:t>二</w:t>
      </w:r>
      <w:r>
        <w:rPr>
          <w:rFonts w:hint="eastAsia" w:ascii="宋体" w:hAnsi="宋体" w:eastAsia="宋体" w:cs="宋体"/>
          <w:b/>
          <w:sz w:val="24"/>
          <w:highlight w:val="none"/>
        </w:rPr>
        <w:t>、其他相关证明材料</w:t>
      </w:r>
    </w:p>
    <w:p w14:paraId="0CD96617">
      <w:pPr>
        <w:spacing w:line="360" w:lineRule="auto"/>
        <w:ind w:firstLine="435"/>
        <w:rPr>
          <w:rFonts w:hint="eastAsia" w:ascii="宋体" w:hAnsi="宋体" w:eastAsia="宋体" w:cs="宋体"/>
          <w:b/>
          <w:sz w:val="24"/>
          <w:highlight w:val="none"/>
        </w:rPr>
      </w:pPr>
      <w:r>
        <w:rPr>
          <w:rFonts w:hint="eastAsia" w:ascii="宋体" w:hAnsi="宋体" w:eastAsia="宋体" w:cs="宋体"/>
          <w:b/>
          <w:sz w:val="24"/>
          <w:highlight w:val="none"/>
        </w:rPr>
        <w:t>特别提示：</w:t>
      </w:r>
    </w:p>
    <w:p w14:paraId="3399F942">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投标人在投标文件制作时可在此栏内上传招标文件要求上传的证明资料，如营业执照、产品彩页、证书、检测报告、产品图片等，应将上述证明材料制作成扫描件上传。</w:t>
      </w:r>
    </w:p>
    <w:p w14:paraId="23CDE8BC">
      <w:pPr>
        <w:spacing w:line="360" w:lineRule="auto"/>
        <w:ind w:firstLine="435"/>
        <w:rPr>
          <w:rFonts w:hint="eastAsia" w:ascii="宋体" w:hAnsi="宋体" w:eastAsia="宋体" w:cs="宋体"/>
          <w:highlight w:val="none"/>
        </w:rPr>
      </w:pPr>
      <w:r>
        <w:rPr>
          <w:rFonts w:hint="eastAsia" w:ascii="宋体" w:hAnsi="宋体" w:eastAsia="宋体" w:cs="宋体"/>
          <w:sz w:val="24"/>
          <w:highlight w:val="none"/>
        </w:rPr>
        <w:br w:type="page"/>
      </w:r>
    </w:p>
    <w:p w14:paraId="7204271A">
      <w:pPr>
        <w:widowControl/>
        <w:jc w:val="left"/>
        <w:rPr>
          <w:rFonts w:hint="eastAsia" w:ascii="宋体" w:hAnsi="宋体" w:eastAsia="宋体" w:cs="宋体"/>
          <w:bCs/>
          <w:sz w:val="24"/>
          <w:highlight w:val="none"/>
        </w:rPr>
      </w:pPr>
    </w:p>
    <w:p w14:paraId="5E9BA33A">
      <w:pPr>
        <w:spacing w:line="360" w:lineRule="auto"/>
        <w:jc w:val="center"/>
        <w:outlineLvl w:val="0"/>
        <w:rPr>
          <w:rFonts w:hint="eastAsia" w:ascii="宋体" w:hAnsi="宋体" w:eastAsia="宋体" w:cs="宋体"/>
          <w:b/>
          <w:bCs/>
          <w:sz w:val="28"/>
          <w:highlight w:val="none"/>
        </w:rPr>
      </w:pPr>
      <w:bookmarkStart w:id="219" w:name="_Toc13760"/>
      <w:r>
        <w:rPr>
          <w:rFonts w:hint="eastAsia" w:ascii="宋体" w:hAnsi="宋体" w:eastAsia="宋体" w:cs="宋体"/>
          <w:b/>
          <w:sz w:val="28"/>
          <w:highlight w:val="none"/>
        </w:rPr>
        <w:t>第八章</w:t>
      </w:r>
      <w:r>
        <w:rPr>
          <w:rFonts w:hint="eastAsia" w:ascii="宋体" w:hAnsi="宋体" w:eastAsia="宋体" w:cs="宋体"/>
          <w:b/>
          <w:bCs/>
          <w:sz w:val="28"/>
          <w:highlight w:val="none"/>
        </w:rPr>
        <w:t xml:space="preserve">  政府采购</w:t>
      </w:r>
      <w:r>
        <w:rPr>
          <w:rFonts w:hint="eastAsia" w:ascii="宋体" w:hAnsi="宋体" w:eastAsia="宋体" w:cs="宋体"/>
          <w:b/>
          <w:sz w:val="28"/>
          <w:highlight w:val="none"/>
        </w:rPr>
        <w:t>供应</w:t>
      </w:r>
      <w:r>
        <w:rPr>
          <w:rFonts w:hint="eastAsia" w:ascii="宋体" w:hAnsi="宋体" w:eastAsia="宋体" w:cs="宋体"/>
          <w:b/>
          <w:bCs/>
          <w:sz w:val="28"/>
          <w:highlight w:val="none"/>
        </w:rPr>
        <w:t>商询问函和质疑函范本</w:t>
      </w:r>
      <w:bookmarkEnd w:id="219"/>
    </w:p>
    <w:p w14:paraId="27F2A0EA">
      <w:pPr>
        <w:spacing w:line="360" w:lineRule="auto"/>
        <w:jc w:val="center"/>
        <w:outlineLvl w:val="1"/>
        <w:rPr>
          <w:rFonts w:hint="eastAsia" w:ascii="宋体" w:hAnsi="宋体" w:eastAsia="宋体" w:cs="宋体"/>
          <w:b/>
          <w:bCs/>
          <w:sz w:val="32"/>
          <w:szCs w:val="44"/>
          <w:highlight w:val="none"/>
        </w:rPr>
      </w:pPr>
      <w:r>
        <w:rPr>
          <w:rFonts w:hint="eastAsia" w:ascii="宋体" w:hAnsi="宋体" w:eastAsia="宋体" w:cs="宋体"/>
          <w:b/>
          <w:bCs/>
          <w:sz w:val="32"/>
          <w:szCs w:val="44"/>
          <w:highlight w:val="none"/>
        </w:rPr>
        <w:t>询问函范本</w:t>
      </w:r>
    </w:p>
    <w:p w14:paraId="3A3A5E45">
      <w:pPr>
        <w:adjustRightInd w:val="0"/>
        <w:snapToGrid w:val="0"/>
        <w:spacing w:line="360" w:lineRule="auto"/>
        <w:ind w:firstLine="480" w:firstLineChars="200"/>
        <w:jc w:val="center"/>
        <w:rPr>
          <w:rFonts w:hint="eastAsia" w:ascii="宋体" w:hAnsi="宋体" w:eastAsia="宋体" w:cs="宋体"/>
          <w:b/>
          <w:bCs/>
          <w:sz w:val="32"/>
          <w:szCs w:val="44"/>
          <w:highlight w:val="none"/>
        </w:rPr>
      </w:pPr>
      <w:r>
        <w:rPr>
          <w:rFonts w:hint="eastAsia" w:ascii="宋体" w:hAnsi="宋体" w:eastAsia="宋体" w:cs="宋体"/>
          <w:i/>
          <w:iCs/>
          <w:sz w:val="24"/>
          <w:szCs w:val="24"/>
          <w:highlight w:val="none"/>
        </w:rPr>
        <w:t>（如为对采购文件或采购程序的询问或疑问，请按询问函范本或电子交易系统中网上询问格式附件进行提交）</w:t>
      </w:r>
    </w:p>
    <w:p w14:paraId="53755245">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某采购单位、某代理机构：</w:t>
      </w:r>
    </w:p>
    <w:p w14:paraId="67FC6C69">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我单位拟参与某项目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某编号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的采购活动，现有以下内容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或条款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存在疑问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或无法理解</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，特提出询问。</w:t>
      </w:r>
    </w:p>
    <w:p w14:paraId="6D274F34">
      <w:pPr>
        <w:adjustRightInd w:val="0"/>
        <w:snapToGrid w:val="0"/>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事项一</w:t>
      </w:r>
      <w:r>
        <w:rPr>
          <w:rFonts w:hint="eastAsia" w:ascii="宋体" w:hAnsi="宋体" w:eastAsia="宋体" w:cs="宋体"/>
          <w:sz w:val="24"/>
          <w:szCs w:val="24"/>
          <w:highlight w:val="none"/>
          <w:lang w:eastAsia="zh-CN"/>
        </w:rPr>
        <w:t>）</w:t>
      </w:r>
    </w:p>
    <w:p w14:paraId="16CAF5C3">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内容或条款</w:t>
      </w:r>
      <w:r>
        <w:rPr>
          <w:rFonts w:hint="eastAsia" w:ascii="宋体" w:hAnsi="宋体" w:eastAsia="宋体" w:cs="宋体"/>
          <w:sz w:val="24"/>
          <w:szCs w:val="24"/>
          <w:highlight w:val="none"/>
          <w:lang w:eastAsia="zh-CN"/>
        </w:rPr>
        <w:t>）</w:t>
      </w:r>
    </w:p>
    <w:p w14:paraId="5DD79365">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说明疑问或无法理解原因</w:t>
      </w:r>
      <w:r>
        <w:rPr>
          <w:rFonts w:hint="eastAsia" w:ascii="宋体" w:hAnsi="宋体" w:eastAsia="宋体" w:cs="宋体"/>
          <w:sz w:val="24"/>
          <w:szCs w:val="24"/>
          <w:highlight w:val="none"/>
          <w:lang w:eastAsia="zh-CN"/>
        </w:rPr>
        <w:t>）</w:t>
      </w:r>
    </w:p>
    <w:p w14:paraId="42168B9E">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建议</w:t>
      </w:r>
      <w:r>
        <w:rPr>
          <w:rFonts w:hint="eastAsia" w:ascii="宋体" w:hAnsi="宋体" w:eastAsia="宋体" w:cs="宋体"/>
          <w:sz w:val="24"/>
          <w:szCs w:val="24"/>
          <w:highlight w:val="none"/>
          <w:lang w:eastAsia="zh-CN"/>
        </w:rPr>
        <w:t>）</w:t>
      </w:r>
    </w:p>
    <w:p w14:paraId="62EFF15C">
      <w:pPr>
        <w:adjustRightInd w:val="0"/>
        <w:snapToGrid w:val="0"/>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事项二</w:t>
      </w:r>
      <w:r>
        <w:rPr>
          <w:rFonts w:hint="eastAsia" w:ascii="宋体" w:hAnsi="宋体" w:eastAsia="宋体" w:cs="宋体"/>
          <w:sz w:val="24"/>
          <w:szCs w:val="24"/>
          <w:highlight w:val="none"/>
          <w:lang w:eastAsia="zh-CN"/>
        </w:rPr>
        <w:t>）</w:t>
      </w:r>
    </w:p>
    <w:p w14:paraId="2AA12D81">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1E794770">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随附相关证明材料如下： </w:t>
      </w:r>
    </w:p>
    <w:p w14:paraId="37DDB58B">
      <w:pPr>
        <w:spacing w:line="360" w:lineRule="auto"/>
        <w:ind w:firstLine="4228" w:firstLineChars="1762"/>
        <w:rPr>
          <w:rFonts w:hint="eastAsia" w:ascii="宋体" w:hAnsi="宋体" w:eastAsia="宋体" w:cs="宋体"/>
          <w:sz w:val="24"/>
          <w:highlight w:val="none"/>
          <w:u w:val="single"/>
        </w:rPr>
      </w:pPr>
      <w:r>
        <w:rPr>
          <w:rFonts w:hint="eastAsia" w:ascii="宋体" w:hAnsi="宋体" w:eastAsia="宋体" w:cs="宋体"/>
          <w:sz w:val="24"/>
          <w:highlight w:val="none"/>
        </w:rPr>
        <w:t>联 系 人：</w:t>
      </w:r>
      <w:r>
        <w:rPr>
          <w:rFonts w:hint="eastAsia" w:ascii="宋体" w:hAnsi="宋体" w:eastAsia="宋体" w:cs="宋体"/>
          <w:sz w:val="24"/>
          <w:highlight w:val="none"/>
          <w:u w:val="single"/>
        </w:rPr>
        <w:t xml:space="preserve">              </w:t>
      </w:r>
    </w:p>
    <w:p w14:paraId="4A925A0A">
      <w:pPr>
        <w:spacing w:line="360" w:lineRule="auto"/>
        <w:ind w:firstLine="4228" w:firstLineChars="1762"/>
        <w:rPr>
          <w:rFonts w:hint="eastAsia" w:ascii="宋体" w:hAnsi="宋体" w:eastAsia="宋体" w:cs="宋体"/>
          <w:sz w:val="24"/>
          <w:highlight w:val="none"/>
          <w:u w:val="singl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 xml:space="preserve">              </w:t>
      </w:r>
    </w:p>
    <w:p w14:paraId="72AB3762">
      <w:pPr>
        <w:tabs>
          <w:tab w:val="left" w:pos="630"/>
        </w:tabs>
        <w:spacing w:line="360" w:lineRule="auto"/>
        <w:ind w:firstLine="4228" w:firstLineChars="1762"/>
        <w:rPr>
          <w:rFonts w:hint="eastAsia" w:ascii="宋体" w:hAnsi="宋体" w:eastAsia="宋体" w:cs="宋体"/>
          <w:sz w:val="24"/>
          <w:highlight w:val="none"/>
          <w:u w:val="singl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p>
    <w:p w14:paraId="39D34D5A">
      <w:pPr>
        <w:rPr>
          <w:rFonts w:hint="eastAsia" w:ascii="宋体" w:hAnsi="宋体" w:eastAsia="宋体" w:cs="宋体"/>
          <w:b/>
          <w:sz w:val="52"/>
          <w:highlight w:val="none"/>
        </w:rPr>
      </w:pPr>
      <w:r>
        <w:rPr>
          <w:rFonts w:hint="eastAsia" w:ascii="宋体" w:hAnsi="宋体" w:eastAsia="宋体" w:cs="宋体"/>
          <w:b/>
          <w:bCs/>
          <w:sz w:val="32"/>
          <w:szCs w:val="44"/>
          <w:highlight w:val="none"/>
        </w:rPr>
        <w:br w:type="page"/>
      </w:r>
    </w:p>
    <w:p w14:paraId="4BDAB522">
      <w:pPr>
        <w:jc w:val="center"/>
        <w:outlineLvl w:val="1"/>
        <w:rPr>
          <w:rFonts w:hint="eastAsia" w:ascii="宋体" w:hAnsi="宋体" w:eastAsia="宋体" w:cs="宋体"/>
          <w:b/>
          <w:bCs/>
          <w:sz w:val="32"/>
          <w:szCs w:val="44"/>
          <w:highlight w:val="none"/>
        </w:rPr>
      </w:pPr>
      <w:r>
        <w:rPr>
          <w:rFonts w:hint="eastAsia" w:ascii="宋体" w:hAnsi="宋体" w:eastAsia="宋体" w:cs="宋体"/>
          <w:b/>
          <w:bCs/>
          <w:sz w:val="32"/>
          <w:szCs w:val="44"/>
          <w:highlight w:val="none"/>
        </w:rPr>
        <w:t>质疑函范本</w:t>
      </w:r>
    </w:p>
    <w:p w14:paraId="63A0BF46">
      <w:pPr>
        <w:adjustRightInd w:val="0"/>
        <w:snapToGrid w:val="0"/>
        <w:spacing w:before="312" w:beforeLines="100" w:line="360" w:lineRule="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一、质疑供应商基本信息</w:t>
      </w:r>
    </w:p>
    <w:p w14:paraId="5A124838">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质疑供应商：</w:t>
      </w:r>
      <w:r>
        <w:rPr>
          <w:rFonts w:hint="eastAsia" w:ascii="宋体" w:hAnsi="宋体" w:eastAsia="宋体" w:cs="宋体"/>
          <w:sz w:val="24"/>
          <w:szCs w:val="24"/>
          <w:highlight w:val="none"/>
          <w:u w:val="dotted"/>
        </w:rPr>
        <w:t xml:space="preserve">                                        </w:t>
      </w:r>
    </w:p>
    <w:p w14:paraId="2B28070E">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p>
    <w:p w14:paraId="124EA7DF">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p>
    <w:p w14:paraId="38F1C093">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授权代表：</w:t>
      </w:r>
      <w:r>
        <w:rPr>
          <w:rFonts w:hint="eastAsia" w:ascii="宋体" w:hAnsi="宋体" w:eastAsia="宋体" w:cs="宋体"/>
          <w:sz w:val="24"/>
          <w:szCs w:val="24"/>
          <w:highlight w:val="none"/>
          <w:u w:val="dotted"/>
        </w:rPr>
        <w:t xml:space="preserve">                                          </w:t>
      </w:r>
    </w:p>
    <w:p w14:paraId="2E86A616">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 xml:space="preserve"> </w:t>
      </w:r>
    </w:p>
    <w:p w14:paraId="088C9F0A">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p>
    <w:p w14:paraId="47DB3820">
      <w:pPr>
        <w:adjustRightInd w:val="0"/>
        <w:snapToGrid w:val="0"/>
        <w:spacing w:line="360" w:lineRule="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二、质疑项目基本情况</w:t>
      </w:r>
    </w:p>
    <w:p w14:paraId="5CB7C707">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质疑项目的名称：</w:t>
      </w:r>
      <w:r>
        <w:rPr>
          <w:rFonts w:hint="eastAsia" w:ascii="宋体" w:hAnsi="宋体" w:eastAsia="宋体" w:cs="宋体"/>
          <w:sz w:val="24"/>
          <w:szCs w:val="24"/>
          <w:highlight w:val="none"/>
          <w:u w:val="dotted"/>
        </w:rPr>
        <w:t xml:space="preserve">                                      </w:t>
      </w:r>
    </w:p>
    <w:p w14:paraId="2ECCC519">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质疑项目的编号：</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包号：</w:t>
      </w:r>
      <w:r>
        <w:rPr>
          <w:rFonts w:hint="eastAsia" w:ascii="宋体" w:hAnsi="宋体" w:eastAsia="宋体" w:cs="宋体"/>
          <w:sz w:val="24"/>
          <w:szCs w:val="24"/>
          <w:highlight w:val="none"/>
          <w:u w:val="dotted"/>
        </w:rPr>
        <w:t xml:space="preserve">                 </w:t>
      </w:r>
    </w:p>
    <w:p w14:paraId="791EAB6F">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dotted"/>
        </w:rPr>
        <w:t xml:space="preserve">                                         </w:t>
      </w:r>
    </w:p>
    <w:p w14:paraId="70502521">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采购文件获取日期：</w:t>
      </w:r>
      <w:r>
        <w:rPr>
          <w:rFonts w:hint="eastAsia" w:ascii="宋体" w:hAnsi="宋体" w:eastAsia="宋体" w:cs="宋体"/>
          <w:sz w:val="24"/>
          <w:szCs w:val="24"/>
          <w:highlight w:val="none"/>
          <w:u w:val="dotted"/>
        </w:rPr>
        <w:t xml:space="preserve">                                           </w:t>
      </w:r>
    </w:p>
    <w:p w14:paraId="416F8135">
      <w:pPr>
        <w:adjustRightInd w:val="0"/>
        <w:snapToGrid w:val="0"/>
        <w:spacing w:line="360" w:lineRule="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三、质疑事项具体内容</w:t>
      </w:r>
    </w:p>
    <w:p w14:paraId="063436E0">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质疑事项1：</w:t>
      </w:r>
      <w:r>
        <w:rPr>
          <w:rFonts w:hint="eastAsia" w:ascii="宋体" w:hAnsi="宋体" w:eastAsia="宋体" w:cs="宋体"/>
          <w:sz w:val="24"/>
          <w:szCs w:val="24"/>
          <w:highlight w:val="none"/>
          <w:u w:val="dotted"/>
        </w:rPr>
        <w:t xml:space="preserve">                                         </w:t>
      </w:r>
    </w:p>
    <w:p w14:paraId="706B46E9">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事实依据：</w:t>
      </w:r>
      <w:r>
        <w:rPr>
          <w:rFonts w:hint="eastAsia" w:ascii="宋体" w:hAnsi="宋体" w:eastAsia="宋体" w:cs="宋体"/>
          <w:sz w:val="24"/>
          <w:szCs w:val="24"/>
          <w:highlight w:val="none"/>
          <w:u w:val="dotted"/>
        </w:rPr>
        <w:t xml:space="preserve">                                          </w:t>
      </w:r>
    </w:p>
    <w:p w14:paraId="4B729341">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dotted"/>
        </w:rPr>
        <w:t xml:space="preserve">                                                       </w:t>
      </w:r>
    </w:p>
    <w:p w14:paraId="3BDE66D2">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法律依据：</w:t>
      </w:r>
      <w:r>
        <w:rPr>
          <w:rFonts w:hint="eastAsia" w:ascii="宋体" w:hAnsi="宋体" w:eastAsia="宋体" w:cs="宋体"/>
          <w:sz w:val="24"/>
          <w:szCs w:val="24"/>
          <w:highlight w:val="none"/>
          <w:u w:val="dotted"/>
        </w:rPr>
        <w:t xml:space="preserve">                                          </w:t>
      </w:r>
    </w:p>
    <w:p w14:paraId="454AB7FC">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u w:val="dotted"/>
        </w:rPr>
        <w:t xml:space="preserve">                                                     </w:t>
      </w:r>
    </w:p>
    <w:p w14:paraId="5EDB76BF">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质疑事项2</w:t>
      </w:r>
    </w:p>
    <w:p w14:paraId="5DB665F1">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1973BD67">
      <w:pPr>
        <w:adjustRightInd w:val="0"/>
        <w:snapToGrid w:val="0"/>
        <w:spacing w:line="360" w:lineRule="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四、与质疑事项相关的质疑请求</w:t>
      </w:r>
    </w:p>
    <w:p w14:paraId="5C510F98">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请求：</w:t>
      </w:r>
      <w:r>
        <w:rPr>
          <w:rFonts w:hint="eastAsia" w:ascii="宋体" w:hAnsi="宋体" w:eastAsia="宋体" w:cs="宋体"/>
          <w:sz w:val="24"/>
          <w:szCs w:val="24"/>
          <w:highlight w:val="none"/>
          <w:u w:val="dotted"/>
        </w:rPr>
        <w:t xml:space="preserve">                                               </w:t>
      </w:r>
    </w:p>
    <w:p w14:paraId="4D382B6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签章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公章：                      </w:t>
      </w:r>
    </w:p>
    <w:p w14:paraId="62F2DB3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日期：    </w:t>
      </w:r>
    </w:p>
    <w:p w14:paraId="2AC3087C">
      <w:pPr>
        <w:widowControl/>
        <w:jc w:val="left"/>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14:paraId="4A3D620A">
      <w:pPr>
        <w:outlineLvl w:val="0"/>
        <w:rPr>
          <w:rFonts w:hint="eastAsia" w:ascii="宋体" w:hAnsi="宋体" w:eastAsia="宋体" w:cs="宋体"/>
          <w:b/>
          <w:sz w:val="28"/>
          <w:szCs w:val="32"/>
          <w:highlight w:val="none"/>
        </w:rPr>
      </w:pPr>
      <w:bookmarkStart w:id="220" w:name="_Toc21664"/>
      <w:bookmarkStart w:id="221" w:name="_Toc11441"/>
      <w:bookmarkStart w:id="222" w:name="_Toc28728"/>
      <w:r>
        <w:rPr>
          <w:rFonts w:hint="eastAsia" w:ascii="宋体" w:hAnsi="宋体" w:eastAsia="宋体" w:cs="宋体"/>
          <w:b/>
          <w:sz w:val="28"/>
          <w:szCs w:val="32"/>
          <w:highlight w:val="none"/>
        </w:rPr>
        <w:t>质疑函制作说明：</w:t>
      </w:r>
      <w:bookmarkEnd w:id="220"/>
      <w:bookmarkEnd w:id="221"/>
      <w:bookmarkEnd w:id="222"/>
    </w:p>
    <w:p w14:paraId="6BCBDA3A">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1.供应商提出质疑时，应提交质疑函和必要的证明材料。</w:t>
      </w:r>
    </w:p>
    <w:p w14:paraId="51A00329">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BBFEE44">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3.质疑供应商若对项目的某一分包进行质疑，质疑函中应列明具体分包号。</w:t>
      </w:r>
    </w:p>
    <w:p w14:paraId="25469A06">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4.质疑函的质疑事项应具体、明确，并有必要的事实依据和法律依据。</w:t>
      </w:r>
    </w:p>
    <w:p w14:paraId="2181B71B">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5.质疑函的质疑请求应与质疑事项相关。</w:t>
      </w:r>
    </w:p>
    <w:p w14:paraId="6403DE70">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6.质疑供应商为自然人的，质疑函应由本人签字；质疑供应商为法人或者其他组织的，质疑函应由法定代表人、主要负责人，或者其授权代表签字或者盖章，并加盖公章。</w:t>
      </w:r>
    </w:p>
    <w:sectPr>
      <w:footerReference r:id="rId6"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D3E61">
    <w:pPr>
      <w:pStyle w:val="13"/>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8FC68">
    <w:pPr>
      <w:pStyle w:val="13"/>
      <w:jc w:val="center"/>
    </w:pPr>
    <w:r>
      <w:rPr>
        <w:rFonts w:asciiTheme="minorEastAsia" w:hAnsiTheme="minorEastAsia" w:eastAsiaTheme="minorEastAsia"/>
        <w:sz w:val="21"/>
        <w:szCs w:val="21"/>
      </w:rPr>
      <w:t>第</w:t>
    </w:r>
    <w:sdt>
      <w:sdtPr>
        <w:rPr>
          <w:rFonts w:asciiTheme="minorEastAsia" w:hAnsiTheme="minorEastAsia" w:eastAsiaTheme="minorEastAsia"/>
          <w:sz w:val="21"/>
          <w:szCs w:val="21"/>
        </w:rPr>
        <w:id w:val="747232144"/>
      </w:sdtPr>
      <w:sdtEndPr>
        <w:rPr>
          <w:rFonts w:ascii="@仿宋_GB2312" w:hAnsi="@仿宋_GB2312" w:eastAsia="@仿宋_GB2312"/>
          <w:sz w:val="18"/>
          <w:szCs w:val="18"/>
        </w:rPr>
      </w:sdtEndPr>
      <w:sdtContent>
        <w:sdt>
          <w:sdtPr>
            <w:rPr>
              <w:rFonts w:asciiTheme="minorEastAsia" w:hAnsiTheme="minorEastAsia" w:eastAsiaTheme="minorEastAsia"/>
              <w:sz w:val="21"/>
              <w:szCs w:val="21"/>
            </w:rPr>
            <w:id w:val="-1669238322"/>
          </w:sdtPr>
          <w:sdtEndPr>
            <w:rPr>
              <w:rFonts w:ascii="@仿宋_GB2312" w:hAnsi="@仿宋_GB2312" w:eastAsia="@仿宋_GB2312"/>
              <w:sz w:val="18"/>
              <w:szCs w:val="18"/>
            </w:rPr>
          </w:sdtEndPr>
          <w:sdtContent>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67</w:t>
            </w:r>
            <w:r>
              <w:rPr>
                <w:rFonts w:asciiTheme="minorEastAsia" w:hAnsiTheme="minorEastAsia" w:eastAsiaTheme="minorEastAsia"/>
                <w:b/>
                <w:bCs/>
                <w:sz w:val="21"/>
                <w:szCs w:val="21"/>
              </w:rPr>
              <w:fldChar w:fldCharType="end"/>
            </w:r>
            <w:r>
              <w:rPr>
                <w:rFonts w:asciiTheme="minorEastAsia" w:hAnsiTheme="minorEastAsia" w:eastAsiaTheme="minorEastAsia"/>
                <w:sz w:val="21"/>
                <w:szCs w:val="21"/>
                <w:lang w:val="zh-CN"/>
              </w:rPr>
              <w:t xml:space="preserve"> 页/</w:t>
            </w:r>
            <w:r>
              <w:rPr>
                <w:rFonts w:asciiTheme="minorEastAsia" w:hAnsiTheme="minorEastAsia" w:eastAsiaTheme="minorEastAsia"/>
                <w:sz w:val="21"/>
                <w:szCs w:val="21"/>
              </w:rPr>
              <w:t xml:space="preserve">共 </w:t>
            </w:r>
            <w:r>
              <w:rPr>
                <w:rFonts w:hint="eastAsia" w:asciiTheme="minorEastAsia" w:hAnsiTheme="minorEastAsia" w:eastAsiaTheme="minorEastAsia"/>
                <w:b/>
                <w:sz w:val="21"/>
                <w:szCs w:val="21"/>
                <w:lang w:val="en-US" w:eastAsia="zh-CN"/>
              </w:rPr>
              <w:t>66</w:t>
            </w:r>
            <w:r>
              <w:rPr>
                <w:rFonts w:hint="eastAsia" w:asciiTheme="minorEastAsia" w:hAnsiTheme="minorEastAsia" w:eastAsiaTheme="minorEastAsia"/>
                <w:sz w:val="21"/>
                <w:szCs w:val="21"/>
              </w:rPr>
              <w:t xml:space="preserve"> 页</w:t>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1F6181BF">
      <w:pPr>
        <w:pStyle w:val="7"/>
        <w:rPr>
          <w:rFonts w:ascii="宋体" w:hAnsi="宋体" w:eastAsia="宋体" w:cs="@仿宋_GB2312"/>
          <w:bCs/>
          <w:i/>
          <w:iCs/>
          <w:kern w:val="0"/>
          <w:szCs w:val="21"/>
        </w:rPr>
      </w:pPr>
    </w:p>
  </w:footnote>
  <w:footnote w:id="1">
    <w:p w14:paraId="5F9C1255">
      <w:pPr>
        <w:pStyle w:val="1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03FB0">
    <w:pPr>
      <w:pStyle w:val="14"/>
      <w:rPr>
        <w:rFonts w:hint="eastAsia"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DA2308"/>
    <w:multiLevelType w:val="singleLevel"/>
    <w:tmpl w:val="ACDA2308"/>
    <w:lvl w:ilvl="0" w:tentative="0">
      <w:start w:val="1"/>
      <w:numFmt w:val="decimal"/>
      <w:lvlText w:val="(%1)"/>
      <w:lvlJc w:val="left"/>
      <w:pPr>
        <w:tabs>
          <w:tab w:val="left" w:pos="312"/>
        </w:tabs>
      </w:pPr>
    </w:lvl>
  </w:abstractNum>
  <w:abstractNum w:abstractNumId="1">
    <w:nsid w:val="B88C860B"/>
    <w:multiLevelType w:val="singleLevel"/>
    <w:tmpl w:val="B88C860B"/>
    <w:lvl w:ilvl="0" w:tentative="0">
      <w:start w:val="3"/>
      <w:numFmt w:val="chineseCounting"/>
      <w:suff w:val="nothing"/>
      <w:lvlText w:val="%1、"/>
      <w:lvlJc w:val="left"/>
      <w:pPr>
        <w:ind w:left="120" w:firstLine="0"/>
      </w:pPr>
      <w:rPr>
        <w:rFonts w:hint="eastAsia"/>
      </w:rPr>
    </w:lvl>
  </w:abstractNum>
  <w:abstractNum w:abstractNumId="2">
    <w:nsid w:val="F131BE48"/>
    <w:multiLevelType w:val="singleLevel"/>
    <w:tmpl w:val="F131BE48"/>
    <w:lvl w:ilvl="0" w:tentative="0">
      <w:start w:val="1"/>
      <w:numFmt w:val="chineseCounting"/>
      <w:suff w:val="nothing"/>
      <w:lvlText w:val="%1、"/>
      <w:lvlJc w:val="left"/>
      <w:rPr>
        <w:rFonts w:hint="eastAsia"/>
      </w:rPr>
    </w:lvl>
  </w:abstractNum>
  <w:abstractNum w:abstractNumId="3">
    <w:nsid w:val="F8169B2F"/>
    <w:multiLevelType w:val="singleLevel"/>
    <w:tmpl w:val="F8169B2F"/>
    <w:lvl w:ilvl="0" w:tentative="0">
      <w:start w:val="3"/>
      <w:numFmt w:val="decimal"/>
      <w:lvlText w:val="%1."/>
      <w:lvlJc w:val="left"/>
      <w:pPr>
        <w:tabs>
          <w:tab w:val="left" w:pos="312"/>
        </w:tabs>
      </w:pPr>
    </w:lvl>
  </w:abstractNum>
  <w:abstractNum w:abstractNumId="4">
    <w:nsid w:val="5E113F91"/>
    <w:multiLevelType w:val="singleLevel"/>
    <w:tmpl w:val="5E113F91"/>
    <w:lvl w:ilvl="0" w:tentative="0">
      <w:start w:val="1"/>
      <w:numFmt w:val="chineseCounting"/>
      <w:suff w:val="nothing"/>
      <w:lvlText w:val="%1．"/>
      <w:lvlJc w:val="left"/>
      <w:rPr>
        <w:rFonts w:hint="eastAsia"/>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kMmM2YWRiOTEzNjIwZmNhNWYxMjBlNTM4MDE5M2IifQ=="/>
  </w:docVars>
  <w:rsids>
    <w:rsidRoot w:val="00276BA1"/>
    <w:rsid w:val="0000043F"/>
    <w:rsid w:val="000049DA"/>
    <w:rsid w:val="000056B7"/>
    <w:rsid w:val="00012A13"/>
    <w:rsid w:val="000131F7"/>
    <w:rsid w:val="00016B6C"/>
    <w:rsid w:val="00020B57"/>
    <w:rsid w:val="00027F28"/>
    <w:rsid w:val="00033B5B"/>
    <w:rsid w:val="00037DBE"/>
    <w:rsid w:val="00042139"/>
    <w:rsid w:val="00042B14"/>
    <w:rsid w:val="00044F49"/>
    <w:rsid w:val="000450C3"/>
    <w:rsid w:val="00050A3F"/>
    <w:rsid w:val="000530EC"/>
    <w:rsid w:val="000544DE"/>
    <w:rsid w:val="00057CE1"/>
    <w:rsid w:val="000648D2"/>
    <w:rsid w:val="00070E0E"/>
    <w:rsid w:val="000732FF"/>
    <w:rsid w:val="00076DB7"/>
    <w:rsid w:val="00080FEB"/>
    <w:rsid w:val="00081B81"/>
    <w:rsid w:val="000868D6"/>
    <w:rsid w:val="00094D41"/>
    <w:rsid w:val="00097CB9"/>
    <w:rsid w:val="000A3569"/>
    <w:rsid w:val="000A4640"/>
    <w:rsid w:val="000A4CA9"/>
    <w:rsid w:val="000A6345"/>
    <w:rsid w:val="000A6693"/>
    <w:rsid w:val="000A6B73"/>
    <w:rsid w:val="000A7D94"/>
    <w:rsid w:val="000B1511"/>
    <w:rsid w:val="000B54F4"/>
    <w:rsid w:val="000C1DB1"/>
    <w:rsid w:val="000D3F37"/>
    <w:rsid w:val="000D431F"/>
    <w:rsid w:val="000E3C74"/>
    <w:rsid w:val="000E3F9B"/>
    <w:rsid w:val="000E6689"/>
    <w:rsid w:val="000F014C"/>
    <w:rsid w:val="000F172B"/>
    <w:rsid w:val="000F1C24"/>
    <w:rsid w:val="000F2198"/>
    <w:rsid w:val="000F39B6"/>
    <w:rsid w:val="000F6B7B"/>
    <w:rsid w:val="00100B0F"/>
    <w:rsid w:val="0010187C"/>
    <w:rsid w:val="001037E3"/>
    <w:rsid w:val="00110911"/>
    <w:rsid w:val="00116A70"/>
    <w:rsid w:val="0012143A"/>
    <w:rsid w:val="001222C6"/>
    <w:rsid w:val="001239CE"/>
    <w:rsid w:val="00136D80"/>
    <w:rsid w:val="00137C7C"/>
    <w:rsid w:val="00140687"/>
    <w:rsid w:val="00141707"/>
    <w:rsid w:val="00146421"/>
    <w:rsid w:val="001479CF"/>
    <w:rsid w:val="00155F64"/>
    <w:rsid w:val="00157856"/>
    <w:rsid w:val="00160729"/>
    <w:rsid w:val="00160D83"/>
    <w:rsid w:val="001644D1"/>
    <w:rsid w:val="00166ED8"/>
    <w:rsid w:val="001714C9"/>
    <w:rsid w:val="001754E2"/>
    <w:rsid w:val="0018119B"/>
    <w:rsid w:val="001826D0"/>
    <w:rsid w:val="00183344"/>
    <w:rsid w:val="00183897"/>
    <w:rsid w:val="001844AB"/>
    <w:rsid w:val="00190F1F"/>
    <w:rsid w:val="001944B8"/>
    <w:rsid w:val="00196DA3"/>
    <w:rsid w:val="001974B5"/>
    <w:rsid w:val="00197AC4"/>
    <w:rsid w:val="001A0DCD"/>
    <w:rsid w:val="001A5D34"/>
    <w:rsid w:val="001A68E5"/>
    <w:rsid w:val="001B21DF"/>
    <w:rsid w:val="001B2A54"/>
    <w:rsid w:val="001B5014"/>
    <w:rsid w:val="001B7327"/>
    <w:rsid w:val="001C67F2"/>
    <w:rsid w:val="001C762D"/>
    <w:rsid w:val="001D3A4E"/>
    <w:rsid w:val="001D53B4"/>
    <w:rsid w:val="001F28D2"/>
    <w:rsid w:val="001F2F45"/>
    <w:rsid w:val="001F3023"/>
    <w:rsid w:val="001F35F6"/>
    <w:rsid w:val="001F74CA"/>
    <w:rsid w:val="002003B6"/>
    <w:rsid w:val="002049B4"/>
    <w:rsid w:val="0020520B"/>
    <w:rsid w:val="00213C55"/>
    <w:rsid w:val="002163CF"/>
    <w:rsid w:val="002168C4"/>
    <w:rsid w:val="002178B1"/>
    <w:rsid w:val="00223CF4"/>
    <w:rsid w:val="00224C4A"/>
    <w:rsid w:val="00233A83"/>
    <w:rsid w:val="0023407E"/>
    <w:rsid w:val="00240B40"/>
    <w:rsid w:val="002440D8"/>
    <w:rsid w:val="00244182"/>
    <w:rsid w:val="00246810"/>
    <w:rsid w:val="00260860"/>
    <w:rsid w:val="00260B94"/>
    <w:rsid w:val="00264F2E"/>
    <w:rsid w:val="00264F5E"/>
    <w:rsid w:val="00271245"/>
    <w:rsid w:val="00272E6E"/>
    <w:rsid w:val="00274A9E"/>
    <w:rsid w:val="00276292"/>
    <w:rsid w:val="002763F0"/>
    <w:rsid w:val="00276BA1"/>
    <w:rsid w:val="00277094"/>
    <w:rsid w:val="002A1A1D"/>
    <w:rsid w:val="002A28AD"/>
    <w:rsid w:val="002A3AEE"/>
    <w:rsid w:val="002A6FEE"/>
    <w:rsid w:val="002B5318"/>
    <w:rsid w:val="002B5373"/>
    <w:rsid w:val="002B6D27"/>
    <w:rsid w:val="002C4BA9"/>
    <w:rsid w:val="002D1258"/>
    <w:rsid w:val="002D2965"/>
    <w:rsid w:val="002D3D02"/>
    <w:rsid w:val="002D4CB5"/>
    <w:rsid w:val="002D684B"/>
    <w:rsid w:val="002E3B26"/>
    <w:rsid w:val="002E4AB8"/>
    <w:rsid w:val="002F092B"/>
    <w:rsid w:val="002F5981"/>
    <w:rsid w:val="00306568"/>
    <w:rsid w:val="00310070"/>
    <w:rsid w:val="003110EC"/>
    <w:rsid w:val="00313029"/>
    <w:rsid w:val="0032590B"/>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91586"/>
    <w:rsid w:val="00394128"/>
    <w:rsid w:val="003947A4"/>
    <w:rsid w:val="00395235"/>
    <w:rsid w:val="0039561A"/>
    <w:rsid w:val="00397C7D"/>
    <w:rsid w:val="003A004F"/>
    <w:rsid w:val="003B4130"/>
    <w:rsid w:val="003B67D3"/>
    <w:rsid w:val="003B715B"/>
    <w:rsid w:val="003C4630"/>
    <w:rsid w:val="003D1D14"/>
    <w:rsid w:val="003D6C7C"/>
    <w:rsid w:val="003D6EFB"/>
    <w:rsid w:val="003D7E52"/>
    <w:rsid w:val="003E25C6"/>
    <w:rsid w:val="003F145B"/>
    <w:rsid w:val="003F326A"/>
    <w:rsid w:val="003F5EFF"/>
    <w:rsid w:val="003F62EE"/>
    <w:rsid w:val="004011AA"/>
    <w:rsid w:val="0040202C"/>
    <w:rsid w:val="00406508"/>
    <w:rsid w:val="00411377"/>
    <w:rsid w:val="0041456E"/>
    <w:rsid w:val="00414F7E"/>
    <w:rsid w:val="004164F8"/>
    <w:rsid w:val="00417FD0"/>
    <w:rsid w:val="00420B7F"/>
    <w:rsid w:val="004230DA"/>
    <w:rsid w:val="0042488B"/>
    <w:rsid w:val="00431EFD"/>
    <w:rsid w:val="004427B7"/>
    <w:rsid w:val="0044349F"/>
    <w:rsid w:val="00445F1F"/>
    <w:rsid w:val="00451F60"/>
    <w:rsid w:val="00452BB2"/>
    <w:rsid w:val="0045656D"/>
    <w:rsid w:val="00460DAF"/>
    <w:rsid w:val="00462D98"/>
    <w:rsid w:val="00472A44"/>
    <w:rsid w:val="00473A89"/>
    <w:rsid w:val="00474D3B"/>
    <w:rsid w:val="00475899"/>
    <w:rsid w:val="004802A8"/>
    <w:rsid w:val="004815EC"/>
    <w:rsid w:val="00482C78"/>
    <w:rsid w:val="004874AE"/>
    <w:rsid w:val="00492E2B"/>
    <w:rsid w:val="00494D24"/>
    <w:rsid w:val="004951D1"/>
    <w:rsid w:val="004A27D0"/>
    <w:rsid w:val="004A4D67"/>
    <w:rsid w:val="004B2D4C"/>
    <w:rsid w:val="004C7378"/>
    <w:rsid w:val="004D3D4B"/>
    <w:rsid w:val="004D5498"/>
    <w:rsid w:val="004D66A5"/>
    <w:rsid w:val="004D6B00"/>
    <w:rsid w:val="004E1D50"/>
    <w:rsid w:val="004F0396"/>
    <w:rsid w:val="00501382"/>
    <w:rsid w:val="005054B9"/>
    <w:rsid w:val="00506228"/>
    <w:rsid w:val="00506E4F"/>
    <w:rsid w:val="00510798"/>
    <w:rsid w:val="00514ED8"/>
    <w:rsid w:val="00515F12"/>
    <w:rsid w:val="00524A11"/>
    <w:rsid w:val="00527768"/>
    <w:rsid w:val="005327FB"/>
    <w:rsid w:val="00533FCA"/>
    <w:rsid w:val="0054317E"/>
    <w:rsid w:val="00546D49"/>
    <w:rsid w:val="00560679"/>
    <w:rsid w:val="00560934"/>
    <w:rsid w:val="005616B5"/>
    <w:rsid w:val="00571315"/>
    <w:rsid w:val="00582075"/>
    <w:rsid w:val="00585EB3"/>
    <w:rsid w:val="00592509"/>
    <w:rsid w:val="0059688E"/>
    <w:rsid w:val="00597B15"/>
    <w:rsid w:val="005A044C"/>
    <w:rsid w:val="005A46C3"/>
    <w:rsid w:val="005B5C95"/>
    <w:rsid w:val="005B6740"/>
    <w:rsid w:val="005C6ADC"/>
    <w:rsid w:val="005D0200"/>
    <w:rsid w:val="005D44EF"/>
    <w:rsid w:val="005D4814"/>
    <w:rsid w:val="005D5112"/>
    <w:rsid w:val="005F3914"/>
    <w:rsid w:val="005F3B5A"/>
    <w:rsid w:val="005F6AB4"/>
    <w:rsid w:val="00607147"/>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F7F"/>
    <w:rsid w:val="00662EE8"/>
    <w:rsid w:val="00663813"/>
    <w:rsid w:val="00663C3B"/>
    <w:rsid w:val="00664AFD"/>
    <w:rsid w:val="00667567"/>
    <w:rsid w:val="0067391A"/>
    <w:rsid w:val="00674173"/>
    <w:rsid w:val="00674602"/>
    <w:rsid w:val="00674E52"/>
    <w:rsid w:val="0067535A"/>
    <w:rsid w:val="00683CA0"/>
    <w:rsid w:val="0068480E"/>
    <w:rsid w:val="00690DB1"/>
    <w:rsid w:val="00693404"/>
    <w:rsid w:val="006953D9"/>
    <w:rsid w:val="00697FE9"/>
    <w:rsid w:val="006A37F5"/>
    <w:rsid w:val="006A5FEE"/>
    <w:rsid w:val="006B0EEE"/>
    <w:rsid w:val="006B1242"/>
    <w:rsid w:val="006B1DBC"/>
    <w:rsid w:val="006B63B7"/>
    <w:rsid w:val="006B7D9A"/>
    <w:rsid w:val="006C06D9"/>
    <w:rsid w:val="006C11DC"/>
    <w:rsid w:val="006C464F"/>
    <w:rsid w:val="006C5716"/>
    <w:rsid w:val="006C74A9"/>
    <w:rsid w:val="006D07DE"/>
    <w:rsid w:val="006D394E"/>
    <w:rsid w:val="006E06D9"/>
    <w:rsid w:val="006E1D40"/>
    <w:rsid w:val="006E2E1F"/>
    <w:rsid w:val="006E4BE8"/>
    <w:rsid w:val="006F5CC1"/>
    <w:rsid w:val="006F5FFF"/>
    <w:rsid w:val="006F6E33"/>
    <w:rsid w:val="006F7AF3"/>
    <w:rsid w:val="00703635"/>
    <w:rsid w:val="007054AA"/>
    <w:rsid w:val="00706D4B"/>
    <w:rsid w:val="007078F9"/>
    <w:rsid w:val="00707B8C"/>
    <w:rsid w:val="00707DD2"/>
    <w:rsid w:val="00710804"/>
    <w:rsid w:val="00711FC6"/>
    <w:rsid w:val="007130B1"/>
    <w:rsid w:val="00715071"/>
    <w:rsid w:val="007231E9"/>
    <w:rsid w:val="0072650E"/>
    <w:rsid w:val="00727C59"/>
    <w:rsid w:val="00734E5D"/>
    <w:rsid w:val="00735AF1"/>
    <w:rsid w:val="00736013"/>
    <w:rsid w:val="00737661"/>
    <w:rsid w:val="00755D75"/>
    <w:rsid w:val="00756245"/>
    <w:rsid w:val="00761662"/>
    <w:rsid w:val="00764043"/>
    <w:rsid w:val="00765C48"/>
    <w:rsid w:val="0076609F"/>
    <w:rsid w:val="007757CF"/>
    <w:rsid w:val="00776FFC"/>
    <w:rsid w:val="0078128F"/>
    <w:rsid w:val="0078683C"/>
    <w:rsid w:val="00790EDB"/>
    <w:rsid w:val="00791538"/>
    <w:rsid w:val="0079326E"/>
    <w:rsid w:val="00796EDE"/>
    <w:rsid w:val="007A27A9"/>
    <w:rsid w:val="007A5A58"/>
    <w:rsid w:val="007A6740"/>
    <w:rsid w:val="007B0623"/>
    <w:rsid w:val="007B1C56"/>
    <w:rsid w:val="007B2CCC"/>
    <w:rsid w:val="007B4996"/>
    <w:rsid w:val="007C3CD5"/>
    <w:rsid w:val="007C61EF"/>
    <w:rsid w:val="007D02E9"/>
    <w:rsid w:val="007D1C0D"/>
    <w:rsid w:val="007D2D23"/>
    <w:rsid w:val="007E04B6"/>
    <w:rsid w:val="007E27D6"/>
    <w:rsid w:val="007E3921"/>
    <w:rsid w:val="007E5DDE"/>
    <w:rsid w:val="00801028"/>
    <w:rsid w:val="00803793"/>
    <w:rsid w:val="0080643F"/>
    <w:rsid w:val="00814052"/>
    <w:rsid w:val="008149FD"/>
    <w:rsid w:val="00817A01"/>
    <w:rsid w:val="00824F21"/>
    <w:rsid w:val="008256A5"/>
    <w:rsid w:val="00825E35"/>
    <w:rsid w:val="008334F8"/>
    <w:rsid w:val="008341AA"/>
    <w:rsid w:val="00835D8E"/>
    <w:rsid w:val="00844D03"/>
    <w:rsid w:val="00847B0F"/>
    <w:rsid w:val="00876659"/>
    <w:rsid w:val="00876677"/>
    <w:rsid w:val="0087734C"/>
    <w:rsid w:val="00882141"/>
    <w:rsid w:val="008922A8"/>
    <w:rsid w:val="00895728"/>
    <w:rsid w:val="00895BD5"/>
    <w:rsid w:val="0089742B"/>
    <w:rsid w:val="008A16C4"/>
    <w:rsid w:val="008A6FED"/>
    <w:rsid w:val="008B39C5"/>
    <w:rsid w:val="008B51AA"/>
    <w:rsid w:val="008B7932"/>
    <w:rsid w:val="008C67F2"/>
    <w:rsid w:val="008D064A"/>
    <w:rsid w:val="008D2B0F"/>
    <w:rsid w:val="008E449E"/>
    <w:rsid w:val="008E7062"/>
    <w:rsid w:val="008F187F"/>
    <w:rsid w:val="008F402F"/>
    <w:rsid w:val="008F55FA"/>
    <w:rsid w:val="008F76E8"/>
    <w:rsid w:val="008F76F5"/>
    <w:rsid w:val="008F7CD0"/>
    <w:rsid w:val="00902902"/>
    <w:rsid w:val="00902A4B"/>
    <w:rsid w:val="009078A1"/>
    <w:rsid w:val="00911E9C"/>
    <w:rsid w:val="00915083"/>
    <w:rsid w:val="00917405"/>
    <w:rsid w:val="00920035"/>
    <w:rsid w:val="00920F7C"/>
    <w:rsid w:val="00934CAE"/>
    <w:rsid w:val="0094257D"/>
    <w:rsid w:val="00942F60"/>
    <w:rsid w:val="0095211B"/>
    <w:rsid w:val="009541E0"/>
    <w:rsid w:val="0095467C"/>
    <w:rsid w:val="00954A61"/>
    <w:rsid w:val="00955C6F"/>
    <w:rsid w:val="00966C7B"/>
    <w:rsid w:val="009701DC"/>
    <w:rsid w:val="009715D8"/>
    <w:rsid w:val="0098481E"/>
    <w:rsid w:val="00985C4B"/>
    <w:rsid w:val="009919E8"/>
    <w:rsid w:val="00995BF9"/>
    <w:rsid w:val="00997C3C"/>
    <w:rsid w:val="009A0CAF"/>
    <w:rsid w:val="009A1474"/>
    <w:rsid w:val="009A2207"/>
    <w:rsid w:val="009A5147"/>
    <w:rsid w:val="009A74C4"/>
    <w:rsid w:val="009B6C42"/>
    <w:rsid w:val="009D31F7"/>
    <w:rsid w:val="009D32C2"/>
    <w:rsid w:val="009D50DB"/>
    <w:rsid w:val="009E3A0A"/>
    <w:rsid w:val="009F3E91"/>
    <w:rsid w:val="009F6CE7"/>
    <w:rsid w:val="00A01670"/>
    <w:rsid w:val="00A1499B"/>
    <w:rsid w:val="00A1551F"/>
    <w:rsid w:val="00A20879"/>
    <w:rsid w:val="00A20AFC"/>
    <w:rsid w:val="00A314C2"/>
    <w:rsid w:val="00A43B9C"/>
    <w:rsid w:val="00A53155"/>
    <w:rsid w:val="00A53996"/>
    <w:rsid w:val="00A63E86"/>
    <w:rsid w:val="00A65A1C"/>
    <w:rsid w:val="00A757C3"/>
    <w:rsid w:val="00A75E5B"/>
    <w:rsid w:val="00A7684A"/>
    <w:rsid w:val="00A82AED"/>
    <w:rsid w:val="00A83B69"/>
    <w:rsid w:val="00A84AF8"/>
    <w:rsid w:val="00A86533"/>
    <w:rsid w:val="00A87065"/>
    <w:rsid w:val="00A9176A"/>
    <w:rsid w:val="00A91CA2"/>
    <w:rsid w:val="00A92FB8"/>
    <w:rsid w:val="00A948F1"/>
    <w:rsid w:val="00AA1D7D"/>
    <w:rsid w:val="00AA7525"/>
    <w:rsid w:val="00AB0EA9"/>
    <w:rsid w:val="00AB139D"/>
    <w:rsid w:val="00AB2C46"/>
    <w:rsid w:val="00AB3EFB"/>
    <w:rsid w:val="00AC0B05"/>
    <w:rsid w:val="00AD079A"/>
    <w:rsid w:val="00AD1890"/>
    <w:rsid w:val="00AD7CDA"/>
    <w:rsid w:val="00AE2149"/>
    <w:rsid w:val="00AE33AE"/>
    <w:rsid w:val="00AE35BA"/>
    <w:rsid w:val="00AE3785"/>
    <w:rsid w:val="00AE3DD9"/>
    <w:rsid w:val="00AE3F91"/>
    <w:rsid w:val="00AE452F"/>
    <w:rsid w:val="00AE76E6"/>
    <w:rsid w:val="00B00ACC"/>
    <w:rsid w:val="00B039E3"/>
    <w:rsid w:val="00B043C1"/>
    <w:rsid w:val="00B068F5"/>
    <w:rsid w:val="00B20546"/>
    <w:rsid w:val="00B22838"/>
    <w:rsid w:val="00B23212"/>
    <w:rsid w:val="00B232ED"/>
    <w:rsid w:val="00B32BC1"/>
    <w:rsid w:val="00B33E95"/>
    <w:rsid w:val="00B35B5E"/>
    <w:rsid w:val="00B3720B"/>
    <w:rsid w:val="00B40EE3"/>
    <w:rsid w:val="00B47366"/>
    <w:rsid w:val="00B55271"/>
    <w:rsid w:val="00B5558A"/>
    <w:rsid w:val="00B56513"/>
    <w:rsid w:val="00B56B2E"/>
    <w:rsid w:val="00B64376"/>
    <w:rsid w:val="00B71533"/>
    <w:rsid w:val="00B7401F"/>
    <w:rsid w:val="00B806C3"/>
    <w:rsid w:val="00B84FCA"/>
    <w:rsid w:val="00B85227"/>
    <w:rsid w:val="00B9089F"/>
    <w:rsid w:val="00B91AEE"/>
    <w:rsid w:val="00B94F71"/>
    <w:rsid w:val="00B95F5A"/>
    <w:rsid w:val="00B96EAD"/>
    <w:rsid w:val="00BA4B42"/>
    <w:rsid w:val="00BA79F5"/>
    <w:rsid w:val="00BB02E8"/>
    <w:rsid w:val="00BB3826"/>
    <w:rsid w:val="00BB3AB6"/>
    <w:rsid w:val="00BB766D"/>
    <w:rsid w:val="00BC007B"/>
    <w:rsid w:val="00BC15E7"/>
    <w:rsid w:val="00BC26BA"/>
    <w:rsid w:val="00BC35F8"/>
    <w:rsid w:val="00BC7140"/>
    <w:rsid w:val="00BD2A59"/>
    <w:rsid w:val="00BD3944"/>
    <w:rsid w:val="00BF376F"/>
    <w:rsid w:val="00BF46A6"/>
    <w:rsid w:val="00BF62CF"/>
    <w:rsid w:val="00BF73D6"/>
    <w:rsid w:val="00C061F3"/>
    <w:rsid w:val="00C06545"/>
    <w:rsid w:val="00C1161C"/>
    <w:rsid w:val="00C220FC"/>
    <w:rsid w:val="00C24DFA"/>
    <w:rsid w:val="00C4202A"/>
    <w:rsid w:val="00C4211F"/>
    <w:rsid w:val="00C46A36"/>
    <w:rsid w:val="00C47037"/>
    <w:rsid w:val="00C53625"/>
    <w:rsid w:val="00C57C08"/>
    <w:rsid w:val="00C602C1"/>
    <w:rsid w:val="00C63FC0"/>
    <w:rsid w:val="00C66392"/>
    <w:rsid w:val="00C74C5E"/>
    <w:rsid w:val="00C827A2"/>
    <w:rsid w:val="00C82B69"/>
    <w:rsid w:val="00C85394"/>
    <w:rsid w:val="00C8657D"/>
    <w:rsid w:val="00C91B28"/>
    <w:rsid w:val="00C91F3A"/>
    <w:rsid w:val="00C94A6F"/>
    <w:rsid w:val="00CA06E3"/>
    <w:rsid w:val="00CB5797"/>
    <w:rsid w:val="00CC1202"/>
    <w:rsid w:val="00CC4099"/>
    <w:rsid w:val="00CC45C1"/>
    <w:rsid w:val="00CD016B"/>
    <w:rsid w:val="00CD09E1"/>
    <w:rsid w:val="00CD6202"/>
    <w:rsid w:val="00CE2486"/>
    <w:rsid w:val="00CE4913"/>
    <w:rsid w:val="00CE66BD"/>
    <w:rsid w:val="00CE6906"/>
    <w:rsid w:val="00CF0671"/>
    <w:rsid w:val="00CF44AD"/>
    <w:rsid w:val="00CF4FC0"/>
    <w:rsid w:val="00D1072F"/>
    <w:rsid w:val="00D108A5"/>
    <w:rsid w:val="00D14585"/>
    <w:rsid w:val="00D2035A"/>
    <w:rsid w:val="00D20EFF"/>
    <w:rsid w:val="00D30F1B"/>
    <w:rsid w:val="00D30FC0"/>
    <w:rsid w:val="00D33A43"/>
    <w:rsid w:val="00D34F0D"/>
    <w:rsid w:val="00D3516E"/>
    <w:rsid w:val="00D4064C"/>
    <w:rsid w:val="00D53ED8"/>
    <w:rsid w:val="00D551B3"/>
    <w:rsid w:val="00D56A47"/>
    <w:rsid w:val="00D64857"/>
    <w:rsid w:val="00D6493A"/>
    <w:rsid w:val="00D64EE2"/>
    <w:rsid w:val="00D67875"/>
    <w:rsid w:val="00D7063F"/>
    <w:rsid w:val="00D71CBD"/>
    <w:rsid w:val="00D71E86"/>
    <w:rsid w:val="00D731C6"/>
    <w:rsid w:val="00D745C5"/>
    <w:rsid w:val="00D75327"/>
    <w:rsid w:val="00D76473"/>
    <w:rsid w:val="00D80C36"/>
    <w:rsid w:val="00D841B2"/>
    <w:rsid w:val="00D86779"/>
    <w:rsid w:val="00D86EE1"/>
    <w:rsid w:val="00D90146"/>
    <w:rsid w:val="00D9120E"/>
    <w:rsid w:val="00D9410B"/>
    <w:rsid w:val="00D96126"/>
    <w:rsid w:val="00DB4B1C"/>
    <w:rsid w:val="00DB5085"/>
    <w:rsid w:val="00DB7706"/>
    <w:rsid w:val="00DC1062"/>
    <w:rsid w:val="00DC132C"/>
    <w:rsid w:val="00DD43F0"/>
    <w:rsid w:val="00DD44DE"/>
    <w:rsid w:val="00DE09AB"/>
    <w:rsid w:val="00DE4A3F"/>
    <w:rsid w:val="00DE7AE9"/>
    <w:rsid w:val="00DF4367"/>
    <w:rsid w:val="00E0574A"/>
    <w:rsid w:val="00E1243D"/>
    <w:rsid w:val="00E12742"/>
    <w:rsid w:val="00E146D4"/>
    <w:rsid w:val="00E20976"/>
    <w:rsid w:val="00E21A29"/>
    <w:rsid w:val="00E22079"/>
    <w:rsid w:val="00E22B44"/>
    <w:rsid w:val="00E236D8"/>
    <w:rsid w:val="00E30ACD"/>
    <w:rsid w:val="00E31E1E"/>
    <w:rsid w:val="00E32735"/>
    <w:rsid w:val="00E5391D"/>
    <w:rsid w:val="00E66E36"/>
    <w:rsid w:val="00E6781E"/>
    <w:rsid w:val="00E702ED"/>
    <w:rsid w:val="00E709A4"/>
    <w:rsid w:val="00E73822"/>
    <w:rsid w:val="00E74319"/>
    <w:rsid w:val="00E772DB"/>
    <w:rsid w:val="00E85261"/>
    <w:rsid w:val="00E86012"/>
    <w:rsid w:val="00E86BAB"/>
    <w:rsid w:val="00E901A1"/>
    <w:rsid w:val="00E94E10"/>
    <w:rsid w:val="00E954BD"/>
    <w:rsid w:val="00E96743"/>
    <w:rsid w:val="00E96A42"/>
    <w:rsid w:val="00EA0A36"/>
    <w:rsid w:val="00EA49C5"/>
    <w:rsid w:val="00EA5557"/>
    <w:rsid w:val="00EB1C1C"/>
    <w:rsid w:val="00EB5027"/>
    <w:rsid w:val="00EC08D3"/>
    <w:rsid w:val="00EC1836"/>
    <w:rsid w:val="00EC3990"/>
    <w:rsid w:val="00EC484B"/>
    <w:rsid w:val="00ED15FA"/>
    <w:rsid w:val="00ED1E00"/>
    <w:rsid w:val="00ED401D"/>
    <w:rsid w:val="00EE6E9A"/>
    <w:rsid w:val="00EF0BF1"/>
    <w:rsid w:val="00EF2AC4"/>
    <w:rsid w:val="00EF342E"/>
    <w:rsid w:val="00EF397E"/>
    <w:rsid w:val="00F06F68"/>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B5733"/>
    <w:rsid w:val="00FB5CF2"/>
    <w:rsid w:val="00FC1439"/>
    <w:rsid w:val="00FC58BE"/>
    <w:rsid w:val="00FC724B"/>
    <w:rsid w:val="00FC7910"/>
    <w:rsid w:val="00FC7A3B"/>
    <w:rsid w:val="00FD17AB"/>
    <w:rsid w:val="00FE13AD"/>
    <w:rsid w:val="00FE4D8E"/>
    <w:rsid w:val="00FE72A6"/>
    <w:rsid w:val="00FF0DA7"/>
    <w:rsid w:val="00FF44E0"/>
    <w:rsid w:val="00FF4CB6"/>
    <w:rsid w:val="00FF6C72"/>
    <w:rsid w:val="01207B0A"/>
    <w:rsid w:val="01260E98"/>
    <w:rsid w:val="01603061"/>
    <w:rsid w:val="01A23CF3"/>
    <w:rsid w:val="01E626CD"/>
    <w:rsid w:val="02061A68"/>
    <w:rsid w:val="023A2E4D"/>
    <w:rsid w:val="039D54B9"/>
    <w:rsid w:val="03BD5772"/>
    <w:rsid w:val="03D3361D"/>
    <w:rsid w:val="03E94B2B"/>
    <w:rsid w:val="041A5BB9"/>
    <w:rsid w:val="043A125E"/>
    <w:rsid w:val="0444249D"/>
    <w:rsid w:val="047B43AD"/>
    <w:rsid w:val="04BB5D7A"/>
    <w:rsid w:val="05373674"/>
    <w:rsid w:val="055573CF"/>
    <w:rsid w:val="05895F4F"/>
    <w:rsid w:val="059009A2"/>
    <w:rsid w:val="05950A5F"/>
    <w:rsid w:val="05ED4C0E"/>
    <w:rsid w:val="05F82C30"/>
    <w:rsid w:val="06450D98"/>
    <w:rsid w:val="06D67039"/>
    <w:rsid w:val="06DB7C85"/>
    <w:rsid w:val="06FF6D9A"/>
    <w:rsid w:val="0718289C"/>
    <w:rsid w:val="073A1AF9"/>
    <w:rsid w:val="074E4E7E"/>
    <w:rsid w:val="07E06245"/>
    <w:rsid w:val="07FC3D20"/>
    <w:rsid w:val="0894022F"/>
    <w:rsid w:val="08B06367"/>
    <w:rsid w:val="08B97B9F"/>
    <w:rsid w:val="09313816"/>
    <w:rsid w:val="0949237B"/>
    <w:rsid w:val="09562ABD"/>
    <w:rsid w:val="09656ADE"/>
    <w:rsid w:val="098A290C"/>
    <w:rsid w:val="0ACE4E33"/>
    <w:rsid w:val="0B41616F"/>
    <w:rsid w:val="0B742A71"/>
    <w:rsid w:val="0BF00A21"/>
    <w:rsid w:val="0C4D5D0C"/>
    <w:rsid w:val="0C8541C1"/>
    <w:rsid w:val="0C93251E"/>
    <w:rsid w:val="0CB93963"/>
    <w:rsid w:val="0CDB6D52"/>
    <w:rsid w:val="0D350DE1"/>
    <w:rsid w:val="0D4774EC"/>
    <w:rsid w:val="0D644812"/>
    <w:rsid w:val="0DB35DA8"/>
    <w:rsid w:val="0DEE46B4"/>
    <w:rsid w:val="0E344BF5"/>
    <w:rsid w:val="0E513771"/>
    <w:rsid w:val="0F151A16"/>
    <w:rsid w:val="0F2F76B6"/>
    <w:rsid w:val="0F706ABC"/>
    <w:rsid w:val="0FA342C8"/>
    <w:rsid w:val="0FA8163F"/>
    <w:rsid w:val="0FD12B25"/>
    <w:rsid w:val="0FE30923"/>
    <w:rsid w:val="0FE407C7"/>
    <w:rsid w:val="10505F32"/>
    <w:rsid w:val="10A5002C"/>
    <w:rsid w:val="10B000C3"/>
    <w:rsid w:val="10D54BC7"/>
    <w:rsid w:val="11B752EF"/>
    <w:rsid w:val="11FD6262"/>
    <w:rsid w:val="1230601B"/>
    <w:rsid w:val="12DB7B74"/>
    <w:rsid w:val="12DC585B"/>
    <w:rsid w:val="12E87E32"/>
    <w:rsid w:val="13085F44"/>
    <w:rsid w:val="134A310C"/>
    <w:rsid w:val="13A520F1"/>
    <w:rsid w:val="13D11138"/>
    <w:rsid w:val="13D80718"/>
    <w:rsid w:val="144D613F"/>
    <w:rsid w:val="1457163D"/>
    <w:rsid w:val="14617830"/>
    <w:rsid w:val="151702A5"/>
    <w:rsid w:val="1530558A"/>
    <w:rsid w:val="15437F21"/>
    <w:rsid w:val="16305BEF"/>
    <w:rsid w:val="163A2FC4"/>
    <w:rsid w:val="170830C2"/>
    <w:rsid w:val="177C2E44"/>
    <w:rsid w:val="178611C4"/>
    <w:rsid w:val="17944956"/>
    <w:rsid w:val="17CB29D7"/>
    <w:rsid w:val="18482B9D"/>
    <w:rsid w:val="185845DB"/>
    <w:rsid w:val="186930F5"/>
    <w:rsid w:val="18B34371"/>
    <w:rsid w:val="19006747"/>
    <w:rsid w:val="19131742"/>
    <w:rsid w:val="19310AEC"/>
    <w:rsid w:val="19580840"/>
    <w:rsid w:val="19586BD3"/>
    <w:rsid w:val="1A1B310D"/>
    <w:rsid w:val="1A2226ED"/>
    <w:rsid w:val="1B097409"/>
    <w:rsid w:val="1B140E37"/>
    <w:rsid w:val="1B95354C"/>
    <w:rsid w:val="1BFB1448"/>
    <w:rsid w:val="1CC63388"/>
    <w:rsid w:val="1CF704E7"/>
    <w:rsid w:val="1CFA2B35"/>
    <w:rsid w:val="1D031CAB"/>
    <w:rsid w:val="1D9C4C7C"/>
    <w:rsid w:val="1DB63BF7"/>
    <w:rsid w:val="1DEE7E71"/>
    <w:rsid w:val="1ECC265C"/>
    <w:rsid w:val="1EDC730E"/>
    <w:rsid w:val="1EE47F71"/>
    <w:rsid w:val="1F006594"/>
    <w:rsid w:val="1F1D019E"/>
    <w:rsid w:val="1F650101"/>
    <w:rsid w:val="204B6B2E"/>
    <w:rsid w:val="20662073"/>
    <w:rsid w:val="208223BA"/>
    <w:rsid w:val="20B90ECD"/>
    <w:rsid w:val="20FF1092"/>
    <w:rsid w:val="217C4DE4"/>
    <w:rsid w:val="21EF5832"/>
    <w:rsid w:val="222451D6"/>
    <w:rsid w:val="222C7CC1"/>
    <w:rsid w:val="228B3DDF"/>
    <w:rsid w:val="22956C01"/>
    <w:rsid w:val="22B0443D"/>
    <w:rsid w:val="22CA3922"/>
    <w:rsid w:val="22EE1374"/>
    <w:rsid w:val="23142835"/>
    <w:rsid w:val="233B1BD3"/>
    <w:rsid w:val="23524AF1"/>
    <w:rsid w:val="23D25F62"/>
    <w:rsid w:val="23E46C65"/>
    <w:rsid w:val="23F30C56"/>
    <w:rsid w:val="244A09D9"/>
    <w:rsid w:val="24741D97"/>
    <w:rsid w:val="249636A0"/>
    <w:rsid w:val="24A135C9"/>
    <w:rsid w:val="24AE62D2"/>
    <w:rsid w:val="24B659B4"/>
    <w:rsid w:val="24B71C84"/>
    <w:rsid w:val="24D76EE4"/>
    <w:rsid w:val="24EA513F"/>
    <w:rsid w:val="25F72C80"/>
    <w:rsid w:val="26BA0F73"/>
    <w:rsid w:val="26E33CCC"/>
    <w:rsid w:val="26FC7E22"/>
    <w:rsid w:val="275A05D4"/>
    <w:rsid w:val="276500BD"/>
    <w:rsid w:val="278E2FAE"/>
    <w:rsid w:val="27C546B8"/>
    <w:rsid w:val="285B22D8"/>
    <w:rsid w:val="28CF0B91"/>
    <w:rsid w:val="2920429C"/>
    <w:rsid w:val="29276F93"/>
    <w:rsid w:val="292D7135"/>
    <w:rsid w:val="293F1D49"/>
    <w:rsid w:val="295E3016"/>
    <w:rsid w:val="29610594"/>
    <w:rsid w:val="297401D6"/>
    <w:rsid w:val="297C48F1"/>
    <w:rsid w:val="29CC61D1"/>
    <w:rsid w:val="2A13389B"/>
    <w:rsid w:val="2A4F2CBA"/>
    <w:rsid w:val="2A6A2ACF"/>
    <w:rsid w:val="2A7810C8"/>
    <w:rsid w:val="2A862766"/>
    <w:rsid w:val="2A8F0E29"/>
    <w:rsid w:val="2AC44187"/>
    <w:rsid w:val="2AF36DD8"/>
    <w:rsid w:val="2B087D78"/>
    <w:rsid w:val="2B5956DC"/>
    <w:rsid w:val="2B6A3E35"/>
    <w:rsid w:val="2BFA45B8"/>
    <w:rsid w:val="2CD72844"/>
    <w:rsid w:val="2D107FB3"/>
    <w:rsid w:val="2D1B7242"/>
    <w:rsid w:val="2D727442"/>
    <w:rsid w:val="2D7E66F1"/>
    <w:rsid w:val="2DA84860"/>
    <w:rsid w:val="2E7F01F0"/>
    <w:rsid w:val="2EB1433D"/>
    <w:rsid w:val="2ECB5AA7"/>
    <w:rsid w:val="2F01649B"/>
    <w:rsid w:val="2F11707D"/>
    <w:rsid w:val="2F330E80"/>
    <w:rsid w:val="2F58579A"/>
    <w:rsid w:val="2FBD0A96"/>
    <w:rsid w:val="2FEC3129"/>
    <w:rsid w:val="302E3742"/>
    <w:rsid w:val="303814DD"/>
    <w:rsid w:val="30E94C84"/>
    <w:rsid w:val="31230F1E"/>
    <w:rsid w:val="31B42342"/>
    <w:rsid w:val="31C63636"/>
    <w:rsid w:val="31E24381"/>
    <w:rsid w:val="325F57F8"/>
    <w:rsid w:val="32917FB8"/>
    <w:rsid w:val="32A0644D"/>
    <w:rsid w:val="32AD2053"/>
    <w:rsid w:val="32F55468"/>
    <w:rsid w:val="33666500"/>
    <w:rsid w:val="337A1F3E"/>
    <w:rsid w:val="337E0EB8"/>
    <w:rsid w:val="33953AD8"/>
    <w:rsid w:val="33CC257B"/>
    <w:rsid w:val="33D91E14"/>
    <w:rsid w:val="341D7D55"/>
    <w:rsid w:val="343216A0"/>
    <w:rsid w:val="34B1148A"/>
    <w:rsid w:val="353115DE"/>
    <w:rsid w:val="35BC317A"/>
    <w:rsid w:val="35BD0721"/>
    <w:rsid w:val="35D94150"/>
    <w:rsid w:val="3612317C"/>
    <w:rsid w:val="361D4671"/>
    <w:rsid w:val="36C30811"/>
    <w:rsid w:val="36E4644E"/>
    <w:rsid w:val="36E9672A"/>
    <w:rsid w:val="36F54FB9"/>
    <w:rsid w:val="37173F3B"/>
    <w:rsid w:val="37375E56"/>
    <w:rsid w:val="377B096C"/>
    <w:rsid w:val="37D81A4C"/>
    <w:rsid w:val="38F21AA3"/>
    <w:rsid w:val="391204B9"/>
    <w:rsid w:val="394F51A8"/>
    <w:rsid w:val="39972358"/>
    <w:rsid w:val="39ED7696"/>
    <w:rsid w:val="39FC665F"/>
    <w:rsid w:val="3A176FF5"/>
    <w:rsid w:val="3A1E05B2"/>
    <w:rsid w:val="3A9932B0"/>
    <w:rsid w:val="3B240C7B"/>
    <w:rsid w:val="3BB2664C"/>
    <w:rsid w:val="3C4340D1"/>
    <w:rsid w:val="3D4E5423"/>
    <w:rsid w:val="3D621C2D"/>
    <w:rsid w:val="3D8A6557"/>
    <w:rsid w:val="3DAB7BE4"/>
    <w:rsid w:val="3E593C49"/>
    <w:rsid w:val="3E8353E3"/>
    <w:rsid w:val="3E894660"/>
    <w:rsid w:val="3E9B64DE"/>
    <w:rsid w:val="3EC8418C"/>
    <w:rsid w:val="3F057D64"/>
    <w:rsid w:val="3F78732A"/>
    <w:rsid w:val="3FBB0B5B"/>
    <w:rsid w:val="3FD15E98"/>
    <w:rsid w:val="3FE51083"/>
    <w:rsid w:val="3FF706C2"/>
    <w:rsid w:val="40350BF8"/>
    <w:rsid w:val="405F6132"/>
    <w:rsid w:val="41480FDF"/>
    <w:rsid w:val="414C0A9E"/>
    <w:rsid w:val="4227058A"/>
    <w:rsid w:val="423050F8"/>
    <w:rsid w:val="424E6FF6"/>
    <w:rsid w:val="42561938"/>
    <w:rsid w:val="42C43A92"/>
    <w:rsid w:val="43884ED0"/>
    <w:rsid w:val="43E73EDC"/>
    <w:rsid w:val="443F5452"/>
    <w:rsid w:val="44471F8A"/>
    <w:rsid w:val="44632A01"/>
    <w:rsid w:val="447A3294"/>
    <w:rsid w:val="44B6565C"/>
    <w:rsid w:val="44E6360F"/>
    <w:rsid w:val="45557816"/>
    <w:rsid w:val="456F581F"/>
    <w:rsid w:val="45701CAF"/>
    <w:rsid w:val="45DE5D22"/>
    <w:rsid w:val="45F7300D"/>
    <w:rsid w:val="469A3487"/>
    <w:rsid w:val="46A8567B"/>
    <w:rsid w:val="46CD776D"/>
    <w:rsid w:val="470E5A88"/>
    <w:rsid w:val="471A7BB3"/>
    <w:rsid w:val="473A6EDD"/>
    <w:rsid w:val="473D7DA5"/>
    <w:rsid w:val="47B55CA2"/>
    <w:rsid w:val="47D12AB5"/>
    <w:rsid w:val="47E83B67"/>
    <w:rsid w:val="483F78D1"/>
    <w:rsid w:val="488B2B6C"/>
    <w:rsid w:val="49245925"/>
    <w:rsid w:val="4A0F2B90"/>
    <w:rsid w:val="4A28116D"/>
    <w:rsid w:val="4A572BA7"/>
    <w:rsid w:val="4AAB691E"/>
    <w:rsid w:val="4AE60EFC"/>
    <w:rsid w:val="4AF13892"/>
    <w:rsid w:val="4B1F08EE"/>
    <w:rsid w:val="4B2E2169"/>
    <w:rsid w:val="4B4E13C6"/>
    <w:rsid w:val="4B7F49FA"/>
    <w:rsid w:val="4BA84C56"/>
    <w:rsid w:val="4BF10A91"/>
    <w:rsid w:val="4CB5201C"/>
    <w:rsid w:val="4CC36182"/>
    <w:rsid w:val="4D227280"/>
    <w:rsid w:val="4D571B06"/>
    <w:rsid w:val="4D9904AC"/>
    <w:rsid w:val="4DAC571F"/>
    <w:rsid w:val="4DC94B5A"/>
    <w:rsid w:val="4E0E6E40"/>
    <w:rsid w:val="4E717D31"/>
    <w:rsid w:val="4EA54109"/>
    <w:rsid w:val="4EA93C1A"/>
    <w:rsid w:val="4EA953A2"/>
    <w:rsid w:val="4EC866B8"/>
    <w:rsid w:val="4F0476F8"/>
    <w:rsid w:val="4F57148B"/>
    <w:rsid w:val="4FDE2637"/>
    <w:rsid w:val="50C1760F"/>
    <w:rsid w:val="50CF4131"/>
    <w:rsid w:val="51222EA0"/>
    <w:rsid w:val="51266A33"/>
    <w:rsid w:val="514209A3"/>
    <w:rsid w:val="51D4485E"/>
    <w:rsid w:val="52361C70"/>
    <w:rsid w:val="52574038"/>
    <w:rsid w:val="52B4767F"/>
    <w:rsid w:val="52D37C16"/>
    <w:rsid w:val="53A721AE"/>
    <w:rsid w:val="540D7B79"/>
    <w:rsid w:val="544D4BA6"/>
    <w:rsid w:val="546E3757"/>
    <w:rsid w:val="54A44053"/>
    <w:rsid w:val="54D227C7"/>
    <w:rsid w:val="54ED1976"/>
    <w:rsid w:val="54F87FC7"/>
    <w:rsid w:val="556A25FF"/>
    <w:rsid w:val="55A25EB5"/>
    <w:rsid w:val="55BD2CEE"/>
    <w:rsid w:val="55CE2806"/>
    <w:rsid w:val="56AD4A20"/>
    <w:rsid w:val="56D25AA5"/>
    <w:rsid w:val="56EB2722"/>
    <w:rsid w:val="574F7976"/>
    <w:rsid w:val="575C2093"/>
    <w:rsid w:val="576F0018"/>
    <w:rsid w:val="57AA1988"/>
    <w:rsid w:val="57E02CC4"/>
    <w:rsid w:val="582B3178"/>
    <w:rsid w:val="586412EA"/>
    <w:rsid w:val="58953370"/>
    <w:rsid w:val="58B71EF1"/>
    <w:rsid w:val="58C21000"/>
    <w:rsid w:val="58C45C8C"/>
    <w:rsid w:val="59005628"/>
    <w:rsid w:val="590D4C0A"/>
    <w:rsid w:val="591A61C3"/>
    <w:rsid w:val="59482ED9"/>
    <w:rsid w:val="597F36B6"/>
    <w:rsid w:val="59D47E2E"/>
    <w:rsid w:val="59D82F60"/>
    <w:rsid w:val="59D86349"/>
    <w:rsid w:val="59FF669E"/>
    <w:rsid w:val="5A062460"/>
    <w:rsid w:val="5A214248"/>
    <w:rsid w:val="5AC36165"/>
    <w:rsid w:val="5AD76600"/>
    <w:rsid w:val="5AF40770"/>
    <w:rsid w:val="5B257EE4"/>
    <w:rsid w:val="5B4236BA"/>
    <w:rsid w:val="5B655255"/>
    <w:rsid w:val="5BA13D24"/>
    <w:rsid w:val="5BBD4CC4"/>
    <w:rsid w:val="5BF34645"/>
    <w:rsid w:val="5C0A6562"/>
    <w:rsid w:val="5C1D6295"/>
    <w:rsid w:val="5C207B33"/>
    <w:rsid w:val="5C297B1E"/>
    <w:rsid w:val="5C5C03E7"/>
    <w:rsid w:val="5C64301A"/>
    <w:rsid w:val="5C711C19"/>
    <w:rsid w:val="5D1511CA"/>
    <w:rsid w:val="5D5348DF"/>
    <w:rsid w:val="5DC80482"/>
    <w:rsid w:val="5E6455E2"/>
    <w:rsid w:val="5EE13A22"/>
    <w:rsid w:val="5EE30B66"/>
    <w:rsid w:val="5F0B15FC"/>
    <w:rsid w:val="5F305636"/>
    <w:rsid w:val="6081240B"/>
    <w:rsid w:val="60970BEA"/>
    <w:rsid w:val="60F021CA"/>
    <w:rsid w:val="611759A9"/>
    <w:rsid w:val="614E5143"/>
    <w:rsid w:val="61C70418"/>
    <w:rsid w:val="621F18BE"/>
    <w:rsid w:val="624D53FA"/>
    <w:rsid w:val="62A04B55"/>
    <w:rsid w:val="62F35FA1"/>
    <w:rsid w:val="630A4D0B"/>
    <w:rsid w:val="63365E8E"/>
    <w:rsid w:val="634405AB"/>
    <w:rsid w:val="63732C3E"/>
    <w:rsid w:val="637E3273"/>
    <w:rsid w:val="63C82F8A"/>
    <w:rsid w:val="63E3172E"/>
    <w:rsid w:val="641E337C"/>
    <w:rsid w:val="64A21706"/>
    <w:rsid w:val="64AA4D4E"/>
    <w:rsid w:val="64C50581"/>
    <w:rsid w:val="65171A26"/>
    <w:rsid w:val="653073E9"/>
    <w:rsid w:val="654E25D6"/>
    <w:rsid w:val="65841133"/>
    <w:rsid w:val="66522D5D"/>
    <w:rsid w:val="66686E3E"/>
    <w:rsid w:val="668F5FE1"/>
    <w:rsid w:val="66AC48DB"/>
    <w:rsid w:val="66AD24F1"/>
    <w:rsid w:val="66EB60A2"/>
    <w:rsid w:val="66F8121C"/>
    <w:rsid w:val="674C012C"/>
    <w:rsid w:val="679A4C3E"/>
    <w:rsid w:val="67AE2D59"/>
    <w:rsid w:val="68F5218C"/>
    <w:rsid w:val="695C00C9"/>
    <w:rsid w:val="695C1282"/>
    <w:rsid w:val="696214F0"/>
    <w:rsid w:val="6978711E"/>
    <w:rsid w:val="69AE40CB"/>
    <w:rsid w:val="69C04704"/>
    <w:rsid w:val="6A043972"/>
    <w:rsid w:val="6A3823F3"/>
    <w:rsid w:val="6A3E56F7"/>
    <w:rsid w:val="6A8514C2"/>
    <w:rsid w:val="6A876FCF"/>
    <w:rsid w:val="6AA14693"/>
    <w:rsid w:val="6B557947"/>
    <w:rsid w:val="6B7036D0"/>
    <w:rsid w:val="6B8A62B5"/>
    <w:rsid w:val="6B910106"/>
    <w:rsid w:val="6BA66F20"/>
    <w:rsid w:val="6BD33AB4"/>
    <w:rsid w:val="6BD44496"/>
    <w:rsid w:val="6BE71575"/>
    <w:rsid w:val="6C184383"/>
    <w:rsid w:val="6CBB4C0F"/>
    <w:rsid w:val="6CC618D1"/>
    <w:rsid w:val="6CD66551"/>
    <w:rsid w:val="6D88182A"/>
    <w:rsid w:val="6D9B64ED"/>
    <w:rsid w:val="6E0D7BA7"/>
    <w:rsid w:val="6E236498"/>
    <w:rsid w:val="6E285065"/>
    <w:rsid w:val="6E8A2F8E"/>
    <w:rsid w:val="6EBF0E53"/>
    <w:rsid w:val="6ED30A35"/>
    <w:rsid w:val="6FE07C8E"/>
    <w:rsid w:val="6FEA5D29"/>
    <w:rsid w:val="70645DE9"/>
    <w:rsid w:val="70C163F9"/>
    <w:rsid w:val="70EE7DA8"/>
    <w:rsid w:val="71045FF9"/>
    <w:rsid w:val="71182277"/>
    <w:rsid w:val="7120067C"/>
    <w:rsid w:val="714159FA"/>
    <w:rsid w:val="717E2EDA"/>
    <w:rsid w:val="71A020C4"/>
    <w:rsid w:val="71AD055C"/>
    <w:rsid w:val="71FC72F5"/>
    <w:rsid w:val="72345835"/>
    <w:rsid w:val="72DC01FB"/>
    <w:rsid w:val="739050CC"/>
    <w:rsid w:val="73954353"/>
    <w:rsid w:val="73C416CA"/>
    <w:rsid w:val="74092A78"/>
    <w:rsid w:val="742D5A90"/>
    <w:rsid w:val="74654825"/>
    <w:rsid w:val="74DF6386"/>
    <w:rsid w:val="7518696C"/>
    <w:rsid w:val="755539A3"/>
    <w:rsid w:val="7567552E"/>
    <w:rsid w:val="75DF326A"/>
    <w:rsid w:val="762221C9"/>
    <w:rsid w:val="766C6CC5"/>
    <w:rsid w:val="772D7032"/>
    <w:rsid w:val="776304F9"/>
    <w:rsid w:val="776C6083"/>
    <w:rsid w:val="77F55EC0"/>
    <w:rsid w:val="78056103"/>
    <w:rsid w:val="78104AA8"/>
    <w:rsid w:val="78192E77"/>
    <w:rsid w:val="78483DBE"/>
    <w:rsid w:val="78C70A76"/>
    <w:rsid w:val="79570EE4"/>
    <w:rsid w:val="796D594A"/>
    <w:rsid w:val="796E1A86"/>
    <w:rsid w:val="79973090"/>
    <w:rsid w:val="799F4335"/>
    <w:rsid w:val="79A91BF0"/>
    <w:rsid w:val="7A105BAE"/>
    <w:rsid w:val="7A794B87"/>
    <w:rsid w:val="7AAB1F23"/>
    <w:rsid w:val="7B000A09"/>
    <w:rsid w:val="7BA92F9A"/>
    <w:rsid w:val="7BB959FC"/>
    <w:rsid w:val="7D8B70AB"/>
    <w:rsid w:val="7DBA6EE2"/>
    <w:rsid w:val="7E3524EE"/>
    <w:rsid w:val="7E590F57"/>
    <w:rsid w:val="7E704A49"/>
    <w:rsid w:val="7E987D89"/>
    <w:rsid w:val="7EC063FE"/>
    <w:rsid w:val="7F024C13"/>
    <w:rsid w:val="7FAD3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1"/>
        <w:numId w:val="1"/>
      </w:numPr>
      <w:tabs>
        <w:tab w:val="left" w:pos="312"/>
      </w:tabs>
      <w:adjustRightInd w:val="0"/>
      <w:snapToGrid w:val="0"/>
      <w:ind w:left="0" w:firstLine="0"/>
      <w:outlineLvl w:val="1"/>
    </w:pPr>
    <w:rPr>
      <w:rFonts w:ascii="Arial" w:hAnsi="Arial" w:cs="宋体"/>
      <w:b/>
      <w:bCs/>
      <w:sz w:val="28"/>
      <w:szCs w:val="28"/>
    </w:rPr>
  </w:style>
  <w:style w:type="paragraph" w:styleId="4">
    <w:name w:val="heading 3"/>
    <w:basedOn w:val="1"/>
    <w:next w:val="1"/>
    <w:link w:val="47"/>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2"/>
    <w:autoRedefine/>
    <w:qFormat/>
    <w:uiPriority w:val="0"/>
    <w:pPr>
      <w:keepNext/>
      <w:keepLines/>
      <w:spacing w:before="280" w:after="290" w:line="376" w:lineRule="auto"/>
      <w:outlineLvl w:val="3"/>
    </w:pPr>
    <w:rPr>
      <w:b/>
      <w:bCs/>
      <w:sz w:val="28"/>
      <w:szCs w:val="28"/>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4"/>
    <w:autoRedefine/>
    <w:qFormat/>
    <w:uiPriority w:val="0"/>
    <w:pPr>
      <w:jc w:val="left"/>
    </w:pPr>
    <w:rPr>
      <w:rFonts w:ascii="Arial" w:hAnsi="Arial" w:eastAsia="黑体" w:cs="Arial"/>
    </w:rPr>
  </w:style>
  <w:style w:type="paragraph" w:styleId="8">
    <w:name w:val="Body Text"/>
    <w:basedOn w:val="1"/>
    <w:autoRedefine/>
    <w:qFormat/>
    <w:uiPriority w:val="0"/>
    <w:pPr>
      <w:spacing w:after="120"/>
    </w:pPr>
    <w:rPr>
      <w:rFonts w:ascii="@微软简标宋" w:hAnsi="@微软简标宋" w:eastAsia="@微软简标宋" w:cs="@微软简标宋"/>
      <w:szCs w:val="24"/>
      <w:lang w:val="zh-CN"/>
    </w:rPr>
  </w:style>
  <w:style w:type="paragraph" w:styleId="9">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0">
    <w:name w:val="Plain Text"/>
    <w:basedOn w:val="1"/>
    <w:link w:val="34"/>
    <w:autoRedefine/>
    <w:qFormat/>
    <w:uiPriority w:val="99"/>
    <w:rPr>
      <w:rFonts w:ascii="宋体" w:hAnsi="Courier New" w:eastAsiaTheme="minorEastAsia" w:cstheme="minorBidi"/>
      <w:szCs w:val="22"/>
    </w:rPr>
  </w:style>
  <w:style w:type="paragraph" w:styleId="11">
    <w:name w:val="Date"/>
    <w:basedOn w:val="1"/>
    <w:next w:val="1"/>
    <w:link w:val="41"/>
    <w:autoRedefine/>
    <w:qFormat/>
    <w:uiPriority w:val="0"/>
    <w:rPr>
      <w:rFonts w:ascii="Arial" w:hAnsi="Arial" w:eastAsia="宋体" w:cs="Arial"/>
      <w:b/>
      <w:sz w:val="28"/>
    </w:rPr>
  </w:style>
  <w:style w:type="paragraph" w:styleId="12">
    <w:name w:val="Balloon Text"/>
    <w:basedOn w:val="1"/>
    <w:link w:val="28"/>
    <w:autoRedefine/>
    <w:semiHidden/>
    <w:unhideWhenUsed/>
    <w:qFormat/>
    <w:uiPriority w:val="99"/>
    <w:rPr>
      <w:sz w:val="18"/>
      <w:szCs w:val="18"/>
    </w:rPr>
  </w:style>
  <w:style w:type="paragraph" w:styleId="13">
    <w:name w:val="footer"/>
    <w:basedOn w:val="1"/>
    <w:link w:val="33"/>
    <w:autoRedefine/>
    <w:unhideWhenUsed/>
    <w:qFormat/>
    <w:uiPriority w:val="99"/>
    <w:pPr>
      <w:tabs>
        <w:tab w:val="center" w:pos="4153"/>
        <w:tab w:val="right" w:pos="8306"/>
      </w:tabs>
      <w:snapToGrid w:val="0"/>
      <w:jc w:val="left"/>
    </w:pPr>
    <w:rPr>
      <w:sz w:val="18"/>
      <w:szCs w:val="18"/>
    </w:rPr>
  </w:style>
  <w:style w:type="paragraph" w:styleId="14">
    <w:name w:val="header"/>
    <w:basedOn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6">
    <w:name w:val="footnote text"/>
    <w:basedOn w:val="1"/>
    <w:autoRedefine/>
    <w:semiHidden/>
    <w:unhideWhenUsed/>
    <w:qFormat/>
    <w:uiPriority w:val="99"/>
    <w:pPr>
      <w:snapToGrid w:val="0"/>
      <w:jc w:val="left"/>
    </w:pPr>
    <w:rPr>
      <w:sz w:val="18"/>
    </w:rPr>
  </w:style>
  <w:style w:type="paragraph" w:styleId="17">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8">
    <w:name w:val="Body Text 2"/>
    <w:basedOn w:val="1"/>
    <w:qFormat/>
    <w:uiPriority w:val="0"/>
    <w:pPr>
      <w:spacing w:after="120" w:line="480" w:lineRule="auto"/>
    </w:pPr>
  </w:style>
  <w:style w:type="paragraph" w:styleId="19">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20">
    <w:name w:val="index 1"/>
    <w:basedOn w:val="1"/>
    <w:next w:val="1"/>
    <w:link w:val="58"/>
    <w:autoRedefine/>
    <w:qFormat/>
    <w:uiPriority w:val="0"/>
    <w:pPr>
      <w:jc w:val="center"/>
    </w:pPr>
    <w:rPr>
      <w:rFonts w:ascii="Arial" w:hAnsi="Arial" w:eastAsia="Arial" w:cs="Arial"/>
      <w:b/>
      <w:bCs/>
      <w:sz w:val="28"/>
    </w:rPr>
  </w:style>
  <w:style w:type="paragraph" w:styleId="21">
    <w:name w:val="Body Text First Indent"/>
    <w:basedOn w:val="8"/>
    <w:autoRedefine/>
    <w:unhideWhenUsed/>
    <w:qFormat/>
    <w:uiPriority w:val="99"/>
    <w:pPr>
      <w:ind w:firstLine="420" w:firstLineChars="100"/>
    </w:pPr>
  </w:style>
  <w:style w:type="table" w:styleId="23">
    <w:name w:val="Table Grid"/>
    <w:basedOn w:val="22"/>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autoRedefine/>
    <w:qFormat/>
    <w:uiPriority w:val="0"/>
    <w:rPr>
      <w:b/>
      <w:bCs/>
    </w:rPr>
  </w:style>
  <w:style w:type="character" w:styleId="26">
    <w:name w:val="Hyperlink"/>
    <w:basedOn w:val="24"/>
    <w:autoRedefine/>
    <w:unhideWhenUsed/>
    <w:qFormat/>
    <w:uiPriority w:val="99"/>
    <w:rPr>
      <w:color w:val="0000FF" w:themeColor="hyperlink"/>
      <w:u w:val="single"/>
      <w14:textFill>
        <w14:solidFill>
          <w14:schemeClr w14:val="hlink"/>
        </w14:solidFill>
      </w14:textFill>
    </w:rPr>
  </w:style>
  <w:style w:type="character" w:styleId="27">
    <w:name w:val="footnote reference"/>
    <w:basedOn w:val="24"/>
    <w:autoRedefine/>
    <w:semiHidden/>
    <w:unhideWhenUsed/>
    <w:qFormat/>
    <w:uiPriority w:val="99"/>
    <w:rPr>
      <w:vertAlign w:val="superscript"/>
    </w:rPr>
  </w:style>
  <w:style w:type="character" w:customStyle="1" w:styleId="28">
    <w:name w:val="批注框文本 Char"/>
    <w:basedOn w:val="24"/>
    <w:link w:val="12"/>
    <w:autoRedefine/>
    <w:semiHidden/>
    <w:qFormat/>
    <w:uiPriority w:val="99"/>
    <w:rPr>
      <w:rFonts w:ascii="@仿宋_GB2312" w:hAnsi="@仿宋_GB2312" w:eastAsia="@仿宋_GB2312" w:cs="@仿宋_GB2312"/>
      <w:sz w:val="18"/>
      <w:szCs w:val="18"/>
    </w:rPr>
  </w:style>
  <w:style w:type="paragraph" w:customStyle="1" w:styleId="2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1">
    <w:name w:val="D&amp;L"/>
    <w:basedOn w:val="14"/>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2">
    <w:name w:val="页眉 Char"/>
    <w:basedOn w:val="24"/>
    <w:link w:val="14"/>
    <w:autoRedefine/>
    <w:qFormat/>
    <w:uiPriority w:val="99"/>
    <w:rPr>
      <w:rFonts w:ascii="@仿宋_GB2312" w:hAnsi="@仿宋_GB2312" w:eastAsia="@仿宋_GB2312" w:cs="@仿宋_GB2312"/>
      <w:sz w:val="18"/>
      <w:szCs w:val="18"/>
    </w:rPr>
  </w:style>
  <w:style w:type="character" w:customStyle="1" w:styleId="33">
    <w:name w:val="页脚 Char"/>
    <w:basedOn w:val="24"/>
    <w:link w:val="13"/>
    <w:autoRedefine/>
    <w:qFormat/>
    <w:uiPriority w:val="99"/>
    <w:rPr>
      <w:rFonts w:ascii="@仿宋_GB2312" w:hAnsi="@仿宋_GB2312" w:eastAsia="@仿宋_GB2312" w:cs="@仿宋_GB2312"/>
      <w:sz w:val="18"/>
      <w:szCs w:val="18"/>
    </w:rPr>
  </w:style>
  <w:style w:type="character" w:customStyle="1" w:styleId="34">
    <w:name w:val="纯文本 Char"/>
    <w:link w:val="10"/>
    <w:autoRedefine/>
    <w:qFormat/>
    <w:uiPriority w:val="0"/>
    <w:rPr>
      <w:rFonts w:ascii="宋体" w:hAnsi="Courier New"/>
    </w:rPr>
  </w:style>
  <w:style w:type="character" w:customStyle="1" w:styleId="35">
    <w:name w:val="纯文本 字符1"/>
    <w:basedOn w:val="24"/>
    <w:autoRedefine/>
    <w:semiHidden/>
    <w:qFormat/>
    <w:uiPriority w:val="99"/>
    <w:rPr>
      <w:rFonts w:hAnsi="Courier New" w:cs="Courier New" w:asciiTheme="minorEastAsia"/>
      <w:szCs w:val="20"/>
    </w:rPr>
  </w:style>
  <w:style w:type="character" w:customStyle="1" w:styleId="36">
    <w:name w:val="未处理的提及1"/>
    <w:basedOn w:val="24"/>
    <w:autoRedefine/>
    <w:semiHidden/>
    <w:unhideWhenUsed/>
    <w:qFormat/>
    <w:uiPriority w:val="99"/>
    <w:rPr>
      <w:color w:val="605E5C"/>
      <w:shd w:val="clear" w:color="auto" w:fill="E1DFDD"/>
    </w:rPr>
  </w:style>
  <w:style w:type="paragraph" w:styleId="37">
    <w:name w:val="List Paragraph"/>
    <w:basedOn w:val="1"/>
    <w:autoRedefine/>
    <w:qFormat/>
    <w:uiPriority w:val="34"/>
    <w:pPr>
      <w:ind w:firstLine="420" w:firstLineChars="200"/>
    </w:pPr>
  </w:style>
  <w:style w:type="paragraph" w:customStyle="1" w:styleId="38">
    <w:name w:val="Char Char Char Char Char Char Char1 Char"/>
    <w:basedOn w:val="1"/>
    <w:autoRedefine/>
    <w:qFormat/>
    <w:uiPriority w:val="0"/>
    <w:rPr>
      <w:rFonts w:ascii="Arial" w:hAnsi="Arial" w:eastAsia="宋体" w:cs="Arial"/>
      <w:sz w:val="24"/>
    </w:rPr>
  </w:style>
  <w:style w:type="table" w:customStyle="1" w:styleId="39">
    <w:name w:val="网格表 1 浅色1"/>
    <w:basedOn w:val="22"/>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0">
    <w:name w:val="日期 字符"/>
    <w:basedOn w:val="24"/>
    <w:autoRedefine/>
    <w:semiHidden/>
    <w:qFormat/>
    <w:uiPriority w:val="99"/>
    <w:rPr>
      <w:rFonts w:ascii="@仿宋_GB2312" w:hAnsi="@仿宋_GB2312" w:eastAsia="@仿宋_GB2312" w:cs="@仿宋_GB2312"/>
      <w:szCs w:val="20"/>
    </w:rPr>
  </w:style>
  <w:style w:type="character" w:customStyle="1" w:styleId="41">
    <w:name w:val="日期 Char"/>
    <w:link w:val="11"/>
    <w:autoRedefine/>
    <w:qFormat/>
    <w:uiPriority w:val="0"/>
    <w:rPr>
      <w:rFonts w:ascii="Arial" w:hAnsi="Arial" w:eastAsia="宋体" w:cs="Arial"/>
      <w:b/>
      <w:sz w:val="28"/>
      <w:szCs w:val="20"/>
    </w:rPr>
  </w:style>
  <w:style w:type="character" w:customStyle="1" w:styleId="42">
    <w:name w:val="纯文本 Char1"/>
    <w:autoRedefine/>
    <w:qFormat/>
    <w:locked/>
    <w:uiPriority w:val="99"/>
    <w:rPr>
      <w:rFonts w:ascii="Arial" w:hAnsi="Arial" w:eastAsia="Arial"/>
      <w:kern w:val="2"/>
      <w:sz w:val="21"/>
      <w:lang w:val="en-US" w:eastAsia="zh-CN" w:bidi="ar-SA"/>
    </w:rPr>
  </w:style>
  <w:style w:type="character" w:customStyle="1" w:styleId="43">
    <w:name w:val="批注文字 Char"/>
    <w:basedOn w:val="24"/>
    <w:autoRedefine/>
    <w:semiHidden/>
    <w:qFormat/>
    <w:uiPriority w:val="99"/>
    <w:rPr>
      <w:rFonts w:ascii="@仿宋_GB2312" w:hAnsi="@仿宋_GB2312" w:eastAsia="@仿宋_GB2312" w:cs="@仿宋_GB2312"/>
      <w:szCs w:val="20"/>
    </w:rPr>
  </w:style>
  <w:style w:type="character" w:customStyle="1" w:styleId="44">
    <w:name w:val="批注文字 Char1"/>
    <w:link w:val="7"/>
    <w:autoRedefine/>
    <w:qFormat/>
    <w:uiPriority w:val="0"/>
    <w:rPr>
      <w:rFonts w:ascii="Arial" w:hAnsi="Arial" w:eastAsia="黑体" w:cs="Arial"/>
      <w:szCs w:val="20"/>
    </w:rPr>
  </w:style>
  <w:style w:type="character" w:customStyle="1" w:styleId="45">
    <w:name w:val="标题 1 Char"/>
    <w:basedOn w:val="24"/>
    <w:link w:val="2"/>
    <w:autoRedefine/>
    <w:qFormat/>
    <w:uiPriority w:val="9"/>
    <w:rPr>
      <w:rFonts w:ascii="@仿宋_GB2312" w:hAnsi="@仿宋_GB2312" w:eastAsia="@仿宋_GB2312" w:cs="@仿宋_GB2312"/>
      <w:b/>
      <w:bCs/>
      <w:kern w:val="44"/>
      <w:sz w:val="44"/>
      <w:szCs w:val="44"/>
    </w:rPr>
  </w:style>
  <w:style w:type="paragraph" w:customStyle="1" w:styleId="46">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7">
    <w:name w:val="标题 3 Char"/>
    <w:basedOn w:val="24"/>
    <w:link w:val="4"/>
    <w:autoRedefine/>
    <w:semiHidden/>
    <w:qFormat/>
    <w:uiPriority w:val="9"/>
    <w:rPr>
      <w:rFonts w:ascii="@仿宋_GB2312" w:hAnsi="@仿宋_GB2312" w:eastAsia="@仿宋_GB2312" w:cs="@仿宋_GB2312"/>
      <w:b/>
      <w:bCs/>
      <w:sz w:val="32"/>
      <w:szCs w:val="32"/>
    </w:rPr>
  </w:style>
  <w:style w:type="character" w:customStyle="1" w:styleId="48">
    <w:name w:val="fontstyle01"/>
    <w:basedOn w:val="24"/>
    <w:autoRedefine/>
    <w:qFormat/>
    <w:uiPriority w:val="0"/>
    <w:rPr>
      <w:rFonts w:hint="eastAsia" w:ascii="宋体" w:hAnsi="宋体" w:eastAsia="宋体"/>
      <w:color w:val="000000"/>
      <w:sz w:val="22"/>
      <w:szCs w:val="22"/>
    </w:rPr>
  </w:style>
  <w:style w:type="character" w:customStyle="1" w:styleId="49">
    <w:name w:val="fontstyle21"/>
    <w:basedOn w:val="24"/>
    <w:autoRedefine/>
    <w:qFormat/>
    <w:uiPriority w:val="0"/>
    <w:rPr>
      <w:rFonts w:hint="default" w:ascii="TimesNewRomanPSMT" w:hAnsi="TimesNewRomanPSMT"/>
      <w:color w:val="000000"/>
      <w:sz w:val="22"/>
      <w:szCs w:val="22"/>
    </w:rPr>
  </w:style>
  <w:style w:type="character" w:customStyle="1" w:styleId="5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basedOn w:val="24"/>
    <w:autoRedefine/>
    <w:semiHidden/>
    <w:qFormat/>
    <w:uiPriority w:val="9"/>
    <w:rPr>
      <w:rFonts w:asciiTheme="majorHAnsi" w:hAnsiTheme="majorHAnsi" w:eastAsiaTheme="majorEastAsia" w:cstheme="majorBidi"/>
      <w:b/>
      <w:bCs/>
      <w:sz w:val="28"/>
      <w:szCs w:val="28"/>
    </w:rPr>
  </w:style>
  <w:style w:type="character" w:customStyle="1" w:styleId="52">
    <w:name w:val="标题 4 Char1"/>
    <w:link w:val="5"/>
    <w:autoRedefine/>
    <w:qFormat/>
    <w:uiPriority w:val="0"/>
    <w:rPr>
      <w:rFonts w:ascii="@仿宋_GB2312" w:hAnsi="@仿宋_GB2312" w:eastAsia="@仿宋_GB2312" w:cs="@仿宋_GB2312"/>
      <w:b/>
      <w:bCs/>
      <w:sz w:val="28"/>
      <w:szCs w:val="28"/>
    </w:rPr>
  </w:style>
  <w:style w:type="character" w:customStyle="1" w:styleId="53">
    <w:name w:val="标题 4 Char"/>
    <w:autoRedefine/>
    <w:qFormat/>
    <w:uiPriority w:val="0"/>
    <w:rPr>
      <w:rFonts w:ascii="Arial" w:hAnsi="Arial" w:eastAsia="Arial"/>
      <w:b/>
      <w:bCs/>
      <w:kern w:val="2"/>
      <w:sz w:val="28"/>
      <w:szCs w:val="28"/>
      <w:lang w:val="en-US" w:eastAsia="zh-CN" w:bidi="ar-SA"/>
    </w:rPr>
  </w:style>
  <w:style w:type="table" w:customStyle="1" w:styleId="54">
    <w:name w:val="网格型1"/>
    <w:basedOn w:val="2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5">
    <w:name w:val="WPSOffice手动目录 1"/>
    <w:autoRedefine/>
    <w:qFormat/>
    <w:uiPriority w:val="0"/>
    <w:rPr>
      <w:rFonts w:ascii="Times New Roman" w:hAnsi="Times New Roman" w:eastAsia="宋体" w:cs="Times New Roman"/>
      <w:lang w:val="en-US" w:eastAsia="zh-CN" w:bidi="ar-SA"/>
    </w:rPr>
  </w:style>
  <w:style w:type="paragraph" w:customStyle="1" w:styleId="56">
    <w:name w:val="正文首行缩进 21"/>
    <w:basedOn w:val="57"/>
    <w:autoRedefine/>
    <w:qFormat/>
    <w:uiPriority w:val="0"/>
    <w:pPr>
      <w:ind w:firstLine="420"/>
    </w:pPr>
  </w:style>
  <w:style w:type="paragraph" w:customStyle="1" w:styleId="57">
    <w:name w:val="正文文本缩进1"/>
    <w:basedOn w:val="1"/>
    <w:autoRedefine/>
    <w:qFormat/>
    <w:uiPriority w:val="0"/>
    <w:pPr>
      <w:spacing w:line="500" w:lineRule="exact"/>
      <w:ind w:firstLine="880" w:firstLineChars="200"/>
    </w:pPr>
    <w:rPr>
      <w:rFonts w:ascii="Times New Roman" w:hAnsi="Times New Roman"/>
    </w:rPr>
  </w:style>
  <w:style w:type="character" w:customStyle="1" w:styleId="58">
    <w:name w:val="索引 1 Char"/>
    <w:link w:val="20"/>
    <w:qFormat/>
    <w:uiPriority w:val="0"/>
    <w:rPr>
      <w:rFonts w:ascii="Arial" w:hAnsi="Arial" w:eastAsia="Arial" w:cs="Arial"/>
      <w:b/>
      <w:bCs/>
      <w:sz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5D0014-A5DA-446F-97EB-36BEFA438E06}">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60</Pages>
  <Words>1308</Words>
  <Characters>1527</Characters>
  <Lines>255</Lines>
  <Paragraphs>71</Paragraphs>
  <TotalTime>30</TotalTime>
  <ScaleCrop>false</ScaleCrop>
  <LinksUpToDate>false</LinksUpToDate>
  <CharactersWithSpaces>1561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2020-06-30T11:16:00Z</dcterms:created>
  <dc:creator>Anakin</dc:creator>
  <cp:lastModifiedBy>13956959062</cp:lastModifiedBy>
  <cp:lastPrinted>2019-12-07T15:18:00Z</cp:lastPrinted>
  <dcterms:modified xsi:type="dcterms:W3CDTF">2025-10-23T08:28:29Z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AD7A2C4D9AA247F8BEA6D55FE0CD374E_13</vt:lpwstr>
  </property>
  <property fmtid="{D5CDD505-2E9C-101B-9397-08002B2CF9AE}" pid="4" name="KSOTemplateDocerSaveRecord">
    <vt:lpwstr>eyJoZGlkIjoiNzk2N2MyY2U5OTJiNWM2MjhlZjgxZTVjOWJmYjZhNzgiLCJ1c2VySWQiOiI3Mzg5NzIxODgifQ==</vt:lpwstr>
  </property>
</Properties>
</file>