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FD6E1B">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复旦大学附属儿科医院安徽医院安徽省儿童医院彩色多普勒超声诊断系统采购项目</w:t>
      </w:r>
    </w:p>
    <w:p w14:paraId="311F68E4">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FS34000120265932号</w:t>
      </w:r>
    </w:p>
    <w:p w14:paraId="0E09C101">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安徽省儿童医院</w:t>
      </w:r>
    </w:p>
    <w:p w14:paraId="092C3BD0">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安徽寰亚国际招标有限公司</w:t>
      </w:r>
    </w:p>
    <w:p w14:paraId="299369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3CC367E">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07</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06ABA13">
      <w:pPr>
        <w:rPr>
          <w:rFonts w:hint="eastAsia" w:ascii="宋体" w:hAnsi="宋体" w:eastAsia="宋体"/>
          <w:b/>
          <w:color w:val="auto"/>
          <w:sz w:val="28"/>
          <w:highlight w:val="none"/>
        </w:rPr>
      </w:pP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908259D">
      <w:pPr>
        <w:pStyle w:val="17"/>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_Toc23443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eastAsiaTheme="minorEastAsia"/>
          <w:color w:val="auto"/>
          <w:szCs w:val="24"/>
          <w:highlight w:val="none"/>
        </w:rPr>
        <w:fldChar w:fldCharType="end"/>
      </w:r>
    </w:p>
    <w:p w14:paraId="38C6091F">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_Toc31935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_Toc31935 \h </w:instrText>
      </w:r>
      <w:r>
        <w:rPr>
          <w:color w:val="auto"/>
          <w:highlight w:val="none"/>
        </w:rPr>
        <w:fldChar w:fldCharType="separate"/>
      </w:r>
      <w:r>
        <w:rPr>
          <w:color w:val="auto"/>
          <w:highlight w:val="none"/>
        </w:rPr>
        <w:t>4</w:t>
      </w:r>
      <w:r>
        <w:rPr>
          <w:color w:val="auto"/>
          <w:highlight w:val="none"/>
        </w:rPr>
        <w:fldChar w:fldCharType="end"/>
      </w:r>
      <w:r>
        <w:rPr>
          <w:rFonts w:asciiTheme="minorEastAsia" w:hAnsiTheme="minorEastAsia" w:eastAsiaTheme="minorEastAsia"/>
          <w:color w:val="auto"/>
          <w:szCs w:val="24"/>
          <w:highlight w:val="none"/>
        </w:rPr>
        <w:fldChar w:fldCharType="end"/>
      </w:r>
    </w:p>
    <w:p w14:paraId="540DF2B9">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_Toc10891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22</w:t>
      </w:r>
      <w:r>
        <w:rPr>
          <w:color w:val="auto"/>
          <w:highlight w:val="none"/>
        </w:rPr>
        <w:fldChar w:fldCharType="end"/>
      </w:r>
      <w:r>
        <w:rPr>
          <w:rFonts w:asciiTheme="minorEastAsia" w:hAnsiTheme="minorEastAsia" w:eastAsiaTheme="minorEastAsia"/>
          <w:color w:val="auto"/>
          <w:szCs w:val="24"/>
          <w:highlight w:val="none"/>
        </w:rPr>
        <w:fldChar w:fldCharType="end"/>
      </w:r>
    </w:p>
    <w:p w14:paraId="2309FF48">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_Toc16417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28</w:t>
      </w:r>
      <w:r>
        <w:rPr>
          <w:color w:val="auto"/>
          <w:highlight w:val="none"/>
        </w:rPr>
        <w:fldChar w:fldCharType="end"/>
      </w:r>
      <w:r>
        <w:rPr>
          <w:rFonts w:asciiTheme="minorEastAsia" w:hAnsiTheme="minorEastAsia" w:eastAsiaTheme="minorEastAsia"/>
          <w:color w:val="auto"/>
          <w:szCs w:val="24"/>
          <w:highlight w:val="none"/>
        </w:rPr>
        <w:fldChar w:fldCharType="end"/>
      </w:r>
    </w:p>
    <w:p w14:paraId="59DCF857">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_Toc4682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_Toc4682 \h </w:instrText>
      </w:r>
      <w:r>
        <w:rPr>
          <w:color w:val="auto"/>
          <w:highlight w:val="none"/>
        </w:rPr>
        <w:fldChar w:fldCharType="separate"/>
      </w:r>
      <w:r>
        <w:rPr>
          <w:color w:val="auto"/>
          <w:highlight w:val="none"/>
        </w:rPr>
        <w:t>36</w:t>
      </w:r>
      <w:r>
        <w:rPr>
          <w:color w:val="auto"/>
          <w:highlight w:val="none"/>
        </w:rPr>
        <w:fldChar w:fldCharType="end"/>
      </w:r>
      <w:r>
        <w:rPr>
          <w:rFonts w:asciiTheme="minorEastAsia" w:hAnsiTheme="minorEastAsia" w:eastAsiaTheme="minorEastAsia"/>
          <w:color w:val="auto"/>
          <w:szCs w:val="24"/>
          <w:highlight w:val="none"/>
        </w:rPr>
        <w:fldChar w:fldCharType="end"/>
      </w:r>
    </w:p>
    <w:p w14:paraId="3A96B3E5">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_Toc22492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_Toc22492 \h </w:instrText>
      </w:r>
      <w:r>
        <w:rPr>
          <w:color w:val="auto"/>
          <w:highlight w:val="none"/>
        </w:rPr>
        <w:fldChar w:fldCharType="separate"/>
      </w:r>
      <w:r>
        <w:rPr>
          <w:color w:val="auto"/>
          <w:highlight w:val="none"/>
        </w:rPr>
        <w:t>56</w:t>
      </w:r>
      <w:r>
        <w:rPr>
          <w:color w:val="auto"/>
          <w:highlight w:val="none"/>
        </w:rPr>
        <w:fldChar w:fldCharType="end"/>
      </w:r>
      <w:r>
        <w:rPr>
          <w:rFonts w:asciiTheme="minorEastAsia" w:hAnsiTheme="minorEastAsia" w:eastAsiaTheme="minorEastAsia"/>
          <w:color w:val="auto"/>
          <w:szCs w:val="24"/>
          <w:highlight w:val="none"/>
        </w:rPr>
        <w:fldChar w:fldCharType="end"/>
      </w:r>
    </w:p>
    <w:p w14:paraId="5E839302">
      <w:pPr>
        <w:pStyle w:val="17"/>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_Toc18131 \h </w:instrText>
      </w:r>
      <w:r>
        <w:rPr>
          <w:color w:val="auto"/>
          <w:highlight w:val="none"/>
        </w:rPr>
        <w:fldChar w:fldCharType="separate"/>
      </w:r>
      <w:r>
        <w:rPr>
          <w:color w:val="auto"/>
          <w:highlight w:val="none"/>
        </w:rPr>
        <w:t>76</w:t>
      </w:r>
      <w:r>
        <w:rPr>
          <w:color w:val="auto"/>
          <w:highlight w:val="none"/>
        </w:rPr>
        <w:fldChar w:fldCharType="end"/>
      </w:r>
      <w:r>
        <w:rPr>
          <w:rFonts w:asciiTheme="minorEastAsia" w:hAnsiTheme="minorEastAsia" w:eastAsiaTheme="minorEastAsia"/>
          <w:color w:val="auto"/>
          <w:szCs w:val="24"/>
          <w:highlight w:val="none"/>
        </w:rPr>
        <w:fldChar w:fldCharType="end"/>
      </w:r>
    </w:p>
    <w:p w14:paraId="4F65E875">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2CC6E944">
      <w:pPr>
        <w:pStyle w:val="8"/>
        <w:rPr>
          <w:color w:val="auto"/>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67B94087">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4F78C9C2">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u w:val="single"/>
        </w:rPr>
        <w:t>FS34000120265932号</w:t>
      </w:r>
    </w:p>
    <w:p w14:paraId="0FD566A9">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u w:val="single"/>
        </w:rPr>
        <w:t>复旦大学附属儿科医院安徽医院安徽省儿童医院彩色多普勒超声诊断系统采购项目</w:t>
      </w:r>
    </w:p>
    <w:p w14:paraId="0286646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lang w:val="en-US" w:eastAsia="zh-CN"/>
        </w:rPr>
        <w:t>440万元</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lang w:val="en-US" w:eastAsia="zh-CN"/>
        </w:rPr>
        <w:t>440万元</w:t>
      </w:r>
    </w:p>
    <w:p w14:paraId="6EB0E6CF">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本项目</w:t>
      </w:r>
      <w:r>
        <w:rPr>
          <w:rFonts w:hint="eastAsia" w:ascii="宋体" w:hAnsi="宋体" w:eastAsia="宋体"/>
          <w:color w:val="auto"/>
          <w:sz w:val="24"/>
          <w:szCs w:val="18"/>
          <w:highlight w:val="none"/>
          <w:u w:val="single"/>
          <w:lang w:val="en-US" w:eastAsia="zh-CN"/>
        </w:rPr>
        <w:t>1</w:t>
      </w:r>
      <w:r>
        <w:rPr>
          <w:rFonts w:hint="eastAsia" w:ascii="宋体" w:hAnsi="宋体" w:eastAsia="宋体"/>
          <w:color w:val="auto"/>
          <w:sz w:val="24"/>
          <w:szCs w:val="18"/>
          <w:highlight w:val="none"/>
          <w:u w:val="single"/>
        </w:rPr>
        <w:t>个包，</w:t>
      </w:r>
      <w:r>
        <w:rPr>
          <w:rFonts w:hint="eastAsia" w:ascii="宋体" w:hAnsi="宋体" w:eastAsia="宋体"/>
          <w:color w:val="auto"/>
          <w:sz w:val="24"/>
          <w:szCs w:val="18"/>
          <w:highlight w:val="none"/>
          <w:u w:val="single"/>
          <w:lang w:eastAsia="zh-CN"/>
        </w:rPr>
        <w:t>包含</w:t>
      </w:r>
      <w:r>
        <w:rPr>
          <w:rFonts w:hint="eastAsia" w:asciiTheme="minorEastAsia" w:hAnsiTheme="minorEastAsia" w:eastAsiaTheme="minorEastAsia"/>
          <w:color w:val="auto"/>
          <w:sz w:val="24"/>
          <w:highlight w:val="none"/>
          <w:u w:val="single"/>
        </w:rPr>
        <w:t>彩色多普勒超声诊断系统</w:t>
      </w:r>
      <w:r>
        <w:rPr>
          <w:rFonts w:hint="eastAsia" w:asciiTheme="minorEastAsia" w:hAnsiTheme="minorEastAsia" w:eastAsiaTheme="minorEastAsia"/>
          <w:color w:val="auto"/>
          <w:sz w:val="24"/>
          <w:highlight w:val="none"/>
          <w:u w:val="single"/>
          <w:lang w:val="en-US" w:eastAsia="zh-CN"/>
        </w:rPr>
        <w:t>2</w:t>
      </w:r>
      <w:r>
        <w:rPr>
          <w:rFonts w:hint="eastAsia" w:asciiTheme="minorEastAsia" w:hAnsiTheme="minorEastAsia" w:eastAsiaTheme="minorEastAsia"/>
          <w:color w:val="auto"/>
          <w:sz w:val="24"/>
          <w:highlight w:val="none"/>
          <w:u w:val="single"/>
          <w:lang w:val="en-US" w:eastAsia="zh-CN"/>
        </w:rPr>
        <w:t>套</w:t>
      </w:r>
      <w:r>
        <w:rPr>
          <w:rFonts w:hint="eastAsia" w:ascii="宋体" w:hAnsi="宋体" w:eastAsia="宋体"/>
          <w:color w:val="auto"/>
          <w:sz w:val="24"/>
          <w:szCs w:val="18"/>
          <w:highlight w:val="none"/>
          <w:u w:val="single"/>
        </w:rPr>
        <w:t>供货安装</w:t>
      </w:r>
      <w:r>
        <w:rPr>
          <w:rFonts w:hint="eastAsia" w:ascii="宋体" w:hAnsi="宋体" w:eastAsia="宋体"/>
          <w:color w:val="auto"/>
          <w:sz w:val="24"/>
          <w:szCs w:val="18"/>
          <w:highlight w:val="none"/>
          <w:u w:val="single"/>
          <w:lang w:eastAsia="zh-CN"/>
        </w:rPr>
        <w:t>及售后服务</w:t>
      </w:r>
      <w:r>
        <w:rPr>
          <w:rFonts w:hint="eastAsia" w:ascii="宋体" w:hAnsi="宋体" w:eastAsia="宋体"/>
          <w:color w:val="auto"/>
          <w:sz w:val="24"/>
          <w:szCs w:val="18"/>
          <w:highlight w:val="none"/>
          <w:u w:val="single"/>
        </w:rPr>
        <w:t>等</w:t>
      </w:r>
    </w:p>
    <w:p w14:paraId="408E8B5E">
      <w:pPr>
        <w:spacing w:line="360" w:lineRule="auto"/>
        <w:ind w:firstLine="435"/>
        <w:rPr>
          <w:rFonts w:hint="eastAsia" w:ascii="宋体" w:hAnsi="宋体" w:eastAsia="宋体"/>
          <w:color w:val="auto"/>
          <w:sz w:val="24"/>
          <w:szCs w:val="18"/>
          <w:highlight w:val="none"/>
          <w:u w:val="single"/>
          <w:lang w:eastAsia="zh-CN"/>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接采购人通知后</w:t>
      </w:r>
      <w:r>
        <w:rPr>
          <w:rFonts w:hint="eastAsia" w:ascii="宋体" w:hAnsi="宋体" w:eastAsia="宋体"/>
          <w:color w:val="auto"/>
          <w:sz w:val="24"/>
          <w:szCs w:val="18"/>
          <w:highlight w:val="none"/>
          <w:u w:val="single"/>
          <w:lang w:val="en-US" w:eastAsia="zh-CN"/>
        </w:rPr>
        <w:t>60</w:t>
      </w:r>
      <w:r>
        <w:rPr>
          <w:rFonts w:hint="eastAsia" w:ascii="宋体" w:hAnsi="宋体" w:eastAsia="宋体"/>
          <w:color w:val="auto"/>
          <w:sz w:val="24"/>
          <w:szCs w:val="18"/>
          <w:highlight w:val="none"/>
          <w:u w:val="single"/>
        </w:rPr>
        <w:t>日历天内完成供货</w:t>
      </w:r>
      <w:r>
        <w:rPr>
          <w:rFonts w:hint="eastAsia" w:ascii="宋体" w:hAnsi="宋体" w:eastAsia="宋体"/>
          <w:color w:val="auto"/>
          <w:sz w:val="24"/>
          <w:szCs w:val="18"/>
          <w:highlight w:val="none"/>
          <w:u w:val="single"/>
          <w:lang w:eastAsia="zh-CN"/>
        </w:rPr>
        <w:t>。</w:t>
      </w:r>
    </w:p>
    <w:p w14:paraId="22848A5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eastAsia="zh-CN"/>
        </w:rPr>
        <w:t>不</w:t>
      </w:r>
      <w:r>
        <w:rPr>
          <w:rFonts w:hint="eastAsia" w:asciiTheme="minorEastAsia" w:hAnsiTheme="minorEastAsia" w:eastAsiaTheme="minorEastAsia"/>
          <w:color w:val="auto"/>
          <w:sz w:val="24"/>
          <w:highlight w:val="none"/>
        </w:rPr>
        <w:t>接受联合体投标。</w:t>
      </w:r>
    </w:p>
    <w:p w14:paraId="07547E18">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530FAEC2">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12327E6D">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77D6357D">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7670A2F6">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75B1369">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本项目不专门面向中小企业预留采购份额。本项目符合财政部、工业和信息化部制定的《政府采购促进中小企业发展管理办法》第六条第（二）款之规定，为非专门面向中小企业采购项目。具体原因如下：因确需使用不可替代的专利、专有技术，基础设施限制，或者提供特定公共服务等原因，只能从中小企业之外的供应商处采购的。</w:t>
      </w:r>
    </w:p>
    <w:p w14:paraId="5EE4E042">
      <w:pPr>
        <w:spacing w:line="360" w:lineRule="auto"/>
        <w:ind w:firstLine="435"/>
        <w:rPr>
          <w:rFonts w:hint="eastAsia"/>
          <w:color w:val="auto"/>
          <w:highlight w:val="none"/>
          <w:lang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w:t>
      </w:r>
      <w:r>
        <w:rPr>
          <w:rFonts w:hint="eastAsia" w:asciiTheme="minorEastAsia" w:hAnsiTheme="minorEastAsia" w:eastAsiaTheme="minorEastAsia"/>
          <w:i/>
          <w:iCs/>
          <w:color w:val="auto"/>
          <w:sz w:val="24"/>
          <w:highlight w:val="none"/>
          <w:lang w:val="en-US" w:eastAsia="zh-CN"/>
        </w:rPr>
        <w:t>（如有）</w:t>
      </w:r>
      <w:r>
        <w:rPr>
          <w:rFonts w:hint="eastAsia" w:asciiTheme="minorEastAsia" w:hAnsiTheme="minorEastAsia" w:eastAsiaTheme="minorEastAsia"/>
          <w:color w:val="auto"/>
          <w:sz w:val="24"/>
          <w:highlight w:val="none"/>
          <w:lang w:val="en-US" w:eastAsia="zh-CN"/>
        </w:rPr>
        <w:t>：</w:t>
      </w:r>
      <w:r>
        <w:rPr>
          <w:rFonts w:hint="eastAsia" w:asciiTheme="minorEastAsia" w:hAnsiTheme="minorEastAsia" w:eastAsiaTheme="minorEastAsia"/>
          <w:color w:val="auto"/>
          <w:sz w:val="24"/>
          <w:highlight w:val="none"/>
          <w:u w:val="single"/>
          <w:lang w:val="en-US" w:eastAsia="zh-CN"/>
        </w:rPr>
        <w:t>/</w:t>
      </w:r>
      <w:r>
        <w:rPr>
          <w:rFonts w:hint="eastAsia" w:asciiTheme="minorEastAsia" w:hAnsiTheme="minorEastAsia" w:eastAsiaTheme="minorEastAsia"/>
          <w:color w:val="auto"/>
          <w:sz w:val="24"/>
          <w:highlight w:val="none"/>
          <w:lang w:val="en-US" w:eastAsia="zh-CN"/>
        </w:rPr>
        <w:t>。</w:t>
      </w:r>
    </w:p>
    <w:p w14:paraId="3874A0EC">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p>
    <w:p w14:paraId="13A5169B">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 所投产品属于二类医疗器械时，须提供投标人的医疗器械经营备案证明；属于三类医疗器械时，须提供投标人的医疗器械经营许可证。医疗器械注册人、备案人或者生产企业在其住所或者生产地址销售医疗器械，不需办理经营许可或者备案。</w:t>
      </w:r>
    </w:p>
    <w:p w14:paraId="3EA71298">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 投标人所投产品（非进口产品）属于二、三类医疗器械时，须提供生产商的医疗器械生产许可证。</w:t>
      </w:r>
    </w:p>
    <w:p w14:paraId="6E86A6A5">
      <w:pPr>
        <w:spacing w:line="360" w:lineRule="auto"/>
        <w:ind w:firstLine="435"/>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3.3 投标人所投产品属于二、三类医疗器械时，须提供产品的医疗器械注册证。</w:t>
      </w:r>
    </w:p>
    <w:p w14:paraId="3C4AAEE9">
      <w:pPr>
        <w:spacing w:line="360" w:lineRule="auto"/>
        <w:ind w:firstLine="437"/>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7D496128">
      <w:pPr>
        <w:spacing w:line="360" w:lineRule="auto"/>
        <w:ind w:firstLine="540"/>
        <w:rPr>
          <w:rFonts w:hint="eastAsia"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27</w:t>
      </w:r>
      <w:r>
        <w:rPr>
          <w:rFonts w:hint="eastAsia" w:asciiTheme="minorEastAsia" w:hAnsiTheme="minorEastAsia" w:eastAsiaTheme="minorEastAsia" w:cstheme="minorEastAsia"/>
          <w:color w:val="auto"/>
          <w:sz w:val="24"/>
          <w:szCs w:val="24"/>
          <w:highlight w:val="none"/>
          <w:u w:val="single"/>
        </w:rPr>
        <w:t>日至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08</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03</w:t>
      </w:r>
      <w:r>
        <w:rPr>
          <w:rFonts w:hint="eastAsia" w:asciiTheme="minorEastAsia" w:hAnsiTheme="minorEastAsia" w:eastAsiaTheme="minorEastAsia" w:cstheme="minorEastAsia"/>
          <w:color w:val="auto"/>
          <w:sz w:val="24"/>
          <w:szCs w:val="24"/>
          <w:highlight w:val="none"/>
          <w:u w:val="single"/>
        </w:rPr>
        <w:t>日</w:t>
      </w:r>
      <w:r>
        <w:rPr>
          <w:rFonts w:hint="eastAsia" w:asciiTheme="minorEastAsia" w:hAnsiTheme="minorEastAsia" w:eastAsiaTheme="minorEastAsia" w:cstheme="minorEastAsia"/>
          <w:color w:val="auto"/>
          <w:sz w:val="24"/>
          <w:szCs w:val="24"/>
          <w:highlight w:val="none"/>
        </w:rPr>
        <w:t>，每天上午</w:t>
      </w:r>
      <w:r>
        <w:rPr>
          <w:rFonts w:hint="eastAsia" w:asciiTheme="minorEastAsia" w:hAnsiTheme="minorEastAsia" w:eastAsiaTheme="minorEastAsia" w:cstheme="minorEastAsia"/>
          <w:color w:val="auto"/>
          <w:sz w:val="24"/>
          <w:szCs w:val="24"/>
          <w:highlight w:val="none"/>
          <w:u w:val="none"/>
          <w:lang w:val="en-US" w:eastAsia="zh-CN"/>
        </w:rPr>
        <w:t>00：00</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none"/>
          <w:lang w:val="en-US" w:eastAsia="zh-CN"/>
        </w:rPr>
        <w:t>12:00</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none"/>
          <w:lang w:val="en-US" w:eastAsia="zh-CN"/>
        </w:rPr>
        <w:t>12:00</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none"/>
          <w:lang w:val="en-US" w:eastAsia="zh-CN"/>
        </w:rPr>
        <w:t>23：59</w:t>
      </w:r>
      <w:r>
        <w:rPr>
          <w:rFonts w:hint="eastAsia" w:asciiTheme="minorEastAsia" w:hAnsiTheme="minorEastAsia" w:eastAsiaTheme="minorEastAsia" w:cstheme="minorEastAsia"/>
          <w:i/>
          <w:iCs/>
          <w:color w:val="auto"/>
          <w:sz w:val="24"/>
          <w:szCs w:val="24"/>
          <w:highlight w:val="none"/>
        </w:rPr>
        <w:t>（北京时间，法定节假日除外）</w:t>
      </w:r>
    </w:p>
    <w:p w14:paraId="7E8FF896">
      <w:pPr>
        <w:spacing w:line="360" w:lineRule="auto"/>
        <w:ind w:firstLine="540"/>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“徽采云”电子交易系统</w:t>
      </w:r>
    </w:p>
    <w:p w14:paraId="3BE8DDB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供应商登录“徽采云”电子交易系统在线获取招标文件</w:t>
      </w:r>
    </w:p>
    <w:p w14:paraId="2C8EDA0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32EFD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bookmarkStart w:id="10" w:name="_Toc5082"/>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single"/>
        </w:rPr>
        <w:t>年</w:t>
      </w:r>
      <w:r>
        <w:rPr>
          <w:rFonts w:hint="eastAsia" w:asciiTheme="minorEastAsia" w:hAnsiTheme="minorEastAsia" w:eastAsiaTheme="minorEastAsia" w:cstheme="minorEastAsia"/>
          <w:bCs/>
          <w:color w:val="auto"/>
          <w:sz w:val="24"/>
          <w:szCs w:val="24"/>
          <w:highlight w:val="none"/>
          <w:u w:val="single"/>
          <w:lang w:val="en-US" w:eastAsia="zh-CN"/>
        </w:rPr>
        <w:t>08</w:t>
      </w:r>
      <w:r>
        <w:rPr>
          <w:rFonts w:hint="eastAsia" w:asciiTheme="minorEastAsia" w:hAnsiTheme="minorEastAsia" w:eastAsiaTheme="minorEastAsia" w:cstheme="minorEastAsia"/>
          <w:bCs/>
          <w:color w:val="auto"/>
          <w:sz w:val="24"/>
          <w:szCs w:val="24"/>
          <w:highlight w:val="none"/>
          <w:u w:val="single"/>
        </w:rPr>
        <w:t>月</w:t>
      </w:r>
      <w:r>
        <w:rPr>
          <w:rFonts w:hint="eastAsia" w:asciiTheme="minorEastAsia" w:hAnsiTheme="minorEastAsia" w:eastAsiaTheme="minorEastAsia" w:cstheme="minorEastAsia"/>
          <w:bCs/>
          <w:color w:val="auto"/>
          <w:sz w:val="24"/>
          <w:szCs w:val="24"/>
          <w:highlight w:val="none"/>
          <w:u w:val="single"/>
          <w:lang w:val="en-US" w:eastAsia="zh-CN"/>
        </w:rPr>
        <w:t>18</w:t>
      </w:r>
      <w:r>
        <w:rPr>
          <w:rFonts w:hint="eastAsia" w:asciiTheme="minorEastAsia" w:hAnsiTheme="minorEastAsia" w:eastAsiaTheme="minorEastAsia" w:cstheme="minorEastAsia"/>
          <w:bCs/>
          <w:color w:val="auto"/>
          <w:sz w:val="24"/>
          <w:szCs w:val="24"/>
          <w:highlight w:val="none"/>
          <w:u w:val="single"/>
        </w:rPr>
        <w:t>日</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u w:val="single"/>
        </w:rPr>
        <w:t>点</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u w:val="single"/>
        </w:rPr>
        <w:t>分</w:t>
      </w:r>
      <w:r>
        <w:rPr>
          <w:rFonts w:hint="eastAsia" w:asciiTheme="minorEastAsia" w:hAnsiTheme="minorEastAsia" w:eastAsiaTheme="minorEastAsia" w:cstheme="minorEastAsia"/>
          <w:bCs/>
          <w:color w:val="auto"/>
          <w:sz w:val="24"/>
          <w:szCs w:val="24"/>
          <w:highlight w:val="none"/>
        </w:rPr>
        <w:t>（北京时间）</w:t>
      </w:r>
    </w:p>
    <w:p w14:paraId="292C4F6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“徽采云”电子交易系统</w:t>
      </w:r>
    </w:p>
    <w:p w14:paraId="5E0C0E8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65085C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795"/>
      <w:bookmarkStart w:id="14" w:name="_Toc35393626"/>
      <w:bookmarkStart w:id="15" w:name="_Toc8807"/>
      <w:r>
        <w:rPr>
          <w:rFonts w:hint="eastAsia" w:ascii="宋体" w:hAnsi="宋体" w:eastAsia="宋体"/>
          <w:b/>
          <w:bCs/>
          <w:color w:val="auto"/>
          <w:sz w:val="24"/>
          <w:szCs w:val="18"/>
          <w:highlight w:val="none"/>
        </w:rPr>
        <w:t>六、其他补充事宜</w:t>
      </w:r>
      <w:bookmarkEnd w:id="13"/>
      <w:bookmarkEnd w:id="14"/>
      <w:bookmarkEnd w:id="15"/>
    </w:p>
    <w:bookmarkEnd w:id="12"/>
    <w:p w14:paraId="104E651E">
      <w:pPr>
        <w:pStyle w:val="8"/>
        <w:spacing w:after="0" w:line="360" w:lineRule="auto"/>
        <w:ind w:firstLine="480" w:firstLineChars="200"/>
        <w:rPr>
          <w:rFonts w:ascii="宋体" w:hAnsi="宋体" w:eastAsia="宋体"/>
          <w:color w:val="auto"/>
          <w:sz w:val="24"/>
          <w:szCs w:val="18"/>
          <w:highlight w:val="none"/>
          <w:lang w:val="en-US"/>
        </w:rPr>
      </w:pPr>
      <w:bookmarkStart w:id="16" w:name="_Toc7265"/>
      <w:bookmarkStart w:id="17" w:name="_Toc3854"/>
      <w:r>
        <w:rPr>
          <w:rFonts w:hint="eastAsia" w:ascii="宋体" w:hAnsi="宋体" w:eastAsia="宋体"/>
          <w:color w:val="auto"/>
          <w:sz w:val="24"/>
          <w:szCs w:val="18"/>
          <w:highlight w:val="none"/>
          <w:lang w:val="en-US"/>
        </w:rPr>
        <w:t>1</w:t>
      </w:r>
      <w:r>
        <w:rPr>
          <w:rFonts w:hint="eastAsia" w:ascii="宋体" w:hAnsi="宋体" w:eastAsia="宋体"/>
          <w:color w:val="auto"/>
          <w:sz w:val="24"/>
          <w:szCs w:val="18"/>
          <w:highlight w:val="none"/>
        </w:rPr>
        <w:t>.项目采用全流程电子化采购方式，</w:t>
      </w:r>
      <w:r>
        <w:rPr>
          <w:rFonts w:hint="eastAsia" w:ascii="宋体" w:hAnsi="宋体" w:eastAsia="宋体"/>
          <w:color w:val="auto"/>
          <w:sz w:val="24"/>
          <w:szCs w:val="18"/>
          <w:highlight w:val="none"/>
          <w:lang w:val="en-US"/>
        </w:rPr>
        <w:t>相关操作说明如下：</w:t>
      </w:r>
    </w:p>
    <w:p w14:paraId="0AD6C8CE">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（1）</w:t>
      </w:r>
      <w:r>
        <w:rPr>
          <w:rFonts w:ascii="宋体" w:hAnsi="宋体" w:eastAsia="宋体"/>
          <w:color w:val="auto"/>
          <w:sz w:val="24"/>
          <w:szCs w:val="18"/>
          <w:highlight w:val="none"/>
          <w:lang w:val="en-US"/>
        </w:rPr>
        <w:t>电子招投标：本项目以数据电文形式，依托“徽采云”电子交易系统进行招投标活动；</w:t>
      </w:r>
    </w:p>
    <w:p w14:paraId="38396276">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（2）</w:t>
      </w:r>
      <w:r>
        <w:rPr>
          <w:rFonts w:ascii="宋体" w:hAnsi="宋体" w:eastAsia="宋体"/>
          <w:color w:val="auto"/>
          <w:sz w:val="24"/>
          <w:szCs w:val="18"/>
          <w:highlight w:val="none"/>
          <w:lang w:val="en-US"/>
        </w:rPr>
        <w:t>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057C30C5">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（3）</w:t>
      </w:r>
      <w:r>
        <w:rPr>
          <w:rFonts w:ascii="宋体" w:hAnsi="宋体" w:eastAsia="宋体"/>
          <w:color w:val="auto"/>
          <w:sz w:val="24"/>
          <w:szCs w:val="18"/>
          <w:highlight w:val="none"/>
          <w:lang w:val="en-US"/>
        </w:rPr>
        <w:t>招标文件的获取：使用CA登录“徽采云”电子交易系统；进入“项目采购”应用，在获取采购文件菜单中选择项目，获取招标文件；</w:t>
      </w:r>
    </w:p>
    <w:p w14:paraId="4CF1A9EB">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（4）</w:t>
      </w:r>
      <w:r>
        <w:rPr>
          <w:rFonts w:ascii="宋体" w:hAnsi="宋体" w:eastAsia="宋体"/>
          <w:color w:val="auto"/>
          <w:sz w:val="24"/>
          <w:szCs w:val="18"/>
          <w:highlight w:val="none"/>
          <w:lang w:val="en-US"/>
        </w:rPr>
        <w:t>投标文件的制作：在“徽采云投标客户端”中完成“填写基本信息”、“制作和导入投标（响应）文件”、“标书关联”、“标书检查”、“电子签名”、“生成电子标书”等操作；</w:t>
      </w:r>
    </w:p>
    <w:p w14:paraId="60C5F792">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（5）</w:t>
      </w:r>
      <w:r>
        <w:rPr>
          <w:rFonts w:ascii="宋体" w:hAnsi="宋体" w:eastAsia="宋体"/>
          <w:color w:val="auto"/>
          <w:sz w:val="24"/>
          <w:szCs w:val="18"/>
          <w:highlight w:val="none"/>
          <w:lang w:val="en-US"/>
        </w:rPr>
        <w:t>投标文件的上传：使用CA登录“徽采云”电子交易系统；进入“项目采购”应用，在投标文件上传菜单中选择项目，上传加密的投标文件（*.jmbs）；</w:t>
      </w:r>
    </w:p>
    <w:p w14:paraId="7770E673">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（6）</w:t>
      </w:r>
      <w:r>
        <w:rPr>
          <w:rFonts w:ascii="宋体" w:hAnsi="宋体" w:eastAsia="宋体"/>
          <w:color w:val="auto"/>
          <w:sz w:val="24"/>
          <w:szCs w:val="18"/>
          <w:highlight w:val="none"/>
          <w:lang w:val="en-US"/>
        </w:rPr>
        <w:t>投标文件的解密：投标人按照系统提示和招标文件规定,在规定时间内完成在线解密；</w:t>
      </w:r>
    </w:p>
    <w:p w14:paraId="3A563F7C">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（7）</w:t>
      </w:r>
      <w:r>
        <w:rPr>
          <w:rFonts w:ascii="宋体" w:hAnsi="宋体" w:eastAsia="宋体"/>
          <w:color w:val="auto"/>
          <w:sz w:val="24"/>
          <w:szCs w:val="18"/>
          <w:highlight w:val="none"/>
          <w:lang w:val="en-US"/>
        </w:rPr>
        <w:t>“徽采云”电子交易系统具体操作指南：详见安徽省政府采购网-徽采学院-电子交易系统学习专题-供应商-操作手册。</w:t>
      </w:r>
    </w:p>
    <w:p w14:paraId="6DD44895">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（8）</w:t>
      </w:r>
      <w:r>
        <w:rPr>
          <w:rFonts w:ascii="宋体" w:hAnsi="宋体" w:eastAsia="宋体"/>
          <w:color w:val="auto"/>
          <w:sz w:val="24"/>
          <w:szCs w:val="18"/>
          <w:highlight w:val="none"/>
          <w:lang w:val="en-US"/>
        </w:rPr>
        <w:t>CA问题联系电话：安徽CA 400-880-4959；翔晟CA 0551-68105136。</w:t>
      </w:r>
    </w:p>
    <w:p w14:paraId="01B310CB">
      <w:pPr>
        <w:pStyle w:val="8"/>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2.本项目免收投标保证金。</w:t>
      </w:r>
    </w:p>
    <w:p w14:paraId="1A07881E">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0113AEFF">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7646C2F6">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安徽省儿童医院</w:t>
      </w:r>
    </w:p>
    <w:p w14:paraId="3A099B00">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安徽省合肥市肥西县安徽省儿童医院总院（深圳路北200米）</w:t>
      </w:r>
    </w:p>
    <w:p w14:paraId="5853A3B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沈</w:t>
      </w:r>
      <w:r>
        <w:rPr>
          <w:rFonts w:hint="eastAsia" w:ascii="宋体" w:hAnsi="宋体" w:eastAsia="宋体"/>
          <w:color w:val="auto"/>
          <w:sz w:val="24"/>
          <w:szCs w:val="18"/>
          <w:highlight w:val="none"/>
          <w:u w:val="single"/>
          <w:lang w:eastAsia="zh-CN"/>
        </w:rPr>
        <w:t>老师</w:t>
      </w:r>
      <w:r>
        <w:rPr>
          <w:rFonts w:hint="eastAsia" w:ascii="宋体" w:hAnsi="宋体" w:eastAsia="宋体"/>
          <w:color w:val="auto"/>
          <w:sz w:val="24"/>
          <w:szCs w:val="18"/>
          <w:highlight w:val="none"/>
          <w:u w:val="single"/>
          <w:lang w:val="en-US" w:eastAsia="zh-CN"/>
        </w:rPr>
        <w:t xml:space="preserve"> </w:t>
      </w:r>
    </w:p>
    <w:p w14:paraId="676AFB45">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 xml:space="preserve">电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话：</w:t>
      </w:r>
      <w:r>
        <w:rPr>
          <w:rFonts w:hint="eastAsia" w:ascii="宋体" w:hAnsi="宋体" w:eastAsia="宋体"/>
          <w:color w:val="auto"/>
          <w:sz w:val="24"/>
          <w:szCs w:val="18"/>
          <w:highlight w:val="none"/>
          <w:u w:val="single"/>
          <w:lang w:eastAsia="zh-CN"/>
        </w:rPr>
        <w:t>0551-63296077</w:t>
      </w:r>
    </w:p>
    <w:p w14:paraId="4D5CDA3C">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332998C5">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安徽寰亚国际招标有限公司</w:t>
      </w:r>
    </w:p>
    <w:p w14:paraId="24E3E43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合肥市蜀山区湖光路与雪霁路交口蜀山跨境电商大厦B座20F</w:t>
      </w:r>
    </w:p>
    <w:p w14:paraId="050595A8">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吴田雪、高君君、沈超</w:t>
      </w:r>
    </w:p>
    <w:p w14:paraId="2822FAB4">
      <w:pPr>
        <w:spacing w:line="360" w:lineRule="auto"/>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电</w:t>
      </w:r>
      <w:r>
        <w:rPr>
          <w:rFonts w:ascii="宋体" w:hAnsi="宋体" w:eastAsia="宋体"/>
          <w:color w:val="auto"/>
          <w:sz w:val="24"/>
          <w:szCs w:val="18"/>
          <w:highlight w:val="none"/>
        </w:rPr>
        <w:t xml:space="preserve">  话：</w:t>
      </w:r>
      <w:r>
        <w:rPr>
          <w:rFonts w:hint="eastAsia" w:ascii="宋体" w:hAnsi="宋体" w:eastAsia="宋体"/>
          <w:color w:val="auto"/>
          <w:sz w:val="24"/>
          <w:szCs w:val="18"/>
          <w:highlight w:val="none"/>
          <w:u w:val="single"/>
        </w:rPr>
        <w:t>0551-65318929转分机号</w:t>
      </w:r>
      <w:r>
        <w:rPr>
          <w:rFonts w:hint="eastAsia" w:ascii="宋体" w:hAnsi="宋体" w:eastAsia="宋体" w:cs="Times New Roman"/>
          <w:color w:val="auto"/>
          <w:sz w:val="24"/>
          <w:szCs w:val="28"/>
          <w:highlight w:val="none"/>
        </w:rPr>
        <w:t>6</w:t>
      </w:r>
      <w:r>
        <w:rPr>
          <w:rFonts w:hint="eastAsia" w:ascii="宋体" w:hAnsi="宋体" w:eastAsia="宋体" w:cs="Times New Roman"/>
          <w:color w:val="auto"/>
          <w:sz w:val="24"/>
          <w:szCs w:val="28"/>
          <w:highlight w:val="none"/>
          <w:lang w:val="en-US" w:eastAsia="zh-CN"/>
        </w:rPr>
        <w:t>304</w:t>
      </w:r>
    </w:p>
    <w:p w14:paraId="5446FD47">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E531A8E">
      <w:pPr>
        <w:spacing w:line="360" w:lineRule="auto"/>
        <w:ind w:firstLine="435"/>
        <w:rPr>
          <w:rFonts w:ascii="宋体" w:hAnsi="宋体" w:eastAsia="宋体"/>
          <w:color w:val="auto"/>
          <w:sz w:val="24"/>
          <w:szCs w:val="18"/>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36B981FE">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安徽省合肥市阜南西路238号</w:t>
      </w:r>
    </w:p>
    <w:p w14:paraId="65E8F86F">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0551-68150413</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C2B44DB">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B94A396">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06B28AA9">
            <w:pPr>
              <w:pStyle w:val="35"/>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2026</w:t>
            </w:r>
            <w:r>
              <w:rPr>
                <w:rFonts w:ascii="宋体" w:hAnsi="宋体" w:eastAsia="宋体"/>
                <w:b w:val="0"/>
                <w:color w:val="auto"/>
                <w:sz w:val="24"/>
                <w:highlight w:val="none"/>
                <w:u w:val="none"/>
              </w:rPr>
              <w:t>年</w:t>
            </w:r>
            <w:r>
              <w:rPr>
                <w:rFonts w:hint="eastAsia" w:ascii="宋体" w:hAnsi="宋体" w:eastAsia="宋体"/>
                <w:b w:val="0"/>
                <w:color w:val="auto"/>
                <w:sz w:val="24"/>
                <w:highlight w:val="none"/>
                <w:u w:val="none"/>
                <w:lang w:val="en-US" w:eastAsia="zh-CN"/>
              </w:rPr>
              <w:t>07</w:t>
            </w:r>
            <w:r>
              <w:rPr>
                <w:rFonts w:ascii="宋体" w:hAnsi="宋体" w:eastAsia="宋体"/>
                <w:b w:val="0"/>
                <w:color w:val="auto"/>
                <w:sz w:val="24"/>
                <w:highlight w:val="none"/>
                <w:u w:val="none"/>
              </w:rPr>
              <w:t>月</w:t>
            </w:r>
            <w:r>
              <w:rPr>
                <w:rFonts w:hint="eastAsia" w:ascii="宋体" w:hAnsi="宋体" w:eastAsia="宋体"/>
                <w:b w:val="0"/>
                <w:color w:val="auto"/>
                <w:sz w:val="24"/>
                <w:highlight w:val="none"/>
                <w:u w:val="none"/>
                <w:lang w:val="en-US" w:eastAsia="zh-CN"/>
              </w:rPr>
              <w:t>30</w:t>
            </w:r>
            <w:r>
              <w:rPr>
                <w:rFonts w:ascii="宋体" w:hAnsi="宋体" w:eastAsia="宋体"/>
                <w:b w:val="0"/>
                <w:color w:val="auto"/>
                <w:sz w:val="24"/>
                <w:highlight w:val="none"/>
                <w:u w:val="none"/>
              </w:rPr>
              <w:t>日</w:t>
            </w:r>
            <w:r>
              <w:rPr>
                <w:rFonts w:hint="eastAsia" w:ascii="宋体" w:hAnsi="宋体" w:eastAsia="宋体"/>
                <w:b w:val="0"/>
                <w:color w:val="auto"/>
                <w:sz w:val="24"/>
                <w:highlight w:val="none"/>
                <w:u w:val="none"/>
                <w:lang w:val="en-US" w:eastAsia="zh-CN"/>
              </w:rPr>
              <w:t>17</w:t>
            </w:r>
            <w:r>
              <w:rPr>
                <w:rFonts w:ascii="宋体" w:hAnsi="宋体" w:eastAsia="宋体"/>
                <w:b w:val="0"/>
                <w:color w:val="auto"/>
                <w:sz w:val="24"/>
                <w:highlight w:val="none"/>
                <w:u w:val="none"/>
              </w:rPr>
              <w:t>时</w:t>
            </w:r>
            <w:r>
              <w:rPr>
                <w:rFonts w:hint="eastAsia" w:ascii="宋体" w:hAnsi="宋体" w:eastAsia="宋体"/>
                <w:b w:val="0"/>
                <w:color w:val="auto"/>
                <w:sz w:val="24"/>
                <w:highlight w:val="none"/>
                <w:u w:val="none"/>
                <w:lang w:val="en-US" w:eastAsia="zh-CN"/>
              </w:rPr>
              <w:t>00</w:t>
            </w:r>
            <w:r>
              <w:rPr>
                <w:rFonts w:hint="eastAsia" w:ascii="宋体" w:hAnsi="宋体" w:eastAsia="宋体"/>
                <w:b w:val="0"/>
                <w:color w:val="auto"/>
                <w:sz w:val="24"/>
                <w:highlight w:val="none"/>
                <w:u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05C2A4A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3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DC007A3">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6280D24C">
            <w:pPr>
              <w:pStyle w:val="35"/>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5"/>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0D5F75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24282B9F">
            <w:pPr>
              <w:pStyle w:val="3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报价扣除</w:t>
            </w:r>
          </w:p>
        </w:tc>
        <w:tc>
          <w:tcPr>
            <w:tcW w:w="3244" w:type="pct"/>
            <w:vAlign w:val="center"/>
          </w:tcPr>
          <w:p w14:paraId="662D478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10%</w:t>
            </w:r>
            <w:r>
              <w:rPr>
                <w:rFonts w:hint="eastAsia" w:ascii="宋体" w:hAnsi="宋体" w:eastAsia="宋体"/>
                <w:b w:val="0"/>
                <w:color w:val="auto"/>
                <w:sz w:val="24"/>
                <w:highlight w:val="none"/>
              </w:rPr>
              <w:t>。</w:t>
            </w:r>
          </w:p>
          <w:p w14:paraId="6AD1FFA4">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051A97AB">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9138BE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23BF7CDC">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2B97303">
            <w:pPr>
              <w:pStyle w:val="3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74" w:type="pct"/>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（本项目不适用）</w:t>
            </w:r>
          </w:p>
        </w:tc>
        <w:tc>
          <w:tcPr>
            <w:tcW w:w="3244" w:type="pct"/>
            <w:vAlign w:val="center"/>
          </w:tcPr>
          <w:p w14:paraId="08D09935">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4C6E1350">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1-3家</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2F27320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35"/>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DA20B79">
            <w:pPr>
              <w:pStyle w:val="35"/>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3A99AF53">
            <w:pPr>
              <w:pStyle w:val="35"/>
              <w:widowControl w:val="0"/>
              <w:spacing w:before="0" w:beforeAutospacing="0" w:after="0" w:afterAutospacing="0" w:line="360" w:lineRule="auto"/>
              <w:jc w:val="both"/>
              <w:rPr>
                <w:rFonts w:hint="eastAsia" w:ascii="宋体" w:hAnsi="宋体" w:eastAsia="宋体" w:cs="@仿宋_GB2312"/>
                <w:b w:val="0"/>
                <w:bCs w:val="0"/>
                <w:i/>
                <w:iCs/>
                <w:color w:val="auto"/>
                <w:sz w:val="24"/>
                <w:szCs w:val="20"/>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本项目不适用</w:t>
            </w:r>
            <w:r>
              <w:rPr>
                <w:rFonts w:hint="eastAsia" w:ascii="宋体" w:hAnsi="宋体" w:eastAsia="宋体" w:cs="@仿宋_GB2312"/>
                <w:b w:val="0"/>
                <w:bCs w:val="0"/>
                <w:i/>
                <w:iCs/>
                <w:color w:val="auto"/>
                <w:sz w:val="24"/>
                <w:szCs w:val="20"/>
                <w:highlight w:val="none"/>
                <w:u w:val="none"/>
                <w:lang w:eastAsia="zh-CN"/>
              </w:rPr>
              <w:t>）</w:t>
            </w:r>
          </w:p>
          <w:p w14:paraId="40FCEE41">
            <w:pPr>
              <w:pStyle w:val="35"/>
              <w:widowControl w:val="0"/>
              <w:spacing w:before="0" w:beforeAutospacing="0" w:after="0" w:afterAutospacing="0" w:line="360" w:lineRule="auto"/>
              <w:jc w:val="both"/>
              <w:rPr>
                <w:rFonts w:hint="eastAsia" w:ascii="宋体" w:hAnsi="宋体" w:eastAsia="宋体" w:cs="@仿宋_GB2312"/>
                <w:b w:val="0"/>
                <w:bCs w:val="0"/>
                <w:i/>
                <w:iCs/>
                <w:color w:val="auto"/>
                <w:sz w:val="24"/>
                <w:szCs w:val="20"/>
                <w:highlight w:val="none"/>
                <w:u w:val="none"/>
                <w:lang w:eastAsia="zh-CN"/>
              </w:rPr>
            </w:pPr>
            <w:r>
              <w:rPr>
                <w:rFonts w:hint="eastAsia" w:ascii="宋体" w:hAnsi="宋体" w:eastAsia="宋体"/>
                <w:b w:val="0"/>
                <w:color w:val="auto"/>
                <w:sz w:val="24"/>
                <w:highlight w:val="none"/>
                <w:u w:val="none"/>
                <w:lang w:val="en-US" w:eastAsia="zh-CN"/>
              </w:rPr>
              <w:t>（5）招标文件中规定进行公示的其他内容。</w:t>
            </w:r>
            <w:r>
              <w:rPr>
                <w:rFonts w:hint="eastAsia" w:ascii="宋体" w:hAnsi="宋体" w:eastAsia="宋体"/>
                <w:b w:val="0"/>
                <w:i/>
                <w:iCs/>
                <w:color w:val="auto"/>
                <w:sz w:val="24"/>
                <w:highlight w:val="none"/>
                <w:u w:val="none"/>
              </w:rPr>
              <w:t>（如有）</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6FB1945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167C212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在领取中标通知书前通过中标人公司账户转账至代理公司</w:t>
            </w:r>
          </w:p>
          <w:p w14:paraId="12C0A6AC">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cs="宋体"/>
                <w:b w:val="0"/>
                <w:bCs w:val="0"/>
                <w:color w:val="auto"/>
                <w:kern w:val="2"/>
                <w:sz w:val="24"/>
                <w:szCs w:val="24"/>
                <w:highlight w:val="none"/>
                <w:lang w:val="en-US" w:eastAsia="zh-CN" w:bidi="ar-SA"/>
              </w:rPr>
              <w:t>根据中标总价按照《招标（采购）代理行业服务收费指导意见》（合公协〔2023〕03号）规定标准报价进行60%折扣计收，不足3000元按3000元计取，在领取中标通知书前通过中标人公司账户转账至代理公司。</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6F7E1AF3">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递交方式：通过“徽采云”电子交易系统递交</w:t>
            </w:r>
          </w:p>
          <w:p w14:paraId="150C34E5">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接收部门：安徽寰亚国际招标有限公司</w:t>
            </w:r>
          </w:p>
          <w:p w14:paraId="140E363D">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 xml:space="preserve">联系电话：0551-65320549 或 65307749 转 </w:t>
            </w:r>
            <w:r>
              <w:rPr>
                <w:rFonts w:hint="eastAsia" w:ascii="宋体" w:hAnsi="宋体" w:eastAsia="宋体"/>
                <w:b w:val="0"/>
                <w:color w:val="auto"/>
                <w:sz w:val="24"/>
                <w:highlight w:val="none"/>
                <w:lang w:val="en-US" w:eastAsia="zh-CN"/>
              </w:rPr>
              <w:t>6507</w:t>
            </w:r>
          </w:p>
          <w:p w14:paraId="2440F3E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通讯地址：安徽省合肥市蜀山区湖光路与雪霁路交口蜀山跨境电商大厦B座20F</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5"/>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5"/>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9A2ACE7">
            <w:pPr>
              <w:pStyle w:val="35"/>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r w14:paraId="11F3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shd w:val="clear" w:color="auto" w:fill="auto"/>
            <w:vAlign w:val="center"/>
          </w:tcPr>
          <w:p w14:paraId="3E71C02B">
            <w:pPr>
              <w:pStyle w:val="36"/>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rPr>
              <w:t>33</w:t>
            </w:r>
          </w:p>
        </w:tc>
        <w:tc>
          <w:tcPr>
            <w:tcW w:w="1174" w:type="pct"/>
            <w:shd w:val="clear" w:color="auto" w:fill="auto"/>
            <w:vAlign w:val="center"/>
          </w:tcPr>
          <w:p w14:paraId="6CBFD366">
            <w:pPr>
              <w:pStyle w:val="35"/>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其他补充</w:t>
            </w:r>
          </w:p>
        </w:tc>
        <w:tc>
          <w:tcPr>
            <w:tcW w:w="3244" w:type="pct"/>
            <w:shd w:val="clear" w:color="auto" w:fill="auto"/>
            <w:vAlign w:val="center"/>
          </w:tcPr>
          <w:p w14:paraId="7D2D6115">
            <w:pPr>
              <w:pStyle w:val="3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投标文件解密采用网上远程方式，本项目不需要投标人携带纸质投标文件到开标现场。</w:t>
            </w:r>
          </w:p>
          <w:p w14:paraId="459834F4">
            <w:pPr>
              <w:pStyle w:val="3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ascii="宋体" w:hAnsi="宋体" w:eastAsia="宋体" w:cs="宋体"/>
                <w:color w:val="auto"/>
                <w:sz w:val="24"/>
                <w:szCs w:val="24"/>
                <w:highlight w:val="none"/>
              </w:rPr>
              <w:t>加密的电子投标文件：使用电子交易系统“投标文件制作工具”制作生成的加密电子投标文件，应在投标文件提交截止时间前通过电子交易系统上传。 中标人在领取中标通知书时，按采购人要求提交纸质投标文件。纸质投标文件为加密电子投标文件的打印版。</w:t>
            </w:r>
          </w:p>
          <w:p w14:paraId="277D3098">
            <w:pPr>
              <w:pStyle w:val="3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开标、提交投标文件地点：“徽采云”电子交易系统</w:t>
            </w:r>
          </w:p>
          <w:p w14:paraId="5476DE28">
            <w:pPr>
              <w:pStyle w:val="35"/>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Theme="minorEastAsia" w:hAnsiTheme="minorEastAsia" w:eastAsiaTheme="minorEastAsia"/>
                <w:b w:val="0"/>
                <w:color w:val="auto"/>
                <w:kern w:val="2"/>
                <w:sz w:val="24"/>
                <w:szCs w:val="24"/>
                <w:highlight w:val="none"/>
              </w:rPr>
              <w:t>投标文件提交截止时间后60分钟内完成解密（以电 子交易系统解密倒计时为准）</w:t>
            </w:r>
          </w:p>
        </w:tc>
      </w:tr>
      <w:tr w14:paraId="7C67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shd w:val="clear" w:color="auto" w:fill="auto"/>
            <w:vAlign w:val="center"/>
          </w:tcPr>
          <w:p w14:paraId="5C5F1FC9">
            <w:pPr>
              <w:pStyle w:val="36"/>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rPr>
              <w:t>34</w:t>
            </w:r>
          </w:p>
        </w:tc>
        <w:tc>
          <w:tcPr>
            <w:tcW w:w="1174" w:type="pct"/>
            <w:shd w:val="clear" w:color="auto" w:fill="auto"/>
            <w:vAlign w:val="center"/>
          </w:tcPr>
          <w:p w14:paraId="21739B8A">
            <w:pPr>
              <w:pStyle w:val="35"/>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温馨提示</w:t>
            </w:r>
          </w:p>
        </w:tc>
        <w:tc>
          <w:tcPr>
            <w:tcW w:w="3244" w:type="pct"/>
            <w:shd w:val="clear" w:color="auto" w:fill="auto"/>
            <w:vAlign w:val="center"/>
          </w:tcPr>
          <w:p w14:paraId="6DD0DDE0">
            <w:pPr>
              <w:pStyle w:val="35"/>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ascii="宋体" w:hAnsi="宋体" w:eastAsia="宋体" w:cs="宋体"/>
                <w:color w:val="auto"/>
                <w:sz w:val="24"/>
                <w:szCs w:val="24"/>
                <w:highlight w:val="none"/>
              </w:rPr>
              <w:t>本项目为政府采购项目，须在“徽采云”平台完成合同备案和资金支付等。请各投标人及时进行“徽采云”平台注册，完成正式入库。未完成正式入库的投标人中标后将影响后续合同备案，无法完成合同执行、付款等。相关操作流程详见“徽采云”-徽采学院-供应商注册与配置。</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ind w:firstLine="437"/>
        <w:outlineLvl w:val="1"/>
        <w:rPr>
          <w:rFonts w:ascii="宋体" w:hAnsi="宋体" w:eastAsia="宋体"/>
          <w:b/>
          <w:color w:val="auto"/>
          <w:sz w:val="24"/>
          <w:szCs w:val="18"/>
          <w:highlight w:val="none"/>
        </w:rPr>
      </w:pPr>
      <w:bookmarkStart w:id="31" w:name="_Toc2554"/>
      <w:bookmarkStart w:id="32" w:name="_Toc32151"/>
      <w:r>
        <w:rPr>
          <w:rFonts w:hint="eastAsia" w:ascii="宋体" w:hAnsi="宋体" w:eastAsia="宋体"/>
          <w:b/>
          <w:color w:val="auto"/>
          <w:sz w:val="24"/>
          <w:szCs w:val="18"/>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35"/>
              <w:widowControl w:val="0"/>
              <w:spacing w:before="0" w:beforeAutospacing="0" w:after="0" w:afterAutospacing="0" w:line="360" w:lineRule="auto"/>
              <w:rPr>
                <w:rFonts w:hint="eastAsia"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35"/>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签订后采购人预付合同金额的70%（中标人先向采购人出具预付款同等金额的银行、保险公司、担保公司等金融机构出具的预付款保函或其他担保措施），货物经采购人验收合格办理入库后，采购人一次性支付剩余30%的合同款项。</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供货及安装地点</w:t>
            </w:r>
          </w:p>
        </w:tc>
        <w:tc>
          <w:tcPr>
            <w:tcW w:w="3217" w:type="pct"/>
            <w:vAlign w:val="center"/>
          </w:tcPr>
          <w:p w14:paraId="008E1630">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免费送货至采购人指定地点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供货及安装期限</w:t>
            </w:r>
          </w:p>
        </w:tc>
        <w:tc>
          <w:tcPr>
            <w:tcW w:w="3217" w:type="pct"/>
            <w:vAlign w:val="center"/>
          </w:tcPr>
          <w:p w14:paraId="64A45A16">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接采购人通知后</w:t>
            </w:r>
            <w:r>
              <w:rPr>
                <w:rFonts w:hint="eastAsia" w:ascii="宋体" w:hAnsi="宋体" w:eastAsia="宋体"/>
                <w:b w:val="0"/>
                <w:color w:val="auto"/>
                <w:sz w:val="24"/>
                <w:highlight w:val="none"/>
                <w:u w:val="none"/>
                <w:lang w:val="en-US" w:eastAsia="zh-CN"/>
              </w:rPr>
              <w:t>60</w:t>
            </w:r>
            <w:r>
              <w:rPr>
                <w:rFonts w:hint="eastAsia" w:ascii="宋体" w:hAnsi="宋体" w:eastAsia="宋体"/>
                <w:b w:val="0"/>
                <w:color w:val="auto"/>
                <w:sz w:val="24"/>
                <w:highlight w:val="none"/>
                <w:u w:val="none"/>
              </w:rPr>
              <w:t>日历天内完成供货</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35"/>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免费质保期</w:t>
            </w:r>
          </w:p>
        </w:tc>
        <w:tc>
          <w:tcPr>
            <w:tcW w:w="3217" w:type="pct"/>
            <w:vAlign w:val="center"/>
          </w:tcPr>
          <w:p w14:paraId="2308378A">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 xml:space="preserve">整机质保（含所有易损件），自验收合格之日起 5 </w:t>
            </w:r>
          </w:p>
          <w:p w14:paraId="0D94A51E">
            <w:pPr>
              <w:keepNext w:val="0"/>
              <w:keepLines w:val="0"/>
              <w:widowControl/>
              <w:suppressLineNumbers w:val="0"/>
              <w:jc w:val="left"/>
              <w:rPr>
                <w:rFonts w:hint="eastAsia" w:ascii="宋体" w:hAnsi="宋体" w:eastAsia="宋体"/>
                <w:b w:val="0"/>
                <w:color w:val="auto"/>
                <w:sz w:val="24"/>
                <w:highlight w:val="none"/>
                <w:u w:val="none"/>
                <w:lang w:eastAsia="zh-CN"/>
              </w:rPr>
            </w:pPr>
            <w:r>
              <w:rPr>
                <w:rFonts w:hint="eastAsia" w:ascii="宋体" w:hAnsi="宋体" w:eastAsia="宋体" w:cs="宋体"/>
                <w:color w:val="auto"/>
                <w:kern w:val="0"/>
                <w:sz w:val="24"/>
                <w:szCs w:val="24"/>
                <w:highlight w:val="none"/>
                <w:lang w:val="en-US" w:eastAsia="zh-CN" w:bidi="ar"/>
              </w:rPr>
              <w:t>年，更换后的零部件质保期从更换之日起计算。</w:t>
            </w:r>
          </w:p>
        </w:tc>
      </w:tr>
      <w:tr w14:paraId="6EF5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BAFC4D6">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bookmarkStart w:id="33" w:name="_Toc7671"/>
            <w:bookmarkStart w:id="34" w:name="_Toc5944"/>
            <w:r>
              <w:rPr>
                <w:rFonts w:hint="eastAsia" w:ascii="宋体" w:hAnsi="宋体" w:eastAsia="宋体"/>
                <w:bCs/>
                <w:color w:val="auto"/>
                <w:kern w:val="2"/>
                <w:highlight w:val="none"/>
                <w:lang w:val="en-US" w:eastAsia="zh-CN"/>
              </w:rPr>
              <w:t>5</w:t>
            </w:r>
          </w:p>
        </w:tc>
        <w:tc>
          <w:tcPr>
            <w:tcW w:w="1192" w:type="pct"/>
            <w:vAlign w:val="center"/>
          </w:tcPr>
          <w:p w14:paraId="4DAE1410">
            <w:pPr>
              <w:pStyle w:val="35"/>
              <w:widowControl w:val="0"/>
              <w:spacing w:before="0" w:beforeAutospacing="0" w:after="0" w:afterAutospacing="0" w:line="360" w:lineRule="auto"/>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lang w:eastAsia="zh-CN"/>
              </w:rPr>
              <w:t>所属行业</w:t>
            </w:r>
          </w:p>
        </w:tc>
        <w:tc>
          <w:tcPr>
            <w:tcW w:w="3217" w:type="pct"/>
            <w:vAlign w:val="center"/>
          </w:tcPr>
          <w:p w14:paraId="1DD16844">
            <w:pPr>
              <w:keepNext w:val="0"/>
              <w:keepLines w:val="0"/>
              <w:widowControl/>
              <w:suppressLineNumbers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工业</w:t>
            </w:r>
          </w:p>
        </w:tc>
      </w:tr>
    </w:tbl>
    <w:p w14:paraId="294DEA32">
      <w:pPr>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br w:type="page"/>
      </w:r>
    </w:p>
    <w:p w14:paraId="3E806DB2">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tbl>
      <w:tblPr>
        <w:tblStyle w:val="25"/>
        <w:tblW w:w="46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1"/>
      </w:tblGrid>
      <w:tr w14:paraId="32AC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vAlign w:val="center"/>
          </w:tcPr>
          <w:p w14:paraId="197C2A8A">
            <w:pPr>
              <w:spacing w:line="360" w:lineRule="auto"/>
              <w:jc w:val="center"/>
              <w:rPr>
                <w:rFonts w:ascii="宋体" w:hAnsi="宋体" w:eastAsia="宋体"/>
                <w:b/>
                <w:bCs/>
                <w:color w:val="auto"/>
                <w:sz w:val="24"/>
                <w:szCs w:val="18"/>
                <w:highlight w:val="none"/>
              </w:rPr>
            </w:pPr>
            <w:bookmarkStart w:id="35" w:name="_Toc4843"/>
            <w:bookmarkStart w:id="36" w:name="_Toc7421"/>
            <w:r>
              <w:rPr>
                <w:rFonts w:hint="eastAsia" w:ascii="宋体" w:hAnsi="宋体" w:eastAsia="宋体"/>
                <w:b/>
                <w:bCs/>
                <w:color w:val="auto"/>
                <w:sz w:val="24"/>
                <w:szCs w:val="18"/>
                <w:highlight w:val="none"/>
              </w:rPr>
              <w:t>技术参数及要求</w:t>
            </w:r>
          </w:p>
        </w:tc>
      </w:tr>
      <w:tr w14:paraId="462A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3" w:hRule="atLeast"/>
          <w:jc w:val="center"/>
        </w:trPr>
        <w:tc>
          <w:tcPr>
            <w:tcW w:w="5000" w:type="pct"/>
            <w:vAlign w:val="center"/>
          </w:tcPr>
          <w:p w14:paraId="67F3C6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一</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用途说明</w:t>
            </w:r>
          </w:p>
          <w:p w14:paraId="574AAF3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全身应用型彩色多普勒超声波诊断系统，主要用于腹部、心脏、妇产科、泌尿科、 浅表组织与小器官、神经、血管、儿科、急重诊等应用。</w:t>
            </w:r>
          </w:p>
          <w:p w14:paraId="5B4CFB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二</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物理规格及人机交互要求</w:t>
            </w:r>
          </w:p>
          <w:p w14:paraId="32A32A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显示器要求：≥27英寸高分辨率彩色液晶显示器，可上下移动、左右旋转、前后移动。</w:t>
            </w:r>
          </w:p>
          <w:p w14:paraId="372C1A5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液晶触摸屏要求：≥13英寸彩色触摸屏，触摸屏调节角度≥30度</w:t>
            </w:r>
          </w:p>
          <w:p w14:paraId="7DD1D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探头接口数量≥4个，均为无针式接口且大小一致，可全激活。</w:t>
            </w:r>
          </w:p>
          <w:p w14:paraId="453AA9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探头接口具有防尘、防线缆缠绕的保护罩</w:t>
            </w:r>
          </w:p>
          <w:p w14:paraId="462020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中央刹车系统</w:t>
            </w:r>
          </w:p>
          <w:p w14:paraId="4A28D8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三</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先进成像技术</w:t>
            </w:r>
          </w:p>
          <w:p w14:paraId="5E00AB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数字化全域动态聚焦或连续动态聚焦技术，数字化可变孔径及动态变迹， A/D ≥ 16bit</w:t>
            </w:r>
          </w:p>
          <w:p w14:paraId="471F4E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宽频可变频成像技术：灰阶、谐波、彩色、频谱支持独立变频，探头频率可视可调</w:t>
            </w:r>
          </w:p>
          <w:p w14:paraId="639BB0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斑点噪声抑制技术：支持所有探头，多级可调，支持 3D/4D、CFM/PDI、宽景成像、造影成像 等技术</w:t>
            </w:r>
          </w:p>
          <w:p w14:paraId="2094C9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多角度扫描空间复合成像技术，调节档位≥3档。</w:t>
            </w:r>
          </w:p>
          <w:p w14:paraId="30ECF8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声速匹配技术，根据人体组织真实情况，自动匹配至最佳成像声速，并将具体声速数值在屏幕上显示</w:t>
            </w:r>
          </w:p>
          <w:p w14:paraId="592D6A7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3.6</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扩展成像技术：凸阵、微凸阵、线阵均具有此功能，且空间复合成像技术及斑点噪声抑制技术支持其扩展区域。</w:t>
            </w:r>
          </w:p>
          <w:p w14:paraId="130703C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3.7</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一键自动图像优化，可一键快速优化：二维灰阶、彩色多普勒、频谱多普勒、及造影图像。</w:t>
            </w:r>
          </w:p>
          <w:p w14:paraId="02728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3.8</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二维/彩色取样框角度独立偏转技术，彩色取样框偏转角度≥30度。</w:t>
            </w:r>
          </w:p>
          <w:p w14:paraId="511FB31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3.9</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频谱多普勒成像，连续多普勒成像</w:t>
            </w:r>
          </w:p>
          <w:p w14:paraId="152A54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★3.10</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微细血流成像技术</w:t>
            </w:r>
          </w:p>
          <w:p w14:paraId="2255D2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智能多普勒技术:能够快速识别血管结构，自动调整调整频谱取样容积及角度。</w:t>
            </w:r>
          </w:p>
          <w:p w14:paraId="3CAC02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穿刺针增强显示功能，动态增强超声图像中针体显示，具有双屏实时对比显示</w:t>
            </w:r>
          </w:p>
          <w:p w14:paraId="26CA270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解剖M型模式</w:t>
            </w:r>
          </w:p>
          <w:p w14:paraId="5082FC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3.14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支持当前实时超声图像与历史保存的DICOM 格式CT/MRI/ 钼钯/X 光/ 超声图像进行比较, 同屏对比既往和目前的超声图像，回顾实时的、存储的、输出的图像进行对比诊断。</w:t>
            </w:r>
          </w:p>
          <w:p w14:paraId="1ED384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四</w:t>
            </w:r>
            <w:r>
              <w:rPr>
                <w:rFonts w:hint="eastAsia" w:asciiTheme="minorEastAsia" w:hAnsiTheme="minorEastAsia" w:eastAsiaTheme="minorEastAsia"/>
                <w:b/>
                <w:bCs/>
                <w:color w:val="auto"/>
                <w:sz w:val="24"/>
                <w:szCs w:val="24"/>
                <w:highlight w:val="none"/>
              </w:rPr>
              <w:tab/>
            </w:r>
            <w:r>
              <w:rPr>
                <w:rFonts w:hint="eastAsia" w:asciiTheme="minorEastAsia" w:hAnsiTheme="minorEastAsia" w:eastAsiaTheme="minorEastAsia"/>
                <w:b/>
                <w:bCs/>
                <w:color w:val="auto"/>
                <w:sz w:val="24"/>
                <w:szCs w:val="24"/>
                <w:highlight w:val="none"/>
              </w:rPr>
              <w:t>高级成像功能</w:t>
            </w:r>
          </w:p>
          <w:p w14:paraId="690E323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造影成像</w:t>
            </w:r>
          </w:p>
          <w:p w14:paraId="55EBC73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造影成像功能支持腹部探头、浅表探头、腔内探头</w:t>
            </w:r>
          </w:p>
          <w:p w14:paraId="10D29D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支持混合模式，将组织图像叠加在造影图像上；</w:t>
            </w:r>
          </w:p>
          <w:p w14:paraId="0D8B7D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具有双计时器</w:t>
            </w:r>
          </w:p>
          <w:p w14:paraId="7D1D50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支持向后存储≥8分钟电影</w:t>
            </w:r>
          </w:p>
          <w:p w14:paraId="542B1E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4.1.5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造影定量分析功能，支持时间强度分析曲线，取样点可跟踪感兴趣区运动，≥8个ROI</w:t>
            </w:r>
          </w:p>
          <w:p w14:paraId="7B5BA9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应变式弹性成像</w:t>
            </w:r>
          </w:p>
          <w:p w14:paraId="703BA97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★4.2.1应变式弹性成像支持：线阵探头、腔内探头。</w:t>
            </w:r>
          </w:p>
          <w:p w14:paraId="10B319A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★4.2.2具有压力补偿技术，用于减少深部组织的伪像，增加整场图像的均匀度。</w:t>
            </w:r>
          </w:p>
          <w:p w14:paraId="513723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4.2.3具有压力操作提示图标，支持逐帧图像的压力大小查看</w:t>
            </w:r>
          </w:p>
          <w:p w14:paraId="174013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4.2.4支持应变、应变率和应变直方图的测量</w:t>
            </w:r>
          </w:p>
          <w:p w14:paraId="142D69C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★4.2.5具有肿块周边组织与正常组织、肿块周边组织与肿块内组织弹性分析功能</w:t>
            </w:r>
          </w:p>
          <w:p w14:paraId="5702C0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剪切波弹性成像</w:t>
            </w:r>
          </w:p>
          <w:p w14:paraId="3BC6A0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★4.3.1支持探头：凸阵探头、线阵探头</w:t>
            </w:r>
          </w:p>
          <w:p w14:paraId="15FA8E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4.3.2支持二维实时剪切波弹性成像和单点式剪切波成像，提供定量的组织硬度信息。</w:t>
            </w:r>
          </w:p>
          <w:p w14:paraId="4AF4E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4.3.3实时剪切波弹性成像取样框大小和位置可调</w:t>
            </w:r>
          </w:p>
          <w:p w14:paraId="23AA82C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★4.3.4弹性定量的参数包括杨氏模量E（单位：kPa），剪切波速度Cs （单位：m/s），剪切模量G （单位：kPa）等定量数据</w:t>
            </w:r>
          </w:p>
          <w:p w14:paraId="45A651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4.3.5实时剪切波弹性成像及二维成像双实时成像，显示格式包括上下，左右多种方式可调</w:t>
            </w:r>
          </w:p>
          <w:p w14:paraId="3E2F53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4.3.6具备组织硬度定量分析软件，支持多种比值分析，柱状图分析。</w:t>
            </w:r>
          </w:p>
          <w:p w14:paraId="7AB7A8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4.3.7具备定量测量映射分析，即在组织图测量时弹性图同步测量</w:t>
            </w:r>
          </w:p>
          <w:p w14:paraId="647A3F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4.3.8支持可信度图显示，运动稳定性指数显示</w:t>
            </w:r>
          </w:p>
          <w:p w14:paraId="3418B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宽景成像</w:t>
            </w:r>
          </w:p>
          <w:p w14:paraId="730BF3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4.4.1宽景成像支持凸阵探头、线阵探头、腔内探头、容积探头</w:t>
            </w:r>
          </w:p>
          <w:p w14:paraId="2D28BC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4.4.2支持二维宽景和彩色宽景</w:t>
            </w:r>
          </w:p>
          <w:p w14:paraId="4D034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4.4.3支持对宽景成像过程进行回访，成像后的图像可旋转及测量</w:t>
            </w:r>
          </w:p>
          <w:p w14:paraId="62AABE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4.4.4宽景成像拼接长度≥200cm</w:t>
            </w:r>
          </w:p>
          <w:p w14:paraId="5E8A8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组织特征成像功能</w:t>
            </w:r>
          </w:p>
          <w:p w14:paraId="182D1E6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★4.5.1支持腹部声衰减模式</w:t>
            </w:r>
          </w:p>
          <w:p w14:paraId="7961CBE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★4.5.2支持基于射频数据的肝肾比测量，辅助定量评估肝脏脂肪变性程度。</w:t>
            </w:r>
          </w:p>
          <w:p w14:paraId="293556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★4.5.3支持局部声速值，采用自动声速相关算法来测量了肝脏中的声速变化，根据肝实质回波信号测量声速大小，以量化与肝脏脂肪变性严重程度相关的脂肪含量。</w:t>
            </w:r>
          </w:p>
          <w:p w14:paraId="1C26EEC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4.6</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心血管成像</w:t>
            </w:r>
          </w:p>
          <w:p w14:paraId="153A6D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4.6.1支持组织多普勒速度成像：具备组织速度成像、组织频谱成像、组织能量成像、组织M型成像四种模式</w:t>
            </w:r>
          </w:p>
          <w:p w14:paraId="3568E2B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五</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测量分析和报告</w:t>
            </w:r>
          </w:p>
          <w:p w14:paraId="58FFE0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全科测量包，自动生成报告： 腹部、妇科、产科、心脏、泌尿、小器官、儿科、血管、急诊科</w:t>
            </w:r>
          </w:p>
          <w:p w14:paraId="33A2A58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自动识别病灶边界，帮助用户对病灶进行描迹。测量封闭区域的长短轴长度，面积及周长</w:t>
            </w:r>
          </w:p>
          <w:p w14:paraId="277229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血管内中膜自动测量技术，测量数据至少包括最大值、最小值、平均值、标准差、ROI长度、测量长度及质量指标，具有IMT分析评估曲线（提供测量数值及分析评估曲线的证明图片）</w:t>
            </w:r>
          </w:p>
          <w:p w14:paraId="20F1ED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自动工作流协议（非预设条件），检查过程中可根据定义的协议自动切换图像模式，自动标记体标示意图，自动注释等，节省操作时间。操作协议可用户自定义，并可支持导出协议到其他机器上使用，有利于规范化管理。</w:t>
            </w:r>
          </w:p>
          <w:p w14:paraId="7EE99B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六</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电影回放、原始数据处理和检查存储管理系统</w:t>
            </w:r>
          </w:p>
          <w:p w14:paraId="1922E4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电影回放所有模式下可用，支持手动、自动回放，支持4D 电影回放</w:t>
            </w:r>
          </w:p>
          <w:p w14:paraId="166C2A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原始数据处理，最大可进行多项参数调节</w:t>
            </w:r>
          </w:p>
          <w:p w14:paraId="4B518A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支持导出数字化图像格式：BMP/JPG/TIFF/DCM/AVI/MP4/WMV/MOV。</w:t>
            </w:r>
          </w:p>
          <w:p w14:paraId="2EB448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支持后台存储，导出、备份图像数据资料同时，可进行实时检查，不影响检查操作</w:t>
            </w:r>
          </w:p>
          <w:p w14:paraId="4867D4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支持高性能固态硬盘存储≥1TB</w:t>
            </w:r>
          </w:p>
          <w:p w14:paraId="6DEF395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6.6</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支持外部USB 移动存储</w:t>
            </w:r>
          </w:p>
          <w:p w14:paraId="3272CC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6.7</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具备数据防御系统，可对不同人群设置数据开放度及访问权限</w:t>
            </w:r>
          </w:p>
          <w:p w14:paraId="4DA92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七</w:t>
            </w:r>
            <w:r>
              <w:rPr>
                <w:rFonts w:hint="eastAsia" w:asciiTheme="minorEastAsia" w:hAnsiTheme="minorEastAsia" w:eastAsiaTheme="minorEastAsia"/>
                <w:b/>
                <w:bCs/>
                <w:color w:val="auto"/>
                <w:sz w:val="24"/>
                <w:szCs w:val="24"/>
                <w:highlight w:val="none"/>
              </w:rPr>
              <w:tab/>
            </w:r>
            <w:r>
              <w:rPr>
                <w:rFonts w:hint="eastAsia" w:asciiTheme="minorEastAsia" w:hAnsiTheme="minorEastAsia" w:eastAsiaTheme="minorEastAsia"/>
                <w:b/>
                <w:bCs/>
                <w:color w:val="auto"/>
                <w:sz w:val="24"/>
                <w:szCs w:val="24"/>
                <w:highlight w:val="none"/>
              </w:rPr>
              <w:t>系统技术参数及要求</w:t>
            </w:r>
          </w:p>
          <w:p w14:paraId="4CACF9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二维灰阶模式</w:t>
            </w:r>
          </w:p>
          <w:p w14:paraId="5DE7636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7.1.1最大显示深度:≥40cm</w:t>
            </w:r>
          </w:p>
          <w:p w14:paraId="51C655B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7.1.2动态范围:≥260dB</w:t>
            </w:r>
          </w:p>
          <w:p w14:paraId="5D05928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7.1.3TGC增益补偿: ≥8段</w:t>
            </w:r>
          </w:p>
          <w:p w14:paraId="139899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★7.1.4成人腹部凸阵探头扫描角度:≥130度</w:t>
            </w:r>
          </w:p>
          <w:p w14:paraId="7F4775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7.1.5腔内探头扫描角度:≥180度</w:t>
            </w:r>
          </w:p>
          <w:p w14:paraId="6625F2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★7.1.6成人心脏相控阵探头扫描角度≥90度</w:t>
            </w:r>
          </w:p>
          <w:p w14:paraId="3F24191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7.1.7电影回放：灰阶图像回放≥3000幅、回放时间≥100秒</w:t>
            </w:r>
          </w:p>
          <w:p w14:paraId="074FF5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彩色多普勒成像</w:t>
            </w:r>
          </w:p>
          <w:p w14:paraId="35A192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7.2.1显示方式：B/C、B/C/M、B/C/PW</w:t>
            </w:r>
          </w:p>
          <w:p w14:paraId="3C6A34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7.2.2取样框偏转: ≥±30度</w:t>
            </w:r>
          </w:p>
          <w:p w14:paraId="7C62CB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7.2.3支持速度、速度方差、能量、方向能量显示</w:t>
            </w:r>
          </w:p>
          <w:p w14:paraId="415CEF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7.2.4支持立体血流显示</w:t>
            </w:r>
          </w:p>
          <w:p w14:paraId="3D4422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 xml:space="preserve"> 频谱多普勒模式</w:t>
            </w:r>
          </w:p>
          <w:p w14:paraId="05FE8C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7.3.1显示方式：B， PW， B/PW， B/C/PW，B/CW</w:t>
            </w:r>
          </w:p>
          <w:p w14:paraId="7C8E0F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7.3.2频谱多普勒频率≥ 3 段</w:t>
            </w:r>
          </w:p>
          <w:p w14:paraId="41001A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7.3.3最大速度: PW血流速度≥8m/s，CW血流速度: ≥30m/s</w:t>
            </w:r>
          </w:p>
          <w:p w14:paraId="41E9B4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7.3.4最小速度: ≤1 mm /s</w:t>
            </w:r>
          </w:p>
          <w:p w14:paraId="2307CF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7.3.5PW取样容积范围: 0.5-20mm</w:t>
            </w:r>
          </w:p>
          <w:p w14:paraId="1E58BD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7.3.6PW偏转角度: ≥±30度</w:t>
            </w:r>
          </w:p>
          <w:p w14:paraId="12698A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八</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连通性要求</w:t>
            </w:r>
          </w:p>
          <w:p w14:paraId="5C8B80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支持网络连接</w:t>
            </w:r>
          </w:p>
          <w:p w14:paraId="1CFC3E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支持DICOM 3.0，支持DICOM结构化报告</w:t>
            </w:r>
          </w:p>
          <w:p w14:paraId="370194A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支持网络存储功能，基于TCP/IP 协议的网络共享功能，可将超声图像及报告直接传送到PC 端。</w:t>
            </w:r>
          </w:p>
          <w:p w14:paraId="2F9050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8.4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电脑端可将自定义报告模板和测试项导入到超声系统</w:t>
            </w:r>
          </w:p>
          <w:p w14:paraId="2A5E3A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九</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探头规格（标配八把）</w:t>
            </w:r>
          </w:p>
          <w:p w14:paraId="7BE6E8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★9.1</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探头阵元数：≥1000阵元</w:t>
            </w:r>
          </w:p>
          <w:p w14:paraId="26E39F5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9.2</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单晶体或冰晶或纯净波凸阵探头频率范围：1.2-5.5 MHz，2把</w:t>
            </w:r>
          </w:p>
          <w:p w14:paraId="13989D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9.3</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单晶体或冰晶或纯净波凸阵探头频率范围：2.0-9.0 MHz，1把</w:t>
            </w:r>
          </w:p>
          <w:p w14:paraId="079B9ED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9.4</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线阵探头频率范围：5.0-18.0 MHz，2把</w:t>
            </w:r>
          </w:p>
          <w:p w14:paraId="490FFB4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9.5</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线阵探头频率范围：5.0-14.0 MHz，1把</w:t>
            </w:r>
          </w:p>
          <w:p w14:paraId="3902DD8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9.6</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腔内探头频率范围: 4.0-8.0 MHz，1把</w:t>
            </w:r>
          </w:p>
          <w:p w14:paraId="2813CD6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9.7</w:t>
            </w:r>
            <w:r>
              <w:rPr>
                <w:rFonts w:hint="eastAsia" w:asciiTheme="minorEastAsia" w:hAnsiTheme="minorEastAsia" w:eastAsiaTheme="minorEastAsia"/>
                <w:color w:val="auto"/>
                <w:sz w:val="24"/>
                <w:szCs w:val="24"/>
                <w:highlight w:val="none"/>
              </w:rPr>
              <w:tab/>
            </w:r>
            <w:r>
              <w:rPr>
                <w:rFonts w:hint="eastAsia" w:asciiTheme="minorEastAsia" w:hAnsiTheme="minorEastAsia" w:eastAsiaTheme="minorEastAsia"/>
                <w:color w:val="auto"/>
                <w:sz w:val="24"/>
                <w:szCs w:val="24"/>
                <w:highlight w:val="none"/>
              </w:rPr>
              <w:t>超高频线阵探头频率范围：9.0-21.0MHz，1把</w:t>
            </w:r>
          </w:p>
          <w:p w14:paraId="588CC0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十</w:t>
            </w:r>
            <w:r>
              <w:rPr>
                <w:rFonts w:hint="eastAsia" w:asciiTheme="minorEastAsia" w:hAnsiTheme="minorEastAsia" w:eastAsiaTheme="minorEastAsia"/>
                <w:b/>
                <w:bCs/>
                <w:color w:val="auto"/>
                <w:sz w:val="24"/>
                <w:szCs w:val="24"/>
                <w:highlight w:val="none"/>
                <w:lang w:eastAsia="zh-CN"/>
              </w:rPr>
              <w:t>、</w:t>
            </w:r>
            <w:r>
              <w:rPr>
                <w:rFonts w:hint="eastAsia" w:asciiTheme="minorEastAsia" w:hAnsiTheme="minorEastAsia" w:eastAsiaTheme="minorEastAsia"/>
                <w:b/>
                <w:bCs/>
                <w:color w:val="auto"/>
                <w:sz w:val="24"/>
                <w:szCs w:val="24"/>
                <w:highlight w:val="none"/>
              </w:rPr>
              <w:t>外设和附件及其他要求</w:t>
            </w:r>
          </w:p>
          <w:p w14:paraId="3E1B46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10.1耦合剂加热器，支持实体按键开关，温度多级可调</w:t>
            </w:r>
          </w:p>
          <w:p w14:paraId="2E4F14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10.2标配高清采集卡</w:t>
            </w:r>
          </w:p>
          <w:p w14:paraId="4EEA7A4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0" w:firstLineChars="0"/>
              <w:textAlignment w:val="auto"/>
              <w:rPr>
                <w:rFonts w:hint="eastAsia" w:asciiTheme="minorEastAsia" w:hAnsiTheme="minorEastAsia" w:eastAsiaTheme="minorEastAsia"/>
                <w:b/>
                <w:bCs/>
                <w:color w:val="auto"/>
                <w:sz w:val="24"/>
                <w:szCs w:val="24"/>
                <w:highlight w:val="none"/>
                <w:lang w:eastAsia="zh-CN"/>
              </w:rPr>
            </w:pPr>
            <w:r>
              <w:rPr>
                <w:rFonts w:hint="eastAsia" w:asciiTheme="minorEastAsia" w:hAnsiTheme="minorEastAsia" w:eastAsiaTheme="minorEastAsia"/>
                <w:b/>
                <w:bCs/>
                <w:color w:val="auto"/>
                <w:sz w:val="24"/>
                <w:szCs w:val="24"/>
                <w:highlight w:val="none"/>
                <w:lang w:eastAsia="zh-CN"/>
              </w:rPr>
              <w:t>配置要求</w:t>
            </w:r>
          </w:p>
          <w:p w14:paraId="1BC3AC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11.1 系统终身升级(费用包含在投标总价内)；</w:t>
            </w:r>
          </w:p>
          <w:p w14:paraId="632FEA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11.2接入医院信息系统(费用包含在投标总价内)；</w:t>
            </w:r>
          </w:p>
          <w:p w14:paraId="07DEE2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eastAsia="zh-CN"/>
              </w:rPr>
            </w:pPr>
            <w:r>
              <w:rPr>
                <w:rFonts w:hint="eastAsia" w:ascii="宋体" w:hAnsi="宋体" w:eastAsia="宋体"/>
                <w:bCs/>
                <w:color w:val="auto"/>
                <w:sz w:val="24"/>
                <w:szCs w:val="18"/>
                <w:highlight w:val="none"/>
                <w:lang w:val="en-US" w:eastAsia="zh-CN"/>
              </w:rPr>
              <w:t>11.3移机1次(费用包含在投标总价内)。</w:t>
            </w:r>
          </w:p>
        </w:tc>
      </w:tr>
      <w:bookmarkEnd w:id="35"/>
      <w:bookmarkEnd w:id="36"/>
    </w:tbl>
    <w:p w14:paraId="5A5B2246">
      <w:pPr>
        <w:numPr>
          <w:ilvl w:val="0"/>
          <w:numId w:val="2"/>
        </w:num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报价要求</w:t>
      </w:r>
    </w:p>
    <w:p w14:paraId="6DACECF9">
      <w:pPr>
        <w:spacing w:line="360" w:lineRule="auto"/>
        <w:ind w:firstLine="437"/>
        <w:rPr>
          <w:rFonts w:asciiTheme="minorEastAsia" w:hAnsiTheme="minorEastAsia" w:eastAsiaTheme="minorEastAsia"/>
          <w:bCs/>
          <w:color w:val="auto"/>
          <w:sz w:val="24"/>
          <w:highlight w:val="none"/>
        </w:rPr>
      </w:pPr>
      <w:r>
        <w:rPr>
          <w:rFonts w:hint="eastAsia" w:ascii="宋体" w:hAnsi="宋体" w:eastAsia="宋体"/>
          <w:bCs/>
          <w:color w:val="auto"/>
          <w:sz w:val="24"/>
          <w:szCs w:val="18"/>
          <w:highlight w:val="none"/>
        </w:rPr>
        <w:t>本项目报总价，报价应包含完成本项目所需的设备、软件、线材、管材、辅材、人工、机械、装卸运输、安装调试、售后服务、税金等发生的全部费用，请投标人自行考虑后谨慎报价。</w:t>
      </w: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37" w:name="_Toc16417"/>
      <w:r>
        <w:rPr>
          <w:rFonts w:hint="eastAsia" w:asciiTheme="minorEastAsia" w:hAnsiTheme="minorEastAsia" w:eastAsiaTheme="minorEastAsia"/>
          <w:b/>
          <w:color w:val="auto"/>
          <w:sz w:val="28"/>
          <w:highlight w:val="none"/>
        </w:rPr>
        <w:t>第四章  评标方法和标准（综合评分法）</w:t>
      </w:r>
      <w:bookmarkEnd w:id="37"/>
    </w:p>
    <w:p w14:paraId="36FB348D">
      <w:pPr>
        <w:spacing w:line="360" w:lineRule="auto"/>
        <w:ind w:firstLine="437"/>
        <w:outlineLvl w:val="1"/>
        <w:rPr>
          <w:rFonts w:asciiTheme="minorEastAsia" w:hAnsiTheme="minorEastAsia" w:eastAsiaTheme="minorEastAsia"/>
          <w:b/>
          <w:color w:val="auto"/>
          <w:sz w:val="24"/>
          <w:highlight w:val="none"/>
        </w:rPr>
      </w:pPr>
      <w:bookmarkStart w:id="38" w:name="_Toc1246"/>
      <w:bookmarkStart w:id="39" w:name="_Toc11823"/>
      <w:r>
        <w:rPr>
          <w:rFonts w:hint="eastAsia" w:asciiTheme="minorEastAsia" w:hAnsiTheme="minorEastAsia" w:eastAsiaTheme="minorEastAsia"/>
          <w:b/>
          <w:color w:val="auto"/>
          <w:sz w:val="24"/>
          <w:highlight w:val="none"/>
        </w:rPr>
        <w:t>一、总则</w:t>
      </w:r>
      <w:bookmarkEnd w:id="38"/>
      <w:bookmarkEnd w:id="39"/>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40" w:name="_Toc31871"/>
      <w:bookmarkStart w:id="41" w:name="_Toc13117"/>
      <w:r>
        <w:rPr>
          <w:rFonts w:hint="eastAsia" w:asciiTheme="minorEastAsia" w:hAnsiTheme="minorEastAsia" w:eastAsiaTheme="minorEastAsia"/>
          <w:b/>
          <w:color w:val="auto"/>
          <w:sz w:val="24"/>
          <w:highlight w:val="none"/>
        </w:rPr>
        <w:t>二、评标方法</w:t>
      </w:r>
      <w:bookmarkEnd w:id="40"/>
      <w:bookmarkEnd w:id="41"/>
    </w:p>
    <w:p w14:paraId="40AD420F">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61"/>
        <w:gridCol w:w="1887"/>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36"/>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5"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3" w:type="pct"/>
            <w:tcBorders>
              <w:bottom w:val="single" w:color="auto" w:sz="4" w:space="0"/>
            </w:tcBorders>
            <w:vAlign w:val="center"/>
          </w:tcPr>
          <w:p w14:paraId="2D206A2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1AD42113">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E61916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1D3135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5"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5"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090CE335">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5"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7254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77C33C4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2F5FD02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3" w:type="pct"/>
            <w:tcBorders>
              <w:bottom w:val="single" w:color="auto" w:sz="4" w:space="0"/>
            </w:tcBorders>
            <w:vAlign w:val="center"/>
          </w:tcPr>
          <w:p w14:paraId="18FF088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5" w:type="pct"/>
            <w:tcBorders>
              <w:bottom w:val="single" w:color="auto" w:sz="4" w:space="0"/>
            </w:tcBorders>
            <w:vAlign w:val="center"/>
          </w:tcPr>
          <w:p w14:paraId="7E76CF47">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34D8973F">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3" w:type="pct"/>
            <w:vAlign w:val="center"/>
          </w:tcPr>
          <w:p w14:paraId="6E4DCC4D">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5" w:type="pct"/>
            <w:vAlign w:val="center"/>
          </w:tcPr>
          <w:p w14:paraId="7EAB58B4">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5C0F0F0D">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36"/>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5A915E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30" w:type="dxa"/>
            <w:vAlign w:val="center"/>
          </w:tcPr>
          <w:p w14:paraId="67394AE6">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2"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796BB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3AAE012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21D4605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2" w:type="pct"/>
            <w:vAlign w:val="center"/>
          </w:tcPr>
          <w:p w14:paraId="63368BC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7A781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62C0784">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5"/>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013"/>
        <w:gridCol w:w="5498"/>
        <w:gridCol w:w="967"/>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4" w:type="pct"/>
            <w:tcBorders>
              <w:top w:val="single" w:color="auto" w:sz="4" w:space="0"/>
              <w:left w:val="single" w:color="auto" w:sz="4" w:space="0"/>
              <w:bottom w:val="single" w:color="auto" w:sz="4" w:space="0"/>
              <w:right w:val="single" w:color="auto" w:sz="4" w:space="0"/>
            </w:tcBorders>
            <w:vAlign w:val="center"/>
          </w:tcPr>
          <w:p w14:paraId="3A89393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561" w:type="pct"/>
            <w:tcBorders>
              <w:top w:val="single" w:color="auto" w:sz="4" w:space="0"/>
              <w:left w:val="single" w:color="auto" w:sz="4" w:space="0"/>
              <w:bottom w:val="single" w:color="auto" w:sz="4" w:space="0"/>
              <w:right w:val="single" w:color="auto" w:sz="4" w:space="0"/>
            </w:tcBorders>
            <w:vAlign w:val="center"/>
          </w:tcPr>
          <w:p w14:paraId="14068F5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3047" w:type="pct"/>
            <w:tcBorders>
              <w:top w:val="single" w:color="auto" w:sz="4" w:space="0"/>
              <w:left w:val="single" w:color="auto" w:sz="4" w:space="0"/>
              <w:bottom w:val="single" w:color="auto" w:sz="4" w:space="0"/>
              <w:right w:val="single" w:color="auto" w:sz="4" w:space="0"/>
            </w:tcBorders>
            <w:vAlign w:val="center"/>
          </w:tcPr>
          <w:p w14:paraId="2F9E0AE8">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35" w:type="pct"/>
            <w:tcBorders>
              <w:top w:val="single" w:color="auto" w:sz="4" w:space="0"/>
              <w:left w:val="single" w:color="auto" w:sz="4" w:space="0"/>
              <w:bottom w:val="single" w:color="auto" w:sz="4" w:space="0"/>
              <w:right w:val="single" w:color="auto" w:sz="4" w:space="0"/>
            </w:tcBorders>
            <w:vAlign w:val="center"/>
          </w:tcPr>
          <w:p w14:paraId="204AEBE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restart"/>
            <w:tcBorders>
              <w:top w:val="single" w:color="auto" w:sz="4" w:space="0"/>
              <w:left w:val="single" w:color="auto" w:sz="4" w:space="0"/>
              <w:right w:val="single" w:color="auto" w:sz="4" w:space="0"/>
            </w:tcBorders>
            <w:vAlign w:val="center"/>
          </w:tcPr>
          <w:p w14:paraId="5C7CD23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27C554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u w:val="none"/>
              </w:rPr>
              <w:t>（</w:t>
            </w:r>
            <w:r>
              <w:rPr>
                <w:rFonts w:hint="eastAsia" w:asciiTheme="minorEastAsia" w:hAnsiTheme="minorEastAsia" w:eastAsiaTheme="minorEastAsia"/>
                <w:color w:val="auto"/>
                <w:sz w:val="24"/>
                <w:highlight w:val="none"/>
                <w:u w:val="none"/>
                <w:lang w:val="en-US" w:eastAsia="zh-CN"/>
              </w:rPr>
              <w:t>70</w:t>
            </w:r>
            <w:r>
              <w:rPr>
                <w:rFonts w:hint="eastAsia" w:asciiTheme="minorEastAsia" w:hAnsiTheme="minorEastAsia" w:eastAsiaTheme="minorEastAsia"/>
                <w:color w:val="auto"/>
                <w:sz w:val="24"/>
                <w:highlight w:val="none"/>
              </w:rPr>
              <w:t>分）</w:t>
            </w:r>
          </w:p>
        </w:tc>
        <w:tc>
          <w:tcPr>
            <w:tcW w:w="561" w:type="pct"/>
            <w:tcBorders>
              <w:top w:val="single" w:color="auto" w:sz="4" w:space="0"/>
              <w:left w:val="single" w:color="auto" w:sz="4" w:space="0"/>
              <w:bottom w:val="single" w:color="auto" w:sz="4" w:space="0"/>
              <w:right w:val="single" w:color="auto" w:sz="4" w:space="0"/>
            </w:tcBorders>
            <w:vAlign w:val="center"/>
          </w:tcPr>
          <w:p w14:paraId="0BE8B62D">
            <w:pPr>
              <w:spacing w:line="360" w:lineRule="auto"/>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产品的技术参数</w:t>
            </w:r>
          </w:p>
        </w:tc>
        <w:tc>
          <w:tcPr>
            <w:tcW w:w="3047" w:type="pct"/>
            <w:tcBorders>
              <w:top w:val="single" w:color="auto" w:sz="4" w:space="0"/>
              <w:left w:val="single" w:color="auto" w:sz="4" w:space="0"/>
              <w:bottom w:val="single" w:color="auto" w:sz="4" w:space="0"/>
              <w:right w:val="single" w:color="auto" w:sz="4" w:space="0"/>
            </w:tcBorders>
            <w:vAlign w:val="center"/>
          </w:tcPr>
          <w:p w14:paraId="25A8492E">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bCs/>
                <w:color w:val="auto"/>
                <w:sz w:val="24"/>
                <w:highlight w:val="none"/>
              </w:rPr>
              <w:t>1</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color w:val="auto"/>
                <w:sz w:val="24"/>
                <w:highlight w:val="none"/>
              </w:rPr>
              <w:t>评标专家根据投标人所提供的设备技术参数响应性进行评审：标“★”部分为重点参数，每满足一项得</w:t>
            </w: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分，共</w:t>
            </w: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项，本</w:t>
            </w:r>
            <w:r>
              <w:rPr>
                <w:rFonts w:hint="eastAsia" w:asciiTheme="minorEastAsia" w:hAnsiTheme="minorEastAsia" w:eastAsiaTheme="minorEastAsia"/>
                <w:color w:val="auto"/>
                <w:sz w:val="24"/>
                <w:highlight w:val="none"/>
                <w:lang w:val="en-US" w:eastAsia="zh-CN"/>
              </w:rPr>
              <w:t>小</w:t>
            </w:r>
            <w:r>
              <w:rPr>
                <w:rFonts w:hint="eastAsia" w:asciiTheme="minorEastAsia" w:hAnsiTheme="minorEastAsia" w:eastAsiaTheme="minorEastAsia"/>
                <w:color w:val="auto"/>
                <w:sz w:val="24"/>
                <w:highlight w:val="none"/>
              </w:rPr>
              <w:t>项满分</w:t>
            </w:r>
            <w:r>
              <w:rPr>
                <w:rFonts w:hint="eastAsia" w:asciiTheme="minorEastAsia" w:hAnsiTheme="minorEastAsia" w:eastAsiaTheme="minorEastAsia"/>
                <w:color w:val="auto"/>
                <w:sz w:val="24"/>
                <w:highlight w:val="none"/>
                <w:lang w:val="en-US" w:eastAsia="zh-CN"/>
              </w:rPr>
              <w:t>21</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eastAsia="zh-CN"/>
              </w:rPr>
              <w:t>；</w:t>
            </w:r>
          </w:p>
          <w:p w14:paraId="6664B13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未标注“★ ”的条款，每满足一项得0.</w:t>
            </w: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 xml:space="preserve"> 分，共</w:t>
            </w:r>
            <w:r>
              <w:rPr>
                <w:rFonts w:hint="eastAsia" w:asciiTheme="minorEastAsia" w:hAnsiTheme="minorEastAsia" w:eastAsiaTheme="minorEastAsia"/>
                <w:color w:val="auto"/>
                <w:sz w:val="24"/>
                <w:highlight w:val="none"/>
                <w:lang w:val="en-US" w:eastAsia="zh-CN"/>
              </w:rPr>
              <w:t>76</w:t>
            </w:r>
            <w:r>
              <w:rPr>
                <w:rFonts w:hint="eastAsia" w:asciiTheme="minorEastAsia" w:hAnsiTheme="minorEastAsia" w:eastAsiaTheme="minorEastAsia"/>
                <w:color w:val="auto"/>
                <w:sz w:val="24"/>
                <w:highlight w:val="none"/>
              </w:rPr>
              <w:t>项，共计1</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分。</w:t>
            </w:r>
          </w:p>
          <w:p w14:paraId="5DCBEF53">
            <w:pPr>
              <w:keepNext w:val="0"/>
              <w:keepLines w:val="0"/>
              <w:widowControl/>
              <w:suppressLineNumbers w:val="0"/>
              <w:jc w:val="left"/>
              <w:rPr>
                <w:rFonts w:asciiTheme="minorEastAsia" w:hAnsiTheme="minorEastAsia" w:eastAsiaTheme="minorEastAsia"/>
                <w:bCs/>
                <w:color w:val="auto"/>
                <w:sz w:val="24"/>
                <w:highlight w:val="none"/>
              </w:rPr>
            </w:pPr>
            <w:r>
              <w:rPr>
                <w:rFonts w:hint="eastAsia" w:ascii="宋体" w:hAnsi="宋体" w:eastAsia="宋体"/>
                <w:b/>
                <w:bCs w:val="0"/>
                <w:color w:val="auto"/>
                <w:sz w:val="24"/>
                <w:szCs w:val="18"/>
                <w:highlight w:val="none"/>
                <w:lang w:val="en-US" w:eastAsia="zh-CN"/>
              </w:rPr>
              <w:t>注：</w:t>
            </w:r>
            <w:r>
              <w:rPr>
                <w:rFonts w:hint="eastAsia" w:ascii="宋体" w:hAnsi="宋体" w:eastAsia="宋体" w:cs="宋体"/>
                <w:b/>
                <w:bCs/>
                <w:color w:val="auto"/>
                <w:kern w:val="0"/>
                <w:sz w:val="24"/>
                <w:szCs w:val="24"/>
                <w:highlight w:val="none"/>
                <w:lang w:val="en-US" w:eastAsia="zh-CN" w:bidi="ar"/>
              </w:rPr>
              <w:t>标注"★"参数技术参数/条款的响应情况，证明材料以招标文件明确要求的材料为准，若招标文件未明确要求则以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r>
              <w:rPr>
                <w:rFonts w:hint="eastAsia" w:ascii="宋体" w:hAnsi="宋体" w:eastAsia="宋体"/>
                <w:b/>
                <w:bCs w:val="0"/>
                <w:color w:val="auto"/>
                <w:sz w:val="24"/>
                <w:szCs w:val="18"/>
                <w:highlight w:val="none"/>
                <w:lang w:val="en-US" w:eastAsia="zh-CN"/>
              </w:rPr>
              <w:t>并标注页码。</w:t>
            </w:r>
          </w:p>
        </w:tc>
        <w:tc>
          <w:tcPr>
            <w:tcW w:w="535" w:type="pct"/>
            <w:tcBorders>
              <w:top w:val="single" w:color="auto" w:sz="4" w:space="0"/>
              <w:left w:val="single" w:color="auto" w:sz="4" w:space="0"/>
              <w:bottom w:val="single" w:color="auto" w:sz="4" w:space="0"/>
              <w:right w:val="single" w:color="auto" w:sz="4" w:space="0"/>
            </w:tcBorders>
            <w:vAlign w:val="center"/>
          </w:tcPr>
          <w:p w14:paraId="34053CF9">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0-40分</w:t>
            </w:r>
          </w:p>
        </w:tc>
      </w:tr>
      <w:tr w14:paraId="6D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14CD28FE">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14:paraId="2594D88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综合评价</w:t>
            </w:r>
          </w:p>
        </w:tc>
        <w:tc>
          <w:tcPr>
            <w:tcW w:w="3047" w:type="pct"/>
            <w:tcBorders>
              <w:top w:val="single" w:color="auto" w:sz="4" w:space="0"/>
              <w:left w:val="single" w:color="auto" w:sz="4" w:space="0"/>
              <w:bottom w:val="single" w:color="auto" w:sz="4" w:space="0"/>
              <w:right w:val="single" w:color="auto" w:sz="4" w:space="0"/>
            </w:tcBorders>
            <w:vAlign w:val="center"/>
          </w:tcPr>
          <w:p w14:paraId="5E5776C7">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评标委员会根据投标人所投产品的技术先进性、设备性能、使用和维修便利性、故障率、安全性等方面进行酌情评分：</w:t>
            </w:r>
          </w:p>
          <w:p w14:paraId="26D6F939">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技术先进优越，性能极稳定，使用维修非常便利，近乎零故障，安全性极高的得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p w14:paraId="0F37852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技术较先进，性能较稳定，使用维修较便利，故障率低，安全性较高得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2F660BB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技术一般，性能基本满足，使用维修一般，故障率一般，安全性符合要求的得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5447EECF">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技术偏低，性能勉强满足，使用维修不便，故障率偏高，安全性一般的得1分。</w:t>
            </w:r>
          </w:p>
          <w:p w14:paraId="091F8C48">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未提供的不得分。</w:t>
            </w:r>
          </w:p>
          <w:p w14:paraId="3C19BC48">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注：投标文件中提供所投产品综合情况的相关证明材料，证明材料具体形式不限，如产品说明书、产品彩页、官网截图等，未提供任何证明材料导致无法评审的相应项不得分。</w:t>
            </w:r>
          </w:p>
        </w:tc>
        <w:tc>
          <w:tcPr>
            <w:tcW w:w="535" w:type="pct"/>
            <w:tcBorders>
              <w:top w:val="single" w:color="auto" w:sz="4" w:space="0"/>
              <w:left w:val="single" w:color="auto" w:sz="4" w:space="0"/>
              <w:bottom w:val="single" w:color="auto" w:sz="4" w:space="0"/>
              <w:right w:val="single" w:color="auto" w:sz="4" w:space="0"/>
            </w:tcBorders>
            <w:vAlign w:val="center"/>
          </w:tcPr>
          <w:p w14:paraId="717D62A7">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0-4分</w:t>
            </w:r>
          </w:p>
        </w:tc>
      </w:tr>
      <w:tr w14:paraId="74F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4B1993BD">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56C2AD49">
            <w:pPr>
              <w:spacing w:line="360" w:lineRule="auto"/>
              <w:jc w:val="left"/>
              <w:rPr>
                <w:rFonts w:hint="eastAsia" w:asciiTheme="minorEastAsia" w:hAnsiTheme="minorEastAsia" w:eastAsiaTheme="minorEastAsia"/>
                <w:color w:val="auto"/>
                <w:sz w:val="24"/>
                <w:highlight w:val="none"/>
              </w:rPr>
            </w:pPr>
          </w:p>
          <w:p w14:paraId="3492D7D9">
            <w:pPr>
              <w:spacing w:line="360" w:lineRule="auto"/>
              <w:jc w:val="left"/>
              <w:rPr>
                <w:rFonts w:hint="eastAsia" w:asciiTheme="minorEastAsia" w:hAnsiTheme="minorEastAsia" w:eastAsiaTheme="minorEastAsia"/>
                <w:color w:val="auto"/>
                <w:sz w:val="24"/>
                <w:highlight w:val="none"/>
              </w:rPr>
            </w:pPr>
          </w:p>
          <w:p w14:paraId="1B9E35F5">
            <w:pPr>
              <w:spacing w:line="360" w:lineRule="auto"/>
              <w:jc w:val="left"/>
              <w:rPr>
                <w:rFonts w:hint="eastAsia" w:asciiTheme="minorEastAsia" w:hAnsiTheme="minorEastAsia" w:eastAsiaTheme="minorEastAsia"/>
                <w:color w:val="auto"/>
                <w:sz w:val="24"/>
                <w:highlight w:val="none"/>
              </w:rPr>
            </w:pPr>
          </w:p>
          <w:p w14:paraId="128CB19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售后服务方案</w:t>
            </w:r>
          </w:p>
        </w:tc>
        <w:tc>
          <w:tcPr>
            <w:tcW w:w="3047" w:type="pct"/>
            <w:tcBorders>
              <w:top w:val="single" w:color="auto" w:sz="4" w:space="0"/>
              <w:left w:val="single" w:color="auto" w:sz="4" w:space="0"/>
              <w:bottom w:val="single" w:color="auto" w:sz="4" w:space="0"/>
              <w:right w:val="single" w:color="auto" w:sz="4" w:space="0"/>
            </w:tcBorders>
            <w:vAlign w:val="top"/>
          </w:tcPr>
          <w:p w14:paraId="50ECADCB">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根据投标文件中提供的售后服务方案（主要包括售后服务保障措施、售后服务人员配备等方面）综合评审：</w:t>
            </w:r>
          </w:p>
          <w:p w14:paraId="21368764">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1、方案内容详实、表述清晰，售后服务管理制度完善，有具体、细化的保障措施，与本项目契合度高的，得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238B25E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2、方案内容细节待完善，与项目实际需求契合度、实用性有待提高的，得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598FBE6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、方案内容不全，与项目匹配度不高、实用性不强的，得 1 分。</w:t>
            </w:r>
          </w:p>
          <w:p w14:paraId="78B03BBC">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417D037F">
            <w:pPr>
              <w:spacing w:line="360" w:lineRule="auto"/>
              <w:jc w:val="left"/>
              <w:rPr>
                <w:rFonts w:hint="eastAsia" w:asciiTheme="minorEastAsia" w:hAnsiTheme="minorEastAsia" w:eastAsiaTheme="minorEastAsia"/>
                <w:color w:val="auto"/>
                <w:sz w:val="24"/>
                <w:highlight w:val="none"/>
              </w:rPr>
            </w:pPr>
          </w:p>
          <w:p w14:paraId="7EF297AB">
            <w:pPr>
              <w:spacing w:line="360" w:lineRule="auto"/>
              <w:jc w:val="left"/>
              <w:rPr>
                <w:rFonts w:hint="eastAsia" w:asciiTheme="minorEastAsia" w:hAnsiTheme="minorEastAsia" w:eastAsiaTheme="minorEastAsia"/>
                <w:color w:val="auto"/>
                <w:sz w:val="24"/>
                <w:highlight w:val="none"/>
              </w:rPr>
            </w:pPr>
          </w:p>
          <w:p w14:paraId="18C220EC">
            <w:pPr>
              <w:spacing w:line="360" w:lineRule="auto"/>
              <w:jc w:val="left"/>
              <w:rPr>
                <w:rFonts w:hint="eastAsia" w:asciiTheme="minorEastAsia" w:hAnsiTheme="minorEastAsia" w:eastAsiaTheme="minorEastAsia"/>
                <w:color w:val="auto"/>
                <w:sz w:val="24"/>
                <w:highlight w:val="none"/>
              </w:rPr>
            </w:pPr>
          </w:p>
          <w:p w14:paraId="6E20356F">
            <w:pPr>
              <w:spacing w:line="360" w:lineRule="auto"/>
              <w:jc w:val="left"/>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tc>
      </w:tr>
      <w:tr w14:paraId="14CD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jc w:val="center"/>
        </w:trPr>
        <w:tc>
          <w:tcPr>
            <w:tcW w:w="854" w:type="pct"/>
            <w:vMerge w:val="continue"/>
            <w:tcBorders>
              <w:left w:val="single" w:color="auto" w:sz="4" w:space="0"/>
              <w:right w:val="single" w:color="auto" w:sz="4" w:space="0"/>
            </w:tcBorders>
            <w:vAlign w:val="center"/>
          </w:tcPr>
          <w:p w14:paraId="2CEF2996">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75461F2F">
            <w:pPr>
              <w:spacing w:line="360" w:lineRule="auto"/>
              <w:jc w:val="left"/>
              <w:rPr>
                <w:rFonts w:hint="eastAsia" w:asciiTheme="minorEastAsia" w:hAnsiTheme="minorEastAsia" w:eastAsiaTheme="minorEastAsia"/>
                <w:color w:val="auto"/>
                <w:sz w:val="24"/>
                <w:highlight w:val="none"/>
              </w:rPr>
            </w:pPr>
          </w:p>
          <w:p w14:paraId="57529720">
            <w:pPr>
              <w:spacing w:line="360" w:lineRule="auto"/>
              <w:jc w:val="left"/>
              <w:rPr>
                <w:rFonts w:hint="eastAsia" w:asciiTheme="minorEastAsia" w:hAnsiTheme="minorEastAsia" w:eastAsiaTheme="minorEastAsia"/>
                <w:color w:val="auto"/>
                <w:sz w:val="24"/>
                <w:highlight w:val="none"/>
              </w:rPr>
            </w:pPr>
          </w:p>
          <w:p w14:paraId="3231C6CE">
            <w:pPr>
              <w:spacing w:line="360" w:lineRule="auto"/>
              <w:jc w:val="left"/>
              <w:rPr>
                <w:rFonts w:hint="eastAsia" w:asciiTheme="minorEastAsia" w:hAnsiTheme="minorEastAsia" w:eastAsiaTheme="minorEastAsia"/>
                <w:color w:val="auto"/>
                <w:sz w:val="24"/>
                <w:highlight w:val="none"/>
              </w:rPr>
            </w:pPr>
          </w:p>
          <w:p w14:paraId="53516B96">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应急服务方案</w:t>
            </w:r>
          </w:p>
        </w:tc>
        <w:tc>
          <w:tcPr>
            <w:tcW w:w="3047" w:type="pct"/>
            <w:tcBorders>
              <w:top w:val="single" w:color="auto" w:sz="4" w:space="0"/>
              <w:left w:val="single" w:color="auto" w:sz="4" w:space="0"/>
              <w:bottom w:val="single" w:color="auto" w:sz="4" w:space="0"/>
              <w:right w:val="single" w:color="auto" w:sz="4" w:space="0"/>
            </w:tcBorders>
            <w:vAlign w:val="top"/>
          </w:tcPr>
          <w:p w14:paraId="009A4F0D">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w:t>
            </w:r>
            <w:r>
              <w:rPr>
                <w:rFonts w:hint="eastAsia" w:asciiTheme="minorEastAsia" w:hAnsiTheme="minorEastAsia" w:eastAsiaTheme="minorEastAsia"/>
                <w:color w:val="auto"/>
                <w:sz w:val="24"/>
                <w:highlight w:val="none"/>
                <w:lang w:eastAsia="zh-CN"/>
              </w:rPr>
              <w:t>的</w:t>
            </w:r>
            <w:r>
              <w:rPr>
                <w:rFonts w:hint="eastAsia" w:asciiTheme="minorEastAsia" w:hAnsiTheme="minorEastAsia" w:eastAsiaTheme="minorEastAsia"/>
                <w:color w:val="auto"/>
                <w:sz w:val="24"/>
                <w:highlight w:val="none"/>
              </w:rPr>
              <w:t>应急服务方案进行综合评审:</w:t>
            </w:r>
          </w:p>
          <w:p w14:paraId="39BBFBA3">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1、方案内容详实，契合本项目的特点和难点，措施完全满足或优于项目需求的（例如应急情况下及时提供备用镜等），得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1B8931E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2、方案内容细节待完善，与项目匹配度待加强，措施待优化的，得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1B1DA7BD">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、方案内容不全，与项目匹配度不高、实用性不强的，得1分。</w:t>
            </w:r>
          </w:p>
          <w:p w14:paraId="4346D69B">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差或未提供的不得分。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035B6893">
            <w:pPr>
              <w:spacing w:line="360" w:lineRule="auto"/>
              <w:jc w:val="left"/>
              <w:rPr>
                <w:rFonts w:hint="eastAsia" w:asciiTheme="minorEastAsia" w:hAnsiTheme="minorEastAsia" w:eastAsiaTheme="minorEastAsia"/>
                <w:color w:val="auto"/>
                <w:sz w:val="24"/>
                <w:highlight w:val="none"/>
              </w:rPr>
            </w:pPr>
          </w:p>
          <w:p w14:paraId="68F68369">
            <w:pPr>
              <w:spacing w:line="360" w:lineRule="auto"/>
              <w:jc w:val="left"/>
              <w:rPr>
                <w:rFonts w:hint="eastAsia" w:asciiTheme="minorEastAsia" w:hAnsiTheme="minorEastAsia" w:eastAsiaTheme="minorEastAsia"/>
                <w:color w:val="auto"/>
                <w:sz w:val="24"/>
                <w:highlight w:val="none"/>
              </w:rPr>
            </w:pPr>
          </w:p>
          <w:p w14:paraId="610CD7E4">
            <w:pPr>
              <w:spacing w:line="360" w:lineRule="auto"/>
              <w:jc w:val="left"/>
              <w:rPr>
                <w:rFonts w:hint="eastAsia" w:asciiTheme="minorEastAsia" w:hAnsiTheme="minorEastAsia" w:eastAsiaTheme="minorEastAsia"/>
                <w:color w:val="auto"/>
                <w:sz w:val="24"/>
                <w:highlight w:val="none"/>
              </w:rPr>
            </w:pPr>
          </w:p>
          <w:p w14:paraId="490E5B3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tc>
      </w:tr>
      <w:tr w14:paraId="7890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4EE380F8">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638FE872">
            <w:pPr>
              <w:spacing w:line="360" w:lineRule="auto"/>
              <w:jc w:val="left"/>
              <w:rPr>
                <w:rFonts w:hint="eastAsia" w:asciiTheme="minorEastAsia" w:hAnsiTheme="minorEastAsia" w:eastAsiaTheme="minorEastAsia"/>
                <w:color w:val="auto"/>
                <w:sz w:val="24"/>
                <w:highlight w:val="none"/>
              </w:rPr>
            </w:pPr>
          </w:p>
          <w:p w14:paraId="0947A4A8">
            <w:pPr>
              <w:spacing w:line="360" w:lineRule="auto"/>
              <w:jc w:val="left"/>
              <w:rPr>
                <w:rFonts w:hint="eastAsia" w:asciiTheme="minorEastAsia" w:hAnsiTheme="minorEastAsia" w:eastAsiaTheme="minorEastAsia"/>
                <w:color w:val="auto"/>
                <w:sz w:val="24"/>
                <w:highlight w:val="none"/>
              </w:rPr>
            </w:pPr>
          </w:p>
          <w:p w14:paraId="472D54B1">
            <w:pPr>
              <w:spacing w:line="360" w:lineRule="auto"/>
              <w:jc w:val="left"/>
              <w:rPr>
                <w:rFonts w:hint="eastAsia" w:asciiTheme="minorEastAsia" w:hAnsiTheme="minorEastAsia" w:eastAsiaTheme="minorEastAsia"/>
                <w:color w:val="auto"/>
                <w:sz w:val="24"/>
                <w:highlight w:val="none"/>
              </w:rPr>
            </w:pPr>
          </w:p>
          <w:p w14:paraId="590713CF">
            <w:pPr>
              <w:spacing w:line="360" w:lineRule="auto"/>
              <w:jc w:val="left"/>
              <w:rPr>
                <w:rFonts w:hint="eastAsia" w:asciiTheme="minorEastAsia" w:hAnsiTheme="minorEastAsia" w:eastAsiaTheme="minorEastAsia"/>
                <w:color w:val="auto"/>
                <w:sz w:val="24"/>
                <w:highlight w:val="none"/>
              </w:rPr>
            </w:pPr>
          </w:p>
          <w:p w14:paraId="303EF23F">
            <w:pPr>
              <w:spacing w:line="360" w:lineRule="auto"/>
              <w:jc w:val="left"/>
              <w:rPr>
                <w:rFonts w:hint="eastAsia" w:asciiTheme="minorEastAsia" w:hAnsiTheme="minorEastAsia" w:eastAsiaTheme="minorEastAsia"/>
                <w:color w:val="auto"/>
                <w:sz w:val="24"/>
                <w:highlight w:val="none"/>
              </w:rPr>
            </w:pPr>
          </w:p>
          <w:p w14:paraId="5594B59D">
            <w:pPr>
              <w:spacing w:line="360" w:lineRule="auto"/>
              <w:jc w:val="left"/>
              <w:rPr>
                <w:rFonts w:hint="eastAsia" w:asciiTheme="minorEastAsia" w:hAnsiTheme="minorEastAsia" w:eastAsiaTheme="minorEastAsia"/>
                <w:color w:val="auto"/>
                <w:sz w:val="24"/>
                <w:highlight w:val="none"/>
              </w:rPr>
            </w:pPr>
          </w:p>
          <w:p w14:paraId="64D55E4A">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维保方案</w:t>
            </w:r>
          </w:p>
        </w:tc>
        <w:tc>
          <w:tcPr>
            <w:tcW w:w="3047" w:type="pct"/>
            <w:tcBorders>
              <w:top w:val="single" w:color="auto" w:sz="4" w:space="0"/>
              <w:left w:val="single" w:color="auto" w:sz="4" w:space="0"/>
              <w:bottom w:val="single" w:color="auto" w:sz="4" w:space="0"/>
              <w:right w:val="single" w:color="auto" w:sz="4" w:space="0"/>
            </w:tcBorders>
            <w:vAlign w:val="top"/>
          </w:tcPr>
          <w:p w14:paraId="7AD43EF6">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评标委员会</w:t>
            </w:r>
            <w:r>
              <w:rPr>
                <w:rFonts w:hint="eastAsia" w:asciiTheme="minorEastAsia" w:hAnsiTheme="minorEastAsia" w:eastAsiaTheme="minorEastAsia"/>
                <w:color w:val="auto"/>
                <w:sz w:val="24"/>
                <w:highlight w:val="none"/>
              </w:rPr>
              <w:t>根据投标文件中提供的维保方案进行综合评审，主要考虑维保内容、时间保证、质保期外的维保政策等:</w:t>
            </w:r>
          </w:p>
          <w:p w14:paraId="7C0F7359">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维保内容详实完整，故障响应迅速，服务保障有力，质保期外维保政策完善，高度契合项目需求，针对性、实用性极强</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p w14:paraId="72239723">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维保内容基本完整，故障响应时间一般，质保期外维保政策基本满足，针对性、实用性一般</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47CA792E">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4、维保内容不够完整，响应偏慢，保障一般，质保期外维保政策欠缺，匹配度、实用性较弱的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分。</w:t>
            </w:r>
          </w:p>
          <w:p w14:paraId="14C6B379">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5、维保内容不全，响应不明确，保障较差，与项目匹配度低，实用性差的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val="en-US" w:eastAsia="zh-CN"/>
              </w:rPr>
              <w:t>。</w:t>
            </w:r>
          </w:p>
          <w:p w14:paraId="2CF3F37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差或未提供的不得分。</w:t>
            </w:r>
          </w:p>
        </w:tc>
        <w:tc>
          <w:tcPr>
            <w:tcW w:w="535" w:type="pct"/>
            <w:tcBorders>
              <w:top w:val="single" w:color="auto" w:sz="4" w:space="0"/>
              <w:left w:val="single" w:color="auto" w:sz="4" w:space="0"/>
              <w:bottom w:val="single" w:color="auto" w:sz="4" w:space="0"/>
              <w:right w:val="single" w:color="auto" w:sz="4" w:space="0"/>
            </w:tcBorders>
            <w:vAlign w:val="top"/>
          </w:tcPr>
          <w:p w14:paraId="37984E27">
            <w:pPr>
              <w:spacing w:line="360" w:lineRule="auto"/>
              <w:jc w:val="left"/>
              <w:rPr>
                <w:rFonts w:hint="eastAsia" w:asciiTheme="minorEastAsia" w:hAnsiTheme="minorEastAsia" w:eastAsiaTheme="minorEastAsia"/>
                <w:color w:val="auto"/>
                <w:sz w:val="24"/>
                <w:highlight w:val="none"/>
              </w:rPr>
            </w:pPr>
          </w:p>
          <w:p w14:paraId="311D5EE5">
            <w:pPr>
              <w:spacing w:line="360" w:lineRule="auto"/>
              <w:jc w:val="left"/>
              <w:rPr>
                <w:rFonts w:hint="eastAsia" w:asciiTheme="minorEastAsia" w:hAnsiTheme="minorEastAsia" w:eastAsiaTheme="minorEastAsia"/>
                <w:color w:val="auto"/>
                <w:sz w:val="24"/>
                <w:highlight w:val="none"/>
              </w:rPr>
            </w:pPr>
          </w:p>
          <w:p w14:paraId="561AE75D">
            <w:pPr>
              <w:spacing w:line="360" w:lineRule="auto"/>
              <w:jc w:val="left"/>
              <w:rPr>
                <w:rFonts w:hint="eastAsia" w:asciiTheme="minorEastAsia" w:hAnsiTheme="minorEastAsia" w:eastAsiaTheme="minorEastAsia"/>
                <w:color w:val="auto"/>
                <w:sz w:val="24"/>
                <w:highlight w:val="none"/>
              </w:rPr>
            </w:pPr>
          </w:p>
          <w:p w14:paraId="77ACF044">
            <w:pPr>
              <w:spacing w:line="360" w:lineRule="auto"/>
              <w:jc w:val="left"/>
              <w:rPr>
                <w:rFonts w:hint="eastAsia" w:asciiTheme="minorEastAsia" w:hAnsiTheme="minorEastAsia" w:eastAsiaTheme="minorEastAsia"/>
                <w:color w:val="auto"/>
                <w:sz w:val="24"/>
                <w:highlight w:val="none"/>
              </w:rPr>
            </w:pPr>
          </w:p>
          <w:p w14:paraId="4B33C048">
            <w:pPr>
              <w:spacing w:line="360" w:lineRule="auto"/>
              <w:jc w:val="left"/>
              <w:rPr>
                <w:rFonts w:hint="eastAsia" w:asciiTheme="minorEastAsia" w:hAnsiTheme="minorEastAsia" w:eastAsiaTheme="minorEastAsia"/>
                <w:color w:val="auto"/>
                <w:sz w:val="24"/>
                <w:highlight w:val="none"/>
              </w:rPr>
            </w:pPr>
          </w:p>
          <w:p w14:paraId="435D68D2">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 分</w:t>
            </w:r>
          </w:p>
        </w:tc>
      </w:tr>
      <w:tr w14:paraId="3039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59F78A8E">
            <w:pPr>
              <w:spacing w:line="360" w:lineRule="auto"/>
              <w:ind w:firstLine="435"/>
              <w:jc w:val="center"/>
              <w:rPr>
                <w:rFonts w:asciiTheme="minorEastAsia" w:hAnsiTheme="minorEastAsia" w:eastAsiaTheme="minorEastAsia"/>
                <w:b/>
                <w:bCs/>
                <w:color w:val="auto"/>
                <w:sz w:val="24"/>
                <w:highlight w:val="none"/>
              </w:rPr>
            </w:pPr>
          </w:p>
        </w:tc>
        <w:tc>
          <w:tcPr>
            <w:tcW w:w="1013" w:type="dxa"/>
            <w:tcBorders>
              <w:top w:val="single" w:color="auto" w:sz="4" w:space="0"/>
              <w:left w:val="single" w:color="auto" w:sz="4" w:space="0"/>
              <w:bottom w:val="single" w:color="auto" w:sz="4" w:space="0"/>
              <w:right w:val="single" w:color="auto" w:sz="4" w:space="0"/>
            </w:tcBorders>
            <w:vAlign w:val="top"/>
          </w:tcPr>
          <w:p w14:paraId="5C0621F9">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特色服务方案</w:t>
            </w:r>
          </w:p>
        </w:tc>
        <w:tc>
          <w:tcPr>
            <w:tcW w:w="5498" w:type="dxa"/>
            <w:tcBorders>
              <w:top w:val="single" w:color="auto" w:sz="4" w:space="0"/>
              <w:left w:val="single" w:color="auto" w:sz="4" w:space="0"/>
              <w:bottom w:val="single" w:color="auto" w:sz="4" w:space="0"/>
              <w:right w:val="single" w:color="auto" w:sz="4" w:space="0"/>
            </w:tcBorders>
            <w:vAlign w:val="top"/>
          </w:tcPr>
          <w:p w14:paraId="5EF4B43C">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由评委会根据投标人提供的具体特色服务（除报价外）进行评审，主要考虑特色服务的实用性及实际价值：</w:t>
            </w:r>
          </w:p>
          <w:p w14:paraId="6C5E6CE0">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1、特色服务力度大，有实际价值，实用性强的得4分；</w:t>
            </w:r>
          </w:p>
          <w:p w14:paraId="4E1D5633">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2、特色服务有一定力度，有实际价值，实用性一般的得3分</w:t>
            </w:r>
          </w:p>
          <w:p w14:paraId="39230660">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3、特色服务有一定力度，有实际价值，实用性一般的得2分；</w:t>
            </w:r>
          </w:p>
          <w:p w14:paraId="3A101BAF">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4、特色服务力度一般，实际价值有限，实用性较弱的得1分；</w:t>
            </w:r>
          </w:p>
          <w:p w14:paraId="3DB20652">
            <w:pPr>
              <w:spacing w:line="360" w:lineRule="auto"/>
              <w:jc w:val="left"/>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5、差或未提供的不得分。</w:t>
            </w:r>
          </w:p>
        </w:tc>
        <w:tc>
          <w:tcPr>
            <w:tcW w:w="967" w:type="dxa"/>
            <w:tcBorders>
              <w:top w:val="single" w:color="auto" w:sz="4" w:space="0"/>
              <w:left w:val="single" w:color="auto" w:sz="4" w:space="0"/>
              <w:bottom w:val="single" w:color="auto" w:sz="4" w:space="0"/>
              <w:right w:val="single" w:color="auto" w:sz="4" w:space="0"/>
            </w:tcBorders>
            <w:vAlign w:val="top"/>
          </w:tcPr>
          <w:p w14:paraId="4B56F781">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0-</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分</w:t>
            </w:r>
          </w:p>
        </w:tc>
      </w:tr>
      <w:tr w14:paraId="264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1BBC2F8F">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top"/>
          </w:tcPr>
          <w:p w14:paraId="16B51C7E">
            <w:pPr>
              <w:spacing w:line="360" w:lineRule="auto"/>
              <w:jc w:val="left"/>
              <w:rPr>
                <w:rFonts w:hint="eastAsia" w:asciiTheme="minorEastAsia" w:hAnsiTheme="minorEastAsia" w:eastAsiaTheme="minorEastAsia"/>
                <w:color w:val="auto"/>
                <w:sz w:val="24"/>
                <w:highlight w:val="none"/>
              </w:rPr>
            </w:pPr>
          </w:p>
          <w:p w14:paraId="0F7BB84E">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en-US"/>
              </w:rPr>
              <w:t>免费质保期</w:t>
            </w:r>
          </w:p>
        </w:tc>
        <w:tc>
          <w:tcPr>
            <w:tcW w:w="3047" w:type="pct"/>
            <w:tcBorders>
              <w:top w:val="single" w:color="auto" w:sz="4" w:space="0"/>
              <w:left w:val="single" w:color="auto" w:sz="4" w:space="0"/>
              <w:bottom w:val="single" w:color="auto" w:sz="4" w:space="0"/>
              <w:right w:val="single" w:color="auto" w:sz="4" w:space="0"/>
            </w:tcBorders>
            <w:vAlign w:val="top"/>
          </w:tcPr>
          <w:p w14:paraId="2918D8E5">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所投产品</w:t>
            </w:r>
            <w:r>
              <w:rPr>
                <w:rFonts w:hint="eastAsia" w:asciiTheme="minorEastAsia" w:hAnsiTheme="minorEastAsia" w:eastAsiaTheme="minorEastAsia"/>
                <w:color w:val="auto"/>
                <w:sz w:val="24"/>
                <w:highlight w:val="none"/>
              </w:rPr>
              <w:t>免费质保期在</w:t>
            </w:r>
            <w:r>
              <w:rPr>
                <w:rFonts w:hint="eastAsia" w:asciiTheme="minorEastAsia" w:hAnsiTheme="minorEastAsia" w:eastAsiaTheme="minorEastAsia"/>
                <w:color w:val="auto"/>
                <w:sz w:val="24"/>
                <w:highlight w:val="none"/>
                <w:lang w:eastAsia="zh-CN"/>
              </w:rPr>
              <w:t>满足</w:t>
            </w:r>
            <w:r>
              <w:rPr>
                <w:rFonts w:hint="eastAsia" w:asciiTheme="minorEastAsia" w:hAnsiTheme="minorEastAsia" w:eastAsiaTheme="minorEastAsia"/>
                <w:color w:val="auto"/>
                <w:sz w:val="24"/>
                <w:highlight w:val="none"/>
              </w:rPr>
              <w:t>招标文件采购要求的基础上</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 xml:space="preserve">每增加 1 年得 </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 xml:space="preserve"> 分（增加部分不足1 年的不得分），满分</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分。</w:t>
            </w:r>
          </w:p>
          <w:p w14:paraId="1B3A6CBE">
            <w:pPr>
              <w:spacing w:line="360" w:lineRule="auto"/>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r>
              <w:rPr>
                <w:rFonts w:hint="eastAsia" w:asciiTheme="minorEastAsia" w:hAnsiTheme="minorEastAsia" w:eastAsiaTheme="minorEastAsia"/>
                <w:b/>
                <w:bCs/>
                <w:color w:val="auto"/>
                <w:sz w:val="24"/>
                <w:highlight w:val="none"/>
              </w:rPr>
              <w:t>以开标一览表作为评审依据。</w:t>
            </w:r>
          </w:p>
        </w:tc>
        <w:tc>
          <w:tcPr>
            <w:tcW w:w="535" w:type="pct"/>
            <w:tcBorders>
              <w:top w:val="single" w:color="auto" w:sz="4" w:space="0"/>
              <w:left w:val="single" w:color="auto" w:sz="4" w:space="0"/>
              <w:bottom w:val="single" w:color="auto" w:sz="4" w:space="0"/>
              <w:right w:val="single" w:color="auto" w:sz="4" w:space="0"/>
            </w:tcBorders>
            <w:vAlign w:val="center"/>
          </w:tcPr>
          <w:p w14:paraId="7ADB3E7E">
            <w:pPr>
              <w:spacing w:line="360" w:lineRule="auto"/>
              <w:jc w:val="left"/>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0-6分</w:t>
            </w:r>
          </w:p>
        </w:tc>
      </w:tr>
      <w:tr w14:paraId="11A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vMerge w:val="continue"/>
            <w:tcBorders>
              <w:left w:val="single" w:color="auto" w:sz="4" w:space="0"/>
              <w:right w:val="single" w:color="auto" w:sz="4" w:space="0"/>
            </w:tcBorders>
            <w:vAlign w:val="center"/>
          </w:tcPr>
          <w:p w14:paraId="33EA56FA">
            <w:pPr>
              <w:spacing w:line="360" w:lineRule="auto"/>
              <w:ind w:firstLine="435"/>
              <w:jc w:val="center"/>
              <w:rPr>
                <w:rFonts w:asciiTheme="minorEastAsia" w:hAnsiTheme="minorEastAsia" w:eastAsiaTheme="minorEastAsia"/>
                <w:b/>
                <w:bCs/>
                <w:color w:val="auto"/>
                <w:sz w:val="24"/>
                <w:highlight w:val="none"/>
              </w:rPr>
            </w:pPr>
          </w:p>
        </w:tc>
        <w:tc>
          <w:tcPr>
            <w:tcW w:w="561" w:type="pct"/>
            <w:tcBorders>
              <w:top w:val="single" w:color="auto" w:sz="4" w:space="0"/>
              <w:left w:val="single" w:color="auto" w:sz="4" w:space="0"/>
              <w:bottom w:val="single" w:color="auto" w:sz="4" w:space="0"/>
              <w:right w:val="single" w:color="auto" w:sz="4" w:space="0"/>
            </w:tcBorders>
            <w:vAlign w:val="center"/>
          </w:tcPr>
          <w:p w14:paraId="01C0872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所投产品业绩</w:t>
            </w:r>
          </w:p>
        </w:tc>
        <w:tc>
          <w:tcPr>
            <w:tcW w:w="3047" w:type="pct"/>
            <w:tcBorders>
              <w:top w:val="single" w:color="auto" w:sz="4" w:space="0"/>
              <w:left w:val="single" w:color="auto" w:sz="4" w:space="0"/>
              <w:bottom w:val="single" w:color="auto" w:sz="4" w:space="0"/>
              <w:right w:val="single" w:color="auto" w:sz="4" w:space="0"/>
            </w:tcBorders>
            <w:vAlign w:val="center"/>
          </w:tcPr>
          <w:p w14:paraId="53625E0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自202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年1月1日以来（以合同签订时间为准），所投同品牌同型号产品具有医疗机构供货业绩的，每提供一个业绩得2分，最高得6分。</w:t>
            </w:r>
          </w:p>
          <w:p w14:paraId="54D04F9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注：（1）本项为所投产品业绩；</w:t>
            </w:r>
          </w:p>
          <w:p w14:paraId="1BE79BB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（2）投标文件中提供合同扫描件，如合同中无法体现签订时间、产品品牌等评审因素的，须同时提供业主单位加盖公章证明材料扫描件，否则不得分；</w:t>
            </w:r>
          </w:p>
          <w:p w14:paraId="13A5125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（3）以上业绩须为已供货（安装）完毕的业绩，投标文件中无须提供已供货（安装）完毕证明材料扫描件，投标人在“投标业绩承诺函”中备注是否供货（安装）完毕即可。</w:t>
            </w:r>
          </w:p>
        </w:tc>
        <w:tc>
          <w:tcPr>
            <w:tcW w:w="535" w:type="pct"/>
            <w:tcBorders>
              <w:top w:val="single" w:color="auto" w:sz="4" w:space="0"/>
              <w:left w:val="single" w:color="auto" w:sz="4" w:space="0"/>
              <w:bottom w:val="single" w:color="auto" w:sz="4" w:space="0"/>
              <w:right w:val="single" w:color="auto" w:sz="4" w:space="0"/>
            </w:tcBorders>
            <w:vAlign w:val="center"/>
          </w:tcPr>
          <w:p w14:paraId="6D1752F4">
            <w:pPr>
              <w:spacing w:line="360" w:lineRule="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0-6分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left w:val="single" w:color="auto" w:sz="4" w:space="0"/>
              <w:right w:val="single" w:color="auto" w:sz="4" w:space="0"/>
            </w:tcBorders>
            <w:vAlign w:val="center"/>
          </w:tcPr>
          <w:p w14:paraId="4DFF79FC">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462C62B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rPr>
              <w:t>分）</w:t>
            </w:r>
          </w:p>
        </w:tc>
        <w:tc>
          <w:tcPr>
            <w:tcW w:w="4145" w:type="pct"/>
            <w:gridSpan w:val="3"/>
            <w:tcBorders>
              <w:top w:val="single" w:color="auto" w:sz="4" w:space="0"/>
              <w:left w:val="single" w:color="auto" w:sz="4" w:space="0"/>
              <w:bottom w:val="single" w:color="auto" w:sz="4" w:space="0"/>
              <w:right w:val="single" w:color="auto" w:sz="4" w:space="0"/>
            </w:tcBorders>
            <w:vAlign w:val="center"/>
          </w:tcPr>
          <w:p w14:paraId="2C1FB1A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投标报价得分统一采用低价优先法，即满足招标文件要求且投标价格最低的投标报价为评标基准价，其价格分为满分。其他投标供应商的投标分统一按照下列公式计算：</w:t>
            </w:r>
          </w:p>
          <w:p w14:paraId="20250AD4">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投标报价得分＝（评标基准价/投标报价）× 30 ％×100</w:t>
            </w:r>
          </w:p>
          <w:p w14:paraId="6399CD59">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投标报价得分保留两位小数，小数点后第三位四舍五入。</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41BF9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2"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2"/>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cs="Times New Roman" w:asciiTheme="minorEastAsia" w:hAnsiTheme="minorEastAsia" w:eastAsiaTheme="minorEastAsia"/>
          <w:i/>
          <w:iCs/>
          <w:color w:val="auto"/>
          <w:sz w:val="24"/>
          <w:szCs w:val="24"/>
          <w:highlight w:val="none"/>
        </w:rPr>
        <w:t>（分包项目须填写完整的分包号及分包名称）</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43" w:name="_Toc22209"/>
      <w:r>
        <w:rPr>
          <w:rFonts w:hint="eastAsia" w:cs="@仿宋_GB2312" w:asciiTheme="minorEastAsia" w:hAnsiTheme="minorEastAsia" w:eastAsiaTheme="minorEastAsia"/>
          <w:b/>
          <w:color w:val="auto"/>
          <w:sz w:val="24"/>
          <w:szCs w:val="20"/>
          <w:highlight w:val="none"/>
        </w:rPr>
        <w:t>第一节 政府采购合同协议书</w:t>
      </w:r>
      <w:bookmarkEnd w:id="43"/>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文件约定的合同甲方）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乙方2（全称）：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lang w:val="en-US" w:eastAsia="zh-CN"/>
        </w:rPr>
        <w:t>3（全称）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4"/>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标的名称：</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56C9677">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关键部件</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86B9854">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p>
    <w:p w14:paraId="0033437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②涉及车辆采购，请填写是否属于新能源汽车：</w:t>
      </w:r>
    </w:p>
    <w:p w14:paraId="7F0145BD">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lang w:val="en-US" w:eastAsia="zh-CN"/>
        </w:rPr>
        <w:t xml:space="preserve"> </w:t>
      </w:r>
    </w:p>
    <w:p w14:paraId="78469241">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5E2884D3">
      <w:pPr>
        <w:pStyle w:val="62"/>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）政府采购组织形式：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政府集中采购</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 xml:space="preserve">部门集中采购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）政府采购方式：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F52D560">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none"/>
          <w:lang w:val="en-US" w:eastAsia="zh-CN"/>
        </w:rPr>
      </w:pPr>
      <w:r>
        <w:rPr>
          <w:rFonts w:hint="eastAsia" w:ascii="宋体" w:hAnsi="宋体" w:eastAsia="宋体" w:cs="宋体"/>
          <w:iCs w:val="0"/>
          <w:color w:val="auto"/>
          <w:sz w:val="24"/>
          <w:szCs w:val="24"/>
          <w:highlight w:val="none"/>
          <w:u w:val="none"/>
          <w:lang w:val="en-US" w:eastAsia="zh-CN"/>
        </w:rPr>
        <w:t>（注：在框架协议采购的第二阶段，可选择使用该合同文本）</w:t>
      </w:r>
    </w:p>
    <w:p w14:paraId="77F6B326">
      <w:pPr>
        <w:pStyle w:val="62"/>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color w:val="auto"/>
          <w:w w:val="100"/>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w w:val="100"/>
          <w:kern w:val="2"/>
          <w:sz w:val="24"/>
          <w:szCs w:val="24"/>
          <w:highlight w:val="none"/>
          <w:lang w:val="en-US" w:eastAsia="zh-CN" w:bidi="ar-SA"/>
        </w:rPr>
        <w:t>中标（成交）采购标的制造商是否为中小企业：</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 xml:space="preserve">是      </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w w:val="100"/>
          <w:sz w:val="24"/>
          <w:szCs w:val="24"/>
          <w:highlight w:val="none"/>
          <w:lang w:val="en-US" w:eastAsia="zh-CN"/>
        </w:rPr>
        <w:t xml:space="preserve">         本合同</w:t>
      </w:r>
      <w:r>
        <w:rPr>
          <w:rFonts w:hint="eastAsia" w:ascii="宋体" w:hAnsi="宋体" w:eastAsia="宋体" w:cs="宋体"/>
          <w:color w:val="auto"/>
          <w:w w:val="100"/>
          <w:sz w:val="24"/>
          <w:szCs w:val="24"/>
          <w:highlight w:val="none"/>
        </w:rPr>
        <w:t>是否</w:t>
      </w:r>
      <w:r>
        <w:rPr>
          <w:rFonts w:hint="eastAsia" w:ascii="宋体" w:hAnsi="宋体" w:eastAsia="宋体" w:cs="宋体"/>
          <w:color w:val="auto"/>
          <w:w w:val="100"/>
          <w:sz w:val="24"/>
          <w:szCs w:val="24"/>
          <w:highlight w:val="none"/>
          <w:lang w:eastAsia="zh-CN"/>
        </w:rPr>
        <w:t>为专门面向</w:t>
      </w:r>
      <w:r>
        <w:rPr>
          <w:rFonts w:hint="eastAsia" w:ascii="宋体" w:hAnsi="宋体" w:eastAsia="宋体" w:cs="宋体"/>
          <w:color w:val="auto"/>
          <w:w w:val="100"/>
          <w:sz w:val="24"/>
          <w:szCs w:val="24"/>
          <w:highlight w:val="none"/>
        </w:rPr>
        <w:t>中小企业</w:t>
      </w:r>
      <w:r>
        <w:rPr>
          <w:rFonts w:hint="eastAsia" w:ascii="宋体" w:hAnsi="宋体" w:eastAsia="宋体" w:cs="宋体"/>
          <w:color w:val="auto"/>
          <w:w w:val="100"/>
          <w:sz w:val="24"/>
          <w:szCs w:val="24"/>
          <w:highlight w:val="none"/>
          <w:lang w:eastAsia="zh-CN"/>
        </w:rPr>
        <w:t>的采</w:t>
      </w:r>
      <w:r>
        <w:rPr>
          <w:rFonts w:hint="eastAsia" w:ascii="宋体" w:hAnsi="宋体" w:eastAsia="宋体" w:cs="宋体"/>
          <w:color w:val="auto"/>
          <w:w w:val="100"/>
          <w:sz w:val="24"/>
          <w:szCs w:val="24"/>
          <w:highlight w:val="none"/>
          <w:shd w:val="clear"/>
          <w:lang w:eastAsia="zh-CN"/>
        </w:rPr>
        <w:t>购</w:t>
      </w:r>
      <w:r>
        <w:rPr>
          <w:rFonts w:hint="eastAsia" w:ascii="宋体" w:hAnsi="宋体" w:eastAsia="宋体" w:cs="宋体"/>
          <w:color w:val="auto"/>
          <w:w w:val="100"/>
          <w:sz w:val="24"/>
          <w:szCs w:val="24"/>
          <w:highlight w:val="none"/>
          <w:shd w:val="clear"/>
        </w:rPr>
        <w:t>合同</w:t>
      </w:r>
      <w:r>
        <w:rPr>
          <w:rFonts w:hint="eastAsia" w:ascii="宋体" w:hAnsi="宋体" w:eastAsia="宋体" w:cs="宋体"/>
          <w:color w:val="auto"/>
          <w:w w:val="100"/>
          <w:sz w:val="24"/>
          <w:szCs w:val="24"/>
          <w:highlight w:val="none"/>
          <w:shd w:val="clear"/>
          <w:lang w:eastAsia="zh-CN"/>
        </w:rPr>
        <w:t>（中小企业预留合同）</w:t>
      </w:r>
      <w:r>
        <w:rPr>
          <w:rFonts w:hint="eastAsia" w:ascii="宋体" w:hAnsi="宋体" w:eastAsia="宋体" w:cs="宋体"/>
          <w:color w:val="auto"/>
          <w:sz w:val="24"/>
          <w:szCs w:val="24"/>
          <w:highlight w:val="none"/>
          <w:shd w:val="clear"/>
        </w:rPr>
        <w:t>：</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若本项目不专门面向中小企业采购，是否给予小微企业评审优惠：</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中标（成交）采购标的制造商是否为残疾人福利性单位：</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中标（成交）采购标的制造商是否为监狱企业：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rPr>
        <w:t>）合同是否分包：</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分包主要内容：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（如供应商和制造商不同，请分别填写）</w:t>
      </w:r>
      <w:r>
        <w:rPr>
          <w:rFonts w:hint="eastAsia" w:ascii="宋体" w:hAnsi="宋体" w:eastAsia="宋体" w:cs="宋体"/>
          <w:color w:val="auto"/>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类型</w:t>
      </w:r>
      <w:r>
        <w:rPr>
          <w:rFonts w:hint="eastAsia" w:ascii="宋体" w:hAnsi="宋体" w:eastAsia="宋体" w:cs="宋体"/>
          <w:color w:val="auto"/>
          <w:sz w:val="24"/>
          <w:szCs w:val="24"/>
          <w:highlight w:val="none"/>
          <w:lang w:eastAsia="zh-CN"/>
        </w:rPr>
        <w:t>（如果供应商和制造商不同，只填写制造商类型）</w:t>
      </w:r>
      <w:r>
        <w:rPr>
          <w:rFonts w:hint="eastAsia" w:ascii="宋体" w:hAnsi="宋体" w:eastAsia="宋体" w:cs="宋体"/>
          <w:color w:val="auto"/>
          <w:sz w:val="24"/>
          <w:szCs w:val="24"/>
          <w:highlight w:val="none"/>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大型企业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中型企业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小微型企业</w:t>
      </w:r>
      <w:r>
        <w:rPr>
          <w:rFonts w:hint="eastAsia" w:ascii="宋体" w:hAnsi="宋体" w:eastAsia="宋体" w:cs="宋体"/>
          <w:iCs/>
          <w:color w:val="auto"/>
          <w:sz w:val="24"/>
          <w:szCs w:val="24"/>
          <w:highlight w:val="none"/>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残疾人福利性单位</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监狱</w:t>
      </w:r>
      <w:r>
        <w:rPr>
          <w:rFonts w:hint="eastAsia" w:ascii="宋体" w:hAnsi="宋体" w:eastAsia="宋体" w:cs="宋体"/>
          <w:iCs/>
          <w:color w:val="auto"/>
          <w:sz w:val="24"/>
          <w:szCs w:val="24"/>
          <w:highlight w:val="none"/>
        </w:rPr>
        <w:t>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lang w:val="en" w:eastAsia="zh-CN"/>
        </w:rPr>
        <w:t>8</w:t>
      </w:r>
      <w:r>
        <w:rPr>
          <w:rFonts w:hint="eastAsia" w:ascii="宋体" w:hAnsi="宋体" w:eastAsia="宋体" w:cs="宋体"/>
          <w:color w:val="auto"/>
          <w:sz w:val="24"/>
          <w:szCs w:val="24"/>
          <w:highlight w:val="none"/>
          <w:u w:val="none"/>
          <w:lang w:val="en-US" w:eastAsia="zh-CN"/>
        </w:rPr>
        <w:t>）中标（成交）供应商是否为外商投资企业：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4E81743">
      <w:pPr>
        <w:pStyle w:val="62"/>
        <w:pageBreakBefore w:val="0"/>
        <w:tabs>
          <w:tab w:val="left" w:pos="1340"/>
        </w:tabs>
        <w:kinsoku/>
        <w:wordWrap/>
        <w:overflowPunct/>
        <w:topLinePunct w:val="0"/>
        <w:bidi w:val="0"/>
        <w:spacing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 w:eastAsia="zh-CN"/>
        </w:rPr>
        <w:t>9</w:t>
      </w:r>
      <w:r>
        <w:rPr>
          <w:rFonts w:hint="eastAsia" w:ascii="宋体" w:hAnsi="宋体" w:eastAsia="宋体" w:cs="宋体"/>
          <w:b w:val="0"/>
          <w:bCs w:val="0"/>
          <w:color w:val="auto"/>
          <w:sz w:val="24"/>
          <w:szCs w:val="24"/>
          <w:highlight w:val="none"/>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rPr>
      </w:pPr>
      <w:r>
        <w:rPr>
          <w:rFonts w:hint="eastAsia" w:ascii="宋体" w:hAnsi="宋体" w:eastAsia="宋体" w:cs="宋体"/>
          <w:color w:val="auto"/>
          <w:sz w:val="24"/>
          <w:szCs w:val="24"/>
          <w:highlight w:val="none"/>
          <w:lang w:val="en-US" w:eastAsia="zh-CN"/>
        </w:rPr>
        <w:t xml:space="preserve">        国别：</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（1</w:t>
      </w:r>
      <w:r>
        <w:rPr>
          <w:rFonts w:hint="eastAsia" w:ascii="宋体" w:hAnsi="宋体" w:eastAsia="宋体" w:cs="宋体"/>
          <w:b w:val="0"/>
          <w:bCs w:val="0"/>
          <w:color w:val="auto"/>
          <w:sz w:val="24"/>
          <w:szCs w:val="24"/>
          <w:highlight w:val="none"/>
          <w:u w:val="none"/>
          <w:lang w:val="en" w:eastAsia="zh-CN"/>
        </w:rPr>
        <w:t>0</w:t>
      </w:r>
      <w:r>
        <w:rPr>
          <w:rFonts w:hint="eastAsia" w:ascii="宋体" w:hAnsi="宋体" w:eastAsia="宋体" w:cs="宋体"/>
          <w:b w:val="0"/>
          <w:bCs w:val="0"/>
          <w:color w:val="auto"/>
          <w:sz w:val="24"/>
          <w:szCs w:val="24"/>
          <w:highlight w:val="none"/>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，《节能产品政府采购品目清单》的底级品目名称：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，《环境标志产品政府采购品目清单》的底级品目名称：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0ECD914">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kern w:val="2"/>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kern w:val="2"/>
          <w:sz w:val="24"/>
          <w:szCs w:val="24"/>
          <w:highlight w:val="none"/>
          <w:u w:val="none"/>
          <w:lang w:val="en-US" w:eastAsia="zh-CN"/>
        </w:rPr>
        <w:t>是否涉及绿色产品：</w:t>
      </w:r>
      <w:r>
        <w:rPr>
          <w:rFonts w:hint="eastAsia" w:ascii="宋体" w:hAnsi="宋体" w:eastAsia="宋体" w:cs="宋体"/>
          <w:iCs w:val="0"/>
          <w:color w:val="auto"/>
          <w:kern w:val="2"/>
          <w:sz w:val="24"/>
          <w:szCs w:val="24"/>
          <w:highlight w:val="none"/>
          <w:u w:val="none"/>
          <w:lang w:val="en-US" w:eastAsia="zh-CN"/>
        </w:rPr>
        <w:t xml:space="preserve"> </w:t>
      </w:r>
    </w:p>
    <w:p w14:paraId="6F2799B2">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是</w:t>
      </w:r>
      <w:r>
        <w:rPr>
          <w:rFonts w:hint="eastAsia" w:ascii="宋体" w:hAnsi="宋体" w:eastAsia="宋体" w:cs="宋体"/>
          <w:iCs w:val="0"/>
          <w:color w:val="auto"/>
          <w:kern w:val="2"/>
          <w:sz w:val="24"/>
          <w:szCs w:val="24"/>
          <w:highlight w:val="none"/>
          <w:u w:val="none"/>
          <w:lang w:eastAsia="zh-CN"/>
        </w:rPr>
        <w:t>，绿色产品政府采购相关政策确定的底级品目名称：</w:t>
      </w:r>
      <w:r>
        <w:rPr>
          <w:rFonts w:hint="eastAsia" w:ascii="宋体" w:hAnsi="宋体" w:eastAsia="宋体" w:cs="宋体"/>
          <w:color w:val="auto"/>
          <w:sz w:val="24"/>
          <w:szCs w:val="24"/>
          <w:highlight w:val="none"/>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178973F8">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val="en-US" w:eastAsia="zh-CN"/>
        </w:rPr>
        <w:t>）涉及商品包装和快递包装的，是否参考</w:t>
      </w:r>
      <w:r>
        <w:rPr>
          <w:rFonts w:hint="eastAsia" w:ascii="宋体" w:hAnsi="宋体" w:eastAsia="宋体" w:cs="宋体"/>
          <w:color w:val="auto"/>
          <w:sz w:val="24"/>
          <w:szCs w:val="24"/>
          <w:highlight w:val="none"/>
        </w:rPr>
        <w:t>《商品包装政府采购需求标准（试行）》、《快递包装政府采购需求标准（试行）》</w:t>
      </w:r>
      <w:r>
        <w:rPr>
          <w:rFonts w:hint="eastAsia" w:ascii="宋体" w:hAnsi="宋体" w:eastAsia="宋体" w:cs="宋体"/>
          <w:color w:val="auto"/>
          <w:sz w:val="24"/>
          <w:szCs w:val="24"/>
          <w:highlight w:val="none"/>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 xml:space="preserve">是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不涉及</w:t>
      </w:r>
    </w:p>
    <w:p w14:paraId="4199C56E">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3"/>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p>
    <w:p w14:paraId="21431EF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5"/>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6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62"/>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3"/>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bl>
    <w:p w14:paraId="33AE4F50">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44"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政府采购合同通用条款</w:t>
      </w:r>
      <w:bookmarkEnd w:id="44"/>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政府采购合同专用条款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auto"/>
          <w:sz w:val="24"/>
          <w:szCs w:val="24"/>
          <w:highlight w:val="none"/>
        </w:rPr>
        <w:t>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以一个供应商的身份共同参加政府采购的主体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44C0B6AA">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rPr>
        <w:t>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2"/>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lang w:eastAsia="zh-CN"/>
        </w:rPr>
        <w:t>约</w:t>
      </w:r>
      <w:r>
        <w:rPr>
          <w:rFonts w:hint="eastAsia" w:ascii="宋体" w:hAnsi="宋体" w:eastAsia="宋体" w:cs="宋体"/>
          <w:color w:val="auto"/>
          <w:sz w:val="24"/>
          <w:szCs w:val="24"/>
          <w:highlight w:val="none"/>
        </w:rPr>
        <w:t>定的</w:t>
      </w:r>
      <w:r>
        <w:rPr>
          <w:rFonts w:hint="eastAsia" w:ascii="宋体" w:hAnsi="宋体" w:eastAsia="宋体" w:cs="宋体"/>
          <w:color w:val="auto"/>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2"/>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color w:val="auto"/>
          <w:sz w:val="24"/>
          <w:szCs w:val="24"/>
          <w:highlight w:val="none"/>
        </w:rPr>
        <w:t>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rPr>
        <w:t>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5"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45"/>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3"/>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rPr>
        <w:t>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8"/>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62"/>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本合同任何一方向对方发出的通知、信件、数据电文等，应当发送至本合同第一部分《政府采购合同协议书》所约定的通讯地址、联系人、联系电话或电子邮箱。</w:t>
      </w:r>
    </w:p>
    <w:p w14:paraId="26F8F1BA">
      <w:pPr>
        <w:pStyle w:val="62"/>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9"/>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6"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3"/>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政府采购合同专用条款</w:t>
      </w:r>
      <w:bookmarkEnd w:id="46"/>
    </w:p>
    <w:tbl>
      <w:tblPr>
        <w:tblStyle w:val="25"/>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62"/>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1D8A068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除不可抗力外，如果乙方没有按照本合同约定的期限、地点和方式交付货物，那么甲方可要求乙方支付违约金，违约金按每迟延交付货物一日的应交付而未交付货物价格的0.005%计算，最高限额为本合同总价的20%；迟延交付货物的违约金计算数额达到前述最高限额之日起，甲方有权在要求乙方支付违约金的同时，书面通知乙方解除本合同；</w:t>
            </w:r>
          </w:p>
          <w:p w14:paraId="6A8FBDF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除不可抗力外，如果甲方没有按照本合同约定的付款方式付款，那么乙方可要求甲方支付违约金，违约金按每迟延付款一日的应付而未付款的0.005%计算，最高限额为本合同总价的20%；迟延付款的违约金计算数额达到前述最高限额之日起，乙方有权在要求甲方支付违约金的同时，书面通知甲方解除本合同；</w:t>
            </w: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29092542">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47" w:name="_Toc22492"/>
      <w:r>
        <w:rPr>
          <w:rFonts w:hint="eastAsia" w:asciiTheme="minorEastAsia" w:hAnsiTheme="minorEastAsia" w:eastAsiaTheme="minorEastAsia"/>
          <w:b/>
          <w:color w:val="auto"/>
          <w:sz w:val="28"/>
          <w:highlight w:val="none"/>
        </w:rPr>
        <w:t>第六章  投标文件格式</w:t>
      </w:r>
      <w:bookmarkEnd w:id="47"/>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48" w:name="_Toc651"/>
      <w:r>
        <w:rPr>
          <w:rFonts w:hint="eastAsia" w:asciiTheme="minorEastAsia" w:hAnsiTheme="minorEastAsia" w:eastAsiaTheme="minorEastAsia"/>
          <w:b/>
          <w:color w:val="auto"/>
          <w:sz w:val="72"/>
          <w:highlight w:val="none"/>
        </w:rPr>
        <w:t>投</w:t>
      </w:r>
      <w:bookmarkEnd w:id="48"/>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49" w:name="_Toc6148"/>
      <w:r>
        <w:rPr>
          <w:rFonts w:hint="eastAsia" w:asciiTheme="minorEastAsia" w:hAnsiTheme="minorEastAsia" w:eastAsiaTheme="minorEastAsia"/>
          <w:b/>
          <w:color w:val="auto"/>
          <w:sz w:val="72"/>
          <w:highlight w:val="none"/>
        </w:rPr>
        <w:t>标</w:t>
      </w:r>
      <w:bookmarkEnd w:id="49"/>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0" w:name="_Toc1338"/>
      <w:r>
        <w:rPr>
          <w:rFonts w:hint="eastAsia" w:asciiTheme="minorEastAsia" w:hAnsiTheme="minorEastAsia" w:eastAsiaTheme="minorEastAsia"/>
          <w:b/>
          <w:color w:val="auto"/>
          <w:sz w:val="72"/>
          <w:highlight w:val="none"/>
        </w:rPr>
        <w:t>文</w:t>
      </w:r>
      <w:bookmarkEnd w:id="50"/>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1" w:name="_Toc10796"/>
      <w:r>
        <w:rPr>
          <w:rFonts w:hint="eastAsia" w:asciiTheme="minorEastAsia" w:hAnsiTheme="minorEastAsia" w:eastAsiaTheme="minorEastAsia"/>
          <w:b/>
          <w:color w:val="auto"/>
          <w:sz w:val="72"/>
          <w:highlight w:val="none"/>
        </w:rPr>
        <w:t>件</w:t>
      </w:r>
      <w:bookmarkEnd w:id="51"/>
    </w:p>
    <w:p w14:paraId="100863D2">
      <w:pPr>
        <w:spacing w:after="156" w:afterLines="50"/>
        <w:jc w:val="center"/>
        <w:rPr>
          <w:rFonts w:asciiTheme="minorEastAsia" w:hAnsiTheme="minorEastAsia" w:eastAsiaTheme="minorEastAsia"/>
          <w:b/>
          <w:color w:val="auto"/>
          <w:sz w:val="72"/>
          <w:highlight w:val="none"/>
        </w:rPr>
      </w:pPr>
    </w:p>
    <w:p w14:paraId="0179187E">
      <w:pPr>
        <w:pStyle w:val="8"/>
        <w:keepNext w:val="0"/>
        <w:keepLines w:val="0"/>
        <w:pageBreakBefore w:val="0"/>
        <w:widowControl w:val="0"/>
        <w:kinsoku/>
        <w:wordWrap/>
        <w:overflowPunct/>
        <w:topLinePunct w:val="0"/>
        <w:autoSpaceDE/>
        <w:autoSpaceDN/>
        <w:bidi w:val="0"/>
        <w:adjustRightInd/>
        <w:snapToGrid/>
        <w:spacing w:after="0" w:line="360" w:lineRule="auto"/>
        <w:ind w:firstLine="643" w:firstLineChars="200"/>
        <w:jc w:val="center"/>
        <w:textAlignment w:val="auto"/>
        <w:outlineLvl w:val="1"/>
        <w:rPr>
          <w:rFonts w:hint="default" w:ascii="宋体" w:hAnsi="宋体" w:eastAsia="宋体"/>
          <w:color w:val="auto"/>
          <w:sz w:val="24"/>
          <w:szCs w:val="18"/>
          <w:highlight w:val="none"/>
          <w:lang w:val="en-US" w:eastAsia="zh-CN"/>
        </w:rPr>
      </w:pPr>
      <w:bookmarkStart w:id="52" w:name="_Toc32506"/>
      <w:bookmarkStart w:id="53" w:name="_Toc21832"/>
      <w:r>
        <w:rPr>
          <w:rFonts w:hint="eastAsia" w:asciiTheme="minorEastAsia" w:hAnsiTheme="minorEastAsia" w:eastAsiaTheme="minorEastAsia"/>
          <w:b/>
          <w:color w:val="auto"/>
          <w:sz w:val="32"/>
          <w:szCs w:val="32"/>
          <w:highlight w:val="none"/>
        </w:rPr>
        <w:t>【第</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u w:val="single"/>
          <w:lang w:val="en-US" w:eastAsia="zh-CN"/>
        </w:rPr>
        <w:t>/</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rPr>
        <w:t>包】</w:t>
      </w:r>
      <w:bookmarkEnd w:id="52"/>
      <w:bookmarkEnd w:id="53"/>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4" w:name="_Toc8037"/>
      <w:bookmarkStart w:id="55"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4"/>
      <w:bookmarkEnd w:id="55"/>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56" w:name="_Toc5555"/>
      <w:bookmarkStart w:id="57" w:name="_Toc28960"/>
      <w:r>
        <w:rPr>
          <w:rFonts w:hint="eastAsia" w:asciiTheme="minorEastAsia" w:hAnsiTheme="minorEastAsia" w:eastAsiaTheme="minorEastAsia"/>
          <w:b/>
          <w:color w:val="auto"/>
          <w:sz w:val="24"/>
          <w:highlight w:val="none"/>
        </w:rPr>
        <w:t>一、开标一览表</w:t>
      </w:r>
      <w:bookmarkEnd w:id="56"/>
      <w:bookmarkEnd w:id="57"/>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58" w:name="_Toc6441"/>
      <w:bookmarkStart w:id="59" w:name="_Toc18010"/>
      <w:r>
        <w:rPr>
          <w:rFonts w:hint="eastAsia" w:asciiTheme="minorEastAsia" w:hAnsiTheme="minorEastAsia" w:eastAsiaTheme="minorEastAsia"/>
          <w:b/>
          <w:color w:val="auto"/>
          <w:sz w:val="24"/>
          <w:highlight w:val="none"/>
        </w:rPr>
        <w:t>二、投标函</w:t>
      </w:r>
      <w:bookmarkEnd w:id="58"/>
      <w:bookmarkEnd w:id="59"/>
    </w:p>
    <w:p w14:paraId="5A91387F">
      <w:pPr>
        <w:pStyle w:val="13"/>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0" w:name="_Toc1328"/>
      <w:r>
        <w:rPr>
          <w:rFonts w:hint="eastAsia" w:asciiTheme="minorEastAsia" w:hAnsiTheme="minorEastAsia" w:eastAsiaTheme="minorEastAsia"/>
          <w:b/>
          <w:color w:val="auto"/>
          <w:sz w:val="24"/>
          <w:highlight w:val="none"/>
          <w:lang w:val="en-US" w:eastAsia="zh-CN"/>
        </w:rPr>
        <w:t>三．投标人资格声明书</w:t>
      </w:r>
      <w:bookmarkEnd w:id="60"/>
      <w:r>
        <w:rPr>
          <w:rFonts w:hint="eastAsia" w:asciiTheme="minorEastAsia" w:hAnsiTheme="minorEastAsia" w:eastAsiaTheme="minorEastAsia"/>
          <w:b/>
          <w:color w:val="auto"/>
          <w:sz w:val="24"/>
          <w:highlight w:val="none"/>
          <w:lang w:val="en-US" w:eastAsia="zh-CN"/>
        </w:rPr>
        <w:t xml:space="preserve"> </w:t>
      </w:r>
    </w:p>
    <w:p w14:paraId="71C42E2A">
      <w:pPr>
        <w:pStyle w:val="13"/>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1"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2" w:name="_Toc16960"/>
      <w:r>
        <w:rPr>
          <w:rFonts w:hint="eastAsia" w:asciiTheme="minorEastAsia" w:hAnsiTheme="minorEastAsia" w:eastAsiaTheme="minorEastAsia"/>
          <w:b/>
          <w:color w:val="auto"/>
          <w:sz w:val="24"/>
          <w:highlight w:val="none"/>
        </w:rPr>
        <w:t>四、授权书</w:t>
      </w:r>
      <w:bookmarkEnd w:id="61"/>
      <w:bookmarkEnd w:id="62"/>
    </w:p>
    <w:p w14:paraId="08E8CC0E">
      <w:pPr>
        <w:pStyle w:val="12"/>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3" w:name="_Toc6796"/>
      <w:bookmarkStart w:id="64" w:name="_Toc31991"/>
      <w:r>
        <w:rPr>
          <w:rFonts w:hint="eastAsia" w:asciiTheme="minorEastAsia" w:hAnsiTheme="minorEastAsia" w:eastAsiaTheme="minorEastAsia"/>
          <w:b/>
          <w:color w:val="auto"/>
          <w:sz w:val="24"/>
          <w:highlight w:val="none"/>
        </w:rPr>
        <w:t>五、投标分项报价表</w:t>
      </w:r>
      <w:bookmarkEnd w:id="63"/>
      <w:bookmarkEnd w:id="64"/>
    </w:p>
    <w:p w14:paraId="7BFA8A4B">
      <w:pPr>
        <w:pStyle w:val="43"/>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4C7090A7">
      <w:pPr>
        <w:pStyle w:val="43"/>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7C354805">
      <w:pPr>
        <w:pStyle w:val="43"/>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r>
        <w:rPr>
          <w:rFonts w:hint="eastAsia" w:ascii="宋体" w:hAnsi="宋体"/>
          <w:b/>
          <w:bCs/>
          <w:color w:val="auto"/>
          <w:highlight w:val="none"/>
          <w:lang w:val="en-US" w:eastAsia="zh-CN"/>
        </w:rPr>
        <w:t>(本项目不适用）</w:t>
      </w:r>
    </w:p>
    <w:tbl>
      <w:tblPr>
        <w:tblStyle w:val="26"/>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1A648664">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0903AE88">
      <w:pPr>
        <w:rPr>
          <w:rFonts w:hint="eastAsia"/>
          <w:color w:val="auto"/>
          <w:highlight w:val="none"/>
        </w:rPr>
      </w:pPr>
      <w:r>
        <w:rPr>
          <w:rFonts w:hint="eastAsia" w:ascii="宋体" w:hAnsi="宋体" w:eastAsia="宋体"/>
          <w:color w:val="auto"/>
          <w:sz w:val="21"/>
          <w:szCs w:val="21"/>
          <w:highlight w:val="none"/>
        </w:rPr>
        <w:br w:type="page"/>
      </w:r>
    </w:p>
    <w:p w14:paraId="57869383">
      <w:pPr>
        <w:pStyle w:val="6"/>
        <w:bidi w:val="0"/>
        <w:ind w:left="0" w:leftChars="0" w:firstLine="0" w:firstLineChars="0"/>
        <w:rPr>
          <w:rFonts w:hint="eastAsia"/>
          <w:b/>
          <w:bCs/>
          <w:color w:val="auto"/>
          <w:highlight w:val="none"/>
        </w:rPr>
      </w:pPr>
      <w:r>
        <w:rPr>
          <w:rFonts w:hint="eastAsia"/>
          <w:b/>
          <w:bCs/>
          <w:color w:val="auto"/>
          <w:highlight w:val="none"/>
        </w:rPr>
        <w:t>附件：</w:t>
      </w:r>
    </w:p>
    <w:p w14:paraId="2E774BED">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（一）所需易损易耗件均为原厂配置，价格供参考（此报价不计入商务报价分计算）：</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2580"/>
        <w:gridCol w:w="2723"/>
      </w:tblGrid>
      <w:tr w14:paraId="3381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 w:hRule="atLeast"/>
          <w:jc w:val="center"/>
        </w:trPr>
        <w:tc>
          <w:tcPr>
            <w:tcW w:w="1887" w:type="pct"/>
            <w:noWrap w:val="0"/>
            <w:vAlign w:val="center"/>
          </w:tcPr>
          <w:p w14:paraId="41D0B7C9">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名称</w:t>
            </w:r>
          </w:p>
        </w:tc>
        <w:tc>
          <w:tcPr>
            <w:tcW w:w="1514" w:type="pct"/>
            <w:noWrap w:val="0"/>
            <w:vAlign w:val="center"/>
          </w:tcPr>
          <w:p w14:paraId="5E5A5378">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规格型号</w:t>
            </w:r>
          </w:p>
        </w:tc>
        <w:tc>
          <w:tcPr>
            <w:tcW w:w="1598" w:type="pct"/>
            <w:noWrap w:val="0"/>
            <w:vAlign w:val="center"/>
          </w:tcPr>
          <w:p w14:paraId="0E8B20AA">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单价</w:t>
            </w:r>
          </w:p>
        </w:tc>
      </w:tr>
      <w:tr w14:paraId="110A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126F40D9">
            <w:pPr>
              <w:jc w:val="both"/>
              <w:rPr>
                <w:rFonts w:hint="eastAsia" w:ascii="宋体" w:hAnsi="宋体" w:eastAsia="宋体" w:cs="宋体"/>
                <w:b/>
                <w:bCs/>
                <w:color w:val="auto"/>
                <w:kern w:val="0"/>
                <w:sz w:val="24"/>
                <w:szCs w:val="24"/>
                <w:highlight w:val="none"/>
                <w:lang w:val="en-US" w:eastAsia="zh-CN" w:bidi="ar-SA"/>
              </w:rPr>
            </w:pPr>
          </w:p>
        </w:tc>
        <w:tc>
          <w:tcPr>
            <w:tcW w:w="1514" w:type="pct"/>
            <w:noWrap w:val="0"/>
            <w:vAlign w:val="center"/>
          </w:tcPr>
          <w:p w14:paraId="53297BCF">
            <w:pPr>
              <w:jc w:val="both"/>
              <w:rPr>
                <w:rFonts w:hint="eastAsia" w:ascii="宋体" w:hAnsi="宋体" w:eastAsia="宋体" w:cs="宋体"/>
                <w:b/>
                <w:bCs/>
                <w:color w:val="auto"/>
                <w:kern w:val="0"/>
                <w:sz w:val="24"/>
                <w:szCs w:val="24"/>
                <w:highlight w:val="none"/>
                <w:lang w:val="en-US" w:eastAsia="zh-CN" w:bidi="ar-SA"/>
              </w:rPr>
            </w:pPr>
          </w:p>
        </w:tc>
        <w:tc>
          <w:tcPr>
            <w:tcW w:w="1598" w:type="pct"/>
            <w:noWrap w:val="0"/>
            <w:vAlign w:val="center"/>
          </w:tcPr>
          <w:p w14:paraId="01B56054">
            <w:pPr>
              <w:jc w:val="both"/>
              <w:rPr>
                <w:rFonts w:hint="eastAsia" w:ascii="宋体" w:hAnsi="宋体" w:eastAsia="宋体" w:cs="宋体"/>
                <w:b/>
                <w:bCs/>
                <w:color w:val="auto"/>
                <w:kern w:val="0"/>
                <w:sz w:val="24"/>
                <w:szCs w:val="24"/>
                <w:highlight w:val="none"/>
                <w:lang w:val="en-US" w:eastAsia="zh-CN" w:bidi="ar-SA"/>
              </w:rPr>
            </w:pPr>
          </w:p>
        </w:tc>
      </w:tr>
      <w:tr w14:paraId="6FBB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4947FF66">
            <w:pPr>
              <w:jc w:val="both"/>
              <w:rPr>
                <w:rFonts w:hint="eastAsia" w:ascii="宋体" w:hAnsi="宋体" w:eastAsia="宋体" w:cs="宋体"/>
                <w:b/>
                <w:bCs/>
                <w:color w:val="auto"/>
                <w:kern w:val="0"/>
                <w:sz w:val="24"/>
                <w:szCs w:val="24"/>
                <w:highlight w:val="none"/>
                <w:lang w:val="en-US" w:eastAsia="zh-CN" w:bidi="ar-SA"/>
              </w:rPr>
            </w:pPr>
          </w:p>
        </w:tc>
        <w:tc>
          <w:tcPr>
            <w:tcW w:w="1514" w:type="pct"/>
            <w:noWrap w:val="0"/>
            <w:vAlign w:val="center"/>
          </w:tcPr>
          <w:p w14:paraId="3EDD20AF">
            <w:pPr>
              <w:jc w:val="both"/>
              <w:rPr>
                <w:rFonts w:hint="eastAsia" w:ascii="宋体" w:hAnsi="宋体" w:eastAsia="宋体" w:cs="宋体"/>
                <w:b/>
                <w:bCs/>
                <w:color w:val="auto"/>
                <w:kern w:val="0"/>
                <w:sz w:val="24"/>
                <w:szCs w:val="24"/>
                <w:highlight w:val="none"/>
                <w:lang w:val="en-US" w:eastAsia="zh-CN" w:bidi="ar-SA"/>
              </w:rPr>
            </w:pPr>
          </w:p>
        </w:tc>
        <w:tc>
          <w:tcPr>
            <w:tcW w:w="1598" w:type="pct"/>
            <w:noWrap w:val="0"/>
            <w:vAlign w:val="center"/>
          </w:tcPr>
          <w:p w14:paraId="365B3578">
            <w:pPr>
              <w:jc w:val="both"/>
              <w:rPr>
                <w:rFonts w:hint="eastAsia" w:ascii="宋体" w:hAnsi="宋体" w:eastAsia="宋体" w:cs="宋体"/>
                <w:b/>
                <w:bCs/>
                <w:color w:val="auto"/>
                <w:kern w:val="0"/>
                <w:sz w:val="24"/>
                <w:szCs w:val="24"/>
                <w:highlight w:val="none"/>
                <w:lang w:val="en-US" w:eastAsia="zh-CN" w:bidi="ar-SA"/>
              </w:rPr>
            </w:pPr>
          </w:p>
        </w:tc>
      </w:tr>
      <w:tr w14:paraId="18F6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10BDB959">
            <w:pPr>
              <w:jc w:val="both"/>
              <w:rPr>
                <w:rFonts w:hint="eastAsia" w:ascii="宋体" w:hAnsi="宋体" w:eastAsia="宋体" w:cs="宋体"/>
                <w:b/>
                <w:bCs/>
                <w:color w:val="auto"/>
                <w:kern w:val="0"/>
                <w:sz w:val="24"/>
                <w:szCs w:val="24"/>
                <w:highlight w:val="none"/>
                <w:lang w:val="en-US" w:eastAsia="zh-CN" w:bidi="ar-SA"/>
              </w:rPr>
            </w:pPr>
          </w:p>
        </w:tc>
        <w:tc>
          <w:tcPr>
            <w:tcW w:w="1514" w:type="pct"/>
            <w:noWrap w:val="0"/>
            <w:vAlign w:val="center"/>
          </w:tcPr>
          <w:p w14:paraId="1588656B">
            <w:pPr>
              <w:jc w:val="both"/>
              <w:rPr>
                <w:rFonts w:hint="eastAsia" w:ascii="宋体" w:hAnsi="宋体" w:eastAsia="宋体" w:cs="宋体"/>
                <w:b/>
                <w:bCs/>
                <w:color w:val="auto"/>
                <w:kern w:val="0"/>
                <w:sz w:val="24"/>
                <w:szCs w:val="24"/>
                <w:highlight w:val="none"/>
                <w:lang w:val="en-US" w:eastAsia="zh-CN" w:bidi="ar-SA"/>
              </w:rPr>
            </w:pPr>
          </w:p>
        </w:tc>
        <w:tc>
          <w:tcPr>
            <w:tcW w:w="1598" w:type="pct"/>
            <w:noWrap w:val="0"/>
            <w:vAlign w:val="center"/>
          </w:tcPr>
          <w:p w14:paraId="1E35E316">
            <w:pPr>
              <w:jc w:val="both"/>
              <w:rPr>
                <w:rFonts w:hint="eastAsia" w:ascii="宋体" w:hAnsi="宋体" w:eastAsia="宋体" w:cs="宋体"/>
                <w:b/>
                <w:bCs/>
                <w:color w:val="auto"/>
                <w:kern w:val="0"/>
                <w:sz w:val="24"/>
                <w:szCs w:val="24"/>
                <w:highlight w:val="none"/>
                <w:lang w:val="en-US" w:eastAsia="zh-CN" w:bidi="ar-SA"/>
              </w:rPr>
            </w:pPr>
          </w:p>
        </w:tc>
      </w:tr>
      <w:tr w14:paraId="0C3F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887" w:type="pct"/>
            <w:noWrap w:val="0"/>
            <w:vAlign w:val="center"/>
          </w:tcPr>
          <w:p w14:paraId="0288F269">
            <w:pPr>
              <w:jc w:val="both"/>
              <w:rPr>
                <w:rFonts w:hint="eastAsia" w:ascii="宋体" w:hAnsi="宋体" w:eastAsia="宋体" w:cs="宋体"/>
                <w:b/>
                <w:bCs/>
                <w:color w:val="auto"/>
                <w:kern w:val="0"/>
                <w:sz w:val="24"/>
                <w:szCs w:val="24"/>
                <w:highlight w:val="none"/>
                <w:lang w:val="en-US" w:eastAsia="zh-CN" w:bidi="ar-SA"/>
              </w:rPr>
            </w:pPr>
          </w:p>
        </w:tc>
        <w:tc>
          <w:tcPr>
            <w:tcW w:w="1514" w:type="pct"/>
            <w:noWrap w:val="0"/>
            <w:vAlign w:val="center"/>
          </w:tcPr>
          <w:p w14:paraId="4BBD2E5F">
            <w:pPr>
              <w:jc w:val="both"/>
              <w:rPr>
                <w:rFonts w:hint="eastAsia" w:ascii="宋体" w:hAnsi="宋体" w:eastAsia="宋体" w:cs="宋体"/>
                <w:b/>
                <w:bCs/>
                <w:color w:val="auto"/>
                <w:kern w:val="0"/>
                <w:sz w:val="24"/>
                <w:szCs w:val="24"/>
                <w:highlight w:val="none"/>
                <w:lang w:val="en-US" w:eastAsia="zh-CN" w:bidi="ar-SA"/>
              </w:rPr>
            </w:pPr>
          </w:p>
        </w:tc>
        <w:tc>
          <w:tcPr>
            <w:tcW w:w="1598" w:type="pct"/>
            <w:noWrap w:val="0"/>
            <w:vAlign w:val="center"/>
          </w:tcPr>
          <w:p w14:paraId="36919782">
            <w:pPr>
              <w:jc w:val="both"/>
              <w:rPr>
                <w:rFonts w:hint="eastAsia" w:ascii="宋体" w:hAnsi="宋体" w:eastAsia="宋体" w:cs="宋体"/>
                <w:b/>
                <w:bCs/>
                <w:color w:val="auto"/>
                <w:kern w:val="0"/>
                <w:sz w:val="24"/>
                <w:szCs w:val="24"/>
                <w:highlight w:val="none"/>
                <w:lang w:val="en-US" w:eastAsia="zh-CN" w:bidi="ar-SA"/>
              </w:rPr>
            </w:pPr>
          </w:p>
        </w:tc>
      </w:tr>
    </w:tbl>
    <w:p w14:paraId="69E9861E">
      <w:pPr>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（投标方根据各自产品特性，可对上述表格进行调整。不在表格内的配件由投标方已包含在投标报价中，并在保修范围内。）</w:t>
      </w:r>
    </w:p>
    <w:p w14:paraId="18453FCA">
      <w:pPr>
        <w:jc w:val="both"/>
        <w:rPr>
          <w:rFonts w:hint="eastAsia" w:ascii="宋体" w:hAnsi="宋体" w:eastAsia="宋体" w:cs="宋体"/>
          <w:b/>
          <w:bCs/>
          <w:color w:val="auto"/>
          <w:kern w:val="0"/>
          <w:sz w:val="24"/>
          <w:szCs w:val="24"/>
          <w:highlight w:val="none"/>
          <w:lang w:val="en-US" w:eastAsia="zh-CN" w:bidi="ar-SA"/>
        </w:rPr>
      </w:pPr>
    </w:p>
    <w:p w14:paraId="57BB41C0">
      <w:pPr>
        <w:jc w:val="both"/>
        <w:rPr>
          <w:rFonts w:hint="eastAsia" w:ascii="宋体" w:hAnsi="宋体" w:eastAsia="宋体" w:cs="宋体"/>
          <w:b/>
          <w:bCs/>
          <w:color w:val="auto"/>
          <w:kern w:val="0"/>
          <w:sz w:val="24"/>
          <w:szCs w:val="24"/>
          <w:highlight w:val="none"/>
          <w:lang w:val="en-US" w:eastAsia="zh-CN" w:bidi="ar-SA"/>
        </w:rPr>
      </w:pPr>
    </w:p>
    <w:p w14:paraId="6C2F999C">
      <w:pPr>
        <w:jc w:val="both"/>
        <w:rPr>
          <w:rFonts w:hint="eastAsia" w:ascii="宋体" w:hAnsi="宋体" w:eastAsia="宋体" w:cs="宋体"/>
          <w:b/>
          <w:bCs/>
          <w:color w:val="auto"/>
          <w:kern w:val="0"/>
          <w:sz w:val="24"/>
          <w:szCs w:val="24"/>
          <w:highlight w:val="none"/>
          <w:lang w:val="en-US" w:eastAsia="zh-CN" w:bidi="ar-SA"/>
        </w:rPr>
      </w:pPr>
    </w:p>
    <w:p w14:paraId="2BEC2742">
      <w:pPr>
        <w:jc w:val="both"/>
        <w:rPr>
          <w:rFonts w:hint="eastAsia" w:ascii="宋体" w:hAnsi="宋体" w:eastAsia="宋体" w:cs="宋体"/>
          <w:b/>
          <w:bCs/>
          <w:color w:val="auto"/>
          <w:kern w:val="0"/>
          <w:sz w:val="24"/>
          <w:szCs w:val="24"/>
          <w:highlight w:val="none"/>
          <w:lang w:val="en-US" w:eastAsia="zh-CN" w:bidi="ar-SA"/>
        </w:rPr>
      </w:pPr>
    </w:p>
    <w:p w14:paraId="77BF4873">
      <w:pPr>
        <w:jc w:val="both"/>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（二）提供详细的产品配置清单。</w:t>
      </w:r>
      <w:r>
        <w:rPr>
          <w:rFonts w:hint="eastAsia" w:ascii="宋体" w:hAnsi="宋体" w:eastAsia="宋体" w:cs="宋体"/>
          <w:b/>
          <w:bCs/>
          <w:color w:val="auto"/>
          <w:kern w:val="0"/>
          <w:sz w:val="24"/>
          <w:szCs w:val="24"/>
          <w:highlight w:val="none"/>
          <w:lang w:val="en-US" w:eastAsia="zh-CN"/>
        </w:rPr>
        <w:t>（格式自拟）</w:t>
      </w:r>
    </w:p>
    <w:p w14:paraId="045DD177">
      <w:pPr>
        <w:pStyle w:val="6"/>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（各投标方根据各自产品特性，自行添加相关表格）</w:t>
      </w:r>
    </w:p>
    <w:p w14:paraId="1AC43896">
      <w:pPr>
        <w:pStyle w:val="6"/>
        <w:bidi w:val="0"/>
        <w:ind w:left="0" w:leftChars="0" w:firstLine="0" w:firstLineChars="0"/>
        <w:jc w:val="center"/>
        <w:rPr>
          <w:rFonts w:hint="eastAsia"/>
          <w:b/>
          <w:bCs/>
          <w:color w:val="auto"/>
          <w:highlight w:val="none"/>
        </w:rPr>
      </w:pPr>
    </w:p>
    <w:p w14:paraId="3FA72674">
      <w:pPr>
        <w:pStyle w:val="6"/>
        <w:bidi w:val="0"/>
        <w:ind w:left="0" w:leftChars="0" w:firstLine="0" w:firstLineChars="0"/>
        <w:jc w:val="center"/>
        <w:rPr>
          <w:rFonts w:hint="eastAsia"/>
          <w:b/>
          <w:bCs/>
          <w:color w:val="auto"/>
          <w:highlight w:val="none"/>
        </w:rPr>
      </w:pPr>
    </w:p>
    <w:p w14:paraId="3D16960C">
      <w:pPr>
        <w:pStyle w:val="6"/>
        <w:bidi w:val="0"/>
        <w:ind w:left="0" w:leftChars="0" w:firstLine="0" w:firstLineChars="0"/>
        <w:jc w:val="center"/>
        <w:rPr>
          <w:rFonts w:hint="eastAsia"/>
          <w:b/>
          <w:bCs/>
          <w:color w:val="auto"/>
          <w:highlight w:val="none"/>
        </w:rPr>
      </w:pPr>
    </w:p>
    <w:p w14:paraId="0EB85423">
      <w:pPr>
        <w:pStyle w:val="6"/>
        <w:bidi w:val="0"/>
        <w:ind w:left="0" w:leftChars="0" w:firstLine="0" w:firstLineChars="0"/>
        <w:jc w:val="center"/>
        <w:rPr>
          <w:rFonts w:hint="eastAsia"/>
          <w:b/>
          <w:bCs/>
          <w:color w:val="auto"/>
          <w:highlight w:val="none"/>
        </w:rPr>
      </w:pPr>
    </w:p>
    <w:p w14:paraId="7CBC64B4">
      <w:pPr>
        <w:spacing w:line="360" w:lineRule="auto"/>
        <w:ind w:firstLine="4800" w:firstLineChars="2000"/>
        <w:jc w:val="right"/>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p>
    <w:p w14:paraId="7EF579D1">
      <w:pPr>
        <w:widowControl/>
        <w:jc w:val="right"/>
        <w:rPr>
          <w:rFonts w:hint="eastAsia"/>
          <w:b/>
          <w:bCs/>
          <w:color w:val="auto"/>
          <w:highlight w:val="none"/>
        </w:rPr>
      </w:pPr>
      <w:r>
        <w:rPr>
          <w:rFonts w:hint="eastAsia" w:ascii="宋体" w:hAnsi="宋体" w:eastAsia="宋体"/>
          <w:color w:val="auto"/>
          <w:sz w:val="24"/>
          <w:highlight w:val="none"/>
        </w:rPr>
        <w:t xml:space="preserve">                                        日          期：</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5" w:name="_Toc11940"/>
      <w:bookmarkStart w:id="66" w:name="_Toc20329"/>
      <w:r>
        <w:rPr>
          <w:rFonts w:hint="eastAsia" w:asciiTheme="minorEastAsia" w:hAnsiTheme="minorEastAsia" w:eastAsiaTheme="minorEastAsia"/>
          <w:b/>
          <w:color w:val="auto"/>
          <w:sz w:val="24"/>
          <w:highlight w:val="none"/>
        </w:rPr>
        <w:t>六、投标响应表</w:t>
      </w:r>
      <w:bookmarkEnd w:id="65"/>
      <w:bookmarkEnd w:id="66"/>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43"/>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43"/>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43"/>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71A2D7C">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2480EA5E">
      <w:pPr>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供货安装（调试）方案</w:t>
      </w:r>
    </w:p>
    <w:p w14:paraId="77ED3065">
      <w:pPr>
        <w:spacing w:line="360" w:lineRule="auto"/>
        <w:jc w:val="center"/>
        <w:outlineLvl w:val="1"/>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(投标人可自行制作格式)</w:t>
      </w:r>
    </w:p>
    <w:p w14:paraId="7AD9FA10">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17DA2D5">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八、售后服务与维保方案</w:t>
      </w:r>
    </w:p>
    <w:p w14:paraId="44D1FC50">
      <w:pPr>
        <w:pStyle w:val="6"/>
        <w:bidi w:val="0"/>
        <w:jc w:val="center"/>
        <w:rPr>
          <w:rFonts w:hint="eastAsia"/>
          <w:color w:val="auto"/>
          <w:highlight w:val="none"/>
          <w:lang w:val="en-US" w:eastAsia="zh-CN"/>
        </w:rPr>
      </w:pPr>
      <w:r>
        <w:rPr>
          <w:rFonts w:hint="eastAsia"/>
          <w:color w:val="auto"/>
          <w:highlight w:val="none"/>
          <w:lang w:val="en-US" w:eastAsia="zh-CN"/>
        </w:rPr>
        <w:t>(投标人可自行制作格式)</w:t>
      </w:r>
    </w:p>
    <w:p w14:paraId="7C0B9BAE">
      <w:pPr>
        <w:rPr>
          <w:rFonts w:hint="eastAsia" w:asciiTheme="minorEastAsia" w:hAnsiTheme="minorEastAsia" w:eastAsiaTheme="minorEastAsia"/>
          <w:b/>
          <w:color w:val="auto"/>
          <w:sz w:val="24"/>
          <w:highlight w:val="none"/>
          <w:lang w:val="en-US" w:eastAsia="zh-CN"/>
        </w:rPr>
      </w:pPr>
      <w:r>
        <w:rPr>
          <w:rFonts w:hint="eastAsia"/>
          <w:color w:val="auto"/>
          <w:highlight w:val="none"/>
          <w:lang w:val="en-US" w:eastAsia="zh-CN"/>
        </w:rPr>
        <w:br w:type="page"/>
      </w:r>
    </w:p>
    <w:p w14:paraId="34CC38EA">
      <w:pPr>
        <w:spacing w:line="360" w:lineRule="auto"/>
        <w:jc w:val="center"/>
        <w:outlineLvl w:val="1"/>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投标业绩承诺函</w:t>
      </w:r>
    </w:p>
    <w:p w14:paraId="2DA8BB3D">
      <w:pPr>
        <w:pStyle w:val="6"/>
        <w:bidi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                     （招标人）</w:t>
      </w:r>
    </w:p>
    <w:p w14:paraId="5B8ADBAE">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在参加本次项目投标中，我单位承诺下表中的业绩均已供货完成：</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3435"/>
        <w:gridCol w:w="1661"/>
        <w:gridCol w:w="1374"/>
        <w:gridCol w:w="972"/>
      </w:tblGrid>
      <w:tr w14:paraId="4A3D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noWrap w:val="0"/>
            <w:vAlign w:val="center"/>
          </w:tcPr>
          <w:p w14:paraId="5845D395">
            <w:pPr>
              <w:pStyle w:val="6"/>
              <w:bidi w:val="0"/>
              <w:spacing w:line="360" w:lineRule="auto"/>
              <w:ind w:left="0" w:leftChars="0" w:firstLine="0" w:firstLine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3755" w:type="dxa"/>
            <w:noWrap w:val="0"/>
            <w:vAlign w:val="center"/>
          </w:tcPr>
          <w:p w14:paraId="5147F0FA">
            <w:pPr>
              <w:pStyle w:val="6"/>
              <w:bidi w:val="0"/>
              <w:spacing w:line="360" w:lineRule="auto"/>
              <w:ind w:left="0" w:leftChars="0" w:firstLine="0" w:firstLine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项目名称</w:t>
            </w:r>
          </w:p>
        </w:tc>
        <w:tc>
          <w:tcPr>
            <w:tcW w:w="1745" w:type="dxa"/>
            <w:noWrap w:val="0"/>
            <w:vAlign w:val="center"/>
          </w:tcPr>
          <w:p w14:paraId="3488393B">
            <w:pPr>
              <w:pStyle w:val="6"/>
              <w:bidi w:val="0"/>
              <w:spacing w:line="360" w:lineRule="auto"/>
              <w:ind w:left="0" w:leftChars="0" w:firstLine="0" w:firstLine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合同签订时间</w:t>
            </w:r>
          </w:p>
        </w:tc>
        <w:tc>
          <w:tcPr>
            <w:tcW w:w="1473" w:type="dxa"/>
            <w:noWrap w:val="0"/>
            <w:vAlign w:val="center"/>
          </w:tcPr>
          <w:p w14:paraId="3CB2AEE4">
            <w:pPr>
              <w:pStyle w:val="6"/>
              <w:bidi w:val="0"/>
              <w:spacing w:line="360" w:lineRule="auto"/>
              <w:ind w:left="0" w:leftChars="0" w:firstLine="0" w:firstLine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合同甲方</w:t>
            </w:r>
          </w:p>
        </w:tc>
        <w:tc>
          <w:tcPr>
            <w:tcW w:w="1027" w:type="dxa"/>
            <w:noWrap w:val="0"/>
            <w:vAlign w:val="center"/>
          </w:tcPr>
          <w:p w14:paraId="6FEF23A3">
            <w:pPr>
              <w:pStyle w:val="6"/>
              <w:bidi w:val="0"/>
              <w:spacing w:line="360" w:lineRule="auto"/>
              <w:ind w:left="0" w:leftChars="0" w:firstLine="0" w:firstLineChars="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是否供货完成</w:t>
            </w:r>
          </w:p>
        </w:tc>
      </w:tr>
      <w:tr w14:paraId="3189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115" w:type="dxa"/>
            <w:noWrap w:val="0"/>
            <w:vAlign w:val="center"/>
          </w:tcPr>
          <w:p w14:paraId="0817CEAA">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3755" w:type="dxa"/>
            <w:noWrap w:val="0"/>
            <w:vAlign w:val="center"/>
          </w:tcPr>
          <w:p w14:paraId="6BC92C5E">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745" w:type="dxa"/>
            <w:noWrap w:val="0"/>
            <w:vAlign w:val="center"/>
          </w:tcPr>
          <w:p w14:paraId="23EFD741">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tc>
        <w:tc>
          <w:tcPr>
            <w:tcW w:w="1473" w:type="dxa"/>
            <w:noWrap w:val="0"/>
            <w:vAlign w:val="center"/>
          </w:tcPr>
          <w:p w14:paraId="09BB7264">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027" w:type="dxa"/>
            <w:noWrap w:val="0"/>
            <w:vAlign w:val="center"/>
          </w:tcPr>
          <w:p w14:paraId="6D413366">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r>
      <w:tr w14:paraId="3A9A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noWrap w:val="0"/>
            <w:vAlign w:val="center"/>
          </w:tcPr>
          <w:p w14:paraId="5068794F">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3755" w:type="dxa"/>
            <w:noWrap w:val="0"/>
            <w:vAlign w:val="center"/>
          </w:tcPr>
          <w:p w14:paraId="1B011F04">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745" w:type="dxa"/>
            <w:noWrap w:val="0"/>
            <w:vAlign w:val="center"/>
          </w:tcPr>
          <w:p w14:paraId="01BE7F85">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tc>
        <w:tc>
          <w:tcPr>
            <w:tcW w:w="1473" w:type="dxa"/>
            <w:noWrap w:val="0"/>
            <w:vAlign w:val="center"/>
          </w:tcPr>
          <w:p w14:paraId="31666665">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027" w:type="dxa"/>
            <w:noWrap w:val="0"/>
            <w:vAlign w:val="center"/>
          </w:tcPr>
          <w:p w14:paraId="1CA3A4BF">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r>
      <w:tr w14:paraId="6A57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15" w:type="dxa"/>
            <w:noWrap w:val="0"/>
            <w:vAlign w:val="center"/>
          </w:tcPr>
          <w:p w14:paraId="57626C0A">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3755" w:type="dxa"/>
            <w:noWrap w:val="0"/>
            <w:vAlign w:val="center"/>
          </w:tcPr>
          <w:p w14:paraId="3EDC50DF">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745" w:type="dxa"/>
            <w:noWrap w:val="0"/>
            <w:vAlign w:val="center"/>
          </w:tcPr>
          <w:p w14:paraId="6F5D0DF8">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tc>
        <w:tc>
          <w:tcPr>
            <w:tcW w:w="1473" w:type="dxa"/>
            <w:noWrap w:val="0"/>
            <w:vAlign w:val="center"/>
          </w:tcPr>
          <w:p w14:paraId="6BC0FD4E">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027" w:type="dxa"/>
            <w:noWrap w:val="0"/>
            <w:vAlign w:val="center"/>
          </w:tcPr>
          <w:p w14:paraId="7C04547E">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r>
      <w:tr w14:paraId="32FE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115" w:type="dxa"/>
            <w:noWrap w:val="0"/>
            <w:vAlign w:val="center"/>
          </w:tcPr>
          <w:p w14:paraId="486D3C08">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3755" w:type="dxa"/>
            <w:noWrap w:val="0"/>
            <w:vAlign w:val="center"/>
          </w:tcPr>
          <w:p w14:paraId="3F5C37CC">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745" w:type="dxa"/>
            <w:noWrap w:val="0"/>
            <w:vAlign w:val="center"/>
          </w:tcPr>
          <w:p w14:paraId="6AC8A1EF">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tc>
        <w:tc>
          <w:tcPr>
            <w:tcW w:w="1473" w:type="dxa"/>
            <w:noWrap w:val="0"/>
            <w:vAlign w:val="center"/>
          </w:tcPr>
          <w:p w14:paraId="010EAAD1">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027" w:type="dxa"/>
            <w:noWrap w:val="0"/>
            <w:vAlign w:val="center"/>
          </w:tcPr>
          <w:p w14:paraId="2C1FC56C">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r>
      <w:tr w14:paraId="7969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115" w:type="dxa"/>
            <w:noWrap w:val="0"/>
            <w:vAlign w:val="center"/>
          </w:tcPr>
          <w:p w14:paraId="0759C45B">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3755" w:type="dxa"/>
            <w:noWrap w:val="0"/>
            <w:vAlign w:val="center"/>
          </w:tcPr>
          <w:p w14:paraId="66084F50">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745" w:type="dxa"/>
            <w:noWrap w:val="0"/>
            <w:vAlign w:val="center"/>
          </w:tcPr>
          <w:p w14:paraId="69BFC481">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年 月 日</w:t>
            </w:r>
          </w:p>
        </w:tc>
        <w:tc>
          <w:tcPr>
            <w:tcW w:w="1473" w:type="dxa"/>
            <w:noWrap w:val="0"/>
            <w:vAlign w:val="center"/>
          </w:tcPr>
          <w:p w14:paraId="77291985">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c>
          <w:tcPr>
            <w:tcW w:w="1027" w:type="dxa"/>
            <w:noWrap w:val="0"/>
            <w:vAlign w:val="center"/>
          </w:tcPr>
          <w:p w14:paraId="0585BB79">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tc>
      </w:tr>
    </w:tbl>
    <w:p w14:paraId="4D4F3020">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p w14:paraId="7E1FE1A9">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本单位对上述声明的真实性负责。如有虚假，将依法承担相应责任。</w:t>
      </w:r>
    </w:p>
    <w:p w14:paraId="1A7BBD05">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p w14:paraId="0776C496">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p w14:paraId="53D4B1A1">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投标人电子签章：</w:t>
      </w:r>
      <w:r>
        <w:rPr>
          <w:rFonts w:hint="eastAsia" w:asciiTheme="minorEastAsia" w:hAnsiTheme="minorEastAsia" w:eastAsiaTheme="minorEastAsia" w:cstheme="minorEastAsia"/>
          <w:color w:val="auto"/>
          <w:sz w:val="24"/>
          <w:szCs w:val="24"/>
          <w:highlight w:val="none"/>
          <w:u w:val="single"/>
        </w:rPr>
        <w:t xml:space="preserve">             </w:t>
      </w:r>
    </w:p>
    <w:p w14:paraId="67B4F3D6">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          期：</w:t>
      </w:r>
      <w:r>
        <w:rPr>
          <w:rFonts w:hint="eastAsia" w:asciiTheme="minorEastAsia" w:hAnsiTheme="minorEastAsia" w:eastAsiaTheme="minorEastAsia" w:cstheme="minorEastAsia"/>
          <w:color w:val="auto"/>
          <w:sz w:val="24"/>
          <w:szCs w:val="24"/>
          <w:highlight w:val="none"/>
          <w:u w:val="single"/>
        </w:rPr>
        <w:t xml:space="preserve">             </w:t>
      </w:r>
    </w:p>
    <w:p w14:paraId="17BB8DD7">
      <w:pPr>
        <w:pStyle w:val="6"/>
        <w:bidi w:val="0"/>
        <w:spacing w:line="360" w:lineRule="auto"/>
        <w:jc w:val="left"/>
        <w:rPr>
          <w:rFonts w:hint="eastAsia" w:asciiTheme="minorEastAsia" w:hAnsiTheme="minorEastAsia" w:eastAsiaTheme="minorEastAsia" w:cstheme="minorEastAsia"/>
          <w:color w:val="auto"/>
          <w:sz w:val="24"/>
          <w:szCs w:val="24"/>
          <w:highlight w:val="none"/>
          <w:lang w:val="en-US" w:eastAsia="zh-CN"/>
        </w:rPr>
      </w:pPr>
    </w:p>
    <w:p w14:paraId="2161D91C">
      <w:pPr>
        <w:pStyle w:val="24"/>
        <w:ind w:left="0" w:leftChars="0" w:firstLine="0" w:firstLineChars="0"/>
        <w:rPr>
          <w:rFonts w:hint="eastAsia" w:ascii="宋体" w:hAnsi="宋体" w:eastAsia="宋体" w:cs="Times New Roman"/>
          <w:color w:val="auto"/>
          <w:kern w:val="2"/>
          <w:sz w:val="24"/>
          <w:szCs w:val="24"/>
          <w:highlight w:val="none"/>
          <w:lang w:val="en-US" w:eastAsia="zh-CN" w:bidi="ar-SA"/>
        </w:rPr>
      </w:pPr>
    </w:p>
    <w:p w14:paraId="39B38F73">
      <w:pPr>
        <w:pStyle w:val="24"/>
        <w:ind w:left="0" w:leftChars="0" w:firstLine="0" w:firstLineChars="0"/>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注：承诺函后附证明材料。</w:t>
      </w:r>
    </w:p>
    <w:p w14:paraId="061391F5">
      <w:pPr>
        <w:rPr>
          <w:rFonts w:hint="eastAsia" w:asciiTheme="minorEastAsia" w:hAnsiTheme="minorEastAsia" w:eastAsiaTheme="minorEastAsia"/>
          <w:b/>
          <w:color w:val="auto"/>
          <w:sz w:val="24"/>
          <w:highlight w:val="none"/>
          <w:lang w:val="en-US" w:eastAsia="zh-CN"/>
        </w:rPr>
      </w:pPr>
      <w:r>
        <w:rPr>
          <w:rFonts w:hint="eastAsia" w:ascii="宋体" w:hAnsi="宋体" w:eastAsia="宋体" w:cs="Times New Roman"/>
          <w:b/>
          <w:bCs/>
          <w:color w:val="auto"/>
          <w:kern w:val="2"/>
          <w:sz w:val="24"/>
          <w:szCs w:val="24"/>
          <w:highlight w:val="none"/>
          <w:lang w:val="en-US" w:eastAsia="zh-CN" w:bidi="ar-SA"/>
        </w:rPr>
        <w:br w:type="page"/>
      </w:r>
    </w:p>
    <w:p w14:paraId="2C918A39">
      <w:pPr>
        <w:keepNext w:val="0"/>
        <w:keepLines w:val="0"/>
        <w:pageBreakBefore w:val="0"/>
        <w:widowControl w:val="0"/>
        <w:numPr>
          <w:ilvl w:val="0"/>
          <w:numId w:val="10"/>
        </w:numPr>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承诺函</w:t>
      </w:r>
    </w:p>
    <w:p w14:paraId="251471E0">
      <w:pPr>
        <w:pStyle w:val="6"/>
        <w:bidi w:val="0"/>
        <w:spacing w:line="360" w:lineRule="auto"/>
        <w:ind w:left="0" w:leftChars="0" w:firstLine="0" w:firstLineChars="0"/>
        <w:jc w:val="left"/>
        <w:rPr>
          <w:rFonts w:hint="eastAsia"/>
          <w:color w:val="auto"/>
          <w:highlight w:val="none"/>
          <w:u w:val="single"/>
          <w:lang w:val="en-US" w:eastAsia="zh-CN"/>
        </w:rPr>
      </w:pPr>
      <w:r>
        <w:rPr>
          <w:rFonts w:hint="eastAsia"/>
          <w:color w:val="auto"/>
          <w:highlight w:val="none"/>
          <w:u w:val="single"/>
          <w:lang w:val="en-US" w:eastAsia="zh-CN"/>
        </w:rPr>
        <w:t>（采购人）：</w:t>
      </w:r>
    </w:p>
    <w:p w14:paraId="5E415459">
      <w:pPr>
        <w:pStyle w:val="6"/>
        <w:bidi w:val="0"/>
        <w:spacing w:line="360" w:lineRule="auto"/>
        <w:ind w:left="0" w:leftChars="0" w:firstLine="0" w:firstLineChars="0"/>
        <w:jc w:val="center"/>
        <w:rPr>
          <w:rFonts w:hint="eastAsia"/>
          <w:color w:val="auto"/>
          <w:highlight w:val="none"/>
          <w:lang w:val="en-US" w:eastAsia="zh-CN"/>
        </w:rPr>
      </w:pPr>
      <w:r>
        <w:rPr>
          <w:rFonts w:hint="eastAsia"/>
          <w:color w:val="auto"/>
          <w:highlight w:val="none"/>
          <w:lang w:val="en-US" w:eastAsia="zh-CN"/>
        </w:rPr>
        <w:t>（根据招标文件要求自行添加相关承诺函）</w:t>
      </w:r>
    </w:p>
    <w:p w14:paraId="39B02B2C">
      <w:pPr>
        <w:pStyle w:val="6"/>
        <w:bidi w:val="0"/>
        <w:ind w:left="0" w:leftChars="0" w:firstLine="0" w:firstLineChars="0"/>
        <w:jc w:val="center"/>
        <w:rPr>
          <w:rFonts w:hint="eastAsia"/>
          <w:color w:val="auto"/>
          <w:highlight w:val="none"/>
          <w:lang w:val="en-US" w:eastAsia="zh-CN"/>
        </w:rPr>
      </w:pPr>
    </w:p>
    <w:p w14:paraId="25F1D6E0">
      <w:pPr>
        <w:pStyle w:val="6"/>
        <w:bidi w:val="0"/>
        <w:ind w:left="0" w:leftChars="0" w:firstLine="0" w:firstLineChars="0"/>
        <w:jc w:val="center"/>
        <w:rPr>
          <w:rFonts w:hint="eastAsia"/>
          <w:color w:val="auto"/>
          <w:highlight w:val="none"/>
          <w:lang w:val="en-US" w:eastAsia="zh-CN"/>
        </w:rPr>
      </w:pPr>
    </w:p>
    <w:p w14:paraId="4008E0E1">
      <w:pPr>
        <w:pStyle w:val="6"/>
        <w:bidi w:val="0"/>
        <w:ind w:left="0" w:leftChars="0" w:firstLine="0" w:firstLineChars="0"/>
        <w:jc w:val="center"/>
        <w:rPr>
          <w:rFonts w:hint="eastAsia"/>
          <w:color w:val="auto"/>
          <w:highlight w:val="none"/>
          <w:lang w:val="en-US" w:eastAsia="zh-CN"/>
        </w:rPr>
      </w:pPr>
    </w:p>
    <w:p w14:paraId="2F8497E5">
      <w:pPr>
        <w:pStyle w:val="6"/>
        <w:bidi w:val="0"/>
        <w:ind w:left="0" w:leftChars="0" w:firstLine="0" w:firstLineChars="0"/>
        <w:jc w:val="center"/>
        <w:rPr>
          <w:rFonts w:hint="eastAsia"/>
          <w:color w:val="auto"/>
          <w:highlight w:val="none"/>
          <w:lang w:val="en-US" w:eastAsia="zh-CN"/>
        </w:rPr>
      </w:pPr>
    </w:p>
    <w:p w14:paraId="572AE90A">
      <w:pPr>
        <w:pStyle w:val="6"/>
        <w:bidi w:val="0"/>
        <w:ind w:left="0" w:leftChars="0" w:firstLine="0" w:firstLineChars="0"/>
        <w:jc w:val="center"/>
        <w:rPr>
          <w:rFonts w:hint="eastAsia"/>
          <w:color w:val="auto"/>
          <w:highlight w:val="none"/>
          <w:lang w:val="en-US" w:eastAsia="zh-CN"/>
        </w:rPr>
      </w:pPr>
    </w:p>
    <w:p w14:paraId="5B77B36B">
      <w:pPr>
        <w:pStyle w:val="6"/>
        <w:bidi w:val="0"/>
        <w:ind w:left="0" w:leftChars="0" w:firstLine="0" w:firstLineChars="0"/>
        <w:jc w:val="center"/>
        <w:rPr>
          <w:rFonts w:hint="eastAsia"/>
          <w:color w:val="auto"/>
          <w:highlight w:val="none"/>
          <w:lang w:val="en-US" w:eastAsia="zh-CN"/>
        </w:rPr>
      </w:pPr>
    </w:p>
    <w:p w14:paraId="0271ADB0">
      <w:pPr>
        <w:pStyle w:val="6"/>
        <w:bidi w:val="0"/>
        <w:ind w:left="0" w:leftChars="0" w:firstLine="0" w:firstLineChars="0"/>
        <w:jc w:val="center"/>
        <w:rPr>
          <w:rFonts w:hint="eastAsia"/>
          <w:color w:val="auto"/>
          <w:highlight w:val="none"/>
          <w:lang w:val="en-US" w:eastAsia="zh-CN"/>
        </w:rPr>
      </w:pPr>
    </w:p>
    <w:p w14:paraId="0A63A39A">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投标人电子签章：</w:t>
      </w:r>
      <w:r>
        <w:rPr>
          <w:rFonts w:hint="eastAsia" w:asciiTheme="minorEastAsia" w:hAnsiTheme="minorEastAsia" w:eastAsiaTheme="minorEastAsia" w:cstheme="minorEastAsia"/>
          <w:color w:val="auto"/>
          <w:sz w:val="24"/>
          <w:szCs w:val="24"/>
          <w:highlight w:val="none"/>
          <w:u w:val="single"/>
        </w:rPr>
        <w:t xml:space="preserve">             </w:t>
      </w:r>
    </w:p>
    <w:p w14:paraId="639909F8">
      <w:pPr>
        <w:spacing w:line="360" w:lineRule="auto"/>
        <w:ind w:firstLine="4800" w:firstLineChars="2000"/>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日          期：</w:t>
      </w:r>
      <w:r>
        <w:rPr>
          <w:rFonts w:hint="eastAsia" w:asciiTheme="minorEastAsia" w:hAnsiTheme="minorEastAsia" w:eastAsiaTheme="minorEastAsia" w:cstheme="minorEastAsia"/>
          <w:color w:val="auto"/>
          <w:sz w:val="24"/>
          <w:szCs w:val="24"/>
          <w:highlight w:val="none"/>
          <w:u w:val="single"/>
        </w:rPr>
        <w:t xml:space="preserve">             </w:t>
      </w:r>
    </w:p>
    <w:p w14:paraId="45CB4A2C">
      <w:pPr>
        <w:rPr>
          <w:rFonts w:asciiTheme="minorEastAsia" w:hAnsiTheme="minorEastAsia" w:eastAsiaTheme="minorEastAsia"/>
          <w:color w:val="auto"/>
          <w:sz w:val="24"/>
          <w:highlight w:val="none"/>
        </w:rPr>
      </w:pPr>
      <w:r>
        <w:rPr>
          <w:rFonts w:hint="eastAsia" w:asciiTheme="minorEastAsia" w:hAnsiTheme="minorEastAsia" w:eastAsiaTheme="minorEastAsia" w:cstheme="minorEastAsia"/>
          <w:color w:val="auto"/>
          <w:sz w:val="24"/>
          <w:szCs w:val="24"/>
          <w:highlight w:val="none"/>
          <w:u w:val="singl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67" w:name="_Toc9573"/>
      <w:bookmarkStart w:id="68" w:name="_Toc31244"/>
      <w:bookmarkStart w:id="69" w:name="OLE_LINK14"/>
      <w:bookmarkStart w:id="70" w:name="OLE_LINK13"/>
      <w:r>
        <w:rPr>
          <w:rFonts w:hint="eastAsia" w:asciiTheme="minorEastAsia" w:hAnsiTheme="minorEastAsia" w:eastAsiaTheme="minorEastAsia"/>
          <w:b/>
          <w:color w:val="auto"/>
          <w:sz w:val="24"/>
          <w:highlight w:val="none"/>
          <w:lang w:val="en-US" w:eastAsia="zh-CN"/>
        </w:rPr>
        <w:t>十一、中小企业声明函</w:t>
      </w:r>
      <w:bookmarkEnd w:id="67"/>
      <w:bookmarkEnd w:id="68"/>
    </w:p>
    <w:p w14:paraId="745ACDA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9"/>
      <w:bookmarkEnd w:id="70"/>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1" w:name="_Toc24563"/>
      <w:bookmarkStart w:id="72" w:name="_Toc16713"/>
      <w:r>
        <w:rPr>
          <w:rFonts w:hint="eastAsia" w:asciiTheme="minorEastAsia" w:hAnsiTheme="minorEastAsia" w:eastAsiaTheme="minorEastAsia"/>
          <w:b/>
          <w:color w:val="auto"/>
          <w:sz w:val="24"/>
          <w:highlight w:val="none"/>
          <w:lang w:val="en-US" w:eastAsia="zh-CN"/>
        </w:rPr>
        <w:t>十二、残疾人福利性单位声明函</w:t>
      </w:r>
      <w:bookmarkEnd w:id="71"/>
      <w:bookmarkEnd w:id="72"/>
    </w:p>
    <w:p w14:paraId="1BDECF4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73" w:name="_Toc520299348"/>
      <w:bookmarkStart w:id="74" w:name="_Toc457768004"/>
      <w:bookmarkStart w:id="75" w:name="_Toc300210382"/>
      <w:bookmarkStart w:id="76" w:name="_Toc26536"/>
      <w:bookmarkStart w:id="77" w:name="_Toc25813"/>
      <w:bookmarkStart w:id="78" w:name="_Hlk11701496"/>
      <w:r>
        <w:rPr>
          <w:rFonts w:hint="eastAsia" w:asciiTheme="minorEastAsia" w:hAnsiTheme="minorEastAsia" w:eastAsiaTheme="minorEastAsia"/>
          <w:b/>
          <w:color w:val="auto"/>
          <w:sz w:val="24"/>
          <w:highlight w:val="none"/>
          <w:lang w:val="en-US" w:eastAsia="zh-CN"/>
        </w:rPr>
        <w:t>十三、</w:t>
      </w:r>
      <w:r>
        <w:rPr>
          <w:rFonts w:hint="eastAsia" w:ascii="宋体" w:hAnsi="宋体" w:eastAsia="宋体" w:cs="@仿宋_GB2312"/>
          <w:b/>
          <w:color w:val="auto"/>
          <w:sz w:val="24"/>
          <w:szCs w:val="20"/>
          <w:highlight w:val="none"/>
        </w:rPr>
        <w:t>关于符合本国产品标准的声明函</w:t>
      </w:r>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9"/>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9"/>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9"/>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911893F">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587E5C8">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3A737B37">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228CB750">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3D073C">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61A1CAE0">
      <w:pPr>
        <w:pStyle w:val="23"/>
        <w:rPr>
          <w:rFonts w:hint="eastAsia" w:asciiTheme="minorEastAsia" w:hAnsiTheme="minorEastAsia" w:eastAsiaTheme="minorEastAsia"/>
          <w:b/>
          <w:color w:val="auto"/>
          <w:sz w:val="24"/>
          <w:highlight w:val="none"/>
          <w:lang w:val="en-US" w:eastAsia="zh-CN"/>
        </w:rPr>
      </w:pPr>
    </w:p>
    <w:p w14:paraId="0963565C">
      <w:pPr>
        <w:pStyle w:val="23"/>
        <w:rPr>
          <w:rFonts w:hint="eastAsia" w:asciiTheme="minorEastAsia" w:hAnsiTheme="minorEastAsia" w:eastAsiaTheme="minorEastAsia"/>
          <w:b/>
          <w:color w:val="auto"/>
          <w:sz w:val="24"/>
          <w:highlight w:val="none"/>
          <w:lang w:val="en-US" w:eastAsia="zh-CN"/>
        </w:rPr>
      </w:pPr>
    </w:p>
    <w:p w14:paraId="20C6E2B1">
      <w:pPr>
        <w:pStyle w:val="23"/>
        <w:rPr>
          <w:rFonts w:hint="eastAsia" w:asciiTheme="minorEastAsia" w:hAnsiTheme="minorEastAsia" w:eastAsiaTheme="minorEastAsia"/>
          <w:b/>
          <w:color w:val="auto"/>
          <w:sz w:val="24"/>
          <w:highlight w:val="none"/>
          <w:lang w:val="en-US" w:eastAsia="zh-CN"/>
        </w:rPr>
      </w:pPr>
    </w:p>
    <w:p w14:paraId="29B44CE6">
      <w:pPr>
        <w:pStyle w:val="23"/>
        <w:rPr>
          <w:rFonts w:hint="eastAsia" w:asciiTheme="minorEastAsia" w:hAnsiTheme="minorEastAsia" w:eastAsiaTheme="minorEastAsia"/>
          <w:b/>
          <w:color w:val="auto"/>
          <w:sz w:val="24"/>
          <w:highlight w:val="none"/>
          <w:lang w:val="en-US" w:eastAsia="zh-CN"/>
        </w:rPr>
      </w:pPr>
    </w:p>
    <w:p w14:paraId="174D6E6B">
      <w:pPr>
        <w:pStyle w:val="23"/>
        <w:rPr>
          <w:rFonts w:hint="eastAsia" w:asciiTheme="minorEastAsia" w:hAnsiTheme="minorEastAsia" w:eastAsiaTheme="minorEastAsia"/>
          <w:b/>
          <w:color w:val="auto"/>
          <w:sz w:val="24"/>
          <w:highlight w:val="none"/>
          <w:lang w:val="en-US" w:eastAsia="zh-CN"/>
        </w:rPr>
      </w:pPr>
    </w:p>
    <w:p w14:paraId="3821E0AF">
      <w:pPr>
        <w:pStyle w:val="23"/>
        <w:rPr>
          <w:rFonts w:hint="eastAsia" w:asciiTheme="minorEastAsia" w:hAnsiTheme="minorEastAsia" w:eastAsiaTheme="minorEastAsia"/>
          <w:b/>
          <w:color w:val="auto"/>
          <w:sz w:val="24"/>
          <w:highlight w:val="none"/>
          <w:lang w:val="en-US" w:eastAsia="zh-CN"/>
        </w:rPr>
      </w:pPr>
    </w:p>
    <w:p w14:paraId="1370FDE0">
      <w:pPr>
        <w:pStyle w:val="23"/>
        <w:rPr>
          <w:rFonts w:hint="eastAsia" w:asciiTheme="minorEastAsia" w:hAnsiTheme="minorEastAsia" w:eastAsiaTheme="minorEastAsia"/>
          <w:b/>
          <w:color w:val="auto"/>
          <w:sz w:val="24"/>
          <w:highlight w:val="none"/>
          <w:lang w:val="en-US" w:eastAsia="zh-CN"/>
        </w:rPr>
      </w:pPr>
    </w:p>
    <w:p w14:paraId="37F81BA9">
      <w:pPr>
        <w:pStyle w:val="23"/>
        <w:rPr>
          <w:rFonts w:hint="eastAsia" w:asciiTheme="minorEastAsia" w:hAnsiTheme="minorEastAsia" w:eastAsiaTheme="minorEastAsia"/>
          <w:b/>
          <w:color w:val="auto"/>
          <w:sz w:val="24"/>
          <w:highlight w:val="none"/>
          <w:lang w:val="en-US" w:eastAsia="zh-CN"/>
        </w:rPr>
      </w:pPr>
    </w:p>
    <w:p w14:paraId="36D1C278">
      <w:pPr>
        <w:pStyle w:val="23"/>
        <w:rPr>
          <w:rFonts w:hint="eastAsia" w:asciiTheme="minorEastAsia" w:hAnsiTheme="minorEastAsia" w:eastAsiaTheme="minorEastAsia"/>
          <w:b/>
          <w:color w:val="auto"/>
          <w:sz w:val="24"/>
          <w:highlight w:val="none"/>
          <w:lang w:val="en-US" w:eastAsia="zh-CN"/>
        </w:rPr>
      </w:pPr>
    </w:p>
    <w:p w14:paraId="45FB713E">
      <w:pPr>
        <w:pStyle w:val="23"/>
        <w:rPr>
          <w:rFonts w:hint="eastAsia" w:asciiTheme="minorEastAsia" w:hAnsiTheme="minorEastAsia" w:eastAsiaTheme="minorEastAsia"/>
          <w:b/>
          <w:color w:val="auto"/>
          <w:sz w:val="24"/>
          <w:highlight w:val="none"/>
          <w:lang w:val="en-US" w:eastAsia="zh-CN"/>
        </w:rPr>
      </w:pPr>
    </w:p>
    <w:p w14:paraId="665E68CA">
      <w:pPr>
        <w:pStyle w:val="23"/>
        <w:rPr>
          <w:rFonts w:hint="eastAsia" w:asciiTheme="minorEastAsia" w:hAnsiTheme="minorEastAsia" w:eastAsiaTheme="minorEastAsia"/>
          <w:b/>
          <w:color w:val="auto"/>
          <w:sz w:val="24"/>
          <w:highlight w:val="none"/>
          <w:lang w:val="en-US" w:eastAsia="zh-CN"/>
        </w:rPr>
      </w:pPr>
    </w:p>
    <w:p w14:paraId="08540571">
      <w:pPr>
        <w:pStyle w:val="23"/>
        <w:rPr>
          <w:rFonts w:hint="eastAsia" w:asciiTheme="minorEastAsia" w:hAnsiTheme="minorEastAsia" w:eastAsiaTheme="minorEastAsia"/>
          <w:b/>
          <w:color w:val="auto"/>
          <w:sz w:val="24"/>
          <w:highlight w:val="none"/>
          <w:lang w:val="en-US" w:eastAsia="zh-CN"/>
        </w:rPr>
      </w:pPr>
    </w:p>
    <w:p w14:paraId="6E4C5855">
      <w:pPr>
        <w:pStyle w:val="23"/>
        <w:rPr>
          <w:rFonts w:hint="eastAsia" w:asciiTheme="minorEastAsia" w:hAnsiTheme="minorEastAsia" w:eastAsiaTheme="minorEastAsia"/>
          <w:b/>
          <w:color w:val="auto"/>
          <w:sz w:val="24"/>
          <w:highlight w:val="none"/>
          <w:lang w:val="en-US" w:eastAsia="zh-CN"/>
        </w:rPr>
      </w:pPr>
    </w:p>
    <w:p w14:paraId="57651297">
      <w:pPr>
        <w:pStyle w:val="23"/>
        <w:rPr>
          <w:rFonts w:hint="eastAsia" w:asciiTheme="minorEastAsia" w:hAnsiTheme="minorEastAsia" w:eastAsiaTheme="minorEastAsia"/>
          <w:b/>
          <w:color w:val="auto"/>
          <w:sz w:val="24"/>
          <w:highlight w:val="none"/>
          <w:lang w:val="en-US" w:eastAsia="zh-CN"/>
        </w:rPr>
      </w:pPr>
    </w:p>
    <w:p w14:paraId="38FAF765">
      <w:pPr>
        <w:pStyle w:val="23"/>
        <w:rPr>
          <w:rFonts w:hint="eastAsia" w:asciiTheme="minorEastAsia" w:hAnsiTheme="minorEastAsia" w:eastAsiaTheme="minorEastAsia"/>
          <w:b/>
          <w:color w:val="auto"/>
          <w:sz w:val="24"/>
          <w:highlight w:val="none"/>
          <w:lang w:val="en-US" w:eastAsia="zh-CN"/>
        </w:rPr>
      </w:pPr>
    </w:p>
    <w:p w14:paraId="3815C9A4">
      <w:pPr>
        <w:pStyle w:val="23"/>
        <w:rPr>
          <w:rFonts w:hint="eastAsia" w:asciiTheme="minorEastAsia" w:hAnsiTheme="minorEastAsia" w:eastAsiaTheme="minorEastAsia"/>
          <w:b/>
          <w:color w:val="auto"/>
          <w:sz w:val="24"/>
          <w:highlight w:val="none"/>
          <w:lang w:val="en-US" w:eastAsia="zh-CN"/>
        </w:rPr>
      </w:pPr>
    </w:p>
    <w:p w14:paraId="2B616EC4">
      <w:pPr>
        <w:pStyle w:val="23"/>
        <w:rPr>
          <w:rFonts w:hint="eastAsia" w:asciiTheme="minorEastAsia" w:hAnsiTheme="minorEastAsia" w:eastAsiaTheme="minorEastAsia"/>
          <w:b/>
          <w:color w:val="auto"/>
          <w:sz w:val="24"/>
          <w:highlight w:val="none"/>
          <w:lang w:val="en-US" w:eastAsia="zh-CN"/>
        </w:rPr>
      </w:pPr>
    </w:p>
    <w:p w14:paraId="2558B7A4">
      <w:pPr>
        <w:pStyle w:val="23"/>
        <w:rPr>
          <w:rFonts w:hint="eastAsia" w:asciiTheme="minorEastAsia" w:hAnsiTheme="minorEastAsia" w:eastAsiaTheme="minorEastAsia"/>
          <w:b/>
          <w:color w:val="auto"/>
          <w:sz w:val="24"/>
          <w:highlight w:val="none"/>
          <w:lang w:val="en-US" w:eastAsia="zh-CN"/>
        </w:rPr>
      </w:pPr>
    </w:p>
    <w:p w14:paraId="1DCD7B87">
      <w:pPr>
        <w:pStyle w:val="23"/>
        <w:rPr>
          <w:rFonts w:hint="eastAsia" w:asciiTheme="minorEastAsia" w:hAnsiTheme="minorEastAsia" w:eastAsiaTheme="minorEastAsia"/>
          <w:b/>
          <w:color w:val="auto"/>
          <w:sz w:val="24"/>
          <w:highlight w:val="none"/>
          <w:lang w:val="en-US" w:eastAsia="zh-CN"/>
        </w:rPr>
      </w:pPr>
    </w:p>
    <w:p w14:paraId="7ADD9048">
      <w:pPr>
        <w:pStyle w:val="23"/>
        <w:rPr>
          <w:rFonts w:hint="eastAsia" w:asciiTheme="minorEastAsia" w:hAnsiTheme="minorEastAsia" w:eastAsiaTheme="minorEastAsia"/>
          <w:b/>
          <w:color w:val="auto"/>
          <w:sz w:val="24"/>
          <w:highlight w:val="none"/>
          <w:lang w:val="en-US" w:eastAsia="zh-CN"/>
        </w:rPr>
      </w:pPr>
    </w:p>
    <w:p w14:paraId="74321B09">
      <w:pPr>
        <w:pStyle w:val="23"/>
        <w:rPr>
          <w:rFonts w:hint="eastAsia" w:asciiTheme="minorEastAsia" w:hAnsiTheme="minorEastAsia" w:eastAsiaTheme="minorEastAsia"/>
          <w:b/>
          <w:color w:val="auto"/>
          <w:sz w:val="24"/>
          <w:highlight w:val="none"/>
          <w:lang w:val="en-US" w:eastAsia="zh-CN"/>
        </w:rPr>
      </w:pPr>
    </w:p>
    <w:p w14:paraId="725961B6">
      <w:pPr>
        <w:pStyle w:val="23"/>
        <w:rPr>
          <w:rFonts w:hint="eastAsia" w:asciiTheme="minorEastAsia" w:hAnsiTheme="minorEastAsia" w:eastAsiaTheme="minorEastAsia"/>
          <w:b/>
          <w:color w:val="auto"/>
          <w:sz w:val="24"/>
          <w:highlight w:val="none"/>
          <w:lang w:val="en-US" w:eastAsia="zh-CN"/>
        </w:rPr>
      </w:pPr>
    </w:p>
    <w:p w14:paraId="4757A611">
      <w:pPr>
        <w:pStyle w:val="23"/>
        <w:rPr>
          <w:rFonts w:hint="eastAsia" w:asciiTheme="minorEastAsia" w:hAnsiTheme="minorEastAsia" w:eastAsiaTheme="minorEastAsia"/>
          <w:b/>
          <w:color w:val="auto"/>
          <w:sz w:val="24"/>
          <w:highlight w:val="none"/>
          <w:lang w:val="en-US" w:eastAsia="zh-CN"/>
        </w:rPr>
      </w:pPr>
    </w:p>
    <w:p w14:paraId="55CE3FBB">
      <w:pPr>
        <w:pStyle w:val="23"/>
        <w:rPr>
          <w:rFonts w:hint="eastAsia" w:asciiTheme="minorEastAsia" w:hAnsiTheme="minorEastAsia" w:eastAsiaTheme="minorEastAsia"/>
          <w:b/>
          <w:color w:val="auto"/>
          <w:sz w:val="24"/>
          <w:highlight w:val="none"/>
          <w:lang w:val="en-US" w:eastAsia="zh-CN"/>
        </w:rPr>
      </w:pPr>
    </w:p>
    <w:p w14:paraId="3123D93E">
      <w:pPr>
        <w:pStyle w:val="23"/>
        <w:rPr>
          <w:rFonts w:hint="eastAsia" w:asciiTheme="minorEastAsia" w:hAnsiTheme="minorEastAsia" w:eastAsiaTheme="minorEastAsia"/>
          <w:b/>
          <w:color w:val="auto"/>
          <w:sz w:val="24"/>
          <w:highlight w:val="none"/>
          <w:lang w:val="en-US" w:eastAsia="zh-CN"/>
        </w:rPr>
      </w:pPr>
    </w:p>
    <w:p w14:paraId="02291A01">
      <w:pPr>
        <w:pStyle w:val="23"/>
        <w:rPr>
          <w:rFonts w:hint="eastAsia" w:asciiTheme="minorEastAsia" w:hAnsiTheme="minorEastAsia" w:eastAsiaTheme="minorEastAsia"/>
          <w:b/>
          <w:color w:val="auto"/>
          <w:sz w:val="24"/>
          <w:highlight w:val="none"/>
          <w:lang w:val="en-US" w:eastAsia="zh-CN"/>
        </w:rPr>
      </w:pPr>
    </w:p>
    <w:p w14:paraId="64A2156E">
      <w:pPr>
        <w:pStyle w:val="23"/>
        <w:rPr>
          <w:rFonts w:hint="eastAsia" w:asciiTheme="minorEastAsia" w:hAnsiTheme="minorEastAsia" w:eastAsiaTheme="minorEastAsia"/>
          <w:b/>
          <w:color w:val="auto"/>
          <w:sz w:val="24"/>
          <w:highlight w:val="none"/>
          <w:lang w:val="en-US" w:eastAsia="zh-CN"/>
        </w:rPr>
      </w:pPr>
    </w:p>
    <w:p w14:paraId="04358E27">
      <w:pPr>
        <w:pStyle w:val="23"/>
        <w:rPr>
          <w:rFonts w:hint="eastAsia" w:asciiTheme="minorEastAsia" w:hAnsiTheme="minorEastAsia" w:eastAsiaTheme="minorEastAsia"/>
          <w:b/>
          <w:color w:val="auto"/>
          <w:sz w:val="24"/>
          <w:highlight w:val="none"/>
          <w:lang w:val="en-US" w:eastAsia="zh-CN"/>
        </w:rPr>
      </w:pPr>
    </w:p>
    <w:p w14:paraId="30597600">
      <w:pPr>
        <w:pStyle w:val="23"/>
        <w:rPr>
          <w:rFonts w:hint="eastAsia" w:asciiTheme="minorEastAsia" w:hAnsiTheme="minorEastAsia" w:eastAsiaTheme="minorEastAsia"/>
          <w:b/>
          <w:color w:val="auto"/>
          <w:sz w:val="24"/>
          <w:highlight w:val="none"/>
          <w:lang w:val="en-US" w:eastAsia="zh-CN"/>
        </w:rPr>
      </w:pPr>
    </w:p>
    <w:p w14:paraId="1052667C">
      <w:pPr>
        <w:pStyle w:val="23"/>
        <w:ind w:left="0" w:leftChars="0" w:firstLine="0" w:firstLineChars="0"/>
        <w:rPr>
          <w:rFonts w:hint="eastAsia" w:asciiTheme="minorEastAsia" w:hAnsiTheme="minorEastAsia" w:eastAsiaTheme="minorEastAsia"/>
          <w:b/>
          <w:color w:val="auto"/>
          <w:sz w:val="24"/>
          <w:highlight w:val="none"/>
          <w:lang w:val="en-US" w:eastAsia="zh-CN"/>
        </w:rPr>
      </w:pP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十四、</w:t>
      </w:r>
      <w:bookmarkEnd w:id="73"/>
      <w:bookmarkEnd w:id="74"/>
      <w:bookmarkEnd w:id="75"/>
      <w:r>
        <w:rPr>
          <w:rFonts w:hint="eastAsia" w:asciiTheme="minorEastAsia" w:hAnsiTheme="minorEastAsia" w:eastAsiaTheme="minorEastAsia"/>
          <w:b/>
          <w:color w:val="auto"/>
          <w:sz w:val="24"/>
          <w:highlight w:val="none"/>
          <w:lang w:val="en-US" w:eastAsia="zh-CN"/>
        </w:rPr>
        <w:t>诚信履约承诺函</w:t>
      </w:r>
      <w:bookmarkEnd w:id="76"/>
      <w:bookmarkEnd w:id="77"/>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8"/>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9" w:name="_Toc2683"/>
      <w:bookmarkStart w:id="80" w:name="_Toc32633"/>
      <w:r>
        <w:rPr>
          <w:rFonts w:hint="eastAsia" w:asciiTheme="minorEastAsia" w:hAnsiTheme="minorEastAsia" w:eastAsiaTheme="minorEastAsia"/>
          <w:b/>
          <w:color w:val="auto"/>
          <w:sz w:val="24"/>
          <w:highlight w:val="none"/>
          <w:lang w:val="en-US" w:eastAsia="zh-CN"/>
        </w:rPr>
        <w:t>十五、其他相关证明材料</w:t>
      </w:r>
      <w:bookmarkEnd w:id="79"/>
      <w:bookmarkEnd w:id="80"/>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81" w:name="_Toc18131"/>
      <w:bookmarkStart w:id="8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1"/>
      <w:bookmarkEnd w:id="82"/>
    </w:p>
    <w:p w14:paraId="7A40B900">
      <w:pPr>
        <w:spacing w:line="360" w:lineRule="auto"/>
        <w:jc w:val="center"/>
        <w:outlineLvl w:val="1"/>
        <w:rPr>
          <w:rFonts w:ascii="仿宋" w:hAnsi="仿宋" w:eastAsia="仿宋" w:cs="仿宋"/>
          <w:b/>
          <w:bCs/>
          <w:color w:val="auto"/>
          <w:sz w:val="32"/>
          <w:szCs w:val="44"/>
          <w:highlight w:val="none"/>
        </w:rPr>
      </w:pPr>
      <w:bookmarkStart w:id="83" w:name="_Toc27489"/>
      <w:bookmarkStart w:id="84" w:name="_Toc27159"/>
      <w:r>
        <w:rPr>
          <w:rFonts w:hint="eastAsia" w:ascii="仿宋" w:hAnsi="仿宋" w:eastAsia="仿宋" w:cs="仿宋"/>
          <w:b/>
          <w:bCs/>
          <w:color w:val="auto"/>
          <w:sz w:val="32"/>
          <w:szCs w:val="44"/>
          <w:highlight w:val="none"/>
        </w:rPr>
        <w:t>询问函范本</w:t>
      </w:r>
      <w:bookmarkEnd w:id="83"/>
      <w:bookmarkEnd w:id="84"/>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5" w:name="_Toc13899"/>
      <w:r>
        <w:rPr>
          <w:rFonts w:hint="eastAsia" w:cs="仿宋" w:asciiTheme="minorEastAsia" w:hAnsiTheme="minorEastAsia" w:eastAsiaTheme="minorEastAsia"/>
          <w:color w:val="auto"/>
          <w:sz w:val="24"/>
          <w:szCs w:val="24"/>
          <w:highlight w:val="none"/>
        </w:rPr>
        <w:t>一、(事项一)</w:t>
      </w:r>
      <w:bookmarkEnd w:id="85"/>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6" w:name="_Toc3352"/>
      <w:r>
        <w:rPr>
          <w:rFonts w:hint="eastAsia" w:cs="仿宋" w:asciiTheme="minorEastAsia" w:hAnsiTheme="minorEastAsia" w:eastAsiaTheme="minorEastAsia"/>
          <w:color w:val="auto"/>
          <w:sz w:val="24"/>
          <w:szCs w:val="24"/>
          <w:highlight w:val="none"/>
        </w:rPr>
        <w:t>二、(事项二)</w:t>
      </w:r>
      <w:bookmarkEnd w:id="86"/>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87" w:name="_Toc3245"/>
      <w:bookmarkStart w:id="88" w:name="_Toc1575"/>
      <w:r>
        <w:rPr>
          <w:rFonts w:hint="eastAsia" w:ascii="仿宋" w:hAnsi="仿宋" w:eastAsia="仿宋" w:cs="仿宋"/>
          <w:b/>
          <w:bCs/>
          <w:color w:val="auto"/>
          <w:sz w:val="32"/>
          <w:szCs w:val="44"/>
          <w:highlight w:val="none"/>
        </w:rPr>
        <w:t>质疑函范本</w:t>
      </w:r>
      <w:bookmarkEnd w:id="87"/>
      <w:bookmarkEnd w:id="88"/>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89" w:name="_Toc21381"/>
      <w:r>
        <w:rPr>
          <w:rFonts w:hint="eastAsia" w:cs="仿宋" w:asciiTheme="minorEastAsia" w:hAnsiTheme="minorEastAsia" w:eastAsiaTheme="minorEastAsia"/>
          <w:b/>
          <w:bCs/>
          <w:color w:val="auto"/>
          <w:sz w:val="24"/>
          <w:szCs w:val="24"/>
          <w:highlight w:val="none"/>
        </w:rPr>
        <w:t>一、质疑供应商基本信息</w:t>
      </w:r>
      <w:bookmarkEnd w:id="89"/>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0" w:name="_Toc28415"/>
      <w:r>
        <w:rPr>
          <w:rFonts w:hint="eastAsia" w:cs="仿宋" w:asciiTheme="minorEastAsia" w:hAnsiTheme="minorEastAsia" w:eastAsiaTheme="minorEastAsia"/>
          <w:b/>
          <w:bCs/>
          <w:color w:val="auto"/>
          <w:sz w:val="24"/>
          <w:szCs w:val="24"/>
          <w:highlight w:val="none"/>
        </w:rPr>
        <w:t>二、质疑项目基本情况</w:t>
      </w:r>
      <w:bookmarkEnd w:id="90"/>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1" w:name="_Toc19014"/>
      <w:r>
        <w:rPr>
          <w:rFonts w:hint="eastAsia" w:cs="仿宋" w:asciiTheme="minorEastAsia" w:hAnsiTheme="minorEastAsia" w:eastAsiaTheme="minorEastAsia"/>
          <w:b/>
          <w:bCs/>
          <w:color w:val="auto"/>
          <w:sz w:val="24"/>
          <w:szCs w:val="24"/>
          <w:highlight w:val="none"/>
        </w:rPr>
        <w:t>三、质疑事项具体内容</w:t>
      </w:r>
      <w:bookmarkEnd w:id="91"/>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2" w:name="_Toc17919"/>
      <w:r>
        <w:rPr>
          <w:rFonts w:hint="eastAsia" w:cs="仿宋" w:asciiTheme="minorEastAsia" w:hAnsiTheme="minorEastAsia" w:eastAsiaTheme="minorEastAsia"/>
          <w:b/>
          <w:bCs/>
          <w:color w:val="auto"/>
          <w:sz w:val="24"/>
          <w:szCs w:val="24"/>
          <w:highlight w:val="none"/>
        </w:rPr>
        <w:t>四、与质疑事项相关的质疑请求</w:t>
      </w:r>
      <w:bookmarkEnd w:id="92"/>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93" w:name="_Toc9754"/>
      <w:bookmarkStart w:id="94" w:name="_Toc26836"/>
      <w:r>
        <w:rPr>
          <w:rFonts w:hint="eastAsia" w:asciiTheme="minorEastAsia" w:hAnsiTheme="minorEastAsia" w:eastAsiaTheme="minorEastAsia"/>
          <w:b/>
          <w:color w:val="auto"/>
          <w:sz w:val="28"/>
          <w:szCs w:val="32"/>
          <w:highlight w:val="none"/>
        </w:rPr>
        <w:t>质疑函制作说明：</w:t>
      </w:r>
      <w:bookmarkEnd w:id="93"/>
      <w:bookmarkEnd w:id="94"/>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16" w:usb3="00000000" w:csb0="6006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5"/>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6"/>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6"/>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6"/>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A5A8D"/>
    <w:multiLevelType w:val="singleLevel"/>
    <w:tmpl w:val="98CA5A8D"/>
    <w:lvl w:ilvl="0" w:tentative="0">
      <w:start w:val="3"/>
      <w:numFmt w:val="chineseCounting"/>
      <w:suff w:val="nothing"/>
      <w:lvlText w:val="%1、"/>
      <w:lvlJc w:val="left"/>
      <w:rPr>
        <w:rFonts w:hint="eastAsia"/>
      </w:r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E0BEB90B"/>
    <w:multiLevelType w:val="singleLevel"/>
    <w:tmpl w:val="E0BEB90B"/>
    <w:lvl w:ilvl="0" w:tentative="0">
      <w:start w:val="11"/>
      <w:numFmt w:val="chineseCounting"/>
      <w:suff w:val="nothing"/>
      <w:lvlText w:val="%1、"/>
      <w:lvlJc w:val="left"/>
      <w:rPr>
        <w:rFonts w:hint="eastAsia"/>
      </w:rPr>
    </w:lvl>
  </w:abstractNum>
  <w:abstractNum w:abstractNumId="7">
    <w:nsid w:val="F97C3354"/>
    <w:multiLevelType w:val="singleLevel"/>
    <w:tmpl w:val="F97C3354"/>
    <w:lvl w:ilvl="0" w:tentative="0">
      <w:start w:val="10"/>
      <w:numFmt w:val="chineseCounting"/>
      <w:suff w:val="nothing"/>
      <w:lvlText w:val="%1、"/>
      <w:lvlJc w:val="left"/>
      <w:rPr>
        <w:rFonts w:hint="eastAsia"/>
      </w:rPr>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6"/>
  </w:num>
  <w:num w:numId="2">
    <w:abstractNumId w:val="0"/>
  </w:num>
  <w:num w:numId="3">
    <w:abstractNumId w:val="9"/>
  </w:num>
  <w:num w:numId="4">
    <w:abstractNumId w:val="2"/>
  </w:num>
  <w:num w:numId="5">
    <w:abstractNumId w:val="8"/>
  </w:num>
  <w:num w:numId="6">
    <w:abstractNumId w:val="4"/>
  </w:num>
  <w:num w:numId="7">
    <w:abstractNumId w:val="3"/>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75481"/>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25F2E79"/>
    <w:rsid w:val="03486B27"/>
    <w:rsid w:val="040A094E"/>
    <w:rsid w:val="054B711F"/>
    <w:rsid w:val="056F201D"/>
    <w:rsid w:val="05B664D4"/>
    <w:rsid w:val="064B485A"/>
    <w:rsid w:val="068C65C4"/>
    <w:rsid w:val="07076C01"/>
    <w:rsid w:val="071C12AC"/>
    <w:rsid w:val="07A934B3"/>
    <w:rsid w:val="07EB6287"/>
    <w:rsid w:val="0806421B"/>
    <w:rsid w:val="08386E5C"/>
    <w:rsid w:val="08955281"/>
    <w:rsid w:val="0980799C"/>
    <w:rsid w:val="09944B8E"/>
    <w:rsid w:val="0A6A18DB"/>
    <w:rsid w:val="0A7A61FD"/>
    <w:rsid w:val="0A975B48"/>
    <w:rsid w:val="0AEF3828"/>
    <w:rsid w:val="0B406381"/>
    <w:rsid w:val="0BB452AA"/>
    <w:rsid w:val="0BBB665B"/>
    <w:rsid w:val="0CE16164"/>
    <w:rsid w:val="0EEA6FC1"/>
    <w:rsid w:val="0F790928"/>
    <w:rsid w:val="10CD72BB"/>
    <w:rsid w:val="12197477"/>
    <w:rsid w:val="12CF75E2"/>
    <w:rsid w:val="131B5CD3"/>
    <w:rsid w:val="13776448"/>
    <w:rsid w:val="1466407E"/>
    <w:rsid w:val="14834E28"/>
    <w:rsid w:val="148E7D65"/>
    <w:rsid w:val="15231BF9"/>
    <w:rsid w:val="15C4546D"/>
    <w:rsid w:val="164F7029"/>
    <w:rsid w:val="17657713"/>
    <w:rsid w:val="1775246C"/>
    <w:rsid w:val="19537AAF"/>
    <w:rsid w:val="1A064976"/>
    <w:rsid w:val="1A3B68AA"/>
    <w:rsid w:val="1A3E1C1E"/>
    <w:rsid w:val="1B132AFA"/>
    <w:rsid w:val="1B6F4F40"/>
    <w:rsid w:val="1C141836"/>
    <w:rsid w:val="1C76537D"/>
    <w:rsid w:val="1E6B6A14"/>
    <w:rsid w:val="1F973235"/>
    <w:rsid w:val="20550D9A"/>
    <w:rsid w:val="218E2416"/>
    <w:rsid w:val="226915FE"/>
    <w:rsid w:val="228A7081"/>
    <w:rsid w:val="229273EC"/>
    <w:rsid w:val="23BC656D"/>
    <w:rsid w:val="241804A5"/>
    <w:rsid w:val="24B97929"/>
    <w:rsid w:val="24D632D7"/>
    <w:rsid w:val="26832087"/>
    <w:rsid w:val="27D65DBA"/>
    <w:rsid w:val="285F40CA"/>
    <w:rsid w:val="289E1AF0"/>
    <w:rsid w:val="28C01ECB"/>
    <w:rsid w:val="29BF71E3"/>
    <w:rsid w:val="29D6387F"/>
    <w:rsid w:val="2A127B63"/>
    <w:rsid w:val="2A451A6C"/>
    <w:rsid w:val="2AAA4765"/>
    <w:rsid w:val="2AC21606"/>
    <w:rsid w:val="2AD63D42"/>
    <w:rsid w:val="2B7E7608"/>
    <w:rsid w:val="2B7F04E9"/>
    <w:rsid w:val="2B8B554A"/>
    <w:rsid w:val="2D496D68"/>
    <w:rsid w:val="2E7A48DE"/>
    <w:rsid w:val="2EBA5177"/>
    <w:rsid w:val="2EDC3ED8"/>
    <w:rsid w:val="2F104B00"/>
    <w:rsid w:val="2F1A66FF"/>
    <w:rsid w:val="2F6351B4"/>
    <w:rsid w:val="2FC86126"/>
    <w:rsid w:val="2FCF199E"/>
    <w:rsid w:val="30483E83"/>
    <w:rsid w:val="30BF3991"/>
    <w:rsid w:val="3111619A"/>
    <w:rsid w:val="319775DB"/>
    <w:rsid w:val="31B139DC"/>
    <w:rsid w:val="32497AF3"/>
    <w:rsid w:val="343C0775"/>
    <w:rsid w:val="35522FB5"/>
    <w:rsid w:val="356C50EC"/>
    <w:rsid w:val="36137E45"/>
    <w:rsid w:val="36376E0A"/>
    <w:rsid w:val="36727BA3"/>
    <w:rsid w:val="3700166C"/>
    <w:rsid w:val="3784633D"/>
    <w:rsid w:val="379A1012"/>
    <w:rsid w:val="38694EE9"/>
    <w:rsid w:val="3A6818FA"/>
    <w:rsid w:val="3B365CC9"/>
    <w:rsid w:val="3B9A7B88"/>
    <w:rsid w:val="3D2C7AC8"/>
    <w:rsid w:val="3D855D12"/>
    <w:rsid w:val="3D8B42FF"/>
    <w:rsid w:val="3DE86C4C"/>
    <w:rsid w:val="3DF36A6E"/>
    <w:rsid w:val="3EBA1EE9"/>
    <w:rsid w:val="3F792F1E"/>
    <w:rsid w:val="3F850EA5"/>
    <w:rsid w:val="40824826"/>
    <w:rsid w:val="40E63923"/>
    <w:rsid w:val="43A91E5B"/>
    <w:rsid w:val="449E0D39"/>
    <w:rsid w:val="45923E51"/>
    <w:rsid w:val="45E32B26"/>
    <w:rsid w:val="463A3650"/>
    <w:rsid w:val="46461627"/>
    <w:rsid w:val="469F0116"/>
    <w:rsid w:val="475259B7"/>
    <w:rsid w:val="488302AE"/>
    <w:rsid w:val="48831CF9"/>
    <w:rsid w:val="49024C9C"/>
    <w:rsid w:val="49B1408D"/>
    <w:rsid w:val="4A1262A4"/>
    <w:rsid w:val="4A7D4FD2"/>
    <w:rsid w:val="4A913C9A"/>
    <w:rsid w:val="4B1F70AC"/>
    <w:rsid w:val="4B240F94"/>
    <w:rsid w:val="4C0832E5"/>
    <w:rsid w:val="4C3C565C"/>
    <w:rsid w:val="4C7C718B"/>
    <w:rsid w:val="4CCC79C7"/>
    <w:rsid w:val="4D7555C7"/>
    <w:rsid w:val="4DC97FAC"/>
    <w:rsid w:val="4E6A7BE3"/>
    <w:rsid w:val="4EAE6DA0"/>
    <w:rsid w:val="4FE617D9"/>
    <w:rsid w:val="5016514B"/>
    <w:rsid w:val="50BD4DF3"/>
    <w:rsid w:val="50FC1A26"/>
    <w:rsid w:val="51723664"/>
    <w:rsid w:val="51CB1C78"/>
    <w:rsid w:val="51FD6A51"/>
    <w:rsid w:val="526B680A"/>
    <w:rsid w:val="52836F71"/>
    <w:rsid w:val="52D26B02"/>
    <w:rsid w:val="539F6DBD"/>
    <w:rsid w:val="541A5D30"/>
    <w:rsid w:val="55C1559C"/>
    <w:rsid w:val="55D55EC7"/>
    <w:rsid w:val="55F068CD"/>
    <w:rsid w:val="566C3136"/>
    <w:rsid w:val="568D04F2"/>
    <w:rsid w:val="57CA0F87"/>
    <w:rsid w:val="5A526582"/>
    <w:rsid w:val="5A5F5C77"/>
    <w:rsid w:val="5A711A0D"/>
    <w:rsid w:val="5B1613E4"/>
    <w:rsid w:val="5B78003B"/>
    <w:rsid w:val="5BC11A60"/>
    <w:rsid w:val="5C7A4D54"/>
    <w:rsid w:val="5CD23B73"/>
    <w:rsid w:val="5F127819"/>
    <w:rsid w:val="60350ED3"/>
    <w:rsid w:val="60B72AEE"/>
    <w:rsid w:val="61025188"/>
    <w:rsid w:val="61057D5F"/>
    <w:rsid w:val="6126068F"/>
    <w:rsid w:val="614D4977"/>
    <w:rsid w:val="62B26AD3"/>
    <w:rsid w:val="62FD1A73"/>
    <w:rsid w:val="63950E07"/>
    <w:rsid w:val="63C60FC0"/>
    <w:rsid w:val="63E268E8"/>
    <w:rsid w:val="64BA3D7A"/>
    <w:rsid w:val="64F179BC"/>
    <w:rsid w:val="665704D3"/>
    <w:rsid w:val="66D24120"/>
    <w:rsid w:val="671B17B8"/>
    <w:rsid w:val="67C065A4"/>
    <w:rsid w:val="67D359C9"/>
    <w:rsid w:val="68042537"/>
    <w:rsid w:val="68FE36DD"/>
    <w:rsid w:val="694A7FB1"/>
    <w:rsid w:val="694E60FC"/>
    <w:rsid w:val="69E95A08"/>
    <w:rsid w:val="6A256904"/>
    <w:rsid w:val="6B656832"/>
    <w:rsid w:val="6C675CE6"/>
    <w:rsid w:val="6D4F4321"/>
    <w:rsid w:val="6DF41B82"/>
    <w:rsid w:val="6DFF7360"/>
    <w:rsid w:val="6E533FCD"/>
    <w:rsid w:val="6E7A5F73"/>
    <w:rsid w:val="6E873A42"/>
    <w:rsid w:val="6EE90F9D"/>
    <w:rsid w:val="6FD74228"/>
    <w:rsid w:val="6FE80510"/>
    <w:rsid w:val="7021106F"/>
    <w:rsid w:val="71633091"/>
    <w:rsid w:val="72EC1B99"/>
    <w:rsid w:val="73081CA5"/>
    <w:rsid w:val="7372081D"/>
    <w:rsid w:val="73810E69"/>
    <w:rsid w:val="74201F7D"/>
    <w:rsid w:val="7487762D"/>
    <w:rsid w:val="74C33AA4"/>
    <w:rsid w:val="75210D7A"/>
    <w:rsid w:val="75385498"/>
    <w:rsid w:val="75F37776"/>
    <w:rsid w:val="76BC207F"/>
    <w:rsid w:val="76EB4904"/>
    <w:rsid w:val="77645DCD"/>
    <w:rsid w:val="777378F5"/>
    <w:rsid w:val="777A2D3C"/>
    <w:rsid w:val="78474930"/>
    <w:rsid w:val="79074B81"/>
    <w:rsid w:val="794F0939"/>
    <w:rsid w:val="79AF0FCA"/>
    <w:rsid w:val="7AF9279C"/>
    <w:rsid w:val="7AFA6433"/>
    <w:rsid w:val="7CC51958"/>
    <w:rsid w:val="7CD53DF9"/>
    <w:rsid w:val="7D097C86"/>
    <w:rsid w:val="7E2936C3"/>
    <w:rsid w:val="7E6411B9"/>
    <w:rsid w:val="7EBB01AE"/>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3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9"/>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autoRedefine/>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9"/>
    <w:autoRedefine/>
    <w:qFormat/>
    <w:uiPriority w:val="99"/>
    <w:rPr>
      <w:rFonts w:ascii="宋体" w:hAnsi="Courier New" w:eastAsiaTheme="minorEastAsia" w:cstheme="minorBidi"/>
      <w:szCs w:val="22"/>
    </w:rPr>
  </w:style>
  <w:style w:type="paragraph" w:styleId="13">
    <w:name w:val="Date"/>
    <w:basedOn w:val="1"/>
    <w:next w:val="1"/>
    <w:link w:val="46"/>
    <w:autoRedefine/>
    <w:qFormat/>
    <w:uiPriority w:val="0"/>
    <w:rPr>
      <w:rFonts w:ascii="Arial" w:hAnsi="Arial" w:eastAsia="宋体" w:cs="Arial"/>
      <w:b/>
      <w:sz w:val="28"/>
    </w:rPr>
  </w:style>
  <w:style w:type="paragraph" w:styleId="14">
    <w:name w:val="Balloon Text"/>
    <w:basedOn w:val="1"/>
    <w:link w:val="33"/>
    <w:autoRedefine/>
    <w:semiHidden/>
    <w:unhideWhenUsed/>
    <w:qFormat/>
    <w:uiPriority w:val="99"/>
    <w:rPr>
      <w:sz w:val="18"/>
      <w:szCs w:val="18"/>
    </w:rPr>
  </w:style>
  <w:style w:type="paragraph" w:styleId="15">
    <w:name w:val="footer"/>
    <w:basedOn w:val="1"/>
    <w:link w:val="38"/>
    <w:autoRedefine/>
    <w:unhideWhenUsed/>
    <w:qFormat/>
    <w:uiPriority w:val="99"/>
    <w:pPr>
      <w:tabs>
        <w:tab w:val="center" w:pos="4153"/>
        <w:tab w:val="right" w:pos="8306"/>
      </w:tabs>
      <w:snapToGrid w:val="0"/>
      <w:jc w:val="left"/>
    </w:pPr>
    <w:rPr>
      <w:sz w:val="18"/>
      <w:szCs w:val="18"/>
    </w:rPr>
  </w:style>
  <w:style w:type="paragraph" w:styleId="16">
    <w:name w:val="header"/>
    <w:basedOn w:val="1"/>
    <w:link w:val="3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List"/>
    <w:basedOn w:val="1"/>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autoRedefine/>
    <w:qFormat/>
    <w:uiPriority w:val="0"/>
    <w:pPr>
      <w:spacing w:before="100" w:beforeAutospacing="1" w:after="100" w:afterAutospacing="1"/>
      <w:jc w:val="left"/>
    </w:pPr>
    <w:rPr>
      <w:rFonts w:cs="Times New Roman"/>
      <w:kern w:val="0"/>
      <w:sz w:val="24"/>
    </w:rPr>
  </w:style>
  <w:style w:type="paragraph" w:styleId="21">
    <w:name w:val="index 1"/>
    <w:basedOn w:val="1"/>
    <w:next w:val="1"/>
    <w:autoRedefine/>
    <w:qFormat/>
    <w:uiPriority w:val="0"/>
    <w:pPr>
      <w:jc w:val="center"/>
    </w:pPr>
    <w:rPr>
      <w:rFonts w:ascii="Arial" w:hAnsi="Arial" w:eastAsia="Arial" w:cs="Arial"/>
      <w:b/>
      <w:bCs/>
      <w:sz w:val="28"/>
    </w:rPr>
  </w:style>
  <w:style w:type="paragraph" w:styleId="22">
    <w:name w:val="annotation subject"/>
    <w:basedOn w:val="7"/>
    <w:next w:val="7"/>
    <w:link w:val="59"/>
    <w:autoRedefine/>
    <w:semiHidden/>
    <w:unhideWhenUsed/>
    <w:qFormat/>
    <w:uiPriority w:val="99"/>
    <w:rPr>
      <w:rFonts w:ascii="@仿宋_GB2312" w:hAnsi="@仿宋_GB2312" w:eastAsia="@仿宋_GB2312" w:cs="@仿宋_GB2312"/>
      <w:b/>
      <w:bCs/>
    </w:rPr>
  </w:style>
  <w:style w:type="paragraph" w:styleId="23">
    <w:name w:val="Body Text First Indent"/>
    <w:basedOn w:val="8"/>
    <w:autoRedefine/>
    <w:unhideWhenUsed/>
    <w:qFormat/>
    <w:uiPriority w:val="99"/>
    <w:pPr>
      <w:ind w:firstLine="420" w:firstLineChars="100"/>
    </w:pPr>
  </w:style>
  <w:style w:type="paragraph" w:styleId="24">
    <w:name w:val="Body Text First Indent 2"/>
    <w:basedOn w:val="9"/>
    <w:next w:val="18"/>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Emphasis"/>
    <w:basedOn w:val="27"/>
    <w:qFormat/>
    <w:uiPriority w:val="0"/>
    <w:rPr>
      <w:i/>
    </w:rPr>
  </w:style>
  <w:style w:type="character" w:styleId="30">
    <w:name w:val="Hyperlink"/>
    <w:basedOn w:val="27"/>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7"/>
    <w:autoRedefine/>
    <w:semiHidden/>
    <w:unhideWhenUsed/>
    <w:qFormat/>
    <w:uiPriority w:val="99"/>
    <w:rPr>
      <w:sz w:val="21"/>
      <w:szCs w:val="21"/>
    </w:rPr>
  </w:style>
  <w:style w:type="character" w:customStyle="1" w:styleId="32">
    <w:name w:val="标题 1 Char"/>
    <w:basedOn w:val="27"/>
    <w:link w:val="2"/>
    <w:autoRedefine/>
    <w:qFormat/>
    <w:uiPriority w:val="9"/>
    <w:rPr>
      <w:rFonts w:ascii="@仿宋_GB2312" w:hAnsi="@仿宋_GB2312" w:eastAsia="@仿宋_GB2312" w:cs="@仿宋_GB2312"/>
      <w:b/>
      <w:bCs/>
      <w:kern w:val="44"/>
      <w:sz w:val="44"/>
      <w:szCs w:val="44"/>
    </w:rPr>
  </w:style>
  <w:style w:type="character" w:customStyle="1" w:styleId="33">
    <w:name w:val="批注框文本 Char"/>
    <w:basedOn w:val="27"/>
    <w:link w:val="14"/>
    <w:autoRedefine/>
    <w:semiHidden/>
    <w:qFormat/>
    <w:uiPriority w:val="99"/>
    <w:rPr>
      <w:rFonts w:ascii="@仿宋_GB2312" w:hAnsi="@仿宋_GB2312" w:eastAsia="@仿宋_GB2312" w:cs="@仿宋_GB2312"/>
      <w:sz w:val="18"/>
      <w:szCs w:val="18"/>
    </w:rPr>
  </w:style>
  <w:style w:type="paragraph" w:customStyle="1" w:styleId="34">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6">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7"/>
    <w:link w:val="16"/>
    <w:autoRedefine/>
    <w:qFormat/>
    <w:uiPriority w:val="99"/>
    <w:rPr>
      <w:rFonts w:ascii="@仿宋_GB2312" w:hAnsi="@仿宋_GB2312" w:eastAsia="@仿宋_GB2312" w:cs="@仿宋_GB2312"/>
      <w:sz w:val="18"/>
      <w:szCs w:val="18"/>
    </w:rPr>
  </w:style>
  <w:style w:type="character" w:customStyle="1" w:styleId="38">
    <w:name w:val="页脚 Char"/>
    <w:basedOn w:val="27"/>
    <w:link w:val="15"/>
    <w:autoRedefine/>
    <w:qFormat/>
    <w:uiPriority w:val="99"/>
    <w:rPr>
      <w:rFonts w:ascii="@仿宋_GB2312" w:hAnsi="@仿宋_GB2312" w:eastAsia="@仿宋_GB2312" w:cs="@仿宋_GB2312"/>
      <w:sz w:val="18"/>
      <w:szCs w:val="18"/>
    </w:rPr>
  </w:style>
  <w:style w:type="character" w:customStyle="1" w:styleId="39">
    <w:name w:val="纯文本 Char"/>
    <w:link w:val="12"/>
    <w:autoRedefine/>
    <w:qFormat/>
    <w:uiPriority w:val="0"/>
    <w:rPr>
      <w:rFonts w:ascii="宋体" w:hAnsi="Courier New"/>
    </w:rPr>
  </w:style>
  <w:style w:type="character" w:customStyle="1" w:styleId="40">
    <w:name w:val="纯文本 字符1"/>
    <w:basedOn w:val="27"/>
    <w:autoRedefine/>
    <w:semiHidden/>
    <w:qFormat/>
    <w:uiPriority w:val="99"/>
    <w:rPr>
      <w:rFonts w:hAnsi="Courier New" w:cs="Courier New" w:asciiTheme="minorEastAsia"/>
      <w:szCs w:val="20"/>
    </w:rPr>
  </w:style>
  <w:style w:type="character" w:customStyle="1" w:styleId="41">
    <w:name w:val="未处理的提及1"/>
    <w:basedOn w:val="27"/>
    <w:autoRedefine/>
    <w:semiHidden/>
    <w:unhideWhenUsed/>
    <w:qFormat/>
    <w:uiPriority w:val="99"/>
    <w:rPr>
      <w:color w:val="605E5C"/>
      <w:shd w:val="clear" w:color="auto" w:fill="E1DFDD"/>
    </w:rPr>
  </w:style>
  <w:style w:type="paragraph" w:styleId="42">
    <w:name w:val="List Paragraph"/>
    <w:basedOn w:val="1"/>
    <w:autoRedefine/>
    <w:qFormat/>
    <w:uiPriority w:val="34"/>
    <w:pPr>
      <w:ind w:firstLine="420" w:firstLineChars="200"/>
    </w:pPr>
  </w:style>
  <w:style w:type="paragraph" w:customStyle="1" w:styleId="43">
    <w:name w:val="Char Char Char Char Char Char Char1 Char"/>
    <w:basedOn w:val="1"/>
    <w:autoRedefine/>
    <w:qFormat/>
    <w:uiPriority w:val="0"/>
    <w:rPr>
      <w:rFonts w:ascii="Arial" w:hAnsi="Arial" w:eastAsia="宋体" w:cs="Arial"/>
      <w:sz w:val="24"/>
    </w:rPr>
  </w:style>
  <w:style w:type="table" w:customStyle="1" w:styleId="44">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5">
    <w:name w:val="日期 字符"/>
    <w:basedOn w:val="27"/>
    <w:autoRedefine/>
    <w:semiHidden/>
    <w:qFormat/>
    <w:uiPriority w:val="99"/>
    <w:rPr>
      <w:rFonts w:ascii="@仿宋_GB2312" w:hAnsi="@仿宋_GB2312" w:eastAsia="@仿宋_GB2312" w:cs="@仿宋_GB2312"/>
      <w:szCs w:val="20"/>
    </w:rPr>
  </w:style>
  <w:style w:type="character" w:customStyle="1" w:styleId="46">
    <w:name w:val="日期 Char"/>
    <w:link w:val="13"/>
    <w:autoRedefine/>
    <w:qFormat/>
    <w:uiPriority w:val="0"/>
    <w:rPr>
      <w:rFonts w:ascii="Arial" w:hAnsi="Arial" w:eastAsia="宋体" w:cs="Arial"/>
      <w:b/>
      <w:sz w:val="28"/>
      <w:szCs w:val="20"/>
    </w:rPr>
  </w:style>
  <w:style w:type="character" w:customStyle="1" w:styleId="47">
    <w:name w:val="纯文本 Char1"/>
    <w:autoRedefine/>
    <w:qFormat/>
    <w:locked/>
    <w:uiPriority w:val="99"/>
    <w:rPr>
      <w:rFonts w:ascii="Arial" w:hAnsi="Arial" w:eastAsia="Arial"/>
      <w:kern w:val="2"/>
      <w:sz w:val="21"/>
      <w:lang w:val="en-US" w:eastAsia="zh-CN" w:bidi="ar-SA"/>
    </w:rPr>
  </w:style>
  <w:style w:type="character" w:customStyle="1" w:styleId="48">
    <w:name w:val="批注文字 Char"/>
    <w:basedOn w:val="27"/>
    <w:autoRedefine/>
    <w:semiHidden/>
    <w:qFormat/>
    <w:uiPriority w:val="99"/>
    <w:rPr>
      <w:rFonts w:ascii="@仿宋_GB2312" w:hAnsi="@仿宋_GB2312" w:eastAsia="@仿宋_GB2312" w:cs="@仿宋_GB2312"/>
      <w:szCs w:val="20"/>
    </w:rPr>
  </w:style>
  <w:style w:type="character" w:customStyle="1" w:styleId="49">
    <w:name w:val="批注文字 Char1"/>
    <w:link w:val="7"/>
    <w:autoRedefine/>
    <w:qFormat/>
    <w:uiPriority w:val="0"/>
    <w:rPr>
      <w:rFonts w:ascii="Arial" w:hAnsi="Arial" w:eastAsia="黑体" w:cs="Arial"/>
      <w:szCs w:val="20"/>
    </w:rPr>
  </w:style>
  <w:style w:type="paragraph" w:customStyle="1" w:styleId="50">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52">
    <w:name w:val="fontstyle01"/>
    <w:basedOn w:val="27"/>
    <w:autoRedefine/>
    <w:qFormat/>
    <w:uiPriority w:val="0"/>
    <w:rPr>
      <w:rFonts w:hint="eastAsia" w:ascii="宋体" w:hAnsi="宋体" w:eastAsia="宋体"/>
      <w:color w:val="000000"/>
      <w:sz w:val="22"/>
      <w:szCs w:val="22"/>
    </w:rPr>
  </w:style>
  <w:style w:type="character" w:customStyle="1" w:styleId="53">
    <w:name w:val="fontstyle21"/>
    <w:basedOn w:val="27"/>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5"/>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9"/>
    <w:link w:val="22"/>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 w:val="21"/>
      <w:szCs w:val="21"/>
      <w:lang w:val="en-US" w:eastAsia="en-US" w:bidi="ar-SA"/>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79</Pages>
  <Words>1937</Words>
  <Characters>2305</Characters>
  <Lines>244</Lines>
  <Paragraphs>68</Paragraphs>
  <TotalTime>31</TotalTime>
  <ScaleCrop>false</ScaleCrop>
  <LinksUpToDate>false</LinksUpToDate>
  <CharactersWithSpaces>2420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汐</cp:lastModifiedBy>
  <cp:lastPrinted>2019-12-07T15:18:00Z</cp:lastPrinted>
  <dcterms:modified xsi:type="dcterms:W3CDTF">2026-07-27T03:56:42Z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1164A3BB45A446A7A64813C234CFBB16_13</vt:lpwstr>
  </property>
  <property fmtid="{D5CDD505-2E9C-101B-9397-08002B2CF9AE}" pid="4" name="KSOTemplateDocerSaveRecord">
    <vt:lpwstr>eyJoZGlkIjoiZGUxYjliNTZmNWNiZTliMTdjYzZkNDk3ODI2ZjE5OGEiLCJ1c2VySWQiOiI1MTkxNzM5MzIifQ==</vt:lpwstr>
  </property>
</Properties>
</file>