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D47C7">
      <w:pPr>
        <w:spacing w:line="360" w:lineRule="auto"/>
        <w:jc w:val="center"/>
        <w:outlineLvl w:val="0"/>
        <w:rPr>
          <w:rFonts w:asciiTheme="minorEastAsia" w:hAnsiTheme="minorEastAsia" w:eastAsiaTheme="minorEastAsia"/>
          <w:b/>
          <w:sz w:val="28"/>
        </w:rPr>
      </w:pPr>
      <w:bookmarkStart w:id="0" w:name="_Toc9818"/>
      <w:bookmarkStart w:id="1" w:name="_Toc31921"/>
      <w:r>
        <w:rPr>
          <w:rFonts w:hint="eastAsia" w:asciiTheme="minorEastAsia" w:hAnsiTheme="minorEastAsia" w:eastAsiaTheme="minorEastAsia"/>
          <w:b/>
          <w:sz w:val="28"/>
        </w:rPr>
        <w:t>第三章  采购需求</w:t>
      </w:r>
      <w:bookmarkEnd w:id="0"/>
      <w:bookmarkEnd w:id="1"/>
    </w:p>
    <w:p w14:paraId="7427D83B">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前注：</w:t>
      </w:r>
    </w:p>
    <w:p w14:paraId="75B8C069">
      <w:pPr>
        <w:spacing w:line="360" w:lineRule="auto"/>
        <w:ind w:firstLine="435"/>
        <w:rPr>
          <w:rFonts w:ascii="宋体" w:hAnsi="宋体" w:eastAsia="宋体"/>
          <w:sz w:val="24"/>
          <w:szCs w:val="18"/>
        </w:rPr>
      </w:pPr>
      <w:r>
        <w:rPr>
          <w:rFonts w:hint="eastAsia" w:asciiTheme="minorEastAsia" w:hAnsiTheme="minorEastAsia" w:eastAsiaTheme="minorEastAsia"/>
          <w:sz w:val="24"/>
        </w:rPr>
        <w:t>1.</w:t>
      </w:r>
      <w:r>
        <w:rPr>
          <w:rFonts w:ascii="宋体" w:hAnsi="宋体" w:eastAsia="宋体"/>
          <w:sz w:val="24"/>
          <w:szCs w:val="18"/>
        </w:rPr>
        <w:t>根据《</w:t>
      </w:r>
      <w:r>
        <w:rPr>
          <w:rFonts w:hint="eastAsia" w:ascii="宋体" w:hAnsi="宋体" w:eastAsia="宋体"/>
          <w:sz w:val="24"/>
          <w:szCs w:val="18"/>
        </w:rPr>
        <w:t>政府采购进口产品管理办法</w:t>
      </w:r>
      <w:r>
        <w:rPr>
          <w:rFonts w:ascii="宋体" w:hAnsi="宋体" w:eastAsia="宋体"/>
          <w:sz w:val="24"/>
          <w:szCs w:val="18"/>
        </w:rPr>
        <w:t>》及政府采购管理部门的相关规定，下列采购需求中</w:t>
      </w:r>
      <w:r>
        <w:rPr>
          <w:rFonts w:hint="eastAsia" w:ascii="宋体" w:hAnsi="宋体" w:eastAsia="宋体"/>
          <w:sz w:val="24"/>
          <w:szCs w:val="18"/>
        </w:rPr>
        <w:t>标注进口产品的货物均</w:t>
      </w:r>
      <w:r>
        <w:rPr>
          <w:rFonts w:ascii="宋体" w:hAnsi="宋体" w:eastAsia="宋体"/>
          <w:sz w:val="24"/>
          <w:szCs w:val="18"/>
        </w:rPr>
        <w:t>已履行相关论证手续，经核准采购进口</w:t>
      </w:r>
      <w:r>
        <w:rPr>
          <w:rFonts w:hint="eastAsia" w:ascii="宋体" w:hAnsi="宋体" w:eastAsia="宋体"/>
          <w:sz w:val="24"/>
          <w:szCs w:val="18"/>
        </w:rPr>
        <w:t>产品</w:t>
      </w:r>
      <w:r>
        <w:rPr>
          <w:rFonts w:ascii="宋体" w:hAnsi="宋体" w:eastAsia="宋体"/>
          <w:sz w:val="24"/>
          <w:szCs w:val="18"/>
        </w:rPr>
        <w:t>，但不限制满足招标文件要求的国内产品参与竞争</w:t>
      </w:r>
      <w:r>
        <w:rPr>
          <w:rFonts w:hint="eastAsia" w:ascii="宋体" w:hAnsi="宋体" w:eastAsia="宋体"/>
          <w:sz w:val="24"/>
          <w:szCs w:val="18"/>
        </w:rPr>
        <w:t>。未标注进口产品的货物均</w:t>
      </w:r>
      <w:r>
        <w:rPr>
          <w:rFonts w:ascii="宋体" w:hAnsi="宋体" w:eastAsia="宋体"/>
          <w:sz w:val="24"/>
          <w:szCs w:val="18"/>
        </w:rPr>
        <w:t>为拒绝采购进口产品</w:t>
      </w:r>
      <w:r>
        <w:rPr>
          <w:rFonts w:hint="eastAsia" w:ascii="宋体" w:hAnsi="宋体" w:eastAsia="宋体"/>
          <w:sz w:val="24"/>
          <w:szCs w:val="18"/>
        </w:rPr>
        <w:t>。</w:t>
      </w:r>
    </w:p>
    <w:p w14:paraId="7CFCF689">
      <w:pPr>
        <w:spacing w:line="360" w:lineRule="auto"/>
        <w:ind w:firstLine="435"/>
        <w:rPr>
          <w:rFonts w:ascii="宋体" w:hAnsi="宋体" w:eastAsia="宋体"/>
          <w:sz w:val="24"/>
          <w:szCs w:val="18"/>
        </w:rPr>
      </w:pPr>
      <w:r>
        <w:rPr>
          <w:rFonts w:hint="eastAsia" w:ascii="宋体" w:hAnsi="宋体" w:eastAsia="宋体"/>
          <w:sz w:val="24"/>
          <w:szCs w:val="18"/>
        </w:rPr>
        <w:t>2.</w:t>
      </w:r>
      <w:r>
        <w:rPr>
          <w:rFonts w:ascii="宋体" w:hAnsi="宋体" w:eastAsia="宋体" w:cs="宋体"/>
          <w:sz w:val="24"/>
          <w:szCs w:val="24"/>
        </w:rPr>
        <w:t>政府采购政策（包括但不限于下列具体政策要求</w:t>
      </w:r>
      <w:r>
        <w:rPr>
          <w:rFonts w:hint="eastAsia" w:ascii="宋体" w:hAnsi="宋体" w:eastAsia="宋体" w:cs="宋体"/>
          <w:sz w:val="24"/>
          <w:szCs w:val="24"/>
        </w:rPr>
        <w:t>）</w:t>
      </w:r>
      <w:r>
        <w:rPr>
          <w:rFonts w:hint="eastAsia" w:ascii="宋体" w:hAnsi="宋体" w:eastAsia="宋体"/>
          <w:sz w:val="24"/>
          <w:szCs w:val="18"/>
        </w:rPr>
        <w:t>：</w:t>
      </w:r>
    </w:p>
    <w:p w14:paraId="56E11D73">
      <w:pPr>
        <w:spacing w:line="360" w:lineRule="auto"/>
        <w:ind w:firstLine="435"/>
        <w:rPr>
          <w:rFonts w:ascii="宋体" w:hAnsi="宋体" w:eastAsia="宋体" w:cs="宋体"/>
          <w:sz w:val="24"/>
          <w:szCs w:val="24"/>
        </w:rPr>
      </w:pPr>
      <w:r>
        <w:rPr>
          <w:rFonts w:hint="eastAsia" w:ascii="宋体" w:hAnsi="宋体" w:eastAsia="宋体" w:cs="宋体"/>
          <w:sz w:val="24"/>
          <w:szCs w:val="24"/>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76EF017F">
      <w:pPr>
        <w:spacing w:line="360" w:lineRule="auto"/>
        <w:ind w:firstLine="435"/>
        <w:rPr>
          <w:rFonts w:ascii="宋体" w:hAnsi="宋体" w:eastAsia="宋体" w:cs="宋体"/>
          <w:sz w:val="24"/>
          <w:szCs w:val="24"/>
        </w:rPr>
      </w:pPr>
      <w:r>
        <w:rPr>
          <w:rFonts w:hint="eastAsia" w:ascii="宋体" w:hAnsi="宋体" w:eastAsia="宋体" w:cs="宋体"/>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1095B6EF">
      <w:pPr>
        <w:spacing w:line="360" w:lineRule="auto"/>
        <w:ind w:firstLine="435"/>
      </w:pPr>
      <w:r>
        <w:rPr>
          <w:rFonts w:hint="eastAsia" w:ascii="宋体" w:hAnsi="宋体" w:eastAsia="宋体" w:cs="宋体"/>
          <w:sz w:val="24"/>
          <w:szCs w:val="24"/>
        </w:rPr>
        <w:t>3.</w:t>
      </w:r>
      <w:r>
        <w:rPr>
          <w:rFonts w:hint="eastAsia" w:ascii="宋体" w:hAnsi="宋体" w:eastAsia="宋体"/>
          <w:sz w:val="24"/>
          <w:szCs w:val="18"/>
        </w:rPr>
        <w:t>如采购人允许采用分包方式履行合同的，应当明确可以分包履行的相关内容。</w:t>
      </w:r>
    </w:p>
    <w:p w14:paraId="725E3E0A">
      <w:pPr>
        <w:spacing w:line="360" w:lineRule="auto"/>
        <w:ind w:firstLine="437"/>
        <w:outlineLvl w:val="1"/>
        <w:rPr>
          <w:rFonts w:ascii="宋体" w:hAnsi="宋体" w:eastAsia="宋体"/>
          <w:b/>
          <w:sz w:val="24"/>
          <w:szCs w:val="18"/>
        </w:rPr>
      </w:pPr>
      <w:bookmarkStart w:id="2" w:name="_Toc30497"/>
      <w:bookmarkStart w:id="3" w:name="_Toc2554"/>
      <w:bookmarkStart w:id="4" w:name="_Toc32151"/>
      <w:r>
        <w:rPr>
          <w:rFonts w:hint="eastAsia" w:ascii="宋体" w:hAnsi="宋体" w:eastAsia="宋体"/>
          <w:b/>
          <w:sz w:val="24"/>
          <w:szCs w:val="18"/>
        </w:rPr>
        <w:t>一、采购需求前附表</w:t>
      </w:r>
      <w:bookmarkEnd w:id="2"/>
      <w:bookmarkEnd w:id="3"/>
      <w:bookmarkEnd w:id="4"/>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10440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00E63F5">
            <w:pPr>
              <w:pStyle w:val="35"/>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1192" w:type="pct"/>
            <w:vAlign w:val="center"/>
          </w:tcPr>
          <w:p w14:paraId="23B2669C">
            <w:pPr>
              <w:pStyle w:val="34"/>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3217" w:type="pct"/>
            <w:vAlign w:val="center"/>
          </w:tcPr>
          <w:p w14:paraId="75C0278F">
            <w:pPr>
              <w:pStyle w:val="34"/>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14:paraId="524E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9B8DD14">
            <w:pPr>
              <w:pStyle w:val="35"/>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1192" w:type="pct"/>
            <w:vAlign w:val="center"/>
          </w:tcPr>
          <w:p w14:paraId="09484249">
            <w:pPr>
              <w:pStyle w:val="34"/>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3217" w:type="pct"/>
            <w:vAlign w:val="center"/>
          </w:tcPr>
          <w:p w14:paraId="26D581BF">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本项目货到安装验收合格，提供产品的使用、操作及维修人员的培训，并能独立操作且使用部门签字确认后，采购人支付全部货款。</w:t>
            </w:r>
          </w:p>
          <w:p w14:paraId="0DBB6D7F">
            <w:pPr>
              <w:pStyle w:val="34"/>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rPr>
              <w:t>上述要求不允许负偏离。否则，按无效响应文件处理。</w:t>
            </w:r>
          </w:p>
        </w:tc>
      </w:tr>
      <w:tr w14:paraId="4D08E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AFBA600">
            <w:pPr>
              <w:pStyle w:val="35"/>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1192" w:type="pct"/>
            <w:vAlign w:val="center"/>
          </w:tcPr>
          <w:p w14:paraId="2C77DBB1">
            <w:pPr>
              <w:pStyle w:val="34"/>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供货及安装地点</w:t>
            </w:r>
          </w:p>
        </w:tc>
        <w:tc>
          <w:tcPr>
            <w:tcW w:w="3217" w:type="pct"/>
            <w:vAlign w:val="center"/>
          </w:tcPr>
          <w:p w14:paraId="4408AC60">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采购人指定地点。</w:t>
            </w:r>
          </w:p>
        </w:tc>
      </w:tr>
      <w:tr w14:paraId="5FB7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9A727AF">
            <w:pPr>
              <w:pStyle w:val="35"/>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1192" w:type="pct"/>
            <w:vAlign w:val="center"/>
          </w:tcPr>
          <w:p w14:paraId="4153B3E3">
            <w:pPr>
              <w:pStyle w:val="34"/>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供货及安装期限</w:t>
            </w:r>
          </w:p>
        </w:tc>
        <w:tc>
          <w:tcPr>
            <w:tcW w:w="3217" w:type="pct"/>
            <w:vAlign w:val="center"/>
          </w:tcPr>
          <w:p w14:paraId="0B710ECE">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合同签订后接采购人通知30个日历天内完成供货、安装、调试等工作</w:t>
            </w:r>
          </w:p>
        </w:tc>
      </w:tr>
      <w:tr w14:paraId="5E9A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1C4211D">
            <w:pPr>
              <w:pStyle w:val="35"/>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1192" w:type="pct"/>
            <w:vAlign w:val="center"/>
          </w:tcPr>
          <w:p w14:paraId="3D77EF7F">
            <w:pPr>
              <w:pStyle w:val="34"/>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免费质保期</w:t>
            </w:r>
          </w:p>
        </w:tc>
        <w:tc>
          <w:tcPr>
            <w:tcW w:w="3217" w:type="pct"/>
            <w:vAlign w:val="center"/>
          </w:tcPr>
          <w:p w14:paraId="72D66F8B">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验收合格之日起</w:t>
            </w:r>
            <w:r>
              <w:rPr>
                <w:rFonts w:hint="eastAsia" w:ascii="宋体" w:hAnsi="宋体" w:eastAsia="宋体"/>
                <w:b w:val="0"/>
                <w:sz w:val="24"/>
                <w:lang w:val="en-US" w:eastAsia="zh-CN"/>
              </w:rPr>
              <w:t>八</w:t>
            </w:r>
            <w:r>
              <w:rPr>
                <w:rFonts w:hint="eastAsia" w:ascii="宋体" w:hAnsi="宋体" w:eastAsia="宋体"/>
                <w:b w:val="0"/>
                <w:sz w:val="24"/>
              </w:rPr>
              <w:t>年</w:t>
            </w:r>
          </w:p>
        </w:tc>
      </w:tr>
      <w:tr w14:paraId="6BBD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03409F2">
            <w:pPr>
              <w:pStyle w:val="35"/>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5</w:t>
            </w:r>
          </w:p>
        </w:tc>
        <w:tc>
          <w:tcPr>
            <w:tcW w:w="1192" w:type="pct"/>
            <w:vAlign w:val="center"/>
          </w:tcPr>
          <w:p w14:paraId="3C63632F">
            <w:pPr>
              <w:pStyle w:val="34"/>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医疗器械注册证（或医疗器械备案材料）</w:t>
            </w:r>
          </w:p>
        </w:tc>
        <w:tc>
          <w:tcPr>
            <w:tcW w:w="3217" w:type="pct"/>
            <w:vAlign w:val="center"/>
          </w:tcPr>
          <w:p w14:paraId="6A24E7D0">
            <w:pPr>
              <w:pStyle w:val="34"/>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投标产品须具有有效的医疗器械注册证（属于二类、三类时）；投标产品纳入备案管理时（属于一类时），须在投标文件中提供备案材料或承诺函（承诺在合同签订前提供所投产品的备案证明材料，若未按规定提供视为自动放弃中标资格）。</w:t>
            </w:r>
          </w:p>
        </w:tc>
      </w:tr>
    </w:tbl>
    <w:p w14:paraId="69F876F4">
      <w:pPr>
        <w:spacing w:line="360" w:lineRule="auto"/>
        <w:ind w:firstLine="437"/>
        <w:outlineLvl w:val="1"/>
        <w:rPr>
          <w:rFonts w:ascii="宋体" w:hAnsi="宋体" w:eastAsia="宋体"/>
          <w:b/>
          <w:sz w:val="24"/>
          <w:szCs w:val="18"/>
        </w:rPr>
      </w:pPr>
      <w:bookmarkStart w:id="5" w:name="_Toc27704"/>
      <w:r>
        <w:rPr>
          <w:rFonts w:hint="eastAsia" w:ascii="宋体" w:hAnsi="宋体" w:eastAsia="宋体"/>
          <w:b/>
          <w:sz w:val="24"/>
          <w:szCs w:val="18"/>
        </w:rPr>
        <w:t>二、货物需求</w:t>
      </w:r>
      <w:bookmarkEnd w:id="5"/>
    </w:p>
    <w:p w14:paraId="3B4E7DEA">
      <w:pPr>
        <w:pStyle w:val="64"/>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（一）货物指标重要性表述</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1"/>
        <w:gridCol w:w="1359"/>
        <w:gridCol w:w="5472"/>
      </w:tblGrid>
      <w:tr w14:paraId="3871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2" w:type="pct"/>
            <w:vAlign w:val="center"/>
          </w:tcPr>
          <w:p w14:paraId="2E398B59">
            <w:pPr>
              <w:widowControl/>
              <w:jc w:val="center"/>
              <w:rPr>
                <w:rFonts w:ascii="宋体" w:hAnsi="宋体" w:eastAsia="宋体" w:cs="宋体"/>
                <w:b/>
                <w:bCs/>
                <w:sz w:val="24"/>
                <w:szCs w:val="24"/>
              </w:rPr>
            </w:pPr>
            <w:r>
              <w:rPr>
                <w:rFonts w:hint="eastAsia" w:ascii="宋体" w:hAnsi="宋体" w:eastAsia="宋体" w:cs="宋体"/>
                <w:b/>
                <w:bCs/>
                <w:sz w:val="24"/>
                <w:szCs w:val="24"/>
              </w:rPr>
              <w:t>标识重要性</w:t>
            </w:r>
          </w:p>
        </w:tc>
        <w:tc>
          <w:tcPr>
            <w:tcW w:w="797" w:type="pct"/>
            <w:vAlign w:val="center"/>
          </w:tcPr>
          <w:p w14:paraId="3DB10417">
            <w:pPr>
              <w:pStyle w:val="64"/>
              <w:spacing w:line="360" w:lineRule="auto"/>
              <w:jc w:val="center"/>
              <w:rPr>
                <w:rFonts w:ascii="宋体" w:hAnsi="宋体" w:eastAsia="宋体" w:cs="宋体"/>
                <w:b/>
                <w:bCs/>
                <w:sz w:val="24"/>
                <w:szCs w:val="24"/>
              </w:rPr>
            </w:pPr>
            <w:r>
              <w:rPr>
                <w:rFonts w:hint="eastAsia" w:ascii="宋体" w:hAnsi="宋体" w:eastAsia="宋体" w:cs="宋体"/>
                <w:b/>
                <w:bCs/>
                <w:sz w:val="24"/>
                <w:szCs w:val="24"/>
              </w:rPr>
              <w:t>标识符号</w:t>
            </w:r>
          </w:p>
        </w:tc>
        <w:tc>
          <w:tcPr>
            <w:tcW w:w="3209" w:type="pct"/>
            <w:vAlign w:val="center"/>
          </w:tcPr>
          <w:p w14:paraId="6115EB0D">
            <w:pPr>
              <w:widowControl/>
              <w:jc w:val="center"/>
              <w:rPr>
                <w:rFonts w:ascii="宋体" w:hAnsi="宋体" w:eastAsia="宋体" w:cs="宋体"/>
                <w:b/>
                <w:bCs/>
                <w:sz w:val="24"/>
                <w:szCs w:val="24"/>
              </w:rPr>
            </w:pPr>
            <w:r>
              <w:rPr>
                <w:rFonts w:hint="eastAsia" w:ascii="宋体" w:hAnsi="宋体" w:eastAsia="宋体" w:cs="宋体"/>
                <w:b/>
                <w:bCs/>
                <w:sz w:val="24"/>
                <w:szCs w:val="24"/>
              </w:rPr>
              <w:t>代表意思</w:t>
            </w:r>
          </w:p>
        </w:tc>
      </w:tr>
      <w:tr w14:paraId="370B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226A3537">
            <w:pPr>
              <w:pStyle w:val="64"/>
              <w:spacing w:line="360" w:lineRule="auto"/>
              <w:jc w:val="center"/>
              <w:rPr>
                <w:rFonts w:ascii="宋体" w:hAnsi="宋体" w:eastAsia="宋体" w:cs="宋体"/>
                <w:sz w:val="24"/>
                <w:szCs w:val="24"/>
              </w:rPr>
            </w:pPr>
            <w:r>
              <w:rPr>
                <w:rFonts w:hint="eastAsia" w:ascii="宋体" w:hAnsi="宋体" w:eastAsia="宋体" w:cs="宋体"/>
                <w:sz w:val="24"/>
                <w:szCs w:val="24"/>
              </w:rPr>
              <w:t>核心产品</w:t>
            </w:r>
          </w:p>
        </w:tc>
        <w:tc>
          <w:tcPr>
            <w:tcW w:w="797" w:type="pct"/>
            <w:vAlign w:val="center"/>
          </w:tcPr>
          <w:p w14:paraId="7A215939">
            <w:pPr>
              <w:pStyle w:val="64"/>
              <w:spacing w:line="360" w:lineRule="auto"/>
              <w:jc w:val="center"/>
              <w:rPr>
                <w:rFonts w:ascii="宋体" w:hAnsi="宋体" w:eastAsia="宋体" w:cs="宋体"/>
                <w:bCs/>
                <w:sz w:val="24"/>
                <w:szCs w:val="24"/>
              </w:rPr>
            </w:pPr>
            <w:r>
              <w:rPr>
                <w:rFonts w:hint="eastAsia" w:ascii="宋体" w:hAnsi="宋体" w:eastAsia="宋体" w:cs="宋体"/>
                <w:bCs/>
                <w:sz w:val="24"/>
                <w:szCs w:val="24"/>
              </w:rPr>
              <w:t>▲</w:t>
            </w:r>
          </w:p>
        </w:tc>
        <w:tc>
          <w:tcPr>
            <w:tcW w:w="3209" w:type="pct"/>
            <w:vAlign w:val="center"/>
          </w:tcPr>
          <w:p w14:paraId="427F739C">
            <w:pPr>
              <w:widowControl/>
              <w:spacing w:line="360" w:lineRule="auto"/>
              <w:rPr>
                <w:rFonts w:ascii="宋体" w:hAnsi="宋体" w:eastAsia="宋体" w:cs="宋体"/>
                <w:kern w:val="0"/>
                <w:sz w:val="24"/>
                <w:szCs w:val="24"/>
              </w:rPr>
            </w:pPr>
            <w:r>
              <w:rPr>
                <w:rFonts w:hint="eastAsia" w:ascii="宋体" w:hAnsi="宋体" w:eastAsia="宋体" w:cs="宋体"/>
                <w:kern w:val="0"/>
                <w:sz w:val="24"/>
                <w:szCs w:val="24"/>
              </w:rPr>
              <w:t>主要标的（包括核心产品）</w:t>
            </w:r>
          </w:p>
        </w:tc>
      </w:tr>
      <w:tr w14:paraId="17239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3786074E">
            <w:pPr>
              <w:pStyle w:val="64"/>
              <w:spacing w:line="360" w:lineRule="auto"/>
              <w:jc w:val="center"/>
              <w:rPr>
                <w:rFonts w:ascii="宋体" w:hAnsi="宋体" w:eastAsia="宋体" w:cs="宋体"/>
                <w:sz w:val="24"/>
                <w:szCs w:val="24"/>
              </w:rPr>
            </w:pPr>
            <w:r>
              <w:rPr>
                <w:rFonts w:hint="eastAsia" w:ascii="宋体" w:hAnsi="宋体" w:eastAsia="宋体" w:cs="宋体"/>
                <w:sz w:val="24"/>
                <w:szCs w:val="24"/>
              </w:rPr>
              <w:t>实质性指标项</w:t>
            </w:r>
          </w:p>
        </w:tc>
        <w:tc>
          <w:tcPr>
            <w:tcW w:w="797" w:type="pct"/>
            <w:vAlign w:val="center"/>
          </w:tcPr>
          <w:p w14:paraId="26F8F795">
            <w:pPr>
              <w:pStyle w:val="64"/>
              <w:spacing w:line="360" w:lineRule="auto"/>
              <w:jc w:val="center"/>
              <w:rPr>
                <w:rFonts w:ascii="宋体" w:hAnsi="宋体" w:eastAsia="宋体" w:cs="宋体"/>
                <w:b/>
                <w:bCs/>
                <w:sz w:val="24"/>
                <w:szCs w:val="24"/>
              </w:rPr>
            </w:pPr>
            <w:r>
              <w:rPr>
                <w:rFonts w:hint="eastAsia" w:ascii="宋体" w:hAnsi="宋体" w:eastAsia="宋体" w:cs="宋体"/>
                <w:bCs/>
                <w:sz w:val="24"/>
                <w:szCs w:val="24"/>
              </w:rPr>
              <w:t>■</w:t>
            </w:r>
          </w:p>
        </w:tc>
        <w:tc>
          <w:tcPr>
            <w:tcW w:w="3209" w:type="pct"/>
            <w:vAlign w:val="center"/>
          </w:tcPr>
          <w:p w14:paraId="1820F490">
            <w:pPr>
              <w:widowControl/>
              <w:spacing w:line="360" w:lineRule="auto"/>
              <w:rPr>
                <w:rFonts w:ascii="宋体" w:hAnsi="宋体" w:eastAsia="宋体" w:cs="宋体"/>
                <w:kern w:val="0"/>
                <w:sz w:val="24"/>
                <w:szCs w:val="24"/>
              </w:rPr>
            </w:pPr>
            <w:r>
              <w:rPr>
                <w:rFonts w:hint="eastAsia" w:ascii="宋体" w:hAnsi="宋体" w:eastAsia="宋体" w:cs="宋体"/>
                <w:kern w:val="0"/>
                <w:sz w:val="24"/>
                <w:szCs w:val="24"/>
              </w:rPr>
              <w:t>标注“■”的参数为实质性参数，供应商必须满足并提供招标文件规定的证明材料。若招标文件未明确要求何种证明材料，则以制造商公开发布的资料或检测机构出具的检测报告为准。若制造商公开发布的资料与检测机构出具的检测报告不一致，以检测机构出具的检测报告为准。出现负偏离视为实质性不响应采购文件要求，作无效投标处理。</w:t>
            </w:r>
          </w:p>
        </w:tc>
      </w:tr>
      <w:tr w14:paraId="6009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2F514DAE">
            <w:pPr>
              <w:pStyle w:val="64"/>
              <w:spacing w:line="360" w:lineRule="auto"/>
              <w:jc w:val="center"/>
              <w:rPr>
                <w:rFonts w:ascii="宋体" w:hAnsi="宋体" w:eastAsia="宋体" w:cs="宋体"/>
                <w:sz w:val="24"/>
                <w:szCs w:val="24"/>
              </w:rPr>
            </w:pPr>
            <w:r>
              <w:rPr>
                <w:rFonts w:hint="eastAsia" w:ascii="宋体" w:hAnsi="宋体" w:eastAsia="宋体" w:cs="宋体"/>
                <w:sz w:val="24"/>
                <w:szCs w:val="24"/>
              </w:rPr>
              <w:t>重要指标项</w:t>
            </w:r>
          </w:p>
        </w:tc>
        <w:tc>
          <w:tcPr>
            <w:tcW w:w="797" w:type="pct"/>
            <w:vAlign w:val="center"/>
          </w:tcPr>
          <w:p w14:paraId="533DD4F0">
            <w:pPr>
              <w:pStyle w:val="64"/>
              <w:spacing w:line="360" w:lineRule="auto"/>
              <w:jc w:val="center"/>
              <w:rPr>
                <w:rFonts w:ascii="宋体" w:hAnsi="宋体" w:eastAsia="宋体" w:cs="宋体"/>
                <w:b/>
                <w:bCs/>
                <w:sz w:val="24"/>
                <w:szCs w:val="24"/>
              </w:rPr>
            </w:pPr>
            <w:r>
              <w:rPr>
                <w:rFonts w:hint="eastAsia" w:ascii="宋体" w:hAnsi="宋体" w:eastAsia="宋体" w:cs="宋体"/>
                <w:b/>
                <w:bCs/>
                <w:sz w:val="24"/>
                <w:szCs w:val="24"/>
              </w:rPr>
              <w:t>★</w:t>
            </w:r>
          </w:p>
        </w:tc>
        <w:tc>
          <w:tcPr>
            <w:tcW w:w="3209" w:type="pct"/>
            <w:vAlign w:val="center"/>
          </w:tcPr>
          <w:p w14:paraId="581AD220">
            <w:pPr>
              <w:widowControl/>
              <w:spacing w:line="360" w:lineRule="auto"/>
              <w:rPr>
                <w:rFonts w:ascii="宋体" w:hAnsi="宋体" w:eastAsia="宋体" w:cs="宋体"/>
                <w:b/>
                <w:bCs/>
                <w:sz w:val="24"/>
                <w:szCs w:val="24"/>
              </w:rPr>
            </w:pPr>
            <w:r>
              <w:rPr>
                <w:rFonts w:hint="eastAsia" w:ascii="宋体" w:hAnsi="宋体" w:eastAsia="宋体" w:cs="宋体"/>
                <w:kern w:val="0"/>
                <w:sz w:val="24"/>
                <w:szCs w:val="24"/>
              </w:rPr>
              <w:t>标注“★”的技术参数，为采购产品的重要技术参数，投标文件中提供能反映其所在条款的相关证明材料扫描件，证明材料包括：医疗器械注册证、第三方有权机构出具的检验或检测报告、技术白皮书、产品彩页、说明书等,提供其中之一即可，否则视为负偏离(投标人对所提供证明材料进行对应标注，以方便评标委员会评审)，具体详见评分细则。</w:t>
            </w:r>
          </w:p>
        </w:tc>
      </w:tr>
      <w:tr w14:paraId="005FE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92" w:type="pct"/>
            <w:vAlign w:val="center"/>
          </w:tcPr>
          <w:p w14:paraId="51F7A61D">
            <w:pPr>
              <w:pStyle w:val="64"/>
              <w:spacing w:line="360" w:lineRule="auto"/>
              <w:jc w:val="center"/>
              <w:rPr>
                <w:rFonts w:ascii="宋体" w:hAnsi="宋体" w:eastAsia="宋体" w:cs="宋体"/>
                <w:sz w:val="24"/>
                <w:szCs w:val="24"/>
              </w:rPr>
            </w:pPr>
            <w:r>
              <w:rPr>
                <w:rFonts w:hint="eastAsia" w:ascii="宋体" w:hAnsi="宋体" w:eastAsia="宋体" w:cs="宋体"/>
                <w:sz w:val="24"/>
                <w:szCs w:val="24"/>
              </w:rPr>
              <w:t>无标识项</w:t>
            </w:r>
          </w:p>
        </w:tc>
        <w:tc>
          <w:tcPr>
            <w:tcW w:w="797" w:type="pct"/>
            <w:vAlign w:val="center"/>
          </w:tcPr>
          <w:p w14:paraId="4E6B4B57">
            <w:pPr>
              <w:pStyle w:val="64"/>
              <w:spacing w:line="360" w:lineRule="auto"/>
              <w:jc w:val="center"/>
              <w:rPr>
                <w:rFonts w:ascii="宋体" w:hAnsi="宋体" w:eastAsia="宋体" w:cs="宋体"/>
                <w:b/>
                <w:bCs/>
                <w:sz w:val="24"/>
                <w:szCs w:val="24"/>
              </w:rPr>
            </w:pPr>
          </w:p>
        </w:tc>
        <w:tc>
          <w:tcPr>
            <w:tcW w:w="3209" w:type="pct"/>
            <w:vAlign w:val="center"/>
          </w:tcPr>
          <w:p w14:paraId="00A2F9EC">
            <w:pPr>
              <w:pStyle w:val="64"/>
              <w:numPr>
                <w:ilvl w:val="0"/>
                <w:numId w:val="1"/>
              </w:numPr>
              <w:spacing w:line="360" w:lineRule="auto"/>
              <w:rPr>
                <w:rFonts w:ascii="宋体" w:hAnsi="宋体" w:eastAsia="宋体" w:cs="宋体"/>
                <w:b/>
                <w:bCs/>
                <w:sz w:val="24"/>
                <w:szCs w:val="24"/>
              </w:rPr>
            </w:pPr>
            <w:r>
              <w:rPr>
                <w:rFonts w:hint="eastAsia" w:ascii="宋体" w:hAnsi="宋体" w:eastAsia="宋体" w:cs="宋体"/>
                <w:b/>
                <w:bCs/>
                <w:sz w:val="24"/>
                <w:szCs w:val="24"/>
              </w:rPr>
              <w:t>投标人须在投标响应表中填写响应情况，并在投标文件中提供承诺，承诺响应的无标识项完全满足采购文件要求，如履约验收期间所投产品不满足采购文件要求，中标人承担由此产生的一切后果及责任（承诺函格式</w:t>
            </w:r>
            <w:r>
              <w:rPr>
                <w:rFonts w:hint="eastAsia" w:ascii="宋体" w:hAnsi="宋体" w:eastAsia="宋体" w:cs="宋体"/>
                <w:b/>
                <w:bCs/>
                <w:sz w:val="24"/>
                <w:szCs w:val="24"/>
                <w:lang w:val="en-US" w:eastAsia="zh-CN"/>
              </w:rPr>
              <w:t>自拟</w:t>
            </w:r>
            <w:r>
              <w:rPr>
                <w:rFonts w:hint="eastAsia" w:ascii="宋体" w:hAnsi="宋体" w:eastAsia="宋体" w:cs="宋体"/>
                <w:b/>
                <w:bCs/>
                <w:sz w:val="24"/>
                <w:szCs w:val="24"/>
              </w:rPr>
              <w:t>）。投标文件中未提供相应承诺或承诺的内容不满足要求的，投标无效。</w:t>
            </w:r>
          </w:p>
          <w:p w14:paraId="69D517B8">
            <w:pPr>
              <w:pStyle w:val="64"/>
              <w:spacing w:line="360" w:lineRule="auto"/>
              <w:rPr>
                <w:rFonts w:ascii="宋体" w:hAnsi="宋体" w:eastAsia="宋体" w:cs="宋体"/>
                <w:b/>
                <w:bCs/>
                <w:sz w:val="24"/>
                <w:szCs w:val="24"/>
              </w:rPr>
            </w:pPr>
            <w:r>
              <w:rPr>
                <w:rFonts w:hint="eastAsia" w:ascii="宋体" w:hAnsi="宋体" w:eastAsia="宋体" w:cs="宋体"/>
                <w:b/>
                <w:bCs/>
                <w:sz w:val="24"/>
                <w:szCs w:val="24"/>
              </w:rPr>
              <w:t>（2）针对无标识项评审时：如某项参数仅存在一级序号时，则以一级序号为最小单位计算条目数量（即为一项）；如某项参数同时存在一级序号和二级序号时，则以二级序号为最小单位计算条目数量（即为一项）；如某项参数存在多级序号时，则以最后一级序号为最小单位计算条目数量（即为一项）。</w:t>
            </w:r>
          </w:p>
        </w:tc>
      </w:tr>
    </w:tbl>
    <w:p w14:paraId="6F786672">
      <w:pPr>
        <w:pStyle w:val="64"/>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（二）货物需求一览表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940"/>
        <w:gridCol w:w="1131"/>
        <w:gridCol w:w="1152"/>
        <w:gridCol w:w="1141"/>
        <w:gridCol w:w="1141"/>
        <w:gridCol w:w="1281"/>
      </w:tblGrid>
      <w:tr w14:paraId="2FA7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3" w:type="dxa"/>
            <w:vAlign w:val="center"/>
          </w:tcPr>
          <w:p w14:paraId="6E2D6F4C">
            <w:pPr>
              <w:pStyle w:val="64"/>
              <w:spacing w:line="360" w:lineRule="auto"/>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40" w:type="dxa"/>
            <w:vAlign w:val="center"/>
          </w:tcPr>
          <w:p w14:paraId="17F4EB24">
            <w:pPr>
              <w:pStyle w:val="64"/>
              <w:spacing w:line="360" w:lineRule="auto"/>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1131" w:type="dxa"/>
            <w:vAlign w:val="center"/>
          </w:tcPr>
          <w:p w14:paraId="36A5357A">
            <w:pPr>
              <w:pStyle w:val="64"/>
              <w:spacing w:line="360" w:lineRule="auto"/>
              <w:jc w:val="center"/>
              <w:rPr>
                <w:rFonts w:ascii="宋体" w:hAnsi="宋体" w:eastAsia="宋体" w:cs="宋体"/>
                <w:b/>
                <w:bCs/>
                <w:sz w:val="24"/>
                <w:szCs w:val="24"/>
              </w:rPr>
            </w:pPr>
            <w:r>
              <w:rPr>
                <w:rFonts w:hint="eastAsia" w:ascii="宋体" w:hAnsi="宋体" w:eastAsia="宋体" w:cs="宋体"/>
                <w:b/>
                <w:bCs/>
                <w:sz w:val="24"/>
                <w:szCs w:val="24"/>
              </w:rPr>
              <w:t>数量</w:t>
            </w:r>
          </w:p>
        </w:tc>
        <w:tc>
          <w:tcPr>
            <w:tcW w:w="1152" w:type="dxa"/>
            <w:vAlign w:val="center"/>
          </w:tcPr>
          <w:p w14:paraId="7CD324AA">
            <w:pPr>
              <w:pStyle w:val="64"/>
              <w:spacing w:line="360" w:lineRule="auto"/>
              <w:jc w:val="center"/>
              <w:rPr>
                <w:rFonts w:ascii="宋体" w:hAnsi="宋体" w:eastAsia="宋体" w:cs="宋体"/>
                <w:b/>
                <w:bCs/>
                <w:sz w:val="24"/>
                <w:szCs w:val="24"/>
              </w:rPr>
            </w:pPr>
            <w:r>
              <w:rPr>
                <w:rFonts w:hint="eastAsia" w:ascii="宋体" w:hAnsi="宋体" w:eastAsia="宋体" w:cs="宋体"/>
                <w:b/>
                <w:bCs/>
                <w:sz w:val="24"/>
                <w:szCs w:val="24"/>
              </w:rPr>
              <w:t>单位</w:t>
            </w:r>
          </w:p>
        </w:tc>
        <w:tc>
          <w:tcPr>
            <w:tcW w:w="1141" w:type="dxa"/>
            <w:vAlign w:val="center"/>
          </w:tcPr>
          <w:p w14:paraId="374D5D00">
            <w:pPr>
              <w:pStyle w:val="64"/>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单价</w:t>
            </w:r>
          </w:p>
        </w:tc>
        <w:tc>
          <w:tcPr>
            <w:tcW w:w="1141" w:type="dxa"/>
            <w:vAlign w:val="center"/>
          </w:tcPr>
          <w:p w14:paraId="4756685F">
            <w:pPr>
              <w:pStyle w:val="64"/>
              <w:spacing w:line="360" w:lineRule="auto"/>
              <w:jc w:val="center"/>
              <w:rPr>
                <w:rFonts w:ascii="宋体" w:hAnsi="宋体" w:eastAsia="宋体" w:cs="宋体"/>
                <w:b/>
                <w:bCs/>
                <w:sz w:val="24"/>
                <w:szCs w:val="24"/>
              </w:rPr>
            </w:pPr>
            <w:r>
              <w:rPr>
                <w:rFonts w:hint="eastAsia" w:ascii="宋体" w:hAnsi="宋体" w:eastAsia="宋体" w:cs="宋体"/>
                <w:b/>
                <w:bCs/>
                <w:sz w:val="24"/>
                <w:szCs w:val="24"/>
              </w:rPr>
              <w:t>所属行业</w:t>
            </w:r>
          </w:p>
        </w:tc>
        <w:tc>
          <w:tcPr>
            <w:tcW w:w="1281" w:type="dxa"/>
            <w:vAlign w:val="center"/>
          </w:tcPr>
          <w:p w14:paraId="66898097">
            <w:pPr>
              <w:pStyle w:val="64"/>
              <w:spacing w:line="360" w:lineRule="auto"/>
              <w:jc w:val="center"/>
              <w:rPr>
                <w:rFonts w:ascii="宋体" w:hAnsi="宋体" w:eastAsia="宋体" w:cs="宋体"/>
                <w:b/>
                <w:bCs/>
                <w:sz w:val="24"/>
                <w:szCs w:val="24"/>
              </w:rPr>
            </w:pPr>
            <w:r>
              <w:rPr>
                <w:rFonts w:hint="eastAsia" w:ascii="宋体" w:hAnsi="宋体" w:eastAsia="宋体" w:cs="宋体"/>
                <w:b/>
                <w:bCs/>
                <w:sz w:val="24"/>
                <w:szCs w:val="24"/>
              </w:rPr>
              <w:t>备注</w:t>
            </w:r>
          </w:p>
        </w:tc>
      </w:tr>
      <w:tr w14:paraId="6E305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733" w:type="dxa"/>
            <w:vAlign w:val="center"/>
          </w:tcPr>
          <w:p w14:paraId="6C2CE312">
            <w:pPr>
              <w:pStyle w:val="64"/>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1940" w:type="dxa"/>
            <w:vAlign w:val="center"/>
          </w:tcPr>
          <w:p w14:paraId="4C78000D">
            <w:pPr>
              <w:pStyle w:val="64"/>
              <w:spacing w:line="360" w:lineRule="auto"/>
              <w:jc w:val="center"/>
              <w:rPr>
                <w:rFonts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sz w:val="24"/>
                <w:szCs w:val="18"/>
              </w:rPr>
              <w:t>多排螺旋CT</w:t>
            </w:r>
          </w:p>
        </w:tc>
        <w:tc>
          <w:tcPr>
            <w:tcW w:w="1131" w:type="dxa"/>
            <w:vAlign w:val="center"/>
          </w:tcPr>
          <w:p w14:paraId="7E05B58B">
            <w:pPr>
              <w:pStyle w:val="64"/>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1152" w:type="dxa"/>
            <w:vAlign w:val="center"/>
          </w:tcPr>
          <w:p w14:paraId="6531F4DB">
            <w:pPr>
              <w:pStyle w:val="64"/>
              <w:spacing w:line="360" w:lineRule="auto"/>
              <w:jc w:val="center"/>
              <w:rPr>
                <w:rFonts w:ascii="宋体" w:hAnsi="宋体" w:eastAsia="宋体" w:cs="宋体"/>
                <w:sz w:val="24"/>
                <w:szCs w:val="24"/>
              </w:rPr>
            </w:pPr>
            <w:r>
              <w:rPr>
                <w:rFonts w:hint="eastAsia" w:ascii="宋体" w:hAnsi="宋体" w:eastAsia="宋体" w:cs="宋体"/>
                <w:sz w:val="24"/>
                <w:szCs w:val="24"/>
              </w:rPr>
              <w:t>套</w:t>
            </w:r>
          </w:p>
        </w:tc>
        <w:tc>
          <w:tcPr>
            <w:tcW w:w="1141" w:type="dxa"/>
            <w:vAlign w:val="center"/>
          </w:tcPr>
          <w:p w14:paraId="3B9AEFD5">
            <w:pPr>
              <w:pStyle w:val="64"/>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700万元/套</w:t>
            </w:r>
          </w:p>
        </w:tc>
        <w:tc>
          <w:tcPr>
            <w:tcW w:w="1141" w:type="dxa"/>
            <w:vAlign w:val="center"/>
          </w:tcPr>
          <w:p w14:paraId="168F84DD">
            <w:pPr>
              <w:pStyle w:val="64"/>
              <w:spacing w:line="360" w:lineRule="auto"/>
              <w:jc w:val="center"/>
              <w:rPr>
                <w:rFonts w:ascii="宋体" w:hAnsi="宋体" w:eastAsia="宋体" w:cs="宋体"/>
                <w:sz w:val="24"/>
                <w:szCs w:val="24"/>
              </w:rPr>
            </w:pPr>
            <w:r>
              <w:rPr>
                <w:rFonts w:hint="eastAsia" w:ascii="宋体" w:hAnsi="宋体" w:eastAsia="宋体" w:cs="宋体"/>
                <w:sz w:val="24"/>
                <w:szCs w:val="24"/>
              </w:rPr>
              <w:t>工业</w:t>
            </w:r>
          </w:p>
        </w:tc>
        <w:tc>
          <w:tcPr>
            <w:tcW w:w="1281" w:type="dxa"/>
            <w:vAlign w:val="center"/>
          </w:tcPr>
          <w:p w14:paraId="63F02CBB">
            <w:pPr>
              <w:pStyle w:val="64"/>
              <w:spacing w:line="360" w:lineRule="auto"/>
              <w:jc w:val="center"/>
              <w:rPr>
                <w:rFonts w:ascii="宋体" w:hAnsi="宋体" w:eastAsia="宋体" w:cs="宋体"/>
                <w:sz w:val="24"/>
                <w:szCs w:val="24"/>
              </w:rPr>
            </w:pPr>
            <w:r>
              <w:rPr>
                <w:rFonts w:hint="eastAsia" w:ascii="宋体" w:hAnsi="宋体" w:eastAsia="宋体" w:cs="宋体"/>
                <w:sz w:val="24"/>
                <w:szCs w:val="24"/>
              </w:rPr>
              <w:t>医疗器械</w:t>
            </w:r>
          </w:p>
        </w:tc>
      </w:tr>
    </w:tbl>
    <w:p w14:paraId="593C3029">
      <w:pPr>
        <w:pStyle w:val="64"/>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（三）技术参数及要求</w:t>
      </w:r>
    </w:p>
    <w:tbl>
      <w:tblPr>
        <w:tblStyle w:val="2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5"/>
        <w:gridCol w:w="8839"/>
      </w:tblGrid>
      <w:tr w14:paraId="086C8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B4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6" w:name="_Toc19627"/>
            <w:r>
              <w:rPr>
                <w:rFonts w:hint="eastAsia" w:ascii="宋体" w:hAnsi="宋体" w:eastAsia="宋体" w:cs="宋体"/>
                <w:i w:val="0"/>
                <w:iCs w:val="0"/>
                <w:color w:val="000000"/>
                <w:kern w:val="0"/>
                <w:sz w:val="24"/>
                <w:szCs w:val="24"/>
                <w:u w:val="none"/>
                <w:lang w:val="en-US" w:eastAsia="zh-CN" w:bidi="ar"/>
              </w:rPr>
              <w:t>序号</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E8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技术参数要求</w:t>
            </w:r>
          </w:p>
        </w:tc>
      </w:tr>
      <w:tr w14:paraId="103F5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DF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■总体要求</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E1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用于全身扫描的临床应用和临床研究的多排螺旋CT。并且按照技术白皮书内容提供最全配置及选配件，最新最全软硬件，并承诺在投标时提供该产品的最新平台。要求GE提供Revolution ACe机型、Philips提供Incisive CT plus机型、Siemens提供Go Top机型、联影提供uCT780机型，其他厂商提供同等档次产品。</w:t>
            </w:r>
          </w:p>
        </w:tc>
      </w:tr>
      <w:tr w14:paraId="243AE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38D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C7A4">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color w:val="000000"/>
                <w:sz w:val="24"/>
                <w:szCs w:val="24"/>
                <w:u w:val="none"/>
                <w:lang w:val="en-US" w:eastAsia="zh-CN" w:bidi="ar"/>
              </w:rPr>
              <w:t>机架系统</w:t>
            </w:r>
          </w:p>
        </w:tc>
      </w:tr>
      <w:tr w14:paraId="514CD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C9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63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机架孔径≥70cm</w:t>
            </w:r>
          </w:p>
        </w:tc>
      </w:tr>
      <w:tr w14:paraId="7CD78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23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C9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机架内置一体化心电门控装置，具有显示功能（或外配）</w:t>
            </w:r>
          </w:p>
        </w:tc>
      </w:tr>
      <w:tr w14:paraId="00EA5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C5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E2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驱动方式：各品牌自报</w:t>
            </w:r>
          </w:p>
        </w:tc>
      </w:tr>
      <w:tr w14:paraId="7B2F6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79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8F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机架倾斜：≥±30 度</w:t>
            </w:r>
          </w:p>
        </w:tc>
      </w:tr>
      <w:tr w14:paraId="4C5A5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2A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DA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机架控制面板：≥2 套</w:t>
            </w:r>
          </w:p>
        </w:tc>
      </w:tr>
      <w:tr w14:paraId="7B295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7B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F6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机架内部冷却方式:风冷或水冷。如需水冷机，含在总价中</w:t>
            </w:r>
          </w:p>
        </w:tc>
      </w:tr>
      <w:tr w14:paraId="57723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C0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DB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机架激光定位系统:具备并提供</w:t>
            </w:r>
          </w:p>
        </w:tc>
      </w:tr>
      <w:tr w14:paraId="5ED0E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54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5B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探测器类型：集成化探测器等，具体说明。</w:t>
            </w:r>
          </w:p>
        </w:tc>
      </w:tr>
      <w:tr w14:paraId="1E491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1B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B7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探测器物理排数≥64排，每360度数据采集层数：≥128层</w:t>
            </w:r>
          </w:p>
        </w:tc>
      </w:tr>
      <w:tr w14:paraId="5BE42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45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2E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探测器 Z 轴方向总宽度≥3.84cm</w:t>
            </w:r>
          </w:p>
        </w:tc>
      </w:tr>
      <w:tr w14:paraId="5A323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30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C6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最小探测器单元：≤0.625mm</w:t>
            </w:r>
          </w:p>
        </w:tc>
      </w:tr>
      <w:tr w14:paraId="691A0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AD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★1.12</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6C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每排探测器物理探测单元总个数：≥840</w:t>
            </w:r>
          </w:p>
        </w:tc>
      </w:tr>
      <w:tr w14:paraId="6B66C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95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9A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探测器数据传输方式：高速射频</w:t>
            </w:r>
          </w:p>
        </w:tc>
      </w:tr>
      <w:tr w14:paraId="6E38F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E8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9D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球管焦点到等中心点的距离≤60cm</w:t>
            </w:r>
          </w:p>
        </w:tc>
      </w:tr>
      <w:tr w14:paraId="7D4BD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49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4A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球管焦点到探测器的距离≤110cm</w:t>
            </w:r>
          </w:p>
        </w:tc>
      </w:tr>
      <w:tr w14:paraId="6940E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45D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40AF">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color w:val="000000"/>
                <w:sz w:val="24"/>
                <w:szCs w:val="24"/>
                <w:u w:val="none"/>
                <w:lang w:val="en-US" w:eastAsia="zh-CN" w:bidi="ar"/>
              </w:rPr>
              <w:t>扫描床</w:t>
            </w:r>
          </w:p>
        </w:tc>
      </w:tr>
      <w:tr w14:paraId="04029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C6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73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最大水平可移动范围：≥1650mm</w:t>
            </w:r>
          </w:p>
        </w:tc>
      </w:tr>
      <w:tr w14:paraId="0D2ED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DC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B6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床面最大水平移动速度：≥175mm/秒</w:t>
            </w:r>
          </w:p>
        </w:tc>
      </w:tr>
      <w:tr w14:paraId="0DA2A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24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E8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床面最大承重：≥200KG</w:t>
            </w:r>
          </w:p>
        </w:tc>
      </w:tr>
      <w:tr w14:paraId="6EE21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03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FA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最大承重下的移床精度：≤±1mm</w:t>
            </w:r>
          </w:p>
        </w:tc>
      </w:tr>
      <w:tr w14:paraId="755A0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08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23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扫描床最低高度≤55cm</w:t>
            </w:r>
          </w:p>
        </w:tc>
      </w:tr>
      <w:tr w14:paraId="748D3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0B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5B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扫描床最高高度≥88cm</w:t>
            </w:r>
          </w:p>
        </w:tc>
      </w:tr>
      <w:tr w14:paraId="5D0FD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E3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C8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扫描床垂直移动距离：≥40cm</w:t>
            </w:r>
          </w:p>
        </w:tc>
      </w:tr>
      <w:tr w14:paraId="1609D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FE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88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最大垂直移床速度：≥40mm/秒</w:t>
            </w:r>
          </w:p>
        </w:tc>
      </w:tr>
      <w:tr w14:paraId="00777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C7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88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扫描附件：包括衬垫、头部/臂膀支撑，膝部/腿部支撑、床面延长板、床垫</w:t>
            </w:r>
          </w:p>
        </w:tc>
      </w:tr>
      <w:tr w14:paraId="29FE4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51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71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扫描床控制脚踏开关：提供</w:t>
            </w:r>
          </w:p>
        </w:tc>
      </w:tr>
      <w:tr w14:paraId="6F067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C3D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565B">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color w:val="000000"/>
                <w:sz w:val="24"/>
                <w:szCs w:val="24"/>
                <w:u w:val="none"/>
                <w:lang w:val="en-US" w:eastAsia="zh-CN" w:bidi="ar"/>
              </w:rPr>
              <w:t>X 线系统</w:t>
            </w:r>
          </w:p>
        </w:tc>
      </w:tr>
      <w:tr w14:paraId="7BFC9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71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F0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高压发生器总功率（非等效）≥70KW</w:t>
            </w:r>
          </w:p>
        </w:tc>
      </w:tr>
      <w:tr w14:paraId="59561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0D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★3.2</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D2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球管阳极热容量（非等效）：≥7.0MHU</w:t>
            </w:r>
          </w:p>
        </w:tc>
      </w:tr>
      <w:tr w14:paraId="54D48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2A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90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球管冷却原理：油冷和或风、水冷</w:t>
            </w:r>
          </w:p>
        </w:tc>
      </w:tr>
      <w:tr w14:paraId="3911B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81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★3.5</w:t>
            </w:r>
          </w:p>
        </w:tc>
        <w:tc>
          <w:tcPr>
            <w:tcW w:w="8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74A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球管阳极最大散热率：≥1350kHU/min</w:t>
            </w:r>
          </w:p>
        </w:tc>
      </w:tr>
      <w:tr w14:paraId="4EBAE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0A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★3.6</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C2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球管小焦点：≤0.5*1.0mm</w:t>
            </w:r>
          </w:p>
        </w:tc>
      </w:tr>
      <w:tr w14:paraId="329BD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23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44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球管大焦点：≤1.0*1.2mm</w:t>
            </w:r>
          </w:p>
        </w:tc>
      </w:tr>
      <w:tr w14:paraId="240DE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A4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85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最小球管电流：≤10mA</w:t>
            </w:r>
          </w:p>
        </w:tc>
      </w:tr>
      <w:tr w14:paraId="664B9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47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73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最大球管电压：≥140KV</w:t>
            </w:r>
          </w:p>
        </w:tc>
      </w:tr>
      <w:tr w14:paraId="15594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C0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D2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最小球管电压：≤ 80KV</w:t>
            </w:r>
          </w:p>
        </w:tc>
      </w:tr>
      <w:tr w14:paraId="69B9A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52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3.11</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F1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球管可连续曝光时间：≥120秒</w:t>
            </w:r>
          </w:p>
        </w:tc>
      </w:tr>
      <w:tr w14:paraId="31F47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10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★3.12</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9B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球管、探测器和高压发生器与整机为非拼装配置</w:t>
            </w:r>
          </w:p>
        </w:tc>
      </w:tr>
      <w:tr w14:paraId="1BB57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653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F83E">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color w:val="000000"/>
                <w:sz w:val="24"/>
                <w:szCs w:val="24"/>
                <w:u w:val="none"/>
                <w:lang w:val="en-US" w:eastAsia="zh-CN" w:bidi="ar"/>
              </w:rPr>
              <w:t>扫描参数</w:t>
            </w:r>
          </w:p>
        </w:tc>
      </w:tr>
      <w:tr w14:paraId="3A16F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2C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★4.1</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BD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最快扫描速度：≤350 毫秒/360°</w:t>
            </w:r>
          </w:p>
        </w:tc>
      </w:tr>
      <w:tr w14:paraId="13DA9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29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5B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单次扫描最大可扫描范围：≥160cm</w:t>
            </w:r>
          </w:p>
        </w:tc>
      </w:tr>
      <w:tr w14:paraId="11364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77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1C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图像重建速度：≥55 幅/秒</w:t>
            </w:r>
          </w:p>
        </w:tc>
      </w:tr>
      <w:tr w14:paraId="79B3D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F3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3C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最大扫描 FOV≥50 厘米</w:t>
            </w:r>
          </w:p>
        </w:tc>
      </w:tr>
      <w:tr w14:paraId="352CA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E8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09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图像重建矩阵：≥1024×1024</w:t>
            </w:r>
          </w:p>
        </w:tc>
      </w:tr>
      <w:tr w14:paraId="01281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FD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7A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图像显示矩阵：≥1024×1024</w:t>
            </w:r>
          </w:p>
        </w:tc>
      </w:tr>
      <w:tr w14:paraId="2E77E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91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★4.7</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A4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扫描层厚选择模式种类：≥7种</w:t>
            </w:r>
          </w:p>
        </w:tc>
      </w:tr>
      <w:tr w14:paraId="78B31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A52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9330">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color w:val="000000"/>
                <w:sz w:val="24"/>
                <w:szCs w:val="24"/>
                <w:u w:val="none"/>
                <w:lang w:val="en-US" w:eastAsia="zh-CN" w:bidi="ar"/>
              </w:rPr>
              <w:t>图像质量及剂量</w:t>
            </w:r>
          </w:p>
        </w:tc>
      </w:tr>
      <w:tr w14:paraId="10976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EA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B4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空间分辨率（X,Y 轴）标准测试条件下）：≥16LP/cm( 0%MTF 条件下)</w:t>
            </w:r>
          </w:p>
        </w:tc>
      </w:tr>
      <w:tr w14:paraId="51126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D2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30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密度分辨率：≤5mm，密度差 0.3%</w:t>
            </w:r>
          </w:p>
        </w:tc>
      </w:tr>
      <w:tr w14:paraId="301BF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67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80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Z 轴空间分辨率：≤0.33mm</w:t>
            </w:r>
          </w:p>
        </w:tc>
      </w:tr>
      <w:tr w14:paraId="5D121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07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B2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投标人出具最新迭代技术</w:t>
            </w:r>
          </w:p>
        </w:tc>
      </w:tr>
      <w:tr w14:paraId="6E360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6CB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708B">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color w:val="000000"/>
                <w:sz w:val="24"/>
                <w:szCs w:val="24"/>
                <w:u w:val="none"/>
                <w:lang w:val="en-US" w:eastAsia="zh-CN" w:bidi="ar"/>
              </w:rPr>
              <w:t>控制台</w:t>
            </w:r>
          </w:p>
        </w:tc>
      </w:tr>
      <w:tr w14:paraId="24BC3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94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9C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主控制台满足扫描与重建同步操作</w:t>
            </w:r>
          </w:p>
        </w:tc>
      </w:tr>
      <w:tr w14:paraId="3893D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BC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B0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主计算机：提供计算机型号</w:t>
            </w:r>
          </w:p>
        </w:tc>
      </w:tr>
      <w:tr w14:paraId="11EE5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97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79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计算机内存：≥64GB</w:t>
            </w:r>
          </w:p>
        </w:tc>
      </w:tr>
      <w:tr w14:paraId="39158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54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3F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主频 CPU：≥四核 CPU</w:t>
            </w:r>
          </w:p>
        </w:tc>
      </w:tr>
      <w:tr w14:paraId="098E8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E7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51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主机硬盘总容量：≥1000G</w:t>
            </w:r>
          </w:p>
        </w:tc>
      </w:tr>
      <w:tr w14:paraId="0FB90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78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97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图像存档系统(DVD 等)</w:t>
            </w:r>
          </w:p>
        </w:tc>
      </w:tr>
      <w:tr w14:paraId="64E43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42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20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医学专用液晶超薄平面显示器≥19英寸；2台显示器分辨率≥1280×1024</w:t>
            </w:r>
          </w:p>
        </w:tc>
      </w:tr>
      <w:tr w14:paraId="1BD99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3B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D7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同步并行处理功能：扫描、重建、显示、存储、打印等操作可同步进行</w:t>
            </w:r>
          </w:p>
        </w:tc>
      </w:tr>
      <w:tr w14:paraId="621BD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E6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EF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可以独立完成MPR,MIP,CTA，三维容积重建等三维后处理功能</w:t>
            </w:r>
          </w:p>
        </w:tc>
      </w:tr>
      <w:tr w14:paraId="7DBE1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5B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6.10</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67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自动病人呼吸屏气辅助控制系统的，双向语音传输，用户可录制定制指令。</w:t>
            </w:r>
          </w:p>
        </w:tc>
      </w:tr>
      <w:tr w14:paraId="6E359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90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6.11</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26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具备并提供独立拍片功能， 分别执行单一数据流工作，同步工作互相不受影响，在进行扫描工作的同时可以进行原始数据的重建</w:t>
            </w:r>
          </w:p>
        </w:tc>
      </w:tr>
      <w:tr w14:paraId="448AB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C8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6.12</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30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DICOM3.0 接口</w:t>
            </w:r>
          </w:p>
        </w:tc>
      </w:tr>
      <w:tr w14:paraId="6C341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F7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6.13</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CE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DICOM SEND/RECEIVE(存储）</w:t>
            </w:r>
          </w:p>
        </w:tc>
      </w:tr>
      <w:tr w14:paraId="3413C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07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6.14</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AB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Dicom query/retrieve （查询）</w:t>
            </w:r>
          </w:p>
        </w:tc>
      </w:tr>
      <w:tr w14:paraId="0A9CF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26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6.15</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AB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Dicom Basic Print （打印）</w:t>
            </w:r>
          </w:p>
        </w:tc>
      </w:tr>
      <w:tr w14:paraId="1F256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2C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6.16</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5B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Dicom Storage Commitment （通信）</w:t>
            </w:r>
          </w:p>
        </w:tc>
      </w:tr>
      <w:tr w14:paraId="7BDB2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DB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6.17</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B3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MPPS，SR 报告，</w:t>
            </w:r>
          </w:p>
        </w:tc>
      </w:tr>
      <w:tr w14:paraId="34A36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2E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6.18</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25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DICOM Modality Worklist  （工作列表）</w:t>
            </w:r>
          </w:p>
        </w:tc>
      </w:tr>
      <w:tr w14:paraId="0B0A6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0C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6C7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color w:val="000000"/>
                <w:sz w:val="24"/>
                <w:szCs w:val="24"/>
                <w:u w:val="none"/>
                <w:lang w:val="en-US" w:eastAsia="zh-CN" w:bidi="ar"/>
              </w:rPr>
              <w:t>临床应用软件</w:t>
            </w:r>
          </w:p>
        </w:tc>
      </w:tr>
      <w:tr w14:paraId="3AF9D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BE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C6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多平面重建成像（MPR）：具备并提供</w:t>
            </w:r>
          </w:p>
        </w:tc>
      </w:tr>
      <w:tr w14:paraId="4C678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3D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92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自动多平面成像功能：具备并提供</w:t>
            </w:r>
          </w:p>
        </w:tc>
      </w:tr>
      <w:tr w14:paraId="56AE2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AD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6E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最大密度投影成像（Max-IP）：具备并提供</w:t>
            </w:r>
          </w:p>
        </w:tc>
      </w:tr>
      <w:tr w14:paraId="6FED4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48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46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最小密度投影成像（Min-IP）：具备并提供</w:t>
            </w:r>
          </w:p>
        </w:tc>
      </w:tr>
      <w:tr w14:paraId="08664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2D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EA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多平面容积重建成像（MPVR）：具备并提供</w:t>
            </w:r>
          </w:p>
        </w:tc>
      </w:tr>
      <w:tr w14:paraId="207DE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19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EB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三维容积重建成像(VRT) ：具备并提供</w:t>
            </w:r>
          </w:p>
        </w:tc>
      </w:tr>
      <w:tr w14:paraId="5A960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A7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BE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高级容积漫游软件：具备并提供</w:t>
            </w:r>
          </w:p>
        </w:tc>
      </w:tr>
      <w:tr w14:paraId="7D42E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D8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B0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容积再现技术（SVR）：具备并提供，并可实时密度转换</w:t>
            </w:r>
          </w:p>
        </w:tc>
      </w:tr>
      <w:tr w14:paraId="1518B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C1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A6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透明化显示技术或 4D 技术：具备并提供</w:t>
            </w:r>
          </w:p>
        </w:tc>
      </w:tr>
      <w:tr w14:paraId="51D78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99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7.10</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D8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CT 血管造影软件：具备并提供</w:t>
            </w:r>
          </w:p>
        </w:tc>
      </w:tr>
      <w:tr w14:paraId="7DFDE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16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7.11</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1B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自动去骨软件：具备并提供</w:t>
            </w:r>
          </w:p>
        </w:tc>
      </w:tr>
      <w:tr w14:paraId="33A01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42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7.12</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8E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模拟手术刀技术：具备并提供</w:t>
            </w:r>
          </w:p>
        </w:tc>
      </w:tr>
      <w:tr w14:paraId="36405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B4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7.13</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70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器官融合、拆分技术：具备并提供</w:t>
            </w:r>
          </w:p>
        </w:tc>
      </w:tr>
      <w:tr w14:paraId="0B74A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C4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7.14</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6C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三维测量软件：具备并提供，能实现距离、角度、体积、面积等测量</w:t>
            </w:r>
          </w:p>
        </w:tc>
      </w:tr>
      <w:tr w14:paraId="21F94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41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7.15</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BC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三维处理软件：具备并提供，能实现缩放、层次、层面、背景、亮度、色彩等灵活处理和调整</w:t>
            </w:r>
          </w:p>
        </w:tc>
      </w:tr>
      <w:tr w14:paraId="5ACAA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C8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7.16</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04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肩臂、骨盆条状伪影消除技术：具备并提供</w:t>
            </w:r>
          </w:p>
        </w:tc>
      </w:tr>
      <w:tr w14:paraId="60AD4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56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7.17</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1E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扫描降噪软件：具备并提供</w:t>
            </w:r>
          </w:p>
        </w:tc>
      </w:tr>
      <w:tr w14:paraId="5D61F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91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7.18</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E5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全器官动态容积重建技术：具备并提供</w:t>
            </w:r>
          </w:p>
        </w:tc>
      </w:tr>
      <w:tr w14:paraId="3903D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86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7.19</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3D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动态扫描分析评价软件：具备并提供</w:t>
            </w:r>
          </w:p>
        </w:tc>
      </w:tr>
      <w:tr w14:paraId="4B59D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16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AC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肺部成像优化软件：具备并提供</w:t>
            </w:r>
          </w:p>
        </w:tc>
      </w:tr>
      <w:tr w14:paraId="75916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4B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7.21</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B7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实时智能剂量调控软件：具备并提供</w:t>
            </w:r>
          </w:p>
        </w:tc>
      </w:tr>
      <w:tr w14:paraId="75533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9C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7.22</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69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一次注药自动触发造影跟踪软件：具备并提供</w:t>
            </w:r>
          </w:p>
        </w:tc>
      </w:tr>
      <w:tr w14:paraId="64222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5D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7.23</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16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高级血管自动分析软件：具备并提供</w:t>
            </w:r>
          </w:p>
        </w:tc>
      </w:tr>
      <w:tr w14:paraId="6DF93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25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7.24</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F3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CT 仿真内窥镜显示软件：具备并提供</w:t>
            </w:r>
          </w:p>
        </w:tc>
      </w:tr>
      <w:tr w14:paraId="2E43C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AA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7.25</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62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CT 血管内窥镜漫游软件：具备并提供</w:t>
            </w:r>
          </w:p>
        </w:tc>
      </w:tr>
      <w:tr w14:paraId="75883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32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923E">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color w:val="000000"/>
                <w:sz w:val="24"/>
                <w:szCs w:val="24"/>
                <w:u w:val="none"/>
                <w:lang w:val="en-US" w:eastAsia="zh-CN" w:bidi="ar"/>
              </w:rPr>
              <w:t>原厂原装后处理独立工作站</w:t>
            </w:r>
          </w:p>
        </w:tc>
      </w:tr>
      <w:tr w14:paraId="4C96B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75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★8.1</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D2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具备并提供原厂原装后处理独立工作站：若投标品牌为Siemens ，需提供Syngo Via工作站，若投标品牌为GE，需提供AW4.7工作站，若投标品牌为飞利浦，需提供星云工作站，其他投标品牌提供最高版本最新独立后处理工作站，每套工作站标配3个终端，每个终端可同时做同一种后处理工作。</w:t>
            </w:r>
          </w:p>
        </w:tc>
      </w:tr>
      <w:tr w14:paraId="08AD9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8A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BD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主频：≥4*2 GHZ</w:t>
            </w:r>
          </w:p>
        </w:tc>
      </w:tr>
      <w:tr w14:paraId="7601C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A9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9C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内存：≥ 32GB</w:t>
            </w:r>
          </w:p>
        </w:tc>
      </w:tr>
      <w:tr w14:paraId="157D3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3E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11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工作站需包含所有功能软件</w:t>
            </w:r>
          </w:p>
        </w:tc>
      </w:tr>
      <w:tr w14:paraId="643F1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CF6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AEA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color w:val="000000"/>
                <w:sz w:val="24"/>
                <w:szCs w:val="24"/>
                <w:u w:val="none"/>
                <w:lang w:val="en-US" w:eastAsia="zh-CN" w:bidi="ar"/>
              </w:rPr>
              <w:t>心脏成像功能</w:t>
            </w:r>
          </w:p>
        </w:tc>
      </w:tr>
      <w:tr w14:paraId="59405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40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96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心脏扫描速度（360度）≤0.35s/360°</w:t>
            </w:r>
          </w:p>
        </w:tc>
      </w:tr>
      <w:tr w14:paraId="17ECF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D4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7B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心脏扫描扇区重建方式 ：≥4扇区</w:t>
            </w:r>
          </w:p>
        </w:tc>
      </w:tr>
      <w:tr w14:paraId="7F6EA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0B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89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具备并提供心电门控</w:t>
            </w:r>
          </w:p>
        </w:tc>
      </w:tr>
      <w:tr w14:paraId="276D6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772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366B">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color w:val="000000"/>
                <w:sz w:val="24"/>
                <w:szCs w:val="24"/>
                <w:u w:val="none"/>
                <w:lang w:val="en-US" w:eastAsia="zh-CN" w:bidi="ar"/>
              </w:rPr>
              <w:t>心脏冠脉后处理功能</w:t>
            </w:r>
          </w:p>
        </w:tc>
      </w:tr>
      <w:tr w14:paraId="71C02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C4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B7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具备并提供4D心脏电影重建</w:t>
            </w:r>
          </w:p>
        </w:tc>
      </w:tr>
      <w:tr w14:paraId="180F7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CF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87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具备并提供零键心脏处理工作流，全自动、零键操作，选择病人姓名即可直接得到全部3D、2D图像</w:t>
            </w:r>
          </w:p>
        </w:tc>
      </w:tr>
      <w:tr w14:paraId="28491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8B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2F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具备并提供冠脉及心脏的三维成像</w:t>
            </w:r>
          </w:p>
        </w:tc>
      </w:tr>
      <w:tr w14:paraId="04816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B3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02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具备并提供短轴、长轴重建</w:t>
            </w:r>
          </w:p>
        </w:tc>
      </w:tr>
      <w:tr w14:paraId="6A8AB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31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09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具备并提供任意截面的实时二维心脏成像</w:t>
            </w:r>
          </w:p>
        </w:tc>
      </w:tr>
      <w:tr w14:paraId="19480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C3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72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具备并提供冠脉内窥镜</w:t>
            </w:r>
          </w:p>
        </w:tc>
      </w:tr>
      <w:tr w14:paraId="47798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EF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AE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具备并提供自动定义冠脉中心线及中心平面</w:t>
            </w:r>
          </w:p>
        </w:tc>
      </w:tr>
      <w:tr w14:paraId="24868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32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9B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具备并提供对冠脉直径可进行连续、定量测量，并显示狭窄曲线</w:t>
            </w:r>
          </w:p>
        </w:tc>
      </w:tr>
      <w:tr w14:paraId="33439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9D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4E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具备并提供冠状动脉搭桥及支架放置规划测量</w:t>
            </w:r>
          </w:p>
        </w:tc>
      </w:tr>
      <w:tr w14:paraId="6C1D1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0F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10.10</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FA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具备并提供冠状动脉斑块类IVUS分析</w:t>
            </w:r>
          </w:p>
        </w:tc>
      </w:tr>
      <w:tr w14:paraId="62563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D1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10.11</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84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具备并提供CAD冠脉彩色编码技术</w:t>
            </w:r>
          </w:p>
        </w:tc>
      </w:tr>
      <w:tr w14:paraId="5131A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43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10.12</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C6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具备并提供心脏彩色透视功能（一键式操作分别重建左右房室）</w:t>
            </w:r>
          </w:p>
        </w:tc>
      </w:tr>
      <w:tr w14:paraId="44D6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09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10.13</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8C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具备并提供冠脉树自动提取功能，心肌相对灌注，1024高清支架成像，心脏去错层功能</w:t>
            </w:r>
          </w:p>
        </w:tc>
      </w:tr>
      <w:tr w14:paraId="237E6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281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BE98">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color w:val="000000"/>
                <w:sz w:val="24"/>
                <w:szCs w:val="24"/>
                <w:u w:val="none"/>
                <w:lang w:val="en-US" w:eastAsia="zh-CN" w:bidi="ar"/>
              </w:rPr>
              <w:t>灌注成像功能</w:t>
            </w:r>
          </w:p>
        </w:tc>
      </w:tr>
      <w:tr w14:paraId="7C633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C8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50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具备并提供轴扫或容积扫描模式下脑灌注成像范围：≥4cm</w:t>
            </w:r>
          </w:p>
        </w:tc>
      </w:tr>
      <w:tr w14:paraId="00085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A6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52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具备并提供智能彩色编码显示功能</w:t>
            </w:r>
          </w:p>
        </w:tc>
      </w:tr>
      <w:tr w14:paraId="2FC99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155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23B0">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color w:val="000000"/>
                <w:sz w:val="24"/>
                <w:szCs w:val="24"/>
                <w:u w:val="none"/>
                <w:lang w:val="en-US" w:eastAsia="zh-CN" w:bidi="ar"/>
              </w:rPr>
              <w:t>全自动肺结节分析软件 具备并提供：自动肺组织提取重建；自动筛选并突出显示异常和潜在恶性的肺实质性结节病灶；定量分析结节的容积、成分、密度及倍增时间</w:t>
            </w:r>
          </w:p>
        </w:tc>
      </w:tr>
      <w:tr w14:paraId="1B54C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A2E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D10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color w:val="000000"/>
                <w:sz w:val="24"/>
                <w:szCs w:val="24"/>
                <w:u w:val="none"/>
                <w:lang w:val="en-US" w:eastAsia="zh-CN" w:bidi="ar"/>
              </w:rPr>
              <w:t>肋骨骨折分析软件 具备并提供</w:t>
            </w:r>
          </w:p>
        </w:tc>
      </w:tr>
      <w:tr w14:paraId="49AA8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B07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C960">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color w:val="000000"/>
                <w:sz w:val="24"/>
                <w:szCs w:val="24"/>
                <w:u w:val="none"/>
                <w:lang w:val="en-US" w:eastAsia="zh-CN" w:bidi="ar"/>
              </w:rPr>
              <w:t>CTA冠脉智能分析软件 具备并提供</w:t>
            </w:r>
          </w:p>
        </w:tc>
      </w:tr>
      <w:tr w14:paraId="58E89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BCC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D130">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color w:val="000000"/>
                <w:sz w:val="24"/>
                <w:szCs w:val="24"/>
                <w:u w:val="none"/>
                <w:lang w:val="en-US" w:eastAsia="zh-CN" w:bidi="ar"/>
              </w:rPr>
              <w:t>CTA头颈血管智能分析软件 具备并提供</w:t>
            </w:r>
          </w:p>
        </w:tc>
      </w:tr>
      <w:tr w14:paraId="42E2A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30D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EC6C">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color w:val="000000"/>
                <w:sz w:val="24"/>
                <w:szCs w:val="24"/>
                <w:u w:val="none"/>
                <w:lang w:val="en-US" w:eastAsia="zh-CN" w:bidi="ar"/>
              </w:rPr>
              <w:t>智能化流程</w:t>
            </w:r>
          </w:p>
        </w:tc>
      </w:tr>
      <w:tr w14:paraId="1800E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CE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51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隔室操作功能：具备并提供</w:t>
            </w:r>
          </w:p>
        </w:tc>
      </w:tr>
      <w:tr w14:paraId="4D169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5A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33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无需出入扫描间进行所有部位定位设置，操作台直接控制扫描定位功能：具备并提供</w:t>
            </w:r>
          </w:p>
        </w:tc>
      </w:tr>
      <w:tr w14:paraId="25D6D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73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8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64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u w:val="none"/>
                <w:lang w:val="en-US" w:eastAsia="zh-CN" w:bidi="ar"/>
              </w:rPr>
              <w:t>扫描操作室内即可升降床，进出床，与患者零接触功能：具备并提供</w:t>
            </w:r>
          </w:p>
        </w:tc>
      </w:tr>
    </w:tbl>
    <w:p w14:paraId="120E577F">
      <w:pPr>
        <w:spacing w:line="360" w:lineRule="auto"/>
        <w:ind w:left="420" w:leftChars="200"/>
        <w:outlineLvl w:val="1"/>
        <w:rPr>
          <w:rFonts w:hint="eastAsia" w:ascii="宋体" w:hAnsi="宋体" w:eastAsia="宋体"/>
          <w:b/>
          <w:bCs/>
          <w:sz w:val="24"/>
          <w:szCs w:val="18"/>
        </w:rPr>
      </w:pPr>
      <w:r>
        <w:rPr>
          <w:rFonts w:hint="eastAsia" w:ascii="宋体" w:hAnsi="宋体" w:eastAsia="宋体"/>
          <w:b/>
          <w:bCs/>
          <w:sz w:val="24"/>
          <w:szCs w:val="18"/>
          <w:lang w:val="en-US" w:eastAsia="zh-CN"/>
        </w:rPr>
        <w:t>三、</w:t>
      </w:r>
      <w:r>
        <w:rPr>
          <w:rFonts w:hint="eastAsia" w:ascii="宋体" w:hAnsi="宋体" w:eastAsia="宋体"/>
          <w:b/>
          <w:bCs/>
          <w:sz w:val="24"/>
          <w:szCs w:val="18"/>
          <w:lang w:eastAsia="zh-CN"/>
        </w:rPr>
        <w:t>配置清单</w:t>
      </w:r>
    </w:p>
    <w:tbl>
      <w:tblPr>
        <w:tblStyle w:val="2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2"/>
        <w:gridCol w:w="7427"/>
      </w:tblGrid>
      <w:tr w14:paraId="51543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26E6">
            <w:pPr>
              <w:spacing w:line="360" w:lineRule="auto"/>
              <w:ind w:left="0" w:leftChars="0"/>
              <w:jc w:val="center"/>
              <w:outlineLvl w:val="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序号</w:t>
            </w:r>
          </w:p>
        </w:tc>
        <w:tc>
          <w:tcPr>
            <w:tcW w:w="7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29E2">
            <w:pPr>
              <w:spacing w:line="360" w:lineRule="auto"/>
              <w:ind w:left="0" w:leftChars="0"/>
              <w:jc w:val="center"/>
              <w:outlineLvl w:val="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清单</w:t>
            </w:r>
          </w:p>
        </w:tc>
      </w:tr>
      <w:tr w14:paraId="3FD5B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6FC3">
            <w:pPr>
              <w:spacing w:line="360" w:lineRule="auto"/>
              <w:ind w:left="0" w:leftChars="0"/>
              <w:jc w:val="center"/>
              <w:outlineLvl w:val="1"/>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p>
        </w:tc>
        <w:tc>
          <w:tcPr>
            <w:tcW w:w="7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BE6B">
            <w:pPr>
              <w:spacing w:line="360" w:lineRule="auto"/>
              <w:ind w:left="0" w:leftChars="0"/>
              <w:jc w:val="left"/>
              <w:outlineLvl w:val="1"/>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具备并提供CT专用双筒高压注射器2套</w:t>
            </w:r>
          </w:p>
        </w:tc>
      </w:tr>
      <w:tr w14:paraId="2EEDD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9" w:hRule="atLeast"/>
          <w:jc w:val="center"/>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337C">
            <w:pPr>
              <w:spacing w:line="360" w:lineRule="auto"/>
              <w:ind w:left="0" w:leftChars="0"/>
              <w:jc w:val="center"/>
              <w:outlineLvl w:val="1"/>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p>
        </w:tc>
        <w:tc>
          <w:tcPr>
            <w:tcW w:w="7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81D4">
            <w:pPr>
              <w:spacing w:line="360" w:lineRule="auto"/>
              <w:ind w:left="0" w:leftChars="0"/>
              <w:jc w:val="left"/>
              <w:outlineLvl w:val="1"/>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具备并提供患者防护用品：铅衣、铅围裙（全包）、铅帽、铅围脖、三角巾、方巾各4套</w:t>
            </w:r>
          </w:p>
        </w:tc>
      </w:tr>
    </w:tbl>
    <w:p w14:paraId="65AB9061">
      <w:pPr>
        <w:spacing w:line="360" w:lineRule="auto"/>
        <w:ind w:left="420" w:leftChars="200"/>
        <w:outlineLvl w:val="1"/>
        <w:rPr>
          <w:rFonts w:ascii="宋体" w:hAnsi="宋体" w:eastAsia="宋体"/>
          <w:b/>
          <w:bCs/>
          <w:sz w:val="24"/>
          <w:szCs w:val="18"/>
        </w:rPr>
      </w:pPr>
      <w:r>
        <w:rPr>
          <w:rFonts w:hint="eastAsia" w:ascii="宋体" w:hAnsi="宋体" w:eastAsia="宋体"/>
          <w:b/>
          <w:bCs/>
          <w:sz w:val="24"/>
          <w:szCs w:val="18"/>
        </w:rPr>
        <w:t>四、其他要求</w:t>
      </w:r>
      <w:bookmarkEnd w:id="6"/>
    </w:p>
    <w:p w14:paraId="4C637D86">
      <w:pPr>
        <w:spacing w:line="360" w:lineRule="auto"/>
        <w:ind w:firstLine="482" w:firstLineChars="200"/>
        <w:rPr>
          <w:rFonts w:hint="eastAsia" w:ascii="宋体" w:hAnsi="宋体" w:eastAsia="宋体"/>
          <w:b/>
          <w:bCs/>
          <w:sz w:val="24"/>
          <w:szCs w:val="18"/>
        </w:rPr>
      </w:pPr>
      <w:r>
        <w:rPr>
          <w:rFonts w:hint="eastAsia" w:ascii="宋体" w:hAnsi="宋体" w:eastAsia="宋体"/>
          <w:b/>
          <w:bCs/>
          <w:sz w:val="24"/>
          <w:szCs w:val="18"/>
        </w:rPr>
        <w:t>整机</w:t>
      </w:r>
      <w:r>
        <w:rPr>
          <w:rFonts w:hint="eastAsia" w:ascii="宋体" w:hAnsi="宋体" w:eastAsia="宋体"/>
          <w:b/>
          <w:bCs/>
          <w:sz w:val="24"/>
          <w:szCs w:val="18"/>
          <w:lang w:eastAsia="zh-CN"/>
        </w:rPr>
        <w:t>原厂</w:t>
      </w:r>
      <w:r>
        <w:rPr>
          <w:rFonts w:hint="eastAsia" w:ascii="宋体" w:hAnsi="宋体" w:eastAsia="宋体"/>
          <w:b/>
          <w:bCs/>
          <w:sz w:val="24"/>
          <w:szCs w:val="18"/>
        </w:rPr>
        <w:t>保修期</w:t>
      </w:r>
      <w:r>
        <w:rPr>
          <w:rFonts w:hint="eastAsia" w:ascii="宋体" w:hAnsi="宋体" w:eastAsia="宋体"/>
          <w:b/>
          <w:bCs/>
          <w:sz w:val="24"/>
          <w:szCs w:val="18"/>
          <w:lang w:val="en-US" w:eastAsia="zh-CN"/>
        </w:rPr>
        <w:t>8</w:t>
      </w:r>
      <w:r>
        <w:rPr>
          <w:rFonts w:hint="eastAsia" w:ascii="宋体" w:hAnsi="宋体" w:eastAsia="宋体"/>
          <w:b/>
          <w:bCs/>
          <w:sz w:val="24"/>
          <w:szCs w:val="18"/>
        </w:rPr>
        <w:t>年（含所有零部件，包括球管、探测器、高压造影注射器、独立工作站和软件升级迭代等。），保修期自设备安装完毕，双方签署本次集中采购统一格式的验收报告后开始计算。保修期间要确保系统的正常运行，提供周期维护保养（PM）≥4 次，保证全年开机率(按365 天/年计算)≥95%，如达不到此标准，需按1:3(停机一天延长三天)天数延长，延长期中出现停机按同样比例要求延长保修期；保修期内保证在接到设备故障报修通知后，维修工程师2小时内响应，24小时内到达现场检修，保修期内外（包括休息日和节假日） 均能派出维修工程师到达现场维修。投标人在投标文件中承诺中标后提供由制造商针对设备整机加盖制造商公章的售后服务承诺书，承诺书涵盖以上内容。如未能提供，则采购人有权解除合同，并上报监管部门，且中标人须承担由此产生的一切责任。</w:t>
      </w:r>
      <w:r>
        <w:rPr>
          <w:rFonts w:hint="eastAsia" w:ascii="宋体" w:hAnsi="宋体" w:eastAsia="宋体"/>
          <w:b/>
          <w:bCs/>
          <w:sz w:val="24"/>
          <w:szCs w:val="18"/>
          <w:lang w:eastAsia="zh-CN"/>
        </w:rPr>
        <w:t>（费用包含在投标总价中）</w:t>
      </w:r>
    </w:p>
    <w:p w14:paraId="17E41859">
      <w:pPr>
        <w:spacing w:line="360" w:lineRule="auto"/>
        <w:ind w:firstLine="482" w:firstLineChars="200"/>
        <w:rPr>
          <w:rFonts w:hint="eastAsia" w:ascii="宋体" w:hAnsi="宋体" w:eastAsia="宋体"/>
          <w:b/>
          <w:bCs/>
          <w:sz w:val="24"/>
          <w:szCs w:val="18"/>
        </w:rPr>
      </w:pPr>
      <w:r>
        <w:rPr>
          <w:rFonts w:hint="eastAsia" w:ascii="宋体" w:hAnsi="宋体" w:eastAsia="宋体"/>
          <w:b/>
          <w:bCs/>
          <w:sz w:val="24"/>
          <w:szCs w:val="18"/>
        </w:rPr>
        <w:t>保修期满后整机年保修价格：全保（含球管）＜</w:t>
      </w:r>
      <w:r>
        <w:rPr>
          <w:rFonts w:hint="eastAsia" w:ascii="宋体" w:hAnsi="宋体" w:eastAsia="宋体"/>
          <w:b/>
          <w:bCs/>
          <w:sz w:val="24"/>
          <w:szCs w:val="18"/>
          <w:lang w:val="en-US" w:eastAsia="zh-CN"/>
        </w:rPr>
        <w:t>5.9</w:t>
      </w:r>
      <w:r>
        <w:rPr>
          <w:rFonts w:hint="eastAsia" w:ascii="宋体" w:hAnsi="宋体" w:eastAsia="宋体"/>
          <w:b/>
          <w:bCs/>
          <w:sz w:val="24"/>
          <w:szCs w:val="18"/>
        </w:rPr>
        <w:t>%投标总报价（含所有零部件，包括球管、探测器、高压造影注射器、独立工作站和软件升级迭代等，提供周期维护保养（PM）≥4 次，保证全年开机率（按365 天/年计算）≥95%，如达不到此标准，需按1:3（停机一天延长三天）天数延长，延长期中出现停机按同样比例要求延长保修期并向买方提供标准维护保养报告和年度维修报告）；半保（不含球管）＜2.</w:t>
      </w:r>
      <w:r>
        <w:rPr>
          <w:rFonts w:hint="eastAsia" w:ascii="宋体" w:hAnsi="宋体" w:eastAsia="宋体"/>
          <w:b/>
          <w:bCs/>
          <w:sz w:val="24"/>
          <w:szCs w:val="18"/>
          <w:lang w:val="en-US" w:eastAsia="zh-CN"/>
        </w:rPr>
        <w:t>4</w:t>
      </w:r>
      <w:r>
        <w:rPr>
          <w:rFonts w:hint="eastAsia" w:ascii="宋体" w:hAnsi="宋体" w:eastAsia="宋体"/>
          <w:b/>
          <w:bCs/>
          <w:sz w:val="24"/>
          <w:szCs w:val="18"/>
        </w:rPr>
        <w:t>%投标总报价（含除球管以外所有零部件，包括探测器、高压造影注射器和独立工作站等，提供周期维护保养（PM）≥4 次，保证全年开机率（按365 天/年计算）≥95%，如达不到此标准，需按1:3（停机一天延长三天）天数延长，延长期中出现停机按同样比例要求延长保修期并向买方提供标准维护保养报告和年度维修报告）；单次人工费用≤2000 元/小时（从工程师到场开始计算）。投标人在投标文件中承诺中标后提供由制造商针对设备整机加盖制造商公章的售后服务承诺书，承诺书涵盖以上内容。如未能提供，则采购人有权解除合同，并上报监管部门，且中标人须承担由此产生的一切责任。</w:t>
      </w:r>
    </w:p>
    <w:p w14:paraId="5D6E81E4">
      <w:pPr>
        <w:spacing w:line="360" w:lineRule="auto"/>
        <w:ind w:firstLine="482" w:firstLineChars="200"/>
        <w:rPr>
          <w:rFonts w:hint="eastAsia" w:ascii="宋体" w:hAnsi="宋体" w:eastAsia="宋体"/>
          <w:b/>
          <w:bCs/>
          <w:sz w:val="24"/>
          <w:szCs w:val="18"/>
        </w:rPr>
      </w:pPr>
      <w:r>
        <w:rPr>
          <w:rFonts w:hint="eastAsia" w:ascii="宋体" w:hAnsi="宋体" w:eastAsia="宋体"/>
          <w:b/>
          <w:bCs/>
          <w:sz w:val="24"/>
          <w:szCs w:val="18"/>
        </w:rPr>
        <w:t>对采购人的技术操作人员、设备科管理人员进行分期分批（不少于3 次）的正规的整套设备操作、维修、检测等内容的技术培训</w:t>
      </w:r>
      <w:r>
        <w:rPr>
          <w:rFonts w:hint="eastAsia" w:ascii="宋体" w:hAnsi="宋体" w:eastAsia="宋体"/>
          <w:b/>
          <w:bCs/>
          <w:sz w:val="24"/>
          <w:szCs w:val="18"/>
          <w:lang w:eastAsia="zh-CN"/>
        </w:rPr>
        <w:t>（费用包含在投标总价中）</w:t>
      </w:r>
      <w:r>
        <w:rPr>
          <w:rFonts w:hint="eastAsia" w:ascii="宋体" w:hAnsi="宋体" w:eastAsia="宋体"/>
          <w:b/>
          <w:bCs/>
          <w:sz w:val="24"/>
          <w:szCs w:val="18"/>
        </w:rPr>
        <w:t>。</w:t>
      </w:r>
    </w:p>
    <w:p w14:paraId="4185BA8F">
      <w:pPr>
        <w:spacing w:line="360" w:lineRule="auto"/>
        <w:ind w:firstLine="482" w:firstLineChars="200"/>
        <w:rPr>
          <w:rFonts w:ascii="宋体" w:hAnsi="宋体" w:eastAsia="宋体"/>
          <w:bCs/>
          <w:sz w:val="24"/>
          <w:szCs w:val="18"/>
        </w:rPr>
      </w:pPr>
      <w:r>
        <w:rPr>
          <w:rFonts w:hint="eastAsia" w:ascii="宋体" w:hAnsi="宋体" w:eastAsia="宋体"/>
          <w:b/>
          <w:bCs/>
          <w:sz w:val="24"/>
          <w:szCs w:val="18"/>
        </w:rPr>
        <w:t>提供操作说明书（含中英文）及维修说明书，并提供专用维修工具</w:t>
      </w:r>
      <w:r>
        <w:rPr>
          <w:rFonts w:hint="eastAsia" w:ascii="宋体" w:hAnsi="宋体" w:eastAsia="宋体"/>
          <w:b/>
          <w:bCs/>
          <w:sz w:val="24"/>
          <w:szCs w:val="18"/>
          <w:lang w:val="en-US" w:eastAsia="zh-CN"/>
        </w:rPr>
        <w:t>1套</w:t>
      </w:r>
      <w:r>
        <w:rPr>
          <w:rFonts w:hint="eastAsia" w:ascii="宋体" w:hAnsi="宋体" w:eastAsia="宋体"/>
          <w:b/>
          <w:bCs/>
          <w:sz w:val="24"/>
          <w:szCs w:val="18"/>
        </w:rPr>
        <w:t>。</w:t>
      </w:r>
    </w:p>
    <w:tbl>
      <w:tblPr>
        <w:tblStyle w:val="26"/>
        <w:tblpPr w:leftFromText="180" w:rightFromText="180" w:vertAnchor="text" w:horzAnchor="page" w:tblpX="1480" w:tblpY="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605"/>
        <w:gridCol w:w="6140"/>
      </w:tblGrid>
      <w:tr w14:paraId="01733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80" w:type="dxa"/>
            <w:noWrap/>
            <w:vAlign w:val="center"/>
          </w:tcPr>
          <w:p w14:paraId="30BDE318">
            <w:pPr>
              <w:wordWrap w:val="0"/>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7745" w:type="dxa"/>
            <w:gridSpan w:val="2"/>
            <w:noWrap/>
            <w:vAlign w:val="center"/>
          </w:tcPr>
          <w:p w14:paraId="76821B64">
            <w:pPr>
              <w:wordWrap w:val="0"/>
              <w:ind w:firstLine="2891" w:firstLineChars="1200"/>
              <w:jc w:val="left"/>
              <w:rPr>
                <w:rFonts w:ascii="宋体" w:hAnsi="宋体" w:eastAsia="宋体" w:cs="宋体"/>
                <w:b/>
                <w:bCs/>
                <w:sz w:val="24"/>
                <w:szCs w:val="24"/>
              </w:rPr>
            </w:pPr>
            <w:r>
              <w:rPr>
                <w:rFonts w:hint="eastAsia" w:ascii="宋体" w:hAnsi="宋体" w:eastAsia="宋体" w:cs="宋体"/>
                <w:b/>
                <w:bCs/>
                <w:sz w:val="24"/>
                <w:szCs w:val="24"/>
              </w:rPr>
              <w:t>商务条款内容</w:t>
            </w:r>
          </w:p>
        </w:tc>
      </w:tr>
      <w:tr w14:paraId="2247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0" w:type="dxa"/>
            <w:vMerge w:val="restart"/>
            <w:noWrap/>
            <w:vAlign w:val="center"/>
          </w:tcPr>
          <w:p w14:paraId="08E16587">
            <w:pPr>
              <w:wordWrap w:val="0"/>
              <w:jc w:val="center"/>
              <w:rPr>
                <w:rFonts w:ascii="宋体" w:hAnsi="宋体" w:eastAsia="宋体" w:cs="宋体"/>
                <w:b/>
                <w:bCs/>
                <w:sz w:val="24"/>
                <w:szCs w:val="24"/>
              </w:rPr>
            </w:pPr>
            <w:r>
              <w:rPr>
                <w:rFonts w:hint="eastAsia" w:ascii="宋体" w:hAnsi="宋体" w:eastAsia="宋体" w:cs="宋体"/>
                <w:b/>
                <w:bCs/>
                <w:sz w:val="24"/>
                <w:szCs w:val="24"/>
              </w:rPr>
              <w:t>1</w:t>
            </w:r>
          </w:p>
        </w:tc>
        <w:tc>
          <w:tcPr>
            <w:tcW w:w="1605" w:type="dxa"/>
            <w:vMerge w:val="restart"/>
            <w:noWrap/>
            <w:vAlign w:val="center"/>
          </w:tcPr>
          <w:p w14:paraId="6D10A7EB">
            <w:pPr>
              <w:wordWrap w:val="0"/>
              <w:jc w:val="center"/>
              <w:rPr>
                <w:rFonts w:ascii="宋体" w:hAnsi="宋体" w:eastAsia="宋体" w:cs="宋体"/>
                <w:b/>
                <w:bCs/>
                <w:sz w:val="24"/>
                <w:szCs w:val="24"/>
              </w:rPr>
            </w:pPr>
            <w:r>
              <w:rPr>
                <w:rFonts w:hint="eastAsia" w:ascii="宋体" w:hAnsi="宋体" w:eastAsia="宋体" w:cs="宋体"/>
                <w:b/>
                <w:bCs/>
                <w:sz w:val="24"/>
                <w:szCs w:val="24"/>
              </w:rPr>
              <w:t>如是依法纳入医疗器械管理的须具有</w:t>
            </w:r>
          </w:p>
        </w:tc>
        <w:tc>
          <w:tcPr>
            <w:tcW w:w="6140" w:type="dxa"/>
            <w:noWrap/>
            <w:vAlign w:val="center"/>
          </w:tcPr>
          <w:p w14:paraId="6517EED9">
            <w:pPr>
              <w:wordWrap w:val="0"/>
              <w:jc w:val="left"/>
              <w:rPr>
                <w:rFonts w:ascii="宋体" w:hAnsi="宋体" w:eastAsia="宋体" w:cs="宋体"/>
                <w:b/>
                <w:bCs/>
                <w:sz w:val="24"/>
                <w:szCs w:val="24"/>
              </w:rPr>
            </w:pPr>
            <w:r>
              <w:rPr>
                <w:rFonts w:hint="eastAsia" w:ascii="宋体" w:hAnsi="宋体" w:eastAsia="宋体" w:cs="宋体"/>
                <w:b/>
                <w:bCs/>
                <w:sz w:val="24"/>
                <w:szCs w:val="24"/>
              </w:rPr>
              <w:t>投标人为制造商的，须具有相应的医疗器械生产备案获取的备案编号（属于一类时）。</w:t>
            </w:r>
          </w:p>
        </w:tc>
      </w:tr>
      <w:tr w14:paraId="7B13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680" w:type="dxa"/>
            <w:vMerge w:val="continue"/>
            <w:noWrap/>
            <w:vAlign w:val="center"/>
          </w:tcPr>
          <w:p w14:paraId="146CC482">
            <w:pPr>
              <w:wordWrap w:val="0"/>
              <w:jc w:val="center"/>
              <w:rPr>
                <w:rFonts w:ascii="宋体" w:hAnsi="宋体" w:eastAsia="宋体" w:cs="宋体"/>
                <w:b/>
                <w:bCs/>
                <w:sz w:val="24"/>
                <w:szCs w:val="24"/>
              </w:rPr>
            </w:pPr>
          </w:p>
        </w:tc>
        <w:tc>
          <w:tcPr>
            <w:tcW w:w="1605" w:type="dxa"/>
            <w:vMerge w:val="continue"/>
            <w:noWrap/>
          </w:tcPr>
          <w:p w14:paraId="6DBA313D">
            <w:pPr>
              <w:wordWrap w:val="0"/>
              <w:jc w:val="center"/>
              <w:rPr>
                <w:rFonts w:ascii="宋体" w:hAnsi="宋体" w:eastAsia="宋体" w:cs="宋体"/>
                <w:b/>
                <w:bCs/>
                <w:kern w:val="0"/>
                <w:sz w:val="24"/>
                <w:szCs w:val="24"/>
              </w:rPr>
            </w:pPr>
          </w:p>
        </w:tc>
        <w:tc>
          <w:tcPr>
            <w:tcW w:w="6140" w:type="dxa"/>
            <w:noWrap/>
          </w:tcPr>
          <w:p w14:paraId="482B43DA">
            <w:pPr>
              <w:pStyle w:val="67"/>
              <w:jc w:val="left"/>
              <w:rPr>
                <w:rFonts w:ascii="宋体" w:hAnsi="宋体" w:eastAsia="宋体" w:cs="宋体"/>
                <w:b/>
                <w:bCs/>
                <w:sz w:val="24"/>
                <w:szCs w:val="24"/>
              </w:rPr>
            </w:pPr>
            <w:r>
              <w:rPr>
                <w:rFonts w:hint="eastAsia" w:ascii="宋体" w:hAnsi="宋体" w:eastAsia="宋体" w:cs="宋体"/>
                <w:b/>
                <w:bCs/>
                <w:sz w:val="24"/>
                <w:szCs w:val="24"/>
              </w:rPr>
              <w:t>投标人须具有与投标产品相应的有效经营备案编号（属于二类时）；（如本次投标产品的注册人、备案人在其住所或者生产地址销售的，无需再办理医疗器械经营许可或备案。）。</w:t>
            </w:r>
          </w:p>
        </w:tc>
      </w:tr>
    </w:tbl>
    <w:p w14:paraId="3EB70FBF">
      <w:pPr>
        <w:ind w:left="0" w:leftChars="0" w:firstLine="422" w:firstLineChars="175"/>
        <w:rPr>
          <w:rFonts w:ascii="宋体" w:hAnsi="宋体" w:eastAsia="宋体" w:cs="宋体"/>
          <w:b/>
          <w:bCs/>
          <w:sz w:val="24"/>
          <w:szCs w:val="24"/>
        </w:rPr>
      </w:pPr>
      <w:r>
        <w:rPr>
          <w:rFonts w:hint="eastAsia" w:ascii="宋体" w:hAnsi="宋体" w:eastAsia="宋体" w:cs="宋体"/>
          <w:b/>
          <w:bCs/>
          <w:sz w:val="24"/>
          <w:szCs w:val="24"/>
        </w:rPr>
        <w:t>3、其他商务条款</w:t>
      </w:r>
    </w:p>
    <w:p w14:paraId="168D4759">
      <w:pPr>
        <w:numPr>
          <w:ilvl w:val="0"/>
          <w:numId w:val="2"/>
        </w:numPr>
        <w:spacing w:line="360" w:lineRule="auto"/>
        <w:ind w:left="0" w:leftChars="0" w:firstLine="422" w:firstLineChars="175"/>
        <w:rPr>
          <w:rFonts w:hint="eastAsia" w:ascii="宋体" w:hAnsi="宋体" w:eastAsia="宋体"/>
          <w:b/>
          <w:sz w:val="24"/>
          <w:szCs w:val="18"/>
        </w:rPr>
      </w:pPr>
      <w:r>
        <w:rPr>
          <w:rFonts w:hint="eastAsia" w:ascii="宋体" w:hAnsi="宋体" w:eastAsia="宋体"/>
          <w:b/>
          <w:sz w:val="24"/>
          <w:szCs w:val="18"/>
        </w:rPr>
        <w:t>与医院在用信息系统实现互联互通（如产生第三方对接开发费用，由中标人负责），包含在总价内。（由投标人提供承诺函）</w:t>
      </w:r>
    </w:p>
    <w:p w14:paraId="1A785F00">
      <w:pPr>
        <w:numPr>
          <w:ilvl w:val="0"/>
          <w:numId w:val="2"/>
        </w:numPr>
        <w:spacing w:line="360" w:lineRule="auto"/>
        <w:ind w:left="0" w:leftChars="0" w:firstLine="422" w:firstLineChars="175"/>
        <w:rPr>
          <w:rFonts w:hint="eastAsia" w:ascii="宋体" w:hAnsi="宋体" w:eastAsia="宋体"/>
          <w:b/>
          <w:sz w:val="24"/>
          <w:szCs w:val="18"/>
        </w:rPr>
      </w:pPr>
      <w:r>
        <w:rPr>
          <w:rFonts w:hint="eastAsia" w:ascii="宋体" w:hAnsi="宋体" w:eastAsia="宋体"/>
          <w:b/>
          <w:sz w:val="24"/>
          <w:szCs w:val="18"/>
          <w:lang w:val="en-US" w:eastAsia="zh-CN"/>
        </w:rPr>
        <w:t>投标人须承诺具备并提供配置清单中涉及的附件。（</w:t>
      </w:r>
      <w:r>
        <w:rPr>
          <w:rFonts w:hint="eastAsia" w:ascii="宋体" w:hAnsi="宋体" w:eastAsia="宋体"/>
          <w:b/>
          <w:sz w:val="24"/>
          <w:szCs w:val="18"/>
        </w:rPr>
        <w:t>由投标人提供承诺函</w:t>
      </w:r>
      <w:r>
        <w:rPr>
          <w:rFonts w:hint="eastAsia" w:ascii="宋体" w:hAnsi="宋体" w:eastAsia="宋体"/>
          <w:b/>
          <w:sz w:val="24"/>
          <w:szCs w:val="18"/>
          <w:lang w:val="en-US" w:eastAsia="zh-CN"/>
        </w:rPr>
        <w:t>）</w:t>
      </w:r>
      <w:bookmarkStart w:id="7" w:name="_GoBack"/>
      <w:bookmarkEnd w:id="7"/>
    </w:p>
    <w:p w14:paraId="55908349">
      <w:pPr>
        <w:numPr>
          <w:ilvl w:val="255"/>
          <w:numId w:val="0"/>
        </w:numPr>
        <w:spacing w:line="360" w:lineRule="auto"/>
        <w:ind w:left="0" w:leftChars="0" w:firstLine="422" w:firstLineChars="175"/>
        <w:rPr>
          <w:rFonts w:hint="eastAsia" w:ascii="宋体" w:hAnsi="宋体" w:eastAsia="宋体"/>
          <w:b/>
          <w:bCs/>
          <w:sz w:val="24"/>
          <w:szCs w:val="18"/>
          <w:highlight w:val="none"/>
        </w:rPr>
      </w:pPr>
      <w:r>
        <w:rPr>
          <w:rFonts w:hint="eastAsia" w:asciiTheme="minorEastAsia" w:hAnsiTheme="minorEastAsia" w:eastAsiaTheme="minorEastAsia"/>
          <w:b/>
          <w:bCs/>
          <w:sz w:val="24"/>
          <w:highlight w:val="none"/>
          <w:lang w:val="en-US" w:eastAsia="zh-CN"/>
        </w:rPr>
        <w:t>6、中标后，按照投标人所投技术参数验收，如有虚假应标，无偿退货，</w:t>
      </w:r>
      <w:r>
        <w:rPr>
          <w:rFonts w:asciiTheme="minorEastAsia" w:hAnsiTheme="minorEastAsia" w:eastAsiaTheme="minorEastAsia"/>
          <w:b/>
          <w:bCs/>
          <w:sz w:val="24"/>
          <w:highlight w:val="none"/>
        </w:rPr>
        <w:t>采购人有权解除合同，并上报监管部门，且中标人须承担由此产生的一切责任。</w:t>
      </w:r>
    </w:p>
    <w:p w14:paraId="7C820832">
      <w:pPr>
        <w:spacing w:line="360" w:lineRule="auto"/>
        <w:ind w:left="0" w:leftChars="0" w:firstLine="422" w:firstLineChars="175"/>
        <w:rPr>
          <w:rFonts w:asciiTheme="minorEastAsia" w:hAnsiTheme="minorEastAsia" w:eastAsiaTheme="minorEastAsia"/>
          <w:sz w:val="24"/>
        </w:rPr>
      </w:pPr>
      <w:r>
        <w:rPr>
          <w:rFonts w:hint="eastAsia" w:ascii="宋体" w:hAnsi="宋体" w:eastAsia="宋体" w:cs="宋体"/>
          <w:b/>
          <w:color w:val="000000"/>
          <w:sz w:val="24"/>
        </w:rPr>
        <w:t>注：上述其他要求</w:t>
      </w:r>
      <w:r>
        <w:rPr>
          <w:rFonts w:hint="eastAsia" w:ascii="宋体" w:hAnsi="宋体" w:eastAsia="宋体" w:cs="宋体"/>
          <w:b/>
          <w:sz w:val="24"/>
        </w:rPr>
        <w:t>条款必须全部满足，否则作无效标处理。</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Microsoft YaHei UI">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C5500">
    <w:pPr>
      <w:pStyle w:val="1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105B71">
                          <w:pPr>
                            <w:pStyle w:val="1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E105B71">
                    <w:pPr>
                      <w:pStyle w:val="16"/>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AE308">
    <w:pPr>
      <w:pStyle w:val="17"/>
      <w:jc w:val="left"/>
    </w:pPr>
    <w:r>
      <w:rPr>
        <w:rFonts w:hint="eastAsia" w:asciiTheme="minorEastAsia" w:hAnsiTheme="minorEastAsia" w:eastAsiaTheme="minorEastAsia"/>
      </w:rPr>
      <w:t>安徽省政府采购项目公开招标文件示范文本（货物类）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3F5D6D"/>
    <w:multiLevelType w:val="singleLevel"/>
    <w:tmpl w:val="AC3F5D6D"/>
    <w:lvl w:ilvl="0" w:tentative="0">
      <w:start w:val="1"/>
      <w:numFmt w:val="decimal"/>
      <w:suff w:val="nothing"/>
      <w:lvlText w:val="（%1）"/>
      <w:lvlJc w:val="left"/>
    </w:lvl>
  </w:abstractNum>
  <w:abstractNum w:abstractNumId="1">
    <w:nsid w:val="E09025F1"/>
    <w:multiLevelType w:val="singleLevel"/>
    <w:tmpl w:val="E09025F1"/>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YjQzMDhiYzA3NWZlODA5OTkxMDRiNDU3ZjExNjEifQ=="/>
  </w:docVars>
  <w:rsids>
    <w:rsidRoot w:val="00172A27"/>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5F65"/>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5F2C"/>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C7B66"/>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1A92"/>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218E2"/>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176"/>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505D"/>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7B1BF9"/>
    <w:rsid w:val="01E93A1B"/>
    <w:rsid w:val="0214602E"/>
    <w:rsid w:val="02922F2C"/>
    <w:rsid w:val="02A9377A"/>
    <w:rsid w:val="02B16677"/>
    <w:rsid w:val="03486B27"/>
    <w:rsid w:val="040A094E"/>
    <w:rsid w:val="0444488F"/>
    <w:rsid w:val="04A967B2"/>
    <w:rsid w:val="055F3224"/>
    <w:rsid w:val="056F201D"/>
    <w:rsid w:val="05B664D4"/>
    <w:rsid w:val="05F467EB"/>
    <w:rsid w:val="060B659B"/>
    <w:rsid w:val="064B485A"/>
    <w:rsid w:val="06635A01"/>
    <w:rsid w:val="068C65C4"/>
    <w:rsid w:val="07076C01"/>
    <w:rsid w:val="071C12AC"/>
    <w:rsid w:val="07A934B3"/>
    <w:rsid w:val="07EB6287"/>
    <w:rsid w:val="0806421B"/>
    <w:rsid w:val="09475D37"/>
    <w:rsid w:val="0980799C"/>
    <w:rsid w:val="09944B8E"/>
    <w:rsid w:val="09E55520"/>
    <w:rsid w:val="0A6A18DB"/>
    <w:rsid w:val="0A975B48"/>
    <w:rsid w:val="0AB734AE"/>
    <w:rsid w:val="0ADA51CD"/>
    <w:rsid w:val="0AE96B29"/>
    <w:rsid w:val="0AEF3828"/>
    <w:rsid w:val="0B2D14BF"/>
    <w:rsid w:val="0B406381"/>
    <w:rsid w:val="0BB452AA"/>
    <w:rsid w:val="0BBB665B"/>
    <w:rsid w:val="0C4951F5"/>
    <w:rsid w:val="0D2C4035"/>
    <w:rsid w:val="0D4E3C51"/>
    <w:rsid w:val="0ECB733C"/>
    <w:rsid w:val="0EEA6FC1"/>
    <w:rsid w:val="0F790928"/>
    <w:rsid w:val="0FA65D73"/>
    <w:rsid w:val="0FEF05C9"/>
    <w:rsid w:val="1079657B"/>
    <w:rsid w:val="109533F1"/>
    <w:rsid w:val="10CD72BB"/>
    <w:rsid w:val="116F1A29"/>
    <w:rsid w:val="119D1E3A"/>
    <w:rsid w:val="11ED4EB9"/>
    <w:rsid w:val="12197477"/>
    <w:rsid w:val="131B5CD3"/>
    <w:rsid w:val="13776448"/>
    <w:rsid w:val="13DF6B3D"/>
    <w:rsid w:val="1466407E"/>
    <w:rsid w:val="14834E28"/>
    <w:rsid w:val="148E7D65"/>
    <w:rsid w:val="14B12937"/>
    <w:rsid w:val="15231BF9"/>
    <w:rsid w:val="158C3C38"/>
    <w:rsid w:val="15C4546D"/>
    <w:rsid w:val="16B1384A"/>
    <w:rsid w:val="16CD1317"/>
    <w:rsid w:val="17920BDE"/>
    <w:rsid w:val="184C2D02"/>
    <w:rsid w:val="19C76C8E"/>
    <w:rsid w:val="1A064976"/>
    <w:rsid w:val="1A241871"/>
    <w:rsid w:val="1A3B68AA"/>
    <w:rsid w:val="1A3E1C1E"/>
    <w:rsid w:val="1A4B6D47"/>
    <w:rsid w:val="1AAC678A"/>
    <w:rsid w:val="1B6F4F40"/>
    <w:rsid w:val="1B8078AA"/>
    <w:rsid w:val="1B9158F5"/>
    <w:rsid w:val="1C141836"/>
    <w:rsid w:val="1C5F3784"/>
    <w:rsid w:val="1C76537D"/>
    <w:rsid w:val="1C876D00"/>
    <w:rsid w:val="1D5D4F03"/>
    <w:rsid w:val="1D9B2675"/>
    <w:rsid w:val="1D9C2DA5"/>
    <w:rsid w:val="1DB94924"/>
    <w:rsid w:val="1DD20B69"/>
    <w:rsid w:val="1E5B441F"/>
    <w:rsid w:val="1E6057B8"/>
    <w:rsid w:val="1E6B6A14"/>
    <w:rsid w:val="1E7B79CF"/>
    <w:rsid w:val="1EC05A26"/>
    <w:rsid w:val="20550D9A"/>
    <w:rsid w:val="20DB3C10"/>
    <w:rsid w:val="218E2416"/>
    <w:rsid w:val="226915FE"/>
    <w:rsid w:val="230519B9"/>
    <w:rsid w:val="230C5CE8"/>
    <w:rsid w:val="23847F75"/>
    <w:rsid w:val="241804A5"/>
    <w:rsid w:val="249B6F57"/>
    <w:rsid w:val="24B97929"/>
    <w:rsid w:val="24D632D7"/>
    <w:rsid w:val="257822C0"/>
    <w:rsid w:val="25F75F96"/>
    <w:rsid w:val="26101026"/>
    <w:rsid w:val="26D71C87"/>
    <w:rsid w:val="277D71B5"/>
    <w:rsid w:val="27C94D5A"/>
    <w:rsid w:val="27D65DBA"/>
    <w:rsid w:val="285862BF"/>
    <w:rsid w:val="285F40CA"/>
    <w:rsid w:val="286E488F"/>
    <w:rsid w:val="289E1AF0"/>
    <w:rsid w:val="28C01ECB"/>
    <w:rsid w:val="28C130D1"/>
    <w:rsid w:val="294C2BF2"/>
    <w:rsid w:val="29B23078"/>
    <w:rsid w:val="29B33362"/>
    <w:rsid w:val="29BF71E3"/>
    <w:rsid w:val="29D6387F"/>
    <w:rsid w:val="29F162D1"/>
    <w:rsid w:val="2A127B63"/>
    <w:rsid w:val="2A451A6C"/>
    <w:rsid w:val="2A5A558B"/>
    <w:rsid w:val="2A6D1762"/>
    <w:rsid w:val="2AAA4765"/>
    <w:rsid w:val="2AC21606"/>
    <w:rsid w:val="2B7E7608"/>
    <w:rsid w:val="2B7F04E9"/>
    <w:rsid w:val="2B8B554A"/>
    <w:rsid w:val="2BC75EE7"/>
    <w:rsid w:val="2C942D9B"/>
    <w:rsid w:val="2C95228B"/>
    <w:rsid w:val="2D496D68"/>
    <w:rsid w:val="2D7432B3"/>
    <w:rsid w:val="2E023238"/>
    <w:rsid w:val="2E7303C1"/>
    <w:rsid w:val="2E7A48DE"/>
    <w:rsid w:val="2E982B26"/>
    <w:rsid w:val="2EBA5177"/>
    <w:rsid w:val="2EDC3ED8"/>
    <w:rsid w:val="2F104B00"/>
    <w:rsid w:val="2F553234"/>
    <w:rsid w:val="2F6351B4"/>
    <w:rsid w:val="2FC86126"/>
    <w:rsid w:val="2FCF199E"/>
    <w:rsid w:val="30483E83"/>
    <w:rsid w:val="30881ED1"/>
    <w:rsid w:val="30BF3991"/>
    <w:rsid w:val="3111619A"/>
    <w:rsid w:val="316C3231"/>
    <w:rsid w:val="317963F2"/>
    <w:rsid w:val="31B139DC"/>
    <w:rsid w:val="3213726C"/>
    <w:rsid w:val="32497AF3"/>
    <w:rsid w:val="32D96DA2"/>
    <w:rsid w:val="3392223A"/>
    <w:rsid w:val="343C0775"/>
    <w:rsid w:val="34CF0F75"/>
    <w:rsid w:val="352D04CC"/>
    <w:rsid w:val="356C50EC"/>
    <w:rsid w:val="36137E45"/>
    <w:rsid w:val="36376E0A"/>
    <w:rsid w:val="36F97D2A"/>
    <w:rsid w:val="3700166C"/>
    <w:rsid w:val="373F7FE3"/>
    <w:rsid w:val="375A6BCB"/>
    <w:rsid w:val="379A1012"/>
    <w:rsid w:val="38141215"/>
    <w:rsid w:val="38625C87"/>
    <w:rsid w:val="38694EE9"/>
    <w:rsid w:val="39341CE9"/>
    <w:rsid w:val="398C6E88"/>
    <w:rsid w:val="3A557B1D"/>
    <w:rsid w:val="3A6818FA"/>
    <w:rsid w:val="3B365CC9"/>
    <w:rsid w:val="3B6E5E77"/>
    <w:rsid w:val="3B9A7B88"/>
    <w:rsid w:val="3CD4745F"/>
    <w:rsid w:val="3D2371EF"/>
    <w:rsid w:val="3D2C7AC8"/>
    <w:rsid w:val="3D855D12"/>
    <w:rsid w:val="3D8B42FF"/>
    <w:rsid w:val="3DC20F65"/>
    <w:rsid w:val="3DE86C4C"/>
    <w:rsid w:val="3DF36A6E"/>
    <w:rsid w:val="3E83729F"/>
    <w:rsid w:val="3EBA1EE9"/>
    <w:rsid w:val="3F792F1E"/>
    <w:rsid w:val="3F9F5DF3"/>
    <w:rsid w:val="3FB478D6"/>
    <w:rsid w:val="40511C11"/>
    <w:rsid w:val="40824826"/>
    <w:rsid w:val="40A13EA0"/>
    <w:rsid w:val="40CE0744"/>
    <w:rsid w:val="40E63923"/>
    <w:rsid w:val="42F223AD"/>
    <w:rsid w:val="43014AB5"/>
    <w:rsid w:val="43A91E5B"/>
    <w:rsid w:val="43C976BF"/>
    <w:rsid w:val="443B755C"/>
    <w:rsid w:val="449E0D39"/>
    <w:rsid w:val="44C67F95"/>
    <w:rsid w:val="44F838D7"/>
    <w:rsid w:val="45525A42"/>
    <w:rsid w:val="45857508"/>
    <w:rsid w:val="45E32B26"/>
    <w:rsid w:val="463A3650"/>
    <w:rsid w:val="46461627"/>
    <w:rsid w:val="469F0116"/>
    <w:rsid w:val="474B6403"/>
    <w:rsid w:val="475259B7"/>
    <w:rsid w:val="48303B90"/>
    <w:rsid w:val="488302AE"/>
    <w:rsid w:val="48831CF9"/>
    <w:rsid w:val="49024C9C"/>
    <w:rsid w:val="492E2C80"/>
    <w:rsid w:val="49A563CB"/>
    <w:rsid w:val="49B1408D"/>
    <w:rsid w:val="4A3B1956"/>
    <w:rsid w:val="4A7D4FD2"/>
    <w:rsid w:val="4A913C9A"/>
    <w:rsid w:val="4AFF4911"/>
    <w:rsid w:val="4B0B7A48"/>
    <w:rsid w:val="4B1F70AC"/>
    <w:rsid w:val="4B240F94"/>
    <w:rsid w:val="4B4B2FA2"/>
    <w:rsid w:val="4B553F67"/>
    <w:rsid w:val="4C0832E5"/>
    <w:rsid w:val="4C3C565C"/>
    <w:rsid w:val="4CCC79C7"/>
    <w:rsid w:val="4CF07121"/>
    <w:rsid w:val="4D7555C7"/>
    <w:rsid w:val="4DBA1C54"/>
    <w:rsid w:val="4DE14C7E"/>
    <w:rsid w:val="4DF04A0A"/>
    <w:rsid w:val="4E6C5DF8"/>
    <w:rsid w:val="4E704107"/>
    <w:rsid w:val="4EAE6DA0"/>
    <w:rsid w:val="4EDF2BED"/>
    <w:rsid w:val="4EEF00E8"/>
    <w:rsid w:val="4EEF2DDB"/>
    <w:rsid w:val="4F101FC6"/>
    <w:rsid w:val="4F2F414C"/>
    <w:rsid w:val="4F670594"/>
    <w:rsid w:val="4FE617D9"/>
    <w:rsid w:val="5016514B"/>
    <w:rsid w:val="50BD4DF3"/>
    <w:rsid w:val="50C61B92"/>
    <w:rsid w:val="50FC1A26"/>
    <w:rsid w:val="51723664"/>
    <w:rsid w:val="51C07B1A"/>
    <w:rsid w:val="51CB1C78"/>
    <w:rsid w:val="51EF7509"/>
    <w:rsid w:val="51FD6A51"/>
    <w:rsid w:val="51FE1BA6"/>
    <w:rsid w:val="525236D1"/>
    <w:rsid w:val="526B680A"/>
    <w:rsid w:val="52836F71"/>
    <w:rsid w:val="52D26B02"/>
    <w:rsid w:val="53F532E2"/>
    <w:rsid w:val="53F57F4F"/>
    <w:rsid w:val="541A5D30"/>
    <w:rsid w:val="544121DC"/>
    <w:rsid w:val="54784803"/>
    <w:rsid w:val="54AC6956"/>
    <w:rsid w:val="54F41E7F"/>
    <w:rsid w:val="55204D60"/>
    <w:rsid w:val="55C1559C"/>
    <w:rsid w:val="55C41D7E"/>
    <w:rsid w:val="55F068CD"/>
    <w:rsid w:val="566C3136"/>
    <w:rsid w:val="568D04F2"/>
    <w:rsid w:val="56E56318"/>
    <w:rsid w:val="57447C5E"/>
    <w:rsid w:val="574E78C6"/>
    <w:rsid w:val="57DE0CFA"/>
    <w:rsid w:val="57F966E2"/>
    <w:rsid w:val="588F6FE2"/>
    <w:rsid w:val="58DB6D75"/>
    <w:rsid w:val="591E643C"/>
    <w:rsid w:val="5925046A"/>
    <w:rsid w:val="5953616F"/>
    <w:rsid w:val="5A526582"/>
    <w:rsid w:val="5A5F5C77"/>
    <w:rsid w:val="5A711A0D"/>
    <w:rsid w:val="5B1613E4"/>
    <w:rsid w:val="5B716236"/>
    <w:rsid w:val="5B78003B"/>
    <w:rsid w:val="5BB7799D"/>
    <w:rsid w:val="5BC11A60"/>
    <w:rsid w:val="5BD82F9F"/>
    <w:rsid w:val="5C7A4D54"/>
    <w:rsid w:val="5CD23B73"/>
    <w:rsid w:val="5D207CD9"/>
    <w:rsid w:val="5D610403"/>
    <w:rsid w:val="5D851155"/>
    <w:rsid w:val="5DF0765F"/>
    <w:rsid w:val="5E5A675C"/>
    <w:rsid w:val="5EEC2419"/>
    <w:rsid w:val="5F127819"/>
    <w:rsid w:val="5F663864"/>
    <w:rsid w:val="5FEA2795"/>
    <w:rsid w:val="60350ED3"/>
    <w:rsid w:val="60B72AEE"/>
    <w:rsid w:val="61025188"/>
    <w:rsid w:val="61057D5F"/>
    <w:rsid w:val="6126068F"/>
    <w:rsid w:val="614D4977"/>
    <w:rsid w:val="617605EE"/>
    <w:rsid w:val="61B95BEA"/>
    <w:rsid w:val="61C64B11"/>
    <w:rsid w:val="61F049B3"/>
    <w:rsid w:val="620152D8"/>
    <w:rsid w:val="621E2D67"/>
    <w:rsid w:val="62714C85"/>
    <w:rsid w:val="62A041B7"/>
    <w:rsid w:val="62B87005"/>
    <w:rsid w:val="63827325"/>
    <w:rsid w:val="63C60FC0"/>
    <w:rsid w:val="64A9266B"/>
    <w:rsid w:val="64BA3D7A"/>
    <w:rsid w:val="64F179BC"/>
    <w:rsid w:val="65197815"/>
    <w:rsid w:val="659463E1"/>
    <w:rsid w:val="664B7EA3"/>
    <w:rsid w:val="665704D3"/>
    <w:rsid w:val="665E1B55"/>
    <w:rsid w:val="67C065A4"/>
    <w:rsid w:val="67D227B3"/>
    <w:rsid w:val="67D359C9"/>
    <w:rsid w:val="68042537"/>
    <w:rsid w:val="68D07B85"/>
    <w:rsid w:val="68FE36DD"/>
    <w:rsid w:val="694E60FC"/>
    <w:rsid w:val="6A256904"/>
    <w:rsid w:val="6A321B28"/>
    <w:rsid w:val="6AD246EE"/>
    <w:rsid w:val="6AE82E2E"/>
    <w:rsid w:val="6B380DE7"/>
    <w:rsid w:val="6B3B04E6"/>
    <w:rsid w:val="6B656832"/>
    <w:rsid w:val="6B921E65"/>
    <w:rsid w:val="6BA925A4"/>
    <w:rsid w:val="6C37038D"/>
    <w:rsid w:val="6C611A93"/>
    <w:rsid w:val="6C675CE6"/>
    <w:rsid w:val="6CB22BC9"/>
    <w:rsid w:val="6D0D1A0E"/>
    <w:rsid w:val="6D4F4321"/>
    <w:rsid w:val="6D5835D1"/>
    <w:rsid w:val="6DF41B82"/>
    <w:rsid w:val="6DFF7360"/>
    <w:rsid w:val="6E7A5F73"/>
    <w:rsid w:val="6E985C4F"/>
    <w:rsid w:val="6EE90F9D"/>
    <w:rsid w:val="6FD74228"/>
    <w:rsid w:val="7021106F"/>
    <w:rsid w:val="70AA0678"/>
    <w:rsid w:val="70CA2E18"/>
    <w:rsid w:val="70FE7DEF"/>
    <w:rsid w:val="715E217E"/>
    <w:rsid w:val="71633091"/>
    <w:rsid w:val="723D51DC"/>
    <w:rsid w:val="726464C9"/>
    <w:rsid w:val="72B521A0"/>
    <w:rsid w:val="73081CA5"/>
    <w:rsid w:val="74201F7D"/>
    <w:rsid w:val="743549B2"/>
    <w:rsid w:val="7487762D"/>
    <w:rsid w:val="74C33AA4"/>
    <w:rsid w:val="74D3657D"/>
    <w:rsid w:val="750E120F"/>
    <w:rsid w:val="75210D7A"/>
    <w:rsid w:val="75385498"/>
    <w:rsid w:val="75DC4673"/>
    <w:rsid w:val="75F37776"/>
    <w:rsid w:val="762531A6"/>
    <w:rsid w:val="763D7798"/>
    <w:rsid w:val="76BC207F"/>
    <w:rsid w:val="76EB4904"/>
    <w:rsid w:val="77645DCD"/>
    <w:rsid w:val="777378F5"/>
    <w:rsid w:val="777A2D3C"/>
    <w:rsid w:val="77BC6EFE"/>
    <w:rsid w:val="78670B6C"/>
    <w:rsid w:val="78B95166"/>
    <w:rsid w:val="79074B81"/>
    <w:rsid w:val="79135568"/>
    <w:rsid w:val="794F0939"/>
    <w:rsid w:val="79744A55"/>
    <w:rsid w:val="79AF0FCA"/>
    <w:rsid w:val="7AF9279C"/>
    <w:rsid w:val="7B0E40B9"/>
    <w:rsid w:val="7B96478E"/>
    <w:rsid w:val="7C44465E"/>
    <w:rsid w:val="7C927ECB"/>
    <w:rsid w:val="7CC145C3"/>
    <w:rsid w:val="7CC51958"/>
    <w:rsid w:val="7CD53DF9"/>
    <w:rsid w:val="7CE50049"/>
    <w:rsid w:val="7D097C86"/>
    <w:rsid w:val="7D165E8F"/>
    <w:rsid w:val="7D3A4278"/>
    <w:rsid w:val="7D7429E7"/>
    <w:rsid w:val="7E2936C3"/>
    <w:rsid w:val="7E6411B9"/>
    <w:rsid w:val="7E7A3A8F"/>
    <w:rsid w:val="7EC00FD6"/>
    <w:rsid w:val="7F621095"/>
    <w:rsid w:val="7F800DBE"/>
    <w:rsid w:val="7FB455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49"/>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51"/>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6"/>
    <w:autoRedefine/>
    <w:qFormat/>
    <w:uiPriority w:val="0"/>
    <w:pPr>
      <w:keepNext/>
      <w:keepLines/>
      <w:spacing w:before="280" w:after="290" w:line="376" w:lineRule="auto"/>
      <w:outlineLvl w:val="3"/>
    </w:pPr>
    <w:rPr>
      <w:b/>
      <w:bCs/>
      <w:sz w:val="28"/>
      <w:szCs w:val="28"/>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ascii="Calibri" w:hAnsi="Calibri" w:cs="Calibri"/>
      <w:sz w:val="18"/>
      <w:szCs w:val="18"/>
    </w:rPr>
  </w:style>
  <w:style w:type="paragraph" w:styleId="7">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48"/>
    <w:autoRedefine/>
    <w:qFormat/>
    <w:uiPriority w:val="0"/>
    <w:pPr>
      <w:jc w:val="left"/>
    </w:pPr>
    <w:rPr>
      <w:rFonts w:ascii="Arial" w:hAnsi="Arial" w:eastAsia="黑体" w:cs="Arial"/>
    </w:rPr>
  </w:style>
  <w:style w:type="paragraph" w:styleId="9">
    <w:name w:val="Body Text"/>
    <w:basedOn w:val="1"/>
    <w:autoRedefine/>
    <w:qFormat/>
    <w:uiPriority w:val="0"/>
    <w:pPr>
      <w:spacing w:after="120"/>
    </w:pPr>
    <w:rPr>
      <w:rFonts w:ascii="@微软简标宋" w:hAnsi="@微软简标宋" w:eastAsia="@微软简标宋" w:cs="@微软简标宋"/>
      <w:szCs w:val="24"/>
      <w:lang w:val="zh-CN"/>
    </w:rPr>
  </w:style>
  <w:style w:type="paragraph" w:styleId="10">
    <w:name w:val="Body Text Indent"/>
    <w:basedOn w:val="1"/>
    <w:next w:val="11"/>
    <w:autoRedefine/>
    <w:qFormat/>
    <w:uiPriority w:val="0"/>
    <w:pPr>
      <w:spacing w:after="120"/>
      <w:ind w:left="420" w:leftChars="200"/>
    </w:pPr>
  </w:style>
  <w:style w:type="paragraph" w:styleId="11">
    <w:name w:val="envelope return"/>
    <w:basedOn w:val="1"/>
    <w:next w:val="6"/>
    <w:qFormat/>
    <w:uiPriority w:val="0"/>
    <w:pPr>
      <w:snapToGrid w:val="0"/>
    </w:pPr>
    <w:rPr>
      <w:rFonts w:ascii="Arial" w:hAnsi="Arial"/>
    </w:rPr>
  </w:style>
  <w:style w:type="paragraph" w:styleId="12">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3">
    <w:name w:val="Plain Text"/>
    <w:basedOn w:val="1"/>
    <w:link w:val="38"/>
    <w:autoRedefine/>
    <w:qFormat/>
    <w:uiPriority w:val="99"/>
    <w:rPr>
      <w:rFonts w:ascii="宋体" w:hAnsi="Courier New" w:eastAsiaTheme="minorEastAsia" w:cstheme="minorBidi"/>
      <w:szCs w:val="22"/>
    </w:rPr>
  </w:style>
  <w:style w:type="paragraph" w:styleId="14">
    <w:name w:val="Date"/>
    <w:basedOn w:val="1"/>
    <w:next w:val="1"/>
    <w:link w:val="45"/>
    <w:autoRedefine/>
    <w:qFormat/>
    <w:uiPriority w:val="0"/>
    <w:rPr>
      <w:rFonts w:ascii="Arial" w:hAnsi="Arial" w:eastAsia="宋体" w:cs="Arial"/>
      <w:b/>
      <w:sz w:val="28"/>
    </w:rPr>
  </w:style>
  <w:style w:type="paragraph" w:styleId="15">
    <w:name w:val="Balloon Text"/>
    <w:basedOn w:val="1"/>
    <w:link w:val="32"/>
    <w:autoRedefine/>
    <w:semiHidden/>
    <w:unhideWhenUsed/>
    <w:qFormat/>
    <w:uiPriority w:val="99"/>
    <w:rPr>
      <w:sz w:val="18"/>
      <w:szCs w:val="18"/>
    </w:rPr>
  </w:style>
  <w:style w:type="paragraph" w:styleId="16">
    <w:name w:val="footer"/>
    <w:basedOn w:val="1"/>
    <w:link w:val="37"/>
    <w:autoRedefine/>
    <w:unhideWhenUsed/>
    <w:qFormat/>
    <w:uiPriority w:val="99"/>
    <w:pPr>
      <w:tabs>
        <w:tab w:val="center" w:pos="4153"/>
        <w:tab w:val="right" w:pos="8306"/>
      </w:tabs>
      <w:snapToGrid w:val="0"/>
      <w:jc w:val="left"/>
    </w:pPr>
    <w:rPr>
      <w:sz w:val="18"/>
      <w:szCs w:val="18"/>
    </w:rPr>
  </w:style>
  <w:style w:type="paragraph" w:styleId="17">
    <w:name w:val="header"/>
    <w:basedOn w:val="1"/>
    <w:link w:val="3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9">
    <w:name w:val="List"/>
    <w:basedOn w:val="1"/>
    <w:qFormat/>
    <w:uiPriority w:val="0"/>
    <w:pPr>
      <w:ind w:left="200" w:hanging="200" w:hangingChars="200"/>
    </w:pPr>
    <w:rPr>
      <w:rFonts w:ascii="Calibri" w:hAnsi="Calibri"/>
      <w:szCs w:val="22"/>
    </w:rPr>
  </w:style>
  <w:style w:type="paragraph" w:styleId="20">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1">
    <w:name w:val="Normal (Web)"/>
    <w:basedOn w:val="1"/>
    <w:autoRedefine/>
    <w:qFormat/>
    <w:uiPriority w:val="0"/>
    <w:pPr>
      <w:spacing w:before="100" w:beforeAutospacing="1" w:after="100" w:afterAutospacing="1"/>
      <w:jc w:val="left"/>
    </w:pPr>
    <w:rPr>
      <w:rFonts w:cs="Times New Roman"/>
      <w:kern w:val="0"/>
      <w:sz w:val="24"/>
    </w:rPr>
  </w:style>
  <w:style w:type="paragraph" w:styleId="22">
    <w:name w:val="index 1"/>
    <w:basedOn w:val="1"/>
    <w:next w:val="1"/>
    <w:autoRedefine/>
    <w:qFormat/>
    <w:uiPriority w:val="0"/>
    <w:pPr>
      <w:jc w:val="center"/>
    </w:pPr>
    <w:rPr>
      <w:rFonts w:ascii="Arial" w:hAnsi="Arial" w:eastAsia="Arial" w:cs="Arial"/>
      <w:b/>
      <w:bCs/>
      <w:sz w:val="28"/>
    </w:rPr>
  </w:style>
  <w:style w:type="paragraph" w:styleId="23">
    <w:name w:val="annotation subject"/>
    <w:basedOn w:val="8"/>
    <w:next w:val="8"/>
    <w:link w:val="59"/>
    <w:autoRedefine/>
    <w:semiHidden/>
    <w:unhideWhenUsed/>
    <w:qFormat/>
    <w:uiPriority w:val="99"/>
    <w:rPr>
      <w:rFonts w:ascii="@仿宋_GB2312" w:hAnsi="@仿宋_GB2312" w:eastAsia="@仿宋_GB2312" w:cs="@仿宋_GB2312"/>
      <w:b/>
      <w:bCs/>
    </w:rPr>
  </w:style>
  <w:style w:type="paragraph" w:styleId="24">
    <w:name w:val="Body Text First Indent"/>
    <w:basedOn w:val="9"/>
    <w:autoRedefine/>
    <w:unhideWhenUsed/>
    <w:qFormat/>
    <w:uiPriority w:val="99"/>
    <w:pPr>
      <w:ind w:firstLine="420" w:firstLineChars="100"/>
    </w:pPr>
  </w:style>
  <w:style w:type="paragraph" w:styleId="25">
    <w:name w:val="Body Text First Indent 2"/>
    <w:basedOn w:val="10"/>
    <w:next w:val="19"/>
    <w:qFormat/>
    <w:uiPriority w:val="99"/>
    <w:pPr>
      <w:tabs>
        <w:tab w:val="left" w:pos="0"/>
        <w:tab w:val="left" w:pos="993"/>
        <w:tab w:val="left" w:pos="1134"/>
      </w:tabs>
      <w:ind w:firstLine="420"/>
    </w:pPr>
  </w:style>
  <w:style w:type="table" w:styleId="27">
    <w:name w:val="Table Grid"/>
    <w:basedOn w:val="26"/>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autoRedefine/>
    <w:qFormat/>
    <w:uiPriority w:val="0"/>
    <w:rPr>
      <w:b/>
      <w:bCs/>
    </w:rPr>
  </w:style>
  <w:style w:type="character" w:styleId="30">
    <w:name w:val="Hyperlink"/>
    <w:basedOn w:val="28"/>
    <w:autoRedefine/>
    <w:unhideWhenUsed/>
    <w:qFormat/>
    <w:uiPriority w:val="99"/>
    <w:rPr>
      <w:color w:val="0000FF" w:themeColor="hyperlink"/>
      <w:u w:val="single"/>
      <w14:textFill>
        <w14:solidFill>
          <w14:schemeClr w14:val="hlink"/>
        </w14:solidFill>
      </w14:textFill>
    </w:rPr>
  </w:style>
  <w:style w:type="character" w:styleId="31">
    <w:name w:val="annotation reference"/>
    <w:basedOn w:val="28"/>
    <w:autoRedefine/>
    <w:semiHidden/>
    <w:unhideWhenUsed/>
    <w:qFormat/>
    <w:uiPriority w:val="99"/>
    <w:rPr>
      <w:sz w:val="21"/>
      <w:szCs w:val="21"/>
    </w:rPr>
  </w:style>
  <w:style w:type="character" w:customStyle="1" w:styleId="32">
    <w:name w:val="批注框文本 Char"/>
    <w:basedOn w:val="28"/>
    <w:link w:val="15"/>
    <w:autoRedefine/>
    <w:semiHidden/>
    <w:qFormat/>
    <w:uiPriority w:val="99"/>
    <w:rPr>
      <w:rFonts w:ascii="@仿宋_GB2312" w:hAnsi="@仿宋_GB2312" w:eastAsia="@仿宋_GB2312" w:cs="@仿宋_GB2312"/>
      <w:sz w:val="18"/>
      <w:szCs w:val="18"/>
    </w:rPr>
  </w:style>
  <w:style w:type="paragraph" w:customStyle="1" w:styleId="33">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34">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35">
    <w:name w:val="D&amp;L"/>
    <w:basedOn w:val="17"/>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6">
    <w:name w:val="页眉 Char"/>
    <w:basedOn w:val="28"/>
    <w:link w:val="17"/>
    <w:autoRedefine/>
    <w:qFormat/>
    <w:uiPriority w:val="99"/>
    <w:rPr>
      <w:rFonts w:ascii="@仿宋_GB2312" w:hAnsi="@仿宋_GB2312" w:eastAsia="@仿宋_GB2312" w:cs="@仿宋_GB2312"/>
      <w:sz w:val="18"/>
      <w:szCs w:val="18"/>
    </w:rPr>
  </w:style>
  <w:style w:type="character" w:customStyle="1" w:styleId="37">
    <w:name w:val="页脚 Char"/>
    <w:basedOn w:val="28"/>
    <w:link w:val="16"/>
    <w:autoRedefine/>
    <w:qFormat/>
    <w:uiPriority w:val="99"/>
    <w:rPr>
      <w:rFonts w:ascii="@仿宋_GB2312" w:hAnsi="@仿宋_GB2312" w:eastAsia="@仿宋_GB2312" w:cs="@仿宋_GB2312"/>
      <w:sz w:val="18"/>
      <w:szCs w:val="18"/>
    </w:rPr>
  </w:style>
  <w:style w:type="character" w:customStyle="1" w:styleId="38">
    <w:name w:val="纯文本 Char"/>
    <w:link w:val="13"/>
    <w:autoRedefine/>
    <w:qFormat/>
    <w:uiPriority w:val="0"/>
    <w:rPr>
      <w:rFonts w:ascii="宋体" w:hAnsi="Courier New"/>
    </w:rPr>
  </w:style>
  <w:style w:type="character" w:customStyle="1" w:styleId="39">
    <w:name w:val="纯文本 字符1"/>
    <w:basedOn w:val="28"/>
    <w:autoRedefine/>
    <w:semiHidden/>
    <w:qFormat/>
    <w:uiPriority w:val="99"/>
    <w:rPr>
      <w:rFonts w:hAnsi="Courier New" w:cs="Courier New" w:asciiTheme="minorEastAsia"/>
      <w:szCs w:val="20"/>
    </w:rPr>
  </w:style>
  <w:style w:type="character" w:customStyle="1" w:styleId="40">
    <w:name w:val="未处理的提及1"/>
    <w:basedOn w:val="28"/>
    <w:autoRedefine/>
    <w:semiHidden/>
    <w:unhideWhenUsed/>
    <w:qFormat/>
    <w:uiPriority w:val="99"/>
    <w:rPr>
      <w:color w:val="605E5C"/>
      <w:shd w:val="clear" w:color="auto" w:fill="E1DFDD"/>
    </w:rPr>
  </w:style>
  <w:style w:type="paragraph" w:styleId="41">
    <w:name w:val="List Paragraph"/>
    <w:basedOn w:val="1"/>
    <w:autoRedefine/>
    <w:qFormat/>
    <w:uiPriority w:val="34"/>
    <w:pPr>
      <w:ind w:firstLine="420" w:firstLineChars="200"/>
    </w:pPr>
  </w:style>
  <w:style w:type="paragraph" w:customStyle="1" w:styleId="42">
    <w:name w:val="Char Char Char Char Char Char Char1 Char"/>
    <w:basedOn w:val="1"/>
    <w:autoRedefine/>
    <w:qFormat/>
    <w:uiPriority w:val="0"/>
    <w:rPr>
      <w:rFonts w:ascii="Arial" w:hAnsi="Arial" w:eastAsia="宋体" w:cs="Arial"/>
      <w:sz w:val="24"/>
    </w:rPr>
  </w:style>
  <w:style w:type="table" w:customStyle="1" w:styleId="43">
    <w:name w:val="网格表 1 浅色1"/>
    <w:basedOn w:val="26"/>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4">
    <w:name w:val="日期 字符"/>
    <w:basedOn w:val="28"/>
    <w:autoRedefine/>
    <w:semiHidden/>
    <w:qFormat/>
    <w:uiPriority w:val="99"/>
    <w:rPr>
      <w:rFonts w:ascii="@仿宋_GB2312" w:hAnsi="@仿宋_GB2312" w:eastAsia="@仿宋_GB2312" w:cs="@仿宋_GB2312"/>
      <w:szCs w:val="20"/>
    </w:rPr>
  </w:style>
  <w:style w:type="character" w:customStyle="1" w:styleId="45">
    <w:name w:val="日期 Char"/>
    <w:link w:val="14"/>
    <w:autoRedefine/>
    <w:qFormat/>
    <w:uiPriority w:val="0"/>
    <w:rPr>
      <w:rFonts w:ascii="Arial" w:hAnsi="Arial" w:eastAsia="宋体" w:cs="Arial"/>
      <w:b/>
      <w:sz w:val="28"/>
      <w:szCs w:val="20"/>
    </w:rPr>
  </w:style>
  <w:style w:type="character" w:customStyle="1" w:styleId="46">
    <w:name w:val="纯文本 Char1"/>
    <w:autoRedefine/>
    <w:qFormat/>
    <w:locked/>
    <w:uiPriority w:val="99"/>
    <w:rPr>
      <w:rFonts w:ascii="Arial" w:hAnsi="Arial" w:eastAsia="Arial"/>
      <w:kern w:val="2"/>
      <w:sz w:val="21"/>
      <w:lang w:val="en-US" w:eastAsia="zh-CN" w:bidi="ar-SA"/>
    </w:rPr>
  </w:style>
  <w:style w:type="character" w:customStyle="1" w:styleId="47">
    <w:name w:val="批注文字 Char"/>
    <w:basedOn w:val="28"/>
    <w:autoRedefine/>
    <w:semiHidden/>
    <w:qFormat/>
    <w:uiPriority w:val="99"/>
    <w:rPr>
      <w:rFonts w:ascii="@仿宋_GB2312" w:hAnsi="@仿宋_GB2312" w:eastAsia="@仿宋_GB2312" w:cs="@仿宋_GB2312"/>
      <w:szCs w:val="20"/>
    </w:rPr>
  </w:style>
  <w:style w:type="character" w:customStyle="1" w:styleId="48">
    <w:name w:val="批注文字 Char1"/>
    <w:link w:val="8"/>
    <w:autoRedefine/>
    <w:qFormat/>
    <w:uiPriority w:val="0"/>
    <w:rPr>
      <w:rFonts w:ascii="Arial" w:hAnsi="Arial" w:eastAsia="黑体" w:cs="Arial"/>
      <w:szCs w:val="20"/>
    </w:rPr>
  </w:style>
  <w:style w:type="character" w:customStyle="1" w:styleId="49">
    <w:name w:val="标题 1 Char"/>
    <w:basedOn w:val="28"/>
    <w:link w:val="2"/>
    <w:autoRedefine/>
    <w:qFormat/>
    <w:uiPriority w:val="9"/>
    <w:rPr>
      <w:rFonts w:ascii="@仿宋_GB2312" w:hAnsi="@仿宋_GB2312" w:eastAsia="@仿宋_GB2312" w:cs="@仿宋_GB2312"/>
      <w:b/>
      <w:bCs/>
      <w:kern w:val="44"/>
      <w:sz w:val="44"/>
      <w:szCs w:val="44"/>
    </w:rPr>
  </w:style>
  <w:style w:type="paragraph" w:customStyle="1" w:styleId="50">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1">
    <w:name w:val="标题 3 Char"/>
    <w:basedOn w:val="28"/>
    <w:link w:val="4"/>
    <w:autoRedefine/>
    <w:semiHidden/>
    <w:qFormat/>
    <w:uiPriority w:val="9"/>
    <w:rPr>
      <w:rFonts w:ascii="@仿宋_GB2312" w:hAnsi="@仿宋_GB2312" w:eastAsia="@仿宋_GB2312" w:cs="@仿宋_GB2312"/>
      <w:b/>
      <w:bCs/>
      <w:sz w:val="32"/>
      <w:szCs w:val="32"/>
    </w:rPr>
  </w:style>
  <w:style w:type="character" w:customStyle="1" w:styleId="52">
    <w:name w:val="fontstyle01"/>
    <w:basedOn w:val="28"/>
    <w:autoRedefine/>
    <w:qFormat/>
    <w:uiPriority w:val="0"/>
    <w:rPr>
      <w:rFonts w:hint="eastAsia" w:ascii="宋体" w:hAnsi="宋体" w:eastAsia="宋体"/>
      <w:color w:val="000000"/>
      <w:sz w:val="22"/>
      <w:szCs w:val="22"/>
    </w:rPr>
  </w:style>
  <w:style w:type="character" w:customStyle="1" w:styleId="53">
    <w:name w:val="fontstyle21"/>
    <w:basedOn w:val="28"/>
    <w:autoRedefine/>
    <w:qFormat/>
    <w:uiPriority w:val="0"/>
    <w:rPr>
      <w:rFonts w:hint="default" w:ascii="TimesNewRomanPSMT" w:hAnsi="TimesNewRomanPSMT"/>
      <w:color w:val="000000"/>
      <w:sz w:val="22"/>
      <w:szCs w:val="22"/>
    </w:rPr>
  </w:style>
  <w:style w:type="character" w:customStyle="1" w:styleId="54">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5">
    <w:name w:val="标题 4 字符"/>
    <w:basedOn w:val="28"/>
    <w:autoRedefine/>
    <w:semiHidden/>
    <w:qFormat/>
    <w:uiPriority w:val="9"/>
    <w:rPr>
      <w:rFonts w:asciiTheme="majorHAnsi" w:hAnsiTheme="majorHAnsi" w:eastAsiaTheme="majorEastAsia" w:cstheme="majorBidi"/>
      <w:b/>
      <w:bCs/>
      <w:sz w:val="28"/>
      <w:szCs w:val="28"/>
    </w:rPr>
  </w:style>
  <w:style w:type="character" w:customStyle="1" w:styleId="56">
    <w:name w:val="标题 4 Char1"/>
    <w:link w:val="5"/>
    <w:autoRedefine/>
    <w:qFormat/>
    <w:uiPriority w:val="0"/>
    <w:rPr>
      <w:rFonts w:ascii="@仿宋_GB2312" w:hAnsi="@仿宋_GB2312" w:eastAsia="@仿宋_GB2312" w:cs="@仿宋_GB2312"/>
      <w:b/>
      <w:bCs/>
      <w:sz w:val="28"/>
      <w:szCs w:val="28"/>
    </w:rPr>
  </w:style>
  <w:style w:type="character" w:customStyle="1" w:styleId="57">
    <w:name w:val="标题 4 Char"/>
    <w:autoRedefine/>
    <w:qFormat/>
    <w:uiPriority w:val="0"/>
    <w:rPr>
      <w:rFonts w:ascii="Arial" w:hAnsi="Arial" w:eastAsia="Arial"/>
      <w:b/>
      <w:bCs/>
      <w:kern w:val="2"/>
      <w:sz w:val="28"/>
      <w:szCs w:val="28"/>
      <w:lang w:val="en-US" w:eastAsia="zh-CN" w:bidi="ar-SA"/>
    </w:rPr>
  </w:style>
  <w:style w:type="table" w:customStyle="1" w:styleId="58">
    <w:name w:val="网格型1"/>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9">
    <w:name w:val="批注主题 Char"/>
    <w:basedOn w:val="48"/>
    <w:link w:val="23"/>
    <w:autoRedefine/>
    <w:semiHidden/>
    <w:qFormat/>
    <w:uiPriority w:val="99"/>
    <w:rPr>
      <w:rFonts w:ascii="@仿宋_GB2312" w:hAnsi="@仿宋_GB2312" w:eastAsia="@仿宋_GB2312" w:cs="@仿宋_GB2312"/>
      <w:b/>
      <w:bCs/>
      <w:szCs w:val="20"/>
    </w:rPr>
  </w:style>
  <w:style w:type="table" w:customStyle="1" w:styleId="60">
    <w:name w:val="Table Normal"/>
    <w:autoRedefine/>
    <w:semiHidden/>
    <w:unhideWhenUsed/>
    <w:qFormat/>
    <w:uiPriority w:val="0"/>
    <w:tblPr>
      <w:tblCellMar>
        <w:top w:w="0" w:type="dxa"/>
        <w:left w:w="0" w:type="dxa"/>
        <w:bottom w:w="0" w:type="dxa"/>
        <w:right w:w="0" w:type="dxa"/>
      </w:tblCellMar>
    </w:tblPr>
  </w:style>
  <w:style w:type="paragraph" w:customStyle="1" w:styleId="61">
    <w:name w:val="Table Text"/>
    <w:basedOn w:val="1"/>
    <w:autoRedefine/>
    <w:semiHidden/>
    <w:qFormat/>
    <w:uiPriority w:val="0"/>
    <w:rPr>
      <w:rFonts w:ascii="Arial" w:hAnsi="Arial" w:eastAsia="Arial" w:cs="Arial"/>
      <w:szCs w:val="21"/>
      <w:lang w:eastAsia="en-US"/>
    </w:rPr>
  </w:style>
  <w:style w:type="paragraph" w:customStyle="1" w:styleId="6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3">
    <w:name w:val="列出段落1"/>
    <w:basedOn w:val="1"/>
    <w:autoRedefine/>
    <w:qFormat/>
    <w:uiPriority w:val="0"/>
    <w:pPr>
      <w:ind w:firstLine="420" w:firstLineChars="200"/>
    </w:pPr>
    <w:rPr>
      <w:szCs w:val="21"/>
    </w:rPr>
  </w:style>
  <w:style w:type="paragraph" w:customStyle="1" w:styleId="64">
    <w:name w:val="*正文"/>
    <w:basedOn w:val="1"/>
    <w:autoRedefine/>
    <w:qFormat/>
    <w:uiPriority w:val="0"/>
    <w:rPr>
      <w:rFonts w:cs="Times New Roman"/>
    </w:rPr>
  </w:style>
  <w:style w:type="paragraph" w:customStyle="1" w:styleId="65">
    <w:name w:val="H-TextFormat"/>
    <w:qFormat/>
    <w:uiPriority w:val="0"/>
    <w:pPr>
      <w:autoSpaceDE w:val="0"/>
      <w:autoSpaceDN w:val="0"/>
      <w:adjustRightInd w:val="0"/>
    </w:pPr>
    <w:rPr>
      <w:rFonts w:ascii="Arial" w:hAnsi="Arial" w:eastAsia="宋体" w:cs="Arial"/>
      <w:sz w:val="22"/>
      <w:szCs w:val="22"/>
      <w:lang w:val="en-US" w:eastAsia="en-US" w:bidi="ar-SA"/>
    </w:rPr>
  </w:style>
  <w:style w:type="paragraph" w:customStyle="1" w:styleId="66">
    <w:name w:val="WPSOffice手动目录 1"/>
    <w:qFormat/>
    <w:uiPriority w:val="0"/>
    <w:rPr>
      <w:rFonts w:ascii="Times New Roman" w:hAnsi="Times New Roman" w:eastAsia="宋体" w:cs="Times New Roman"/>
      <w:lang w:val="en-US" w:eastAsia="zh-CN" w:bidi="ar-SA"/>
    </w:rPr>
  </w:style>
  <w:style w:type="paragraph" w:customStyle="1" w:styleId="67">
    <w:name w:val="p0"/>
    <w:basedOn w:val="1"/>
    <w:qFormat/>
    <w:uiPriority w:val="0"/>
    <w:pPr>
      <w:widowControl/>
    </w:pPr>
    <w:rPr>
      <w:kern w:val="0"/>
      <w:szCs w:val="21"/>
    </w:rPr>
  </w:style>
  <w:style w:type="paragraph" w:customStyle="1" w:styleId="68">
    <w:name w:val="正文1"/>
    <w:basedOn w:val="1"/>
    <w:qFormat/>
    <w:uiPriority w:val="0"/>
    <w:pPr>
      <w:adjustRightInd w:val="0"/>
      <w:spacing w:line="360" w:lineRule="atLeast"/>
      <w:jc w:val="left"/>
      <w:textAlignment w:val="baseline"/>
    </w:pPr>
    <w:rPr>
      <w:rFonts w:ascii="宋体" w:hAnsi="宋体" w:eastAsia="宋体" w:cs="宋体"/>
      <w:kern w:val="0"/>
      <w:sz w:val="24"/>
      <w:lang w:eastAsia="en-US"/>
    </w:rPr>
  </w:style>
  <w:style w:type="paragraph" w:customStyle="1" w:styleId="69">
    <w:name w:val="表格文字"/>
    <w:basedOn w:val="1"/>
    <w:next w:val="9"/>
    <w:qFormat/>
    <w:uiPriority w:val="0"/>
    <w:pPr>
      <w:adjustRightInd w:val="0"/>
      <w:spacing w:line="420" w:lineRule="atLeast"/>
      <w:textAlignment w:val="baseline"/>
    </w:pPr>
    <w:rPr>
      <w:szCs w:val="24"/>
    </w:rPr>
  </w:style>
  <w:style w:type="character" w:customStyle="1" w:styleId="70">
    <w:name w:val="font11"/>
    <w:basedOn w:val="28"/>
    <w:qFormat/>
    <w:uiPriority w:val="0"/>
    <w:rPr>
      <w:rFonts w:hint="eastAsia" w:ascii="仿宋" w:hAnsi="仿宋" w:eastAsia="仿宋" w:cs="仿宋"/>
      <w:color w:val="000000"/>
      <w:sz w:val="24"/>
      <w:szCs w:val="24"/>
      <w:u w:val="none"/>
    </w:rPr>
  </w:style>
  <w:style w:type="character" w:customStyle="1" w:styleId="71">
    <w:name w:val="font21"/>
    <w:basedOn w:val="28"/>
    <w:qFormat/>
    <w:uiPriority w:val="0"/>
    <w:rPr>
      <w:rFonts w:hint="eastAsia" w:ascii="仿宋" w:hAnsi="仿宋" w:eastAsia="仿宋" w:cs="仿宋"/>
      <w:b/>
      <w:bCs/>
      <w:color w:val="000000"/>
      <w:sz w:val="24"/>
      <w:szCs w:val="24"/>
      <w:u w:val="none"/>
    </w:rPr>
  </w:style>
  <w:style w:type="character" w:customStyle="1" w:styleId="72">
    <w:name w:val="font41"/>
    <w:basedOn w:val="28"/>
    <w:qFormat/>
    <w:uiPriority w:val="0"/>
    <w:rPr>
      <w:rFonts w:hint="default" w:ascii="Times New Roman" w:hAnsi="Times New Roman" w:cs="Times New Roman"/>
      <w:color w:val="000000"/>
      <w:sz w:val="24"/>
      <w:szCs w:val="24"/>
      <w:u w:val="none"/>
    </w:rPr>
  </w:style>
  <w:style w:type="character" w:customStyle="1" w:styleId="73">
    <w:name w:val="font51"/>
    <w:basedOn w:val="28"/>
    <w:qFormat/>
    <w:uiPriority w:val="0"/>
    <w:rPr>
      <w:rFonts w:hint="eastAsia" w:ascii="方正仿宋_GBK" w:hAnsi="方正仿宋_GBK" w:eastAsia="方正仿宋_GBK" w:cs="方正仿宋_GBK"/>
      <w:color w:val="000000"/>
      <w:sz w:val="24"/>
      <w:szCs w:val="24"/>
      <w:u w:val="none"/>
    </w:rPr>
  </w:style>
  <w:style w:type="character" w:customStyle="1" w:styleId="74">
    <w:name w:val="font101"/>
    <w:basedOn w:val="28"/>
    <w:qFormat/>
    <w:uiPriority w:val="0"/>
    <w:rPr>
      <w:rFonts w:hint="eastAsia" w:ascii="方正仿宋_GBK" w:hAnsi="方正仿宋_GBK" w:eastAsia="方正仿宋_GBK" w:cs="方正仿宋_GBK"/>
      <w:b/>
      <w:bCs/>
      <w:color w:val="000000"/>
      <w:sz w:val="24"/>
      <w:szCs w:val="24"/>
      <w:u w:val="none"/>
    </w:rPr>
  </w:style>
  <w:style w:type="character" w:customStyle="1" w:styleId="75">
    <w:name w:val="font61"/>
    <w:basedOn w:val="28"/>
    <w:qFormat/>
    <w:uiPriority w:val="0"/>
    <w:rPr>
      <w:rFonts w:hint="default" w:ascii="Times New Roman" w:hAnsi="Times New Roman" w:cs="Times New Roman"/>
      <w:b/>
      <w:bCs/>
      <w:color w:val="000000"/>
      <w:sz w:val="24"/>
      <w:szCs w:val="24"/>
      <w:u w:val="none"/>
    </w:rPr>
  </w:style>
  <w:style w:type="character" w:customStyle="1" w:styleId="76">
    <w:name w:val="font71"/>
    <w:basedOn w:val="2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AC3C6-84CB-4D2E-AFC0-C8AD46F7C0BA}">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8</Pages>
  <Words>1507</Words>
  <Characters>1566</Characters>
  <Lines>387</Lines>
  <Paragraphs>109</Paragraphs>
  <TotalTime>104</TotalTime>
  <ScaleCrop>false</ScaleCrop>
  <LinksUpToDate>false</LinksUpToDate>
  <CharactersWithSpaces>1593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张晨</cp:lastModifiedBy>
  <cp:lastPrinted>2019-12-07T15:18:00Z</cp:lastPrinted>
  <dcterms:modified xsi:type="dcterms:W3CDTF">2025-08-21T09:15:58Z</dcterms:modified>
  <cp:revision>389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607EDD965DF04E69929CC42062BA2D6C_13</vt:lpwstr>
  </property>
  <property fmtid="{D5CDD505-2E9C-101B-9397-08002B2CF9AE}" pid="4" name="KSOTemplateDocerSaveRecord">
    <vt:lpwstr>eyJoZGlkIjoiODAyZjVjZDYxMmIxYjI3OTI5YWI5ZGE4MzE0ZjcxOTMiLCJ1c2VySWQiOiIxMzk2MzAyNDE0In0=</vt:lpwstr>
  </property>
</Properties>
</file>