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C997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color w:val="auto"/>
          <w:spacing w:val="0"/>
          <w:w w:val="100"/>
          <w:position w:val="0"/>
          <w:sz w:val="44"/>
          <w:szCs w:val="44"/>
          <w:lang w:eastAsia="zh-CN"/>
        </w:rPr>
      </w:pPr>
    </w:p>
    <w:p w14:paraId="579E3BDD">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default" w:ascii="仿宋" w:hAnsi="仿宋" w:eastAsia="仿宋" w:cs="仿宋"/>
          <w:b/>
          <w:bCs/>
          <w:color w:val="auto"/>
          <w:spacing w:val="0"/>
          <w:w w:val="100"/>
          <w:position w:val="0"/>
          <w:sz w:val="44"/>
          <w:szCs w:val="44"/>
          <w:lang w:val="en-US" w:eastAsia="zh-CN"/>
        </w:rPr>
      </w:pPr>
      <w:r>
        <w:rPr>
          <w:rFonts w:hint="eastAsia" w:ascii="仿宋" w:hAnsi="仿宋" w:eastAsia="仿宋" w:cs="仿宋"/>
          <w:b/>
          <w:bCs/>
          <w:color w:val="auto"/>
          <w:spacing w:val="0"/>
          <w:w w:val="100"/>
          <w:position w:val="0"/>
          <w:sz w:val="44"/>
          <w:szCs w:val="44"/>
          <w:lang w:eastAsia="zh-CN"/>
        </w:rPr>
        <w:t>颍东区机关事务管理中心公务用车定点加油项目（</w:t>
      </w:r>
      <w:r>
        <w:rPr>
          <w:rFonts w:hint="eastAsia" w:ascii="仿宋" w:hAnsi="仿宋" w:eastAsia="仿宋" w:cs="仿宋"/>
          <w:b/>
          <w:bCs/>
          <w:color w:val="auto"/>
          <w:spacing w:val="0"/>
          <w:w w:val="100"/>
          <w:position w:val="0"/>
          <w:sz w:val="44"/>
          <w:szCs w:val="44"/>
          <w:lang w:val="en-US" w:eastAsia="zh-CN"/>
        </w:rPr>
        <w:t>三次）</w:t>
      </w:r>
    </w:p>
    <w:p w14:paraId="5C95737D">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6AA2DD3B">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5B27C1D0">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r>
        <w:rPr>
          <w:rFonts w:hint="eastAsia" w:ascii="仿宋" w:hAnsi="仿宋" w:eastAsia="仿宋" w:cs="仿宋"/>
          <w:b w:val="0"/>
          <w:bCs w:val="0"/>
          <w:color w:val="auto"/>
          <w:spacing w:val="0"/>
          <w:w w:val="100"/>
          <w:position w:val="0"/>
          <w:sz w:val="32"/>
          <w:szCs w:val="32"/>
          <w:lang w:eastAsia="zh-CN"/>
        </w:rPr>
        <w:t>征 集 文 件</w:t>
      </w:r>
    </w:p>
    <w:p w14:paraId="741F2E2E">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p>
    <w:p w14:paraId="23324C85">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FF0000"/>
          <w:spacing w:val="0"/>
          <w:w w:val="100"/>
          <w:position w:val="0"/>
          <w:sz w:val="32"/>
          <w:szCs w:val="32"/>
          <w:lang w:val="en-US" w:eastAsia="zh-CN"/>
        </w:rPr>
      </w:pPr>
      <w:r>
        <w:rPr>
          <w:rFonts w:hint="eastAsia" w:ascii="仿宋" w:hAnsi="仿宋" w:eastAsia="仿宋" w:cs="仿宋"/>
          <w:b w:val="0"/>
          <w:bCs w:val="0"/>
          <w:color w:val="000000" w:themeColor="text1"/>
          <w:spacing w:val="0"/>
          <w:w w:val="100"/>
          <w:position w:val="0"/>
          <w:sz w:val="32"/>
          <w:szCs w:val="32"/>
          <w:lang w:eastAsia="zh-CN"/>
          <w14:textFill>
            <w14:solidFill>
              <w14:schemeClr w14:val="tx1"/>
            </w14:solidFill>
          </w14:textFill>
        </w:rPr>
        <w:t>项目编号:KJXY202508210482</w:t>
      </w:r>
      <w:r>
        <w:rPr>
          <w:rFonts w:hint="eastAsia" w:ascii="仿宋" w:hAnsi="仿宋" w:eastAsia="仿宋" w:cs="仿宋"/>
          <w:b w:val="0"/>
          <w:bCs w:val="0"/>
          <w:color w:val="000000" w:themeColor="text1"/>
          <w:spacing w:val="0"/>
          <w:w w:val="100"/>
          <w:position w:val="0"/>
          <w:sz w:val="32"/>
          <w:szCs w:val="32"/>
          <w:lang w:val="en-US" w:eastAsia="zh-CN"/>
          <w14:textFill>
            <w14:solidFill>
              <w14:schemeClr w14:val="tx1"/>
            </w14:solidFill>
          </w14:textFill>
        </w:rPr>
        <w:t>-Z2</w:t>
      </w:r>
      <w:r>
        <w:rPr>
          <w:rFonts w:hint="eastAsia" w:ascii="仿宋" w:hAnsi="仿宋" w:eastAsia="仿宋" w:cs="仿宋"/>
          <w:b w:val="0"/>
          <w:bCs w:val="0"/>
          <w:color w:val="000000" w:themeColor="text1"/>
          <w:spacing w:val="0"/>
          <w:w w:val="100"/>
          <w:position w:val="0"/>
          <w:sz w:val="32"/>
          <w:szCs w:val="32"/>
          <w:lang w:eastAsia="zh-CN"/>
          <w14:textFill>
            <w14:solidFill>
              <w14:schemeClr w14:val="tx1"/>
            </w14:solidFill>
          </w14:textFill>
        </w:rPr>
        <w:t xml:space="preserve"> </w:t>
      </w:r>
    </w:p>
    <w:p w14:paraId="4F80C582">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p>
    <w:p w14:paraId="2D80D8A0">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p>
    <w:p w14:paraId="3798DEB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p>
    <w:p w14:paraId="70E71A9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p>
    <w:p w14:paraId="2660A92D">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p>
    <w:p w14:paraId="713CF043">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p>
    <w:p w14:paraId="73D123CA">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p>
    <w:p w14:paraId="6AE281C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p>
    <w:p w14:paraId="0D7171A8">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lang w:eastAsia="zh-CN"/>
        </w:rPr>
      </w:pPr>
      <w:r>
        <w:rPr>
          <w:rFonts w:hint="eastAsia" w:ascii="仿宋" w:hAnsi="仿宋" w:eastAsia="仿宋" w:cs="仿宋"/>
          <w:b w:val="0"/>
          <w:bCs w:val="0"/>
          <w:color w:val="auto"/>
          <w:spacing w:val="0"/>
          <w:w w:val="100"/>
          <w:position w:val="0"/>
          <w:sz w:val="32"/>
          <w:szCs w:val="32"/>
          <w:lang w:val="en-US" w:eastAsia="zh-CN"/>
        </w:rPr>
        <w:t xml:space="preserve"> </w:t>
      </w:r>
      <w:r>
        <w:rPr>
          <w:rFonts w:hint="eastAsia" w:ascii="仿宋" w:hAnsi="仿宋" w:eastAsia="仿宋" w:cs="仿宋"/>
          <w:b w:val="0"/>
          <w:bCs w:val="0"/>
          <w:color w:val="auto"/>
          <w:spacing w:val="0"/>
          <w:w w:val="100"/>
          <w:position w:val="0"/>
          <w:sz w:val="32"/>
          <w:szCs w:val="32"/>
          <w:lang w:eastAsia="zh-CN"/>
        </w:rPr>
        <w:t>征集人: 阜阳市颍东区机关事务管理服务中心 (单位盖章)</w:t>
      </w:r>
    </w:p>
    <w:p w14:paraId="5D8DB3FF">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val="0"/>
          <w:bCs w:val="0"/>
          <w:color w:val="auto"/>
          <w:spacing w:val="0"/>
          <w:w w:val="100"/>
          <w:position w:val="0"/>
          <w:sz w:val="32"/>
          <w:szCs w:val="32"/>
        </w:rPr>
      </w:pPr>
      <w:r>
        <w:rPr>
          <w:rFonts w:hint="eastAsia" w:ascii="仿宋" w:hAnsi="仿宋" w:eastAsia="仿宋" w:cs="仿宋"/>
          <w:b w:val="0"/>
          <w:bCs w:val="0"/>
          <w:color w:val="auto"/>
          <w:spacing w:val="0"/>
          <w:w w:val="100"/>
          <w:position w:val="0"/>
          <w:sz w:val="32"/>
          <w:szCs w:val="32"/>
          <w:lang w:eastAsia="zh-CN"/>
        </w:rPr>
        <w:t>202</w:t>
      </w:r>
      <w:r>
        <w:rPr>
          <w:rFonts w:hint="eastAsia" w:ascii="仿宋" w:hAnsi="仿宋" w:eastAsia="仿宋" w:cs="仿宋"/>
          <w:b w:val="0"/>
          <w:bCs w:val="0"/>
          <w:color w:val="auto"/>
          <w:spacing w:val="0"/>
          <w:w w:val="100"/>
          <w:position w:val="0"/>
          <w:sz w:val="32"/>
          <w:szCs w:val="32"/>
          <w:lang w:val="en-US" w:eastAsia="zh-CN"/>
        </w:rPr>
        <w:t>5</w:t>
      </w:r>
      <w:r>
        <w:rPr>
          <w:rFonts w:hint="eastAsia" w:ascii="仿宋" w:hAnsi="仿宋" w:eastAsia="仿宋" w:cs="仿宋"/>
          <w:b w:val="0"/>
          <w:bCs w:val="0"/>
          <w:color w:val="auto"/>
          <w:spacing w:val="0"/>
          <w:w w:val="100"/>
          <w:position w:val="0"/>
          <w:sz w:val="32"/>
          <w:szCs w:val="32"/>
          <w:lang w:eastAsia="zh-CN"/>
        </w:rPr>
        <w:t>年</w:t>
      </w:r>
      <w:r>
        <w:rPr>
          <w:rFonts w:hint="eastAsia" w:ascii="仿宋" w:hAnsi="仿宋" w:eastAsia="仿宋" w:cs="仿宋"/>
          <w:b w:val="0"/>
          <w:bCs w:val="0"/>
          <w:color w:val="auto"/>
          <w:spacing w:val="0"/>
          <w:w w:val="100"/>
          <w:position w:val="0"/>
          <w:sz w:val="32"/>
          <w:szCs w:val="32"/>
          <w:lang w:val="en-US" w:eastAsia="zh-CN"/>
        </w:rPr>
        <w:t>10</w:t>
      </w:r>
      <w:r>
        <w:rPr>
          <w:rFonts w:hint="eastAsia" w:ascii="仿宋" w:hAnsi="仿宋" w:eastAsia="仿宋" w:cs="仿宋"/>
          <w:b w:val="0"/>
          <w:bCs w:val="0"/>
          <w:color w:val="auto"/>
          <w:spacing w:val="0"/>
          <w:w w:val="100"/>
          <w:position w:val="0"/>
          <w:sz w:val="32"/>
          <w:szCs w:val="32"/>
          <w:lang w:eastAsia="zh-CN"/>
        </w:rPr>
        <w:t>月</w:t>
      </w:r>
    </w:p>
    <w:p w14:paraId="1F4F659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5" w:type="default"/>
          <w:pgSz w:w="11922" w:h="16849"/>
          <w:pgMar w:top="1440" w:right="1803" w:bottom="1440" w:left="1803" w:header="1134" w:footer="1253" w:gutter="0"/>
          <w:pgNumType w:fmt="decimal" w:start="1"/>
          <w:cols w:space="0" w:num="1"/>
          <w:rtlGutter w:val="0"/>
          <w:docGrid w:linePitch="0" w:charSpace="0"/>
        </w:sectPr>
      </w:pPr>
    </w:p>
    <w:sdt>
      <w:sdtPr>
        <w:rPr>
          <w:rFonts w:hint="eastAsia" w:ascii="仿宋" w:hAnsi="仿宋" w:eastAsia="仿宋" w:cs="仿宋"/>
          <w:b/>
          <w:bCs/>
          <w:snapToGrid w:val="0"/>
          <w:color w:val="auto"/>
          <w:spacing w:val="0"/>
          <w:w w:val="100"/>
          <w:kern w:val="0"/>
          <w:position w:val="0"/>
          <w:sz w:val="30"/>
          <w:szCs w:val="30"/>
          <w:lang w:val="en-US" w:eastAsia="en-US" w:bidi="ar-SA"/>
        </w:rPr>
        <w:id w:val="147481467"/>
        <w15:color w:val="DBDBDB"/>
        <w:docPartObj>
          <w:docPartGallery w:val="Table of Contents"/>
          <w:docPartUnique/>
        </w:docPartObj>
      </w:sdtPr>
      <w:sdtEndPr>
        <w:rPr>
          <w:rFonts w:hint="eastAsia" w:ascii="仿宋" w:hAnsi="仿宋" w:eastAsia="仿宋" w:cs="仿宋"/>
          <w:b/>
          <w:bCs/>
          <w:snapToGrid w:val="0"/>
          <w:color w:val="auto"/>
          <w:spacing w:val="0"/>
          <w:w w:val="100"/>
          <w:kern w:val="0"/>
          <w:position w:val="0"/>
          <w:sz w:val="21"/>
          <w:szCs w:val="28"/>
          <w:lang w:val="en-US" w:eastAsia="en-US" w:bidi="ar-SA"/>
        </w:rPr>
      </w:sdtEndPr>
      <w:sdtContent>
        <w:p w14:paraId="03D7C820">
          <w:pPr>
            <w:pageBreakBefore w:val="0"/>
            <w:kinsoku w:val="0"/>
            <w:wordWrap/>
            <w:overflowPunct/>
            <w:topLinePunct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b/>
              <w:bCs/>
              <w:color w:val="auto"/>
              <w:spacing w:val="0"/>
              <w:w w:val="100"/>
              <w:position w:val="0"/>
              <w:sz w:val="30"/>
              <w:szCs w:val="30"/>
            </w:rPr>
          </w:pPr>
          <w:r>
            <w:rPr>
              <w:rFonts w:hint="eastAsia" w:ascii="仿宋" w:hAnsi="仿宋" w:eastAsia="仿宋" w:cs="仿宋"/>
              <w:b/>
              <w:bCs/>
              <w:color w:val="auto"/>
              <w:spacing w:val="0"/>
              <w:w w:val="100"/>
              <w:position w:val="0"/>
              <w:sz w:val="30"/>
              <w:szCs w:val="30"/>
            </w:rPr>
            <w:t>目</w:t>
          </w:r>
          <w:r>
            <w:rPr>
              <w:rFonts w:hint="eastAsia" w:ascii="仿宋" w:hAnsi="仿宋" w:eastAsia="仿宋" w:cs="仿宋"/>
              <w:b/>
              <w:bCs/>
              <w:color w:val="auto"/>
              <w:spacing w:val="0"/>
              <w:w w:val="100"/>
              <w:position w:val="0"/>
              <w:sz w:val="30"/>
              <w:szCs w:val="30"/>
              <w:lang w:val="en-US" w:eastAsia="zh-CN"/>
            </w:rPr>
            <w:t xml:space="preserve"> </w:t>
          </w:r>
          <w:r>
            <w:rPr>
              <w:rFonts w:hint="eastAsia" w:ascii="仿宋" w:hAnsi="仿宋" w:eastAsia="仿宋" w:cs="仿宋"/>
              <w:b/>
              <w:bCs/>
              <w:color w:val="auto"/>
              <w:spacing w:val="0"/>
              <w:w w:val="100"/>
              <w:position w:val="0"/>
              <w:sz w:val="30"/>
              <w:szCs w:val="30"/>
            </w:rPr>
            <w:t>录</w:t>
          </w:r>
        </w:p>
        <w:p w14:paraId="1FC60E8A">
          <w:pPr>
            <w:pStyle w:val="14"/>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spacing w:val="0"/>
              <w:w w:val="100"/>
              <w:position w:val="0"/>
              <w:sz w:val="28"/>
              <w:szCs w:val="28"/>
            </w:rPr>
          </w:pP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TOC \o "1-3" \h \u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spacing w:val="0"/>
              <w:w w:val="100"/>
              <w:position w:val="0"/>
              <w:sz w:val="28"/>
              <w:szCs w:val="40"/>
            </w:rPr>
            <w:instrText xml:space="preserve"> HYPERLINK \l _Toc13141 </w:instrText>
          </w:r>
          <w:r>
            <w:rPr>
              <w:rFonts w:hint="eastAsia" w:ascii="仿宋" w:hAnsi="仿宋" w:eastAsia="仿宋" w:cs="仿宋"/>
              <w:spacing w:val="0"/>
              <w:w w:val="100"/>
              <w:position w:val="0"/>
              <w:sz w:val="28"/>
              <w:szCs w:val="40"/>
            </w:rPr>
            <w:fldChar w:fldCharType="separate"/>
          </w:r>
          <w:r>
            <w:rPr>
              <w:rFonts w:hint="eastAsia" w:ascii="仿宋" w:hAnsi="仿宋" w:eastAsia="仿宋" w:cs="仿宋"/>
              <w:bCs/>
              <w:spacing w:val="0"/>
              <w:w w:val="100"/>
              <w:position w:val="0"/>
              <w:sz w:val="28"/>
              <w:szCs w:val="56"/>
            </w:rPr>
            <w:t>第一章 征集公告</w:t>
          </w:r>
          <w:r>
            <w:rPr>
              <w:rFonts w:hint="eastAsia" w:ascii="仿宋" w:hAnsi="仿宋" w:eastAsia="仿宋" w:cs="仿宋"/>
              <w:spacing w:val="0"/>
              <w:w w:val="100"/>
              <w:position w:val="0"/>
              <w:sz w:val="28"/>
              <w:szCs w:val="28"/>
            </w:rPr>
            <w:tab/>
          </w:r>
          <w:r>
            <w:rPr>
              <w:rFonts w:hint="eastAsia" w:ascii="仿宋" w:hAnsi="仿宋" w:eastAsia="仿宋" w:cs="仿宋"/>
              <w:spacing w:val="0"/>
              <w:w w:val="100"/>
              <w:position w:val="0"/>
              <w:sz w:val="28"/>
              <w:szCs w:val="28"/>
            </w:rPr>
            <w:fldChar w:fldCharType="begin"/>
          </w:r>
          <w:r>
            <w:rPr>
              <w:rFonts w:hint="eastAsia" w:ascii="仿宋" w:hAnsi="仿宋" w:eastAsia="仿宋" w:cs="仿宋"/>
              <w:spacing w:val="0"/>
              <w:w w:val="100"/>
              <w:position w:val="0"/>
              <w:sz w:val="28"/>
              <w:szCs w:val="28"/>
            </w:rPr>
            <w:instrText xml:space="preserve"> PAGEREF _Toc13141 \h </w:instrText>
          </w:r>
          <w:r>
            <w:rPr>
              <w:rFonts w:hint="eastAsia" w:ascii="仿宋" w:hAnsi="仿宋" w:eastAsia="仿宋" w:cs="仿宋"/>
              <w:spacing w:val="0"/>
              <w:w w:val="100"/>
              <w:position w:val="0"/>
              <w:sz w:val="28"/>
              <w:szCs w:val="28"/>
            </w:rPr>
            <w:fldChar w:fldCharType="separate"/>
          </w:r>
          <w:r>
            <w:rPr>
              <w:rFonts w:hint="eastAsia" w:ascii="仿宋" w:hAnsi="仿宋" w:eastAsia="仿宋" w:cs="仿宋"/>
              <w:spacing w:val="0"/>
              <w:w w:val="100"/>
              <w:position w:val="0"/>
              <w:sz w:val="28"/>
              <w:szCs w:val="28"/>
            </w:rPr>
            <w:t>3</w:t>
          </w:r>
          <w:r>
            <w:rPr>
              <w:rFonts w:hint="eastAsia" w:ascii="仿宋" w:hAnsi="仿宋" w:eastAsia="仿宋" w:cs="仿宋"/>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7D4502CC">
          <w:pPr>
            <w:pStyle w:val="14"/>
            <w:keepNext w:val="0"/>
            <w:keepLines w:val="0"/>
            <w:pageBreakBefore w:val="0"/>
            <w:widowControl/>
            <w:tabs>
              <w:tab w:val="right" w:leader="dot" w:pos="8316"/>
            </w:tabs>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40"/>
            </w:rPr>
          </w:pPr>
        </w:p>
        <w:p w14:paraId="6A54FF89">
          <w:pPr>
            <w:pStyle w:val="14"/>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40"/>
            </w:rPr>
          </w:pP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spacing w:val="0"/>
              <w:w w:val="100"/>
              <w:position w:val="0"/>
              <w:sz w:val="28"/>
              <w:szCs w:val="40"/>
            </w:rPr>
            <w:instrText xml:space="preserve"> HYPERLINK \l _Toc27469 </w:instrText>
          </w:r>
          <w:r>
            <w:rPr>
              <w:rFonts w:hint="eastAsia" w:ascii="仿宋" w:hAnsi="仿宋" w:eastAsia="仿宋" w:cs="仿宋"/>
              <w:spacing w:val="0"/>
              <w:w w:val="100"/>
              <w:position w:val="0"/>
              <w:sz w:val="28"/>
              <w:szCs w:val="40"/>
            </w:rPr>
            <w:fldChar w:fldCharType="separate"/>
          </w:r>
          <w:r>
            <w:rPr>
              <w:rFonts w:hint="eastAsia" w:ascii="仿宋" w:hAnsi="仿宋" w:eastAsia="仿宋" w:cs="仿宋"/>
              <w:bCs/>
              <w:spacing w:val="0"/>
              <w:w w:val="100"/>
              <w:position w:val="0"/>
              <w:sz w:val="28"/>
              <w:szCs w:val="56"/>
            </w:rPr>
            <w:t>第二章 供应商须知</w:t>
          </w:r>
          <w:r>
            <w:rPr>
              <w:rFonts w:hint="eastAsia" w:ascii="仿宋" w:hAnsi="仿宋" w:eastAsia="仿宋" w:cs="仿宋"/>
              <w:spacing w:val="0"/>
              <w:w w:val="100"/>
              <w:position w:val="0"/>
              <w:sz w:val="28"/>
              <w:szCs w:val="28"/>
            </w:rPr>
            <w:tab/>
          </w:r>
          <w:r>
            <w:rPr>
              <w:rFonts w:hint="eastAsia" w:ascii="仿宋" w:hAnsi="仿宋" w:eastAsia="仿宋" w:cs="仿宋"/>
              <w:spacing w:val="0"/>
              <w:w w:val="100"/>
              <w:position w:val="0"/>
              <w:sz w:val="28"/>
              <w:szCs w:val="28"/>
            </w:rPr>
            <w:fldChar w:fldCharType="begin"/>
          </w:r>
          <w:r>
            <w:rPr>
              <w:rFonts w:hint="eastAsia" w:ascii="仿宋" w:hAnsi="仿宋" w:eastAsia="仿宋" w:cs="仿宋"/>
              <w:spacing w:val="0"/>
              <w:w w:val="100"/>
              <w:position w:val="0"/>
              <w:sz w:val="28"/>
              <w:szCs w:val="28"/>
            </w:rPr>
            <w:instrText xml:space="preserve"> PAGEREF _Toc27469 \h </w:instrText>
          </w:r>
          <w:r>
            <w:rPr>
              <w:rFonts w:hint="eastAsia" w:ascii="仿宋" w:hAnsi="仿宋" w:eastAsia="仿宋" w:cs="仿宋"/>
              <w:spacing w:val="0"/>
              <w:w w:val="100"/>
              <w:position w:val="0"/>
              <w:sz w:val="28"/>
              <w:szCs w:val="28"/>
            </w:rPr>
            <w:fldChar w:fldCharType="separate"/>
          </w:r>
          <w:r>
            <w:rPr>
              <w:rFonts w:hint="eastAsia" w:ascii="仿宋" w:hAnsi="仿宋" w:eastAsia="仿宋" w:cs="仿宋"/>
              <w:spacing w:val="0"/>
              <w:w w:val="100"/>
              <w:position w:val="0"/>
              <w:sz w:val="28"/>
              <w:szCs w:val="28"/>
            </w:rPr>
            <w:t>6</w:t>
          </w:r>
          <w:r>
            <w:rPr>
              <w:rFonts w:hint="eastAsia" w:ascii="仿宋" w:hAnsi="仿宋" w:eastAsia="仿宋" w:cs="仿宋"/>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693982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spacing w:val="0"/>
              <w:w w:val="100"/>
              <w:position w:val="0"/>
            </w:rPr>
          </w:pPr>
        </w:p>
        <w:p w14:paraId="1D629A2C">
          <w:pPr>
            <w:pStyle w:val="14"/>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spacing w:val="0"/>
              <w:w w:val="100"/>
              <w:position w:val="0"/>
              <w:sz w:val="28"/>
              <w:szCs w:val="28"/>
            </w:rPr>
          </w:pP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spacing w:val="0"/>
              <w:w w:val="100"/>
              <w:position w:val="0"/>
              <w:sz w:val="28"/>
              <w:szCs w:val="40"/>
            </w:rPr>
            <w:instrText xml:space="preserve"> HYPERLINK \l _Toc21744 </w:instrText>
          </w:r>
          <w:r>
            <w:rPr>
              <w:rFonts w:hint="eastAsia" w:ascii="仿宋" w:hAnsi="仿宋" w:eastAsia="仿宋" w:cs="仿宋"/>
              <w:spacing w:val="0"/>
              <w:w w:val="100"/>
              <w:position w:val="0"/>
              <w:sz w:val="28"/>
              <w:szCs w:val="40"/>
            </w:rPr>
            <w:fldChar w:fldCharType="separate"/>
          </w:r>
          <w:r>
            <w:rPr>
              <w:rFonts w:hint="eastAsia" w:ascii="仿宋" w:hAnsi="仿宋" w:eastAsia="仿宋" w:cs="仿宋"/>
              <w:bCs/>
              <w:spacing w:val="0"/>
              <w:w w:val="100"/>
              <w:position w:val="0"/>
              <w:sz w:val="28"/>
              <w:szCs w:val="56"/>
            </w:rPr>
            <w:t>第三章 采购需求</w:t>
          </w:r>
          <w:r>
            <w:rPr>
              <w:rFonts w:hint="eastAsia" w:ascii="仿宋" w:hAnsi="仿宋" w:eastAsia="仿宋" w:cs="仿宋"/>
              <w:spacing w:val="0"/>
              <w:w w:val="100"/>
              <w:position w:val="0"/>
              <w:sz w:val="28"/>
              <w:szCs w:val="28"/>
            </w:rPr>
            <w:tab/>
          </w:r>
          <w:r>
            <w:rPr>
              <w:rFonts w:hint="eastAsia" w:ascii="仿宋" w:hAnsi="仿宋" w:eastAsia="仿宋" w:cs="仿宋"/>
              <w:spacing w:val="0"/>
              <w:w w:val="100"/>
              <w:position w:val="0"/>
              <w:sz w:val="28"/>
              <w:szCs w:val="28"/>
            </w:rPr>
            <w:fldChar w:fldCharType="begin"/>
          </w:r>
          <w:r>
            <w:rPr>
              <w:rFonts w:hint="eastAsia" w:ascii="仿宋" w:hAnsi="仿宋" w:eastAsia="仿宋" w:cs="仿宋"/>
              <w:spacing w:val="0"/>
              <w:w w:val="100"/>
              <w:position w:val="0"/>
              <w:sz w:val="28"/>
              <w:szCs w:val="28"/>
            </w:rPr>
            <w:instrText xml:space="preserve"> PAGEREF _Toc21744 \h </w:instrText>
          </w:r>
          <w:r>
            <w:rPr>
              <w:rFonts w:hint="eastAsia" w:ascii="仿宋" w:hAnsi="仿宋" w:eastAsia="仿宋" w:cs="仿宋"/>
              <w:spacing w:val="0"/>
              <w:w w:val="100"/>
              <w:position w:val="0"/>
              <w:sz w:val="28"/>
              <w:szCs w:val="28"/>
            </w:rPr>
            <w:fldChar w:fldCharType="separate"/>
          </w:r>
          <w:r>
            <w:rPr>
              <w:rFonts w:hint="eastAsia" w:ascii="仿宋" w:hAnsi="仿宋" w:eastAsia="仿宋" w:cs="仿宋"/>
              <w:spacing w:val="0"/>
              <w:w w:val="100"/>
              <w:position w:val="0"/>
              <w:sz w:val="28"/>
              <w:szCs w:val="28"/>
            </w:rPr>
            <w:t>29</w:t>
          </w:r>
          <w:r>
            <w:rPr>
              <w:rFonts w:hint="eastAsia" w:ascii="仿宋" w:hAnsi="仿宋" w:eastAsia="仿宋" w:cs="仿宋"/>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58952F1E">
          <w:pPr>
            <w:pStyle w:val="14"/>
            <w:keepNext w:val="0"/>
            <w:keepLines w:val="0"/>
            <w:pageBreakBefore w:val="0"/>
            <w:widowControl/>
            <w:tabs>
              <w:tab w:val="right" w:leader="dot" w:pos="8316"/>
            </w:tabs>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40"/>
            </w:rPr>
          </w:pPr>
        </w:p>
        <w:p w14:paraId="43A07028">
          <w:pPr>
            <w:pStyle w:val="14"/>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spacing w:val="0"/>
              <w:w w:val="100"/>
              <w:position w:val="0"/>
              <w:sz w:val="28"/>
              <w:szCs w:val="28"/>
            </w:rPr>
          </w:pP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spacing w:val="0"/>
              <w:w w:val="100"/>
              <w:position w:val="0"/>
              <w:sz w:val="28"/>
              <w:szCs w:val="40"/>
            </w:rPr>
            <w:instrText xml:space="preserve"> HYPERLINK \l _Toc28157 </w:instrText>
          </w:r>
          <w:r>
            <w:rPr>
              <w:rFonts w:hint="eastAsia" w:ascii="仿宋" w:hAnsi="仿宋" w:eastAsia="仿宋" w:cs="仿宋"/>
              <w:spacing w:val="0"/>
              <w:w w:val="100"/>
              <w:position w:val="0"/>
              <w:sz w:val="28"/>
              <w:szCs w:val="40"/>
            </w:rPr>
            <w:fldChar w:fldCharType="separate"/>
          </w:r>
          <w:r>
            <w:rPr>
              <w:rFonts w:hint="eastAsia" w:ascii="仿宋" w:hAnsi="仿宋" w:eastAsia="仿宋" w:cs="仿宋"/>
              <w:bCs/>
              <w:spacing w:val="0"/>
              <w:w w:val="100"/>
              <w:position w:val="0"/>
              <w:sz w:val="28"/>
              <w:szCs w:val="56"/>
            </w:rPr>
            <w:t>第四章 评标办法</w:t>
          </w:r>
          <w:r>
            <w:rPr>
              <w:rFonts w:hint="eastAsia" w:ascii="仿宋" w:hAnsi="仿宋" w:eastAsia="仿宋" w:cs="仿宋"/>
              <w:spacing w:val="0"/>
              <w:w w:val="100"/>
              <w:position w:val="0"/>
              <w:sz w:val="28"/>
              <w:szCs w:val="28"/>
            </w:rPr>
            <w:tab/>
          </w:r>
          <w:r>
            <w:rPr>
              <w:rFonts w:hint="eastAsia" w:ascii="仿宋" w:hAnsi="仿宋" w:eastAsia="仿宋" w:cs="仿宋"/>
              <w:spacing w:val="0"/>
              <w:w w:val="100"/>
              <w:position w:val="0"/>
              <w:sz w:val="28"/>
              <w:szCs w:val="28"/>
            </w:rPr>
            <w:fldChar w:fldCharType="begin"/>
          </w:r>
          <w:r>
            <w:rPr>
              <w:rFonts w:hint="eastAsia" w:ascii="仿宋" w:hAnsi="仿宋" w:eastAsia="仿宋" w:cs="仿宋"/>
              <w:spacing w:val="0"/>
              <w:w w:val="100"/>
              <w:position w:val="0"/>
              <w:sz w:val="28"/>
              <w:szCs w:val="28"/>
            </w:rPr>
            <w:instrText xml:space="preserve"> PAGEREF _Toc28157 \h </w:instrText>
          </w:r>
          <w:r>
            <w:rPr>
              <w:rFonts w:hint="eastAsia" w:ascii="仿宋" w:hAnsi="仿宋" w:eastAsia="仿宋" w:cs="仿宋"/>
              <w:spacing w:val="0"/>
              <w:w w:val="100"/>
              <w:position w:val="0"/>
              <w:sz w:val="28"/>
              <w:szCs w:val="28"/>
            </w:rPr>
            <w:fldChar w:fldCharType="separate"/>
          </w:r>
          <w:r>
            <w:rPr>
              <w:rFonts w:hint="eastAsia" w:ascii="仿宋" w:hAnsi="仿宋" w:eastAsia="仿宋" w:cs="仿宋"/>
              <w:spacing w:val="0"/>
              <w:w w:val="100"/>
              <w:position w:val="0"/>
              <w:sz w:val="28"/>
              <w:szCs w:val="28"/>
            </w:rPr>
            <w:t>32</w:t>
          </w:r>
          <w:r>
            <w:rPr>
              <w:rFonts w:hint="eastAsia" w:ascii="仿宋" w:hAnsi="仿宋" w:eastAsia="仿宋" w:cs="仿宋"/>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5475F065">
          <w:pPr>
            <w:pStyle w:val="11"/>
            <w:keepNext w:val="0"/>
            <w:keepLines w:val="0"/>
            <w:pageBreakBefore w:val="0"/>
            <w:widowControl/>
            <w:tabs>
              <w:tab w:val="right" w:leader="dot" w:pos="8316"/>
            </w:tabs>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仿宋" w:hAnsi="仿宋" w:eastAsia="仿宋" w:cs="仿宋"/>
              <w:color w:val="auto"/>
              <w:spacing w:val="0"/>
              <w:w w:val="100"/>
              <w:position w:val="0"/>
              <w:sz w:val="28"/>
              <w:szCs w:val="40"/>
            </w:rPr>
          </w:pPr>
        </w:p>
        <w:p w14:paraId="3AE6CFC8">
          <w:pPr>
            <w:pStyle w:val="11"/>
            <w:pageBreakBefore w:val="0"/>
            <w:tabs>
              <w:tab w:val="right" w:leader="dot" w:pos="8316"/>
            </w:tabs>
            <w:kinsoku w:val="0"/>
            <w:wordWrap/>
            <w:overflowPunct/>
            <w:topLinePunct w:val="0"/>
            <w:bidi w:val="0"/>
            <w:adjustRightInd w:val="0"/>
            <w:snapToGrid w:val="0"/>
            <w:spacing w:line="360" w:lineRule="auto"/>
            <w:ind w:left="0" w:leftChars="0" w:right="0" w:rightChars="0" w:firstLine="0" w:firstLineChars="0"/>
            <w:textAlignment w:val="baseline"/>
            <w:rPr>
              <w:rFonts w:hint="eastAsia" w:ascii="仿宋" w:hAnsi="仿宋" w:eastAsia="仿宋" w:cs="仿宋"/>
              <w:color w:val="auto"/>
              <w:spacing w:val="0"/>
              <w:w w:val="100"/>
              <w:position w:val="0"/>
              <w:sz w:val="28"/>
              <w:szCs w:val="40"/>
            </w:rPr>
          </w:pP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spacing w:val="0"/>
              <w:w w:val="100"/>
              <w:position w:val="0"/>
              <w:sz w:val="28"/>
              <w:szCs w:val="40"/>
            </w:rPr>
            <w:instrText xml:space="preserve"> HYPERLINK \l _Toc6589 </w:instrText>
          </w:r>
          <w:r>
            <w:rPr>
              <w:rFonts w:hint="eastAsia" w:ascii="仿宋" w:hAnsi="仿宋" w:eastAsia="仿宋" w:cs="仿宋"/>
              <w:spacing w:val="0"/>
              <w:w w:val="100"/>
              <w:position w:val="0"/>
              <w:sz w:val="28"/>
              <w:szCs w:val="40"/>
            </w:rPr>
            <w:fldChar w:fldCharType="separate"/>
          </w:r>
          <w:r>
            <w:rPr>
              <w:rFonts w:hint="eastAsia" w:ascii="仿宋" w:hAnsi="仿宋" w:eastAsia="仿宋" w:cs="仿宋"/>
              <w:spacing w:val="0"/>
              <w:w w:val="100"/>
              <w:position w:val="0"/>
              <w:sz w:val="28"/>
              <w:szCs w:val="28"/>
              <w:lang w:val="en-US" w:eastAsia="en-US"/>
            </w:rPr>
            <w:t>第五章</w:t>
          </w:r>
          <w:r>
            <w:rPr>
              <w:rFonts w:hint="eastAsia" w:ascii="仿宋" w:hAnsi="仿宋" w:eastAsia="仿宋" w:cs="仿宋"/>
              <w:spacing w:val="0"/>
              <w:w w:val="100"/>
              <w:position w:val="0"/>
              <w:sz w:val="28"/>
              <w:szCs w:val="28"/>
            </w:rPr>
            <w:t>框架协议</w:t>
          </w:r>
          <w:r>
            <w:rPr>
              <w:rFonts w:hint="eastAsia" w:ascii="仿宋" w:hAnsi="仿宋" w:eastAsia="仿宋" w:cs="仿宋"/>
              <w:spacing w:val="0"/>
              <w:w w:val="100"/>
              <w:position w:val="0"/>
              <w:sz w:val="28"/>
              <w:szCs w:val="28"/>
            </w:rPr>
            <w:tab/>
          </w:r>
          <w:r>
            <w:rPr>
              <w:rFonts w:hint="eastAsia" w:ascii="仿宋" w:hAnsi="仿宋" w:eastAsia="仿宋" w:cs="仿宋"/>
              <w:spacing w:val="0"/>
              <w:w w:val="100"/>
              <w:position w:val="0"/>
              <w:sz w:val="28"/>
              <w:szCs w:val="28"/>
            </w:rPr>
            <w:fldChar w:fldCharType="begin"/>
          </w:r>
          <w:r>
            <w:rPr>
              <w:rFonts w:hint="eastAsia" w:ascii="仿宋" w:hAnsi="仿宋" w:eastAsia="仿宋" w:cs="仿宋"/>
              <w:spacing w:val="0"/>
              <w:w w:val="100"/>
              <w:position w:val="0"/>
              <w:sz w:val="28"/>
              <w:szCs w:val="28"/>
            </w:rPr>
            <w:instrText xml:space="preserve"> PAGEREF _Toc6589 \h </w:instrText>
          </w:r>
          <w:r>
            <w:rPr>
              <w:rFonts w:hint="eastAsia" w:ascii="仿宋" w:hAnsi="仿宋" w:eastAsia="仿宋" w:cs="仿宋"/>
              <w:spacing w:val="0"/>
              <w:w w:val="100"/>
              <w:position w:val="0"/>
              <w:sz w:val="28"/>
              <w:szCs w:val="28"/>
            </w:rPr>
            <w:fldChar w:fldCharType="separate"/>
          </w:r>
          <w:r>
            <w:rPr>
              <w:rFonts w:hint="eastAsia" w:ascii="仿宋" w:hAnsi="仿宋" w:eastAsia="仿宋" w:cs="仿宋"/>
              <w:spacing w:val="0"/>
              <w:w w:val="100"/>
              <w:position w:val="0"/>
              <w:sz w:val="28"/>
              <w:szCs w:val="28"/>
            </w:rPr>
            <w:t>40</w:t>
          </w:r>
          <w:r>
            <w:rPr>
              <w:rFonts w:hint="eastAsia" w:ascii="仿宋" w:hAnsi="仿宋" w:eastAsia="仿宋" w:cs="仿宋"/>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15D5DB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spacing w:val="0"/>
              <w:w w:val="100"/>
              <w:position w:val="0"/>
            </w:rPr>
          </w:pPr>
        </w:p>
        <w:p w14:paraId="50E0030F">
          <w:pPr>
            <w:pStyle w:val="14"/>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spacing w:val="0"/>
              <w:w w:val="100"/>
              <w:position w:val="0"/>
            </w:rPr>
          </w:pP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spacing w:val="0"/>
              <w:w w:val="100"/>
              <w:position w:val="0"/>
              <w:sz w:val="28"/>
              <w:szCs w:val="40"/>
            </w:rPr>
            <w:instrText xml:space="preserve"> HYPERLINK \l _Toc16469 </w:instrText>
          </w:r>
          <w:r>
            <w:rPr>
              <w:rFonts w:hint="eastAsia" w:ascii="仿宋" w:hAnsi="仿宋" w:eastAsia="仿宋" w:cs="仿宋"/>
              <w:spacing w:val="0"/>
              <w:w w:val="100"/>
              <w:position w:val="0"/>
              <w:sz w:val="28"/>
              <w:szCs w:val="40"/>
            </w:rPr>
            <w:fldChar w:fldCharType="separate"/>
          </w:r>
          <w:r>
            <w:rPr>
              <w:rFonts w:hint="eastAsia" w:ascii="仿宋" w:hAnsi="仿宋" w:eastAsia="仿宋" w:cs="仿宋"/>
              <w:bCs/>
              <w:spacing w:val="0"/>
              <w:w w:val="100"/>
              <w:position w:val="0"/>
              <w:sz w:val="28"/>
              <w:szCs w:val="56"/>
              <w:lang w:val="en-US" w:eastAsia="en-US"/>
            </w:rPr>
            <w:t>第六章 响应文件格式</w:t>
          </w:r>
          <w:r>
            <w:rPr>
              <w:rFonts w:hint="eastAsia" w:ascii="仿宋" w:hAnsi="仿宋" w:eastAsia="仿宋" w:cs="仿宋"/>
              <w:spacing w:val="0"/>
              <w:w w:val="100"/>
              <w:position w:val="0"/>
              <w:sz w:val="28"/>
              <w:szCs w:val="28"/>
            </w:rPr>
            <w:tab/>
          </w:r>
          <w:r>
            <w:rPr>
              <w:rFonts w:hint="eastAsia" w:ascii="仿宋" w:hAnsi="仿宋" w:eastAsia="仿宋" w:cs="仿宋"/>
              <w:spacing w:val="0"/>
              <w:w w:val="100"/>
              <w:position w:val="0"/>
              <w:sz w:val="28"/>
              <w:szCs w:val="28"/>
            </w:rPr>
            <w:fldChar w:fldCharType="begin"/>
          </w:r>
          <w:r>
            <w:rPr>
              <w:rFonts w:hint="eastAsia" w:ascii="仿宋" w:hAnsi="仿宋" w:eastAsia="仿宋" w:cs="仿宋"/>
              <w:spacing w:val="0"/>
              <w:w w:val="100"/>
              <w:position w:val="0"/>
              <w:sz w:val="28"/>
              <w:szCs w:val="28"/>
            </w:rPr>
            <w:instrText xml:space="preserve"> PAGEREF _Toc16469 \h </w:instrText>
          </w:r>
          <w:r>
            <w:rPr>
              <w:rFonts w:hint="eastAsia" w:ascii="仿宋" w:hAnsi="仿宋" w:eastAsia="仿宋" w:cs="仿宋"/>
              <w:spacing w:val="0"/>
              <w:w w:val="100"/>
              <w:position w:val="0"/>
              <w:sz w:val="28"/>
              <w:szCs w:val="28"/>
            </w:rPr>
            <w:fldChar w:fldCharType="separate"/>
          </w:r>
          <w:r>
            <w:rPr>
              <w:rFonts w:hint="eastAsia" w:ascii="仿宋" w:hAnsi="仿宋" w:eastAsia="仿宋" w:cs="仿宋"/>
              <w:spacing w:val="0"/>
              <w:w w:val="100"/>
              <w:position w:val="0"/>
              <w:sz w:val="28"/>
              <w:szCs w:val="28"/>
            </w:rPr>
            <w:t>50</w:t>
          </w:r>
          <w:r>
            <w:rPr>
              <w:rFonts w:hint="eastAsia" w:ascii="仿宋" w:hAnsi="仿宋" w:eastAsia="仿宋" w:cs="仿宋"/>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72E8684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snapToGrid w:val="0"/>
              <w:color w:val="auto"/>
              <w:spacing w:val="0"/>
              <w:w w:val="100"/>
              <w:kern w:val="0"/>
              <w:position w:val="0"/>
              <w:sz w:val="21"/>
              <w:szCs w:val="28"/>
              <w:lang w:val="en-US" w:eastAsia="en-US" w:bidi="ar-SA"/>
            </w:rPr>
          </w:pPr>
          <w:r>
            <w:rPr>
              <w:rFonts w:hint="eastAsia" w:ascii="仿宋" w:hAnsi="仿宋" w:eastAsia="仿宋" w:cs="仿宋"/>
              <w:color w:val="auto"/>
              <w:spacing w:val="0"/>
              <w:w w:val="100"/>
              <w:position w:val="0"/>
              <w:szCs w:val="28"/>
            </w:rPr>
            <w:fldChar w:fldCharType="end"/>
          </w:r>
        </w:p>
      </w:sdtContent>
    </w:sdt>
    <w:p w14:paraId="19EBC5A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snapToGrid w:val="0"/>
          <w:color w:val="auto"/>
          <w:spacing w:val="0"/>
          <w:w w:val="100"/>
          <w:kern w:val="0"/>
          <w:position w:val="0"/>
          <w:sz w:val="21"/>
          <w:szCs w:val="28"/>
          <w:lang w:val="en-US" w:eastAsia="en-US" w:bidi="ar-SA"/>
        </w:rPr>
        <w:sectPr>
          <w:footerReference r:id="rId6" w:type="default"/>
          <w:pgSz w:w="11922" w:h="16849"/>
          <w:pgMar w:top="1440" w:right="1803" w:bottom="1440" w:left="1803" w:header="1134" w:footer="1253" w:gutter="0"/>
          <w:pgNumType w:fmt="decimal"/>
          <w:cols w:space="0" w:num="1"/>
          <w:rtlGutter w:val="0"/>
          <w:docGrid w:linePitch="0" w:charSpace="0"/>
        </w:sectPr>
      </w:pPr>
    </w:p>
    <w:p w14:paraId="03851AD2">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color w:val="auto"/>
          <w:spacing w:val="0"/>
          <w:w w:val="100"/>
          <w:position w:val="0"/>
          <w:sz w:val="28"/>
          <w:szCs w:val="28"/>
        </w:rPr>
      </w:pPr>
      <w:bookmarkStart w:id="0" w:name="_Toc13141"/>
      <w:r>
        <w:rPr>
          <w:rFonts w:hint="eastAsia" w:ascii="仿宋" w:hAnsi="仿宋" w:eastAsia="仿宋" w:cs="仿宋"/>
          <w:b/>
          <w:bCs/>
          <w:color w:val="auto"/>
          <w:spacing w:val="0"/>
          <w:w w:val="100"/>
          <w:position w:val="0"/>
          <w:sz w:val="44"/>
          <w:szCs w:val="44"/>
        </w:rPr>
        <w:t>第一章 征集公告</w:t>
      </w:r>
      <w:bookmarkEnd w:id="0"/>
    </w:p>
    <w:p w14:paraId="36DDF9F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一、项目基本情况</w:t>
      </w:r>
    </w:p>
    <w:p w14:paraId="674A90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1.项目名称：</w:t>
      </w:r>
      <w:r>
        <w:rPr>
          <w:rFonts w:hint="eastAsia" w:ascii="仿宋" w:hAnsi="仿宋" w:eastAsia="仿宋" w:cs="仿宋"/>
          <w:color w:val="auto"/>
          <w:spacing w:val="0"/>
          <w:w w:val="100"/>
          <w:position w:val="0"/>
          <w:sz w:val="28"/>
          <w:szCs w:val="28"/>
          <w:lang w:eastAsia="zh-CN"/>
        </w:rPr>
        <w:t>颍东区机关事务管理中心公务用车定点加油项目（三次）</w:t>
      </w:r>
    </w:p>
    <w:p w14:paraId="61CFCE2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default"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rPr>
        <w:t>2.项目编号：</w:t>
      </w: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KJXY202508210482-Z</w:t>
      </w: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2</w:t>
      </w:r>
    </w:p>
    <w:p w14:paraId="425AF2E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3.采购需求：</w:t>
      </w:r>
      <w:r>
        <w:rPr>
          <w:rFonts w:hint="eastAsia" w:ascii="仿宋" w:hAnsi="仿宋" w:eastAsia="仿宋" w:cs="仿宋"/>
          <w:color w:val="auto"/>
          <w:spacing w:val="0"/>
          <w:w w:val="100"/>
          <w:position w:val="0"/>
          <w:sz w:val="28"/>
          <w:szCs w:val="28"/>
          <w:lang w:eastAsia="zh-CN"/>
        </w:rPr>
        <w:t>颍东区机关事务管理中心公务用车定点加油项目（三次）</w:t>
      </w:r>
      <w:r>
        <w:rPr>
          <w:rFonts w:hint="eastAsia" w:ascii="仿宋" w:hAnsi="仿宋" w:eastAsia="仿宋" w:cs="仿宋"/>
          <w:color w:val="auto"/>
          <w:spacing w:val="0"/>
          <w:w w:val="100"/>
          <w:position w:val="0"/>
          <w:sz w:val="28"/>
          <w:szCs w:val="28"/>
        </w:rPr>
        <w:t>，具体内容详见征集文件。</w:t>
      </w:r>
    </w:p>
    <w:p w14:paraId="0B7CE18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4.适用本次采购框架协议的征集人或服务对象：</w:t>
      </w:r>
      <w:r>
        <w:rPr>
          <w:rFonts w:hint="eastAsia" w:ascii="仿宋" w:hAnsi="仿宋" w:eastAsia="仿宋" w:cs="仿宋"/>
          <w:color w:val="auto"/>
          <w:spacing w:val="0"/>
          <w:w w:val="100"/>
          <w:position w:val="0"/>
          <w:sz w:val="28"/>
          <w:szCs w:val="28"/>
          <w:lang w:val="en-US" w:eastAsia="zh-CN"/>
        </w:rPr>
        <w:t>根据政府采购法律法规和有关政策规定，拟采用框架协议方式确定 2 家供应商作为加油服务承办单位，为阜阳市颍东区党政机关公务用车提供加油服务。各单位应严格落实一车一卡管理制度，每张加油卡仅限对应车辆加油，不得用于其他车辆加油或其他消费。</w:t>
      </w:r>
    </w:p>
    <w:p w14:paraId="52637B2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5.框架协议期限：</w:t>
      </w:r>
      <w:r>
        <w:rPr>
          <w:rFonts w:hint="eastAsia" w:ascii="仿宋" w:hAnsi="仿宋" w:eastAsia="仿宋" w:cs="仿宋"/>
          <w:color w:val="auto"/>
          <w:spacing w:val="0"/>
          <w:w w:val="100"/>
          <w:position w:val="0"/>
          <w:sz w:val="28"/>
          <w:szCs w:val="28"/>
          <w:lang w:val="en-US" w:eastAsia="zh-CN"/>
        </w:rPr>
        <w:t>1+1</w:t>
      </w:r>
      <w:r>
        <w:rPr>
          <w:rFonts w:hint="eastAsia" w:ascii="仿宋" w:hAnsi="仿宋" w:eastAsia="仿宋" w:cs="仿宋"/>
          <w:color w:val="auto"/>
          <w:spacing w:val="0"/>
          <w:w w:val="100"/>
          <w:position w:val="0"/>
          <w:sz w:val="28"/>
          <w:szCs w:val="28"/>
        </w:rPr>
        <w:t>年</w:t>
      </w:r>
    </w:p>
    <w:p w14:paraId="2709EB8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6.资金来源：财政资金</w:t>
      </w:r>
    </w:p>
    <w:p w14:paraId="4F0E2E1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7.标段划分：共分1个标段</w:t>
      </w:r>
    </w:p>
    <w:p w14:paraId="32EBBD5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8.本项目是否接受联合体：否</w:t>
      </w:r>
    </w:p>
    <w:p w14:paraId="4FC05A4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9.最高限制单价：报价费率100%</w:t>
      </w:r>
    </w:p>
    <w:p w14:paraId="440B9EA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二、 申请人的资格要求：</w:t>
      </w:r>
    </w:p>
    <w:p w14:paraId="04FB768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1.满足《中华人民共和国政府采购法》第二十二条规定；</w:t>
      </w:r>
    </w:p>
    <w:p w14:paraId="79EB26E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2.落实政府采购政策需满足的资格要求：本项目符合财政部、工业和信息化部制定的《政府采购促进中小企业发展管理办法》第六条第4款之规定：框架协议采购项目。因此，本项目不专门面向中小企业采购。如对此项内容有疑问，可通过电子交易系统在线提出或书面方式向代理机构或征集人提出询问或质疑。</w:t>
      </w:r>
    </w:p>
    <w:p w14:paraId="06164EC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3.本项目的特定资格要求：</w:t>
      </w:r>
      <w:r>
        <w:rPr>
          <w:rFonts w:hint="eastAsia" w:ascii="仿宋" w:hAnsi="仿宋" w:eastAsia="仿宋" w:cs="仿宋"/>
          <w:color w:val="auto"/>
          <w:spacing w:val="0"/>
          <w:w w:val="100"/>
          <w:position w:val="0"/>
          <w:sz w:val="28"/>
          <w:szCs w:val="28"/>
          <w:lang w:val="en-US" w:eastAsia="zh-CN"/>
        </w:rPr>
        <w:t>供应商具备有效的《危险化学品经营许可证》</w:t>
      </w:r>
      <w:r>
        <w:rPr>
          <w:rFonts w:hint="eastAsia" w:ascii="仿宋" w:hAnsi="仿宋" w:eastAsia="仿宋" w:cs="仿宋"/>
          <w:color w:val="auto"/>
          <w:spacing w:val="0"/>
          <w:w w:val="100"/>
          <w:position w:val="0"/>
          <w:sz w:val="28"/>
          <w:szCs w:val="28"/>
          <w:lang w:eastAsia="zh-CN"/>
        </w:rPr>
        <w:t>。</w:t>
      </w:r>
    </w:p>
    <w:p w14:paraId="4ACEC3C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三、获取征集文件</w:t>
      </w:r>
    </w:p>
    <w:p w14:paraId="0CCE484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1.时间：2025年</w:t>
      </w:r>
      <w:r>
        <w:rPr>
          <w:rFonts w:hint="eastAsia" w:ascii="仿宋" w:hAnsi="仿宋" w:eastAsia="仿宋" w:cs="仿宋"/>
          <w:color w:val="auto"/>
          <w:spacing w:val="0"/>
          <w:w w:val="100"/>
          <w:position w:val="0"/>
          <w:sz w:val="28"/>
          <w:szCs w:val="28"/>
          <w:lang w:val="en-US" w:eastAsia="zh-CN"/>
        </w:rPr>
        <w:t>10</w:t>
      </w:r>
      <w:r>
        <w:rPr>
          <w:rFonts w:hint="eastAsia" w:ascii="仿宋" w:hAnsi="仿宋" w:eastAsia="仿宋" w:cs="仿宋"/>
          <w:color w:val="auto"/>
          <w:spacing w:val="0"/>
          <w:w w:val="100"/>
          <w:position w:val="0"/>
          <w:sz w:val="28"/>
          <w:szCs w:val="28"/>
          <w:lang w:eastAsia="zh-CN"/>
        </w:rPr>
        <w:t>月</w:t>
      </w:r>
      <w:r>
        <w:rPr>
          <w:rFonts w:hint="eastAsia" w:ascii="仿宋" w:hAnsi="仿宋" w:eastAsia="仿宋" w:cs="仿宋"/>
          <w:color w:val="auto"/>
          <w:spacing w:val="0"/>
          <w:w w:val="100"/>
          <w:position w:val="0"/>
          <w:sz w:val="28"/>
          <w:szCs w:val="28"/>
          <w:lang w:val="en-US" w:eastAsia="zh-CN"/>
        </w:rPr>
        <w:t>20</w:t>
      </w:r>
      <w:r>
        <w:rPr>
          <w:rFonts w:hint="eastAsia" w:ascii="仿宋" w:hAnsi="仿宋" w:eastAsia="仿宋" w:cs="仿宋"/>
          <w:color w:val="auto"/>
          <w:spacing w:val="0"/>
          <w:w w:val="100"/>
          <w:position w:val="0"/>
          <w:sz w:val="28"/>
          <w:szCs w:val="28"/>
          <w:lang w:eastAsia="zh-CN"/>
        </w:rPr>
        <w:t>日至</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2025年</w:t>
      </w:r>
      <w:r>
        <w:rPr>
          <w:rFonts w:hint="eastAsia" w:ascii="仿宋" w:hAnsi="仿宋" w:eastAsia="仿宋" w:cs="仿宋"/>
          <w:color w:val="auto"/>
          <w:spacing w:val="0"/>
          <w:w w:val="100"/>
          <w:position w:val="0"/>
          <w:sz w:val="28"/>
          <w:szCs w:val="28"/>
          <w:lang w:val="en-US" w:eastAsia="zh-CN"/>
        </w:rPr>
        <w:t>11</w:t>
      </w:r>
      <w:r>
        <w:rPr>
          <w:rFonts w:hint="eastAsia" w:ascii="仿宋" w:hAnsi="仿宋" w:eastAsia="仿宋" w:cs="仿宋"/>
          <w:color w:val="auto"/>
          <w:spacing w:val="0"/>
          <w:w w:val="100"/>
          <w:position w:val="0"/>
          <w:sz w:val="28"/>
          <w:szCs w:val="28"/>
          <w:lang w:eastAsia="zh-CN"/>
        </w:rPr>
        <w:t>月</w:t>
      </w:r>
      <w:r>
        <w:rPr>
          <w:rFonts w:hint="eastAsia" w:ascii="仿宋" w:hAnsi="仿宋" w:eastAsia="仿宋" w:cs="仿宋"/>
          <w:color w:val="auto"/>
          <w:spacing w:val="0"/>
          <w:w w:val="100"/>
          <w:position w:val="0"/>
          <w:sz w:val="28"/>
          <w:szCs w:val="28"/>
          <w:lang w:val="en-US" w:eastAsia="zh-CN"/>
        </w:rPr>
        <w:t>11</w:t>
      </w:r>
      <w:r>
        <w:rPr>
          <w:rFonts w:hint="eastAsia" w:ascii="仿宋" w:hAnsi="仿宋" w:eastAsia="仿宋" w:cs="仿宋"/>
          <w:color w:val="auto"/>
          <w:spacing w:val="0"/>
          <w:w w:val="100"/>
          <w:position w:val="0"/>
          <w:sz w:val="28"/>
          <w:szCs w:val="28"/>
          <w:lang w:eastAsia="zh-CN"/>
        </w:rPr>
        <w:t>日，每天上午00:00</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至 12:00，下午</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12:00</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至</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23:59（北京时间，法定节假日除外）。</w:t>
      </w:r>
    </w:p>
    <w:p w14:paraId="1C82E3E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2.地点：“徽采云”电子交易系统。</w:t>
      </w:r>
    </w:p>
    <w:p w14:paraId="41B5C8F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3.方式：供应商登录“徽采云”电子交易系统在线获取采购文件。</w:t>
      </w:r>
    </w:p>
    <w:p w14:paraId="269781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四、提交征集响应文件截止时间、开标时间和地点</w:t>
      </w:r>
    </w:p>
    <w:p w14:paraId="132E301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1.响应文件提交截止时间：202</w:t>
      </w:r>
      <w:r>
        <w:rPr>
          <w:rFonts w:hint="eastAsia" w:ascii="仿宋" w:hAnsi="仿宋" w:eastAsia="仿宋" w:cs="仿宋"/>
          <w:color w:val="auto"/>
          <w:spacing w:val="0"/>
          <w:w w:val="100"/>
          <w:position w:val="0"/>
          <w:sz w:val="28"/>
          <w:szCs w:val="28"/>
          <w:lang w:val="en-US" w:eastAsia="zh-CN"/>
        </w:rPr>
        <w:t>5</w:t>
      </w:r>
      <w:r>
        <w:rPr>
          <w:rFonts w:hint="eastAsia" w:ascii="仿宋" w:hAnsi="仿宋" w:eastAsia="仿宋" w:cs="仿宋"/>
          <w:color w:val="auto"/>
          <w:spacing w:val="0"/>
          <w:w w:val="100"/>
          <w:position w:val="0"/>
          <w:sz w:val="28"/>
          <w:szCs w:val="28"/>
          <w:lang w:eastAsia="zh-CN"/>
        </w:rPr>
        <w:t>年</w:t>
      </w:r>
      <w:r>
        <w:rPr>
          <w:rFonts w:hint="eastAsia" w:ascii="仿宋" w:hAnsi="仿宋" w:eastAsia="仿宋" w:cs="仿宋"/>
          <w:color w:val="auto"/>
          <w:spacing w:val="0"/>
          <w:w w:val="100"/>
          <w:position w:val="0"/>
          <w:sz w:val="28"/>
          <w:szCs w:val="28"/>
          <w:lang w:val="en-US" w:eastAsia="zh-CN"/>
        </w:rPr>
        <w:t>11</w:t>
      </w:r>
      <w:r>
        <w:rPr>
          <w:rFonts w:hint="eastAsia" w:ascii="仿宋" w:hAnsi="仿宋" w:eastAsia="仿宋" w:cs="仿宋"/>
          <w:color w:val="auto"/>
          <w:spacing w:val="0"/>
          <w:w w:val="100"/>
          <w:position w:val="0"/>
          <w:sz w:val="28"/>
          <w:szCs w:val="28"/>
          <w:lang w:eastAsia="zh-CN"/>
        </w:rPr>
        <w:t>月</w:t>
      </w:r>
      <w:r>
        <w:rPr>
          <w:rFonts w:hint="eastAsia" w:ascii="仿宋" w:hAnsi="仿宋" w:eastAsia="仿宋" w:cs="仿宋"/>
          <w:color w:val="auto"/>
          <w:spacing w:val="0"/>
          <w:w w:val="100"/>
          <w:position w:val="0"/>
          <w:sz w:val="28"/>
          <w:szCs w:val="28"/>
          <w:lang w:val="en-US" w:eastAsia="zh-CN"/>
        </w:rPr>
        <w:t>11</w:t>
      </w:r>
      <w:r>
        <w:rPr>
          <w:rFonts w:hint="eastAsia" w:ascii="仿宋" w:hAnsi="仿宋" w:eastAsia="仿宋" w:cs="仿宋"/>
          <w:color w:val="auto"/>
          <w:spacing w:val="0"/>
          <w:w w:val="100"/>
          <w:position w:val="0"/>
          <w:sz w:val="28"/>
          <w:szCs w:val="28"/>
          <w:lang w:eastAsia="zh-CN"/>
        </w:rPr>
        <w:t>日09:00(北京时间)。</w:t>
      </w:r>
    </w:p>
    <w:p w14:paraId="154002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2.响应文件提交地点（网址）：请登录“徽采云”投标客户端投标。</w:t>
      </w:r>
    </w:p>
    <w:p w14:paraId="1623FA8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3.响应文件开启时间：202</w:t>
      </w:r>
      <w:r>
        <w:rPr>
          <w:rFonts w:hint="eastAsia" w:ascii="仿宋" w:hAnsi="仿宋" w:eastAsia="仿宋" w:cs="仿宋"/>
          <w:color w:val="auto"/>
          <w:spacing w:val="0"/>
          <w:w w:val="100"/>
          <w:position w:val="0"/>
          <w:sz w:val="28"/>
          <w:szCs w:val="28"/>
          <w:lang w:val="en-US" w:eastAsia="zh-CN"/>
        </w:rPr>
        <w:t>5</w:t>
      </w:r>
      <w:r>
        <w:rPr>
          <w:rFonts w:hint="eastAsia" w:ascii="仿宋" w:hAnsi="仿宋" w:eastAsia="仿宋" w:cs="仿宋"/>
          <w:color w:val="auto"/>
          <w:spacing w:val="0"/>
          <w:w w:val="100"/>
          <w:position w:val="0"/>
          <w:sz w:val="28"/>
          <w:szCs w:val="28"/>
          <w:lang w:eastAsia="zh-CN"/>
        </w:rPr>
        <w:t>年</w:t>
      </w:r>
      <w:r>
        <w:rPr>
          <w:rFonts w:hint="eastAsia" w:ascii="仿宋" w:hAnsi="仿宋" w:eastAsia="仿宋" w:cs="仿宋"/>
          <w:color w:val="auto"/>
          <w:spacing w:val="0"/>
          <w:w w:val="100"/>
          <w:position w:val="0"/>
          <w:sz w:val="28"/>
          <w:szCs w:val="28"/>
          <w:lang w:val="en-US" w:eastAsia="zh-CN"/>
        </w:rPr>
        <w:t>11</w:t>
      </w:r>
      <w:r>
        <w:rPr>
          <w:rFonts w:hint="eastAsia" w:ascii="仿宋" w:hAnsi="仿宋" w:eastAsia="仿宋" w:cs="仿宋"/>
          <w:color w:val="auto"/>
          <w:spacing w:val="0"/>
          <w:w w:val="100"/>
          <w:position w:val="0"/>
          <w:sz w:val="28"/>
          <w:szCs w:val="28"/>
          <w:lang w:eastAsia="zh-CN"/>
        </w:rPr>
        <w:t>月</w:t>
      </w:r>
      <w:r>
        <w:rPr>
          <w:rFonts w:hint="eastAsia" w:ascii="仿宋" w:hAnsi="仿宋" w:eastAsia="仿宋" w:cs="仿宋"/>
          <w:color w:val="auto"/>
          <w:spacing w:val="0"/>
          <w:w w:val="100"/>
          <w:position w:val="0"/>
          <w:sz w:val="28"/>
          <w:szCs w:val="28"/>
          <w:lang w:val="en-US" w:eastAsia="zh-CN"/>
        </w:rPr>
        <w:t>11</w:t>
      </w:r>
      <w:r>
        <w:rPr>
          <w:rFonts w:hint="eastAsia" w:ascii="仿宋" w:hAnsi="仿宋" w:eastAsia="仿宋" w:cs="仿宋"/>
          <w:color w:val="auto"/>
          <w:spacing w:val="0"/>
          <w:w w:val="100"/>
          <w:position w:val="0"/>
          <w:sz w:val="28"/>
          <w:szCs w:val="28"/>
          <w:lang w:eastAsia="zh-CN"/>
        </w:rPr>
        <w:t>日09:00（北京时间）。</w:t>
      </w:r>
    </w:p>
    <w:p w14:paraId="1C1C23D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4.响应文件开启地点：</w:t>
      </w: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阜阳市公共资源交易中心</w:t>
      </w:r>
      <w:r>
        <w:rPr>
          <w:rFonts w:hint="eastAsia" w:ascii="仿宋" w:hAnsi="仿宋" w:eastAsia="仿宋" w:cs="仿宋"/>
          <w:color w:val="000000" w:themeColor="text1"/>
          <w:spacing w:val="0"/>
          <w:w w:val="100"/>
          <w:position w:val="0"/>
          <w:sz w:val="28"/>
          <w:szCs w:val="28"/>
          <w:u w:val="none"/>
          <w:lang w:eastAsia="zh-CN"/>
          <w14:textFill>
            <w14:solidFill>
              <w14:schemeClr w14:val="tx1"/>
            </w14:solidFill>
          </w14:textFill>
        </w:rPr>
        <w:t>开标</w:t>
      </w:r>
      <w:r>
        <w:rPr>
          <w:rFonts w:hint="eastAsia" w:ascii="仿宋" w:hAnsi="仿宋" w:eastAsia="仿宋" w:cs="仿宋"/>
          <w:color w:val="000000" w:themeColor="text1"/>
          <w:spacing w:val="0"/>
          <w:w w:val="100"/>
          <w:position w:val="0"/>
          <w:sz w:val="28"/>
          <w:szCs w:val="28"/>
          <w:u w:val="single"/>
          <w:lang w:val="en-US" w:eastAsia="zh-CN"/>
          <w14:textFill>
            <w14:solidFill>
              <w14:schemeClr w14:val="tx1"/>
            </w14:solidFill>
          </w14:textFill>
        </w:rPr>
        <w:t xml:space="preserve"> 2 </w:t>
      </w:r>
      <w:r>
        <w:rPr>
          <w:rFonts w:hint="eastAsia" w:ascii="仿宋" w:hAnsi="仿宋" w:eastAsia="仿宋" w:cs="仿宋"/>
          <w:color w:val="000000" w:themeColor="text1"/>
          <w:spacing w:val="0"/>
          <w:w w:val="100"/>
          <w:position w:val="0"/>
          <w:sz w:val="28"/>
          <w:szCs w:val="28"/>
          <w:u w:val="none"/>
          <w:lang w:eastAsia="zh-CN"/>
          <w14:textFill>
            <w14:solidFill>
              <w14:schemeClr w14:val="tx1"/>
            </w14:solidFill>
          </w14:textFill>
        </w:rPr>
        <w:t>室</w:t>
      </w: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（城南新区三清路666号阜阳市民中心五楼）。</w:t>
      </w:r>
    </w:p>
    <w:p w14:paraId="0C5C7BD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五、公告期限</w:t>
      </w:r>
      <w:bookmarkStart w:id="45" w:name="_GoBack"/>
      <w:bookmarkEnd w:id="45"/>
    </w:p>
    <w:p w14:paraId="17376A9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自本公告发布之日起 5 个工作日。</w:t>
      </w:r>
    </w:p>
    <w:p w14:paraId="46F996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六、其他补充事宜</w:t>
      </w:r>
    </w:p>
    <w:p w14:paraId="071D041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1.本项目所属行业为</w:t>
      </w:r>
      <w:r>
        <w:rPr>
          <w:rFonts w:hint="eastAsia" w:ascii="仿宋" w:hAnsi="仿宋" w:eastAsia="仿宋" w:cs="仿宋"/>
          <w:b/>
          <w:bCs/>
          <w:color w:val="auto"/>
          <w:spacing w:val="0"/>
          <w:w w:val="100"/>
          <w:position w:val="0"/>
          <w:sz w:val="28"/>
          <w:szCs w:val="28"/>
          <w:u w:val="single"/>
          <w:lang w:val="en-US" w:eastAsia="zh-CN"/>
        </w:rPr>
        <w:t>其他未列明</w:t>
      </w:r>
      <w:r>
        <w:rPr>
          <w:rFonts w:hint="eastAsia" w:ascii="仿宋" w:hAnsi="仿宋" w:eastAsia="仿宋" w:cs="仿宋"/>
          <w:color w:val="auto"/>
          <w:spacing w:val="0"/>
          <w:w w:val="100"/>
          <w:position w:val="0"/>
          <w:sz w:val="28"/>
          <w:szCs w:val="28"/>
          <w:lang w:val="en-US" w:eastAsia="zh-CN"/>
        </w:rPr>
        <w:t>行业。企业划型标准按照《关于印发中小企业划型标准规定的通知》（工信部联企业【2011】300 号）规定。</w:t>
      </w:r>
    </w:p>
    <w:p w14:paraId="6CF168F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val="en-US" w:eastAsia="zh-CN"/>
        </w:rPr>
        <w:t>2.</w:t>
      </w:r>
      <w:r>
        <w:rPr>
          <w:rFonts w:hint="eastAsia" w:ascii="仿宋" w:hAnsi="仿宋" w:eastAsia="仿宋" w:cs="仿宋"/>
          <w:color w:val="auto"/>
          <w:spacing w:val="0"/>
          <w:w w:val="100"/>
          <w:position w:val="0"/>
          <w:sz w:val="28"/>
          <w:szCs w:val="28"/>
          <w:lang w:eastAsia="zh-CN"/>
        </w:rPr>
        <w:t>本项目需落实的节能环保、中小微型企业扶持等相关政府采购政策详见征集文件。</w:t>
      </w:r>
    </w:p>
    <w:p w14:paraId="2E21BB5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val="en-US" w:eastAsia="zh-CN"/>
        </w:rPr>
        <w:t>3</w:t>
      </w:r>
      <w:r>
        <w:rPr>
          <w:rFonts w:hint="eastAsia" w:ascii="仿宋" w:hAnsi="仿宋" w:eastAsia="仿宋" w:cs="仿宋"/>
          <w:color w:val="auto"/>
          <w:spacing w:val="0"/>
          <w:w w:val="100"/>
          <w:position w:val="0"/>
          <w:sz w:val="28"/>
          <w:szCs w:val="28"/>
          <w:lang w:eastAsia="zh-CN"/>
        </w:rPr>
        <w:t>.本次征集公告在安徽省政府采购网</w:t>
      </w:r>
      <w:r>
        <w:rPr>
          <w:rFonts w:hint="eastAsia" w:ascii="仿宋" w:hAnsi="仿宋" w:eastAsia="仿宋" w:cs="仿宋"/>
          <w:color w:val="auto"/>
          <w:spacing w:val="0"/>
          <w:w w:val="100"/>
          <w:position w:val="0"/>
          <w:sz w:val="28"/>
          <w:szCs w:val="28"/>
          <w:lang w:eastAsia="zh-CN"/>
        </w:rPr>
        <w:fldChar w:fldCharType="begin"/>
      </w:r>
      <w:r>
        <w:rPr>
          <w:rFonts w:hint="eastAsia" w:ascii="仿宋" w:hAnsi="仿宋" w:eastAsia="仿宋" w:cs="仿宋"/>
          <w:color w:val="auto"/>
          <w:spacing w:val="0"/>
          <w:w w:val="100"/>
          <w:position w:val="0"/>
          <w:sz w:val="28"/>
          <w:szCs w:val="28"/>
          <w:lang w:eastAsia="zh-CN"/>
        </w:rPr>
        <w:instrText xml:space="preserve"> HYPERLINK "http://www.ccgp-anhui.gov.cn/" </w:instrText>
      </w:r>
      <w:r>
        <w:rPr>
          <w:rFonts w:hint="eastAsia" w:ascii="仿宋" w:hAnsi="仿宋" w:eastAsia="仿宋" w:cs="仿宋"/>
          <w:color w:val="auto"/>
          <w:spacing w:val="0"/>
          <w:w w:val="100"/>
          <w:position w:val="0"/>
          <w:sz w:val="28"/>
          <w:szCs w:val="28"/>
          <w:lang w:eastAsia="zh-CN"/>
        </w:rPr>
        <w:fldChar w:fldCharType="separate"/>
      </w:r>
      <w:r>
        <w:rPr>
          <w:rFonts w:hint="eastAsia" w:ascii="仿宋" w:hAnsi="仿宋" w:eastAsia="仿宋" w:cs="仿宋"/>
          <w:color w:val="auto"/>
          <w:spacing w:val="0"/>
          <w:w w:val="100"/>
          <w:position w:val="0"/>
          <w:sz w:val="28"/>
          <w:szCs w:val="28"/>
          <w:lang w:eastAsia="zh-CN"/>
        </w:rPr>
        <w:t>(www.ccgp-anhui.gov.cn</w:t>
      </w:r>
      <w:r>
        <w:rPr>
          <w:rFonts w:hint="eastAsia" w:ascii="仿宋" w:hAnsi="仿宋" w:eastAsia="仿宋" w:cs="仿宋"/>
          <w:color w:val="auto"/>
          <w:spacing w:val="0"/>
          <w:w w:val="100"/>
          <w:position w:val="0"/>
          <w:sz w:val="28"/>
          <w:szCs w:val="28"/>
          <w:lang w:eastAsia="zh-CN"/>
        </w:rPr>
        <w:fldChar w:fldCharType="end"/>
      </w:r>
      <w:r>
        <w:rPr>
          <w:rFonts w:hint="eastAsia" w:ascii="仿宋" w:hAnsi="仿宋" w:eastAsia="仿宋" w:cs="仿宋"/>
          <w:color w:val="auto"/>
          <w:spacing w:val="0"/>
          <w:w w:val="100"/>
          <w:position w:val="0"/>
          <w:sz w:val="28"/>
          <w:szCs w:val="28"/>
          <w:lang w:eastAsia="zh-CN"/>
        </w:rPr>
        <w:t>)上发布。</w:t>
      </w:r>
    </w:p>
    <w:p w14:paraId="3DACA03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val="en-US" w:eastAsia="zh-CN"/>
        </w:rPr>
        <w:t>4</w:t>
      </w:r>
      <w:r>
        <w:rPr>
          <w:rFonts w:hint="eastAsia" w:ascii="仿宋" w:hAnsi="仿宋" w:eastAsia="仿宋" w:cs="仿宋"/>
          <w:color w:val="auto"/>
          <w:spacing w:val="0"/>
          <w:w w:val="100"/>
          <w:position w:val="0"/>
          <w:sz w:val="28"/>
          <w:szCs w:val="28"/>
          <w:lang w:eastAsia="zh-CN"/>
        </w:rPr>
        <w:t>.服务商应合理安排征集文件获取时间，如果因计算机及网络故障造成无法完成征集文件获取，责任自负。</w:t>
      </w:r>
    </w:p>
    <w:p w14:paraId="38980D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rPr>
      </w:pPr>
      <w:r>
        <w:rPr>
          <w:rFonts w:hint="eastAsia" w:ascii="仿宋" w:hAnsi="仿宋" w:eastAsia="仿宋" w:cs="仿宋"/>
          <w:color w:val="auto"/>
          <w:spacing w:val="0"/>
          <w:w w:val="100"/>
          <w:position w:val="0"/>
          <w:sz w:val="28"/>
          <w:szCs w:val="28"/>
          <w:lang w:val="en-US" w:eastAsia="zh-CN"/>
        </w:rPr>
        <w:t>5</w:t>
      </w:r>
      <w:r>
        <w:rPr>
          <w:rFonts w:hint="eastAsia" w:ascii="仿宋" w:hAnsi="仿宋" w:eastAsia="仿宋" w:cs="仿宋"/>
          <w:color w:val="auto"/>
          <w:spacing w:val="0"/>
          <w:w w:val="100"/>
          <w:position w:val="0"/>
          <w:sz w:val="28"/>
          <w:szCs w:val="28"/>
          <w:lang w:eastAsia="zh-CN"/>
        </w:rPr>
        <w:t>.本项目实施全流程电子化交易，响应文件实施网上远程解密，服务商无需前往开标现场。网上响应请各供应商登录安徽省政府采购网查看教学视频，咨询电话：0558-95763。</w:t>
      </w:r>
    </w:p>
    <w:p w14:paraId="41344F2A">
      <w:pPr>
        <w:pStyle w:val="2"/>
        <w:rPr>
          <w:rFonts w:hint="eastAsia" w:ascii="仿宋" w:hAnsi="仿宋" w:eastAsia="仿宋" w:cs="仿宋"/>
          <w:lang w:eastAsia="zh-CN"/>
        </w:rPr>
      </w:pPr>
    </w:p>
    <w:p w14:paraId="12CF52A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七、对本次征集提出询问，请按以下方式联系。</w:t>
      </w:r>
    </w:p>
    <w:p w14:paraId="116290A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1.征集人信息</w:t>
      </w:r>
    </w:p>
    <w:p w14:paraId="65BF12B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名 称：</w:t>
      </w:r>
      <w:r>
        <w:rPr>
          <w:rFonts w:hint="eastAsia" w:ascii="仿宋" w:hAnsi="仿宋" w:eastAsia="仿宋" w:cs="仿宋"/>
          <w:color w:val="auto"/>
          <w:spacing w:val="0"/>
          <w:w w:val="100"/>
          <w:position w:val="0"/>
          <w:sz w:val="28"/>
          <w:szCs w:val="28"/>
          <w:u w:val="single"/>
          <w:lang w:eastAsia="zh-CN"/>
        </w:rPr>
        <w:t>阜阳市颍东区机关事务管理服务中心</w:t>
      </w:r>
    </w:p>
    <w:p w14:paraId="06C076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u w:val="single"/>
          <w:lang w:eastAsia="zh-CN"/>
        </w:rPr>
      </w:pPr>
      <w:r>
        <w:rPr>
          <w:rFonts w:hint="eastAsia" w:ascii="仿宋" w:hAnsi="仿宋" w:eastAsia="仿宋" w:cs="仿宋"/>
          <w:color w:val="auto"/>
          <w:spacing w:val="0"/>
          <w:w w:val="100"/>
          <w:position w:val="0"/>
          <w:sz w:val="28"/>
          <w:szCs w:val="28"/>
          <w:lang w:eastAsia="zh-CN"/>
        </w:rPr>
        <w:t>地</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址：</w:t>
      </w:r>
      <w:r>
        <w:rPr>
          <w:rFonts w:hint="eastAsia" w:ascii="仿宋" w:hAnsi="仿宋" w:eastAsia="仿宋" w:cs="仿宋"/>
          <w:color w:val="auto"/>
          <w:spacing w:val="0"/>
          <w:w w:val="100"/>
          <w:position w:val="0"/>
          <w:sz w:val="28"/>
          <w:szCs w:val="28"/>
          <w:u w:val="single"/>
          <w:lang w:val="en-US" w:eastAsia="zh-CN"/>
        </w:rPr>
        <w:t>安徽省阜阳市颍东区北京东路 216 号</w:t>
      </w:r>
    </w:p>
    <w:p w14:paraId="04D508D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eastAsia="zh-CN"/>
        </w:rPr>
        <w:t>联系方式：</w:t>
      </w:r>
      <w:r>
        <w:rPr>
          <w:rFonts w:hint="eastAsia" w:ascii="仿宋" w:hAnsi="仿宋" w:eastAsia="仿宋" w:cs="仿宋"/>
          <w:snapToGrid w:val="0"/>
          <w:color w:val="auto"/>
          <w:spacing w:val="0"/>
          <w:w w:val="100"/>
          <w:kern w:val="2"/>
          <w:position w:val="0"/>
          <w:sz w:val="28"/>
          <w:szCs w:val="28"/>
          <w:u w:val="single"/>
          <w:lang w:val="en-US" w:eastAsia="zh-CN" w:bidi="ar-SA"/>
        </w:rPr>
        <w:t>王亮 13635581710</w:t>
      </w:r>
    </w:p>
    <w:p w14:paraId="3FC1C75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2.采购代理机构信息</w:t>
      </w:r>
    </w:p>
    <w:p w14:paraId="56CD5FF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u w:val="single"/>
          <w:lang w:val="en-US" w:eastAsia="zh-CN"/>
        </w:rPr>
      </w:pPr>
      <w:r>
        <w:rPr>
          <w:rFonts w:hint="eastAsia" w:ascii="仿宋" w:hAnsi="仿宋" w:eastAsia="仿宋" w:cs="仿宋"/>
          <w:color w:val="auto"/>
          <w:spacing w:val="0"/>
          <w:w w:val="100"/>
          <w:position w:val="0"/>
          <w:sz w:val="28"/>
          <w:szCs w:val="28"/>
          <w:lang w:eastAsia="zh-CN"/>
        </w:rPr>
        <w:t>名 称：</w:t>
      </w:r>
      <w:r>
        <w:rPr>
          <w:rFonts w:hint="eastAsia" w:ascii="仿宋" w:hAnsi="仿宋" w:eastAsia="仿宋" w:cs="仿宋"/>
          <w:color w:val="auto"/>
          <w:spacing w:val="0"/>
          <w:w w:val="100"/>
          <w:position w:val="0"/>
          <w:sz w:val="28"/>
          <w:szCs w:val="28"/>
          <w:u w:val="single"/>
          <w:lang w:eastAsia="zh-CN"/>
        </w:rPr>
        <w:t>阜阳市晟景项目管理有限公司</w:t>
      </w:r>
    </w:p>
    <w:p w14:paraId="0759599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u w:val="single"/>
          <w:lang w:eastAsia="zh-CN"/>
        </w:rPr>
      </w:pPr>
      <w:r>
        <w:rPr>
          <w:rFonts w:hint="eastAsia" w:ascii="仿宋" w:hAnsi="仿宋" w:eastAsia="仿宋" w:cs="仿宋"/>
          <w:color w:val="auto"/>
          <w:spacing w:val="0"/>
          <w:w w:val="100"/>
          <w:position w:val="0"/>
          <w:sz w:val="28"/>
          <w:szCs w:val="28"/>
          <w:lang w:eastAsia="zh-CN"/>
        </w:rPr>
        <w:t>地 址：</w:t>
      </w:r>
      <w:r>
        <w:rPr>
          <w:rFonts w:hint="eastAsia" w:ascii="仿宋" w:hAnsi="仿宋" w:eastAsia="仿宋" w:cs="仿宋"/>
          <w:color w:val="auto"/>
          <w:spacing w:val="0"/>
          <w:w w:val="100"/>
          <w:position w:val="0"/>
          <w:sz w:val="28"/>
          <w:szCs w:val="28"/>
          <w:u w:val="single"/>
          <w:lang w:eastAsia="zh-CN"/>
        </w:rPr>
        <w:t>安徽省阜阳市颍东区向阳街道东旭路5号东坪圩农民安置区16#楼</w:t>
      </w:r>
    </w:p>
    <w:p w14:paraId="3F16A2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联系方式：</w:t>
      </w:r>
      <w:r>
        <w:rPr>
          <w:rFonts w:hint="eastAsia" w:ascii="仿宋" w:hAnsi="仿宋" w:eastAsia="仿宋" w:cs="仿宋"/>
          <w:color w:val="auto"/>
          <w:spacing w:val="0"/>
          <w:w w:val="100"/>
          <w:position w:val="0"/>
          <w:sz w:val="28"/>
          <w:szCs w:val="28"/>
          <w:u w:val="single"/>
          <w:lang w:val="en-US" w:eastAsia="zh-CN"/>
        </w:rPr>
        <w:t>王亚运 18055856918</w:t>
      </w:r>
      <w:r>
        <w:rPr>
          <w:rFonts w:hint="eastAsia" w:ascii="仿宋" w:hAnsi="仿宋" w:eastAsia="仿宋" w:cs="仿宋"/>
          <w:color w:val="auto"/>
          <w:spacing w:val="0"/>
          <w:w w:val="100"/>
          <w:position w:val="0"/>
          <w:sz w:val="28"/>
          <w:szCs w:val="28"/>
          <w:lang w:eastAsia="zh-CN"/>
        </w:rPr>
        <w:t xml:space="preserve"> </w:t>
      </w:r>
    </w:p>
    <w:p w14:paraId="2B44E61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3.项目联系方式</w:t>
      </w:r>
    </w:p>
    <w:p w14:paraId="6FB9ED8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项目联系人：</w:t>
      </w:r>
      <w:r>
        <w:rPr>
          <w:rFonts w:hint="eastAsia" w:ascii="仿宋" w:hAnsi="仿宋" w:eastAsia="仿宋" w:cs="仿宋"/>
          <w:snapToGrid w:val="0"/>
          <w:color w:val="auto"/>
          <w:spacing w:val="0"/>
          <w:w w:val="100"/>
          <w:kern w:val="2"/>
          <w:position w:val="0"/>
          <w:sz w:val="28"/>
          <w:szCs w:val="28"/>
          <w:u w:val="single"/>
          <w:lang w:val="en-US" w:eastAsia="zh-CN" w:bidi="ar-SA"/>
        </w:rPr>
        <w:t>王亮、</w:t>
      </w:r>
      <w:r>
        <w:rPr>
          <w:rFonts w:hint="eastAsia" w:ascii="仿宋" w:hAnsi="仿宋" w:eastAsia="仿宋" w:cs="仿宋"/>
          <w:color w:val="auto"/>
          <w:spacing w:val="0"/>
          <w:w w:val="100"/>
          <w:position w:val="0"/>
          <w:sz w:val="28"/>
          <w:szCs w:val="28"/>
          <w:u w:val="single"/>
          <w:lang w:val="en-US" w:eastAsia="zh-CN"/>
        </w:rPr>
        <w:t xml:space="preserve">王亚运 </w:t>
      </w:r>
      <w:r>
        <w:rPr>
          <w:rFonts w:hint="eastAsia" w:ascii="仿宋" w:hAnsi="仿宋" w:eastAsia="仿宋" w:cs="仿宋"/>
          <w:color w:val="auto"/>
          <w:spacing w:val="0"/>
          <w:w w:val="100"/>
          <w:position w:val="0"/>
          <w:sz w:val="28"/>
          <w:szCs w:val="28"/>
          <w:lang w:eastAsia="zh-CN"/>
        </w:rPr>
        <w:t xml:space="preserve"> </w:t>
      </w:r>
    </w:p>
    <w:p w14:paraId="1646428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u w:val="single"/>
          <w:lang w:eastAsia="zh-CN"/>
        </w:rPr>
      </w:pPr>
      <w:r>
        <w:rPr>
          <w:rFonts w:hint="eastAsia" w:ascii="仿宋" w:hAnsi="仿宋" w:eastAsia="仿宋" w:cs="仿宋"/>
          <w:color w:val="auto"/>
          <w:spacing w:val="0"/>
          <w:w w:val="100"/>
          <w:position w:val="0"/>
          <w:sz w:val="28"/>
          <w:szCs w:val="28"/>
          <w:lang w:eastAsia="zh-CN"/>
        </w:rPr>
        <w:t>电  话：</w:t>
      </w:r>
      <w:r>
        <w:rPr>
          <w:rFonts w:hint="eastAsia" w:ascii="仿宋" w:hAnsi="仿宋" w:eastAsia="仿宋" w:cs="仿宋"/>
          <w:snapToGrid w:val="0"/>
          <w:color w:val="auto"/>
          <w:spacing w:val="0"/>
          <w:w w:val="100"/>
          <w:kern w:val="2"/>
          <w:position w:val="0"/>
          <w:sz w:val="28"/>
          <w:szCs w:val="28"/>
          <w:u w:val="single"/>
          <w:lang w:val="en-US" w:eastAsia="zh-CN" w:bidi="ar-SA"/>
        </w:rPr>
        <w:t>13635581710</w:t>
      </w:r>
      <w:r>
        <w:rPr>
          <w:rFonts w:hint="eastAsia" w:ascii="仿宋" w:hAnsi="仿宋" w:eastAsia="仿宋" w:cs="仿宋"/>
          <w:color w:val="auto"/>
          <w:spacing w:val="0"/>
          <w:w w:val="100"/>
          <w:position w:val="0"/>
          <w:sz w:val="28"/>
          <w:szCs w:val="28"/>
          <w:u w:val="single"/>
          <w:lang w:val="en-US" w:eastAsia="zh-CN"/>
        </w:rPr>
        <w:t xml:space="preserve">、18055856918 </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 xml:space="preserve"> </w:t>
      </w:r>
    </w:p>
    <w:p w14:paraId="2EE323F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7" w:type="default"/>
          <w:pgSz w:w="11922" w:h="16849"/>
          <w:pgMar w:top="1440" w:right="1803" w:bottom="1440" w:left="1803" w:header="1134" w:footer="1253" w:gutter="0"/>
          <w:pgNumType w:fmt="decimal"/>
          <w:cols w:space="0" w:num="1"/>
          <w:rtlGutter w:val="0"/>
          <w:docGrid w:linePitch="0" w:charSpace="0"/>
        </w:sectPr>
      </w:pPr>
    </w:p>
    <w:p w14:paraId="05944A52">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color w:val="auto"/>
          <w:spacing w:val="0"/>
          <w:w w:val="100"/>
          <w:position w:val="0"/>
          <w:sz w:val="44"/>
          <w:szCs w:val="44"/>
        </w:rPr>
      </w:pPr>
      <w:bookmarkStart w:id="1" w:name="_Toc27469"/>
      <w:r>
        <w:rPr>
          <w:rFonts w:hint="eastAsia" w:ascii="仿宋" w:hAnsi="仿宋" w:eastAsia="仿宋" w:cs="仿宋"/>
          <w:b/>
          <w:bCs/>
          <w:color w:val="auto"/>
          <w:spacing w:val="0"/>
          <w:w w:val="100"/>
          <w:position w:val="0"/>
          <w:sz w:val="44"/>
          <w:szCs w:val="44"/>
        </w:rPr>
        <w:t>第二章 供应商须知</w:t>
      </w:r>
      <w:bookmarkEnd w:id="1"/>
    </w:p>
    <w:p w14:paraId="5942C64C">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2" w:name="_Toc21262"/>
      <w:r>
        <w:rPr>
          <w:rFonts w:hint="eastAsia" w:ascii="仿宋" w:hAnsi="仿宋" w:eastAsia="仿宋" w:cs="仿宋"/>
          <w:color w:val="auto"/>
          <w:spacing w:val="0"/>
          <w:w w:val="100"/>
          <w:position w:val="0"/>
          <w:sz w:val="28"/>
          <w:szCs w:val="28"/>
        </w:rPr>
        <w:t>一、供应商须知前附表</w:t>
      </w:r>
      <w:bookmarkEnd w:id="2"/>
    </w:p>
    <w:p w14:paraId="5CAE31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注：本表是本项目的具体要求，是对供应商须知的具体补充和修改，如有不一致，以本表为准。</w:t>
      </w:r>
    </w:p>
    <w:tbl>
      <w:tblPr>
        <w:tblStyle w:val="22"/>
        <w:tblW w:w="9015"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707"/>
        <w:gridCol w:w="6298"/>
      </w:tblGrid>
      <w:tr w14:paraId="4890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10" w:type="dxa"/>
            <w:vAlign w:val="center"/>
          </w:tcPr>
          <w:p w14:paraId="5B05B9D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条款号</w:t>
            </w:r>
          </w:p>
        </w:tc>
        <w:tc>
          <w:tcPr>
            <w:tcW w:w="1707" w:type="dxa"/>
            <w:vAlign w:val="center"/>
          </w:tcPr>
          <w:p w14:paraId="625CF70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条款名称</w:t>
            </w:r>
          </w:p>
        </w:tc>
        <w:tc>
          <w:tcPr>
            <w:tcW w:w="6298" w:type="dxa"/>
            <w:vAlign w:val="center"/>
          </w:tcPr>
          <w:p w14:paraId="5B166F6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内容、说明与要求</w:t>
            </w:r>
          </w:p>
        </w:tc>
      </w:tr>
      <w:tr w14:paraId="20BA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10" w:type="dxa"/>
            <w:vAlign w:val="center"/>
          </w:tcPr>
          <w:p w14:paraId="740F7163">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p>
        </w:tc>
        <w:tc>
          <w:tcPr>
            <w:tcW w:w="1707" w:type="dxa"/>
            <w:vAlign w:val="center"/>
          </w:tcPr>
          <w:p w14:paraId="06ED37E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征集人</w:t>
            </w:r>
          </w:p>
        </w:tc>
        <w:tc>
          <w:tcPr>
            <w:tcW w:w="6298" w:type="dxa"/>
            <w:vAlign w:val="center"/>
          </w:tcPr>
          <w:p w14:paraId="3CCC6B82">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阜阳市颍东区机关事务管理服务中心</w:t>
            </w:r>
          </w:p>
        </w:tc>
      </w:tr>
      <w:tr w14:paraId="2694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010" w:type="dxa"/>
            <w:vAlign w:val="center"/>
          </w:tcPr>
          <w:p w14:paraId="38F0078F">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p>
        </w:tc>
        <w:tc>
          <w:tcPr>
            <w:tcW w:w="1707" w:type="dxa"/>
            <w:vAlign w:val="center"/>
          </w:tcPr>
          <w:p w14:paraId="71B202E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采购代理机构</w:t>
            </w:r>
          </w:p>
        </w:tc>
        <w:tc>
          <w:tcPr>
            <w:tcW w:w="6298" w:type="dxa"/>
            <w:vAlign w:val="center"/>
          </w:tcPr>
          <w:p w14:paraId="6D96A4BC">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阜阳市晟景项目管理有限公司</w:t>
            </w:r>
          </w:p>
        </w:tc>
      </w:tr>
      <w:tr w14:paraId="28620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010" w:type="dxa"/>
            <w:vAlign w:val="center"/>
          </w:tcPr>
          <w:p w14:paraId="36C4F27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p>
        </w:tc>
        <w:tc>
          <w:tcPr>
            <w:tcW w:w="1707" w:type="dxa"/>
            <w:vAlign w:val="center"/>
          </w:tcPr>
          <w:p w14:paraId="54741CB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政府采购监督 管理部门</w:t>
            </w:r>
          </w:p>
        </w:tc>
        <w:tc>
          <w:tcPr>
            <w:tcW w:w="6298" w:type="dxa"/>
            <w:vAlign w:val="center"/>
          </w:tcPr>
          <w:p w14:paraId="77784C97">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阜阳市</w:t>
            </w: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颍东</w:t>
            </w: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财政局</w:t>
            </w:r>
          </w:p>
        </w:tc>
      </w:tr>
      <w:tr w14:paraId="160C2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1010" w:type="dxa"/>
            <w:vAlign w:val="center"/>
          </w:tcPr>
          <w:p w14:paraId="0290F5D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w:t>
            </w:r>
          </w:p>
        </w:tc>
        <w:tc>
          <w:tcPr>
            <w:tcW w:w="1707" w:type="dxa"/>
            <w:vAlign w:val="center"/>
          </w:tcPr>
          <w:p w14:paraId="2A635E3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是否允许联合 体响应</w:t>
            </w:r>
          </w:p>
        </w:tc>
        <w:tc>
          <w:tcPr>
            <w:tcW w:w="6298" w:type="dxa"/>
            <w:vAlign w:val="center"/>
          </w:tcPr>
          <w:p w14:paraId="404F82F4">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□是 ☑否</w:t>
            </w:r>
          </w:p>
        </w:tc>
      </w:tr>
      <w:tr w14:paraId="114BC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3" w:hRule="atLeast"/>
        </w:trPr>
        <w:tc>
          <w:tcPr>
            <w:tcW w:w="1010" w:type="dxa"/>
            <w:vAlign w:val="center"/>
          </w:tcPr>
          <w:p w14:paraId="7FF6439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w:t>
            </w:r>
          </w:p>
        </w:tc>
        <w:tc>
          <w:tcPr>
            <w:tcW w:w="1707" w:type="dxa"/>
            <w:vAlign w:val="center"/>
          </w:tcPr>
          <w:p w14:paraId="1DCE9C5C">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w:t>
            </w:r>
            <w:r>
              <w:rPr>
                <w:rFonts w:hint="eastAsia" w:ascii="仿宋" w:hAnsi="仿宋" w:eastAsia="仿宋" w:cs="仿宋"/>
                <w:color w:val="auto"/>
                <w:spacing w:val="0"/>
                <w:w w:val="100"/>
                <w:position w:val="0"/>
                <w:sz w:val="30"/>
                <w:szCs w:val="30"/>
              </w:rPr>
              <w:t>应</w:t>
            </w:r>
            <w:r>
              <w:rPr>
                <w:rFonts w:hint="eastAsia" w:ascii="仿宋" w:hAnsi="仿宋" w:eastAsia="仿宋" w:cs="仿宋"/>
                <w:color w:val="auto"/>
                <w:spacing w:val="0"/>
                <w:w w:val="100"/>
                <w:position w:val="0"/>
                <w:sz w:val="28"/>
                <w:szCs w:val="28"/>
              </w:rPr>
              <w:t>商质疑截 止时间</w:t>
            </w:r>
          </w:p>
        </w:tc>
        <w:tc>
          <w:tcPr>
            <w:tcW w:w="6298" w:type="dxa"/>
            <w:vAlign w:val="center"/>
          </w:tcPr>
          <w:p w14:paraId="52F1B7B1">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1、对征集文件提出质疑的，应当在征集文件公告期限届满之日起7个工作日内通过电子交易系统在线提出或书面提出。</w:t>
            </w:r>
          </w:p>
          <w:p w14:paraId="407D35C1">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特别提示：提出质疑时须注明项目名称及项目编号。</w:t>
            </w:r>
          </w:p>
          <w:p w14:paraId="572ACC5D">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2、供应商认为采购过程</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成交结果使自己的权益受到损害的</w:t>
            </w:r>
            <w:r>
              <w:rPr>
                <w:rFonts w:hint="eastAsia" w:ascii="仿宋" w:hAnsi="仿宋" w:eastAsia="仿宋" w:cs="仿宋"/>
                <w:color w:val="auto"/>
                <w:spacing w:val="0"/>
                <w:w w:val="100"/>
                <w:position w:val="0"/>
                <w:sz w:val="28"/>
                <w:szCs w:val="28"/>
                <w:lang w:val="en-US" w:eastAsia="zh-CN"/>
              </w:rPr>
              <w:t>,</w:t>
            </w:r>
            <w:r>
              <w:rPr>
                <w:rFonts w:hint="eastAsia" w:ascii="仿宋" w:hAnsi="仿宋" w:eastAsia="仿宋" w:cs="仿宋"/>
                <w:color w:val="auto"/>
                <w:spacing w:val="0"/>
                <w:w w:val="100"/>
                <w:position w:val="0"/>
                <w:sz w:val="28"/>
                <w:szCs w:val="28"/>
              </w:rPr>
              <w:t>可以在知道或者应知其权益受到损害之日起7个工作日内</w:t>
            </w:r>
            <w:r>
              <w:rPr>
                <w:rFonts w:hint="eastAsia" w:ascii="仿宋" w:hAnsi="仿宋" w:eastAsia="仿宋" w:cs="仿宋"/>
                <w:color w:val="auto"/>
                <w:spacing w:val="0"/>
                <w:w w:val="100"/>
                <w:position w:val="0"/>
                <w:sz w:val="28"/>
                <w:szCs w:val="28"/>
                <w:lang w:val="en-US" w:eastAsia="zh-CN"/>
              </w:rPr>
              <w:t>,</w:t>
            </w:r>
            <w:r>
              <w:rPr>
                <w:rFonts w:hint="eastAsia" w:ascii="仿宋" w:hAnsi="仿宋" w:eastAsia="仿宋" w:cs="仿宋"/>
                <w:color w:val="auto"/>
                <w:spacing w:val="0"/>
                <w:w w:val="100"/>
                <w:position w:val="0"/>
                <w:sz w:val="28"/>
                <w:szCs w:val="28"/>
              </w:rPr>
              <w:t>通过电子交易系统在线提出或书面提出。</w:t>
            </w:r>
          </w:p>
        </w:tc>
      </w:tr>
      <w:tr w14:paraId="1316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10" w:type="dxa"/>
            <w:vAlign w:val="center"/>
          </w:tcPr>
          <w:p w14:paraId="1961B41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w:t>
            </w:r>
          </w:p>
        </w:tc>
        <w:tc>
          <w:tcPr>
            <w:tcW w:w="1707" w:type="dxa"/>
            <w:vAlign w:val="center"/>
          </w:tcPr>
          <w:p w14:paraId="41B3FBE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响应保证金</w:t>
            </w:r>
          </w:p>
        </w:tc>
        <w:tc>
          <w:tcPr>
            <w:tcW w:w="6298" w:type="dxa"/>
            <w:vAlign w:val="center"/>
          </w:tcPr>
          <w:p w14:paraId="734E7249">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免收</w:t>
            </w:r>
          </w:p>
        </w:tc>
      </w:tr>
      <w:tr w14:paraId="12C32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10" w:type="dxa"/>
            <w:vAlign w:val="center"/>
          </w:tcPr>
          <w:p w14:paraId="70F5C67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w:t>
            </w:r>
          </w:p>
        </w:tc>
        <w:tc>
          <w:tcPr>
            <w:tcW w:w="1707" w:type="dxa"/>
            <w:vAlign w:val="center"/>
          </w:tcPr>
          <w:p w14:paraId="55BECD53">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征集有效期</w:t>
            </w:r>
          </w:p>
        </w:tc>
        <w:tc>
          <w:tcPr>
            <w:tcW w:w="6298" w:type="dxa"/>
            <w:vAlign w:val="center"/>
          </w:tcPr>
          <w:p w14:paraId="64C836C1">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120日历天</w:t>
            </w:r>
          </w:p>
        </w:tc>
      </w:tr>
      <w:tr w14:paraId="2E49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10" w:type="dxa"/>
            <w:vAlign w:val="center"/>
          </w:tcPr>
          <w:p w14:paraId="37C8616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8</w:t>
            </w:r>
          </w:p>
        </w:tc>
        <w:tc>
          <w:tcPr>
            <w:tcW w:w="1707" w:type="dxa"/>
            <w:vAlign w:val="center"/>
          </w:tcPr>
          <w:p w14:paraId="7C9E7BB1">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征集文件要求</w:t>
            </w:r>
          </w:p>
        </w:tc>
        <w:tc>
          <w:tcPr>
            <w:tcW w:w="6298" w:type="dxa"/>
            <w:vAlign w:val="center"/>
          </w:tcPr>
          <w:p w14:paraId="321AA776">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加密电子征集响应文件</w:t>
            </w:r>
          </w:p>
        </w:tc>
      </w:tr>
      <w:tr w14:paraId="77D3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1010" w:type="dxa"/>
            <w:vAlign w:val="center"/>
          </w:tcPr>
          <w:p w14:paraId="6C78EAE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9</w:t>
            </w:r>
          </w:p>
        </w:tc>
        <w:tc>
          <w:tcPr>
            <w:tcW w:w="1707" w:type="dxa"/>
            <w:vAlign w:val="center"/>
          </w:tcPr>
          <w:p w14:paraId="1977703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征集响应截止 时间</w:t>
            </w:r>
          </w:p>
        </w:tc>
        <w:tc>
          <w:tcPr>
            <w:tcW w:w="6298" w:type="dxa"/>
            <w:vAlign w:val="center"/>
          </w:tcPr>
          <w:p w14:paraId="4A2C36D4">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详见征集公告</w:t>
            </w:r>
          </w:p>
        </w:tc>
      </w:tr>
      <w:tr w14:paraId="757A0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010" w:type="dxa"/>
            <w:vAlign w:val="center"/>
          </w:tcPr>
          <w:p w14:paraId="1C13A69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10</w:t>
            </w:r>
          </w:p>
        </w:tc>
        <w:tc>
          <w:tcPr>
            <w:tcW w:w="1707" w:type="dxa"/>
            <w:vAlign w:val="center"/>
          </w:tcPr>
          <w:p w14:paraId="293C770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响应文件解密 时间</w:t>
            </w:r>
          </w:p>
        </w:tc>
        <w:tc>
          <w:tcPr>
            <w:tcW w:w="6298" w:type="dxa"/>
            <w:vAlign w:val="center"/>
          </w:tcPr>
          <w:p w14:paraId="574BE9CE">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投标截止时间后 60 分钟内(以电子交易系统解密倒计时为准)</w:t>
            </w:r>
          </w:p>
        </w:tc>
      </w:tr>
      <w:tr w14:paraId="65F4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010" w:type="dxa"/>
            <w:vAlign w:val="center"/>
          </w:tcPr>
          <w:p w14:paraId="3913EB49">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11</w:t>
            </w:r>
          </w:p>
        </w:tc>
        <w:tc>
          <w:tcPr>
            <w:tcW w:w="1707" w:type="dxa"/>
            <w:vAlign w:val="center"/>
          </w:tcPr>
          <w:p w14:paraId="3F5F451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征集时间</w:t>
            </w:r>
          </w:p>
        </w:tc>
        <w:tc>
          <w:tcPr>
            <w:tcW w:w="6298" w:type="dxa"/>
            <w:vAlign w:val="center"/>
          </w:tcPr>
          <w:p w14:paraId="392C566C">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详见征集公告</w:t>
            </w:r>
          </w:p>
        </w:tc>
      </w:tr>
      <w:tr w14:paraId="5EC6F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10" w:type="dxa"/>
            <w:vAlign w:val="center"/>
          </w:tcPr>
          <w:p w14:paraId="560AA90C">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12</w:t>
            </w:r>
          </w:p>
        </w:tc>
        <w:tc>
          <w:tcPr>
            <w:tcW w:w="1707" w:type="dxa"/>
            <w:vAlign w:val="center"/>
          </w:tcPr>
          <w:p w14:paraId="5369838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征集地点</w:t>
            </w:r>
          </w:p>
        </w:tc>
        <w:tc>
          <w:tcPr>
            <w:tcW w:w="6298" w:type="dxa"/>
            <w:vAlign w:val="center"/>
          </w:tcPr>
          <w:p w14:paraId="0EC23E11">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详见征集公告</w:t>
            </w:r>
          </w:p>
        </w:tc>
      </w:tr>
      <w:tr w14:paraId="752BC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2" w:hRule="atLeast"/>
        </w:trPr>
        <w:tc>
          <w:tcPr>
            <w:tcW w:w="1010" w:type="dxa"/>
            <w:vAlign w:val="center"/>
          </w:tcPr>
          <w:p w14:paraId="2135E2E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13</w:t>
            </w:r>
          </w:p>
        </w:tc>
        <w:tc>
          <w:tcPr>
            <w:tcW w:w="1707" w:type="dxa"/>
            <w:vAlign w:val="center"/>
          </w:tcPr>
          <w:p w14:paraId="7B74EC8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评审办法</w:t>
            </w:r>
          </w:p>
        </w:tc>
        <w:tc>
          <w:tcPr>
            <w:tcW w:w="6298" w:type="dxa"/>
            <w:vAlign w:val="center"/>
          </w:tcPr>
          <w:p w14:paraId="1D31D29F">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第一阶段入围供应商的评审方法为质量优先法（指对满足采购需求且响应报价不超过最高限制单价的</w:t>
            </w:r>
            <w:r>
              <w:rPr>
                <w:rFonts w:hint="eastAsia" w:ascii="仿宋" w:hAnsi="仿宋" w:eastAsia="仿宋" w:cs="仿宋"/>
                <w:color w:val="auto"/>
                <w:spacing w:val="0"/>
                <w:w w:val="100"/>
                <w:position w:val="0"/>
                <w:sz w:val="28"/>
                <w:szCs w:val="28"/>
                <w:lang w:val="en-US" w:eastAsia="zh-CN"/>
              </w:rPr>
              <w:t>服务</w:t>
            </w:r>
            <w:r>
              <w:rPr>
                <w:rFonts w:hint="eastAsia" w:ascii="仿宋" w:hAnsi="仿宋" w:eastAsia="仿宋" w:cs="仿宋"/>
                <w:color w:val="auto"/>
                <w:spacing w:val="0"/>
                <w:w w:val="100"/>
                <w:position w:val="0"/>
                <w:sz w:val="28"/>
                <w:szCs w:val="28"/>
              </w:rPr>
              <w:t>进行质量综合评分</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按照质量评分从高到低排序，根据征集文件规定的淘汰率或者入围单位数量上限，确定入围单位的评审方法）。</w:t>
            </w:r>
          </w:p>
        </w:tc>
      </w:tr>
      <w:tr w14:paraId="72428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05C1D82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14</w:t>
            </w:r>
          </w:p>
        </w:tc>
        <w:tc>
          <w:tcPr>
            <w:tcW w:w="1707" w:type="dxa"/>
            <w:vAlign w:val="center"/>
          </w:tcPr>
          <w:p w14:paraId="49652A7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投标报价扣除(本项目不采用)</w:t>
            </w:r>
          </w:p>
        </w:tc>
        <w:tc>
          <w:tcPr>
            <w:tcW w:w="6298" w:type="dxa"/>
            <w:vAlign w:val="center"/>
          </w:tcPr>
          <w:p w14:paraId="50504859">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(1)小微企业价格扣除： / %(不专门面向中小企业采购部分享受价格扣除。(扣除比例在 10%-20%间，由</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自行选择)</w:t>
            </w:r>
          </w:p>
          <w:p w14:paraId="59C31B5A">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(2)监狱企业价格扣除：同小微企业。</w:t>
            </w:r>
          </w:p>
          <w:p w14:paraId="4FDCDC64">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(3)残疾人福利性单位价格扣除：同小微企业。</w:t>
            </w:r>
          </w:p>
          <w:p w14:paraId="653B15E9">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(4)符合条件的联合体价格扣除： / %。(扣除比例在 2%-3%间，由</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自行选择。联合协议约定小微企业的合同份额占合同总金额 30% 以上）。</w:t>
            </w:r>
          </w:p>
          <w:p w14:paraId="76D8C5BE">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(5)符合条件的大中型企业价格扣除：/ % (扣除比例在 4%-6%间，由</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自行选择。分包意向协议约定小微企业的合同份额占合同总金额30%以上）。</w:t>
            </w:r>
          </w:p>
        </w:tc>
      </w:tr>
      <w:tr w14:paraId="13E19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1010" w:type="dxa"/>
            <w:vAlign w:val="center"/>
          </w:tcPr>
          <w:p w14:paraId="2D3222E5">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15</w:t>
            </w:r>
          </w:p>
        </w:tc>
        <w:tc>
          <w:tcPr>
            <w:tcW w:w="1707" w:type="dxa"/>
            <w:vAlign w:val="center"/>
          </w:tcPr>
          <w:p w14:paraId="683F26D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确定第一阶段入围供应商数量及原则</w:t>
            </w:r>
          </w:p>
        </w:tc>
        <w:tc>
          <w:tcPr>
            <w:tcW w:w="6298" w:type="dxa"/>
            <w:vAlign w:val="center"/>
          </w:tcPr>
          <w:p w14:paraId="1C918FCB">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最高上限 2 家，评审委员会按照征集文件中规定的各项因素进行综合评审后，以评审总得分高低的顺序依次确定入围单位。淘汰比例不低于 20%，且至少淘汰一家供应商。</w:t>
            </w:r>
          </w:p>
        </w:tc>
      </w:tr>
      <w:tr w14:paraId="16E0C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32BF9A9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16</w:t>
            </w:r>
          </w:p>
        </w:tc>
        <w:tc>
          <w:tcPr>
            <w:tcW w:w="1707" w:type="dxa"/>
            <w:vAlign w:val="center"/>
          </w:tcPr>
          <w:p w14:paraId="480B4D9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确定第二阶段成 交供应商</w:t>
            </w:r>
          </w:p>
        </w:tc>
        <w:tc>
          <w:tcPr>
            <w:tcW w:w="6298" w:type="dxa"/>
            <w:vAlign w:val="center"/>
          </w:tcPr>
          <w:p w14:paraId="1E975A7A">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000000" w:themeColor="text1"/>
                <w:spacing w:val="0"/>
                <w:w w:val="100"/>
                <w:position w:val="0"/>
                <w:sz w:val="28"/>
                <w:szCs w:val="28"/>
                <w14:textFill>
                  <w14:solidFill>
                    <w14:schemeClr w14:val="tx1"/>
                  </w14:solidFill>
                </w14:textFill>
              </w:rPr>
              <w:t>详见框架协议</w:t>
            </w:r>
          </w:p>
        </w:tc>
      </w:tr>
      <w:tr w14:paraId="4CDE9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1010" w:type="dxa"/>
            <w:vAlign w:val="center"/>
          </w:tcPr>
          <w:p w14:paraId="18B94CFF">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17</w:t>
            </w:r>
          </w:p>
        </w:tc>
        <w:tc>
          <w:tcPr>
            <w:tcW w:w="1707" w:type="dxa"/>
            <w:vAlign w:val="center"/>
          </w:tcPr>
          <w:p w14:paraId="06C8B311">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随成交公告同时公告的成交人的征集响应文件内容</w:t>
            </w:r>
          </w:p>
        </w:tc>
        <w:tc>
          <w:tcPr>
            <w:tcW w:w="6298" w:type="dxa"/>
            <w:vAlign w:val="center"/>
          </w:tcPr>
          <w:p w14:paraId="4A7144CE">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(1)中小企业声明函；(如有)</w:t>
            </w:r>
          </w:p>
          <w:p w14:paraId="1FAAF101">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(2)残疾人福利性单位声明函；(如有)</w:t>
            </w:r>
          </w:p>
          <w:p w14:paraId="527F21FB">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(3)征集文件中规定进行公示的其他内容。(如有)</w:t>
            </w:r>
          </w:p>
        </w:tc>
      </w:tr>
      <w:tr w14:paraId="138F6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trPr>
        <w:tc>
          <w:tcPr>
            <w:tcW w:w="1010" w:type="dxa"/>
            <w:vAlign w:val="center"/>
          </w:tcPr>
          <w:p w14:paraId="78F4299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18</w:t>
            </w:r>
          </w:p>
        </w:tc>
        <w:tc>
          <w:tcPr>
            <w:tcW w:w="1707" w:type="dxa"/>
            <w:vAlign w:val="center"/>
          </w:tcPr>
          <w:p w14:paraId="3A9D121C">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中标(成交)通知书发出的形式</w:t>
            </w:r>
          </w:p>
        </w:tc>
        <w:tc>
          <w:tcPr>
            <w:tcW w:w="6298" w:type="dxa"/>
            <w:vAlign w:val="center"/>
          </w:tcPr>
          <w:p w14:paraId="5A3AFDDB">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 xml:space="preserve">书面 </w:t>
            </w:r>
            <w:r>
              <w:rPr>
                <w:rFonts w:hint="eastAsia"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数据电文</w:t>
            </w:r>
          </w:p>
        </w:tc>
      </w:tr>
      <w:tr w14:paraId="72E85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10" w:type="dxa"/>
            <w:vAlign w:val="center"/>
          </w:tcPr>
          <w:p w14:paraId="1C5DA72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19</w:t>
            </w:r>
          </w:p>
        </w:tc>
        <w:tc>
          <w:tcPr>
            <w:tcW w:w="1707" w:type="dxa"/>
            <w:vAlign w:val="center"/>
          </w:tcPr>
          <w:p w14:paraId="51C0E4F3">
            <w:pPr>
              <w:pStyle w:val="23"/>
              <w:pageBreakBefore w:val="0"/>
              <w:kinsoku w:val="0"/>
              <w:wordWrap/>
              <w:overflowPunct/>
              <w:topLinePunct w:val="0"/>
              <w:bidi w:val="0"/>
              <w:adjustRightInd w:val="0"/>
              <w:snapToGrid w:val="0"/>
              <w:spacing w:line="360" w:lineRule="auto"/>
              <w:ind w:left="0" w:leftChars="0" w:right="0" w:rightChars="0" w:hanging="554"/>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告知成交结果的形式</w:t>
            </w:r>
          </w:p>
        </w:tc>
        <w:tc>
          <w:tcPr>
            <w:tcW w:w="6298" w:type="dxa"/>
            <w:vAlign w:val="center"/>
          </w:tcPr>
          <w:p w14:paraId="73F13265">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☑供应商自行登录电子交易系统查看</w:t>
            </w:r>
          </w:p>
          <w:p w14:paraId="3C1B73C0">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□评审现场告知</w:t>
            </w:r>
          </w:p>
        </w:tc>
      </w:tr>
      <w:tr w14:paraId="3E682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10" w:type="dxa"/>
            <w:vAlign w:val="center"/>
          </w:tcPr>
          <w:p w14:paraId="481CA000">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20</w:t>
            </w:r>
          </w:p>
        </w:tc>
        <w:tc>
          <w:tcPr>
            <w:tcW w:w="1707" w:type="dxa"/>
            <w:vAlign w:val="center"/>
          </w:tcPr>
          <w:p w14:paraId="59B5595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履约保证金</w:t>
            </w:r>
          </w:p>
        </w:tc>
        <w:tc>
          <w:tcPr>
            <w:tcW w:w="6298" w:type="dxa"/>
            <w:vAlign w:val="center"/>
          </w:tcPr>
          <w:p w14:paraId="755171F4">
            <w:pPr>
              <w:keepNext w:val="0"/>
              <w:keepLines w:val="0"/>
              <w:pageBreakBefore w:val="0"/>
              <w:widowControl/>
              <w:kinsoku w:val="0"/>
              <w:wordWrap/>
              <w:overflowPunct/>
              <w:topLinePunct w:val="0"/>
              <w:autoSpaceDE/>
              <w:autoSpaceDN/>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（1）金额：遵照《阜阳市财政局阜阳市公共资源交易监督管理局关于进一步规范政府采购管理支持企业发展的通知》（财购〔2021〕178号）执行</w:t>
            </w:r>
          </w:p>
          <w:p w14:paraId="0222BE42">
            <w:pPr>
              <w:keepNext w:val="0"/>
              <w:keepLines w:val="0"/>
              <w:pageBreakBefore w:val="0"/>
              <w:widowControl/>
              <w:kinsoku w:val="0"/>
              <w:wordWrap/>
              <w:overflowPunct/>
              <w:topLinePunct w:val="0"/>
              <w:autoSpaceDE/>
              <w:autoSpaceDN/>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eastAsia="zh-CN" w:bidi="ar-SA"/>
              </w:rPr>
              <w:t>☑</w:t>
            </w:r>
            <w:r>
              <w:rPr>
                <w:rFonts w:hint="eastAsia" w:ascii="仿宋" w:hAnsi="仿宋" w:eastAsia="仿宋" w:cs="仿宋"/>
                <w:color w:val="auto"/>
                <w:spacing w:val="0"/>
                <w:w w:val="100"/>
                <w:kern w:val="2"/>
                <w:position w:val="0"/>
                <w:sz w:val="28"/>
                <w:szCs w:val="28"/>
                <w:lang w:val="en-US" w:bidi="ar-SA"/>
              </w:rPr>
              <w:t>免收</w:t>
            </w:r>
          </w:p>
          <w:p w14:paraId="583A4C54">
            <w:pPr>
              <w:keepNext w:val="0"/>
              <w:keepLines w:val="0"/>
              <w:pageBreakBefore w:val="0"/>
              <w:widowControl/>
              <w:kinsoku w:val="0"/>
              <w:wordWrap/>
              <w:overflowPunct/>
              <w:topLinePunct w:val="0"/>
              <w:autoSpaceDE/>
              <w:autoSpaceDN/>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□合同价的</w:t>
            </w:r>
            <w:r>
              <w:rPr>
                <w:rFonts w:hint="eastAsia" w:ascii="仿宋" w:hAnsi="仿宋" w:eastAsia="仿宋" w:cs="仿宋"/>
                <w:b/>
                <w:color w:val="auto"/>
                <w:spacing w:val="0"/>
                <w:w w:val="100"/>
                <w:kern w:val="2"/>
                <w:position w:val="0"/>
                <w:sz w:val="28"/>
                <w:szCs w:val="28"/>
                <w:u w:val="single"/>
                <w:lang w:val="en-US" w:bidi="ar-SA"/>
              </w:rPr>
              <w:t xml:space="preserve">         </w:t>
            </w:r>
            <w:r>
              <w:rPr>
                <w:rFonts w:hint="eastAsia" w:ascii="仿宋" w:hAnsi="仿宋" w:eastAsia="仿宋" w:cs="仿宋"/>
                <w:color w:val="auto"/>
                <w:spacing w:val="0"/>
                <w:w w:val="100"/>
                <w:kern w:val="2"/>
                <w:position w:val="0"/>
                <w:sz w:val="28"/>
                <w:szCs w:val="28"/>
                <w:lang w:val="en-US" w:bidi="ar-SA"/>
              </w:rPr>
              <w:t>%</w:t>
            </w:r>
          </w:p>
          <w:p w14:paraId="2D99E9ED">
            <w:pPr>
              <w:keepNext w:val="0"/>
              <w:keepLines w:val="0"/>
              <w:pageBreakBefore w:val="0"/>
              <w:widowControl/>
              <w:kinsoku w:val="0"/>
              <w:wordWrap/>
              <w:overflowPunct/>
              <w:topLinePunct w:val="0"/>
              <w:autoSpaceDE/>
              <w:autoSpaceDN/>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□定额收取：人民币</w:t>
            </w:r>
            <w:r>
              <w:rPr>
                <w:rFonts w:hint="eastAsia" w:ascii="仿宋" w:hAnsi="仿宋" w:eastAsia="仿宋" w:cs="仿宋"/>
                <w:b/>
                <w:color w:val="auto"/>
                <w:spacing w:val="0"/>
                <w:w w:val="100"/>
                <w:kern w:val="2"/>
                <w:position w:val="0"/>
                <w:sz w:val="28"/>
                <w:szCs w:val="28"/>
                <w:u w:val="single"/>
                <w:lang w:val="en-US" w:bidi="ar-SA"/>
              </w:rPr>
              <w:t xml:space="preserve">         </w:t>
            </w:r>
            <w:r>
              <w:rPr>
                <w:rFonts w:hint="eastAsia" w:ascii="仿宋" w:hAnsi="仿宋" w:eastAsia="仿宋" w:cs="仿宋"/>
                <w:color w:val="auto"/>
                <w:spacing w:val="0"/>
                <w:w w:val="100"/>
                <w:kern w:val="2"/>
                <w:position w:val="0"/>
                <w:sz w:val="28"/>
                <w:szCs w:val="28"/>
                <w:lang w:val="en-US" w:bidi="ar-SA"/>
              </w:rPr>
              <w:t>元</w:t>
            </w:r>
          </w:p>
          <w:p w14:paraId="40E71C5F">
            <w:pPr>
              <w:keepNext w:val="0"/>
              <w:keepLines w:val="0"/>
              <w:pageBreakBefore w:val="0"/>
              <w:widowControl/>
              <w:kinsoku w:val="0"/>
              <w:wordWrap/>
              <w:overflowPunct/>
              <w:topLinePunct w:val="0"/>
              <w:autoSpaceDE/>
              <w:autoSpaceDN/>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（2）支付方式：</w:t>
            </w:r>
          </w:p>
          <w:p w14:paraId="0A3995BA">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rPr>
              <w:t>□转账/电汇 □支票 □汇票 □本票 □保函</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kern w:val="2"/>
                <w:position w:val="0"/>
                <w:sz w:val="28"/>
                <w:szCs w:val="28"/>
                <w:lang w:val="en-US" w:bidi="ar-SA"/>
              </w:rPr>
              <w:t>□保</w:t>
            </w:r>
            <w:r>
              <w:rPr>
                <w:rFonts w:hint="eastAsia" w:ascii="仿宋" w:hAnsi="仿宋" w:eastAsia="仿宋" w:cs="仿宋"/>
                <w:color w:val="auto"/>
                <w:spacing w:val="0"/>
                <w:w w:val="100"/>
                <w:kern w:val="2"/>
                <w:position w:val="0"/>
                <w:sz w:val="28"/>
                <w:szCs w:val="28"/>
                <w:lang w:val="en-US" w:eastAsia="zh-CN" w:bidi="ar-SA"/>
              </w:rPr>
              <w:t>险</w:t>
            </w:r>
          </w:p>
          <w:p w14:paraId="2E49820B">
            <w:pPr>
              <w:keepNext w:val="0"/>
              <w:keepLines w:val="0"/>
              <w:pageBreakBefore w:val="0"/>
              <w:widowControl/>
              <w:kinsoku w:val="0"/>
              <w:wordWrap/>
              <w:overflowPunct/>
              <w:topLinePunct w:val="0"/>
              <w:autoSpaceDE/>
              <w:autoSpaceDN/>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 xml:space="preserve">其他要求：             </w:t>
            </w:r>
          </w:p>
          <w:p w14:paraId="16ECE7E9">
            <w:pPr>
              <w:keepNext w:val="0"/>
              <w:keepLines w:val="0"/>
              <w:pageBreakBefore w:val="0"/>
              <w:widowControl/>
              <w:kinsoku w:val="0"/>
              <w:wordWrap/>
              <w:overflowPunct/>
              <w:topLinePunct w:val="0"/>
              <w:autoSpaceDE/>
              <w:autoSpaceDN/>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 xml:space="preserve">（3）收取单位：             </w:t>
            </w:r>
          </w:p>
          <w:p w14:paraId="7C4DFF57">
            <w:pPr>
              <w:keepNext w:val="0"/>
              <w:keepLines w:val="0"/>
              <w:pageBreakBefore w:val="0"/>
              <w:widowControl/>
              <w:kinsoku w:val="0"/>
              <w:wordWrap/>
              <w:overflowPunct/>
              <w:topLinePunct w:val="0"/>
              <w:autoSpaceDE/>
              <w:autoSpaceDN/>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 xml:space="preserve">（4）缴纳时间：             </w:t>
            </w:r>
          </w:p>
          <w:p w14:paraId="4FDF0A0D">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kern w:val="2"/>
                <w:position w:val="0"/>
                <w:sz w:val="28"/>
                <w:szCs w:val="28"/>
                <w:lang w:val="en-US" w:bidi="ar-SA"/>
              </w:rPr>
              <w:t>（5）退还时间：</w:t>
            </w:r>
            <w:r>
              <w:rPr>
                <w:rFonts w:hint="eastAsia" w:ascii="仿宋" w:hAnsi="仿宋" w:eastAsia="仿宋" w:cs="仿宋"/>
                <w:color w:val="auto"/>
                <w:spacing w:val="0"/>
                <w:w w:val="100"/>
                <w:kern w:val="2"/>
                <w:position w:val="0"/>
                <w:sz w:val="21"/>
                <w:szCs w:val="21"/>
                <w:lang w:val="en-US" w:bidi="ar-SA"/>
              </w:rPr>
              <w:t xml:space="preserve">      </w:t>
            </w:r>
          </w:p>
        </w:tc>
      </w:tr>
      <w:tr w14:paraId="13DB2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1" w:hRule="atLeast"/>
        </w:trPr>
        <w:tc>
          <w:tcPr>
            <w:tcW w:w="1010" w:type="dxa"/>
            <w:vAlign w:val="center"/>
          </w:tcPr>
          <w:p w14:paraId="699584F6">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w:t>
            </w:r>
          </w:p>
        </w:tc>
        <w:tc>
          <w:tcPr>
            <w:tcW w:w="1707" w:type="dxa"/>
            <w:vAlign w:val="center"/>
          </w:tcPr>
          <w:p w14:paraId="76D2EAB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中标服务费</w:t>
            </w:r>
          </w:p>
        </w:tc>
        <w:tc>
          <w:tcPr>
            <w:tcW w:w="6298" w:type="dxa"/>
            <w:vAlign w:val="center"/>
          </w:tcPr>
          <w:p w14:paraId="25E907F3">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本项目的下列费用由中标人(成交人)支付。</w:t>
            </w:r>
          </w:p>
          <w:p w14:paraId="74792AC7">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1、采购代理机构代理费：</w:t>
            </w:r>
            <w:r>
              <w:rPr>
                <w:rFonts w:hint="eastAsia" w:ascii="仿宋" w:hAnsi="仿宋" w:eastAsia="仿宋" w:cs="仿宋"/>
                <w:color w:val="auto"/>
                <w:spacing w:val="0"/>
                <w:w w:val="100"/>
                <w:position w:val="0"/>
                <w:sz w:val="28"/>
                <w:szCs w:val="28"/>
                <w:lang w:val="en-US" w:eastAsia="zh-CN"/>
              </w:rPr>
              <w:t>4000.00元每家</w:t>
            </w:r>
            <w:r>
              <w:rPr>
                <w:rFonts w:hint="eastAsia" w:ascii="仿宋" w:hAnsi="仿宋" w:eastAsia="仿宋" w:cs="仿宋"/>
                <w:color w:val="auto"/>
                <w:spacing w:val="0"/>
                <w:w w:val="100"/>
                <w:position w:val="0"/>
                <w:sz w:val="28"/>
                <w:szCs w:val="28"/>
              </w:rPr>
              <w:t>。</w:t>
            </w:r>
          </w:p>
          <w:p w14:paraId="64D279AE">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2、成交人在成交通知书办理前，一次性付清。</w:t>
            </w:r>
          </w:p>
        </w:tc>
      </w:tr>
      <w:tr w14:paraId="41B4E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1010" w:type="dxa"/>
            <w:vAlign w:val="center"/>
          </w:tcPr>
          <w:p w14:paraId="73F40096">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22</w:t>
            </w:r>
          </w:p>
        </w:tc>
        <w:tc>
          <w:tcPr>
            <w:tcW w:w="1707" w:type="dxa"/>
            <w:vAlign w:val="center"/>
          </w:tcPr>
          <w:p w14:paraId="13BDAD5B">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质疑函递交的方式</w:t>
            </w:r>
          </w:p>
        </w:tc>
        <w:tc>
          <w:tcPr>
            <w:tcW w:w="6298" w:type="dxa"/>
            <w:vAlign w:val="center"/>
          </w:tcPr>
          <w:p w14:paraId="475350F5">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2"/>
                <w:position w:val="0"/>
                <w:sz w:val="28"/>
                <w:szCs w:val="28"/>
                <w:lang w:val="en-US" w:eastAsia="en-US" w:bidi="ar-SA"/>
              </w:rPr>
            </w:pPr>
            <w:r>
              <w:rPr>
                <w:rFonts w:hint="eastAsia" w:ascii="仿宋" w:hAnsi="仿宋" w:eastAsia="仿宋" w:cs="仿宋"/>
                <w:snapToGrid w:val="0"/>
                <w:color w:val="auto"/>
                <w:spacing w:val="0"/>
                <w:w w:val="100"/>
                <w:kern w:val="2"/>
                <w:position w:val="0"/>
                <w:sz w:val="28"/>
                <w:szCs w:val="28"/>
                <w:lang w:val="en-US" w:eastAsia="en-US" w:bidi="ar-SA"/>
              </w:rPr>
              <w:t>递交方式：书面提出</w:t>
            </w:r>
          </w:p>
          <w:p w14:paraId="12E65D9B">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2"/>
                <w:position w:val="0"/>
                <w:sz w:val="28"/>
                <w:szCs w:val="28"/>
                <w:lang w:val="en-US" w:eastAsia="zh-CN" w:bidi="ar-SA"/>
              </w:rPr>
            </w:pPr>
            <w:r>
              <w:rPr>
                <w:rFonts w:hint="eastAsia" w:ascii="仿宋" w:hAnsi="仿宋" w:eastAsia="仿宋" w:cs="仿宋"/>
                <w:snapToGrid w:val="0"/>
                <w:color w:val="auto"/>
                <w:spacing w:val="0"/>
                <w:w w:val="100"/>
                <w:kern w:val="2"/>
                <w:position w:val="0"/>
                <w:sz w:val="28"/>
                <w:szCs w:val="28"/>
                <w:lang w:val="en-US" w:eastAsia="en-US" w:bidi="ar-SA"/>
              </w:rPr>
              <w:t>接收部门</w:t>
            </w:r>
            <w:r>
              <w:rPr>
                <w:rFonts w:hint="eastAsia" w:cs="仿宋"/>
                <w:snapToGrid w:val="0"/>
                <w:color w:val="auto"/>
                <w:spacing w:val="0"/>
                <w:w w:val="100"/>
                <w:kern w:val="2"/>
                <w:position w:val="0"/>
                <w:sz w:val="28"/>
                <w:szCs w:val="28"/>
                <w:lang w:val="en-US" w:eastAsia="zh-CN" w:bidi="ar-SA"/>
              </w:rPr>
              <w:t>：阜阳市颍东区机关事务管理服务中心</w:t>
            </w:r>
            <w:r>
              <w:rPr>
                <w:rFonts w:hint="eastAsia" w:ascii="仿宋" w:hAnsi="仿宋" w:eastAsia="仿宋" w:cs="仿宋"/>
                <w:snapToGrid w:val="0"/>
                <w:color w:val="auto"/>
                <w:spacing w:val="0"/>
                <w:w w:val="100"/>
                <w:kern w:val="2"/>
                <w:position w:val="0"/>
                <w:sz w:val="28"/>
                <w:szCs w:val="28"/>
                <w:lang w:val="en-US" w:eastAsia="en-US" w:bidi="ar-SA"/>
              </w:rPr>
              <w:t>、</w:t>
            </w:r>
            <w:r>
              <w:rPr>
                <w:rFonts w:hint="eastAsia" w:ascii="仿宋" w:hAnsi="仿宋" w:eastAsia="仿宋" w:cs="仿宋"/>
                <w:snapToGrid w:val="0"/>
                <w:color w:val="auto"/>
                <w:spacing w:val="0"/>
                <w:w w:val="100"/>
                <w:kern w:val="2"/>
                <w:position w:val="0"/>
                <w:sz w:val="28"/>
                <w:szCs w:val="28"/>
                <w:lang w:val="en-US" w:eastAsia="zh-CN" w:bidi="ar-SA"/>
              </w:rPr>
              <w:t>阜阳市晟景项目管理有限公司</w:t>
            </w:r>
          </w:p>
          <w:p w14:paraId="7C7E99C3">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2"/>
                <w:position w:val="0"/>
                <w:sz w:val="28"/>
                <w:szCs w:val="28"/>
                <w:lang w:val="en-US" w:eastAsia="zh-CN" w:bidi="ar-SA"/>
              </w:rPr>
            </w:pPr>
            <w:r>
              <w:rPr>
                <w:rFonts w:hint="eastAsia" w:ascii="仿宋" w:hAnsi="仿宋" w:eastAsia="仿宋" w:cs="仿宋"/>
                <w:snapToGrid w:val="0"/>
                <w:color w:val="auto"/>
                <w:spacing w:val="0"/>
                <w:w w:val="100"/>
                <w:kern w:val="2"/>
                <w:position w:val="0"/>
                <w:sz w:val="28"/>
                <w:szCs w:val="28"/>
                <w:lang w:val="en-US" w:eastAsia="en-US" w:bidi="ar-SA"/>
              </w:rPr>
              <w:t>联系电话：</w:t>
            </w:r>
            <w:r>
              <w:rPr>
                <w:rFonts w:hint="eastAsia" w:cs="仿宋"/>
                <w:snapToGrid w:val="0"/>
                <w:color w:val="auto"/>
                <w:spacing w:val="0"/>
                <w:w w:val="100"/>
                <w:kern w:val="2"/>
                <w:position w:val="0"/>
                <w:sz w:val="28"/>
                <w:szCs w:val="28"/>
                <w:lang w:val="en-US" w:eastAsia="zh-CN" w:bidi="ar-SA"/>
              </w:rPr>
              <w:t>王亮13635581710</w:t>
            </w:r>
            <w:r>
              <w:rPr>
                <w:rFonts w:hint="eastAsia" w:ascii="仿宋" w:hAnsi="仿宋" w:eastAsia="仿宋" w:cs="仿宋"/>
                <w:snapToGrid w:val="0"/>
                <w:color w:val="auto"/>
                <w:spacing w:val="0"/>
                <w:w w:val="100"/>
                <w:kern w:val="2"/>
                <w:position w:val="0"/>
                <w:sz w:val="28"/>
                <w:szCs w:val="28"/>
                <w:lang w:val="en-US" w:eastAsia="en-US" w:bidi="ar-SA"/>
              </w:rPr>
              <w:t xml:space="preserve"> 、</w:t>
            </w:r>
            <w:r>
              <w:rPr>
                <w:rFonts w:hint="eastAsia" w:cs="仿宋"/>
                <w:snapToGrid w:val="0"/>
                <w:color w:val="auto"/>
                <w:spacing w:val="0"/>
                <w:w w:val="100"/>
                <w:kern w:val="2"/>
                <w:position w:val="0"/>
                <w:sz w:val="28"/>
                <w:szCs w:val="28"/>
                <w:lang w:val="en-US" w:eastAsia="zh-CN" w:bidi="ar-SA"/>
              </w:rPr>
              <w:t xml:space="preserve">王亚运 18055856918 </w:t>
            </w:r>
          </w:p>
          <w:p w14:paraId="77215D5F">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2"/>
                <w:position w:val="0"/>
                <w:sz w:val="28"/>
                <w:szCs w:val="28"/>
                <w:lang w:val="en-US" w:eastAsia="zh-CN" w:bidi="ar-SA"/>
              </w:rPr>
            </w:pPr>
            <w:r>
              <w:rPr>
                <w:rFonts w:hint="eastAsia" w:ascii="仿宋" w:hAnsi="仿宋" w:eastAsia="仿宋" w:cs="仿宋"/>
                <w:snapToGrid w:val="0"/>
                <w:color w:val="auto"/>
                <w:spacing w:val="0"/>
                <w:w w:val="100"/>
                <w:kern w:val="2"/>
                <w:position w:val="0"/>
                <w:sz w:val="28"/>
                <w:szCs w:val="28"/>
                <w:lang w:val="en-US" w:eastAsia="en-US" w:bidi="ar-SA"/>
              </w:rPr>
              <w:t>通讯地址：</w:t>
            </w:r>
            <w:r>
              <w:rPr>
                <w:rFonts w:hint="eastAsia" w:ascii="仿宋" w:hAnsi="仿宋" w:eastAsia="仿宋" w:cs="仿宋"/>
                <w:snapToGrid w:val="0"/>
                <w:color w:val="auto"/>
                <w:spacing w:val="0"/>
                <w:w w:val="100"/>
                <w:kern w:val="2"/>
                <w:position w:val="0"/>
                <w:sz w:val="28"/>
                <w:szCs w:val="28"/>
                <w:lang w:val="en-US" w:eastAsia="zh-CN" w:bidi="ar-SA"/>
              </w:rPr>
              <w:t>安徽省阜阳市颍东区北京东路 216 号</w:t>
            </w:r>
            <w:r>
              <w:rPr>
                <w:rFonts w:hint="eastAsia" w:ascii="仿宋" w:hAnsi="仿宋" w:eastAsia="仿宋" w:cs="仿宋"/>
                <w:snapToGrid w:val="0"/>
                <w:color w:val="auto"/>
                <w:spacing w:val="0"/>
                <w:w w:val="100"/>
                <w:kern w:val="2"/>
                <w:position w:val="0"/>
                <w:sz w:val="28"/>
                <w:szCs w:val="28"/>
                <w:lang w:val="en-US" w:eastAsia="en-US" w:bidi="ar-SA"/>
              </w:rPr>
              <w:t>、</w:t>
            </w:r>
            <w:r>
              <w:rPr>
                <w:rFonts w:hint="eastAsia" w:ascii="仿宋" w:hAnsi="仿宋" w:eastAsia="仿宋" w:cs="仿宋"/>
                <w:snapToGrid w:val="0"/>
                <w:color w:val="auto"/>
                <w:spacing w:val="0"/>
                <w:w w:val="100"/>
                <w:kern w:val="2"/>
                <w:position w:val="0"/>
                <w:sz w:val="28"/>
                <w:szCs w:val="28"/>
                <w:lang w:val="en-US" w:eastAsia="zh-CN" w:bidi="ar-SA"/>
              </w:rPr>
              <w:t>安徽省阜阳市颍东区向阳街道东旭路5号东坪圩农民安置区16#楼</w:t>
            </w:r>
            <w:r>
              <w:rPr>
                <w:rFonts w:hint="eastAsia" w:cs="仿宋"/>
                <w:snapToGrid w:val="0"/>
                <w:color w:val="auto"/>
                <w:spacing w:val="0"/>
                <w:w w:val="100"/>
                <w:kern w:val="2"/>
                <w:position w:val="0"/>
                <w:sz w:val="28"/>
                <w:szCs w:val="28"/>
                <w:lang w:val="en-US" w:eastAsia="zh-CN" w:bidi="ar-SA"/>
              </w:rPr>
              <w:t>。</w:t>
            </w:r>
          </w:p>
        </w:tc>
      </w:tr>
      <w:tr w14:paraId="34A62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1010" w:type="dxa"/>
            <w:vAlign w:val="center"/>
          </w:tcPr>
          <w:p w14:paraId="0950D00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23</w:t>
            </w:r>
          </w:p>
        </w:tc>
        <w:tc>
          <w:tcPr>
            <w:tcW w:w="1707" w:type="dxa"/>
            <w:vAlign w:val="center"/>
          </w:tcPr>
          <w:p w14:paraId="5316114D">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投诉函递交的方式</w:t>
            </w:r>
          </w:p>
        </w:tc>
        <w:tc>
          <w:tcPr>
            <w:tcW w:w="6298" w:type="dxa"/>
            <w:vAlign w:val="center"/>
          </w:tcPr>
          <w:p w14:paraId="51C8A0AE">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2"/>
                <w:position w:val="0"/>
                <w:sz w:val="28"/>
                <w:szCs w:val="28"/>
                <w:lang w:val="en-US" w:eastAsia="en-US" w:bidi="ar-SA"/>
              </w:rPr>
            </w:pPr>
            <w:r>
              <w:rPr>
                <w:rFonts w:hint="eastAsia" w:ascii="仿宋" w:hAnsi="仿宋" w:eastAsia="仿宋" w:cs="仿宋"/>
                <w:snapToGrid w:val="0"/>
                <w:color w:val="auto"/>
                <w:spacing w:val="0"/>
                <w:w w:val="100"/>
                <w:kern w:val="2"/>
                <w:position w:val="0"/>
                <w:sz w:val="28"/>
                <w:szCs w:val="28"/>
                <w:lang w:val="en-US" w:eastAsia="en-US" w:bidi="ar-SA"/>
              </w:rPr>
              <w:t>递交方式：书面提出</w:t>
            </w:r>
          </w:p>
          <w:p w14:paraId="42281978">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2"/>
                <w:position w:val="0"/>
                <w:sz w:val="28"/>
                <w:szCs w:val="28"/>
                <w:lang w:val="en-US" w:eastAsia="zh-CN" w:bidi="ar-SA"/>
              </w:rPr>
            </w:pPr>
            <w:r>
              <w:rPr>
                <w:rFonts w:hint="eastAsia" w:ascii="仿宋" w:hAnsi="仿宋" w:eastAsia="仿宋" w:cs="仿宋"/>
                <w:snapToGrid w:val="0"/>
                <w:color w:val="auto"/>
                <w:spacing w:val="0"/>
                <w:w w:val="100"/>
                <w:kern w:val="2"/>
                <w:position w:val="0"/>
                <w:sz w:val="28"/>
                <w:szCs w:val="28"/>
                <w:lang w:val="en-US" w:eastAsia="en-US" w:bidi="ar-SA"/>
              </w:rPr>
              <w:t>接收部门：</w:t>
            </w:r>
            <w:r>
              <w:rPr>
                <w:rFonts w:hint="eastAsia" w:ascii="仿宋" w:hAnsi="仿宋" w:eastAsia="仿宋" w:cs="仿宋"/>
                <w:snapToGrid w:val="0"/>
                <w:color w:val="auto"/>
                <w:spacing w:val="0"/>
                <w:w w:val="100"/>
                <w:kern w:val="2"/>
                <w:position w:val="0"/>
                <w:sz w:val="28"/>
                <w:szCs w:val="28"/>
                <w:lang w:val="en-US" w:eastAsia="zh-CN" w:bidi="ar-SA"/>
              </w:rPr>
              <w:t>阜阳市颍东区财政局</w:t>
            </w:r>
          </w:p>
          <w:p w14:paraId="6C8C34F7">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2"/>
                <w:position w:val="0"/>
                <w:sz w:val="28"/>
                <w:szCs w:val="28"/>
                <w:lang w:val="en-US" w:eastAsia="zh-CN" w:bidi="ar-SA"/>
              </w:rPr>
            </w:pPr>
            <w:r>
              <w:rPr>
                <w:rFonts w:hint="eastAsia" w:ascii="仿宋" w:hAnsi="仿宋" w:eastAsia="仿宋" w:cs="仿宋"/>
                <w:snapToGrid w:val="0"/>
                <w:color w:val="auto"/>
                <w:spacing w:val="0"/>
                <w:w w:val="100"/>
                <w:kern w:val="2"/>
                <w:position w:val="0"/>
                <w:sz w:val="28"/>
                <w:szCs w:val="28"/>
                <w:lang w:val="en-US" w:eastAsia="en-US" w:bidi="ar-SA"/>
              </w:rPr>
              <w:t>联系电话：0558-2706816</w:t>
            </w:r>
          </w:p>
          <w:p w14:paraId="1AA7F231">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2"/>
                <w:position w:val="0"/>
                <w:sz w:val="28"/>
                <w:szCs w:val="28"/>
                <w:lang w:val="en-US" w:eastAsia="en-US" w:bidi="ar-SA"/>
              </w:rPr>
            </w:pPr>
            <w:r>
              <w:rPr>
                <w:rFonts w:hint="eastAsia" w:ascii="仿宋" w:hAnsi="仿宋" w:eastAsia="仿宋" w:cs="仿宋"/>
                <w:snapToGrid w:val="0"/>
                <w:color w:val="auto"/>
                <w:spacing w:val="0"/>
                <w:w w:val="100"/>
                <w:kern w:val="2"/>
                <w:position w:val="0"/>
                <w:sz w:val="28"/>
                <w:szCs w:val="28"/>
                <w:lang w:val="en-US" w:eastAsia="en-US" w:bidi="ar-SA"/>
              </w:rPr>
              <w:t>通讯地址：</w:t>
            </w:r>
            <w:r>
              <w:rPr>
                <w:rFonts w:hint="eastAsia" w:ascii="仿宋" w:hAnsi="仿宋" w:eastAsia="仿宋" w:cs="仿宋"/>
                <w:snapToGrid w:val="0"/>
                <w:color w:val="auto"/>
                <w:spacing w:val="0"/>
                <w:w w:val="100"/>
                <w:kern w:val="2"/>
                <w:position w:val="0"/>
                <w:sz w:val="28"/>
                <w:szCs w:val="28"/>
                <w:lang w:val="en-US" w:eastAsia="zh-CN" w:bidi="ar-SA"/>
              </w:rPr>
              <w:t>颍东区东湖路与东旭路交叉口南侧 50 米</w:t>
            </w:r>
            <w:r>
              <w:rPr>
                <w:rFonts w:hint="eastAsia" w:cs="仿宋"/>
                <w:snapToGrid w:val="0"/>
                <w:color w:val="auto"/>
                <w:spacing w:val="0"/>
                <w:w w:val="100"/>
                <w:kern w:val="2"/>
                <w:position w:val="0"/>
                <w:sz w:val="28"/>
                <w:szCs w:val="28"/>
                <w:lang w:val="en-US" w:eastAsia="zh-CN" w:bidi="ar-SA"/>
              </w:rPr>
              <w:t>。</w:t>
            </w:r>
          </w:p>
        </w:tc>
      </w:tr>
      <w:tr w14:paraId="3DE8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1010" w:type="dxa"/>
            <w:vAlign w:val="center"/>
          </w:tcPr>
          <w:p w14:paraId="01E32DF1">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24</w:t>
            </w:r>
          </w:p>
        </w:tc>
        <w:tc>
          <w:tcPr>
            <w:tcW w:w="1707" w:type="dxa"/>
            <w:vAlign w:val="center"/>
          </w:tcPr>
          <w:p w14:paraId="5B3BFFE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本项目提供除征集文件以外的其他资料</w:t>
            </w:r>
          </w:p>
        </w:tc>
        <w:tc>
          <w:tcPr>
            <w:tcW w:w="6298" w:type="dxa"/>
            <w:vAlign w:val="center"/>
          </w:tcPr>
          <w:p w14:paraId="1575FD58">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☑无</w:t>
            </w:r>
          </w:p>
        </w:tc>
      </w:tr>
      <w:tr w14:paraId="40AD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1010" w:type="dxa"/>
            <w:vAlign w:val="center"/>
          </w:tcPr>
          <w:p w14:paraId="1907A8E4">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25</w:t>
            </w:r>
          </w:p>
        </w:tc>
        <w:tc>
          <w:tcPr>
            <w:tcW w:w="1707" w:type="dxa"/>
            <w:vAlign w:val="center"/>
          </w:tcPr>
          <w:p w14:paraId="0B83280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清退规则</w:t>
            </w:r>
          </w:p>
        </w:tc>
        <w:tc>
          <w:tcPr>
            <w:tcW w:w="6298" w:type="dxa"/>
            <w:vAlign w:val="center"/>
          </w:tcPr>
          <w:p w14:paraId="070E4B0E">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1、清退规则：入围单位不得出现以下情况，如有发生，予以清退。</w:t>
            </w:r>
          </w:p>
          <w:p w14:paraId="3DC40853">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（1）违反工作纪律要求；</w:t>
            </w:r>
          </w:p>
          <w:p w14:paraId="45D50674">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（2）将征集人委托的工作转包或分包给其他单位或个人；</w:t>
            </w:r>
          </w:p>
          <w:p w14:paraId="3BABB748">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（3）入围单位及其人员工作出现重大过失，或有恶意串通修改相关资料的弄虚作假行为，牟取非法利益，给国家造成损失或给工作造成恶劣影响的；</w:t>
            </w:r>
          </w:p>
          <w:p w14:paraId="209F0789">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（4）入围单位响应文件中所报材料与实际情况不符，甲方有权单方面解除与入围单位的所有委托业务。触犯法律的，承担全部法律责任；</w:t>
            </w:r>
          </w:p>
          <w:p w14:paraId="1AD18062">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（5）入围单位实质性违反合同约定的；</w:t>
            </w:r>
          </w:p>
          <w:p w14:paraId="7B384C99">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（6）入围单位有违反合同约定或其职责、义务的行为，在征集人指定期限内未予以纠正或补救的；</w:t>
            </w:r>
          </w:p>
          <w:p w14:paraId="6BEB94FB">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（7）入围单位泄漏征集人的秘密或与第三方串通损害征集人利益的；由此造成的经济损失，供应商应予赔偿；存在违法违规行为的由相关部门进行处理；</w:t>
            </w:r>
          </w:p>
          <w:p w14:paraId="5D3EB967">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（8）入围单位与项目单位私下交易，接受财物、吃请等违纪行为经查实的，存在违法违规行为的，</w:t>
            </w:r>
          </w:p>
          <w:p w14:paraId="36F97254">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由相关部门进行处理；</w:t>
            </w:r>
          </w:p>
          <w:p w14:paraId="63C42FC7">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w:t>
            </w:r>
            <w:r>
              <w:rPr>
                <w:rFonts w:hint="eastAsia" w:ascii="仿宋" w:hAnsi="仿宋" w:eastAsia="仿宋" w:cs="仿宋"/>
                <w:color w:val="auto"/>
                <w:spacing w:val="0"/>
                <w:w w:val="100"/>
                <w:position w:val="0"/>
                <w:sz w:val="28"/>
                <w:szCs w:val="28"/>
                <w:lang w:val="en-US" w:eastAsia="zh-CN"/>
              </w:rPr>
              <w:t>9</w:t>
            </w:r>
            <w:r>
              <w:rPr>
                <w:rFonts w:hint="eastAsia" w:ascii="仿宋" w:hAnsi="仿宋" w:eastAsia="仿宋" w:cs="仿宋"/>
                <w:color w:val="auto"/>
                <w:spacing w:val="0"/>
                <w:w w:val="100"/>
                <w:position w:val="0"/>
                <w:sz w:val="28"/>
                <w:szCs w:val="28"/>
              </w:rPr>
              <w:t>）入围单位在服务过程中将征集人资料丢失的，由此造成的经济损失</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入围单位应予赔偿</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存在违法违规行为的，由相关部门进行处理；</w:t>
            </w:r>
          </w:p>
          <w:p w14:paraId="58EC6AE2">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w:t>
            </w:r>
            <w:r>
              <w:rPr>
                <w:rFonts w:hint="eastAsia" w:ascii="仿宋" w:hAnsi="仿宋" w:eastAsia="仿宋" w:cs="仿宋"/>
                <w:color w:val="auto"/>
                <w:spacing w:val="0"/>
                <w:w w:val="100"/>
                <w:position w:val="0"/>
                <w:sz w:val="28"/>
                <w:szCs w:val="28"/>
                <w:lang w:val="en-US" w:eastAsia="zh-CN"/>
              </w:rPr>
              <w:t>10</w:t>
            </w:r>
            <w:r>
              <w:rPr>
                <w:rFonts w:hint="eastAsia" w:ascii="仿宋" w:hAnsi="仿宋" w:eastAsia="仿宋" w:cs="仿宋"/>
                <w:color w:val="auto"/>
                <w:spacing w:val="0"/>
                <w:w w:val="100"/>
                <w:position w:val="0"/>
                <w:sz w:val="28"/>
                <w:szCs w:val="28"/>
              </w:rPr>
              <w:t>）在入围单位违约情形下，征集人有权对本项目合同进行必要的变更，因入围单位违约导致合同解除的，入围单位应按本项目正常计算酬金标准支付违约金；</w:t>
            </w:r>
          </w:p>
          <w:p w14:paraId="50FDBCC0">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r>
              <w:rPr>
                <w:rFonts w:hint="eastAsia" w:ascii="仿宋" w:hAnsi="仿宋" w:eastAsia="仿宋" w:cs="仿宋"/>
                <w:color w:val="auto"/>
                <w:spacing w:val="0"/>
                <w:w w:val="100"/>
                <w:position w:val="0"/>
                <w:sz w:val="28"/>
                <w:szCs w:val="28"/>
                <w:lang w:val="en-US" w:eastAsia="zh-CN"/>
              </w:rPr>
              <w:t>1</w:t>
            </w:r>
            <w:r>
              <w:rPr>
                <w:rFonts w:hint="eastAsia" w:ascii="仿宋" w:hAnsi="仿宋" w:eastAsia="仿宋" w:cs="仿宋"/>
                <w:color w:val="auto"/>
                <w:spacing w:val="0"/>
                <w:w w:val="100"/>
                <w:position w:val="0"/>
                <w:sz w:val="28"/>
                <w:szCs w:val="28"/>
              </w:rPr>
              <w:t>）确定入围单位后，征集人有权对入围单位提供的人员名单、注册证明、执业资格、人事关系、业绩材料等相关资料到相关部门进行核实，如响应文件存在虚假情况，则取消入围候选人的入围资格，存在违法违规行为的，由相关部门进行处理。</w:t>
            </w:r>
          </w:p>
        </w:tc>
      </w:tr>
      <w:tr w14:paraId="1683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1010" w:type="dxa"/>
            <w:vAlign w:val="center"/>
          </w:tcPr>
          <w:p w14:paraId="0916CBB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26</w:t>
            </w:r>
          </w:p>
        </w:tc>
        <w:tc>
          <w:tcPr>
            <w:tcW w:w="1707" w:type="dxa"/>
            <w:vAlign w:val="center"/>
          </w:tcPr>
          <w:p w14:paraId="7D0C2B60">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补充规则</w:t>
            </w:r>
          </w:p>
        </w:tc>
        <w:tc>
          <w:tcPr>
            <w:tcW w:w="6298" w:type="dxa"/>
            <w:vAlign w:val="center"/>
          </w:tcPr>
          <w:p w14:paraId="6D982787">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1.除剩余入围单位不足入围单位总数 70%且影</w:t>
            </w:r>
          </w:p>
          <w:p w14:paraId="24D04939">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响框架协议执行的情形外，框架协议有效期内，征</w:t>
            </w:r>
          </w:p>
          <w:p w14:paraId="1F540A31">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集人不得补充征集供应商。</w:t>
            </w:r>
          </w:p>
          <w:p w14:paraId="0A579734">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征集人补充征集供应商的，补充征集规则应当在框架协议中约定，补充征集的条件、程序、评审方法和淘汰比例应当与初次征集相同。补充征集应当遵守原框架协议的有效期。补充征集期间，原框架协议继续履行。</w:t>
            </w:r>
          </w:p>
        </w:tc>
      </w:tr>
      <w:tr w14:paraId="7B69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010" w:type="dxa"/>
            <w:vAlign w:val="center"/>
          </w:tcPr>
          <w:p w14:paraId="4E48B404">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27</w:t>
            </w:r>
          </w:p>
        </w:tc>
        <w:tc>
          <w:tcPr>
            <w:tcW w:w="1707" w:type="dxa"/>
            <w:vAlign w:val="center"/>
          </w:tcPr>
          <w:p w14:paraId="68220184">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用户反馈和评价机制</w:t>
            </w:r>
          </w:p>
        </w:tc>
        <w:tc>
          <w:tcPr>
            <w:tcW w:w="6298" w:type="dxa"/>
            <w:vAlign w:val="center"/>
          </w:tcPr>
          <w:p w14:paraId="214485CE">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根据用户反馈和评价机制约定，采购人和服务对象对入围供应商履行框架协议和采购合同情况的反馈与评价，用户反馈和评价情况将向采购人和服务对象公开，并作为第二阶段直接选定成交供应商的参考。</w:t>
            </w:r>
          </w:p>
        </w:tc>
      </w:tr>
      <w:tr w14:paraId="60A45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6FC2F5B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2</w:t>
            </w:r>
            <w:r>
              <w:rPr>
                <w:rFonts w:hint="eastAsia" w:ascii="仿宋" w:hAnsi="仿宋" w:eastAsia="仿宋" w:cs="仿宋"/>
                <w:color w:val="auto"/>
                <w:spacing w:val="0"/>
                <w:w w:val="100"/>
                <w:position w:val="0"/>
                <w:sz w:val="28"/>
                <w:szCs w:val="28"/>
                <w:lang w:val="en-US" w:eastAsia="zh-CN"/>
              </w:rPr>
              <w:t>8</w:t>
            </w:r>
          </w:p>
        </w:tc>
        <w:tc>
          <w:tcPr>
            <w:tcW w:w="1707" w:type="dxa"/>
            <w:vAlign w:val="center"/>
          </w:tcPr>
          <w:p w14:paraId="3843EE5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解释权</w:t>
            </w:r>
          </w:p>
        </w:tc>
        <w:tc>
          <w:tcPr>
            <w:tcW w:w="6298" w:type="dxa"/>
            <w:vAlign w:val="center"/>
          </w:tcPr>
          <w:p w14:paraId="140593D2">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(1)构成本征集文件的各个组成文件应互为解释，互为说明；</w:t>
            </w:r>
          </w:p>
          <w:p w14:paraId="0BF70B99">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(2)同一组成文件中就同一事项的规定或约定不一致的，以编排顺序在后者为准；</w:t>
            </w:r>
          </w:p>
          <w:p w14:paraId="2FF6CCED">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(3)如有不明确或不一致，构成合同文件组成内容的，以合同文件约定内容为准，且以专用合同条款约定的合同文件优先顺序解释；</w:t>
            </w:r>
          </w:p>
          <w:p w14:paraId="222D8ED6">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(4)除征集文件中有特别规定外，仅适用于招标投标阶段的规定，按征集公告、供应商须知、评标方法和标准、征集响应文件格式的先后顺序解释；</w:t>
            </w:r>
          </w:p>
          <w:p w14:paraId="78BF90E1">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（5）按本款前述规定仍不能形成结论的，由征集人负责解释。</w:t>
            </w:r>
          </w:p>
        </w:tc>
      </w:tr>
      <w:tr w14:paraId="5796B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1010" w:type="dxa"/>
            <w:vAlign w:val="center"/>
          </w:tcPr>
          <w:p w14:paraId="197B03B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2</w:t>
            </w:r>
            <w:r>
              <w:rPr>
                <w:rFonts w:hint="eastAsia" w:ascii="仿宋" w:hAnsi="仿宋" w:eastAsia="仿宋" w:cs="仿宋"/>
                <w:color w:val="auto"/>
                <w:spacing w:val="0"/>
                <w:w w:val="100"/>
                <w:position w:val="0"/>
                <w:sz w:val="28"/>
                <w:szCs w:val="28"/>
                <w:lang w:val="en-US" w:eastAsia="zh-CN"/>
              </w:rPr>
              <w:t>9</w:t>
            </w:r>
          </w:p>
        </w:tc>
        <w:tc>
          <w:tcPr>
            <w:tcW w:w="1707" w:type="dxa"/>
            <w:vAlign w:val="center"/>
          </w:tcPr>
          <w:p w14:paraId="182B1A5C">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重要提示</w:t>
            </w:r>
          </w:p>
        </w:tc>
        <w:tc>
          <w:tcPr>
            <w:tcW w:w="6298" w:type="dxa"/>
            <w:vAlign w:val="center"/>
          </w:tcPr>
          <w:p w14:paraId="6432EC1D">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（1）入围供应商应在规定期限内与征集人签订框架协议，若入围供应商未能在规定期限内签订框架协议,征集人有权取消入围供应商入围资格，并将相关违约行为报送监管部门，实施信用惩戒；</w:t>
            </w:r>
          </w:p>
          <w:p w14:paraId="5FD2A5D1">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（2）采购合同签订后，入围供应商存在规定时间内不组织人员进场开工，不履行供货、安装或服务义务等情况，征集人有权解除框架协议，并追究违约责任，同时将相关违约行为报送监管部门</w:t>
            </w:r>
            <w:r>
              <w:rPr>
                <w:rFonts w:hint="eastAsia" w:ascii="仿宋" w:hAnsi="仿宋" w:eastAsia="仿宋" w:cs="仿宋"/>
                <w:color w:val="auto"/>
                <w:spacing w:val="0"/>
                <w:w w:val="100"/>
                <w:position w:val="0"/>
                <w:sz w:val="28"/>
                <w:szCs w:val="28"/>
                <w:lang w:eastAsia="zh-CN"/>
              </w:rPr>
              <w:t>，登</w:t>
            </w:r>
            <w:r>
              <w:rPr>
                <w:rFonts w:hint="eastAsia" w:ascii="仿宋" w:hAnsi="仿宋" w:eastAsia="仿宋" w:cs="仿宋"/>
                <w:color w:val="auto"/>
                <w:spacing w:val="0"/>
                <w:w w:val="100"/>
                <w:position w:val="0"/>
                <w:sz w:val="28"/>
                <w:szCs w:val="28"/>
              </w:rPr>
              <w:t>记不良行为记录，实施信用惩戒；</w:t>
            </w:r>
          </w:p>
          <w:p w14:paraId="0EA2EA6E">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（3）入围供应商入围后被监管部门查实存在违法行为，不满足入围条件的，由征集人取消入围资格，并做好项目后续工作；</w:t>
            </w:r>
          </w:p>
          <w:p w14:paraId="7B2421D0">
            <w:pPr>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color w:val="auto"/>
                <w:spacing w:val="0"/>
                <w:w w:val="100"/>
                <w:position w:val="0"/>
              </w:rPr>
            </w:pPr>
            <w:r>
              <w:rPr>
                <w:rFonts w:hint="eastAsia" w:ascii="仿宋" w:hAnsi="仿宋" w:eastAsia="仿宋" w:cs="仿宋"/>
                <w:color w:val="auto"/>
                <w:spacing w:val="0"/>
                <w:w w:val="100"/>
                <w:position w:val="0"/>
                <w:sz w:val="28"/>
                <w:szCs w:val="28"/>
              </w:rPr>
              <w:t>（4）入围供应商在项目发生投诉、信访举报案件、履约存在争议时，拒绝协助配合执法部门调查案件的，征集人可以取消其入围资格或解除框架协议，并追究其违约责任。</w:t>
            </w:r>
          </w:p>
        </w:tc>
      </w:tr>
      <w:tr w14:paraId="0BF5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10" w:type="dxa"/>
            <w:vAlign w:val="center"/>
          </w:tcPr>
          <w:p w14:paraId="66EBE4B3">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30</w:t>
            </w:r>
          </w:p>
        </w:tc>
        <w:tc>
          <w:tcPr>
            <w:tcW w:w="1707" w:type="dxa"/>
            <w:vAlign w:val="center"/>
          </w:tcPr>
          <w:p w14:paraId="7498153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其他补充说明</w:t>
            </w:r>
          </w:p>
        </w:tc>
        <w:tc>
          <w:tcPr>
            <w:tcW w:w="6298" w:type="dxa"/>
            <w:vAlign w:val="center"/>
          </w:tcPr>
          <w:p w14:paraId="095A2537">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1、框架协议有效期：2 年。</w:t>
            </w:r>
          </w:p>
          <w:p w14:paraId="4C83A067">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2、本项目为费率报价，供应商如优惠 10%，则报价为费率 90%。</w:t>
            </w:r>
          </w:p>
          <w:p w14:paraId="6A23F15C">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3、框架协议采购类型：本项目采用封闭式框架协议入围采购的方式，入围单位无正当理由，不得主动放弃入围资格或者退出框架协议。</w:t>
            </w:r>
          </w:p>
          <w:p w14:paraId="693A2C4F">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4、本项目所有入围单位在服务期间均按照</w:t>
            </w:r>
            <w:r>
              <w:rPr>
                <w:rFonts w:hint="eastAsia" w:cs="仿宋"/>
                <w:snapToGrid w:val="0"/>
                <w:color w:val="auto"/>
                <w:spacing w:val="0"/>
                <w:w w:val="100"/>
                <w:kern w:val="0"/>
                <w:position w:val="0"/>
                <w:sz w:val="28"/>
                <w:szCs w:val="28"/>
                <w:lang w:val="en-US" w:eastAsia="zh-CN" w:bidi="ar-SA"/>
              </w:rPr>
              <w:t>阜阳市颍东区机关事务管理服务中心</w:t>
            </w:r>
            <w:r>
              <w:rPr>
                <w:rFonts w:hint="eastAsia" w:ascii="仿宋" w:hAnsi="仿宋" w:eastAsia="仿宋" w:cs="仿宋"/>
                <w:snapToGrid w:val="0"/>
                <w:color w:val="auto"/>
                <w:spacing w:val="0"/>
                <w:w w:val="100"/>
                <w:kern w:val="0"/>
                <w:position w:val="0"/>
                <w:sz w:val="28"/>
                <w:szCs w:val="28"/>
                <w:lang w:val="en-US" w:eastAsia="en-US" w:bidi="ar-SA"/>
              </w:rPr>
              <w:t>相关管理办法进行管理，所有入围单位均需服从管理，否则征集人将对其予以处理。</w:t>
            </w:r>
          </w:p>
          <w:p w14:paraId="0409017B">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5、</w:t>
            </w:r>
            <w:r>
              <w:rPr>
                <w:rFonts w:hint="eastAsia" w:ascii="仿宋" w:hAnsi="仿宋" w:eastAsia="仿宋" w:cs="仿宋"/>
                <w:snapToGrid w:val="0"/>
                <w:color w:val="auto"/>
                <w:spacing w:val="0"/>
                <w:w w:val="100"/>
                <w:kern w:val="0"/>
                <w:position w:val="0"/>
                <w:sz w:val="28"/>
                <w:szCs w:val="28"/>
                <w:lang w:val="en-US" w:eastAsia="en-US" w:bidi="ar-SA"/>
              </w:rPr>
              <w:t>入围单位有下列情形之一，尚未签订框架协议</w:t>
            </w:r>
          </w:p>
          <w:p w14:paraId="30F2210A">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的，取消其入围资格；已经签订框架协议的，解除</w:t>
            </w:r>
          </w:p>
          <w:p w14:paraId="51F90887">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与其签订的框架协议：</w:t>
            </w:r>
          </w:p>
          <w:p w14:paraId="7EF66ED4">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（一）恶意串通谋取入围资格的；</w:t>
            </w:r>
          </w:p>
          <w:p w14:paraId="720891EB">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（二）提供虚假材料谋取入围资格的；</w:t>
            </w:r>
          </w:p>
          <w:p w14:paraId="4DFC7B76">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（三）无正当理由拒不接受合同授予的；</w:t>
            </w:r>
          </w:p>
          <w:p w14:paraId="3F664F95">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（四）不履行合同义务或者履行合同义务不符合约定，经征集人要求履行后仍不履行或者仍未按约定履行的；</w:t>
            </w:r>
          </w:p>
          <w:p w14:paraId="13AE2791">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（五）框架协议有效期内，因违法行为被禁止或限制参加政府采购活动的；</w:t>
            </w:r>
          </w:p>
          <w:p w14:paraId="75F9EBB8">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（六）框架协议约定的其他情形。</w:t>
            </w:r>
          </w:p>
          <w:p w14:paraId="0CA4C921">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en-US" w:bidi="ar-SA"/>
              </w:rPr>
              <w:t>被取消入围资格或者被解除框架协议的供应商不得参加同一封闭式框架协议补充征集，或者重新申请加入同一开放式框架协议</w:t>
            </w:r>
            <w:r>
              <w:rPr>
                <w:rFonts w:hint="eastAsia" w:cs="仿宋"/>
                <w:snapToGrid w:val="0"/>
                <w:color w:val="auto"/>
                <w:spacing w:val="0"/>
                <w:w w:val="100"/>
                <w:kern w:val="0"/>
                <w:position w:val="0"/>
                <w:sz w:val="28"/>
                <w:szCs w:val="28"/>
                <w:lang w:val="en-US" w:eastAsia="zh-CN" w:bidi="ar-SA"/>
              </w:rPr>
              <w:t>。</w:t>
            </w:r>
          </w:p>
        </w:tc>
      </w:tr>
      <w:tr w14:paraId="6551C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10" w:type="dxa"/>
            <w:vAlign w:val="center"/>
          </w:tcPr>
          <w:p w14:paraId="335B638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31</w:t>
            </w:r>
          </w:p>
        </w:tc>
        <w:tc>
          <w:tcPr>
            <w:tcW w:w="1707" w:type="dxa"/>
            <w:vAlign w:val="center"/>
          </w:tcPr>
          <w:p w14:paraId="7817576B">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zh-CN"/>
              </w:rPr>
              <w:t>社保证明材料</w:t>
            </w:r>
          </w:p>
          <w:p w14:paraId="53C61E45">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p>
        </w:tc>
        <w:tc>
          <w:tcPr>
            <w:tcW w:w="6298" w:type="dxa"/>
            <w:vAlign w:val="center"/>
          </w:tcPr>
          <w:p w14:paraId="0E5DAE53">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 xml:space="preserve">本项目征集文件中要求提供的社保证明材料为下述形式之一（响应文件中须提供扫描件）： </w:t>
            </w:r>
          </w:p>
          <w:p w14:paraId="01184CF3">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 xml:space="preserve">（1）社保局官方网站查询的缴费记录截图； </w:t>
            </w:r>
          </w:p>
          <w:p w14:paraId="3AFA06AC">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 xml:space="preserve">（2）社保局的书面证明材料； </w:t>
            </w:r>
          </w:p>
          <w:p w14:paraId="141A8671">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 xml:space="preserve">（3）经供应商委托的第三方人力资源服务机构或与供应商有直接隶属关系的机构可以代缴社保， 但须提供有关证明材料并经评审委员会确认。 </w:t>
            </w:r>
          </w:p>
          <w:p w14:paraId="45A4097F">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 xml:space="preserve">（4）参与响应的院校，社保证明可以用以下任意一种： </w:t>
            </w:r>
          </w:p>
          <w:p w14:paraId="65E031C7">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 xml:space="preserve">①加盖供应商公章的教师证（须为本单位人员）； </w:t>
            </w:r>
          </w:p>
          <w:p w14:paraId="60F420EF">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 xml:space="preserve">②医保证明材料。 </w:t>
            </w:r>
          </w:p>
          <w:p w14:paraId="630608DE">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 xml:space="preserve">（5）其他经评审委员会认可的证明材料。 </w:t>
            </w:r>
          </w:p>
          <w:p w14:paraId="6C03D9DB">
            <w:pPr>
              <w:pStyle w:val="23"/>
              <w:keepNext w:val="0"/>
              <w:keepLines w:val="0"/>
              <w:pageBreakBefore w:val="0"/>
              <w:widowControl/>
              <w:kinsoku w:val="0"/>
              <w:wordWrap/>
              <w:overflowPunct/>
              <w:topLinePunct w:val="0"/>
              <w:bidi w:val="0"/>
              <w:adjustRightInd w:val="0"/>
              <w:snapToGrid w:val="0"/>
              <w:spacing w:line="360" w:lineRule="auto"/>
              <w:ind w:left="53" w:leftChars="25" w:right="53" w:rightChars="25"/>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（6）法定代表人参与项目的，无需提供社保证明材料，提供身份证明材料即可。</w:t>
            </w:r>
          </w:p>
        </w:tc>
      </w:tr>
    </w:tbl>
    <w:p w14:paraId="77F0EB3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8" w:type="default"/>
          <w:pgSz w:w="11922" w:h="16849"/>
          <w:pgMar w:top="1440" w:right="1803" w:bottom="1440" w:left="1803" w:header="1134" w:footer="1253" w:gutter="0"/>
          <w:pgNumType w:fmt="decimal"/>
          <w:cols w:space="0" w:num="1"/>
          <w:rtlGutter w:val="0"/>
          <w:docGrid w:linePitch="0" w:charSpace="0"/>
        </w:sectPr>
      </w:pPr>
    </w:p>
    <w:p w14:paraId="42C2BB81">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rPr>
      </w:pPr>
      <w:bookmarkStart w:id="3" w:name="_Toc32705"/>
      <w:r>
        <w:rPr>
          <w:rFonts w:hint="eastAsia" w:ascii="仿宋" w:hAnsi="仿宋" w:eastAsia="仿宋" w:cs="仿宋"/>
          <w:b/>
          <w:bCs/>
          <w:color w:val="auto"/>
          <w:spacing w:val="0"/>
          <w:w w:val="100"/>
          <w:position w:val="0"/>
          <w:sz w:val="28"/>
          <w:szCs w:val="28"/>
        </w:rPr>
        <w:t>二、供应商须知正文</w:t>
      </w:r>
      <w:bookmarkEnd w:id="3"/>
    </w:p>
    <w:p w14:paraId="422F010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供应商须知</w:t>
      </w:r>
    </w:p>
    <w:p w14:paraId="6E641D5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一、</w:t>
      </w:r>
      <w:r>
        <w:rPr>
          <w:rFonts w:hint="eastAsia" w:ascii="仿宋" w:hAnsi="仿宋" w:eastAsia="仿宋" w:cs="仿宋"/>
          <w:color w:val="auto"/>
          <w:spacing w:val="0"/>
          <w:w w:val="100"/>
          <w:position w:val="0"/>
          <w:sz w:val="28"/>
          <w:szCs w:val="28"/>
        </w:rPr>
        <w:t>适用范围</w:t>
      </w:r>
    </w:p>
    <w:p w14:paraId="704E5B8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1.1本征集文件仅适用于本次采购所述的服务项目采购。</w:t>
      </w:r>
    </w:p>
    <w:p w14:paraId="455CD8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2.定义</w:t>
      </w:r>
    </w:p>
    <w:p w14:paraId="43F73F3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2.1服务：系指除货物和工程以外的其他政府采购对象，包括咨询、调研、评估、规划、设计、监理、审计、保险、租赁、印刷、维修、物业管理等。</w:t>
      </w:r>
    </w:p>
    <w:p w14:paraId="0396B50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2.1.1时限(年份、月份等)计算：系指从征集之日向前追溯 X年/月 (“X ”为“一 ”及以后整数)起算。</w:t>
      </w:r>
    </w:p>
    <w:p w14:paraId="575F4DD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2.2业绩：除非本征集文件中另有规定，业绩系指符合本征集文件规定的与最终用户签订的合同。供应商与其关联公司(如母公司、控股公司、分公司、子公司、同一法定代表人的公司等)之间签订的合同，均不予认可。</w:t>
      </w:r>
    </w:p>
    <w:p w14:paraId="7A6FA31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除非本征集文件中另有规定，否则业绩均为已服务完毕的业绩，业绩时间均以合同签订之日为追溯节点。</w:t>
      </w:r>
    </w:p>
    <w:p w14:paraId="6F2DD56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3.征集人、采购代理机构及供应商</w:t>
      </w:r>
    </w:p>
    <w:p w14:paraId="2A82221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3.1征集人：集中采购机构、主管预算单位及其委托的采购代理机构，统称征集人。</w:t>
      </w:r>
    </w:p>
    <w:p w14:paraId="2D8A9A8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3.2采购代理机构：是指集中采购机构或从事采购代理业务的社会中介机构。本项目的采购代理机构见供应商须知前附表。</w:t>
      </w:r>
    </w:p>
    <w:p w14:paraId="0DC5A09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3.3政府采购监督管理部门：各级人民政府指定的有关部门依法履行与政府采购活动有关的监督管理职责。</w:t>
      </w:r>
    </w:p>
    <w:p w14:paraId="668231A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3.4本项目的政府采购监督管理部门见供应商须知前附表。</w:t>
      </w:r>
    </w:p>
    <w:p w14:paraId="35E4688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1F2E19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3.5供应商：是指向征集人提供货物、工程或者服务的法人、非法人组织或者自然人。分支机构不得参加政府采购活动，但银行、保险、石油石化、电力、电信等特殊行业除外。</w:t>
      </w:r>
    </w:p>
    <w:p w14:paraId="1807051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本项目的供应商须满足以下条件：</w:t>
      </w:r>
    </w:p>
    <w:p w14:paraId="4E7B8CF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3.5.1在中华人民共和国境内注册，能够独立承担民事责任，有生产或供应能力的本国供应商。</w:t>
      </w:r>
    </w:p>
    <w:p w14:paraId="4858251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3.5.2具备《中华人民共和国政府采购法》第二十二条关于供应商条件的规定，遵守 本项目征集人本级和上级财政部门政府采购的有关规定</w:t>
      </w:r>
    </w:p>
    <w:p w14:paraId="4E397A2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3.5.3以采购代理机构认可的方式获得了本项目的征集文件。</w:t>
      </w:r>
    </w:p>
    <w:p w14:paraId="59E582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3.5.4若供应商须知前附表中写明专门面向中小企业采购的，如供应商为非中小企业，其征集响应文件将被认定为响应无效。</w:t>
      </w:r>
    </w:p>
    <w:p w14:paraId="35A2CC1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3.5.5单位负责人为同一人或者存在直接控股、管理关系的不同供应商，不得参加同一合同项下的政府采购活动。否则其相关征集响应文件将被认定为响应无效。</w:t>
      </w:r>
    </w:p>
    <w:p w14:paraId="5E1261A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3.6为本项目提供过整体设计、规范编制或者项目管理、监理、检测等服务的供应商，不得再参加本项目上述服务以外的其他采购活动。否则其征集响应文件将被认定为响应无效。</w:t>
      </w:r>
    </w:p>
    <w:p w14:paraId="53E749A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4.资金来源</w:t>
      </w:r>
    </w:p>
    <w:p w14:paraId="704E613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4.1本项目的征集人已获得足以支付本次征集后所签订的合同项下的资金。 </w:t>
      </w:r>
    </w:p>
    <w:p w14:paraId="4E6E0BA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4.2项目预算金额或分项(或分包)预算金额见征集公告。</w:t>
      </w:r>
    </w:p>
    <w:p w14:paraId="0E2996A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5.征集费用</w:t>
      </w:r>
    </w:p>
    <w:p w14:paraId="4FCEE90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不论征集的结果如何，供应商应承担其所有与准备和参加征集有关的费用。</w:t>
      </w:r>
    </w:p>
    <w:p w14:paraId="2C3BD8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6.适用法律</w:t>
      </w:r>
    </w:p>
    <w:p w14:paraId="3C2DF5E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项目征集人、采购代理机构、供应商、征集评审小组的相关行为均受《中华人民共和国政府采购法》、《中华人民共和国政府采购法实施条例》及本项目本级和上级财政部门、政府采购监督管理部门的政府采购有关规定的约束，其权利受到上述法律法规的保护。</w:t>
      </w:r>
    </w:p>
    <w:p w14:paraId="6846248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二、征集文件</w:t>
      </w:r>
    </w:p>
    <w:p w14:paraId="45F5DFE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2.征集文件</w:t>
      </w:r>
    </w:p>
    <w:p w14:paraId="33E725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应认真阅读征集文件中所有的事项、格式、条款和规范等要求。如果没有按照征集文件要求提交全部资料或者征集响应文件没有对征集文件做出实质性响应，该投标有可能被拒绝，其风险应由供应商自行承担。</w:t>
      </w:r>
    </w:p>
    <w:p w14:paraId="168FEEB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征集文件的澄清</w:t>
      </w:r>
    </w:p>
    <w:p w14:paraId="56EA06D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评审小组将对征集响应文件的有效性、完整性和响应程度进行审查，审查时可以要求供应商对征集响应文件中含义不明确、同类问题表述不一致或者有明显文字和计算错误的内容等作出必要的澄清、说明或者更正。供应商的澄清、说明或者更正不得超出征集响应文件的范围或者改变征集响应文件的实质性内容。对不同文字文本征集响应文件的解释发生异议的，以中文文本为准。</w:t>
      </w:r>
    </w:p>
    <w:p w14:paraId="535CA0B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评审小组要求供应商澄清、说明或者更正征集响应文件应当以书面形式(询标)作出。供应商的澄清、说明或者更正应当由法定代表人或其授权代表签字或者加盖公章。</w:t>
      </w:r>
    </w:p>
    <w:p w14:paraId="709D524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2.1.1征集文件的修改</w:t>
      </w:r>
    </w:p>
    <w:p w14:paraId="7CDA4C7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2.1.2在提交征集响应文件截止日期前15天，征集人或代理机构可主动地或在解答供应商提出的问题时对征集文件进行修改。</w:t>
      </w:r>
    </w:p>
    <w:p w14:paraId="2800F44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2.1.3征集文件的修改将以变更公告形式在安徽省政府采购网发布,并对所有供应商具有约束力。</w:t>
      </w:r>
    </w:p>
    <w:p w14:paraId="319A4D0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2.1.4为使供应商在编写征集响应文件时有充分时间对征集文件的修改部分进行研究，代理单位可以酌情后延投标日期。</w:t>
      </w:r>
    </w:p>
    <w:p w14:paraId="408E43E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2.1.5对征集文件的澄清与修改均须经过征集人确认后方可发放。当征集文件、修改补充通知、澄清(答疑)记录内容相互矛盾时，以最后发出的通知(或纪要)或修改文件为准；</w:t>
      </w:r>
    </w:p>
    <w:p w14:paraId="0F9262F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供应商在征集响应文件递交截止时间前须自行查看项目进展、变更通知、澄清及回复，因供应商未及时查看而造成的后果自负。</w:t>
      </w:r>
    </w:p>
    <w:p w14:paraId="3BB417C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三、征集响应文件</w:t>
      </w:r>
    </w:p>
    <w:p w14:paraId="6AAA4C1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3.1征集响应文件的编制依据</w:t>
      </w:r>
    </w:p>
    <w:p w14:paraId="11C9C0E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3.1.1征集人提供的征集文件及有关资料；</w:t>
      </w:r>
    </w:p>
    <w:p w14:paraId="6B5DDFF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3.1.2相关的法律法规。 </w:t>
      </w:r>
    </w:p>
    <w:p w14:paraId="71F9418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3.2征集响应文件格式</w:t>
      </w:r>
    </w:p>
    <w:p w14:paraId="3746F2A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3.2.1征集响应文件应包括本征集文件“征集响应文件格式 ”中所列的内容。</w:t>
      </w:r>
    </w:p>
    <w:p w14:paraId="1C1EE4E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供应商应按照本企业的实际情况提供征集响应文件格式中所要求的资料，如其征集响应文件与其实际不符，一经发现直接取消其投标资格，并将追究其相关法律责任。</w:t>
      </w:r>
    </w:p>
    <w:p w14:paraId="150944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3.2.2编制征集响应文件的语言及计量单位</w:t>
      </w:r>
    </w:p>
    <w:p w14:paraId="7774531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1)各投标单位与招标代理机构就有关招标、投标的所有来往函电均应使用中文。</w:t>
      </w:r>
    </w:p>
    <w:p w14:paraId="620FB49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2)除规范另有规定外，征集响应文件使用的度量衡单位，均采用中华人民共和国法定计量单位。</w:t>
      </w:r>
    </w:p>
    <w:p w14:paraId="4ACBAF6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3.3投标报价</w:t>
      </w:r>
    </w:p>
    <w:p w14:paraId="5A0A5BF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3.3.1报价依据：本项目征集文件中要求。</w:t>
      </w:r>
    </w:p>
    <w:p w14:paraId="7F01C4A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3.3.2投标货币</w:t>
      </w:r>
    </w:p>
    <w:p w14:paraId="5F15E9E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除非另有规定或许可，供应商应采用人民币报价。</w:t>
      </w:r>
    </w:p>
    <w:p w14:paraId="5B5AC4C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3.3.3报价方法：</w:t>
      </w:r>
    </w:p>
    <w:p w14:paraId="346EA48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1)投标报价应按照征集文件要求编制。</w:t>
      </w:r>
    </w:p>
    <w:p w14:paraId="5FB625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服务费应为完成规定的工作内容的各项费用,并包括且不限于在项目所在地办公地点、交通、食宿、通讯、办公设备、专用设备等费用，并包含所提供的高级职称人员、需聘请的专家及最低人数要求所带来的额外费用。</w:t>
      </w:r>
    </w:p>
    <w:p w14:paraId="3BC8F3D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服务费价格：服务费以中标单位实际承接任务数额据实结算，每个项目支付价格包括供应商履行合同所需的全部直接费用、间接费用、各种征(取)费、政策性调整因素，各种税金、供应商期望的利润、可能发生的任何风险和责任以及完成全部项目而发生的全部费用等。一旦中标，供应商除合同条款规定的调整价格因素外不能以任何理由追加酬金或提任何调整要求。投标报价中所发生的费用缺漏项以及由此引起的风险由供应商承担，并且不免除供应商以缺漏项费用为理由的违约责任；</w:t>
      </w:r>
    </w:p>
    <w:p w14:paraId="5EFD338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4)本项目在执行过程中，上级对本项目内容有新规定时执行上级规定，本项目自行终止。</w:t>
      </w:r>
    </w:p>
    <w:p w14:paraId="15585C0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3.4征集响应文件的有效期</w:t>
      </w:r>
    </w:p>
    <w:p w14:paraId="6A27C9B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3.4.1征集响应文件的有效期为开标之日起120天。</w:t>
      </w:r>
    </w:p>
    <w:p w14:paraId="59DBB8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3.4.2在原定投标有效期满之前，如果出现特殊情况，经政府采购监督管理机构核准，征集人或代理机构可以跟供应商协商延长投标有效期。</w:t>
      </w:r>
    </w:p>
    <w:p w14:paraId="720B2EF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征集响应文件授权委托书期限不得少于投标有效。</w:t>
      </w:r>
    </w:p>
    <w:p w14:paraId="7DE803B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3.5投标保证金(本项目不收取保证金) </w:t>
      </w:r>
    </w:p>
    <w:p w14:paraId="1CB01F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3.6征集响应文件的修正</w:t>
      </w:r>
    </w:p>
    <w:p w14:paraId="6DEFE73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评标委员会将对确定为实质上响应征集文件要求的征集响应文件进行校核，看其是否有计算或表达上的错误,修正错误的原则如下:</w:t>
      </w:r>
    </w:p>
    <w:p w14:paraId="6A63E8B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3.6.1征集响应文件的大写金额和小写金额不一致的，以大写金额为准；</w:t>
      </w:r>
    </w:p>
    <w:p w14:paraId="0611AFD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3.6.2总价金额与按单价汇总金额不一致的，以单价金额计算结果为准；</w:t>
      </w:r>
    </w:p>
    <w:p w14:paraId="112A9F0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3.6.3单价金额小数点有明显错位的，应以总价为准，并修改单价；</w:t>
      </w:r>
    </w:p>
    <w:p w14:paraId="2A43582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3.6.4对不同文字文本征集响应文件的解释发生异议的，以中文文本为准。</w:t>
      </w:r>
    </w:p>
    <w:p w14:paraId="6F7FC5F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3.7征集响应文件的编制要求</w:t>
      </w:r>
    </w:p>
    <w:p w14:paraId="58692E7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3.7.本项目要求提供加密电子征集响应文件，征集响应文件的制作应满足以下规定：</w:t>
      </w:r>
    </w:p>
    <w:p w14:paraId="79415EF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(1)征集响应文件由供应商使用电子交易系统提供的“</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制作工具”制作生成。“</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制作工具”可以通过电子交易系统中下载。供应商应当在互联网络通畅状态下启用最新版</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制作工具制作征集响应文件。</w:t>
      </w:r>
    </w:p>
    <w:p w14:paraId="3745C9F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在第六章“征集响应文件格式”中要求加盖供应商电子签章处，供应商均应加盖供应商电子签章或公章。联合体参加征集的，除联合体协议及征集文件规定须联合体各成员单位各自盖章的证明材料外，征集响应文件由联合体牵头人按上述规定加盖联合体牵头人单位电子签章或公章。</w:t>
      </w:r>
    </w:p>
    <w:p w14:paraId="196440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(3)征集响应文件制作完成后，供应商应对征集响应文件进行文件加密，形成加密的征集响应文件。</w:t>
      </w:r>
    </w:p>
    <w:p w14:paraId="189B97F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采用数字证书加密的，加密时征集响应文件的所有内容均只能使用同一把数字证书进行加密，否则引起的解密失败责任由供应商自行承担。</w:t>
      </w:r>
    </w:p>
    <w:p w14:paraId="73123C1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(4)征集响应文件制作的具体方法详见“</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制作工具”中的帮助文档。</w:t>
      </w:r>
    </w:p>
    <w:p w14:paraId="5056470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因供应商自身原因而导致征集响应文件无法导入电子交易系统电子开标、评标系统的，该征集响应文件视为无效征集响应文件，供应商自行承担由此导致的全部责任。(该征集响应文件是指解密后的征集响应文件)。征集现场提交的其他材料要求详见供应商须知前附表。</w:t>
      </w:r>
    </w:p>
    <w:p w14:paraId="6923445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3.8征集响应文件提交截止时间</w:t>
      </w:r>
    </w:p>
    <w:p w14:paraId="496FE8E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3.8.1供应商应在供应商须知前附表中规定的征集响应文件提交截止时间前，在网上提交加密电子征集响应文件。</w:t>
      </w:r>
    </w:p>
    <w:p w14:paraId="7BACA97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3.9征集响应文件的提交、修改与撤回</w:t>
      </w:r>
    </w:p>
    <w:p w14:paraId="099847F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3.9.1供应商应当在第一章“征集公告”规定的征集响应文件提交截止时间前，将加密的征集响应文件在电子交易系统上传。</w:t>
      </w:r>
    </w:p>
    <w:p w14:paraId="38D1BD0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3.9.2供应商应当在征集响应文件提交截止时间前完成征集响应文件的传输提交并可以补充、修改或者撤回征集响应文件。征集响应文件提交截止时间前未完成征集响应文件传输的，视为撤回征集响应文件。未按规定加密或征集响应文件提交截止时间后送达的征集响应文件，电子交易系统应当拒收。</w:t>
      </w:r>
    </w:p>
    <w:p w14:paraId="2DDD947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3.9.3供应商应在供应商须知前附表规定的解密时间前(以电子交易系统解密倒计时为准)对本单位的征集响应文件现场或远程解密，采购代理机构工作人员在监督员监督下解密所有征集响应文件。在征集响应文件提交截止时间之后，供应商不得对其征集响应文件做任何修改。但属于评审小组在评审中发现的计算错误并进行核实的修改、按照征集文件的变动情况和评审小组的要求重新提交征集响应文件的，不在此列。</w:t>
      </w:r>
    </w:p>
    <w:p w14:paraId="29F0E9E3">
      <w:pPr>
        <w:pageBreakBefore w:val="0"/>
        <w:numPr>
          <w:ilvl w:val="0"/>
          <w:numId w:val="1"/>
        </w:numPr>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开标及评标</w:t>
      </w:r>
    </w:p>
    <w:p w14:paraId="456A81A1">
      <w:pPr>
        <w:pageBreakBefore w:val="0"/>
        <w:numPr>
          <w:ilvl w:val="0"/>
          <w:numId w:val="0"/>
        </w:numPr>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 4.1开标</w:t>
      </w:r>
    </w:p>
    <w:p w14:paraId="55F81B9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4.1.1代理单位按照征集文件规定的时间，地点组织开标。征集响应文件递交截止时间前一小时内，各投标供应商的法定代表人或委托代理人均提前进入网上开标大厅，选择进入对应标段的开标会议区在线签到。</w:t>
      </w:r>
    </w:p>
    <w:p w14:paraId="22304F0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未按规定时间60分钟之内(以系统规定时间为准)解密的征集响应文件的视为供应商自动放弃投标权。</w:t>
      </w:r>
    </w:p>
    <w:p w14:paraId="33B2D2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4.1.2有重大偏离的征集响应文件将被拒绝。</w:t>
      </w:r>
    </w:p>
    <w:p w14:paraId="7DA3C20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4.1.3开标程序</w:t>
      </w:r>
    </w:p>
    <w:p w14:paraId="2E56EBD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主持人按下列程序进行开标：</w:t>
      </w:r>
    </w:p>
    <w:p w14:paraId="7D46078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1)主持人登录网上开标大厅，进入不见面开标系统，选择本项目进行网上开标。</w:t>
      </w:r>
    </w:p>
    <w:p w14:paraId="05D7241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2)各供应商的授权委托人或法定代表人需在征集响应文件递交截止时间前一小时内进入网上开标大厅。征集响应文件递交截止时间截止后，根据主持人的要求在规定 的时间内进行征集响应文件的解密。</w:t>
      </w:r>
    </w:p>
    <w:p w14:paraId="6A1BE31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3)主持人在供应商全部解密征集响应文件成功后，导入全部投标征集响应文件，根据投标报价进行唱标环节。</w:t>
      </w:r>
    </w:p>
    <w:p w14:paraId="6264BD1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4)唱标环节结束后，供应商确认有无异议，若供应商有异议，可一一作出答复，所有供应商确认无异议后开标结束。</w:t>
      </w:r>
    </w:p>
    <w:p w14:paraId="4ECFA5B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rPr>
        <w:t>5)开标结束</w:t>
      </w:r>
      <w:r>
        <w:rPr>
          <w:rFonts w:hint="eastAsia" w:ascii="仿宋" w:hAnsi="仿宋" w:eastAsia="仿宋" w:cs="仿宋"/>
          <w:color w:val="auto"/>
          <w:spacing w:val="0"/>
          <w:w w:val="100"/>
          <w:position w:val="0"/>
          <w:sz w:val="28"/>
          <w:szCs w:val="28"/>
          <w:lang w:eastAsia="zh-CN"/>
        </w:rPr>
        <w:t>，采购代理机构对开标过程进行记录，并存档备查。转入评标阶段。</w:t>
      </w:r>
      <w:r>
        <w:rPr>
          <w:rFonts w:hint="eastAsia" w:ascii="仿宋" w:hAnsi="仿宋" w:eastAsia="仿宋" w:cs="仿宋"/>
          <w:color w:val="auto"/>
          <w:spacing w:val="0"/>
          <w:w w:val="100"/>
          <w:position w:val="0"/>
          <w:sz w:val="28"/>
          <w:szCs w:val="28"/>
          <w:lang w:val="en-US" w:eastAsia="zh-CN"/>
        </w:rPr>
        <w:t xml:space="preserve"> </w:t>
      </w:r>
    </w:p>
    <w:p w14:paraId="145A9CE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6)招标代理人对开标过程进行记录，并存档备查；</w:t>
      </w:r>
    </w:p>
    <w:p w14:paraId="22BF1F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4.2评标</w:t>
      </w:r>
    </w:p>
    <w:p w14:paraId="4428AE6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详见征集文件第四章评标办法</w:t>
      </w:r>
    </w:p>
    <w:p w14:paraId="700BB3B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4.3征集响应文件的澄清</w:t>
      </w:r>
    </w:p>
    <w:p w14:paraId="479E87E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4.3.1评审小组将对征集响应文件的有效性、完整性和响应程度进行审查，审查时可以要求供应商对征集响应文件中含义不明确、同类问题表述不一致或者有明显文字和计算错误的内容等作出必要的澄清、说明或者更正。供应商的澄清、说明或者更正不得超出征集响应文件的范围或者改变征集响应文件的实质性内容。对不同文字文本征集响应文件的解释发生异议的，以中文文本为准。</w:t>
      </w:r>
    </w:p>
    <w:p w14:paraId="3639210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4.3.2评审小组要求供应商澄清、说明或者更正征集响应文件应当以书面形式(询标)作出。供应商的澄清、说明或者更正应当由法定代表人或其授权代表签字或者加盖公章。</w:t>
      </w:r>
    </w:p>
    <w:p w14:paraId="3D27641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4.4废标条件</w:t>
      </w:r>
    </w:p>
    <w:p w14:paraId="7230F83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4.4.1未按照征集文件的规定提交投标保证金(如有)的；</w:t>
      </w:r>
    </w:p>
    <w:p w14:paraId="26E3B69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4.4.2征集响应文件未按征集文件要求签字、盖章的；</w:t>
      </w:r>
    </w:p>
    <w:p w14:paraId="671504E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4.4.3不具备征集文件中规定的资格要求的；</w:t>
      </w:r>
    </w:p>
    <w:p w14:paraId="5F7C5A5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4.4.4报价超过征集文件中规定的最高限价(如有)的；</w:t>
      </w:r>
    </w:p>
    <w:p w14:paraId="78BE7C5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4.4.5投标截止时间以后送达；</w:t>
      </w:r>
    </w:p>
    <w:p w14:paraId="24F4DE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4.4.6无法人身份证明书的或无法定代表人出具的授权委托书的；</w:t>
      </w:r>
    </w:p>
    <w:p w14:paraId="55BDE60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4.4.7征集响应文件的内容不全、扫描件不清晰或者关键内容字迹模糊、无法辨认的；</w:t>
      </w:r>
    </w:p>
    <w:p w14:paraId="189CCA7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4.4.8供应商递交两份或多份内容不同的征集响应文件，或在一份征集响应文件中对同一招标货物或服务报有两个或多个报价的；</w:t>
      </w:r>
    </w:p>
    <w:p w14:paraId="4FB5DF4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4.4.9征集响应文件含有征集人不能接受的附加条件的；</w:t>
      </w:r>
    </w:p>
    <w:p w14:paraId="17EDD6D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4.4.10供应商以他人名义投标、征集响应文件雷同或者以弄虚作假等方式投标的；</w:t>
      </w:r>
    </w:p>
    <w:p w14:paraId="4736FAF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4.4.11出现其他不符合法律法规和不满足征集文件实质性要求的其他情形；</w:t>
      </w:r>
    </w:p>
    <w:p w14:paraId="2CFEA6E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4.4.12未按照征集文件格式制作征集响应文件的；</w:t>
      </w:r>
    </w:p>
    <w:p w14:paraId="09E41BC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4.4.13征集响应文件中所附证件或证明材料无效不能实质性响应征集文件的；</w:t>
      </w:r>
    </w:p>
    <w:p w14:paraId="79C9340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4.4.14如征集人所采购产品为政府强制采购产品，供应商所投产品不属于品目清单范围内或未在认证证书有效期内的。</w:t>
      </w:r>
    </w:p>
    <w:p w14:paraId="14BFD5D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4.4.15征集文件中明确规定可以废标的其他情形；</w:t>
      </w:r>
    </w:p>
    <w:p w14:paraId="40367CF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4.4.16违反法律、法规及有关规定的其它行为。</w:t>
      </w:r>
    </w:p>
    <w:p w14:paraId="496F63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4.5有下列情形之一的，视为供应商串通投标，其投标无效</w:t>
      </w:r>
    </w:p>
    <w:p w14:paraId="3C0ECB0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4.5.1不同供应商的征集响应文件由同一单位或者个人编制</w:t>
      </w:r>
    </w:p>
    <w:p w14:paraId="2407810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4.5.2不同供应商委托同一单位或者个人办理投标事宜 </w:t>
      </w:r>
    </w:p>
    <w:p w14:paraId="6780463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4.5.3 不同供应商的征集响应文件载明的项目管理成员或者联系人员为同一人</w:t>
      </w:r>
    </w:p>
    <w:p w14:paraId="17F3029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4.5.3不同供应商的征集响应文件异常一致或者投标报价呈规律性差异</w:t>
      </w:r>
    </w:p>
    <w:p w14:paraId="6312747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4.5.4不同供应商的征集响应文件互相混装</w:t>
      </w:r>
    </w:p>
    <w:p w14:paraId="22CECC1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4.5.5不同供应商的投标保证金从同一单位或者个人的账户转出。</w:t>
      </w:r>
    </w:p>
    <w:p w14:paraId="3FDB71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4.6其它</w:t>
      </w:r>
    </w:p>
    <w:p w14:paraId="3B32CFA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4.6.1评标委员会有权选择和拒绝供应商中标。评标委员会无义务向供应商进行任 何有关评标的解释。</w:t>
      </w:r>
    </w:p>
    <w:p w14:paraId="01F3500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4.6.2供应商在评标过程中，所进行的力图影响评标结果的不符合招标规定的活动，可能导致其被取消中标资格。</w:t>
      </w:r>
    </w:p>
    <w:p w14:paraId="1E50ECB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4.6.3终止征集：出现下列情况之一时，征集人和采购代理机构有权宣布终止征集 活动，并将理由通知所有供应商：</w:t>
      </w:r>
    </w:p>
    <w:p w14:paraId="0F40FB8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(1)有效供应商数量不足，不符合法律规定的；</w:t>
      </w:r>
    </w:p>
    <w:p w14:paraId="418E00A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(2)出现影响采购公正的违法、违规行为的；</w:t>
      </w:r>
    </w:p>
    <w:p w14:paraId="7F04D7B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(3)因重大变故，采购任务取消的；</w:t>
      </w:r>
    </w:p>
    <w:p w14:paraId="325253C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(4)政府采购法律法规规定的其他情形。</w:t>
      </w:r>
    </w:p>
    <w:p w14:paraId="2DFD8BE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五、框架协议有效期</w:t>
      </w:r>
    </w:p>
    <w:p w14:paraId="4FE2CAE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5.1框架协议有效期：两年。</w:t>
      </w:r>
    </w:p>
    <w:p w14:paraId="18E8C80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5.2框架协议采购类型：本项目采用封闭式框架协议入围采购的方式，入围供应商无正当理由，不得主动放弃入围资格或者退出框架协议，入围供应商如出现自愿放弃，不可抗力或其他因素导致无法正常签订合同，不进行递补。</w:t>
      </w:r>
    </w:p>
    <w:p w14:paraId="1D30425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六、入围结果通知</w:t>
      </w:r>
    </w:p>
    <w:p w14:paraId="63D6946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6.1为体现“公开、公平、公正”的原则，征集结束后，采购代理机构将在安徽省政府采购网(</w:t>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HYPERLINK "http://www.ccgp-anhui.gov.cn/"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www.ccgp-anhui.gov.cn</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28"/>
        </w:rPr>
        <w:t>)上发布入围结果公告。</w:t>
      </w:r>
    </w:p>
    <w:p w14:paraId="31D53AF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6.2入围结果公告内容应当包括征集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35D7F26E">
      <w:pPr>
        <w:pageBreakBefore w:val="0"/>
        <w:kinsoku w:val="0"/>
        <w:wordWrap/>
        <w:overflowPunct/>
        <w:topLinePunct w:val="0"/>
        <w:bidi w:val="0"/>
        <w:adjustRightInd w:val="0"/>
        <w:snapToGrid w:val="0"/>
        <w:spacing w:line="360" w:lineRule="auto"/>
        <w:ind w:left="0" w:leftChars="0" w:right="0" w:rightChars="0" w:firstLine="280" w:firstLineChars="1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w:t>
      </w:r>
    </w:p>
    <w:p w14:paraId="26AD3C4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1、征集人定标前对成交候选人进行信用查询，如成交候选人存在不良信用记录，征集人应取消成交候选人资格，并按规定予以处理。</w:t>
      </w:r>
    </w:p>
    <w:p w14:paraId="58EB244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2、不良信用记录是指：</w:t>
      </w:r>
    </w:p>
    <w:p w14:paraId="014ADF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(1)供应商被人民法院列入失信被执行人；</w:t>
      </w:r>
    </w:p>
    <w:p w14:paraId="53C14D2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(2)供应商或其 法定代表人或拟派项目经理(项目负责人)被人民检察院列入行贿犯罪档案；</w:t>
      </w:r>
    </w:p>
    <w:p w14:paraId="2BCA6E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(3)供应商被工商行政管理部门列入企业经营异常名录；</w:t>
      </w:r>
    </w:p>
    <w:p w14:paraId="70B50BE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(4)供应商被税务部门列入重大税收违法案件当事人名单；</w:t>
      </w:r>
    </w:p>
    <w:p w14:paraId="64BBE9D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(5)供应商被政府采购监管部门列入政府采购严重违法失信行为记录名单，以及存在《中华人民共和国政府采购法实施条例》第十九条规定的行政处罚记录。</w:t>
      </w:r>
    </w:p>
    <w:p w14:paraId="7D50FDB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3、以联合体形式参加征集的，联合体任何成员存在以上不良信用记录的，不得确定为成交供应商。</w:t>
      </w:r>
    </w:p>
    <w:p w14:paraId="29204F8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4、信用信息查询渠道：</w:t>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HYPERLINK "http://www.ccgp.gov.cn/"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中国政府采购网(www.ccgp.gov.cn</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28"/>
        </w:rPr>
        <w:t>)、“信用中国”网站 (</w:t>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HYPERLINK "http://www.creditchina.gov.cn/"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www.creditchina.gov.cn</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28"/>
        </w:rPr>
        <w:t>)。</w:t>
      </w:r>
    </w:p>
    <w:p w14:paraId="105164E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5、信用信息记录方式：征集人将查询网页打印、签字并存档备查。</w:t>
      </w:r>
    </w:p>
    <w:p w14:paraId="00C5506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七、入围</w:t>
      </w:r>
      <w:r>
        <w:rPr>
          <w:rFonts w:hint="eastAsia" w:ascii="仿宋" w:hAnsi="仿宋" w:eastAsia="仿宋" w:cs="仿宋"/>
          <w:color w:val="auto"/>
          <w:spacing w:val="0"/>
          <w:w w:val="100"/>
          <w:position w:val="0"/>
          <w:sz w:val="28"/>
          <w:szCs w:val="28"/>
          <w:lang w:val="en-US" w:eastAsia="zh-CN"/>
        </w:rPr>
        <w:t>结果</w:t>
      </w:r>
      <w:r>
        <w:rPr>
          <w:rFonts w:hint="eastAsia" w:ascii="仿宋" w:hAnsi="仿宋" w:eastAsia="仿宋" w:cs="仿宋"/>
          <w:color w:val="auto"/>
          <w:spacing w:val="0"/>
          <w:w w:val="100"/>
          <w:position w:val="0"/>
          <w:sz w:val="28"/>
          <w:szCs w:val="28"/>
        </w:rPr>
        <w:t>通知书</w:t>
      </w:r>
    </w:p>
    <w:p w14:paraId="1D9A8C4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7.1.1采购代理机构发布成交结果公告的同时以供应商须知前附表规定的形式向成交供应商发出</w:t>
      </w:r>
      <w:r>
        <w:rPr>
          <w:rFonts w:hint="eastAsia" w:ascii="仿宋" w:hAnsi="仿宋" w:eastAsia="仿宋" w:cs="仿宋"/>
          <w:color w:val="auto"/>
          <w:spacing w:val="0"/>
          <w:w w:val="100"/>
          <w:position w:val="0"/>
          <w:sz w:val="28"/>
          <w:szCs w:val="28"/>
          <w:lang w:val="en-US" w:eastAsia="zh-CN"/>
        </w:rPr>
        <w:t>入围结果</w:t>
      </w:r>
      <w:r>
        <w:rPr>
          <w:rFonts w:hint="eastAsia" w:ascii="仿宋" w:hAnsi="仿宋" w:eastAsia="仿宋" w:cs="仿宋"/>
          <w:color w:val="auto"/>
          <w:spacing w:val="0"/>
          <w:w w:val="100"/>
          <w:position w:val="0"/>
          <w:sz w:val="28"/>
          <w:szCs w:val="28"/>
        </w:rPr>
        <w:t>通知书。</w:t>
      </w:r>
    </w:p>
    <w:p w14:paraId="72F15F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7.1.2入围结果通知书对征集人和成交供应商具有同等法律效力。成交通知书发出以后，征集人改变成交结果或者成交供应商放弃成交资格，应当承担相应的法律责任。</w:t>
      </w:r>
    </w:p>
    <w:p w14:paraId="4578FBE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7.1.3成交通知书是合同的组成部分。</w:t>
      </w:r>
    </w:p>
    <w:p w14:paraId="29B71F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7.2告知入围结果</w:t>
      </w:r>
    </w:p>
    <w:p w14:paraId="3488A09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7.2.1在公告成交结果的同时，采购代理机构同时以供应商须知前附表规定的形式 告知未成交供应商本人的评审得分和排序。</w:t>
      </w:r>
    </w:p>
    <w:p w14:paraId="03DF9DF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7.2.2采购代理机构对未成交的供应商不做未成交原因的解释。</w:t>
      </w:r>
    </w:p>
    <w:p w14:paraId="05B5763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7.2.3履约保证金(如有)</w:t>
      </w:r>
    </w:p>
    <w:p w14:paraId="64F655A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7.2.4成交供应商应按照供应商须知前附表规定缴纳履约保证金。</w:t>
      </w:r>
    </w:p>
    <w:p w14:paraId="158014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7.2.5如果成交供应商没有按照上述履约保证金的规定执行，将视为放弃成交资格。在此情况下，征集人可确定下一成交候选供应商为成交供应商，也可以重新开展采购活动。</w:t>
      </w:r>
    </w:p>
    <w:p w14:paraId="291164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八、保密</w:t>
      </w:r>
    </w:p>
    <w:p w14:paraId="0846D70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向中标人授予合同之前，征集人、采购代理机构、现场监督人员和评标委员会的成员不得向提交征集响应文件的供应商或与这些程序无关的人员泄漏与评标和合同授予有关的信息。</w:t>
      </w:r>
    </w:p>
    <w:p w14:paraId="376D9D9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九、落实的政府采购政策：/</w:t>
      </w:r>
    </w:p>
    <w:p w14:paraId="756ACB2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十、质疑与投诉</w:t>
      </w:r>
    </w:p>
    <w:p w14:paraId="7700C04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10.1</w:t>
      </w:r>
      <w:r>
        <w:rPr>
          <w:rFonts w:hint="eastAsia" w:ascii="仿宋" w:hAnsi="仿宋" w:eastAsia="仿宋" w:cs="仿宋"/>
          <w:color w:val="auto"/>
          <w:spacing w:val="0"/>
          <w:w w:val="100"/>
          <w:position w:val="0"/>
          <w:sz w:val="28"/>
          <w:szCs w:val="28"/>
          <w:lang w:eastAsia="zh-CN"/>
        </w:rPr>
        <w:t>供应商认为征集文件、采购过程、成交结果使自己的权益受到损害的，可以根据《中华人民共和国政府采购法》、《中华人民共和国政府采购法实施条例》和《政府采购质疑和投诉办法》的有关规定，依法向征集人或其委托的采购代理机构提出质疑。</w:t>
      </w:r>
    </w:p>
    <w:p w14:paraId="56086BE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10.2质疑供应商应按照财政部制定的《政府采购质疑函范本》格式和《政府采购质疑和投诉办法》的要求，在法定质疑期内以通过电子交易系统在线提出或书面提出，超出法定质疑期提交的质疑将被拒绝。针对同一采购程序环节的质疑应一次性提出。超出法定质疑期的、重复提出的、分次提出的或内容、形式不符合《政府采购质疑和投诉办法》的，质疑供应商将依法承担不利后果。</w:t>
      </w:r>
    </w:p>
    <w:p w14:paraId="60F904C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10.3采购代理机构质疑函接收部门、联系电话和通讯地址，见供应商须知前附表。</w:t>
      </w:r>
    </w:p>
    <w:p w14:paraId="7E597FA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9" w:type="default"/>
          <w:pgSz w:w="11922" w:h="16849"/>
          <w:pgMar w:top="1440" w:right="1803" w:bottom="1440" w:left="1803" w:header="1134" w:footer="1253" w:gutter="0"/>
          <w:pgNumType w:fmt="decimal"/>
          <w:cols w:space="0" w:num="1"/>
          <w:rtlGutter w:val="0"/>
          <w:docGrid w:linePitch="0" w:charSpace="0"/>
        </w:sectPr>
      </w:pPr>
    </w:p>
    <w:p w14:paraId="605AFA49">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color w:val="auto"/>
          <w:spacing w:val="0"/>
          <w:w w:val="100"/>
          <w:position w:val="0"/>
          <w:sz w:val="44"/>
          <w:szCs w:val="44"/>
        </w:rPr>
      </w:pPr>
      <w:bookmarkStart w:id="4" w:name="_Toc21744"/>
      <w:r>
        <w:rPr>
          <w:rFonts w:hint="eastAsia" w:ascii="仿宋" w:hAnsi="仿宋" w:eastAsia="仿宋" w:cs="仿宋"/>
          <w:b/>
          <w:bCs/>
          <w:color w:val="auto"/>
          <w:spacing w:val="0"/>
          <w:w w:val="100"/>
          <w:position w:val="0"/>
          <w:sz w:val="44"/>
          <w:szCs w:val="44"/>
        </w:rPr>
        <w:t>第三章 采购需求</w:t>
      </w:r>
      <w:bookmarkEnd w:id="4"/>
    </w:p>
    <w:p w14:paraId="45BAAB2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前注：</w:t>
      </w:r>
    </w:p>
    <w:p w14:paraId="56F79349">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本采购需求中提出的服务方案仅为参考，如无明确限制，供应商可以进行优化，提供满足征集人实际需要的更优(或者性能实质上不低于的)服务方案，且此方案须经评标委员会评审认可。</w:t>
      </w:r>
    </w:p>
    <w:p w14:paraId="4903C32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一、采购需求前附表</w:t>
      </w:r>
    </w:p>
    <w:tbl>
      <w:tblPr>
        <w:tblStyle w:val="22"/>
        <w:tblW w:w="8560"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366"/>
        <w:gridCol w:w="6180"/>
      </w:tblGrid>
      <w:tr w14:paraId="4BEAB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014" w:type="dxa"/>
            <w:vAlign w:val="top"/>
          </w:tcPr>
          <w:p w14:paraId="254B2CDE">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序号</w:t>
            </w:r>
          </w:p>
        </w:tc>
        <w:tc>
          <w:tcPr>
            <w:tcW w:w="1366" w:type="dxa"/>
            <w:vAlign w:val="top"/>
          </w:tcPr>
          <w:p w14:paraId="5908944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条款名称</w:t>
            </w:r>
          </w:p>
        </w:tc>
        <w:tc>
          <w:tcPr>
            <w:tcW w:w="6180" w:type="dxa"/>
            <w:vAlign w:val="top"/>
          </w:tcPr>
          <w:p w14:paraId="581EAFE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内容、说明与要求</w:t>
            </w:r>
          </w:p>
        </w:tc>
      </w:tr>
      <w:tr w14:paraId="1B16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14" w:type="dxa"/>
            <w:vAlign w:val="center"/>
          </w:tcPr>
          <w:p w14:paraId="57053B4E">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1</w:t>
            </w:r>
          </w:p>
        </w:tc>
        <w:tc>
          <w:tcPr>
            <w:tcW w:w="1366" w:type="dxa"/>
            <w:vAlign w:val="center"/>
          </w:tcPr>
          <w:p w14:paraId="6DB551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付款方式</w:t>
            </w:r>
          </w:p>
        </w:tc>
        <w:tc>
          <w:tcPr>
            <w:tcW w:w="6180" w:type="dxa"/>
            <w:vAlign w:val="center"/>
          </w:tcPr>
          <w:p w14:paraId="5DF309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各单位按照协议中标价格，与成交供应商进行结</w:t>
            </w:r>
          </w:p>
          <w:p w14:paraId="6CF132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算。</w:t>
            </w:r>
          </w:p>
        </w:tc>
      </w:tr>
      <w:tr w14:paraId="5CA7C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4" w:type="dxa"/>
            <w:vAlign w:val="center"/>
          </w:tcPr>
          <w:p w14:paraId="4CE6321E">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2</w:t>
            </w:r>
          </w:p>
        </w:tc>
        <w:tc>
          <w:tcPr>
            <w:tcW w:w="1366" w:type="dxa"/>
            <w:vAlign w:val="center"/>
          </w:tcPr>
          <w:p w14:paraId="48BCE8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服务地点</w:t>
            </w:r>
          </w:p>
        </w:tc>
        <w:tc>
          <w:tcPr>
            <w:tcW w:w="6180" w:type="dxa"/>
            <w:vAlign w:val="center"/>
          </w:tcPr>
          <w:p w14:paraId="17A1BA3E">
            <w:pPr>
              <w:keepNext w:val="0"/>
              <w:keepLines w:val="0"/>
              <w:widowControl/>
              <w:suppressLineNumbers w:val="0"/>
              <w:jc w:val="center"/>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000000"/>
                <w:kern w:val="0"/>
                <w:sz w:val="28"/>
                <w:szCs w:val="28"/>
                <w:lang w:val="en-US" w:eastAsia="zh-CN" w:bidi="ar"/>
              </w:rPr>
              <w:t>阜阳市</w:t>
            </w:r>
          </w:p>
        </w:tc>
      </w:tr>
      <w:tr w14:paraId="68287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014" w:type="dxa"/>
            <w:vAlign w:val="center"/>
          </w:tcPr>
          <w:p w14:paraId="54A8836C">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3</w:t>
            </w:r>
          </w:p>
        </w:tc>
        <w:tc>
          <w:tcPr>
            <w:tcW w:w="1366" w:type="dxa"/>
            <w:vAlign w:val="center"/>
          </w:tcPr>
          <w:p w14:paraId="7DA96B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服务期限</w:t>
            </w:r>
          </w:p>
        </w:tc>
        <w:tc>
          <w:tcPr>
            <w:tcW w:w="6180" w:type="dxa"/>
            <w:vAlign w:val="center"/>
          </w:tcPr>
          <w:p w14:paraId="1DEFA97D">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1+1</w:t>
            </w:r>
            <w:r>
              <w:rPr>
                <w:rFonts w:hint="eastAsia" w:ascii="仿宋" w:hAnsi="仿宋" w:eastAsia="仿宋" w:cs="仿宋"/>
                <w:snapToGrid w:val="0"/>
                <w:color w:val="auto"/>
                <w:spacing w:val="0"/>
                <w:w w:val="100"/>
                <w:kern w:val="0"/>
                <w:position w:val="0"/>
                <w:sz w:val="28"/>
                <w:szCs w:val="28"/>
                <w:lang w:val="en-US" w:eastAsia="en-US" w:bidi="ar-SA"/>
              </w:rPr>
              <w:t>年</w:t>
            </w:r>
          </w:p>
        </w:tc>
      </w:tr>
    </w:tbl>
    <w:p w14:paraId="45B2601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二、项目概况</w:t>
      </w:r>
    </w:p>
    <w:p w14:paraId="49D78EBF">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为进一步推进公共支出改革，加强机关公务用车用油管理，规范财政支出管理工作，提高财政资金的使用透明度，降低机关运行成本，并更好为市直各单位提供服务，根据《安徽省党政机关公务用车管理实施办法》、《安徽省政府采购管理暂行办法》和《中华人民共和国财政部令第 110 号--政府采购框架协议采购方式管理暂行办法》等法律、法规的规定，结合我区实施综合预算的要求，对进两个年度颍东区行政事业单位公务用车加油服务进行框架协议采购。具体服务由采购人（或服务对象）和入围供应商按协议价格和服务内容签订。</w:t>
      </w:r>
    </w:p>
    <w:p w14:paraId="7AFCB92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三、服务需求</w:t>
      </w:r>
    </w:p>
    <w:p w14:paraId="09FF3BBE">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1、车辆范围：颍东区各行政事业单位、颍东区财政综合预算中供给的所有车辆。</w:t>
      </w:r>
    </w:p>
    <w:p w14:paraId="1DCE9852">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2、具有提供全年 365 天，每天 24 小时的加油服务能力。为了便于出行，在阜阳市内有加油站点的优先考虑。</w:t>
      </w:r>
      <w:r>
        <w:rPr>
          <w:rFonts w:hint="eastAsia" w:ascii="仿宋" w:hAnsi="仿宋" w:eastAsia="仿宋" w:cs="仿宋"/>
          <w:color w:val="auto"/>
          <w:spacing w:val="0"/>
          <w:w w:val="100"/>
          <w:position w:val="0"/>
          <w:sz w:val="28"/>
          <w:szCs w:val="28"/>
          <w:lang w:val="en-US" w:eastAsia="zh-CN"/>
        </w:rPr>
        <w:t>（</w:t>
      </w:r>
      <w:r>
        <w:rPr>
          <w:rFonts w:hint="eastAsia" w:ascii="仿宋" w:hAnsi="仿宋" w:eastAsia="仿宋" w:cs="仿宋"/>
          <w:color w:val="auto"/>
          <w:spacing w:val="0"/>
          <w:w w:val="100"/>
          <w:position w:val="0"/>
          <w:sz w:val="28"/>
          <w:szCs w:val="28"/>
          <w:lang w:val="en-US" w:eastAsia="en-US"/>
        </w:rPr>
        <w:t>注：提供营业加油站点的门头照片，到</w:t>
      </w:r>
      <w:r>
        <w:rPr>
          <w:rFonts w:hint="eastAsia" w:ascii="仿宋" w:hAnsi="仿宋" w:eastAsia="仿宋" w:cs="仿宋"/>
          <w:color w:val="auto"/>
          <w:spacing w:val="0"/>
          <w:w w:val="100"/>
          <w:position w:val="0"/>
          <w:sz w:val="28"/>
          <w:szCs w:val="28"/>
          <w:lang w:val="en-US" w:eastAsia="zh-CN"/>
        </w:rPr>
        <w:t>阜阳市颍东区机关事务管理服务中心</w:t>
      </w:r>
      <w:r>
        <w:rPr>
          <w:rFonts w:hint="eastAsia" w:ascii="仿宋" w:hAnsi="仿宋" w:eastAsia="仿宋" w:cs="仿宋"/>
          <w:color w:val="auto"/>
          <w:spacing w:val="0"/>
          <w:w w:val="100"/>
          <w:position w:val="0"/>
          <w:sz w:val="28"/>
          <w:szCs w:val="28"/>
          <w:lang w:val="en-US" w:eastAsia="en-US"/>
        </w:rPr>
        <w:t>的距离截图，以保证供应商具有承担本项目的服务能力。优先考虑距离近的。）</w:t>
      </w:r>
    </w:p>
    <w:p w14:paraId="62C586D6">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3、提供的油料品质须符合国家标准。</w:t>
      </w:r>
    </w:p>
    <w:p w14:paraId="1E5C2423">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4、实行一车一卡，不与其他车辆混用，如违约，一经发现，采购人有权终止合同，由此造成的一切后果由供应商自行承担。入围供应商在阜阳市有固定的加油场所。</w:t>
      </w:r>
    </w:p>
    <w:p w14:paraId="020C837C">
      <w:pPr>
        <w:pageBreakBefore w:val="0"/>
        <w:numPr>
          <w:ilvl w:val="0"/>
          <w:numId w:val="0"/>
        </w:numPr>
        <w:kinsoku w:val="0"/>
        <w:wordWrap/>
        <w:overflowPunct/>
        <w:topLinePunct w:val="0"/>
        <w:bidi w:val="0"/>
        <w:adjustRightInd w:val="0"/>
        <w:snapToGrid w:val="0"/>
        <w:spacing w:line="360" w:lineRule="auto"/>
        <w:ind w:right="0" w:rightChars="0"/>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rPr>
        <w:t>四、报价要求</w:t>
      </w:r>
    </w:p>
    <w:p w14:paraId="241A714C">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1、本项目为费率报价，以当日成品油销售单价为基数按费率形式进行报价（报价不得高于100%），所报费率为所有油品的统一费率。履约期内公务用车定点加油实际结算费用=实际用油量*当日成品油销售单价*成交费率（如：成交供应商成交费率为 80%，则履约期内实际结算费用=实际用油量*成品油当日销售单价*80%）。此次报价均为含税价；</w:t>
      </w:r>
    </w:p>
    <w:p w14:paraId="10BEB379">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2、本项目最终结算方式以采购人与中标供应商签订的合同约定为准，并作为项目最终结算依据；</w:t>
      </w:r>
    </w:p>
    <w:p w14:paraId="7FD6831D">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3、投标报价为优惠后费率；</w:t>
      </w:r>
    </w:p>
    <w:p w14:paraId="6204D675">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4、款项支付：纳入加油范围内的车辆，由各单位与入围供应商签订协议，自行结算。各单位与本次入围供应商之外单位签订的加油协议及费用，不予认可和支付有关费用。</w:t>
      </w:r>
    </w:p>
    <w:p w14:paraId="3DB42B4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rPr>
        <w:t>五、其他要求</w:t>
      </w:r>
    </w:p>
    <w:p w14:paraId="0721DE34">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投标人中标后需满足以下要求：</w:t>
      </w:r>
    </w:p>
    <w:p w14:paraId="2CF6C015">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1、入围供应商应严格遵守国家法律法规，认真执行国家和行业相关管理法规及规范性文件，合法经营，按章办事，诚实守信。</w:t>
      </w:r>
    </w:p>
    <w:p w14:paraId="29E75F48">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2、入围供应商及工作人员须有从事该业务的相关资质，文明上岗，诚信守时，作风正派，有较强的服务意识和保密意识等。</w:t>
      </w:r>
    </w:p>
    <w:p w14:paraId="354B1EAC">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3、入围供应商所供油品必须符合国家质量标准；油料计量误差在计监管理部门核定的范围（±3‰）之内。</w:t>
      </w:r>
    </w:p>
    <w:p w14:paraId="67E8307E">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en-US"/>
        </w:rPr>
        <w:t>4、入围供应商（乙方）应提供 24 小时加油服务（含法定节假日）。</w:t>
      </w:r>
    </w:p>
    <w:p w14:paraId="64E3F597">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zh-CN"/>
        </w:rPr>
        <w:t>5</w:t>
      </w:r>
      <w:r>
        <w:rPr>
          <w:rFonts w:hint="eastAsia" w:ascii="仿宋" w:hAnsi="仿宋" w:eastAsia="仿宋" w:cs="仿宋"/>
          <w:color w:val="auto"/>
          <w:spacing w:val="0"/>
          <w:w w:val="100"/>
          <w:position w:val="0"/>
          <w:sz w:val="28"/>
          <w:szCs w:val="28"/>
          <w:lang w:val="en-US" w:eastAsia="en-US"/>
        </w:rPr>
        <w:t>、采购人对入围供应商进行考核。若入围供应商出现转包或服务态度恶劣等不良情况，采购人有权解除框架协议。</w:t>
      </w:r>
    </w:p>
    <w:p w14:paraId="5AEA15AB">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zh-CN"/>
        </w:rPr>
        <w:t>6</w:t>
      </w:r>
      <w:r>
        <w:rPr>
          <w:rFonts w:hint="eastAsia" w:ascii="仿宋" w:hAnsi="仿宋" w:eastAsia="仿宋" w:cs="仿宋"/>
          <w:color w:val="auto"/>
          <w:spacing w:val="0"/>
          <w:w w:val="100"/>
          <w:position w:val="0"/>
          <w:sz w:val="28"/>
          <w:szCs w:val="28"/>
          <w:lang w:val="en-US" w:eastAsia="en-US"/>
        </w:rPr>
        <w:t>、入围供应商在基本服务质量要求外，应就服务创新、服务内容、应急、服务监督等方面提出服务保证。</w:t>
      </w:r>
    </w:p>
    <w:p w14:paraId="5D0E98E7">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zh-CN"/>
        </w:rPr>
        <w:t>7</w:t>
      </w:r>
      <w:r>
        <w:rPr>
          <w:rFonts w:hint="eastAsia" w:ascii="仿宋" w:hAnsi="仿宋" w:eastAsia="仿宋" w:cs="仿宋"/>
          <w:color w:val="auto"/>
          <w:spacing w:val="0"/>
          <w:w w:val="100"/>
          <w:position w:val="0"/>
          <w:sz w:val="28"/>
          <w:szCs w:val="28"/>
          <w:lang w:val="en-US" w:eastAsia="en-US"/>
        </w:rPr>
        <w:t>、入围供应商积极接受采购人履约监督及现场检查，配合采购人组织的日常考核、监督检查和管理。</w:t>
      </w:r>
    </w:p>
    <w:p w14:paraId="497B4B27">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lang w:val="en-US" w:eastAsia="en-US"/>
        </w:rPr>
      </w:pPr>
      <w:r>
        <w:rPr>
          <w:rFonts w:hint="eastAsia" w:ascii="仿宋" w:hAnsi="仿宋" w:eastAsia="仿宋" w:cs="仿宋"/>
          <w:color w:val="auto"/>
          <w:spacing w:val="0"/>
          <w:w w:val="100"/>
          <w:position w:val="0"/>
          <w:sz w:val="28"/>
          <w:szCs w:val="28"/>
          <w:lang w:val="en-US" w:eastAsia="zh-CN"/>
        </w:rPr>
        <w:t>8</w:t>
      </w:r>
      <w:r>
        <w:rPr>
          <w:rFonts w:hint="eastAsia" w:ascii="仿宋" w:hAnsi="仿宋" w:eastAsia="仿宋" w:cs="仿宋"/>
          <w:color w:val="auto"/>
          <w:spacing w:val="0"/>
          <w:w w:val="100"/>
          <w:position w:val="0"/>
          <w:sz w:val="28"/>
          <w:szCs w:val="28"/>
          <w:lang w:val="en-US" w:eastAsia="en-US"/>
        </w:rPr>
        <w:t>、本项目服务期内，入围供应商须确定 1 名联系人承担协调工作。联系人在服务期内原则上不得更换，如确需更换，要取得征集人同意并备案。</w:t>
      </w:r>
    </w:p>
    <w:p w14:paraId="6542E66B">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9</w:t>
      </w:r>
      <w:r>
        <w:rPr>
          <w:rFonts w:hint="eastAsia" w:ascii="仿宋" w:hAnsi="仿宋" w:eastAsia="仿宋" w:cs="仿宋"/>
          <w:color w:val="auto"/>
          <w:spacing w:val="0"/>
          <w:w w:val="100"/>
          <w:position w:val="0"/>
          <w:sz w:val="28"/>
          <w:szCs w:val="28"/>
          <w:lang w:val="en-US" w:eastAsia="en-US"/>
        </w:rPr>
        <w:t>、供应商由于对本框架协议采购文件的理解发生误差，没有按照文件要求提交全部资料或递交没有对文件作出实质性响应的投标文件，其风险由投标人自行承担。</w:t>
      </w:r>
      <w:r>
        <w:rPr>
          <w:rFonts w:hint="eastAsia" w:ascii="仿宋" w:hAnsi="仿宋" w:eastAsia="仿宋" w:cs="仿宋"/>
          <w:color w:val="auto"/>
          <w:spacing w:val="0"/>
          <w:w w:val="100"/>
          <w:position w:val="0"/>
          <w:sz w:val="28"/>
          <w:szCs w:val="28"/>
        </w:rPr>
        <w:br w:type="page"/>
      </w:r>
    </w:p>
    <w:p w14:paraId="6C12BD8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color w:val="auto"/>
          <w:spacing w:val="0"/>
          <w:w w:val="100"/>
          <w:position w:val="0"/>
          <w:sz w:val="44"/>
          <w:szCs w:val="44"/>
        </w:rPr>
      </w:pPr>
      <w:bookmarkStart w:id="5" w:name="_Toc28157"/>
      <w:r>
        <w:rPr>
          <w:rFonts w:hint="eastAsia" w:ascii="仿宋" w:hAnsi="仿宋" w:eastAsia="仿宋" w:cs="仿宋"/>
          <w:b/>
          <w:bCs/>
          <w:color w:val="auto"/>
          <w:spacing w:val="0"/>
          <w:w w:val="100"/>
          <w:position w:val="0"/>
          <w:sz w:val="44"/>
          <w:szCs w:val="44"/>
        </w:rPr>
        <w:t>第四章 评标办法</w:t>
      </w:r>
      <w:bookmarkEnd w:id="5"/>
    </w:p>
    <w:p w14:paraId="5F3A067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一、评标原则</w:t>
      </w:r>
    </w:p>
    <w:p w14:paraId="73AA41D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根据《中华人民共和国政府采购法》及相关法律法规的</w:t>
      </w:r>
      <w:r>
        <w:rPr>
          <w:rFonts w:hint="eastAsia" w:ascii="仿宋" w:hAnsi="仿宋" w:eastAsia="仿宋" w:cs="仿宋"/>
          <w:color w:val="auto"/>
          <w:spacing w:val="0"/>
          <w:w w:val="100"/>
          <w:position w:val="0"/>
          <w:sz w:val="28"/>
          <w:szCs w:val="28"/>
          <w:lang w:eastAsia="zh-CN"/>
        </w:rPr>
        <w:t>有关</w:t>
      </w:r>
      <w:r>
        <w:rPr>
          <w:rFonts w:hint="eastAsia" w:ascii="仿宋" w:hAnsi="仿宋" w:eastAsia="仿宋" w:cs="仿宋"/>
          <w:color w:val="auto"/>
          <w:spacing w:val="0"/>
          <w:w w:val="100"/>
          <w:position w:val="0"/>
          <w:sz w:val="28"/>
          <w:szCs w:val="28"/>
        </w:rPr>
        <w:t>规定，在坚持公平、公正、科学、择优的原则基础上，由评标委员会根据征集文件载明的评标办法和标准，对供应商进行综合评定。</w:t>
      </w:r>
    </w:p>
    <w:p w14:paraId="1929A6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二、评标委员会的组成：</w:t>
      </w:r>
    </w:p>
    <w:p w14:paraId="093C6BD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人依法组建评标委员会，评标委员会由征集人和评标专家库中随机抽取的技术、经济等有关方面的专家组成，成员人数为五人以上单数，其中技术、经济等方面的专家不得少于成员总数的三分之二。有《中华人民共和国政府采购法实施条例》中第九条规定情形中的专家及征集人评委应当回避不能担任评委。</w:t>
      </w:r>
    </w:p>
    <w:p w14:paraId="20399F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三、评标办法</w:t>
      </w:r>
    </w:p>
    <w:p w14:paraId="03758A1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根据中华人民共和国财政部令第110号《政府采购框架协议采购方式管理暂行办法》的相关规定，确定第一阶段入围供应商的评审方法为质量优先法，对满足征集文件采购需求全部实质性要求且响应报价不超过最高限制单价的服务进行质量综合评分，按照质量评分从高到低排序，根据征集文件规定的入围供应商数量上限，确定入围供应商。服务项目质量因素包括服务内容、服务水平、供应商的履约能力、服务经验等。</w:t>
      </w:r>
    </w:p>
    <w:p w14:paraId="1BD1AF5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四、评审程序</w:t>
      </w:r>
    </w:p>
    <w:p w14:paraId="17DD492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4.1.1 资格评审(资格后审)：征集人或采购代理机构依据法律法规和征集文件的规定，对供应商进行资格性审查，以确定供应商是否具备投标资格。(详见资格审查表) </w:t>
      </w:r>
    </w:p>
    <w:p w14:paraId="2EF5600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4.1.2 初步评审</w:t>
      </w:r>
    </w:p>
    <w:p w14:paraId="7531829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符合性检查。依据征集文件的规定，从征集响应文件的有效性、完整性和对征集文件的响应程度进行审查，以确定是否对征集文件的实质性要求作出响应。征集响应文件报价出现前后不一致的，按照下列规定修正:</w:t>
      </w:r>
    </w:p>
    <w:p w14:paraId="5E6DA8B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(1)征集响应文件中开标一览表(报价表)内容与征集响应文件中相应内容不一致 的，以开标一览表(报价表)为准；</w:t>
      </w:r>
    </w:p>
    <w:p w14:paraId="725A333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(2)征集响应文件的大写金额和小写金额不一致的，以大写金额为准；</w:t>
      </w:r>
    </w:p>
    <w:p w14:paraId="2E43953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(3)总价金额与按单价汇总金额不一致的，以单价金额计算结果为准；</w:t>
      </w:r>
    </w:p>
    <w:p w14:paraId="17856FB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(4)单价金额小数点或者百分比有明显错位的，以开标一览表的总价为准，并修改单价；</w:t>
      </w:r>
    </w:p>
    <w:p w14:paraId="4717599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(5)对不同文字文本征集响应文件的解释发生异议的，以中文文本为准。</w:t>
      </w:r>
    </w:p>
    <w:p w14:paraId="0346EA4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供应商拒不按照要求对征集响应文件进行澄清、说明或者补正的，或者对报价修正不确认的，评标委员会可以否决其投标。</w:t>
      </w:r>
    </w:p>
    <w:p w14:paraId="7968473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4.1.3 比较与评价。</w:t>
      </w:r>
    </w:p>
    <w:p w14:paraId="79876D0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按征集文件中规定的评标方法和标准，对资格性检查和符合性检查合格的征集响应文件进行商务和技术等其他因素的评估，综合比较与评价。</w:t>
      </w:r>
    </w:p>
    <w:p w14:paraId="756CAC7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4.1.4 确定入围供应商。</w:t>
      </w:r>
    </w:p>
    <w:p w14:paraId="715617AD">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确定第一阶段入围单位时，对满足采购需求且通过初审的供应商服务进行质量综合评分。确定第一阶段入围单位时，提交响应文件和符合资格条件、实质性要求的供应商应当均不少于 2 家，淘汰比例一般不得低于</w:t>
      </w:r>
      <w:r>
        <w:rPr>
          <w:rFonts w:hint="eastAsia" w:ascii="仿宋" w:hAnsi="仿宋" w:eastAsia="仿宋" w:cs="仿宋"/>
          <w:snapToGrid w:val="0"/>
          <w:color w:val="auto"/>
          <w:kern w:val="0"/>
          <w:sz w:val="28"/>
          <w:szCs w:val="28"/>
          <w:lang w:val="en-US" w:eastAsia="zh-CN" w:bidi="ar"/>
        </w:rPr>
        <w:t>20%，且至少淘汰一家供应商。</w:t>
      </w:r>
    </w:p>
    <w:p w14:paraId="2C886F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4.2 评标细则</w:t>
      </w:r>
    </w:p>
    <w:p w14:paraId="5178319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4.2.1 本项目在供应商须知前附表里设最高限价，投标报价高于最高限价或由评标委员会认定低于成本价的，其报价无效。</w:t>
      </w:r>
    </w:p>
    <w:p w14:paraId="03941B3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4.2.2 有效报价指通过了资格后审及初步评审，并对评标委员会提出的澄清、说明或者纠正以书面的形式提交了澄清、说明或者补正的投标单位的投标报价为有效报价。严重偏离市场价格或低于成本价的除外。评标委员会认为供应商的报价明显低于其他通过符合性审查供应商的报价，有可能影响项目质量或者不能诚信履约的，应当要求其在评标现场合理的时间内提供书面说明(供应商应自行考虑自身报价情况提前准备证明材料，以备递交评标委员会)，同时提交相关证明材料；供应商不能证明其报价合理性的，评标委员会应当将其作为无效投标处理。</w:t>
      </w:r>
    </w:p>
    <w:p w14:paraId="3A0183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五、评分标准及因素</w:t>
      </w:r>
    </w:p>
    <w:p w14:paraId="3E7F047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5.1 资格审查</w:t>
      </w:r>
    </w:p>
    <w:p w14:paraId="1BECDFC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采购人或代理机构对</w:t>
      </w:r>
      <w:r>
        <w:rPr>
          <w:rFonts w:hint="eastAsia" w:ascii="仿宋" w:hAnsi="仿宋" w:eastAsia="仿宋" w:cs="仿宋"/>
          <w:color w:val="auto"/>
          <w:spacing w:val="0"/>
          <w:w w:val="100"/>
          <w:position w:val="0"/>
          <w:sz w:val="28"/>
          <w:szCs w:val="28"/>
          <w:lang w:val="en-US" w:eastAsia="zh-CN"/>
        </w:rPr>
        <w:t>供应商</w:t>
      </w:r>
      <w:r>
        <w:rPr>
          <w:rFonts w:hint="eastAsia" w:ascii="仿宋" w:hAnsi="仿宋" w:eastAsia="仿宋" w:cs="仿宋"/>
          <w:color w:val="auto"/>
          <w:spacing w:val="0"/>
          <w:w w:val="100"/>
          <w:position w:val="0"/>
          <w:sz w:val="28"/>
          <w:szCs w:val="28"/>
        </w:rPr>
        <w:t>的资格进行审查，审查</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是否响应</w:t>
      </w:r>
      <w:r>
        <w:rPr>
          <w:rFonts w:hint="eastAsia" w:ascii="仿宋" w:hAnsi="仿宋" w:eastAsia="仿宋" w:cs="仿宋"/>
          <w:color w:val="auto"/>
          <w:spacing w:val="0"/>
          <w:w w:val="100"/>
          <w:position w:val="0"/>
          <w:sz w:val="28"/>
          <w:szCs w:val="28"/>
          <w:lang w:val="en-US" w:eastAsia="zh-CN"/>
        </w:rPr>
        <w:t>征集</w:t>
      </w:r>
      <w:r>
        <w:rPr>
          <w:rFonts w:hint="eastAsia" w:ascii="仿宋" w:hAnsi="仿宋" w:eastAsia="仿宋" w:cs="仿宋"/>
          <w:color w:val="auto"/>
          <w:spacing w:val="0"/>
          <w:w w:val="100"/>
          <w:position w:val="0"/>
          <w:sz w:val="28"/>
          <w:szCs w:val="28"/>
        </w:rPr>
        <w:t>文件的资格要求。当发现</w:t>
      </w:r>
      <w:r>
        <w:rPr>
          <w:rFonts w:hint="eastAsia" w:ascii="仿宋" w:hAnsi="仿宋" w:eastAsia="仿宋" w:cs="仿宋"/>
          <w:color w:val="auto"/>
          <w:spacing w:val="0"/>
          <w:w w:val="100"/>
          <w:position w:val="0"/>
          <w:sz w:val="28"/>
          <w:szCs w:val="28"/>
          <w:lang w:val="en-US" w:eastAsia="zh-CN"/>
        </w:rPr>
        <w:t>供应商</w:t>
      </w:r>
      <w:r>
        <w:rPr>
          <w:rFonts w:hint="eastAsia" w:ascii="仿宋" w:hAnsi="仿宋" w:eastAsia="仿宋" w:cs="仿宋"/>
          <w:color w:val="auto"/>
          <w:spacing w:val="0"/>
          <w:w w:val="100"/>
          <w:position w:val="0"/>
          <w:sz w:val="28"/>
          <w:szCs w:val="28"/>
        </w:rPr>
        <w:t>或其</w:t>
      </w:r>
      <w:r>
        <w:rPr>
          <w:rFonts w:hint="eastAsia" w:ascii="仿宋" w:hAnsi="仿宋" w:eastAsia="仿宋" w:cs="仿宋"/>
          <w:color w:val="auto"/>
          <w:spacing w:val="0"/>
          <w:w w:val="100"/>
          <w:position w:val="0"/>
          <w:sz w:val="28"/>
          <w:szCs w:val="28"/>
          <w:lang w:val="en-US" w:eastAsia="zh-CN"/>
        </w:rPr>
        <w:t>响应</w:t>
      </w:r>
      <w:r>
        <w:rPr>
          <w:rFonts w:hint="eastAsia" w:ascii="仿宋" w:hAnsi="仿宋" w:eastAsia="仿宋" w:cs="仿宋"/>
          <w:color w:val="auto"/>
          <w:spacing w:val="0"/>
          <w:w w:val="100"/>
          <w:position w:val="0"/>
          <w:sz w:val="28"/>
          <w:szCs w:val="28"/>
        </w:rPr>
        <w:t>文件存在下列情况之一时，将判定投标人的资格不符合要求，资格审查不通过。</w:t>
      </w:r>
    </w:p>
    <w:p w14:paraId="1FB6316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资格审查表如下：</w:t>
      </w:r>
    </w:p>
    <w:tbl>
      <w:tblPr>
        <w:tblStyle w:val="22"/>
        <w:tblW w:w="8985"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790"/>
        <w:gridCol w:w="2085"/>
        <w:gridCol w:w="4380"/>
      </w:tblGrid>
      <w:tr w14:paraId="50D4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985" w:type="dxa"/>
            <w:gridSpan w:val="4"/>
            <w:vAlign w:val="center"/>
          </w:tcPr>
          <w:p w14:paraId="6CFE9F0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资格审查表</w:t>
            </w:r>
          </w:p>
        </w:tc>
      </w:tr>
      <w:tr w14:paraId="2DD2E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0" w:type="dxa"/>
            <w:vAlign w:val="center"/>
          </w:tcPr>
          <w:p w14:paraId="6A357A22">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序号</w:t>
            </w:r>
          </w:p>
        </w:tc>
        <w:tc>
          <w:tcPr>
            <w:tcW w:w="1790" w:type="dxa"/>
            <w:vAlign w:val="center"/>
          </w:tcPr>
          <w:p w14:paraId="558B43C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评审指标</w:t>
            </w:r>
          </w:p>
        </w:tc>
        <w:tc>
          <w:tcPr>
            <w:tcW w:w="2085" w:type="dxa"/>
            <w:tcBorders>
              <w:right w:val="single" w:color="000000" w:sz="4" w:space="0"/>
            </w:tcBorders>
            <w:vAlign w:val="center"/>
          </w:tcPr>
          <w:p w14:paraId="379954CB">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评审标准</w:t>
            </w:r>
          </w:p>
        </w:tc>
        <w:tc>
          <w:tcPr>
            <w:tcW w:w="4380" w:type="dxa"/>
            <w:tcBorders>
              <w:left w:val="single" w:color="000000" w:sz="4" w:space="0"/>
            </w:tcBorders>
            <w:vAlign w:val="center"/>
          </w:tcPr>
          <w:p w14:paraId="06F0C8B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格式及材料要求</w:t>
            </w:r>
          </w:p>
        </w:tc>
      </w:tr>
      <w:tr w14:paraId="34DD7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9" w:hRule="atLeast"/>
        </w:trPr>
        <w:tc>
          <w:tcPr>
            <w:tcW w:w="730" w:type="dxa"/>
            <w:vAlign w:val="center"/>
          </w:tcPr>
          <w:p w14:paraId="4E114585">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p>
        </w:tc>
        <w:tc>
          <w:tcPr>
            <w:tcW w:w="1790" w:type="dxa"/>
            <w:vAlign w:val="center"/>
          </w:tcPr>
          <w:p w14:paraId="3453E60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营业执照</w:t>
            </w:r>
          </w:p>
        </w:tc>
        <w:tc>
          <w:tcPr>
            <w:tcW w:w="2085" w:type="dxa"/>
            <w:tcBorders>
              <w:right w:val="single" w:color="000000" w:sz="4" w:space="0"/>
            </w:tcBorders>
            <w:vAlign w:val="center"/>
          </w:tcPr>
          <w:p w14:paraId="254A462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合法有效</w:t>
            </w:r>
          </w:p>
        </w:tc>
        <w:tc>
          <w:tcPr>
            <w:tcW w:w="4380" w:type="dxa"/>
            <w:vMerge w:val="restart"/>
            <w:tcBorders>
              <w:left w:val="single" w:color="000000" w:sz="4" w:space="0"/>
              <w:bottom w:val="nil"/>
            </w:tcBorders>
            <w:vAlign w:val="center"/>
          </w:tcPr>
          <w:p w14:paraId="76095387">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提供有效的供应商营业执照（或事业单位法人登记证书）和税务登记证的 扫描件或影印件，应完整的体现出营业执照（或事业单位法人登记证书）和税务登记证的全部内容。已办理“ 三证合一 ”登记的，响应文件中提供 营业执照（或事业单位法人登记证书) 扫描件即可。联合体参加</w:t>
            </w:r>
            <w:r>
              <w:rPr>
                <w:rFonts w:hint="eastAsia" w:ascii="仿宋" w:hAnsi="仿宋" w:eastAsia="仿宋" w:cs="仿宋"/>
                <w:color w:val="auto"/>
                <w:spacing w:val="0"/>
                <w:w w:val="100"/>
                <w:position w:val="0"/>
                <w:sz w:val="28"/>
                <w:szCs w:val="28"/>
                <w:lang w:eastAsia="zh-CN"/>
              </w:rPr>
              <w:t>投标</w:t>
            </w:r>
            <w:r>
              <w:rPr>
                <w:rFonts w:hint="eastAsia" w:ascii="仿宋" w:hAnsi="仿宋" w:eastAsia="仿宋" w:cs="仿宋"/>
                <w:color w:val="auto"/>
                <w:spacing w:val="0"/>
                <w:w w:val="100"/>
                <w:position w:val="0"/>
                <w:sz w:val="28"/>
                <w:szCs w:val="28"/>
              </w:rPr>
              <w:t>的联合体各方均须提供。</w:t>
            </w:r>
          </w:p>
        </w:tc>
      </w:tr>
      <w:tr w14:paraId="100D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730" w:type="dxa"/>
            <w:vAlign w:val="center"/>
          </w:tcPr>
          <w:p w14:paraId="21CB725E">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p>
        </w:tc>
        <w:tc>
          <w:tcPr>
            <w:tcW w:w="1790" w:type="dxa"/>
            <w:vAlign w:val="center"/>
          </w:tcPr>
          <w:p w14:paraId="39E00A9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税务登记证</w:t>
            </w:r>
          </w:p>
        </w:tc>
        <w:tc>
          <w:tcPr>
            <w:tcW w:w="2085" w:type="dxa"/>
            <w:tcBorders>
              <w:right w:val="single" w:color="000000" w:sz="4" w:space="0"/>
            </w:tcBorders>
            <w:vAlign w:val="center"/>
          </w:tcPr>
          <w:p w14:paraId="07D40F3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合法有效</w:t>
            </w:r>
          </w:p>
        </w:tc>
        <w:tc>
          <w:tcPr>
            <w:tcW w:w="4380" w:type="dxa"/>
            <w:vMerge w:val="continue"/>
            <w:tcBorders>
              <w:top w:val="nil"/>
              <w:left w:val="single" w:color="000000" w:sz="4" w:space="0"/>
            </w:tcBorders>
            <w:vAlign w:val="center"/>
          </w:tcPr>
          <w:p w14:paraId="4A5C6E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r w14:paraId="68475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30" w:type="dxa"/>
            <w:vAlign w:val="center"/>
          </w:tcPr>
          <w:p w14:paraId="4C621B73">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p>
        </w:tc>
        <w:tc>
          <w:tcPr>
            <w:tcW w:w="1790" w:type="dxa"/>
            <w:vAlign w:val="center"/>
          </w:tcPr>
          <w:p w14:paraId="4F59C9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无重大违法记录声明函、无不良信用记录声明函</w:t>
            </w:r>
          </w:p>
        </w:tc>
        <w:tc>
          <w:tcPr>
            <w:tcW w:w="2085" w:type="dxa"/>
            <w:tcBorders>
              <w:right w:val="single" w:color="000000" w:sz="4" w:space="0"/>
            </w:tcBorders>
            <w:vAlign w:val="center"/>
          </w:tcPr>
          <w:p w14:paraId="2983C6E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格式、填写要求符合征集文件规定并加盖供应商电子签章</w:t>
            </w:r>
          </w:p>
        </w:tc>
        <w:tc>
          <w:tcPr>
            <w:tcW w:w="4380" w:type="dxa"/>
            <w:tcBorders>
              <w:left w:val="single" w:color="000000" w:sz="4" w:space="0"/>
            </w:tcBorders>
            <w:vAlign w:val="center"/>
          </w:tcPr>
          <w:p w14:paraId="0D6C810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详见响应文件格式</w:t>
            </w:r>
          </w:p>
        </w:tc>
      </w:tr>
      <w:tr w14:paraId="3A96B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8" w:hRule="atLeast"/>
        </w:trPr>
        <w:tc>
          <w:tcPr>
            <w:tcW w:w="730" w:type="dxa"/>
            <w:vAlign w:val="center"/>
          </w:tcPr>
          <w:p w14:paraId="0E9F8961">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4</w:t>
            </w:r>
          </w:p>
        </w:tc>
        <w:tc>
          <w:tcPr>
            <w:tcW w:w="1790" w:type="dxa"/>
            <w:vAlign w:val="center"/>
          </w:tcPr>
          <w:p w14:paraId="32B0C5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zh-CN"/>
              </w:rPr>
            </w:pPr>
          </w:p>
          <w:p w14:paraId="52E98D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供应商资质</w:t>
            </w:r>
          </w:p>
          <w:p w14:paraId="3F72B7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zh-CN"/>
              </w:rPr>
            </w:pPr>
          </w:p>
        </w:tc>
        <w:tc>
          <w:tcPr>
            <w:tcW w:w="2085" w:type="dxa"/>
            <w:tcBorders>
              <w:right w:val="single" w:color="000000" w:sz="4" w:space="0"/>
            </w:tcBorders>
            <w:vAlign w:val="center"/>
          </w:tcPr>
          <w:p w14:paraId="031F76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zh-CN"/>
              </w:rPr>
            </w:pPr>
          </w:p>
          <w:p w14:paraId="6CFD39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 xml:space="preserve">符合供应商资 </w:t>
            </w:r>
          </w:p>
          <w:p w14:paraId="55A2B0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 xml:space="preserve">格中的资质要 </w:t>
            </w:r>
          </w:p>
          <w:p w14:paraId="13A100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求</w:t>
            </w:r>
          </w:p>
          <w:p w14:paraId="5C3056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4380" w:type="dxa"/>
            <w:tcBorders>
              <w:left w:val="single" w:color="000000" w:sz="4" w:space="0"/>
            </w:tcBorders>
            <w:vAlign w:val="center"/>
          </w:tcPr>
          <w:p w14:paraId="3D243A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提供符合供应商资格中的要求的相关资料扫描件</w:t>
            </w:r>
          </w:p>
          <w:p w14:paraId="173B50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bl>
    <w:p w14:paraId="63F905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资格审查指标通过标准：</w:t>
      </w:r>
      <w:r>
        <w:rPr>
          <w:rFonts w:hint="eastAsia" w:ascii="仿宋" w:hAnsi="仿宋" w:eastAsia="仿宋" w:cs="仿宋"/>
          <w:color w:val="auto"/>
          <w:spacing w:val="0"/>
          <w:w w:val="100"/>
          <w:position w:val="0"/>
          <w:sz w:val="28"/>
          <w:szCs w:val="28"/>
          <w:lang w:val="en-US" w:eastAsia="zh-CN"/>
        </w:rPr>
        <w:t>供应商必须通过资格审查表中的全部评审指标。</w:t>
      </w:r>
    </w:p>
    <w:p w14:paraId="33A3C8F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br w:type="page"/>
      </w:r>
    </w:p>
    <w:p w14:paraId="64A55F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 xml:space="preserve">5.2 </w:t>
      </w:r>
      <w:r>
        <w:rPr>
          <w:rFonts w:hint="eastAsia" w:ascii="仿宋" w:hAnsi="仿宋" w:eastAsia="仿宋" w:cs="仿宋"/>
          <w:color w:val="auto"/>
          <w:spacing w:val="0"/>
          <w:w w:val="100"/>
          <w:position w:val="0"/>
          <w:sz w:val="28"/>
          <w:szCs w:val="28"/>
        </w:rPr>
        <w:t>符合性审查</w:t>
      </w:r>
    </w:p>
    <w:p w14:paraId="41A473C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评标委员会对通过资格审查的投标人的</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进行符合性审查，以确定其是否满足招标文件的实质性要求。</w:t>
      </w:r>
    </w:p>
    <w:p w14:paraId="2A8DD67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color w:val="auto"/>
          <w:spacing w:val="0"/>
          <w:w w:val="100"/>
          <w:position w:val="0"/>
          <w:sz w:val="28"/>
          <w:szCs w:val="28"/>
        </w:rPr>
        <w:t>符合性审查表如下：</w:t>
      </w:r>
    </w:p>
    <w:tbl>
      <w:tblPr>
        <w:tblStyle w:val="22"/>
        <w:tblW w:w="8985"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790"/>
        <w:gridCol w:w="3015"/>
        <w:gridCol w:w="3450"/>
      </w:tblGrid>
      <w:tr w14:paraId="108B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985" w:type="dxa"/>
            <w:gridSpan w:val="4"/>
            <w:vAlign w:val="center"/>
          </w:tcPr>
          <w:p w14:paraId="3D4FF5FB">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符合性审查表</w:t>
            </w:r>
          </w:p>
        </w:tc>
      </w:tr>
      <w:tr w14:paraId="52103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30" w:type="dxa"/>
            <w:vAlign w:val="center"/>
          </w:tcPr>
          <w:p w14:paraId="4F9029F7">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p>
        </w:tc>
        <w:tc>
          <w:tcPr>
            <w:tcW w:w="1790" w:type="dxa"/>
            <w:vAlign w:val="center"/>
          </w:tcPr>
          <w:p w14:paraId="5ECDB51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开标一览表</w:t>
            </w:r>
          </w:p>
        </w:tc>
        <w:tc>
          <w:tcPr>
            <w:tcW w:w="3015" w:type="dxa"/>
            <w:tcBorders>
              <w:right w:val="single" w:color="000000" w:sz="4" w:space="0"/>
            </w:tcBorders>
            <w:vAlign w:val="center"/>
          </w:tcPr>
          <w:p w14:paraId="2D2A133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1"/>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格式、填写要求符合征集文件规定并加盖供应商电子签章</w:t>
            </w:r>
          </w:p>
        </w:tc>
        <w:tc>
          <w:tcPr>
            <w:tcW w:w="3450" w:type="dxa"/>
            <w:tcBorders>
              <w:left w:val="single" w:color="000000" w:sz="4" w:space="0"/>
            </w:tcBorders>
            <w:vAlign w:val="center"/>
          </w:tcPr>
          <w:p w14:paraId="656640B3">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详见响应文件格式</w:t>
            </w:r>
          </w:p>
        </w:tc>
      </w:tr>
      <w:tr w14:paraId="01206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730" w:type="dxa"/>
            <w:vAlign w:val="center"/>
          </w:tcPr>
          <w:p w14:paraId="612D786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p>
        </w:tc>
        <w:tc>
          <w:tcPr>
            <w:tcW w:w="1790" w:type="dxa"/>
            <w:vAlign w:val="center"/>
          </w:tcPr>
          <w:p w14:paraId="550513B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投标函</w:t>
            </w:r>
          </w:p>
        </w:tc>
        <w:tc>
          <w:tcPr>
            <w:tcW w:w="3015" w:type="dxa"/>
            <w:tcBorders>
              <w:right w:val="single" w:color="000000" w:sz="4" w:space="0"/>
            </w:tcBorders>
            <w:vAlign w:val="center"/>
          </w:tcPr>
          <w:p w14:paraId="0E7521D7">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格式、填写要求符合征集文件规定并加盖供应商电子签章</w:t>
            </w:r>
          </w:p>
        </w:tc>
        <w:tc>
          <w:tcPr>
            <w:tcW w:w="3450" w:type="dxa"/>
            <w:tcBorders>
              <w:left w:val="single" w:color="000000" w:sz="4" w:space="0"/>
            </w:tcBorders>
            <w:vAlign w:val="center"/>
          </w:tcPr>
          <w:p w14:paraId="3978B2A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详见响应文件格式</w:t>
            </w:r>
          </w:p>
        </w:tc>
      </w:tr>
      <w:tr w14:paraId="228D0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0" w:type="dxa"/>
            <w:vAlign w:val="center"/>
          </w:tcPr>
          <w:p w14:paraId="3E890C0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p>
        </w:tc>
        <w:tc>
          <w:tcPr>
            <w:tcW w:w="1790" w:type="dxa"/>
            <w:vAlign w:val="center"/>
          </w:tcPr>
          <w:p w14:paraId="46AA3511">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授权书</w:t>
            </w:r>
          </w:p>
        </w:tc>
        <w:tc>
          <w:tcPr>
            <w:tcW w:w="3015" w:type="dxa"/>
            <w:tcBorders>
              <w:right w:val="single" w:color="000000" w:sz="4" w:space="0"/>
            </w:tcBorders>
            <w:vAlign w:val="center"/>
          </w:tcPr>
          <w:p w14:paraId="4C41B8B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1"/>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格式、填写要求符合征集文件规定并加盖供应商电子签章</w:t>
            </w:r>
          </w:p>
        </w:tc>
        <w:tc>
          <w:tcPr>
            <w:tcW w:w="3450" w:type="dxa"/>
            <w:tcBorders>
              <w:left w:val="single" w:color="000000" w:sz="4" w:space="0"/>
            </w:tcBorders>
            <w:vAlign w:val="center"/>
          </w:tcPr>
          <w:p w14:paraId="31E8D5E1">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8"/>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法定代表人参加</w:t>
            </w:r>
            <w:r>
              <w:rPr>
                <w:rFonts w:hint="eastAsia" w:ascii="仿宋" w:hAnsi="仿宋" w:eastAsia="仿宋" w:cs="仿宋"/>
                <w:color w:val="auto"/>
                <w:spacing w:val="0"/>
                <w:w w:val="100"/>
                <w:position w:val="0"/>
                <w:sz w:val="28"/>
                <w:szCs w:val="28"/>
                <w:lang w:eastAsia="zh-CN"/>
              </w:rPr>
              <w:t>投标</w:t>
            </w:r>
            <w:r>
              <w:rPr>
                <w:rFonts w:hint="eastAsia" w:ascii="仿宋" w:hAnsi="仿宋" w:eastAsia="仿宋" w:cs="仿宋"/>
                <w:color w:val="auto"/>
                <w:spacing w:val="0"/>
                <w:w w:val="100"/>
                <w:position w:val="0"/>
                <w:sz w:val="28"/>
                <w:szCs w:val="28"/>
              </w:rPr>
              <w:t>的无需此件， 提供身份证明即可 。详见响应文件格式</w:t>
            </w:r>
          </w:p>
        </w:tc>
      </w:tr>
      <w:tr w14:paraId="705EF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0" w:type="dxa"/>
            <w:vAlign w:val="center"/>
          </w:tcPr>
          <w:p w14:paraId="33D312C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w:t>
            </w:r>
          </w:p>
        </w:tc>
        <w:tc>
          <w:tcPr>
            <w:tcW w:w="1790" w:type="dxa"/>
            <w:vAlign w:val="center"/>
          </w:tcPr>
          <w:p w14:paraId="04AD30F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商务响应情况</w:t>
            </w:r>
          </w:p>
        </w:tc>
        <w:tc>
          <w:tcPr>
            <w:tcW w:w="3015" w:type="dxa"/>
            <w:tcBorders>
              <w:right w:val="single" w:color="000000" w:sz="4" w:space="0"/>
            </w:tcBorders>
            <w:vAlign w:val="center"/>
          </w:tcPr>
          <w:p w14:paraId="44AA87E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符合征集文件采购需求中付款方式、服务地点及服务期限的要求</w:t>
            </w:r>
          </w:p>
        </w:tc>
        <w:tc>
          <w:tcPr>
            <w:tcW w:w="3450" w:type="dxa"/>
            <w:tcBorders>
              <w:left w:val="single" w:color="000000" w:sz="4" w:space="0"/>
            </w:tcBorders>
            <w:vAlign w:val="center"/>
          </w:tcPr>
          <w:p w14:paraId="01554355">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详见响应文件格式</w:t>
            </w:r>
          </w:p>
        </w:tc>
      </w:tr>
      <w:tr w14:paraId="1DD09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0" w:type="dxa"/>
            <w:vAlign w:val="center"/>
          </w:tcPr>
          <w:p w14:paraId="1295C432">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w:t>
            </w:r>
          </w:p>
        </w:tc>
        <w:tc>
          <w:tcPr>
            <w:tcW w:w="1790" w:type="dxa"/>
            <w:vAlign w:val="center"/>
          </w:tcPr>
          <w:p w14:paraId="2D32E8F6">
            <w:pPr>
              <w:pStyle w:val="24"/>
              <w:spacing w:line="360" w:lineRule="auto"/>
              <w:jc w:val="center"/>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其他实质性要求</w:t>
            </w:r>
          </w:p>
        </w:tc>
        <w:tc>
          <w:tcPr>
            <w:tcW w:w="3015" w:type="dxa"/>
            <w:tcBorders>
              <w:right w:val="single" w:color="000000" w:sz="4" w:space="0"/>
            </w:tcBorders>
            <w:vAlign w:val="center"/>
          </w:tcPr>
          <w:p w14:paraId="0DA48BA7">
            <w:pPr>
              <w:pStyle w:val="24"/>
              <w:spacing w:line="360" w:lineRule="auto"/>
              <w:jc w:val="center"/>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符合法律、行政法规规定的其他条件和</w:t>
            </w:r>
            <w:r>
              <w:rPr>
                <w:rFonts w:hint="eastAsia" w:ascii="仿宋" w:hAnsi="仿宋" w:eastAsia="仿宋" w:cs="仿宋"/>
                <w:snapToGrid w:val="0"/>
                <w:color w:val="auto"/>
                <w:spacing w:val="0"/>
                <w:w w:val="100"/>
                <w:kern w:val="0"/>
                <w:position w:val="0"/>
                <w:sz w:val="28"/>
                <w:szCs w:val="28"/>
                <w:lang w:val="en-US" w:eastAsia="zh-CN" w:bidi="ar-SA"/>
              </w:rPr>
              <w:t>征集</w:t>
            </w:r>
            <w:r>
              <w:rPr>
                <w:rFonts w:hint="eastAsia" w:ascii="仿宋" w:hAnsi="仿宋" w:eastAsia="仿宋" w:cs="仿宋"/>
                <w:snapToGrid w:val="0"/>
                <w:color w:val="auto"/>
                <w:spacing w:val="0"/>
                <w:w w:val="100"/>
                <w:kern w:val="0"/>
                <w:position w:val="0"/>
                <w:sz w:val="28"/>
                <w:szCs w:val="28"/>
                <w:lang w:val="en-US" w:eastAsia="en-US" w:bidi="ar-SA"/>
              </w:rPr>
              <w:t>文件列明的其他实质性要求</w:t>
            </w:r>
          </w:p>
        </w:tc>
        <w:tc>
          <w:tcPr>
            <w:tcW w:w="3450" w:type="dxa"/>
            <w:tcBorders>
              <w:left w:val="single" w:color="000000" w:sz="4" w:space="0"/>
            </w:tcBorders>
            <w:vAlign w:val="center"/>
          </w:tcPr>
          <w:p w14:paraId="71495F1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bl>
    <w:p w14:paraId="03F744D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符合性审查指标通过标准：</w:t>
      </w:r>
      <w:r>
        <w:rPr>
          <w:rFonts w:hint="eastAsia" w:ascii="仿宋" w:hAnsi="仿宋" w:eastAsia="仿宋" w:cs="仿宋"/>
          <w:color w:val="auto"/>
          <w:spacing w:val="0"/>
          <w:w w:val="100"/>
          <w:position w:val="0"/>
          <w:sz w:val="28"/>
          <w:szCs w:val="28"/>
        </w:rPr>
        <w:t>供应商必须通过初审表中的全部评审指标。</w:t>
      </w:r>
    </w:p>
    <w:p w14:paraId="73D5E0C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rPr>
        <w:br w:type="page"/>
      </w:r>
    </w:p>
    <w:p w14:paraId="1D71BE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5.2</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质量优先法评分</w:t>
      </w:r>
    </w:p>
    <w:p w14:paraId="78768E3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5.2.1 评审小组按照下表对进入综合评分的所有供应商的响应文件进行综合评分。</w:t>
      </w:r>
    </w:p>
    <w:p w14:paraId="4564DE8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评分细则：</w:t>
      </w:r>
    </w:p>
    <w:tbl>
      <w:tblPr>
        <w:tblStyle w:val="19"/>
        <w:tblW w:w="9275" w:type="dxa"/>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6465"/>
        <w:gridCol w:w="1380"/>
      </w:tblGrid>
      <w:tr w14:paraId="4A2E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43C49B28">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b/>
                <w:bCs/>
                <w:color w:val="auto"/>
                <w:spacing w:val="0"/>
                <w:w w:val="100"/>
                <w:position w:val="0"/>
                <w:sz w:val="28"/>
                <w:szCs w:val="28"/>
                <w:vertAlign w:val="baseline"/>
                <w:lang w:val="en-US" w:eastAsia="zh-CN"/>
              </w:rPr>
            </w:pPr>
            <w:r>
              <w:rPr>
                <w:rFonts w:hint="eastAsia" w:ascii="仿宋" w:hAnsi="仿宋" w:eastAsia="仿宋" w:cs="仿宋"/>
                <w:b/>
                <w:bCs/>
                <w:color w:val="auto"/>
                <w:spacing w:val="0"/>
                <w:w w:val="100"/>
                <w:position w:val="0"/>
                <w:sz w:val="28"/>
                <w:szCs w:val="28"/>
                <w:vertAlign w:val="baseline"/>
                <w:lang w:val="en-US" w:eastAsia="zh-CN"/>
              </w:rPr>
              <w:t>评分内容</w:t>
            </w:r>
          </w:p>
        </w:tc>
        <w:tc>
          <w:tcPr>
            <w:tcW w:w="6465" w:type="dxa"/>
            <w:vAlign w:val="center"/>
          </w:tcPr>
          <w:p w14:paraId="6CAB16AC">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b/>
                <w:bCs/>
                <w:color w:val="auto"/>
                <w:spacing w:val="0"/>
                <w:w w:val="100"/>
                <w:position w:val="0"/>
                <w:sz w:val="28"/>
                <w:szCs w:val="28"/>
                <w:vertAlign w:val="baseline"/>
              </w:rPr>
            </w:pPr>
            <w:r>
              <w:rPr>
                <w:rFonts w:hint="eastAsia" w:ascii="仿宋" w:hAnsi="仿宋" w:eastAsia="仿宋" w:cs="仿宋"/>
                <w:b/>
                <w:bCs/>
                <w:color w:val="auto"/>
                <w:spacing w:val="0"/>
                <w:w w:val="100"/>
                <w:position w:val="0"/>
                <w:sz w:val="28"/>
                <w:szCs w:val="28"/>
                <w:vertAlign w:val="baseline"/>
              </w:rPr>
              <w:t>评分标准</w:t>
            </w:r>
          </w:p>
        </w:tc>
        <w:tc>
          <w:tcPr>
            <w:tcW w:w="1380" w:type="dxa"/>
            <w:vAlign w:val="center"/>
          </w:tcPr>
          <w:p w14:paraId="7B7D744F">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b/>
                <w:bCs/>
                <w:color w:val="auto"/>
                <w:spacing w:val="0"/>
                <w:w w:val="100"/>
                <w:position w:val="0"/>
                <w:sz w:val="28"/>
                <w:szCs w:val="28"/>
                <w:vertAlign w:val="baseline"/>
              </w:rPr>
            </w:pPr>
            <w:r>
              <w:rPr>
                <w:rFonts w:hint="eastAsia" w:ascii="仿宋" w:hAnsi="仿宋" w:eastAsia="仿宋" w:cs="仿宋"/>
                <w:b/>
                <w:bCs/>
                <w:color w:val="auto"/>
                <w:spacing w:val="0"/>
                <w:w w:val="100"/>
                <w:position w:val="0"/>
                <w:sz w:val="28"/>
                <w:szCs w:val="28"/>
                <w:vertAlign w:val="baseline"/>
              </w:rPr>
              <w:t>分值范围</w:t>
            </w:r>
          </w:p>
        </w:tc>
      </w:tr>
      <w:tr w14:paraId="1489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003B1488">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sz w:val="28"/>
                <w:szCs w:val="28"/>
              </w:rPr>
              <w:t>服务方案</w:t>
            </w:r>
          </w:p>
        </w:tc>
        <w:tc>
          <w:tcPr>
            <w:tcW w:w="6465" w:type="dxa"/>
          </w:tcPr>
          <w:p w14:paraId="619D8DD3">
            <w:pPr>
              <w:keepNext w:val="0"/>
              <w:keepLines w:val="0"/>
              <w:widowControl/>
              <w:suppressLineNumbers w:val="0"/>
              <w:ind w:firstLine="560" w:firstLineChars="20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根据供应商提供的服务方案进行评分，服务方案应包含以下八个方面： </w:t>
            </w:r>
          </w:p>
          <w:p w14:paraId="22BA2E56">
            <w:pPr>
              <w:keepNext w:val="0"/>
              <w:keepLines w:val="0"/>
              <w:widowControl/>
              <w:numPr>
                <w:ilvl w:val="0"/>
                <w:numId w:val="2"/>
              </w:numPr>
              <w:suppressLineNumbers w:val="0"/>
              <w:ind w:firstLine="560" w:firstLineChars="20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根据供应商提供针对本项目的服务内容、服务标准，服务时效及服务质量保证措施等进行评审。</w:t>
            </w:r>
          </w:p>
          <w:p w14:paraId="2A19BE3B">
            <w:pPr>
              <w:keepNext w:val="0"/>
              <w:keepLines w:val="0"/>
              <w:widowControl/>
              <w:numPr>
                <w:ilvl w:val="0"/>
                <w:numId w:val="2"/>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 xml:space="preserve">为本项目配备管理团队，有明确的管理方案；负责对接采购人处理项目实施过程中的问题；项目组人员分工明确、责任划定等方面进行评审。 </w:t>
            </w:r>
          </w:p>
          <w:p w14:paraId="770D9B4C">
            <w:pPr>
              <w:keepNext w:val="0"/>
              <w:keepLines w:val="0"/>
              <w:widowControl/>
              <w:numPr>
                <w:ilvl w:val="0"/>
                <w:numId w:val="2"/>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管理规范方案，根据加油卡设定商品、油品、加油量、加油金额等限制规定，协助采购人管理等内容进行评审。</w:t>
            </w:r>
          </w:p>
          <w:p w14:paraId="6494C5A2">
            <w:pPr>
              <w:keepNext w:val="0"/>
              <w:keepLines w:val="0"/>
              <w:widowControl/>
              <w:numPr>
                <w:ilvl w:val="0"/>
                <w:numId w:val="2"/>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 xml:space="preserve">安全经营制度方案，根据站点安全经营安全制度、消防安全管理制度、安全宣传标语等内容进行评审。 </w:t>
            </w:r>
          </w:p>
          <w:p w14:paraId="2AA0D63F">
            <w:pPr>
              <w:keepNext w:val="0"/>
              <w:keepLines w:val="0"/>
              <w:widowControl/>
              <w:numPr>
                <w:ilvl w:val="0"/>
                <w:numId w:val="2"/>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供应商有实施的管理经验，针对采购人的实际要求制定合理高效的制度方案。</w:t>
            </w:r>
          </w:p>
          <w:p w14:paraId="4594DDD8">
            <w:pPr>
              <w:keepNext w:val="0"/>
              <w:keepLines w:val="0"/>
              <w:widowControl/>
              <w:numPr>
                <w:ilvl w:val="0"/>
                <w:numId w:val="2"/>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 xml:space="preserve">应急方案，根据供应商提供的站点冒油漏油应急处置、混油应急处置、加错油品应急处置、爆炸、火灾应急处置方案等进行评审。 </w:t>
            </w:r>
          </w:p>
          <w:p w14:paraId="7B517B2D">
            <w:pPr>
              <w:keepNext w:val="0"/>
              <w:keepLines w:val="0"/>
              <w:widowControl/>
              <w:numPr>
                <w:ilvl w:val="0"/>
                <w:numId w:val="2"/>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 xml:space="preserve">根据供应商提供的24小时服务方案进行评审。  </w:t>
            </w:r>
          </w:p>
          <w:p w14:paraId="4AFA0BB8">
            <w:pPr>
              <w:pStyle w:val="2"/>
              <w:widowControl w:val="0"/>
              <w:ind w:left="0" w:leftChars="0" w:firstLine="560" w:firstLineChars="200"/>
              <w:rPr>
                <w:rFonts w:hint="default"/>
                <w:color w:val="000000" w:themeColor="text1"/>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bidi="ar"/>
                <w14:textFill>
                  <w14:solidFill>
                    <w14:schemeClr w14:val="tx1"/>
                  </w14:solidFill>
                </w14:textFill>
              </w:rPr>
              <w:t>8、为本项目人员应制定完善的培训方案，岗前培训，岗中培训，岗后培训等内容进行评审</w:t>
            </w:r>
          </w:p>
          <w:p w14:paraId="17A9D62B">
            <w:pPr>
              <w:keepNext w:val="0"/>
              <w:keepLines w:val="0"/>
              <w:widowControl/>
              <w:numPr>
                <w:ilvl w:val="0"/>
                <w:numId w:val="0"/>
              </w:numPr>
              <w:suppressLineNumbers w:val="0"/>
              <w:ind w:firstLine="560" w:firstLineChars="20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评审小组对各供应商提供的服务方案中的上述八项内容按以下标准进行逐项评审： </w:t>
            </w:r>
          </w:p>
          <w:p w14:paraId="20D10DCF">
            <w:pPr>
              <w:keepNext w:val="0"/>
              <w:keepLines w:val="0"/>
              <w:widowControl/>
              <w:numPr>
                <w:ilvl w:val="0"/>
                <w:numId w:val="3"/>
              </w:numPr>
              <w:suppressLineNumbers w:val="0"/>
              <w:ind w:firstLine="560" w:firstLineChars="20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方案覆盖全面、要点突出，内容完整详实，表述清晰，有利于项目实施的得5分； </w:t>
            </w:r>
          </w:p>
          <w:p w14:paraId="7094B687">
            <w:pPr>
              <w:keepNext w:val="0"/>
              <w:keepLines w:val="0"/>
              <w:widowControl/>
              <w:numPr>
                <w:ilvl w:val="0"/>
                <w:numId w:val="3"/>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 xml:space="preserve">方案要点突出不够明显，虽制定各项实施方案，但方案条理不清，符合项目实施要求的得3分； </w:t>
            </w:r>
          </w:p>
          <w:p w14:paraId="5F9BCD08">
            <w:pPr>
              <w:keepNext w:val="0"/>
              <w:keepLines w:val="0"/>
              <w:widowControl/>
              <w:numPr>
                <w:ilvl w:val="0"/>
                <w:numId w:val="3"/>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方案要点内容缺失，且所提供方案条理不清，不利于项目实施的得1分；</w:t>
            </w:r>
          </w:p>
          <w:p w14:paraId="0FD8A7EC">
            <w:pPr>
              <w:keepNext w:val="0"/>
              <w:keepLines w:val="0"/>
              <w:widowControl/>
              <w:numPr>
                <w:ilvl w:val="0"/>
                <w:numId w:val="3"/>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未提供的得0分。</w:t>
            </w:r>
          </w:p>
        </w:tc>
        <w:tc>
          <w:tcPr>
            <w:tcW w:w="1380" w:type="dxa"/>
            <w:vAlign w:val="center"/>
          </w:tcPr>
          <w:p w14:paraId="1D84F3C5">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0-40分</w:t>
            </w:r>
          </w:p>
        </w:tc>
      </w:tr>
      <w:tr w14:paraId="1313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0" w:type="dxa"/>
            <w:vAlign w:val="center"/>
          </w:tcPr>
          <w:p w14:paraId="39EFA2B6">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sz w:val="28"/>
                <w:szCs w:val="28"/>
              </w:rPr>
              <w:t>管理体系</w:t>
            </w:r>
          </w:p>
        </w:tc>
        <w:tc>
          <w:tcPr>
            <w:tcW w:w="6465" w:type="dxa"/>
          </w:tcPr>
          <w:p w14:paraId="56011119">
            <w:pPr>
              <w:keepNext w:val="0"/>
              <w:keepLines w:val="0"/>
              <w:widowControl/>
              <w:suppressLineNumbers w:val="0"/>
              <w:ind w:firstLine="560" w:firstLineChars="20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供应商具有经中国国家认证认可监督管理委员会认证机构颁发的有效的下列证书: </w:t>
            </w:r>
          </w:p>
          <w:p w14:paraId="6754E6B9">
            <w:pPr>
              <w:keepNext w:val="0"/>
              <w:keepLines w:val="0"/>
              <w:widowControl/>
              <w:numPr>
                <w:ilvl w:val="0"/>
                <w:numId w:val="4"/>
              </w:numPr>
              <w:suppressLineNumbers w:val="0"/>
              <w:ind w:firstLine="560" w:firstLineChars="20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质量管理体系认证证书; </w:t>
            </w:r>
          </w:p>
          <w:p w14:paraId="32FFAC42">
            <w:pPr>
              <w:keepNext w:val="0"/>
              <w:keepLines w:val="0"/>
              <w:widowControl/>
              <w:numPr>
                <w:ilvl w:val="0"/>
                <w:numId w:val="4"/>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 xml:space="preserve">环境管理体系认证证书; </w:t>
            </w:r>
          </w:p>
          <w:p w14:paraId="53DAA829">
            <w:pPr>
              <w:keepNext w:val="0"/>
              <w:keepLines w:val="0"/>
              <w:widowControl/>
              <w:numPr>
                <w:ilvl w:val="0"/>
                <w:numId w:val="4"/>
              </w:numPr>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 xml:space="preserve">职业健康安全管理体系认证证书; 每提供1项得5分，最高得15分。 </w:t>
            </w:r>
          </w:p>
          <w:p w14:paraId="574B5F24">
            <w:pPr>
              <w:keepNext w:val="0"/>
              <w:keepLines w:val="0"/>
              <w:widowControl/>
              <w:numPr>
                <w:ilvl w:val="0"/>
                <w:numId w:val="0"/>
              </w:numPr>
              <w:suppressLineNumbers w:val="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napToGrid w:val="0"/>
                <w:color w:val="000000"/>
                <w:kern w:val="0"/>
                <w:sz w:val="28"/>
                <w:szCs w:val="28"/>
                <w:lang w:val="en-US" w:eastAsia="zh-CN" w:bidi="ar"/>
              </w:rPr>
              <w:t>注:响应文件中同时提供证书扫描件及全国认证认可信息公共服务平台官网证书信息查询截图。</w:t>
            </w:r>
          </w:p>
        </w:tc>
        <w:tc>
          <w:tcPr>
            <w:tcW w:w="1380" w:type="dxa"/>
            <w:vAlign w:val="center"/>
          </w:tcPr>
          <w:p w14:paraId="0524E2B9">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0-15分</w:t>
            </w:r>
          </w:p>
        </w:tc>
      </w:tr>
      <w:tr w14:paraId="39D9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4DEA34D1">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业绩</w:t>
            </w:r>
          </w:p>
        </w:tc>
        <w:tc>
          <w:tcPr>
            <w:tcW w:w="6465" w:type="dxa"/>
          </w:tcPr>
          <w:p w14:paraId="6FF86A43">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自2020年1月1日以来（以合同签订时间为准)，供应商具有类似业绩的，每提供一个业绩得</w:t>
            </w:r>
            <w:r>
              <w:rPr>
                <w:rFonts w:hint="eastAsia" w:ascii="仿宋" w:hAnsi="仿宋" w:eastAsia="仿宋" w:cs="仿宋"/>
                <w:sz w:val="28"/>
                <w:szCs w:val="28"/>
                <w:lang w:val="en-US" w:eastAsia="zh-CN"/>
              </w:rPr>
              <w:t>5</w:t>
            </w:r>
            <w:r>
              <w:rPr>
                <w:rFonts w:hint="eastAsia" w:ascii="仿宋" w:hAnsi="仿宋" w:eastAsia="仿宋" w:cs="仿宋"/>
                <w:sz w:val="28"/>
                <w:szCs w:val="28"/>
              </w:rPr>
              <w:t>分，最高得1</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分。 </w:t>
            </w:r>
          </w:p>
          <w:p w14:paraId="430704E2">
            <w:pPr>
              <w:keepNext w:val="0"/>
              <w:keepLines w:val="0"/>
              <w:widowControl/>
              <w:suppressLineNumbers w:val="0"/>
              <w:ind w:firstLine="560" w:firstLineChars="200"/>
              <w:jc w:val="left"/>
              <w:rPr>
                <w:rFonts w:hint="eastAsia" w:ascii="仿宋" w:hAnsi="仿宋" w:eastAsia="仿宋" w:cs="仿宋"/>
                <w:color w:val="auto"/>
                <w:spacing w:val="0"/>
                <w:w w:val="100"/>
                <w:position w:val="0"/>
                <w:sz w:val="28"/>
                <w:szCs w:val="28"/>
                <w:lang w:eastAsia="zh-CN"/>
              </w:rPr>
            </w:pPr>
            <w:r>
              <w:rPr>
                <w:rFonts w:hint="eastAsia" w:ascii="仿宋" w:hAnsi="仿宋" w:eastAsia="仿宋" w:cs="仿宋"/>
                <w:sz w:val="28"/>
                <w:szCs w:val="28"/>
              </w:rPr>
              <w:t>注：响应文件中须提供业绩合同复印件或扫描件，合同应能辨识合同双方公章、签订时间；如合同不能体现以上内容，可提供业绩合同甲方加盖公章的证明材料复印件或扫描件</w:t>
            </w:r>
            <w:r>
              <w:rPr>
                <w:rFonts w:hint="eastAsia" w:ascii="仿宋" w:hAnsi="仿宋" w:eastAsia="仿宋" w:cs="仿宋"/>
                <w:sz w:val="28"/>
                <w:szCs w:val="28"/>
                <w:lang w:eastAsia="zh-CN"/>
              </w:rPr>
              <w:t>，</w:t>
            </w:r>
            <w:r>
              <w:rPr>
                <w:rFonts w:hint="eastAsia" w:ascii="仿宋" w:hAnsi="仿宋" w:eastAsia="仿宋" w:cs="仿宋"/>
                <w:sz w:val="28"/>
                <w:szCs w:val="28"/>
              </w:rPr>
              <w:t>否则不得分。</w:t>
            </w:r>
          </w:p>
        </w:tc>
        <w:tc>
          <w:tcPr>
            <w:tcW w:w="1380" w:type="dxa"/>
            <w:vAlign w:val="center"/>
          </w:tcPr>
          <w:p w14:paraId="06A7400C">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0-10分</w:t>
            </w:r>
          </w:p>
        </w:tc>
      </w:tr>
      <w:tr w14:paraId="2969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30" w:type="dxa"/>
            <w:vAlign w:val="center"/>
          </w:tcPr>
          <w:p w14:paraId="27095F7B">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人员配备</w:t>
            </w:r>
          </w:p>
        </w:tc>
        <w:tc>
          <w:tcPr>
            <w:tcW w:w="6465" w:type="dxa"/>
          </w:tcPr>
          <w:p w14:paraId="36A4CFFF">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针对本项目提供的专项服务人员，每提供一名</w:t>
            </w:r>
            <w:r>
              <w:rPr>
                <w:rFonts w:hint="eastAsia" w:ascii="仿宋" w:hAnsi="仿宋" w:eastAsia="仿宋" w:cs="仿宋"/>
                <w:sz w:val="28"/>
                <w:szCs w:val="28"/>
                <w:lang w:val="en-US" w:eastAsia="zh-CN"/>
              </w:rPr>
              <w:t>人员</w:t>
            </w:r>
            <w:r>
              <w:rPr>
                <w:rFonts w:hint="eastAsia" w:ascii="仿宋" w:hAnsi="仿宋" w:eastAsia="仿宋" w:cs="仿宋"/>
                <w:sz w:val="28"/>
                <w:szCs w:val="28"/>
              </w:rPr>
              <w:t>得</w:t>
            </w:r>
            <w:r>
              <w:rPr>
                <w:rFonts w:hint="eastAsia" w:ascii="仿宋" w:hAnsi="仿宋" w:eastAsia="仿宋" w:cs="仿宋"/>
                <w:sz w:val="28"/>
                <w:szCs w:val="28"/>
                <w:lang w:val="en-US" w:eastAsia="zh-CN"/>
              </w:rPr>
              <w:t>2分</w:t>
            </w:r>
            <w:r>
              <w:rPr>
                <w:rFonts w:hint="eastAsia" w:ascii="仿宋" w:hAnsi="仿宋" w:eastAsia="仿宋" w:cs="仿宋"/>
                <w:sz w:val="28"/>
                <w:szCs w:val="28"/>
              </w:rPr>
              <w:t>，最高得</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分。 </w:t>
            </w:r>
          </w:p>
          <w:p w14:paraId="2C426A2E">
            <w:pPr>
              <w:keepNext w:val="0"/>
              <w:keepLines w:val="0"/>
              <w:widowControl/>
              <w:suppressLineNumbers w:val="0"/>
              <w:ind w:firstLine="560" w:firstLineChars="200"/>
              <w:jc w:val="left"/>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z w:val="28"/>
                <w:szCs w:val="28"/>
              </w:rPr>
              <w:t>注：须提供拟配备人员近</w:t>
            </w: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个月</w:t>
            </w:r>
            <w:r>
              <w:rPr>
                <w:rFonts w:hint="eastAsia" w:ascii="仿宋" w:hAnsi="仿宋" w:eastAsia="仿宋" w:cs="仿宋"/>
                <w:color w:val="000000" w:themeColor="text1"/>
                <w:sz w:val="28"/>
                <w:szCs w:val="28"/>
                <w:lang w:val="en-US" w:eastAsia="zh-CN"/>
                <w14:textFill>
                  <w14:solidFill>
                    <w14:schemeClr w14:val="tx1"/>
                  </w14:solidFill>
                </w14:textFill>
              </w:rPr>
              <w:t>内</w:t>
            </w:r>
            <w:r>
              <w:rPr>
                <w:rFonts w:hint="eastAsia" w:ascii="仿宋" w:hAnsi="仿宋" w:eastAsia="仿宋" w:cs="仿宋"/>
                <w:sz w:val="28"/>
                <w:szCs w:val="28"/>
              </w:rPr>
              <w:t>任意1个月的社保缴纳证明材料，未提供不得分。</w:t>
            </w:r>
          </w:p>
        </w:tc>
        <w:tc>
          <w:tcPr>
            <w:tcW w:w="1380" w:type="dxa"/>
            <w:vAlign w:val="center"/>
          </w:tcPr>
          <w:p w14:paraId="787B1B8A">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0-10分</w:t>
            </w:r>
          </w:p>
        </w:tc>
      </w:tr>
      <w:tr w14:paraId="3A4A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168948B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sz w:val="28"/>
                <w:szCs w:val="28"/>
              </w:rPr>
              <w:t>油品质量</w:t>
            </w:r>
          </w:p>
          <w:p w14:paraId="11886BAD">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rPr>
            </w:pPr>
          </w:p>
        </w:tc>
        <w:tc>
          <w:tcPr>
            <w:tcW w:w="6465" w:type="dxa"/>
            <w:vAlign w:val="top"/>
          </w:tcPr>
          <w:p w14:paraId="3EDACCD4">
            <w:pPr>
              <w:keepNext w:val="0"/>
              <w:keepLines w:val="0"/>
              <w:widowControl/>
              <w:suppressLineNumbers w:val="0"/>
              <w:ind w:firstLine="560" w:firstLineChars="200"/>
              <w:jc w:val="left"/>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z w:val="28"/>
                <w:szCs w:val="28"/>
              </w:rPr>
              <w:t>重视油品质量管理，开标之日起上推三年内(含三年)，在符合国家相关标准情况下，提供有效期内的检测报告扫描件或影印件，每提供</w:t>
            </w:r>
            <w:r>
              <w:rPr>
                <w:rFonts w:hint="eastAsia" w:ascii="仿宋" w:hAnsi="仿宋" w:eastAsia="仿宋" w:cs="仿宋"/>
                <w:sz w:val="28"/>
                <w:szCs w:val="28"/>
                <w:lang w:val="en-US" w:eastAsia="zh-CN"/>
              </w:rPr>
              <w:t>一</w:t>
            </w:r>
            <w:r>
              <w:rPr>
                <w:rFonts w:hint="eastAsia" w:ascii="仿宋" w:hAnsi="仿宋" w:eastAsia="仿宋" w:cs="仿宋"/>
                <w:sz w:val="28"/>
                <w:szCs w:val="28"/>
              </w:rPr>
              <w:t>份得</w:t>
            </w:r>
            <w:r>
              <w:rPr>
                <w:rFonts w:hint="eastAsia" w:ascii="仿宋" w:hAnsi="仿宋" w:eastAsia="仿宋" w:cs="仿宋"/>
                <w:sz w:val="28"/>
                <w:szCs w:val="28"/>
                <w:lang w:val="en-US" w:eastAsia="zh-CN"/>
              </w:rPr>
              <w:t>3</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rPr>
              <w:t>最高得</w:t>
            </w:r>
            <w:r>
              <w:rPr>
                <w:rFonts w:hint="eastAsia" w:ascii="仿宋" w:hAnsi="仿宋" w:eastAsia="仿宋" w:cs="仿宋"/>
                <w:sz w:val="28"/>
                <w:szCs w:val="28"/>
                <w:lang w:val="en-US" w:eastAsia="zh-CN"/>
              </w:rPr>
              <w:t>15</w:t>
            </w:r>
            <w:r>
              <w:rPr>
                <w:rFonts w:hint="eastAsia" w:ascii="仿宋" w:hAnsi="仿宋" w:eastAsia="仿宋" w:cs="仿宋"/>
                <w:sz w:val="28"/>
                <w:szCs w:val="28"/>
              </w:rPr>
              <w:t>分，未提供的不得分。</w:t>
            </w:r>
          </w:p>
        </w:tc>
        <w:tc>
          <w:tcPr>
            <w:tcW w:w="1380" w:type="dxa"/>
            <w:vAlign w:val="center"/>
          </w:tcPr>
          <w:p w14:paraId="332A0160">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0-15分</w:t>
            </w:r>
          </w:p>
        </w:tc>
      </w:tr>
      <w:tr w14:paraId="45D6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5E61FACE">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000000" w:themeColor="text1"/>
                <w:spacing w:val="0"/>
                <w:w w:val="100"/>
                <w:position w:val="0"/>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vertAlign w:val="baseline"/>
                <w:lang w:val="en-US" w:eastAsia="zh-CN"/>
                <w14:textFill>
                  <w14:solidFill>
                    <w14:schemeClr w14:val="tx1"/>
                  </w14:solidFill>
                </w14:textFill>
              </w:rPr>
              <w:t>报价</w:t>
            </w:r>
          </w:p>
        </w:tc>
        <w:tc>
          <w:tcPr>
            <w:tcW w:w="6465" w:type="dxa"/>
            <w:vAlign w:val="top"/>
          </w:tcPr>
          <w:p w14:paraId="0BD3B5FE">
            <w:pPr>
              <w:keepNext w:val="0"/>
              <w:keepLines w:val="0"/>
              <w:widowControl/>
              <w:suppressLineNumbers w:val="0"/>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价格分统一采用低价优先法，即满足征集文件要求且响应价格最低的报价为评标基准价，其价格分为满分</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分。其他供应商的价格分统一按照下列公式计算：报价得分＝（评标基准价/响应报价</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 ×100</w:t>
            </w:r>
          </w:p>
        </w:tc>
        <w:tc>
          <w:tcPr>
            <w:tcW w:w="1380" w:type="dxa"/>
            <w:vAlign w:val="center"/>
          </w:tcPr>
          <w:p w14:paraId="6940C591">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宋体" w:cs="仿宋"/>
                <w:color w:val="auto"/>
                <w:spacing w:val="0"/>
                <w:w w:val="100"/>
                <w:position w:val="0"/>
                <w:sz w:val="28"/>
                <w:szCs w:val="28"/>
                <w:vertAlign w:val="baseline"/>
                <w:lang w:val="en-US" w:eastAsia="zh-CN"/>
              </w:rPr>
            </w:pPr>
            <w:r>
              <w:rPr>
                <w:rFonts w:hint="eastAsia" w:ascii="仿宋" w:hAnsi="仿宋" w:eastAsia="仿宋" w:cs="仿宋"/>
                <w:color w:val="000000" w:themeColor="text1"/>
                <w:spacing w:val="0"/>
                <w:w w:val="100"/>
                <w:position w:val="0"/>
                <w:sz w:val="28"/>
                <w:szCs w:val="28"/>
                <w:vertAlign w:val="baseline"/>
                <w:lang w:val="en-US" w:eastAsia="zh-CN"/>
                <w14:textFill>
                  <w14:solidFill>
                    <w14:schemeClr w14:val="tx1"/>
                  </w14:solidFill>
                </w14:textFill>
              </w:rPr>
              <w:t>0-10分</w:t>
            </w:r>
          </w:p>
        </w:tc>
      </w:tr>
    </w:tbl>
    <w:p w14:paraId="399C31B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5.2.2分值汇总</w:t>
      </w:r>
    </w:p>
    <w:p w14:paraId="408E3D83">
      <w:pPr>
        <w:pageBreakBefore w:val="0"/>
        <w:kinsoku w:val="0"/>
        <w:wordWrap/>
        <w:overflowPunct/>
        <w:topLinePunct w:val="0"/>
        <w:bidi w:val="0"/>
        <w:adjustRightInd w:val="0"/>
        <w:snapToGrid w:val="0"/>
        <w:spacing w:line="360" w:lineRule="auto"/>
        <w:ind w:left="0" w:leftChars="0" w:right="0" w:rightChars="0" w:firstLine="396"/>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小组各成员应当独立对每个有效响应的文件进行评价、打分，然后汇总每个供应商每项评分因素的得分(四舍五入保留至小数点后两位数)，再将供应商每项评分因素的得分进行汇总，得到该供应商的技术资信分之和，即为该供应商的综合总得分。</w:t>
      </w:r>
    </w:p>
    <w:p w14:paraId="1F35210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0" w:type="default"/>
          <w:pgSz w:w="11922" w:h="16849"/>
          <w:pgMar w:top="1440" w:right="1803" w:bottom="1440" w:left="1803" w:header="1134" w:footer="1253" w:gutter="0"/>
          <w:pgNumType w:fmt="decimal"/>
          <w:cols w:space="0" w:num="1"/>
          <w:rtlGutter w:val="0"/>
          <w:docGrid w:linePitch="0" w:charSpace="0"/>
        </w:sectPr>
      </w:pPr>
    </w:p>
    <w:p w14:paraId="73AA5820">
      <w:pPr>
        <w:pStyle w:val="5"/>
        <w:pageBreakBefore w:val="0"/>
        <w:kinsoku w:val="0"/>
        <w:wordWrap/>
        <w:overflowPunct/>
        <w:topLinePunct w:val="0"/>
        <w:bidi w:val="0"/>
        <w:adjustRightInd w:val="0"/>
        <w:snapToGrid w:val="0"/>
        <w:spacing w:before="0" w:beforeLines="0" w:after="0" w:afterLines="0" w:line="360" w:lineRule="auto"/>
        <w:ind w:left="0" w:leftChars="0" w:right="0" w:rightChars="0"/>
        <w:jc w:val="center"/>
        <w:textAlignment w:val="baseline"/>
        <w:rPr>
          <w:rFonts w:hint="eastAsia" w:ascii="仿宋" w:hAnsi="仿宋" w:eastAsia="仿宋" w:cs="仿宋"/>
          <w:color w:val="auto"/>
          <w:spacing w:val="0"/>
          <w:w w:val="100"/>
          <w:position w:val="0"/>
        </w:rPr>
      </w:pPr>
      <w:bookmarkStart w:id="6" w:name="_Toc6589"/>
      <w:r>
        <w:rPr>
          <w:rFonts w:hint="eastAsia" w:ascii="仿宋" w:hAnsi="仿宋" w:eastAsia="仿宋" w:cs="仿宋"/>
          <w:color w:val="auto"/>
          <w:spacing w:val="0"/>
          <w:w w:val="100"/>
          <w:position w:val="0"/>
          <w:lang w:val="en-US" w:eastAsia="en-US"/>
        </w:rPr>
        <w:t>第五章</w:t>
      </w:r>
      <w:r>
        <w:rPr>
          <w:rFonts w:hint="eastAsia" w:ascii="仿宋" w:hAnsi="仿宋" w:eastAsia="仿宋" w:cs="仿宋"/>
          <w:color w:val="auto"/>
          <w:spacing w:val="0"/>
          <w:w w:val="100"/>
          <w:position w:val="0"/>
        </w:rPr>
        <w:t>框架协议</w:t>
      </w:r>
      <w:bookmarkEnd w:id="6"/>
    </w:p>
    <w:p w14:paraId="62DDA7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框 架 协 议 格 式</w:t>
      </w:r>
    </w:p>
    <w:p w14:paraId="157E7C5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3"/>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甲方 (征集人)：</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798F561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3"/>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乙方  (入围供应商)：</w:t>
      </w:r>
      <w:r>
        <w:rPr>
          <w:rFonts w:hint="eastAsia" w:ascii="仿宋" w:hAnsi="仿宋" w:eastAsia="仿宋" w:cs="仿宋"/>
          <w:color w:val="auto"/>
          <w:spacing w:val="0"/>
          <w:w w:val="100"/>
          <w:position w:val="0"/>
          <w:sz w:val="28"/>
          <w:szCs w:val="28"/>
          <w:u w:val="single" w:color="auto"/>
        </w:rPr>
        <w:t xml:space="preserve">                                         </w:t>
      </w:r>
    </w:p>
    <w:p w14:paraId="02CFCB9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依照《中华人民共和国民法典》、《政府采购框架协议采购方式管理暂行办法》、《中华人民共和国政府采购法》及其实施条例等有关法律、行政法规，结合本项目的具体情况，遵循平等、自愿、公平和诚实信用的原则，双方就</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(项目编号：    ) 的相关内容协商一致，同意按照以下条款和条件，订立本框架协议。</w:t>
      </w:r>
    </w:p>
    <w:p w14:paraId="7BFDBD2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一、合同文件下列文件构成本框架协议的组成部分：</w:t>
      </w:r>
    </w:p>
    <w:p w14:paraId="5E3EF42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1、框架协议及补充协议</w:t>
      </w:r>
    </w:p>
    <w:p w14:paraId="7FC072D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2、中标通知书</w:t>
      </w:r>
    </w:p>
    <w:p w14:paraId="280CC0D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3、响应文件及评标过程中做出的书面说明或承诺</w:t>
      </w:r>
    </w:p>
    <w:p w14:paraId="7D72B3F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4、征集文件及答疑补充文件</w:t>
      </w:r>
    </w:p>
    <w:p w14:paraId="7379A8E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二</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、采购需求</w:t>
      </w:r>
    </w:p>
    <w:p w14:paraId="4D1E453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详见征集文件《第三章采购需求》；</w:t>
      </w:r>
    </w:p>
    <w:p w14:paraId="3450623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三、确定第二阶段成交供应商的方式：</w:t>
      </w:r>
    </w:p>
    <w:p w14:paraId="4B17100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直接选定方式；</w:t>
      </w:r>
    </w:p>
    <w:p w14:paraId="40E3F06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四、适用框架协议的征集人或者服务对象范围，以及履行合同的地域范围。</w:t>
      </w:r>
    </w:p>
    <w:p w14:paraId="4CFB861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1、适用框架协议的征集人或者服务对象范围：</w:t>
      </w:r>
      <w:r>
        <w:rPr>
          <w:rFonts w:hint="eastAsia" w:ascii="仿宋" w:hAnsi="仿宋" w:eastAsia="仿宋" w:cs="仿宋"/>
          <w:color w:val="auto"/>
          <w:spacing w:val="0"/>
          <w:w w:val="100"/>
          <w:position w:val="0"/>
          <w:sz w:val="28"/>
          <w:szCs w:val="28"/>
          <w:lang w:val="en-US" w:eastAsia="zh-CN"/>
        </w:rPr>
        <w:t>阜阳市颍东区机关事务管理服务中心、阜阳市颍东区国家机关、事业单位和团体组织等。</w:t>
      </w:r>
    </w:p>
    <w:p w14:paraId="472C350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rPr>
        <w:t>2、履行合同的地域范围：阜阳市</w:t>
      </w:r>
    </w:p>
    <w:p w14:paraId="288284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五</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、服务费用计取及结算</w:t>
      </w:r>
    </w:p>
    <w:p w14:paraId="0A02652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本合同</w:t>
      </w:r>
      <w:r>
        <w:rPr>
          <w:rFonts w:hint="eastAsia" w:ascii="仿宋" w:hAnsi="仿宋" w:eastAsia="仿宋" w:cs="仿宋"/>
          <w:color w:val="auto"/>
          <w:spacing w:val="0"/>
          <w:w w:val="100"/>
          <w:position w:val="0"/>
          <w:sz w:val="28"/>
          <w:szCs w:val="28"/>
          <w:lang w:eastAsia="zh-CN"/>
        </w:rPr>
        <w:t>中标费率</w:t>
      </w:r>
      <w:r>
        <w:rPr>
          <w:rFonts w:hint="eastAsia" w:ascii="仿宋" w:hAnsi="仿宋" w:eastAsia="仿宋" w:cs="仿宋"/>
          <w:color w:val="auto"/>
          <w:spacing w:val="0"/>
          <w:w w:val="100"/>
          <w:position w:val="0"/>
          <w:sz w:val="28"/>
          <w:szCs w:val="28"/>
        </w:rPr>
        <w:t>为：</w:t>
      </w:r>
      <w:r>
        <w:rPr>
          <w:rFonts w:hint="eastAsia" w:ascii="仿宋" w:hAnsi="仿宋" w:eastAsia="仿宋" w:cs="仿宋"/>
          <w:color w:val="auto"/>
          <w:spacing w:val="0"/>
          <w:w w:val="100"/>
          <w:position w:val="0"/>
          <w:sz w:val="28"/>
          <w:szCs w:val="28"/>
          <w:u w:val="single"/>
        </w:rPr>
        <w:t xml:space="preserve"> </w:t>
      </w:r>
      <w:r>
        <w:rPr>
          <w:rFonts w:hint="eastAsia" w:ascii="仿宋" w:hAnsi="仿宋" w:eastAsia="仿宋" w:cs="仿宋"/>
          <w:color w:val="auto"/>
          <w:spacing w:val="0"/>
          <w:w w:val="100"/>
          <w:position w:val="0"/>
          <w:sz w:val="28"/>
          <w:szCs w:val="28"/>
          <w:u w:val="single"/>
          <w:lang w:val="en-US" w:eastAsia="zh-CN"/>
        </w:rPr>
        <w:t xml:space="preserve">    </w:t>
      </w:r>
      <w:r>
        <w:rPr>
          <w:rFonts w:hint="eastAsia" w:ascii="仿宋" w:hAnsi="仿宋" w:eastAsia="仿宋" w:cs="仿宋"/>
          <w:color w:val="auto"/>
          <w:spacing w:val="0"/>
          <w:w w:val="100"/>
          <w:position w:val="0"/>
          <w:sz w:val="28"/>
          <w:szCs w:val="28"/>
          <w:u w:val="single"/>
        </w:rPr>
        <w:tab/>
      </w:r>
      <w:r>
        <w:rPr>
          <w:rFonts w:hint="eastAsia" w:ascii="仿宋" w:hAnsi="仿宋" w:eastAsia="仿宋" w:cs="仿宋"/>
          <w:color w:val="auto"/>
          <w:spacing w:val="0"/>
          <w:w w:val="100"/>
          <w:position w:val="0"/>
          <w:sz w:val="28"/>
          <w:szCs w:val="28"/>
          <w:lang w:val="en-US" w:eastAsia="zh-CN"/>
        </w:rPr>
        <w:t>%</w:t>
      </w:r>
      <w:r>
        <w:rPr>
          <w:rFonts w:hint="eastAsia" w:ascii="仿宋" w:hAnsi="仿宋" w:eastAsia="仿宋" w:cs="仿宋"/>
          <w:color w:val="auto"/>
          <w:spacing w:val="0"/>
          <w:w w:val="100"/>
          <w:position w:val="0"/>
          <w:sz w:val="28"/>
          <w:szCs w:val="28"/>
        </w:rPr>
        <w:t>（大写：</w:t>
      </w:r>
      <w:r>
        <w:rPr>
          <w:rFonts w:hint="eastAsia" w:ascii="仿宋" w:hAnsi="仿宋" w:eastAsia="仿宋" w:cs="仿宋"/>
          <w:color w:val="auto"/>
          <w:spacing w:val="0"/>
          <w:w w:val="100"/>
          <w:position w:val="0"/>
          <w:sz w:val="28"/>
          <w:szCs w:val="28"/>
          <w:u w:val="single"/>
        </w:rPr>
        <w:tab/>
      </w:r>
      <w:r>
        <w:rPr>
          <w:rFonts w:hint="eastAsia" w:ascii="仿宋" w:hAnsi="仿宋" w:eastAsia="仿宋" w:cs="仿宋"/>
          <w:color w:val="auto"/>
          <w:spacing w:val="0"/>
          <w:w w:val="100"/>
          <w:position w:val="0"/>
          <w:sz w:val="28"/>
          <w:szCs w:val="28"/>
          <w:u w:val="single"/>
          <w:lang w:val="en-US" w:eastAsia="zh-CN"/>
        </w:rPr>
        <w:t xml:space="preserve">             </w:t>
      </w:r>
      <w:r>
        <w:rPr>
          <w:rFonts w:hint="eastAsia" w:ascii="仿宋" w:hAnsi="仿宋" w:eastAsia="仿宋" w:cs="仿宋"/>
          <w:color w:val="auto"/>
          <w:spacing w:val="0"/>
          <w:w w:val="100"/>
          <w:position w:val="0"/>
          <w:sz w:val="28"/>
          <w:szCs w:val="28"/>
        </w:rPr>
        <w:t>）。</w:t>
      </w:r>
    </w:p>
    <w:p w14:paraId="56BD736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分项价格：</w:t>
      </w:r>
    </w:p>
    <w:tbl>
      <w:tblPr>
        <w:tblStyle w:val="22"/>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315"/>
        <w:gridCol w:w="1"/>
        <w:gridCol w:w="3241"/>
      </w:tblGrid>
      <w:tr w14:paraId="6A280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61" w:type="dxa"/>
            <w:vAlign w:val="top"/>
          </w:tcPr>
          <w:p w14:paraId="2C2D4A6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序号</w:t>
            </w:r>
          </w:p>
        </w:tc>
        <w:tc>
          <w:tcPr>
            <w:tcW w:w="4316" w:type="dxa"/>
            <w:gridSpan w:val="2"/>
            <w:vAlign w:val="top"/>
          </w:tcPr>
          <w:p w14:paraId="3CB8A9A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分项名称</w:t>
            </w:r>
          </w:p>
        </w:tc>
        <w:tc>
          <w:tcPr>
            <w:tcW w:w="3241" w:type="dxa"/>
            <w:vAlign w:val="top"/>
          </w:tcPr>
          <w:p w14:paraId="5A3960D2">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分项价格</w:t>
            </w:r>
          </w:p>
        </w:tc>
      </w:tr>
      <w:tr w14:paraId="0522A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1" w:type="dxa"/>
            <w:vAlign w:val="top"/>
          </w:tcPr>
          <w:p w14:paraId="4615BB42">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p>
        </w:tc>
        <w:tc>
          <w:tcPr>
            <w:tcW w:w="4316" w:type="dxa"/>
            <w:gridSpan w:val="2"/>
            <w:vAlign w:val="top"/>
          </w:tcPr>
          <w:p w14:paraId="09E510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3241" w:type="dxa"/>
            <w:vAlign w:val="top"/>
          </w:tcPr>
          <w:p w14:paraId="7FB589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r w14:paraId="0841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1" w:type="dxa"/>
            <w:vAlign w:val="top"/>
          </w:tcPr>
          <w:p w14:paraId="2370181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p>
        </w:tc>
        <w:tc>
          <w:tcPr>
            <w:tcW w:w="4316" w:type="dxa"/>
            <w:gridSpan w:val="2"/>
            <w:vAlign w:val="top"/>
          </w:tcPr>
          <w:p w14:paraId="470702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3241" w:type="dxa"/>
            <w:vAlign w:val="top"/>
          </w:tcPr>
          <w:p w14:paraId="685251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r w14:paraId="6AEC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61" w:type="dxa"/>
            <w:vAlign w:val="top"/>
          </w:tcPr>
          <w:p w14:paraId="62A1E5BC">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p>
        </w:tc>
        <w:tc>
          <w:tcPr>
            <w:tcW w:w="4316" w:type="dxa"/>
            <w:gridSpan w:val="2"/>
            <w:vAlign w:val="top"/>
          </w:tcPr>
          <w:p w14:paraId="6BC4B7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3241" w:type="dxa"/>
            <w:vAlign w:val="top"/>
          </w:tcPr>
          <w:p w14:paraId="30F44B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r w14:paraId="626C5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61" w:type="dxa"/>
            <w:vAlign w:val="top"/>
          </w:tcPr>
          <w:p w14:paraId="2F711115">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w:t>
            </w:r>
          </w:p>
        </w:tc>
        <w:tc>
          <w:tcPr>
            <w:tcW w:w="4315" w:type="dxa"/>
            <w:vAlign w:val="top"/>
          </w:tcPr>
          <w:p w14:paraId="1789A9F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3242" w:type="dxa"/>
            <w:gridSpan w:val="2"/>
            <w:vAlign w:val="top"/>
          </w:tcPr>
          <w:p w14:paraId="66F72D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r w14:paraId="634A3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276" w:type="dxa"/>
            <w:gridSpan w:val="2"/>
            <w:vAlign w:val="top"/>
          </w:tcPr>
          <w:p w14:paraId="7C2C20C5">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总价</w:t>
            </w:r>
          </w:p>
        </w:tc>
        <w:tc>
          <w:tcPr>
            <w:tcW w:w="3242" w:type="dxa"/>
            <w:gridSpan w:val="2"/>
            <w:tcBorders>
              <w:right w:val="single" w:color="000000" w:sz="4" w:space="0"/>
            </w:tcBorders>
            <w:vAlign w:val="top"/>
          </w:tcPr>
          <w:p w14:paraId="408240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bl>
    <w:p w14:paraId="6A0EAF4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7" w:name="_Toc12215"/>
      <w:r>
        <w:rPr>
          <w:rFonts w:hint="eastAsia" w:ascii="仿宋" w:hAnsi="仿宋" w:eastAsia="仿宋" w:cs="仿宋"/>
          <w:b/>
          <w:bCs/>
          <w:color w:val="auto"/>
          <w:spacing w:val="0"/>
          <w:w w:val="100"/>
          <w:position w:val="0"/>
          <w:sz w:val="28"/>
          <w:szCs w:val="28"/>
        </w:rPr>
        <w:t>1.1</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付款方式和发票开具方式</w:t>
      </w:r>
      <w:bookmarkEnd w:id="7"/>
    </w:p>
    <w:p w14:paraId="4F785AD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1.1.1 付款方式：</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763222E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1.1.2 发票开具方式：</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4416E07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8" w:name="_Toc26694"/>
      <w:r>
        <w:rPr>
          <w:rFonts w:hint="eastAsia" w:ascii="仿宋" w:hAnsi="仿宋" w:eastAsia="仿宋" w:cs="仿宋"/>
          <w:b/>
          <w:bCs/>
          <w:color w:val="auto"/>
          <w:spacing w:val="0"/>
          <w:w w:val="100"/>
          <w:position w:val="0"/>
          <w:sz w:val="28"/>
          <w:szCs w:val="28"/>
        </w:rPr>
        <w:t>1.2</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服务期限、地点和方式</w:t>
      </w:r>
      <w:bookmarkEnd w:id="8"/>
    </w:p>
    <w:p w14:paraId="079279F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1.2.1 服务期限：</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6877BF0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1.2.2 服务地点：</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4500D1B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1.2.3 服务方式：</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3833597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9" w:name="_Toc15507"/>
      <w:r>
        <w:rPr>
          <w:rFonts w:hint="eastAsia" w:ascii="仿宋" w:hAnsi="仿宋" w:eastAsia="仿宋" w:cs="仿宋"/>
          <w:b/>
          <w:bCs/>
          <w:color w:val="auto"/>
          <w:spacing w:val="0"/>
          <w:w w:val="100"/>
          <w:position w:val="0"/>
          <w:sz w:val="28"/>
          <w:szCs w:val="28"/>
        </w:rPr>
        <w:t>1.3</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违约责任</w:t>
      </w:r>
      <w:bookmarkEnd w:id="9"/>
    </w:p>
    <w:p w14:paraId="06E6B4E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1.3.1 除不可抗力外，如果乙方没有按照本合同约定的期限、地点和方式履行，那么甲方可要求乙方支付违约金，违约金按每迟延履行一日的应提供而未提供服务价格</w:t>
      </w:r>
      <w:r>
        <w:rPr>
          <w:rFonts w:hint="eastAsia" w:ascii="仿宋" w:hAnsi="仿宋" w:eastAsia="仿宋" w:cs="仿宋"/>
          <w:color w:val="000000" w:themeColor="text1"/>
          <w:spacing w:val="0"/>
          <w:w w:val="100"/>
          <w:position w:val="0"/>
          <w:sz w:val="28"/>
          <w:szCs w:val="28"/>
          <w14:textFill>
            <w14:solidFill>
              <w14:schemeClr w14:val="tx1"/>
            </w14:solidFill>
          </w14:textFill>
        </w:rPr>
        <w:t>的</w:t>
      </w:r>
      <w:r>
        <w:rPr>
          <w:rFonts w:hint="eastAsia" w:ascii="仿宋" w:hAnsi="仿宋" w:eastAsia="仿宋" w:cs="仿宋"/>
          <w:color w:val="000000" w:themeColor="text1"/>
          <w:spacing w:val="0"/>
          <w:w w:val="100"/>
          <w:position w:val="0"/>
          <w:sz w:val="28"/>
          <w:szCs w:val="28"/>
          <w:u w:val="single" w:color="auto"/>
          <w14:textFill>
            <w14:solidFill>
              <w14:schemeClr w14:val="tx1"/>
            </w14:solidFill>
          </w14:textFill>
        </w:rPr>
        <w:t xml:space="preserve"> </w:t>
      </w:r>
      <w:r>
        <w:rPr>
          <w:rFonts w:hint="eastAsia" w:ascii="仿宋" w:hAnsi="仿宋" w:eastAsia="仿宋" w:cs="仿宋"/>
          <w:color w:val="000000" w:themeColor="text1"/>
          <w:spacing w:val="0"/>
          <w:w w:val="100"/>
          <w:position w:val="0"/>
          <w:sz w:val="28"/>
          <w:szCs w:val="28"/>
          <w:u w:val="single" w:color="auto"/>
          <w:lang w:val="en-US" w:eastAsia="zh-CN"/>
          <w14:textFill>
            <w14:solidFill>
              <w14:schemeClr w14:val="tx1"/>
            </w14:solidFill>
          </w14:textFill>
        </w:rPr>
        <w:t xml:space="preserve">1 </w:t>
      </w:r>
      <w:r>
        <w:rPr>
          <w:rFonts w:hint="eastAsia" w:ascii="仿宋" w:hAnsi="仿宋" w:eastAsia="仿宋" w:cs="仿宋"/>
          <w:color w:val="000000" w:themeColor="text1"/>
          <w:spacing w:val="0"/>
          <w:w w:val="100"/>
          <w:position w:val="0"/>
          <w:sz w:val="28"/>
          <w:szCs w:val="28"/>
          <w14:textFill>
            <w14:solidFill>
              <w14:schemeClr w14:val="tx1"/>
            </w14:solidFill>
          </w14:textFill>
        </w:rPr>
        <w:t>%计算，最高限额为本合同总价的</w:t>
      </w:r>
      <w:r>
        <w:rPr>
          <w:rFonts w:hint="eastAsia" w:ascii="仿宋" w:hAnsi="仿宋" w:eastAsia="仿宋" w:cs="仿宋"/>
          <w:color w:val="000000" w:themeColor="text1"/>
          <w:spacing w:val="0"/>
          <w:w w:val="100"/>
          <w:position w:val="0"/>
          <w:sz w:val="28"/>
          <w:szCs w:val="28"/>
          <w:u w:val="single" w:color="auto"/>
          <w14:textFill>
            <w14:solidFill>
              <w14:schemeClr w14:val="tx1"/>
            </w14:solidFill>
          </w14:textFill>
        </w:rPr>
        <w:t xml:space="preserve"> </w:t>
      </w:r>
      <w:r>
        <w:rPr>
          <w:rFonts w:hint="eastAsia" w:ascii="仿宋" w:hAnsi="仿宋" w:eastAsia="仿宋" w:cs="仿宋"/>
          <w:color w:val="000000" w:themeColor="text1"/>
          <w:spacing w:val="0"/>
          <w:w w:val="100"/>
          <w:position w:val="0"/>
          <w:sz w:val="28"/>
          <w:szCs w:val="28"/>
          <w:u w:val="single" w:color="auto"/>
          <w:lang w:val="en-US" w:eastAsia="zh-CN"/>
          <w14:textFill>
            <w14:solidFill>
              <w14:schemeClr w14:val="tx1"/>
            </w14:solidFill>
          </w14:textFill>
        </w:rPr>
        <w:t xml:space="preserve">5 </w:t>
      </w:r>
      <w:r>
        <w:rPr>
          <w:rFonts w:hint="eastAsia" w:ascii="仿宋" w:hAnsi="仿宋" w:eastAsia="仿宋" w:cs="仿宋"/>
          <w:color w:val="000000" w:themeColor="text1"/>
          <w:spacing w:val="0"/>
          <w:w w:val="100"/>
          <w:position w:val="0"/>
          <w:sz w:val="28"/>
          <w:szCs w:val="28"/>
          <w14:textFill>
            <w14:solidFill>
              <w14:schemeClr w14:val="tx1"/>
            </w14:solidFill>
          </w14:textFill>
        </w:rPr>
        <w:t>%；迟延履行的违约金计算数</w:t>
      </w:r>
      <w:r>
        <w:rPr>
          <w:rFonts w:hint="eastAsia" w:ascii="仿宋" w:hAnsi="仿宋" w:eastAsia="仿宋" w:cs="仿宋"/>
          <w:color w:val="auto"/>
          <w:spacing w:val="0"/>
          <w:w w:val="100"/>
          <w:position w:val="0"/>
          <w:sz w:val="28"/>
          <w:szCs w:val="28"/>
        </w:rPr>
        <w:t>额达到前述最高限额之日起，甲方有权在要求乙方支付违约金的同时，书面通知乙方解除本合同；</w:t>
      </w:r>
    </w:p>
    <w:p w14:paraId="763112E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1.3.2 除不可抗力外，如果甲方没有按照本合同约定的付款方式付款，那么乙方可要求甲方支付违约金，违约金按每迟延付款一日的应付而未付款</w:t>
      </w:r>
      <w:r>
        <w:rPr>
          <w:rFonts w:hint="eastAsia" w:ascii="仿宋" w:hAnsi="仿宋" w:eastAsia="仿宋" w:cs="仿宋"/>
          <w:color w:val="000000" w:themeColor="text1"/>
          <w:spacing w:val="0"/>
          <w:w w:val="100"/>
          <w:position w:val="0"/>
          <w:sz w:val="28"/>
          <w:szCs w:val="28"/>
          <w14:textFill>
            <w14:solidFill>
              <w14:schemeClr w14:val="tx1"/>
            </w14:solidFill>
          </w14:textFill>
        </w:rPr>
        <w:t>的</w:t>
      </w:r>
      <w:r>
        <w:rPr>
          <w:rFonts w:hint="eastAsia" w:ascii="仿宋" w:hAnsi="仿宋" w:eastAsia="仿宋" w:cs="仿宋"/>
          <w:color w:val="000000" w:themeColor="text1"/>
          <w:spacing w:val="0"/>
          <w:w w:val="100"/>
          <w:position w:val="0"/>
          <w:sz w:val="28"/>
          <w:szCs w:val="28"/>
          <w:u w:val="single" w:color="auto"/>
          <w14:textFill>
            <w14:solidFill>
              <w14:schemeClr w14:val="tx1"/>
            </w14:solidFill>
          </w14:textFill>
        </w:rPr>
        <w:t xml:space="preserve"> </w:t>
      </w:r>
      <w:r>
        <w:rPr>
          <w:rFonts w:hint="eastAsia" w:ascii="仿宋" w:hAnsi="仿宋" w:eastAsia="仿宋" w:cs="仿宋"/>
          <w:color w:val="000000" w:themeColor="text1"/>
          <w:spacing w:val="0"/>
          <w:w w:val="100"/>
          <w:position w:val="0"/>
          <w:sz w:val="28"/>
          <w:szCs w:val="28"/>
          <w:u w:val="single" w:color="auto"/>
          <w:lang w:val="en-US" w:eastAsia="zh-CN"/>
          <w14:textFill>
            <w14:solidFill>
              <w14:schemeClr w14:val="tx1"/>
            </w14:solidFill>
          </w14:textFill>
        </w:rPr>
        <w:t xml:space="preserve">1 </w:t>
      </w:r>
      <w:r>
        <w:rPr>
          <w:rFonts w:hint="eastAsia" w:ascii="仿宋" w:hAnsi="仿宋" w:eastAsia="仿宋" w:cs="仿宋"/>
          <w:color w:val="000000" w:themeColor="text1"/>
          <w:spacing w:val="0"/>
          <w:w w:val="100"/>
          <w:position w:val="0"/>
          <w:sz w:val="28"/>
          <w:szCs w:val="28"/>
          <w14:textFill>
            <w14:solidFill>
              <w14:schemeClr w14:val="tx1"/>
            </w14:solidFill>
          </w14:textFill>
        </w:rPr>
        <w:t>% 计算，最高限额为本合同总价的</w:t>
      </w:r>
      <w:r>
        <w:rPr>
          <w:rFonts w:hint="eastAsia" w:ascii="仿宋" w:hAnsi="仿宋" w:eastAsia="仿宋" w:cs="仿宋"/>
          <w:color w:val="000000" w:themeColor="text1"/>
          <w:spacing w:val="0"/>
          <w:w w:val="100"/>
          <w:position w:val="0"/>
          <w:sz w:val="28"/>
          <w:szCs w:val="28"/>
          <w:u w:val="single" w:color="auto"/>
          <w14:textFill>
            <w14:solidFill>
              <w14:schemeClr w14:val="tx1"/>
            </w14:solidFill>
          </w14:textFill>
        </w:rPr>
        <w:t xml:space="preserve"> </w:t>
      </w:r>
      <w:r>
        <w:rPr>
          <w:rFonts w:hint="eastAsia" w:ascii="仿宋" w:hAnsi="仿宋" w:eastAsia="仿宋" w:cs="仿宋"/>
          <w:color w:val="000000" w:themeColor="text1"/>
          <w:spacing w:val="0"/>
          <w:w w:val="100"/>
          <w:position w:val="0"/>
          <w:sz w:val="28"/>
          <w:szCs w:val="28"/>
          <w:u w:val="single" w:color="auto"/>
          <w:lang w:val="en-US" w:eastAsia="zh-CN"/>
          <w14:textFill>
            <w14:solidFill>
              <w14:schemeClr w14:val="tx1"/>
            </w14:solidFill>
          </w14:textFill>
        </w:rPr>
        <w:t xml:space="preserve">5 </w:t>
      </w:r>
      <w:r>
        <w:rPr>
          <w:rFonts w:hint="eastAsia" w:ascii="仿宋" w:hAnsi="仿宋" w:eastAsia="仿宋" w:cs="仿宋"/>
          <w:color w:val="000000" w:themeColor="text1"/>
          <w:spacing w:val="0"/>
          <w:w w:val="100"/>
          <w:position w:val="0"/>
          <w:sz w:val="28"/>
          <w:szCs w:val="28"/>
          <w14:textFill>
            <w14:solidFill>
              <w14:schemeClr w14:val="tx1"/>
            </w14:solidFill>
          </w14:textFill>
        </w:rPr>
        <w:t>%；迟</w:t>
      </w:r>
      <w:r>
        <w:rPr>
          <w:rFonts w:hint="eastAsia" w:ascii="仿宋" w:hAnsi="仿宋" w:eastAsia="仿宋" w:cs="仿宋"/>
          <w:color w:val="auto"/>
          <w:spacing w:val="0"/>
          <w:w w:val="100"/>
          <w:position w:val="0"/>
          <w:sz w:val="28"/>
          <w:szCs w:val="28"/>
        </w:rPr>
        <w:t>延付款的违约金计算数额达到前述最高限额之日起，乙方有权在要求甲方支付违约金的同时，书面通知甲方解除本合同；</w:t>
      </w:r>
    </w:p>
    <w:p w14:paraId="796D55A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1.3.3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 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492919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1.3.4 任何一方按照前述约定要求违约方支付违约金的同时，仍有权要求违约方继续履行合同、采取补救措施，并有权按照己方实际损失情况要求违约方赔偿损失；任何一方按照前述约定 要求解除本合同的同时，仍有权要求违约方支付违约金和按照己方实际损失情况要求违约方赔偿损失；且守约方行使的任何权利救济方式均不视为其放弃了其他法定或者约定的权利救济方式；</w:t>
      </w:r>
    </w:p>
    <w:p w14:paraId="6740E3F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1.3.5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A67CC9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49"/>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snapToGrid w:val="0"/>
          <w:color w:val="auto"/>
          <w:spacing w:val="0"/>
          <w:w w:val="100"/>
          <w:kern w:val="0"/>
          <w:position w:val="0"/>
          <w:sz w:val="28"/>
          <w:szCs w:val="28"/>
          <w:lang w:val="en-US" w:eastAsia="en-US" w:bidi="ar-SA"/>
        </w:rPr>
        <w:t>1.3.6 如果出现政府采购监督管理部门在处理投诉事项期间，书面通知甲方暂停采购活动的情形，或者询问或质疑事项可能影响中标结果的，导致甲方中止履行合同的情形，均不视为甲方违约。</w:t>
      </w:r>
    </w:p>
    <w:p w14:paraId="2FF2088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0" w:name="_Toc15725"/>
      <w:r>
        <w:rPr>
          <w:rFonts w:hint="eastAsia" w:ascii="仿宋" w:hAnsi="仿宋" w:eastAsia="仿宋" w:cs="仿宋"/>
          <w:b/>
          <w:bCs/>
          <w:color w:val="auto"/>
          <w:spacing w:val="0"/>
          <w:w w:val="100"/>
          <w:position w:val="0"/>
          <w:sz w:val="28"/>
          <w:szCs w:val="28"/>
        </w:rPr>
        <w:t>1.4</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合同争议的解决</w:t>
      </w:r>
      <w:bookmarkEnd w:id="10"/>
    </w:p>
    <w:p w14:paraId="66B21F8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本合同履行过程中发生的任何争议，双方当事人均可通过和解或者调解解决；不愿和解、调解或者和解、调解不成的，可以选择下列第</w:t>
      </w:r>
      <w:r>
        <w:rPr>
          <w:rFonts w:hint="eastAsia" w:ascii="仿宋" w:hAnsi="仿宋" w:eastAsia="仿宋" w:cs="仿宋"/>
          <w:color w:val="auto"/>
          <w:spacing w:val="0"/>
          <w:w w:val="100"/>
          <w:position w:val="0"/>
          <w:sz w:val="28"/>
          <w:szCs w:val="28"/>
          <w:u w:val="single" w:color="auto"/>
        </w:rPr>
        <w:t xml:space="preserve"> 2 </w:t>
      </w:r>
      <w:r>
        <w:rPr>
          <w:rFonts w:hint="eastAsia" w:ascii="仿宋" w:hAnsi="仿宋" w:eastAsia="仿宋" w:cs="仿宋"/>
          <w:color w:val="auto"/>
          <w:spacing w:val="0"/>
          <w:w w:val="100"/>
          <w:position w:val="0"/>
          <w:sz w:val="28"/>
          <w:szCs w:val="28"/>
        </w:rPr>
        <w:t>种方式解决：</w:t>
      </w:r>
    </w:p>
    <w:p w14:paraId="1395B46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1.4.1 将争议提交</w:t>
      </w:r>
      <w:r>
        <w:rPr>
          <w:rFonts w:hint="eastAsia" w:ascii="仿宋" w:hAnsi="仿宋" w:eastAsia="仿宋" w:cs="仿宋"/>
          <w:color w:val="auto"/>
          <w:spacing w:val="0"/>
          <w:w w:val="100"/>
          <w:position w:val="0"/>
          <w:sz w:val="28"/>
          <w:szCs w:val="28"/>
          <w:u w:val="single" w:color="auto"/>
        </w:rPr>
        <w:t>阜阳</w:t>
      </w:r>
      <w:r>
        <w:rPr>
          <w:rFonts w:hint="eastAsia" w:ascii="仿宋" w:hAnsi="仿宋" w:eastAsia="仿宋" w:cs="仿宋"/>
          <w:color w:val="auto"/>
          <w:spacing w:val="0"/>
          <w:w w:val="100"/>
          <w:position w:val="0"/>
          <w:sz w:val="28"/>
          <w:szCs w:val="28"/>
        </w:rPr>
        <w:t>仲裁委员会依申请仲裁时其现行有效的仲裁规则裁决；</w:t>
      </w:r>
    </w:p>
    <w:p w14:paraId="6435152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1.4.2 向</w:t>
      </w:r>
      <w:r>
        <w:rPr>
          <w:rFonts w:hint="eastAsia" w:ascii="仿宋" w:hAnsi="仿宋" w:eastAsia="仿宋" w:cs="仿宋"/>
          <w:color w:val="auto"/>
          <w:spacing w:val="0"/>
          <w:w w:val="100"/>
          <w:position w:val="0"/>
          <w:sz w:val="28"/>
          <w:szCs w:val="28"/>
          <w:u w:val="single" w:color="auto"/>
        </w:rPr>
        <w:t xml:space="preserve"> 甲方住所地 </w:t>
      </w:r>
      <w:r>
        <w:rPr>
          <w:rFonts w:hint="eastAsia" w:ascii="仿宋" w:hAnsi="仿宋" w:eastAsia="仿宋" w:cs="仿宋"/>
          <w:color w:val="auto"/>
          <w:spacing w:val="0"/>
          <w:w w:val="100"/>
          <w:position w:val="0"/>
          <w:sz w:val="28"/>
          <w:szCs w:val="28"/>
        </w:rPr>
        <w:t>人民法院起诉。</w:t>
      </w:r>
    </w:p>
    <w:p w14:paraId="1F0B056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1" w:name="_Toc6795"/>
      <w:r>
        <w:rPr>
          <w:rFonts w:hint="eastAsia" w:ascii="仿宋" w:hAnsi="仿宋" w:eastAsia="仿宋" w:cs="仿宋"/>
          <w:b/>
          <w:bCs/>
          <w:color w:val="auto"/>
          <w:spacing w:val="0"/>
          <w:w w:val="100"/>
          <w:position w:val="0"/>
          <w:sz w:val="28"/>
          <w:szCs w:val="28"/>
        </w:rPr>
        <w:t>1.5</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合同生效</w:t>
      </w:r>
      <w:bookmarkEnd w:id="11"/>
    </w:p>
    <w:p w14:paraId="0336FAF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本合同自双方当事人盖章时生效。本框架协议未尽事宜，双方可签订补充协议，补充协议 与本框架协议具有同等法律效力。</w:t>
      </w:r>
    </w:p>
    <w:p w14:paraId="518D50A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六</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、框架协议份数</w:t>
      </w:r>
    </w:p>
    <w:p w14:paraId="005E7E2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本合同一式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份，甲、乙各执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份。</w:t>
      </w:r>
    </w:p>
    <w:p w14:paraId="09D11DE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甲方： (盖章)                    </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乙方：（盖章）</w:t>
      </w:r>
    </w:p>
    <w:p w14:paraId="22B8C59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地址：                            地址：</w:t>
      </w:r>
    </w:p>
    <w:p w14:paraId="42D875C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法定代表人</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 xml:space="preserve">    法定代表人</w:t>
      </w:r>
      <w:r>
        <w:rPr>
          <w:rFonts w:hint="eastAsia" w:ascii="仿宋" w:hAnsi="仿宋" w:eastAsia="仿宋" w:cs="仿宋"/>
          <w:color w:val="auto"/>
          <w:spacing w:val="0"/>
          <w:w w:val="100"/>
          <w:position w:val="0"/>
          <w:sz w:val="28"/>
          <w:szCs w:val="28"/>
          <w:lang w:eastAsia="zh-CN"/>
        </w:rPr>
        <w:t>：</w:t>
      </w:r>
    </w:p>
    <w:p w14:paraId="7103C83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或委托代表人： (签字或盖章)   </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或委托代理人：（签字或盖章）</w:t>
      </w:r>
    </w:p>
    <w:p w14:paraId="36068B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联系方式：                       联系方式：</w:t>
      </w:r>
    </w:p>
    <w:p w14:paraId="539633C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开户银行：                       开户银行：</w:t>
      </w:r>
    </w:p>
    <w:p w14:paraId="5EB6744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账号</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 xml:space="preserve">                           账号</w:t>
      </w:r>
      <w:r>
        <w:rPr>
          <w:rFonts w:hint="eastAsia" w:ascii="仿宋" w:hAnsi="仿宋" w:eastAsia="仿宋" w:cs="仿宋"/>
          <w:color w:val="auto"/>
          <w:spacing w:val="0"/>
          <w:w w:val="100"/>
          <w:position w:val="0"/>
          <w:sz w:val="28"/>
          <w:szCs w:val="28"/>
          <w:lang w:eastAsia="zh-CN"/>
        </w:rPr>
        <w:t>：</w:t>
      </w:r>
    </w:p>
    <w:p w14:paraId="5F9754D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本框架协议签订于：   年  月   日</w:t>
      </w:r>
    </w:p>
    <w:p w14:paraId="521CEA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1" w:type="default"/>
          <w:pgSz w:w="11922" w:h="16849"/>
          <w:pgMar w:top="1440" w:right="1803" w:bottom="1440" w:left="1803" w:header="1134" w:footer="1253" w:gutter="0"/>
          <w:pgNumType w:fmt="decimal"/>
          <w:cols w:space="0" w:num="1"/>
          <w:rtlGutter w:val="0"/>
          <w:docGrid w:linePitch="0" w:charSpace="0"/>
        </w:sectPr>
      </w:pPr>
    </w:p>
    <w:p w14:paraId="40C6F25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12" w:name="_Toc6495"/>
      <w:r>
        <w:rPr>
          <w:rFonts w:hint="eastAsia" w:ascii="仿宋" w:hAnsi="仿宋" w:eastAsia="仿宋" w:cs="仿宋"/>
          <w:b/>
          <w:bCs/>
          <w:color w:val="auto"/>
          <w:spacing w:val="0"/>
          <w:w w:val="100"/>
          <w:position w:val="0"/>
          <w:sz w:val="28"/>
          <w:szCs w:val="28"/>
        </w:rPr>
        <w:t>第二部分</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合同一般条款</w:t>
      </w:r>
      <w:bookmarkEnd w:id="12"/>
    </w:p>
    <w:p w14:paraId="57F0136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3" w:name="_Toc31433"/>
      <w:r>
        <w:rPr>
          <w:rFonts w:hint="eastAsia" w:ascii="仿宋" w:hAnsi="仿宋" w:eastAsia="仿宋" w:cs="仿宋"/>
          <w:b/>
          <w:bCs/>
          <w:color w:val="auto"/>
          <w:spacing w:val="0"/>
          <w:w w:val="100"/>
          <w:position w:val="0"/>
          <w:sz w:val="28"/>
          <w:szCs w:val="28"/>
        </w:rPr>
        <w:t>2.1</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定义</w:t>
      </w:r>
      <w:bookmarkEnd w:id="13"/>
    </w:p>
    <w:p w14:paraId="1E79B34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本合同中的下列词语应按以下内容进行解释：</w:t>
      </w:r>
    </w:p>
    <w:p w14:paraId="3357EB0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2.1.1 “合同 ”系指采购人和中标人签订的载明双方当事人所达成的协议，并包括所有的附件、附录和构成合同的其他文件。</w:t>
      </w:r>
    </w:p>
    <w:p w14:paraId="559BEC2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2.1.2 “合同价 ”系指根据合同约定，中标人在完全履行合同义务后，采购人应支付给中标人的价格。</w:t>
      </w:r>
    </w:p>
    <w:p w14:paraId="1212F20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2.1.3 “服务 ”系指中标人根据合同约定应向采购人履行的除货物和工程以外的其他政府采购对象，包括采购人自身需要的服务和向社会公众提供的公共服务。</w:t>
      </w:r>
    </w:p>
    <w:p w14:paraId="5306476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2.1.4 “ 甲方 ”系指与中标人签署合同的采购人；采购人委托采购代理机构代表其与乙方签订合同的，采购人的授权委托书作为合同附件。</w:t>
      </w:r>
    </w:p>
    <w:p w14:paraId="25BFF96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2.1.5 “ 乙方 ”系指根据合同约定提供服务的中标人；两个以上的自然人、法人或者其他组织组成一个联合体，以一个供应商的身份共同参加政府采购的</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联合体各方均应为乙方或者与乙方相同地位的合同当事人，并就合同约定的事项对甲方承担连带责任。</w:t>
      </w:r>
    </w:p>
    <w:p w14:paraId="308766B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2.1.6 “现场 ”系指合同约定提供服务的地点。</w:t>
      </w:r>
    </w:p>
    <w:p w14:paraId="3459175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4" w:name="_Toc7044"/>
      <w:r>
        <w:rPr>
          <w:rFonts w:hint="eastAsia" w:ascii="仿宋" w:hAnsi="仿宋" w:eastAsia="仿宋" w:cs="仿宋"/>
          <w:b/>
          <w:bCs/>
          <w:color w:val="auto"/>
          <w:spacing w:val="0"/>
          <w:w w:val="100"/>
          <w:position w:val="0"/>
          <w:sz w:val="28"/>
          <w:szCs w:val="28"/>
        </w:rPr>
        <w:t>2.2</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技术规范</w:t>
      </w:r>
      <w:bookmarkEnd w:id="14"/>
    </w:p>
    <w:p w14:paraId="4DAEAB0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8"/>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货物所应遵守的技术规范应与</w:t>
      </w:r>
      <w:r>
        <w:rPr>
          <w:rFonts w:hint="eastAsia" w:ascii="仿宋" w:hAnsi="仿宋" w:eastAsia="仿宋" w:cs="仿宋"/>
          <w:color w:val="auto"/>
          <w:spacing w:val="0"/>
          <w:w w:val="100"/>
          <w:position w:val="0"/>
          <w:sz w:val="28"/>
          <w:szCs w:val="28"/>
          <w:lang w:eastAsia="zh-CN"/>
        </w:rPr>
        <w:t>征集文件</w:t>
      </w:r>
      <w:r>
        <w:rPr>
          <w:rFonts w:hint="eastAsia" w:ascii="仿宋" w:hAnsi="仿宋" w:eastAsia="仿宋" w:cs="仿宋"/>
          <w:color w:val="auto"/>
          <w:spacing w:val="0"/>
          <w:w w:val="100"/>
          <w:position w:val="0"/>
          <w:sz w:val="28"/>
          <w:szCs w:val="28"/>
        </w:rPr>
        <w:t>规定的技术规范和技术规范附件(如果有的话)及其 技术规范偏差表(如果被甲方接受的话)相一致；如果</w:t>
      </w:r>
      <w:r>
        <w:rPr>
          <w:rFonts w:hint="eastAsia" w:ascii="仿宋" w:hAnsi="仿宋" w:eastAsia="仿宋" w:cs="仿宋"/>
          <w:color w:val="auto"/>
          <w:spacing w:val="0"/>
          <w:w w:val="100"/>
          <w:position w:val="0"/>
          <w:sz w:val="28"/>
          <w:szCs w:val="28"/>
          <w:lang w:eastAsia="zh-CN"/>
        </w:rPr>
        <w:t>征集文件</w:t>
      </w:r>
      <w:r>
        <w:rPr>
          <w:rFonts w:hint="eastAsia" w:ascii="仿宋" w:hAnsi="仿宋" w:eastAsia="仿宋" w:cs="仿宋"/>
          <w:color w:val="auto"/>
          <w:spacing w:val="0"/>
          <w:w w:val="100"/>
          <w:position w:val="0"/>
          <w:sz w:val="28"/>
          <w:szCs w:val="28"/>
        </w:rPr>
        <w:t>中没有技术规范的相应说明，那么应以国家有关部门最新颁布的相应标准和规范为准。</w:t>
      </w:r>
    </w:p>
    <w:p w14:paraId="027B8A5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5" w:name="_Toc3677"/>
      <w:r>
        <w:rPr>
          <w:rFonts w:hint="eastAsia" w:ascii="仿宋" w:hAnsi="仿宋" w:eastAsia="仿宋" w:cs="仿宋"/>
          <w:b/>
          <w:bCs/>
          <w:color w:val="auto"/>
          <w:spacing w:val="0"/>
          <w:w w:val="100"/>
          <w:position w:val="0"/>
          <w:sz w:val="28"/>
          <w:szCs w:val="28"/>
        </w:rPr>
        <w:t>2.3</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知识产权</w:t>
      </w:r>
      <w:bookmarkEnd w:id="15"/>
    </w:p>
    <w:p w14:paraId="032394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76EFCF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2.3.2 具有知识产权的计算机软件等货物的知识产权归属，详见</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w:t>
      </w:r>
    </w:p>
    <w:p w14:paraId="210FBAA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6" w:name="_Toc2796"/>
      <w:r>
        <w:rPr>
          <w:rFonts w:hint="eastAsia" w:ascii="仿宋" w:hAnsi="仿宋" w:eastAsia="仿宋" w:cs="仿宋"/>
          <w:b/>
          <w:bCs/>
          <w:color w:val="auto"/>
          <w:spacing w:val="0"/>
          <w:w w:val="100"/>
          <w:position w:val="0"/>
          <w:sz w:val="28"/>
          <w:szCs w:val="28"/>
        </w:rPr>
        <w:t>2.4</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履约检查和问题反馈</w:t>
      </w:r>
      <w:bookmarkEnd w:id="16"/>
    </w:p>
    <w:p w14:paraId="05B7F75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2.4.1 甲方有权在其认为必要时，对乙方是否能够按照合同约定提供服务进行履约检查，以确保乙方所提供的服务能够依约满足甲方项目需求，但不得因履约检查妨碍乙方的正常工作，乙方应予积极配合；</w:t>
      </w:r>
    </w:p>
    <w:p w14:paraId="73E2BEA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2.4.2 合同履行期间，甲方有权将履行过程中出现的问题反馈给乙方，双方当事人应以书面形式约定需要完善和改进的内容。</w:t>
      </w:r>
    </w:p>
    <w:p w14:paraId="0156235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2.5</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结算方式和付款条件</w:t>
      </w:r>
      <w:r>
        <w:rPr>
          <w:rFonts w:hint="eastAsia" w:ascii="仿宋" w:hAnsi="仿宋" w:eastAsia="仿宋" w:cs="仿宋"/>
          <w:color w:val="auto"/>
          <w:spacing w:val="0"/>
          <w:w w:val="100"/>
          <w:position w:val="0"/>
          <w:sz w:val="28"/>
          <w:szCs w:val="28"/>
        </w:rPr>
        <w:t>详 见</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w:t>
      </w:r>
    </w:p>
    <w:p w14:paraId="173DAB7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7" w:name="_Toc22879"/>
      <w:r>
        <w:rPr>
          <w:rFonts w:hint="eastAsia" w:ascii="仿宋" w:hAnsi="仿宋" w:eastAsia="仿宋" w:cs="仿宋"/>
          <w:b/>
          <w:bCs/>
          <w:color w:val="auto"/>
          <w:spacing w:val="0"/>
          <w:w w:val="100"/>
          <w:position w:val="0"/>
          <w:sz w:val="28"/>
          <w:szCs w:val="28"/>
        </w:rPr>
        <w:t>2.6</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技术资料和保密义务</w:t>
      </w:r>
      <w:bookmarkEnd w:id="17"/>
    </w:p>
    <w:p w14:paraId="3A49C3A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2.6.1 乙方有权依据合同约定和项目需要，向甲方了解有关情况，调阅有关资料等，甲方应予积极配合；</w:t>
      </w:r>
    </w:p>
    <w:p w14:paraId="7E61775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2.6.2 乙方有义务妥善保管和保护由甲方提供的前款信息和资料等；</w:t>
      </w:r>
    </w:p>
    <w:p w14:paraId="4FD2B4B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2.6.3 除非依照法律规定或者对方当事人的书面同意，任何一方均应保证不向任何第三 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FD5255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8" w:name="_Toc5968"/>
      <w:r>
        <w:rPr>
          <w:rFonts w:hint="eastAsia" w:ascii="仿宋" w:hAnsi="仿宋" w:eastAsia="仿宋" w:cs="仿宋"/>
          <w:b/>
          <w:bCs/>
          <w:color w:val="auto"/>
          <w:spacing w:val="0"/>
          <w:w w:val="100"/>
          <w:position w:val="0"/>
          <w:sz w:val="28"/>
          <w:szCs w:val="28"/>
        </w:rPr>
        <w:t>2.7</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质量保证</w:t>
      </w:r>
      <w:bookmarkEnd w:id="18"/>
    </w:p>
    <w:p w14:paraId="7241AB3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2.7.1 乙方应建立和完善履行合同的内部质量保证体系，并提供相关内部规章制度给甲方，以便甲方进行监督检查；</w:t>
      </w:r>
    </w:p>
    <w:p w14:paraId="322A193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2.7.2 乙方应保证履行合同的人员数量和素质、软件和硬件设备的配置、场地、环境和设施等满足全面履行合同的要求，并应接受甲方的监督检查。</w:t>
      </w:r>
    </w:p>
    <w:p w14:paraId="1E92A55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9" w:name="_Toc16525"/>
      <w:r>
        <w:rPr>
          <w:rFonts w:hint="eastAsia" w:ascii="仿宋" w:hAnsi="仿宋" w:eastAsia="仿宋" w:cs="仿宋"/>
          <w:b/>
          <w:bCs/>
          <w:color w:val="auto"/>
          <w:spacing w:val="0"/>
          <w:w w:val="100"/>
          <w:position w:val="0"/>
          <w:sz w:val="28"/>
          <w:szCs w:val="28"/>
        </w:rPr>
        <w:t>2.8</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延迟履行</w:t>
      </w:r>
      <w:bookmarkEnd w:id="19"/>
    </w:p>
    <w:p w14:paraId="7B0BE02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在合同履行过程中，如果乙方遇到不能按时提供服务的情况，应及时以书面形式将不能按时提供 服务的理由、预期延误时间通知甲方；甲方收到乙方通知后，认为其理由正当的，可以书面形式酌情同意乙方可以延长履行的具体时间。</w:t>
      </w:r>
    </w:p>
    <w:p w14:paraId="626356F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0" w:name="_Toc16088"/>
      <w:r>
        <w:rPr>
          <w:rFonts w:hint="eastAsia" w:ascii="仿宋" w:hAnsi="仿宋" w:eastAsia="仿宋" w:cs="仿宋"/>
          <w:b/>
          <w:bCs/>
          <w:color w:val="auto"/>
          <w:spacing w:val="0"/>
          <w:w w:val="100"/>
          <w:position w:val="0"/>
          <w:sz w:val="28"/>
          <w:szCs w:val="28"/>
        </w:rPr>
        <w:t>2.9</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合同变更</w:t>
      </w:r>
      <w:bookmarkEnd w:id="20"/>
    </w:p>
    <w:p w14:paraId="4E9BF75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2.9.1 双方当事人协商一致，可以签订书面补充合同的形式变更合同，但不得违背采购文件确定的事项；</w:t>
      </w:r>
    </w:p>
    <w:p w14:paraId="6CC55FC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2.9.2 合同继续履行将损害国家利益和社会公共利益的，双方当事人应当以书面形式变更合同。有过错的一方应当承担赔偿责任，双方当事人都有过错的，各自承担相应的责任。</w:t>
      </w:r>
    </w:p>
    <w:p w14:paraId="4DFF3EC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1" w:name="_Toc11360"/>
      <w:r>
        <w:rPr>
          <w:rFonts w:hint="eastAsia" w:ascii="仿宋" w:hAnsi="仿宋" w:eastAsia="仿宋" w:cs="仿宋"/>
          <w:b/>
          <w:bCs/>
          <w:color w:val="auto"/>
          <w:spacing w:val="0"/>
          <w:w w:val="100"/>
          <w:position w:val="0"/>
          <w:sz w:val="28"/>
          <w:szCs w:val="28"/>
        </w:rPr>
        <w:t>2.10</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合同转让和分包</w:t>
      </w:r>
      <w:bookmarkEnd w:id="21"/>
    </w:p>
    <w:p w14:paraId="08E32BC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1F9C4E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b/>
          <w:bCs/>
          <w:color w:val="auto"/>
          <w:spacing w:val="0"/>
          <w:w w:val="100"/>
          <w:position w:val="0"/>
          <w:sz w:val="28"/>
          <w:szCs w:val="28"/>
        </w:rPr>
      </w:pPr>
      <w:bookmarkStart w:id="22" w:name="_Toc26432"/>
      <w:r>
        <w:rPr>
          <w:rFonts w:hint="eastAsia" w:ascii="仿宋" w:hAnsi="仿宋" w:eastAsia="仿宋" w:cs="仿宋"/>
          <w:b/>
          <w:bCs/>
          <w:color w:val="auto"/>
          <w:spacing w:val="0"/>
          <w:w w:val="100"/>
          <w:position w:val="0"/>
          <w:sz w:val="28"/>
          <w:szCs w:val="28"/>
        </w:rPr>
        <w:t>2.11</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不可抗力</w:t>
      </w:r>
      <w:bookmarkEnd w:id="22"/>
    </w:p>
    <w:p w14:paraId="27A717D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outlineLvl w:val="1"/>
        <w:rPr>
          <w:rFonts w:hint="eastAsia" w:ascii="仿宋" w:hAnsi="仿宋" w:eastAsia="仿宋" w:cs="仿宋"/>
          <w:color w:val="auto"/>
          <w:spacing w:val="0"/>
          <w:w w:val="100"/>
          <w:position w:val="0"/>
          <w:sz w:val="28"/>
          <w:szCs w:val="28"/>
        </w:rPr>
      </w:pPr>
      <w:bookmarkStart w:id="23" w:name="_Toc13860"/>
      <w:r>
        <w:rPr>
          <w:rFonts w:hint="eastAsia" w:ascii="仿宋" w:hAnsi="仿宋" w:eastAsia="仿宋" w:cs="仿宋"/>
          <w:color w:val="auto"/>
          <w:spacing w:val="0"/>
          <w:w w:val="100"/>
          <w:position w:val="0"/>
          <w:sz w:val="28"/>
          <w:szCs w:val="28"/>
        </w:rPr>
        <w:t>2.11.1 如果任何一方遭遇法律规定的不可抗力，致使合同履行受阻时，履行合同的期限应予延长，延长的期限应相当于不可抗力所影响的时间；</w:t>
      </w:r>
      <w:bookmarkEnd w:id="23"/>
    </w:p>
    <w:p w14:paraId="50E9AC8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outlineLvl w:val="1"/>
        <w:rPr>
          <w:rFonts w:hint="eastAsia" w:ascii="仿宋" w:hAnsi="仿宋" w:eastAsia="仿宋" w:cs="仿宋"/>
          <w:color w:val="auto"/>
          <w:spacing w:val="0"/>
          <w:w w:val="100"/>
          <w:position w:val="0"/>
          <w:sz w:val="28"/>
          <w:szCs w:val="28"/>
        </w:rPr>
      </w:pPr>
      <w:bookmarkStart w:id="24" w:name="_Toc27935"/>
      <w:r>
        <w:rPr>
          <w:rFonts w:hint="eastAsia" w:ascii="仿宋" w:hAnsi="仿宋" w:eastAsia="仿宋" w:cs="仿宋"/>
          <w:color w:val="auto"/>
          <w:spacing w:val="0"/>
          <w:w w:val="100"/>
          <w:position w:val="0"/>
          <w:sz w:val="28"/>
          <w:szCs w:val="28"/>
        </w:rPr>
        <w:t>2.11.2 因不可抗力致使不能实现合同目的的，当事人可以解除合同；</w:t>
      </w:r>
      <w:bookmarkEnd w:id="24"/>
    </w:p>
    <w:p w14:paraId="65DC4C2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2.11.3 因不可抗力致使合同有变更必要的，双方当事人应在</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约定时间 内以书面形式变更合同；</w:t>
      </w:r>
    </w:p>
    <w:p w14:paraId="05B09F9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2.11.4 受不可抗力影响的一方在不可抗力发生后，应在</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约定时间内以 书面形式通知对方当事人，并在</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约定时间内，将有关部门出具的证明文件送达对方当事人。</w:t>
      </w:r>
    </w:p>
    <w:p w14:paraId="7A0D5B5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5" w:name="_Toc13991"/>
      <w:r>
        <w:rPr>
          <w:rFonts w:hint="eastAsia" w:ascii="仿宋" w:hAnsi="仿宋" w:eastAsia="仿宋" w:cs="仿宋"/>
          <w:b/>
          <w:bCs/>
          <w:color w:val="auto"/>
          <w:spacing w:val="0"/>
          <w:w w:val="100"/>
          <w:position w:val="0"/>
          <w:sz w:val="28"/>
          <w:szCs w:val="28"/>
        </w:rPr>
        <w:t>2.12</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税费</w:t>
      </w:r>
      <w:bookmarkEnd w:id="25"/>
    </w:p>
    <w:p w14:paraId="06ED142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与合同有关的一切税费，均按照中华人民共和国法律的相关规定缴纳。</w:t>
      </w:r>
    </w:p>
    <w:p w14:paraId="5B7D093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6" w:name="_Toc16980"/>
      <w:r>
        <w:rPr>
          <w:rFonts w:hint="eastAsia" w:ascii="仿宋" w:hAnsi="仿宋" w:eastAsia="仿宋" w:cs="仿宋"/>
          <w:b/>
          <w:bCs/>
          <w:color w:val="auto"/>
          <w:spacing w:val="0"/>
          <w:w w:val="100"/>
          <w:position w:val="0"/>
          <w:sz w:val="28"/>
          <w:szCs w:val="28"/>
        </w:rPr>
        <w:t>2.13</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乙方破产</w:t>
      </w:r>
      <w:bookmarkEnd w:id="26"/>
    </w:p>
    <w:p w14:paraId="293AD2F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如果乙方破产导致合同无法履行时，甲方可以书面形式通知乙方终止合同且不给予乙方任何 补偿和赔偿，但合同的终止不损害或不影响甲方已经采取或将要采取的任何要求乙方支付违约金、 赔偿损失等的行动或补救措施的权利。</w:t>
      </w:r>
    </w:p>
    <w:p w14:paraId="535A0D8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7" w:name="_Toc2928"/>
      <w:r>
        <w:rPr>
          <w:rFonts w:hint="eastAsia" w:ascii="仿宋" w:hAnsi="仿宋" w:eastAsia="仿宋" w:cs="仿宋"/>
          <w:b/>
          <w:bCs/>
          <w:color w:val="auto"/>
          <w:spacing w:val="0"/>
          <w:w w:val="100"/>
          <w:position w:val="0"/>
          <w:sz w:val="28"/>
          <w:szCs w:val="28"/>
        </w:rPr>
        <w:t>2.14</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合同中止、终止</w:t>
      </w:r>
      <w:bookmarkEnd w:id="27"/>
    </w:p>
    <w:p w14:paraId="5FEABBF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2.14.1 双方当事人不得擅自中止或者终止合同；</w:t>
      </w:r>
    </w:p>
    <w:p w14:paraId="412A0D7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2.14.2 合同继续履行将损害国家利益和社会公共利益的，双方当事人应当中止或者终止合同。有过错的一方应当承担赔偿责任，双方当事人都有过错的，各自承担相应的责任。</w:t>
      </w:r>
    </w:p>
    <w:p w14:paraId="3A76E2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8" w:name="_Toc15587"/>
      <w:r>
        <w:rPr>
          <w:rFonts w:hint="eastAsia" w:ascii="仿宋" w:hAnsi="仿宋" w:eastAsia="仿宋" w:cs="仿宋"/>
          <w:b/>
          <w:bCs/>
          <w:color w:val="auto"/>
          <w:spacing w:val="0"/>
          <w:w w:val="100"/>
          <w:position w:val="0"/>
          <w:sz w:val="28"/>
          <w:szCs w:val="28"/>
        </w:rPr>
        <w:t>2.15</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检验和验收</w:t>
      </w:r>
      <w:bookmarkEnd w:id="28"/>
    </w:p>
    <w:p w14:paraId="184A567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2.15.1</w:t>
      </w:r>
      <w:r>
        <w:rPr>
          <w:rFonts w:hint="eastAsia" w:ascii="仿宋" w:hAnsi="仿宋" w:eastAsia="仿宋" w:cs="仿宋"/>
          <w:color w:val="auto"/>
          <w:spacing w:val="0"/>
          <w:w w:val="100"/>
          <w:position w:val="0"/>
          <w:sz w:val="28"/>
          <w:szCs w:val="28"/>
        </w:rPr>
        <w:t xml:space="preserve"> 乙方按照</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的约定，定期提交服务报告，甲方按照</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的约定进行定期验收；</w:t>
      </w:r>
    </w:p>
    <w:p w14:paraId="44F6175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2"/>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2.15.2 合同期满或者履行完毕后，甲方有权组织（包括依法邀请国家认可的质量检测机 构参加）对乙方履约的验收，即：按照合同约定的标准，组织对乙方履约情况的验收，并出具验收书；向社会公众提供的公共服务项目，验收时应当邀请服务对象参与并出具意见，验收结果应当向社会公告；</w:t>
      </w:r>
    </w:p>
    <w:p w14:paraId="1B51C1B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2.15.3 检验和验收标准、程序等具体内容以及前述验收书的效力详见</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w:t>
      </w:r>
    </w:p>
    <w:p w14:paraId="3BC54AD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9" w:name="_Toc20129"/>
      <w:r>
        <w:rPr>
          <w:rFonts w:hint="eastAsia" w:ascii="仿宋" w:hAnsi="仿宋" w:eastAsia="仿宋" w:cs="仿宋"/>
          <w:b/>
          <w:bCs/>
          <w:color w:val="auto"/>
          <w:spacing w:val="0"/>
          <w:w w:val="100"/>
          <w:position w:val="0"/>
          <w:sz w:val="28"/>
          <w:szCs w:val="28"/>
        </w:rPr>
        <w:t>2.16</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合同使用的文字和适用的法律</w:t>
      </w:r>
      <w:bookmarkEnd w:id="29"/>
    </w:p>
    <w:p w14:paraId="1716E42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2.16.1 合同使用汉语</w:t>
      </w:r>
      <w:r>
        <w:rPr>
          <w:rFonts w:hint="eastAsia" w:ascii="仿宋" w:hAnsi="仿宋" w:eastAsia="仿宋" w:cs="仿宋"/>
          <w:color w:val="auto"/>
          <w:spacing w:val="0"/>
          <w:w w:val="100"/>
          <w:position w:val="0"/>
          <w:sz w:val="28"/>
          <w:szCs w:val="28"/>
          <w:lang w:eastAsia="zh-CN"/>
        </w:rPr>
        <w:t>书写</w:t>
      </w:r>
      <w:r>
        <w:rPr>
          <w:rFonts w:hint="eastAsia" w:ascii="仿宋" w:hAnsi="仿宋" w:eastAsia="仿宋" w:cs="仿宋"/>
          <w:color w:val="auto"/>
          <w:spacing w:val="0"/>
          <w:w w:val="100"/>
          <w:position w:val="0"/>
          <w:sz w:val="28"/>
          <w:szCs w:val="28"/>
        </w:rPr>
        <w:t>、变更和解释；</w:t>
      </w:r>
    </w:p>
    <w:p w14:paraId="5E6D193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2.16.2 合同适用中华人民共和国法律。</w:t>
      </w:r>
    </w:p>
    <w:p w14:paraId="2E3C35E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30" w:name="_Toc466"/>
      <w:r>
        <w:rPr>
          <w:rFonts w:hint="eastAsia" w:ascii="仿宋" w:hAnsi="仿宋" w:eastAsia="仿宋" w:cs="仿宋"/>
          <w:b/>
          <w:bCs/>
          <w:color w:val="auto"/>
          <w:spacing w:val="0"/>
          <w:w w:val="100"/>
          <w:position w:val="0"/>
          <w:sz w:val="28"/>
          <w:szCs w:val="28"/>
        </w:rPr>
        <w:t>2.17</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履约保证金</w:t>
      </w:r>
      <w:bookmarkEnd w:id="30"/>
    </w:p>
    <w:p w14:paraId="4646D6F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4"/>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2.17.1 </w:t>
      </w:r>
      <w:r>
        <w:rPr>
          <w:rFonts w:hint="eastAsia" w:ascii="仿宋" w:hAnsi="仿宋" w:eastAsia="仿宋" w:cs="仿宋"/>
          <w:color w:val="auto"/>
          <w:spacing w:val="0"/>
          <w:w w:val="100"/>
          <w:position w:val="0"/>
          <w:sz w:val="28"/>
          <w:szCs w:val="28"/>
          <w:lang w:eastAsia="zh-CN"/>
        </w:rPr>
        <w:t>征集文件</w:t>
      </w:r>
      <w:r>
        <w:rPr>
          <w:rFonts w:hint="eastAsia" w:ascii="仿宋" w:hAnsi="仿宋" w:eastAsia="仿宋" w:cs="仿宋"/>
          <w:color w:val="auto"/>
          <w:spacing w:val="0"/>
          <w:w w:val="100"/>
          <w:position w:val="0"/>
          <w:sz w:val="28"/>
          <w:szCs w:val="28"/>
        </w:rPr>
        <w:t xml:space="preserve">要求乙方提交履约保证金的，乙方应按合同专用条款约定的方式提交； </w:t>
      </w:r>
    </w:p>
    <w:p w14:paraId="3A4993E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4"/>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2.17.2 履约保证金在合同专用条款约定期间内不予退还或者应完全有效，前述约定期间届满或者甲方在验收合格后退还；</w:t>
      </w:r>
    </w:p>
    <w:p w14:paraId="3D3E7E6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4"/>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60AEB8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31" w:name="_Toc24303"/>
      <w:r>
        <w:rPr>
          <w:rFonts w:hint="eastAsia" w:ascii="仿宋" w:hAnsi="仿宋" w:eastAsia="仿宋" w:cs="仿宋"/>
          <w:b/>
          <w:bCs/>
          <w:color w:val="auto"/>
          <w:spacing w:val="0"/>
          <w:w w:val="100"/>
          <w:position w:val="0"/>
          <w:sz w:val="28"/>
          <w:szCs w:val="28"/>
        </w:rPr>
        <w:t>2.18</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合同份数</w:t>
      </w:r>
      <w:bookmarkEnd w:id="31"/>
    </w:p>
    <w:p w14:paraId="1360A81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合同份数按</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规定，每份均具有同等法律效力。</w:t>
      </w:r>
    </w:p>
    <w:p w14:paraId="5A24E8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2" w:type="default"/>
          <w:pgSz w:w="11922" w:h="16849"/>
          <w:pgMar w:top="1440" w:right="1803" w:bottom="1440" w:left="1803" w:header="1134" w:footer="1253" w:gutter="0"/>
          <w:pgNumType w:fmt="decimal"/>
          <w:cols w:space="0" w:num="1"/>
          <w:rtlGutter w:val="0"/>
          <w:docGrid w:linePitch="0" w:charSpace="0"/>
        </w:sectPr>
      </w:pPr>
    </w:p>
    <w:p w14:paraId="647611F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32" w:name="_Toc5053"/>
      <w:r>
        <w:rPr>
          <w:rFonts w:hint="eastAsia" w:ascii="仿宋" w:hAnsi="仿宋" w:eastAsia="仿宋" w:cs="仿宋"/>
          <w:b/>
          <w:bCs/>
          <w:color w:val="auto"/>
          <w:spacing w:val="0"/>
          <w:w w:val="100"/>
          <w:position w:val="0"/>
          <w:sz w:val="28"/>
          <w:szCs w:val="28"/>
        </w:rPr>
        <w:t>第三部分</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合同专用条款</w:t>
      </w:r>
      <w:bookmarkEnd w:id="32"/>
    </w:p>
    <w:p w14:paraId="104554B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3"/>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本部分是对前两部分的补充和修改，如果前两部分和本部分的约定不一致，应以本部分的约定为准。本部分的条款号应与前两部分的条款号保持对应；与前两部分无对应关系的内容可另行编制</w:t>
      </w:r>
    </w:p>
    <w:tbl>
      <w:tblPr>
        <w:tblStyle w:val="22"/>
        <w:tblW w:w="8671" w:type="dxa"/>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9"/>
        <w:gridCol w:w="7572"/>
      </w:tblGrid>
      <w:tr w14:paraId="14CC5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99" w:type="dxa"/>
            <w:tcBorders>
              <w:left w:val="single" w:color="000000" w:sz="2" w:space="0"/>
            </w:tcBorders>
            <w:vAlign w:val="top"/>
          </w:tcPr>
          <w:p w14:paraId="39E3FE4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条款号</w:t>
            </w:r>
          </w:p>
        </w:tc>
        <w:tc>
          <w:tcPr>
            <w:tcW w:w="7572" w:type="dxa"/>
            <w:vAlign w:val="top"/>
          </w:tcPr>
          <w:p w14:paraId="4BCD104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约定内容</w:t>
            </w:r>
          </w:p>
        </w:tc>
      </w:tr>
      <w:tr w14:paraId="3563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513354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履约保 证金</w:t>
            </w:r>
          </w:p>
        </w:tc>
        <w:tc>
          <w:tcPr>
            <w:tcW w:w="7572" w:type="dxa"/>
            <w:vAlign w:val="top"/>
          </w:tcPr>
          <w:p w14:paraId="3D2AD6E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金额：遵照《阜阳市财政局 阜阳市公共资源交易监督管理局转发安徽省财政厅关于进一步优化政府采购营商环境的通知》（阜财购〔2022〕207号）执行</w:t>
            </w:r>
          </w:p>
          <w:p w14:paraId="76E6D0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 ☑免收</w:t>
            </w:r>
          </w:p>
        </w:tc>
      </w:tr>
      <w:tr w14:paraId="5554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99" w:type="dxa"/>
            <w:tcBorders>
              <w:left w:val="single" w:color="000000" w:sz="2" w:space="0"/>
            </w:tcBorders>
            <w:vAlign w:val="top"/>
          </w:tcPr>
          <w:p w14:paraId="55DA53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2D8E2E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2C3FF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25AC57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680238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CB0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99" w:type="dxa"/>
            <w:tcBorders>
              <w:left w:val="single" w:color="000000" w:sz="2" w:space="0"/>
            </w:tcBorders>
            <w:vAlign w:val="top"/>
          </w:tcPr>
          <w:p w14:paraId="7C533B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3980F6C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5B3DB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23B654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619310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DDE1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560B4E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3736D2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009D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99" w:type="dxa"/>
            <w:tcBorders>
              <w:left w:val="single" w:color="000000" w:sz="2" w:space="0"/>
            </w:tcBorders>
            <w:vAlign w:val="top"/>
          </w:tcPr>
          <w:p w14:paraId="10D518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2278BA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9324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99" w:type="dxa"/>
            <w:tcBorders>
              <w:left w:val="single" w:color="000000" w:sz="2" w:space="0"/>
            </w:tcBorders>
            <w:vAlign w:val="top"/>
          </w:tcPr>
          <w:p w14:paraId="110D22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4C3BC4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378F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99" w:type="dxa"/>
            <w:tcBorders>
              <w:left w:val="single" w:color="000000" w:sz="2" w:space="0"/>
            </w:tcBorders>
            <w:vAlign w:val="top"/>
          </w:tcPr>
          <w:p w14:paraId="0F66FE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2DF0A3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60F8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99" w:type="dxa"/>
            <w:tcBorders>
              <w:left w:val="single" w:color="000000" w:sz="2" w:space="0"/>
            </w:tcBorders>
            <w:vAlign w:val="top"/>
          </w:tcPr>
          <w:p w14:paraId="5663AD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271A6F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55711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0A4F66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21F313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86C9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099" w:type="dxa"/>
            <w:tcBorders>
              <w:left w:val="single" w:color="000000" w:sz="2" w:space="0"/>
            </w:tcBorders>
            <w:vAlign w:val="top"/>
          </w:tcPr>
          <w:p w14:paraId="1ABFC3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13DD85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bl>
    <w:p w14:paraId="611BF5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750FCD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3" w:type="default"/>
          <w:pgSz w:w="11922" w:h="16849"/>
          <w:pgMar w:top="1440" w:right="1803" w:bottom="1440" w:left="1803" w:header="1134" w:footer="1253" w:gutter="0"/>
          <w:pgNumType w:fmt="decimal"/>
          <w:cols w:space="0" w:num="1"/>
          <w:rtlGutter w:val="0"/>
          <w:docGrid w:linePitch="0" w:charSpace="0"/>
        </w:sectPr>
      </w:pPr>
    </w:p>
    <w:p w14:paraId="461D62A5">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color w:val="auto"/>
          <w:spacing w:val="0"/>
          <w:w w:val="100"/>
          <w:position w:val="0"/>
          <w:sz w:val="44"/>
          <w:szCs w:val="44"/>
          <w:lang w:val="en-US" w:eastAsia="en-US"/>
        </w:rPr>
      </w:pPr>
      <w:bookmarkStart w:id="33" w:name="_Toc16469"/>
      <w:r>
        <w:rPr>
          <w:rFonts w:hint="eastAsia" w:ascii="仿宋" w:hAnsi="仿宋" w:eastAsia="仿宋" w:cs="仿宋"/>
          <w:b/>
          <w:bCs/>
          <w:color w:val="auto"/>
          <w:spacing w:val="0"/>
          <w:w w:val="100"/>
          <w:position w:val="0"/>
          <w:sz w:val="44"/>
          <w:szCs w:val="44"/>
          <w:lang w:val="en-US" w:eastAsia="en-US"/>
        </w:rPr>
        <w:t>第六章 响应文件格式</w:t>
      </w:r>
      <w:bookmarkEnd w:id="33"/>
    </w:p>
    <w:p w14:paraId="44AF2408">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F9369A9">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7A6D6955">
      <w:pPr>
        <w:pageBreakBefore w:val="0"/>
        <w:kinsoku w:val="0"/>
        <w:wordWrap/>
        <w:overflowPunct/>
        <w:topLinePunct w:val="0"/>
        <w:bidi w:val="0"/>
        <w:adjustRightInd w:val="0"/>
        <w:snapToGrid w:val="0"/>
        <w:spacing w:line="360" w:lineRule="auto"/>
        <w:ind w:left="0" w:leftChars="0" w:right="0" w:rightChars="0"/>
        <w:textAlignment w:val="baseline"/>
        <w:outlineLvl w:val="9"/>
        <w:rPr>
          <w:rFonts w:hint="eastAsia" w:ascii="仿宋" w:hAnsi="仿宋" w:eastAsia="仿宋" w:cs="仿宋"/>
          <w:color w:val="auto"/>
          <w:spacing w:val="0"/>
          <w:w w:val="100"/>
          <w:position w:val="0"/>
          <w:sz w:val="28"/>
          <w:szCs w:val="28"/>
        </w:rPr>
      </w:pPr>
    </w:p>
    <w:p w14:paraId="7D0F7B69">
      <w:pPr>
        <w:pageBreakBefore w:val="0"/>
        <w:kinsoku w:val="0"/>
        <w:wordWrap/>
        <w:overflowPunct/>
        <w:topLinePunct w:val="0"/>
        <w:bidi w:val="0"/>
        <w:adjustRightInd w:val="0"/>
        <w:snapToGrid w:val="0"/>
        <w:spacing w:line="360" w:lineRule="auto"/>
        <w:ind w:left="0" w:leftChars="0" w:right="0" w:rightChars="0"/>
        <w:textAlignment w:val="baseline"/>
        <w:outlineLvl w:val="9"/>
        <w:rPr>
          <w:rFonts w:hint="eastAsia" w:ascii="仿宋" w:hAnsi="仿宋" w:eastAsia="仿宋" w:cs="仿宋"/>
          <w:color w:val="auto"/>
          <w:spacing w:val="0"/>
          <w:w w:val="100"/>
          <w:position w:val="0"/>
          <w:sz w:val="28"/>
          <w:szCs w:val="28"/>
        </w:rPr>
      </w:pPr>
    </w:p>
    <w:p w14:paraId="124281F3">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(项目名称)</w:t>
      </w:r>
    </w:p>
    <w:p w14:paraId="6825404C">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p w14:paraId="3CD3E50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响</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应</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文</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件</w:t>
      </w:r>
    </w:p>
    <w:p w14:paraId="004627CF">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12BEE2C6">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3A94EC2A">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5A086140">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61354644">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4631E170">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6DBE6D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项目编号：</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17DFFA3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征集人：</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40B2AD3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供应商电子签章：</w:t>
      </w:r>
      <w:r>
        <w:rPr>
          <w:rFonts w:hint="eastAsia" w:ascii="仿宋" w:hAnsi="仿宋" w:eastAsia="仿宋" w:cs="仿宋"/>
          <w:color w:val="auto"/>
          <w:spacing w:val="0"/>
          <w:w w:val="100"/>
          <w:position w:val="0"/>
          <w:sz w:val="28"/>
          <w:szCs w:val="28"/>
          <w:u w:val="single" w:color="auto"/>
        </w:rPr>
        <w:t xml:space="preserve">                    </w:t>
      </w:r>
    </w:p>
    <w:p w14:paraId="474621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法定代表人或其委托代理人：</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(签字或盖章)</w:t>
      </w:r>
    </w:p>
    <w:p w14:paraId="1E4E3FA7">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FC21498">
      <w:pPr>
        <w:pageBreakBefore w:val="0"/>
        <w:tabs>
          <w:tab w:val="left" w:pos="3767"/>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u w:val="single" w:color="auto"/>
        </w:rPr>
        <w:tab/>
      </w:r>
      <w:r>
        <w:rPr>
          <w:rFonts w:hint="eastAsia" w:ascii="仿宋" w:hAnsi="仿宋" w:eastAsia="仿宋" w:cs="仿宋"/>
          <w:color w:val="auto"/>
          <w:spacing w:val="0"/>
          <w:w w:val="100"/>
          <w:position w:val="0"/>
          <w:sz w:val="28"/>
          <w:szCs w:val="28"/>
        </w:rPr>
        <w:t xml:space="preserve"> 年</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月</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日</w:t>
      </w:r>
    </w:p>
    <w:p w14:paraId="4A1B474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4" w:type="default"/>
          <w:pgSz w:w="11922" w:h="16849"/>
          <w:pgMar w:top="1440" w:right="1803" w:bottom="1440" w:left="1803" w:header="1134" w:footer="1253" w:gutter="0"/>
          <w:pgNumType w:fmt="decimal"/>
          <w:cols w:space="0" w:num="1"/>
          <w:rtlGutter w:val="0"/>
          <w:docGrid w:linePitch="0" w:charSpace="0"/>
        </w:sectPr>
      </w:pPr>
    </w:p>
    <w:p w14:paraId="4BCB5AEF">
      <w:pPr>
        <w:pageBreakBefore w:val="0"/>
        <w:kinsoku w:val="0"/>
        <w:wordWrap/>
        <w:overflowPunct/>
        <w:topLinePunct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34" w:name="_Toc2875"/>
      <w:r>
        <w:rPr>
          <w:rFonts w:hint="eastAsia" w:ascii="仿宋" w:hAnsi="仿宋" w:eastAsia="仿宋" w:cs="仿宋"/>
          <w:b/>
          <w:bCs/>
          <w:color w:val="auto"/>
          <w:spacing w:val="0"/>
          <w:w w:val="100"/>
          <w:position w:val="0"/>
          <w:sz w:val="28"/>
          <w:szCs w:val="28"/>
        </w:rPr>
        <w:t>一、开标一览表</w:t>
      </w:r>
      <w:bookmarkEnd w:id="34"/>
    </w:p>
    <w:tbl>
      <w:tblPr>
        <w:tblStyle w:val="22"/>
        <w:tblW w:w="8532"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9"/>
        <w:gridCol w:w="6223"/>
      </w:tblGrid>
      <w:tr w14:paraId="751F5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309" w:type="dxa"/>
            <w:vAlign w:val="center"/>
          </w:tcPr>
          <w:p w14:paraId="0F62AAAC">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项目名称</w:t>
            </w:r>
          </w:p>
        </w:tc>
        <w:tc>
          <w:tcPr>
            <w:tcW w:w="6223" w:type="dxa"/>
            <w:vAlign w:val="top"/>
          </w:tcPr>
          <w:p w14:paraId="49A5799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0C29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9" w:type="dxa"/>
            <w:vAlign w:val="center"/>
          </w:tcPr>
          <w:p w14:paraId="4461404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供应商全称</w:t>
            </w:r>
          </w:p>
        </w:tc>
        <w:tc>
          <w:tcPr>
            <w:tcW w:w="6223" w:type="dxa"/>
            <w:vAlign w:val="top"/>
          </w:tcPr>
          <w:p w14:paraId="113D494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5039D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9" w:type="dxa"/>
            <w:vAlign w:val="center"/>
          </w:tcPr>
          <w:p w14:paraId="0CAF21D0">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投标范围</w:t>
            </w:r>
          </w:p>
        </w:tc>
        <w:tc>
          <w:tcPr>
            <w:tcW w:w="6223" w:type="dxa"/>
            <w:vAlign w:val="top"/>
          </w:tcPr>
          <w:p w14:paraId="4E652F0B">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全部</w:t>
            </w:r>
          </w:p>
        </w:tc>
      </w:tr>
      <w:tr w14:paraId="6D4A0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2309" w:type="dxa"/>
            <w:vAlign w:val="center"/>
          </w:tcPr>
          <w:p w14:paraId="2ADC7BEB">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投标报价</w:t>
            </w:r>
          </w:p>
        </w:tc>
        <w:tc>
          <w:tcPr>
            <w:tcW w:w="6223" w:type="dxa"/>
            <w:vAlign w:val="center"/>
          </w:tcPr>
          <w:p w14:paraId="3407F548">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费率 (大写)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(小写</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tc>
      </w:tr>
      <w:tr w14:paraId="06362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2309" w:type="dxa"/>
            <w:vAlign w:val="center"/>
          </w:tcPr>
          <w:p w14:paraId="5ED07381">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其他</w:t>
            </w:r>
          </w:p>
        </w:tc>
        <w:tc>
          <w:tcPr>
            <w:tcW w:w="6223" w:type="dxa"/>
            <w:vAlign w:val="top"/>
          </w:tcPr>
          <w:p w14:paraId="16A575E3">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完全响应征集文件要求。</w:t>
            </w:r>
          </w:p>
        </w:tc>
      </w:tr>
    </w:tbl>
    <w:p w14:paraId="47A26B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244180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供应商电子签章：</w:t>
      </w:r>
    </w:p>
    <w:p w14:paraId="1D333BD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法定代表人或其委托代理人： (签字或盖章)</w:t>
      </w:r>
    </w:p>
    <w:p w14:paraId="2518497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5"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rPr>
        <w:t>日        期：</w:t>
      </w:r>
      <w:r>
        <w:rPr>
          <w:rFonts w:hint="eastAsia" w:ascii="仿宋" w:hAnsi="仿宋" w:eastAsia="仿宋" w:cs="仿宋"/>
          <w:color w:val="auto"/>
          <w:spacing w:val="0"/>
          <w:w w:val="100"/>
          <w:position w:val="0"/>
          <w:sz w:val="28"/>
          <w:szCs w:val="28"/>
          <w:u w:val="single" w:color="auto"/>
        </w:rPr>
        <w:t xml:space="preserve">              </w:t>
      </w:r>
    </w:p>
    <w:p w14:paraId="5366F247">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rPr>
      </w:pPr>
      <w:bookmarkStart w:id="35" w:name="_Toc25455"/>
      <w:r>
        <w:rPr>
          <w:rFonts w:hint="eastAsia" w:ascii="仿宋" w:hAnsi="仿宋" w:eastAsia="仿宋" w:cs="仿宋"/>
          <w:b/>
          <w:bCs/>
          <w:color w:val="auto"/>
          <w:spacing w:val="0"/>
          <w:w w:val="100"/>
          <w:position w:val="0"/>
          <w:sz w:val="28"/>
          <w:szCs w:val="28"/>
        </w:rPr>
        <w:t>二、投标函</w:t>
      </w:r>
      <w:bookmarkEnd w:id="35"/>
    </w:p>
    <w:p w14:paraId="3C7CAD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致：</w:t>
      </w:r>
      <w:r>
        <w:rPr>
          <w:rFonts w:hint="eastAsia" w:ascii="仿宋" w:hAnsi="仿宋" w:eastAsia="仿宋" w:cs="仿宋"/>
          <w:color w:val="auto"/>
          <w:spacing w:val="0"/>
          <w:w w:val="100"/>
          <w:position w:val="0"/>
          <w:sz w:val="28"/>
          <w:szCs w:val="28"/>
          <w:u w:val="single" w:color="auto"/>
        </w:rPr>
        <w:t xml:space="preserve">(征集人)        </w:t>
      </w:r>
    </w:p>
    <w:p w14:paraId="39930BD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根据贵方的招标邀请书或征集公告，我方兹宣布同意如下：</w:t>
      </w:r>
    </w:p>
    <w:p w14:paraId="1DA0FD73">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按征集文件规定提供所有服务的最终投标报价见开标一览表，如我方中标，我方承诺愿意 按征集文件规定缴纳履约保证金和中标服务费。</w:t>
      </w:r>
    </w:p>
    <w:p w14:paraId="7127E2E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我方根据征集文件的规定，严格履行合同的责任和义务,并</w:t>
      </w:r>
      <w:r>
        <w:rPr>
          <w:rFonts w:hint="eastAsia" w:ascii="仿宋" w:hAnsi="仿宋" w:eastAsia="仿宋" w:cs="仿宋"/>
          <w:color w:val="auto"/>
          <w:spacing w:val="0"/>
          <w:w w:val="100"/>
          <w:position w:val="0"/>
          <w:sz w:val="28"/>
          <w:szCs w:val="28"/>
          <w:lang w:eastAsia="zh-CN"/>
        </w:rPr>
        <w:t>保证</w:t>
      </w:r>
      <w:r>
        <w:rPr>
          <w:rFonts w:hint="eastAsia" w:ascii="仿宋" w:hAnsi="仿宋" w:eastAsia="仿宋" w:cs="仿宋"/>
          <w:color w:val="auto"/>
          <w:spacing w:val="0"/>
          <w:w w:val="100"/>
          <w:position w:val="0"/>
          <w:sz w:val="28"/>
          <w:szCs w:val="28"/>
        </w:rPr>
        <w:t>在征集文件要求的日期内完成所有服务，并通过买方验收。</w:t>
      </w:r>
    </w:p>
    <w:p w14:paraId="1BE21DA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我方已详细审核全部征集文件，包括征集文件的澄清或修改(如有)，参考资料及有关附件，我方正式认可并遵守本次征集文件，并对征集文件各项条款、规定及要求均无异议。我方 知道必须放弃提出含糊不清或误解问题的权利。</w:t>
      </w:r>
    </w:p>
    <w:p w14:paraId="5D31751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我方同意从征集文件规定的开标日期起遵循本征集文件，并在征集文件规定的投标 有效期之前均具有约束力。</w:t>
      </w:r>
    </w:p>
    <w:p w14:paraId="0ECF7C9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我方承诺如投标保证金未在征集文件规定缴纳，我方投标无效，由此产生的一切后果由我方承担。</w:t>
      </w:r>
    </w:p>
    <w:p w14:paraId="31F0767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我方声明征集响应文件所提供的一切资料均真实无误、及时、有效，企业运营正常。由于我方提供资料不实而造成的责任和后果由我方承担。我方同意按照贵方提出的要求，提供与投  标有关的任何证据、数据或资料。</w:t>
      </w:r>
    </w:p>
    <w:p w14:paraId="2249C3E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我方完全理解贵方不一定接受最低报价的投标。</w:t>
      </w:r>
    </w:p>
    <w:p w14:paraId="7F509CF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8</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 xml:space="preserve">我方接受征集文件规定的付款方式、免费质保要求。 </w:t>
      </w:r>
    </w:p>
    <w:p w14:paraId="337AE55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9</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诚信承诺书(见附录)</w:t>
      </w:r>
    </w:p>
    <w:p w14:paraId="5801FC7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供应商电子签章：</w:t>
      </w:r>
      <w:r>
        <w:rPr>
          <w:rFonts w:hint="eastAsia" w:ascii="仿宋" w:hAnsi="仿宋" w:eastAsia="仿宋" w:cs="仿宋"/>
          <w:color w:val="auto"/>
          <w:spacing w:val="0"/>
          <w:w w:val="100"/>
          <w:position w:val="0"/>
          <w:sz w:val="28"/>
          <w:szCs w:val="28"/>
          <w:u w:val="single"/>
          <w:lang w:val="en-US" w:eastAsia="zh-CN"/>
        </w:rPr>
        <w:t xml:space="preserve">                    </w:t>
      </w:r>
      <w:r>
        <w:rPr>
          <w:rFonts w:hint="eastAsia" w:ascii="仿宋" w:hAnsi="仿宋" w:eastAsia="仿宋" w:cs="仿宋"/>
          <w:color w:val="auto"/>
          <w:spacing w:val="0"/>
          <w:w w:val="100"/>
          <w:position w:val="0"/>
          <w:sz w:val="28"/>
          <w:szCs w:val="28"/>
        </w:rPr>
        <w:t xml:space="preserve">                  </w:t>
      </w:r>
    </w:p>
    <w:p w14:paraId="6357A40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法定代表人或其委托代理人：</w:t>
      </w:r>
      <w:r>
        <w:rPr>
          <w:rFonts w:hint="eastAsia" w:ascii="仿宋" w:hAnsi="仿宋" w:eastAsia="仿宋" w:cs="仿宋"/>
          <w:color w:val="auto"/>
          <w:spacing w:val="0"/>
          <w:w w:val="100"/>
          <w:position w:val="0"/>
          <w:sz w:val="28"/>
          <w:szCs w:val="28"/>
          <w:u w:val="single"/>
          <w:lang w:val="en-US" w:eastAsia="zh-CN"/>
        </w:rPr>
        <w:t xml:space="preserve">     </w:t>
      </w:r>
      <w:r>
        <w:rPr>
          <w:rFonts w:hint="eastAsia" w:ascii="仿宋" w:hAnsi="仿宋" w:eastAsia="仿宋" w:cs="仿宋"/>
          <w:color w:val="auto"/>
          <w:spacing w:val="0"/>
          <w:w w:val="100"/>
          <w:position w:val="0"/>
          <w:sz w:val="28"/>
          <w:szCs w:val="28"/>
        </w:rPr>
        <w:t>(签字或盖章)</w:t>
      </w:r>
    </w:p>
    <w:p w14:paraId="4C34A20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日           期：</w:t>
      </w:r>
      <w:r>
        <w:rPr>
          <w:rFonts w:hint="eastAsia" w:ascii="仿宋" w:hAnsi="仿宋" w:eastAsia="仿宋" w:cs="仿宋"/>
          <w:color w:val="auto"/>
          <w:spacing w:val="0"/>
          <w:w w:val="100"/>
          <w:position w:val="0"/>
          <w:sz w:val="28"/>
          <w:szCs w:val="28"/>
          <w:u w:val="single"/>
          <w:lang w:val="en-US" w:eastAsia="zh-CN"/>
        </w:rPr>
        <w:t xml:space="preserve">          </w:t>
      </w:r>
      <w:r>
        <w:rPr>
          <w:rFonts w:hint="eastAsia" w:ascii="仿宋" w:hAnsi="仿宋" w:eastAsia="仿宋" w:cs="仿宋"/>
          <w:color w:val="auto"/>
          <w:spacing w:val="0"/>
          <w:w w:val="100"/>
          <w:position w:val="0"/>
          <w:sz w:val="28"/>
          <w:szCs w:val="28"/>
        </w:rPr>
        <w:t xml:space="preserve">                    </w:t>
      </w:r>
    </w:p>
    <w:p w14:paraId="24FA0B0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6" w:type="default"/>
          <w:pgSz w:w="11922" w:h="16849"/>
          <w:pgMar w:top="1440" w:right="1803" w:bottom="1440" w:left="1803" w:header="1134" w:footer="1253" w:gutter="0"/>
          <w:pgNumType w:fmt="decimal"/>
          <w:cols w:space="0" w:num="1"/>
          <w:rtlGutter w:val="0"/>
          <w:docGrid w:linePitch="0" w:charSpace="0"/>
        </w:sectPr>
      </w:pPr>
    </w:p>
    <w:p w14:paraId="03C3372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附录1:</w:t>
      </w:r>
    </w:p>
    <w:p w14:paraId="045B6A58">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rPr>
        <w:t>供应商诚信承诺书</w:t>
      </w:r>
    </w:p>
    <w:p w14:paraId="1604090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致：</w:t>
      </w:r>
      <w:r>
        <w:rPr>
          <w:rFonts w:hint="eastAsia" w:ascii="仿宋" w:hAnsi="仿宋" w:eastAsia="仿宋" w:cs="仿宋"/>
          <w:color w:val="auto"/>
          <w:spacing w:val="0"/>
          <w:w w:val="100"/>
          <w:position w:val="0"/>
          <w:sz w:val="28"/>
          <w:szCs w:val="28"/>
          <w:u w:val="single" w:color="auto"/>
        </w:rPr>
        <w:t xml:space="preserve">   (征集人)         </w:t>
      </w:r>
    </w:p>
    <w:p w14:paraId="2025554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我单位参加本次投标，承诺如下：</w:t>
      </w:r>
    </w:p>
    <w:p w14:paraId="1657F17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1、提供的所有资料都是真实有效。如被发现提供虚假资料或虚假承诺(声明)，同意取消 投标和中标候选人资格。</w:t>
      </w:r>
    </w:p>
    <w:p w14:paraId="6784C11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2、不存在借用资质、串通投标等情形。如被发现，同意取消投标和中标候选人资格。</w:t>
      </w:r>
    </w:p>
    <w:p w14:paraId="1F256F2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3、如我方为中标候选人，除不可抗力(是指不能预见、不能避免并不能克服的客观情况，包括自然灾害和社会突发事件，如地震、海啸、瘟疫、水灾、骚乱、暴动、战争等)，不因任何 其它原因放弃中标候选人资格。</w:t>
      </w:r>
    </w:p>
    <w:p w14:paraId="1EF2456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4、我方中标后，严格按照征集文件和我单位征集响应文件的约定签订合同。</w:t>
      </w:r>
    </w:p>
    <w:p w14:paraId="57CB10C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5、我方同意将达不到供应商资格要求条件仍参与投标或被行政主管部门、监督管理部门等 暂停、取消公共资源交易资格且在限制期内仍参与投标的情形视为弄虚作假，愿意接受处理。</w:t>
      </w:r>
    </w:p>
    <w:p w14:paraId="4B14A11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6、我方参与投标如出现投标报价高于该项目最高投标限价的情形，同意视为串通投标并接受处理。</w:t>
      </w:r>
    </w:p>
    <w:p w14:paraId="594EF3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出现违反上述承诺情形之一的，我单位还同意投标保证金不予退还，并在1至3年内不参与阜阳市公共资源交易活动，且后期我单位不因公司表现良好等各种理由向招标人申请予 以恢复参与阜阳市公共资源交易活动，招标人也不应以公司表现良好等各种理由为由提前解除对我单位的处理。愿意公开披露我单位违反承诺的不良行为信息，愿意接受处罚并承担所有经济损失和法律责任。</w:t>
      </w:r>
    </w:p>
    <w:p w14:paraId="7908F67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后期履约过程中除不可抗力外如我单位放弃(拒绝)履约，同意招标人(甲方)不予退还履约保证金，我单位(乙方)不要求退还履约保证金，我单位(乙方)三年不参与阜阳市公共资源交易活动，且在处理期间不因公司表现良好等各种理由向招标人申请予以提前恢复 参与阜阳市公共资源交易活动，招标人(甲方)也不能以公司表现良好等各种理由为由提前解除对我单位(乙方)的处理。</w:t>
      </w:r>
    </w:p>
    <w:p w14:paraId="1BDC108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此承诺不受投标有效期的限制</w:t>
      </w:r>
    </w:p>
    <w:p w14:paraId="7B50F91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供应商电子签章：</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3FEE51F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法定代表人或其委托代理人：</w:t>
      </w:r>
      <w:r>
        <w:rPr>
          <w:rFonts w:hint="eastAsia" w:ascii="仿宋" w:hAnsi="仿宋" w:eastAsia="仿宋" w:cs="仿宋"/>
          <w:color w:val="auto"/>
          <w:spacing w:val="0"/>
          <w:w w:val="100"/>
          <w:position w:val="0"/>
          <w:sz w:val="28"/>
          <w:szCs w:val="28"/>
          <w:u w:val="single" w:color="auto"/>
        </w:rPr>
        <w:t>(签字或盖章)</w:t>
      </w:r>
    </w:p>
    <w:p w14:paraId="312805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年 月 日</w:t>
      </w:r>
    </w:p>
    <w:p w14:paraId="5F68D8F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7" w:type="default"/>
          <w:pgSz w:w="11922" w:h="16849"/>
          <w:pgMar w:top="1440" w:right="1803" w:bottom="1440" w:left="1803" w:header="1134" w:footer="1253" w:gutter="0"/>
          <w:pgNumType w:fmt="decimal"/>
          <w:cols w:space="0" w:num="1"/>
          <w:rtlGutter w:val="0"/>
          <w:docGrid w:linePitch="0" w:charSpace="0"/>
        </w:sectPr>
      </w:pPr>
    </w:p>
    <w:p w14:paraId="7B88A267">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rPr>
      </w:pPr>
      <w:bookmarkStart w:id="36" w:name="_Toc28497"/>
      <w:r>
        <w:rPr>
          <w:rFonts w:hint="eastAsia" w:ascii="仿宋" w:hAnsi="仿宋" w:eastAsia="仿宋" w:cs="仿宋"/>
          <w:b/>
          <w:bCs/>
          <w:color w:val="auto"/>
          <w:spacing w:val="0"/>
          <w:w w:val="100"/>
          <w:position w:val="0"/>
          <w:sz w:val="28"/>
          <w:szCs w:val="28"/>
        </w:rPr>
        <w:t>三、无重大违法记录声明函、无不良信用记录声明函</w:t>
      </w:r>
      <w:bookmarkEnd w:id="36"/>
    </w:p>
    <w:p w14:paraId="521E0D3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(联合体参加投标的, 联合体各方均须提供)</w:t>
      </w:r>
    </w:p>
    <w:p w14:paraId="758506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7"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3BB734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本单位郑重声明，我单位无以下不良信用记录情形：</w:t>
      </w:r>
    </w:p>
    <w:p w14:paraId="447C15F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(1)被人民法院列入失信被执行人</w:t>
      </w:r>
    </w:p>
    <w:p w14:paraId="2CD31AC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(2)单位、法定代表人或拟派项目经理(项目负责人)被人民检察院列入行贿犯 罪档案；</w:t>
      </w:r>
    </w:p>
    <w:p w14:paraId="7BC81E0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(3)被工商行政管理部门列入企业经营异常名录；</w:t>
      </w:r>
    </w:p>
    <w:p w14:paraId="386BFA2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(4)被税务部门列入重大税收违法案件当事人名单；</w:t>
      </w:r>
    </w:p>
    <w:p w14:paraId="09F40C4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(5)被政府采购监管部门列入政府采购严重违法失信行为记录名单。</w:t>
      </w:r>
    </w:p>
    <w:p w14:paraId="04E07DA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本单位对上述声明的真实性负责。如有虚假，将依法承担相应责任。</w:t>
      </w:r>
    </w:p>
    <w:p w14:paraId="7B1A65FF">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387045D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电子签章：</w:t>
      </w:r>
      <w:r>
        <w:rPr>
          <w:rFonts w:hint="eastAsia" w:ascii="仿宋" w:hAnsi="仿宋" w:eastAsia="仿宋" w:cs="仿宋"/>
          <w:color w:val="auto"/>
          <w:spacing w:val="0"/>
          <w:w w:val="100"/>
          <w:position w:val="0"/>
          <w:sz w:val="28"/>
          <w:szCs w:val="28"/>
          <w:u w:val="single" w:color="auto"/>
        </w:rPr>
        <w:t xml:space="preserve">                 </w:t>
      </w:r>
    </w:p>
    <w:p w14:paraId="031E89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日        期：</w:t>
      </w:r>
      <w:r>
        <w:rPr>
          <w:rFonts w:hint="eastAsia" w:ascii="仿宋" w:hAnsi="仿宋" w:eastAsia="仿宋" w:cs="仿宋"/>
          <w:color w:val="auto"/>
          <w:spacing w:val="0"/>
          <w:w w:val="100"/>
          <w:position w:val="0"/>
          <w:sz w:val="28"/>
          <w:szCs w:val="28"/>
          <w:u w:val="single" w:color="auto"/>
        </w:rPr>
        <w:t xml:space="preserve">              </w:t>
      </w:r>
    </w:p>
    <w:p w14:paraId="0326A02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8" w:type="default"/>
          <w:pgSz w:w="11922" w:h="16849"/>
          <w:pgMar w:top="1440" w:right="1803" w:bottom="1440" w:left="1803" w:header="1134" w:footer="1253" w:gutter="0"/>
          <w:pgNumType w:fmt="decimal"/>
          <w:cols w:space="0" w:num="1"/>
          <w:rtlGutter w:val="0"/>
          <w:docGrid w:linePitch="0" w:charSpace="0"/>
        </w:sectPr>
      </w:pPr>
    </w:p>
    <w:p w14:paraId="33E847A9">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rPr>
      </w:pPr>
      <w:bookmarkStart w:id="37" w:name="_Toc4257"/>
      <w:r>
        <w:rPr>
          <w:rFonts w:hint="eastAsia" w:ascii="仿宋" w:hAnsi="仿宋" w:eastAsia="仿宋" w:cs="仿宋"/>
          <w:b/>
          <w:bCs/>
          <w:color w:val="auto"/>
          <w:spacing w:val="0"/>
          <w:w w:val="100"/>
          <w:position w:val="0"/>
          <w:sz w:val="28"/>
          <w:szCs w:val="28"/>
        </w:rPr>
        <w:t>四、法定代表人授权委托书</w:t>
      </w:r>
      <w:bookmarkEnd w:id="37"/>
    </w:p>
    <w:p w14:paraId="34C49B0E">
      <w:pPr>
        <w:pageBreakBefore w:val="0"/>
        <w:kinsoku w:val="0"/>
        <w:wordWrap/>
        <w:overflowPunct/>
        <w:topLinePunct w:val="0"/>
        <w:bidi w:val="0"/>
        <w:adjustRightInd w:val="0"/>
        <w:snapToGrid w:val="0"/>
        <w:spacing w:line="360" w:lineRule="auto"/>
        <w:ind w:left="0" w:leftChars="0" w:right="0" w:rightChars="0" w:firstLine="433"/>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本授权书声明：</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公司(工厂)(纳税人识别号：</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)的</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(法人代表   姓名、职务)代表本公司(工厂)授权本公司(工厂)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(被授权人的姓名、职务)为  本公司(工厂)的合法代理人，参加</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采购项目活动(项目编号：</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 全权代表本公司处理投标过程的一切事宜，包括但不限于：投标、参与开标、</w:t>
      </w:r>
      <w:r>
        <w:rPr>
          <w:rFonts w:hint="eastAsia" w:ascii="仿宋" w:hAnsi="仿宋" w:eastAsia="仿宋" w:cs="仿宋"/>
          <w:color w:val="auto"/>
          <w:spacing w:val="0"/>
          <w:w w:val="100"/>
          <w:position w:val="0"/>
          <w:sz w:val="28"/>
          <w:szCs w:val="28"/>
          <w:lang w:eastAsia="zh-CN"/>
        </w:rPr>
        <w:t>投标</w:t>
      </w:r>
      <w:r>
        <w:rPr>
          <w:rFonts w:hint="eastAsia" w:ascii="仿宋" w:hAnsi="仿宋" w:eastAsia="仿宋" w:cs="仿宋"/>
          <w:color w:val="auto"/>
          <w:spacing w:val="0"/>
          <w:w w:val="100"/>
          <w:position w:val="0"/>
          <w:sz w:val="28"/>
          <w:szCs w:val="28"/>
        </w:rPr>
        <w:t xml:space="preserve">、签约等。 </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代表在投标过程中所签署的一切文件和处理与之有关的一切事务，本公司均予以认可  并对此承担责任。被授权人无转委托权。特此授权。</w:t>
      </w:r>
    </w:p>
    <w:p w14:paraId="439EC6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6"/>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本授权书自出具之日起生效。 特此声明。</w:t>
      </w:r>
    </w:p>
    <w:p w14:paraId="4BA77EBE">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05B9E8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7"/>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法定代表人联系方式：</w:t>
      </w:r>
      <w:r>
        <w:rPr>
          <w:rFonts w:hint="eastAsia" w:ascii="仿宋" w:hAnsi="仿宋" w:eastAsia="仿宋" w:cs="仿宋"/>
          <w:color w:val="auto"/>
          <w:spacing w:val="0"/>
          <w:w w:val="100"/>
          <w:position w:val="0"/>
          <w:sz w:val="28"/>
          <w:szCs w:val="28"/>
          <w:u w:val="single" w:color="auto"/>
        </w:rPr>
        <w:t xml:space="preserve"> (手机号码)       </w:t>
      </w:r>
      <w:r>
        <w:rPr>
          <w:rFonts w:hint="eastAsia" w:ascii="仿宋" w:hAnsi="仿宋" w:eastAsia="仿宋" w:cs="仿宋"/>
          <w:color w:val="auto"/>
          <w:spacing w:val="0"/>
          <w:w w:val="100"/>
          <w:position w:val="0"/>
          <w:sz w:val="28"/>
          <w:szCs w:val="28"/>
        </w:rPr>
        <w:t xml:space="preserve"> </w:t>
      </w:r>
    </w:p>
    <w:p w14:paraId="7DD6D9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7"/>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授权委托人联系方式：</w:t>
      </w:r>
      <w:r>
        <w:rPr>
          <w:rFonts w:hint="eastAsia" w:ascii="仿宋" w:hAnsi="仿宋" w:eastAsia="仿宋" w:cs="仿宋"/>
          <w:color w:val="auto"/>
          <w:spacing w:val="0"/>
          <w:w w:val="100"/>
          <w:position w:val="0"/>
          <w:sz w:val="28"/>
          <w:szCs w:val="28"/>
          <w:u w:val="single" w:color="auto"/>
        </w:rPr>
        <w:t xml:space="preserve"> (手机号码)        </w:t>
      </w:r>
    </w:p>
    <w:p w14:paraId="47F73C94">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5E9FDB2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法人代表签字或盖章：</w:t>
      </w:r>
      <w:r>
        <w:rPr>
          <w:rFonts w:hint="eastAsia" w:ascii="仿宋" w:hAnsi="仿宋" w:eastAsia="仿宋" w:cs="仿宋"/>
          <w:color w:val="auto"/>
          <w:spacing w:val="0"/>
          <w:w w:val="100"/>
          <w:position w:val="0"/>
          <w:sz w:val="28"/>
          <w:szCs w:val="28"/>
          <w:u w:val="single" w:color="auto"/>
        </w:rPr>
        <w:t xml:space="preserve">                     </w:t>
      </w:r>
    </w:p>
    <w:p w14:paraId="5727B399">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代理人(被授权人)签字或盖章：</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55C4E5B2">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电子签章：</w:t>
      </w:r>
      <w:r>
        <w:rPr>
          <w:rFonts w:hint="eastAsia" w:ascii="仿宋" w:hAnsi="仿宋" w:eastAsia="仿宋" w:cs="仿宋"/>
          <w:color w:val="auto"/>
          <w:spacing w:val="0"/>
          <w:w w:val="100"/>
          <w:position w:val="0"/>
          <w:sz w:val="28"/>
          <w:szCs w:val="28"/>
          <w:u w:val="single" w:color="auto"/>
        </w:rPr>
        <w:t xml:space="preserve">                        </w:t>
      </w:r>
    </w:p>
    <w:p w14:paraId="46DF2C0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授权委托日期：</w:t>
      </w:r>
      <w:r>
        <w:rPr>
          <w:rFonts w:hint="eastAsia" w:ascii="仿宋" w:hAnsi="仿宋" w:eastAsia="仿宋" w:cs="仿宋"/>
          <w:color w:val="auto"/>
          <w:spacing w:val="0"/>
          <w:w w:val="100"/>
          <w:position w:val="0"/>
          <w:sz w:val="28"/>
          <w:szCs w:val="28"/>
          <w:u w:val="single" w:color="auto"/>
        </w:rPr>
        <w:t xml:space="preserve">                  </w:t>
      </w:r>
    </w:p>
    <w:p w14:paraId="5C9B33C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w:t>
      </w:r>
    </w:p>
    <w:p w14:paraId="2E695EF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1.本项目只允许有唯一的</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授权代表，提供身份证明扫描件；</w:t>
      </w:r>
    </w:p>
    <w:p w14:paraId="0D98085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 法定代表人参加投标的无需提供授权书，提供身份证明扫描件。</w:t>
      </w:r>
    </w:p>
    <w:p w14:paraId="71293F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9" w:type="default"/>
          <w:pgSz w:w="11922" w:h="16849"/>
          <w:pgMar w:top="1440" w:right="1803" w:bottom="1440" w:left="1803" w:header="1134" w:footer="1253" w:gutter="0"/>
          <w:pgNumType w:fmt="decimal"/>
          <w:cols w:space="0" w:num="1"/>
          <w:rtlGutter w:val="0"/>
          <w:docGrid w:linePitch="0" w:charSpace="0"/>
        </w:sectPr>
      </w:pPr>
    </w:p>
    <w:p w14:paraId="030DE492">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38" w:name="_Toc5757"/>
      <w:r>
        <w:rPr>
          <w:rFonts w:hint="eastAsia" w:ascii="仿宋" w:hAnsi="仿宋" w:eastAsia="仿宋" w:cs="仿宋"/>
          <w:b/>
          <w:bCs/>
          <w:color w:val="auto"/>
          <w:spacing w:val="0"/>
          <w:w w:val="100"/>
          <w:position w:val="0"/>
          <w:sz w:val="28"/>
          <w:szCs w:val="28"/>
        </w:rPr>
        <w:t>五、</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供应商业绩表</w:t>
      </w:r>
      <w:bookmarkEnd w:id="38"/>
    </w:p>
    <w:p w14:paraId="6FF9918E">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（格式自拟）</w:t>
      </w:r>
    </w:p>
    <w:p w14:paraId="5CB010F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20" w:type="default"/>
          <w:pgSz w:w="11922" w:h="16849"/>
          <w:pgMar w:top="1440" w:right="1803" w:bottom="1440" w:left="1803" w:header="1134" w:footer="1253" w:gutter="0"/>
          <w:pgNumType w:fmt="decimal"/>
          <w:cols w:space="0" w:num="1"/>
          <w:rtlGutter w:val="0"/>
          <w:docGrid w:linePitch="0" w:charSpace="0"/>
        </w:sectPr>
      </w:pPr>
    </w:p>
    <w:p w14:paraId="70C0C422">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39" w:name="_Toc23922"/>
      <w:r>
        <w:rPr>
          <w:rFonts w:hint="eastAsia" w:ascii="仿宋" w:hAnsi="仿宋" w:eastAsia="仿宋" w:cs="仿宋"/>
          <w:b/>
          <w:bCs/>
          <w:color w:val="auto"/>
          <w:spacing w:val="0"/>
          <w:w w:val="100"/>
          <w:position w:val="0"/>
          <w:sz w:val="28"/>
          <w:szCs w:val="28"/>
        </w:rPr>
        <w:t>六、投标响应表</w:t>
      </w:r>
      <w:bookmarkEnd w:id="39"/>
    </w:p>
    <w:p w14:paraId="1B14682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6.1商务响应表</w:t>
      </w:r>
    </w:p>
    <w:tbl>
      <w:tblPr>
        <w:tblStyle w:val="22"/>
        <w:tblW w:w="8661"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913"/>
        <w:gridCol w:w="2495"/>
        <w:gridCol w:w="1872"/>
        <w:gridCol w:w="1650"/>
      </w:tblGrid>
      <w:tr w14:paraId="7435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31" w:type="dxa"/>
            <w:vAlign w:val="center"/>
          </w:tcPr>
          <w:p w14:paraId="0762AA9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序号</w:t>
            </w:r>
          </w:p>
        </w:tc>
        <w:tc>
          <w:tcPr>
            <w:tcW w:w="1913" w:type="dxa"/>
            <w:vAlign w:val="center"/>
          </w:tcPr>
          <w:p w14:paraId="365DF4F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商务条款</w:t>
            </w:r>
          </w:p>
        </w:tc>
        <w:tc>
          <w:tcPr>
            <w:tcW w:w="2495" w:type="dxa"/>
            <w:vAlign w:val="center"/>
          </w:tcPr>
          <w:p w14:paraId="398A403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征集文件要求</w:t>
            </w:r>
          </w:p>
        </w:tc>
        <w:tc>
          <w:tcPr>
            <w:tcW w:w="1872" w:type="dxa"/>
            <w:vAlign w:val="center"/>
          </w:tcPr>
          <w:p w14:paraId="395C6785">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供应商承诺</w:t>
            </w:r>
          </w:p>
        </w:tc>
        <w:tc>
          <w:tcPr>
            <w:tcW w:w="1650" w:type="dxa"/>
            <w:vAlign w:val="center"/>
          </w:tcPr>
          <w:p w14:paraId="09A4C5C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偏离说明</w:t>
            </w:r>
          </w:p>
        </w:tc>
      </w:tr>
      <w:tr w14:paraId="5ED2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1" w:type="dxa"/>
            <w:vAlign w:val="center"/>
          </w:tcPr>
          <w:p w14:paraId="0B326A8A">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p>
        </w:tc>
        <w:tc>
          <w:tcPr>
            <w:tcW w:w="1913" w:type="dxa"/>
            <w:vAlign w:val="top"/>
          </w:tcPr>
          <w:p w14:paraId="5E441C3C">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付款方式</w:t>
            </w:r>
          </w:p>
        </w:tc>
        <w:tc>
          <w:tcPr>
            <w:tcW w:w="2495" w:type="dxa"/>
            <w:vAlign w:val="top"/>
          </w:tcPr>
          <w:p w14:paraId="308A8F6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72" w:type="dxa"/>
            <w:vAlign w:val="top"/>
          </w:tcPr>
          <w:p w14:paraId="2C1D897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650" w:type="dxa"/>
            <w:vAlign w:val="top"/>
          </w:tcPr>
          <w:p w14:paraId="031DAF8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7515B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1" w:type="dxa"/>
            <w:vAlign w:val="center"/>
          </w:tcPr>
          <w:p w14:paraId="6082E58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p>
        </w:tc>
        <w:tc>
          <w:tcPr>
            <w:tcW w:w="1913" w:type="dxa"/>
            <w:vAlign w:val="top"/>
          </w:tcPr>
          <w:p w14:paraId="2D02DAD7">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服务地点</w:t>
            </w:r>
          </w:p>
        </w:tc>
        <w:tc>
          <w:tcPr>
            <w:tcW w:w="2495" w:type="dxa"/>
            <w:vAlign w:val="top"/>
          </w:tcPr>
          <w:p w14:paraId="079B71E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72" w:type="dxa"/>
            <w:vAlign w:val="top"/>
          </w:tcPr>
          <w:p w14:paraId="2FE21A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650" w:type="dxa"/>
            <w:vAlign w:val="top"/>
          </w:tcPr>
          <w:p w14:paraId="0E7A9D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F1E7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31" w:type="dxa"/>
            <w:vAlign w:val="center"/>
          </w:tcPr>
          <w:p w14:paraId="280AFB86">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p>
        </w:tc>
        <w:tc>
          <w:tcPr>
            <w:tcW w:w="1913" w:type="dxa"/>
            <w:vAlign w:val="top"/>
          </w:tcPr>
          <w:p w14:paraId="40DFFF2A">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服务期限</w:t>
            </w:r>
          </w:p>
        </w:tc>
        <w:tc>
          <w:tcPr>
            <w:tcW w:w="2495" w:type="dxa"/>
            <w:vAlign w:val="top"/>
          </w:tcPr>
          <w:p w14:paraId="45084C5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72" w:type="dxa"/>
            <w:vAlign w:val="top"/>
          </w:tcPr>
          <w:p w14:paraId="67AD548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650" w:type="dxa"/>
            <w:vAlign w:val="top"/>
          </w:tcPr>
          <w:p w14:paraId="650E58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CBB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31" w:type="dxa"/>
            <w:vAlign w:val="top"/>
          </w:tcPr>
          <w:p w14:paraId="72110995">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w:t>
            </w:r>
          </w:p>
        </w:tc>
        <w:tc>
          <w:tcPr>
            <w:tcW w:w="1913" w:type="dxa"/>
            <w:vAlign w:val="top"/>
          </w:tcPr>
          <w:p w14:paraId="412BB76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495" w:type="dxa"/>
            <w:vAlign w:val="top"/>
          </w:tcPr>
          <w:p w14:paraId="3A1ECFE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72" w:type="dxa"/>
            <w:vAlign w:val="top"/>
          </w:tcPr>
          <w:p w14:paraId="49617AA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650" w:type="dxa"/>
            <w:vAlign w:val="top"/>
          </w:tcPr>
          <w:p w14:paraId="603D8D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bl>
    <w:p w14:paraId="47BD12B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电子签章：</w:t>
      </w:r>
      <w:r>
        <w:rPr>
          <w:rFonts w:hint="eastAsia" w:ascii="仿宋" w:hAnsi="仿宋" w:eastAsia="仿宋" w:cs="仿宋"/>
          <w:color w:val="auto"/>
          <w:spacing w:val="0"/>
          <w:w w:val="100"/>
          <w:position w:val="0"/>
          <w:sz w:val="28"/>
          <w:szCs w:val="28"/>
          <w:u w:val="single" w:color="auto"/>
        </w:rPr>
        <w:t xml:space="preserve">                 </w:t>
      </w:r>
    </w:p>
    <w:p w14:paraId="405F271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日        期：</w:t>
      </w:r>
      <w:r>
        <w:rPr>
          <w:rFonts w:hint="eastAsia" w:ascii="仿宋" w:hAnsi="仿宋" w:eastAsia="仿宋" w:cs="仿宋"/>
          <w:color w:val="auto"/>
          <w:spacing w:val="0"/>
          <w:w w:val="100"/>
          <w:position w:val="0"/>
          <w:sz w:val="28"/>
          <w:szCs w:val="28"/>
          <w:u w:val="single" w:color="auto"/>
        </w:rPr>
        <w:t xml:space="preserve">              </w:t>
      </w:r>
    </w:p>
    <w:p w14:paraId="7F2702E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21" w:type="default"/>
          <w:pgSz w:w="11922" w:h="16849"/>
          <w:pgMar w:top="1440" w:right="1803" w:bottom="1440" w:left="1803" w:header="1134" w:footer="1253" w:gutter="0"/>
          <w:pgNumType w:fmt="decimal"/>
          <w:cols w:space="0" w:num="1"/>
          <w:rtlGutter w:val="0"/>
          <w:docGrid w:linePitch="0" w:charSpace="0"/>
        </w:sectPr>
      </w:pPr>
    </w:p>
    <w:p w14:paraId="282CCEA3">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40" w:name="_Toc32037"/>
      <w:r>
        <w:rPr>
          <w:rFonts w:hint="eastAsia" w:ascii="仿宋" w:hAnsi="仿宋" w:eastAsia="仿宋" w:cs="仿宋"/>
          <w:b/>
          <w:bCs/>
          <w:color w:val="auto"/>
          <w:spacing w:val="0"/>
          <w:w w:val="100"/>
          <w:position w:val="0"/>
          <w:sz w:val="28"/>
          <w:szCs w:val="28"/>
        </w:rPr>
        <w:t>七、人员配备</w:t>
      </w:r>
      <w:bookmarkEnd w:id="40"/>
    </w:p>
    <w:p w14:paraId="2E248A48">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拟派项目负责人简历表（仅供参考）</w:t>
      </w:r>
    </w:p>
    <w:tbl>
      <w:tblPr>
        <w:tblStyle w:val="22"/>
        <w:tblW w:w="8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1328"/>
        <w:gridCol w:w="1448"/>
        <w:gridCol w:w="1290"/>
        <w:gridCol w:w="1620"/>
        <w:gridCol w:w="1410"/>
      </w:tblGrid>
      <w:tr w14:paraId="7FD7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73" w:type="dxa"/>
            <w:vAlign w:val="center"/>
          </w:tcPr>
          <w:p w14:paraId="279C2D56">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姓名</w:t>
            </w:r>
          </w:p>
        </w:tc>
        <w:tc>
          <w:tcPr>
            <w:tcW w:w="1328" w:type="dxa"/>
            <w:vAlign w:val="center"/>
          </w:tcPr>
          <w:p w14:paraId="5A720C1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448" w:type="dxa"/>
            <w:vAlign w:val="center"/>
          </w:tcPr>
          <w:p w14:paraId="68AD7DC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性别</w:t>
            </w:r>
          </w:p>
        </w:tc>
        <w:tc>
          <w:tcPr>
            <w:tcW w:w="1290" w:type="dxa"/>
            <w:vAlign w:val="center"/>
          </w:tcPr>
          <w:p w14:paraId="30DD11DF">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620" w:type="dxa"/>
            <w:vAlign w:val="center"/>
          </w:tcPr>
          <w:p w14:paraId="11EA31B0">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出生年月</w:t>
            </w:r>
          </w:p>
        </w:tc>
        <w:tc>
          <w:tcPr>
            <w:tcW w:w="1410" w:type="dxa"/>
            <w:vAlign w:val="top"/>
          </w:tcPr>
          <w:p w14:paraId="649214B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28AF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Align w:val="center"/>
          </w:tcPr>
          <w:p w14:paraId="29B75BEC">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文化程度</w:t>
            </w:r>
          </w:p>
        </w:tc>
        <w:tc>
          <w:tcPr>
            <w:tcW w:w="1328" w:type="dxa"/>
            <w:vAlign w:val="center"/>
          </w:tcPr>
          <w:p w14:paraId="2EBBBD0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448" w:type="dxa"/>
            <w:vAlign w:val="center"/>
          </w:tcPr>
          <w:p w14:paraId="5F1CE3C8">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专业</w:t>
            </w:r>
          </w:p>
        </w:tc>
        <w:tc>
          <w:tcPr>
            <w:tcW w:w="1290" w:type="dxa"/>
            <w:vAlign w:val="center"/>
          </w:tcPr>
          <w:p w14:paraId="7EE1D85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620" w:type="dxa"/>
            <w:vAlign w:val="center"/>
          </w:tcPr>
          <w:p w14:paraId="41233701">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政治面貌</w:t>
            </w:r>
          </w:p>
        </w:tc>
        <w:tc>
          <w:tcPr>
            <w:tcW w:w="1410" w:type="dxa"/>
            <w:vAlign w:val="top"/>
          </w:tcPr>
          <w:p w14:paraId="38B05EF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2947A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573" w:type="dxa"/>
            <w:vAlign w:val="center"/>
          </w:tcPr>
          <w:p w14:paraId="7331814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现任职务</w:t>
            </w:r>
          </w:p>
        </w:tc>
        <w:tc>
          <w:tcPr>
            <w:tcW w:w="1328" w:type="dxa"/>
            <w:vAlign w:val="center"/>
          </w:tcPr>
          <w:p w14:paraId="34EFC7D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448" w:type="dxa"/>
            <w:vAlign w:val="center"/>
          </w:tcPr>
          <w:p w14:paraId="066E2FB0">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技术职称</w:t>
            </w:r>
          </w:p>
        </w:tc>
        <w:tc>
          <w:tcPr>
            <w:tcW w:w="1290" w:type="dxa"/>
            <w:vAlign w:val="center"/>
          </w:tcPr>
          <w:p w14:paraId="55C4B7B1">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620" w:type="dxa"/>
            <w:vAlign w:val="center"/>
          </w:tcPr>
          <w:p w14:paraId="05A5917B">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聘任时间</w:t>
            </w:r>
          </w:p>
        </w:tc>
        <w:tc>
          <w:tcPr>
            <w:tcW w:w="1410" w:type="dxa"/>
            <w:vAlign w:val="top"/>
          </w:tcPr>
          <w:p w14:paraId="55107BD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19D3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573" w:type="dxa"/>
            <w:vAlign w:val="top"/>
          </w:tcPr>
          <w:p w14:paraId="28D29A3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在本单位从业年限</w:t>
            </w:r>
          </w:p>
        </w:tc>
        <w:tc>
          <w:tcPr>
            <w:tcW w:w="7096" w:type="dxa"/>
            <w:gridSpan w:val="5"/>
            <w:vAlign w:val="top"/>
          </w:tcPr>
          <w:p w14:paraId="27F5435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D78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573" w:type="dxa"/>
            <w:vMerge w:val="restart"/>
            <w:tcBorders>
              <w:bottom w:val="nil"/>
            </w:tcBorders>
            <w:vAlign w:val="center"/>
          </w:tcPr>
          <w:p w14:paraId="1447D218">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289"/>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(注册)</w:t>
            </w:r>
          </w:p>
          <w:p w14:paraId="1CBCEBF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289"/>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证书及编号</w:t>
            </w:r>
          </w:p>
        </w:tc>
        <w:tc>
          <w:tcPr>
            <w:tcW w:w="1328" w:type="dxa"/>
            <w:vAlign w:val="top"/>
          </w:tcPr>
          <w:p w14:paraId="3729F1B9">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序号</w:t>
            </w:r>
          </w:p>
        </w:tc>
        <w:tc>
          <w:tcPr>
            <w:tcW w:w="2738" w:type="dxa"/>
            <w:gridSpan w:val="2"/>
            <w:vAlign w:val="top"/>
          </w:tcPr>
          <w:p w14:paraId="4D2587BC">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证书名</w:t>
            </w:r>
          </w:p>
        </w:tc>
        <w:tc>
          <w:tcPr>
            <w:tcW w:w="3030" w:type="dxa"/>
            <w:gridSpan w:val="2"/>
            <w:vAlign w:val="top"/>
          </w:tcPr>
          <w:p w14:paraId="0030FAD8">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证书号</w:t>
            </w:r>
          </w:p>
        </w:tc>
      </w:tr>
      <w:tr w14:paraId="678D6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73" w:type="dxa"/>
            <w:vMerge w:val="continue"/>
            <w:tcBorders>
              <w:top w:val="nil"/>
              <w:bottom w:val="nil"/>
            </w:tcBorders>
            <w:vAlign w:val="top"/>
          </w:tcPr>
          <w:p w14:paraId="50C9921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328" w:type="dxa"/>
            <w:vAlign w:val="top"/>
          </w:tcPr>
          <w:p w14:paraId="682C208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38" w:type="dxa"/>
            <w:gridSpan w:val="2"/>
            <w:vAlign w:val="top"/>
          </w:tcPr>
          <w:p w14:paraId="6EC6C13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3030" w:type="dxa"/>
            <w:gridSpan w:val="2"/>
            <w:vAlign w:val="top"/>
          </w:tcPr>
          <w:p w14:paraId="780521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0E67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3" w:type="dxa"/>
            <w:vMerge w:val="continue"/>
            <w:tcBorders>
              <w:top w:val="nil"/>
              <w:bottom w:val="nil"/>
            </w:tcBorders>
            <w:vAlign w:val="top"/>
          </w:tcPr>
          <w:p w14:paraId="6D48773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328" w:type="dxa"/>
            <w:vAlign w:val="top"/>
          </w:tcPr>
          <w:p w14:paraId="4D07821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38" w:type="dxa"/>
            <w:gridSpan w:val="2"/>
            <w:vAlign w:val="top"/>
          </w:tcPr>
          <w:p w14:paraId="25A26C3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3030" w:type="dxa"/>
            <w:gridSpan w:val="2"/>
            <w:vAlign w:val="top"/>
          </w:tcPr>
          <w:p w14:paraId="630F31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5DB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tcBorders>
            <w:vAlign w:val="top"/>
          </w:tcPr>
          <w:p w14:paraId="5EBE6C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328" w:type="dxa"/>
            <w:vAlign w:val="top"/>
          </w:tcPr>
          <w:p w14:paraId="1D47D43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38" w:type="dxa"/>
            <w:gridSpan w:val="2"/>
            <w:vAlign w:val="top"/>
          </w:tcPr>
          <w:p w14:paraId="1D5ADB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3030" w:type="dxa"/>
            <w:gridSpan w:val="2"/>
            <w:vAlign w:val="top"/>
          </w:tcPr>
          <w:p w14:paraId="493D434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023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restart"/>
            <w:tcBorders>
              <w:bottom w:val="nil"/>
            </w:tcBorders>
            <w:vAlign w:val="center"/>
          </w:tcPr>
          <w:p w14:paraId="4EC91F6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主要经历和业绩</w:t>
            </w:r>
          </w:p>
        </w:tc>
        <w:tc>
          <w:tcPr>
            <w:tcW w:w="2776" w:type="dxa"/>
            <w:gridSpan w:val="2"/>
            <w:vAlign w:val="top"/>
          </w:tcPr>
          <w:p w14:paraId="771A741E">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工作起止时间</w:t>
            </w:r>
          </w:p>
        </w:tc>
        <w:tc>
          <w:tcPr>
            <w:tcW w:w="4320" w:type="dxa"/>
            <w:gridSpan w:val="3"/>
            <w:vAlign w:val="top"/>
          </w:tcPr>
          <w:p w14:paraId="08AB668A">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经历及主要业绩</w:t>
            </w:r>
          </w:p>
        </w:tc>
      </w:tr>
      <w:tr w14:paraId="6C25E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73" w:type="dxa"/>
            <w:vMerge w:val="continue"/>
            <w:tcBorders>
              <w:top w:val="nil"/>
              <w:bottom w:val="nil"/>
            </w:tcBorders>
            <w:vAlign w:val="top"/>
          </w:tcPr>
          <w:p w14:paraId="30BBE28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76" w:type="dxa"/>
            <w:gridSpan w:val="2"/>
            <w:vAlign w:val="top"/>
          </w:tcPr>
          <w:p w14:paraId="51E942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4320" w:type="dxa"/>
            <w:gridSpan w:val="3"/>
            <w:vAlign w:val="top"/>
          </w:tcPr>
          <w:p w14:paraId="37E9CEA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1933C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bottom w:val="nil"/>
            </w:tcBorders>
            <w:vAlign w:val="top"/>
          </w:tcPr>
          <w:p w14:paraId="766179E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76" w:type="dxa"/>
            <w:gridSpan w:val="2"/>
            <w:vAlign w:val="top"/>
          </w:tcPr>
          <w:p w14:paraId="422854E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4320" w:type="dxa"/>
            <w:gridSpan w:val="3"/>
            <w:vAlign w:val="top"/>
          </w:tcPr>
          <w:p w14:paraId="6F008A3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623F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bottom w:val="nil"/>
            </w:tcBorders>
            <w:vAlign w:val="top"/>
          </w:tcPr>
          <w:p w14:paraId="306B811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76" w:type="dxa"/>
            <w:gridSpan w:val="2"/>
            <w:vAlign w:val="top"/>
          </w:tcPr>
          <w:p w14:paraId="1EAEAB2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4320" w:type="dxa"/>
            <w:gridSpan w:val="3"/>
            <w:vAlign w:val="top"/>
          </w:tcPr>
          <w:p w14:paraId="371C42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73DED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tcBorders>
            <w:vAlign w:val="top"/>
          </w:tcPr>
          <w:p w14:paraId="6FD39B3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76" w:type="dxa"/>
            <w:gridSpan w:val="2"/>
            <w:vAlign w:val="top"/>
          </w:tcPr>
          <w:p w14:paraId="4878C7B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4320" w:type="dxa"/>
            <w:gridSpan w:val="3"/>
            <w:vAlign w:val="top"/>
          </w:tcPr>
          <w:p w14:paraId="3BBFD7D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F67D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73" w:type="dxa"/>
            <w:vAlign w:val="top"/>
          </w:tcPr>
          <w:p w14:paraId="2EAE0B3A">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说明</w:t>
            </w:r>
          </w:p>
        </w:tc>
        <w:tc>
          <w:tcPr>
            <w:tcW w:w="7096" w:type="dxa"/>
            <w:gridSpan w:val="5"/>
            <w:vAlign w:val="top"/>
          </w:tcPr>
          <w:p w14:paraId="0C5CF2D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bl>
    <w:p w14:paraId="2F58726B">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174DAE9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注明：后附相关证明材料复印件并加盖投标单位公章。</w:t>
      </w:r>
    </w:p>
    <w:p w14:paraId="626F6C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22" w:type="default"/>
          <w:pgSz w:w="11922" w:h="16849"/>
          <w:pgMar w:top="1440" w:right="1803" w:bottom="1440" w:left="1803" w:header="1134" w:footer="1253" w:gutter="0"/>
          <w:pgNumType w:fmt="decimal"/>
          <w:cols w:space="0" w:num="1"/>
          <w:rtlGutter w:val="0"/>
          <w:docGrid w:linePitch="0" w:charSpace="0"/>
        </w:sectPr>
      </w:pPr>
    </w:p>
    <w:p w14:paraId="0C897B69">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拟派人员一览表（仅供参考）</w:t>
      </w:r>
    </w:p>
    <w:tbl>
      <w:tblPr>
        <w:tblStyle w:val="22"/>
        <w:tblW w:w="8270"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1132"/>
        <w:gridCol w:w="990"/>
        <w:gridCol w:w="1558"/>
        <w:gridCol w:w="1898"/>
        <w:gridCol w:w="1551"/>
      </w:tblGrid>
      <w:tr w14:paraId="07361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141" w:type="dxa"/>
            <w:vAlign w:val="center"/>
          </w:tcPr>
          <w:p w14:paraId="011792CD">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序号</w:t>
            </w:r>
          </w:p>
        </w:tc>
        <w:tc>
          <w:tcPr>
            <w:tcW w:w="1132" w:type="dxa"/>
            <w:vAlign w:val="center"/>
          </w:tcPr>
          <w:p w14:paraId="76105E18">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姓名</w:t>
            </w:r>
          </w:p>
        </w:tc>
        <w:tc>
          <w:tcPr>
            <w:tcW w:w="990" w:type="dxa"/>
            <w:vAlign w:val="center"/>
          </w:tcPr>
          <w:p w14:paraId="685CB172">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职称</w:t>
            </w:r>
          </w:p>
        </w:tc>
        <w:tc>
          <w:tcPr>
            <w:tcW w:w="1558" w:type="dxa"/>
            <w:vAlign w:val="center"/>
          </w:tcPr>
          <w:p w14:paraId="7C71750A">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资格证书号</w:t>
            </w:r>
          </w:p>
        </w:tc>
        <w:tc>
          <w:tcPr>
            <w:tcW w:w="1898" w:type="dxa"/>
            <w:vAlign w:val="center"/>
          </w:tcPr>
          <w:p w14:paraId="25B4F14F">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注册证书号</w:t>
            </w:r>
          </w:p>
        </w:tc>
        <w:tc>
          <w:tcPr>
            <w:tcW w:w="1551" w:type="dxa"/>
            <w:vAlign w:val="center"/>
          </w:tcPr>
          <w:p w14:paraId="15FC8172">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学历</w:t>
            </w:r>
          </w:p>
        </w:tc>
      </w:tr>
      <w:tr w14:paraId="7FF9E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32DC8C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432E4B8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34C90A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0B9C785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32B1DAA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15646EE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01CD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41" w:type="dxa"/>
            <w:vAlign w:val="top"/>
          </w:tcPr>
          <w:p w14:paraId="60A091B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5C58FA8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085F71B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0447D68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16E3668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72638BA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073D0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75BCAC0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678445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3F8B1E5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12F9293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71FDDDD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2C702C0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3546A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41" w:type="dxa"/>
            <w:vAlign w:val="top"/>
          </w:tcPr>
          <w:p w14:paraId="5C8CB9F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25EBCE4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462DAD7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36CEC97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5A3A72C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7EEB34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189C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66505F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110908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3F67EE3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005F1B8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11EEEBC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7137C96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215A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64C9359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57CEDE9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71020CD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038C565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782453B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6471F98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0F741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0124E3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503BA7E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32B5D89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64CAB87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63160AF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1BADFEB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1CFAA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3862327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590B52F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3D41CC3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69C2AD9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032ACDE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61B662A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7148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1C5A4E2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310546C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7EB22C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2E932F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6256DE1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6A4E3FC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5266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621ACF4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7F46CDC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72903B5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5F6AAD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0AED55A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2444E8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3303F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75B48B5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345E9A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0A693ED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4641FDE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6CBA28C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4A8B50C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3CAD6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4C820FC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38456F1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710C752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4373ED8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386F714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727BD2A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769CA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686B59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1827B5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6AA2DBD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5F33519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65044B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2C6E782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3C394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73262AE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5E92E21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5966680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2D18318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38CD47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31FD383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30DD4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41" w:type="dxa"/>
            <w:vAlign w:val="top"/>
          </w:tcPr>
          <w:p w14:paraId="1A7335E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49C9F2C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5CAC5FF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0BED7F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40DD635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700D1B5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bl>
    <w:p w14:paraId="4BDBFB7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注明：后附相关证明材料复印件并加盖投标单位公章。</w:t>
      </w:r>
    </w:p>
    <w:p w14:paraId="67B755E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23" w:type="default"/>
          <w:pgSz w:w="11922" w:h="16849"/>
          <w:pgMar w:top="1440" w:right="1803" w:bottom="1440" w:left="1803" w:header="1134" w:footer="1253" w:gutter="0"/>
          <w:pgNumType w:fmt="decimal"/>
          <w:cols w:space="0" w:num="1"/>
          <w:rtlGutter w:val="0"/>
          <w:docGrid w:linePitch="0" w:charSpace="0"/>
        </w:sectPr>
      </w:pPr>
    </w:p>
    <w:p w14:paraId="56892B99">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41" w:name="_Toc1478"/>
      <w:r>
        <w:rPr>
          <w:rFonts w:hint="eastAsia" w:ascii="仿宋" w:hAnsi="仿宋" w:eastAsia="仿宋" w:cs="仿宋"/>
          <w:b/>
          <w:bCs/>
          <w:color w:val="auto"/>
          <w:spacing w:val="0"/>
          <w:w w:val="100"/>
          <w:position w:val="0"/>
          <w:sz w:val="28"/>
          <w:szCs w:val="28"/>
        </w:rPr>
        <w:t>八、服务方案</w:t>
      </w:r>
      <w:bookmarkEnd w:id="41"/>
    </w:p>
    <w:p w14:paraId="6A71374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eastAsia="zh-CN"/>
        </w:rPr>
        <w:sectPr>
          <w:footerReference r:id="rId24"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lang w:val="en-US" w:eastAsia="zh-CN"/>
        </w:rPr>
        <w:t>供应商自行制作格式</w:t>
      </w:r>
      <w:r>
        <w:rPr>
          <w:rFonts w:hint="eastAsia" w:ascii="仿宋" w:hAnsi="仿宋" w:eastAsia="仿宋" w:cs="仿宋"/>
          <w:color w:val="auto"/>
          <w:spacing w:val="0"/>
          <w:w w:val="100"/>
          <w:position w:val="0"/>
          <w:sz w:val="28"/>
          <w:szCs w:val="28"/>
          <w:lang w:eastAsia="zh-CN"/>
        </w:rPr>
        <w:t>）</w:t>
      </w:r>
    </w:p>
    <w:p w14:paraId="5AB9F978">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42" w:name="_Toc9322"/>
      <w:r>
        <w:rPr>
          <w:rFonts w:hint="eastAsia" w:ascii="仿宋" w:hAnsi="仿宋" w:eastAsia="仿宋" w:cs="仿宋"/>
          <w:b/>
          <w:bCs/>
          <w:color w:val="auto"/>
          <w:spacing w:val="0"/>
          <w:w w:val="100"/>
          <w:position w:val="0"/>
          <w:sz w:val="28"/>
          <w:szCs w:val="28"/>
        </w:rPr>
        <w:t>九、服务承诺</w:t>
      </w:r>
      <w:bookmarkEnd w:id="42"/>
    </w:p>
    <w:p w14:paraId="19CFF1D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eastAsia="zh-CN"/>
        </w:rPr>
        <w:sectPr>
          <w:footerReference r:id="rId25"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lang w:val="en-US" w:eastAsia="zh-CN"/>
        </w:rPr>
        <w:t>供应商自行制作格式</w:t>
      </w:r>
      <w:r>
        <w:rPr>
          <w:rFonts w:hint="eastAsia" w:ascii="仿宋" w:hAnsi="仿宋" w:eastAsia="仿宋" w:cs="仿宋"/>
          <w:color w:val="auto"/>
          <w:spacing w:val="0"/>
          <w:w w:val="100"/>
          <w:position w:val="0"/>
          <w:sz w:val="28"/>
          <w:szCs w:val="28"/>
          <w:lang w:eastAsia="zh-CN"/>
        </w:rPr>
        <w:t>）</w:t>
      </w:r>
    </w:p>
    <w:p w14:paraId="64B3ED0B">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43" w:name="_Toc4055"/>
      <w:r>
        <w:rPr>
          <w:rFonts w:hint="eastAsia" w:ascii="仿宋" w:hAnsi="仿宋" w:eastAsia="仿宋" w:cs="仿宋"/>
          <w:b/>
          <w:bCs/>
          <w:color w:val="auto"/>
          <w:spacing w:val="0"/>
          <w:w w:val="100"/>
          <w:position w:val="0"/>
          <w:sz w:val="28"/>
          <w:szCs w:val="28"/>
        </w:rPr>
        <w:t>十、联合体协议</w:t>
      </w:r>
      <w:bookmarkEnd w:id="43"/>
    </w:p>
    <w:p w14:paraId="5F31F0E4">
      <w:pPr>
        <w:pageBreakBefore w:val="0"/>
        <w:kinsoku w:val="0"/>
        <w:wordWrap/>
        <w:overflowPunct/>
        <w:topLinePunct w:val="0"/>
        <w:bidi w:val="0"/>
        <w:adjustRightInd w:val="0"/>
        <w:snapToGrid w:val="0"/>
        <w:spacing w:line="360" w:lineRule="auto"/>
        <w:ind w:left="0" w:leftChars="0" w:right="0" w:rightChars="0" w:firstLine="421"/>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(不允许联合体投标或未组成联合体投标,不需此件;允许联合体投标且</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为联合体投标的, 请将此件加盖公章后制成扫描件上传)</w:t>
      </w:r>
    </w:p>
    <w:p w14:paraId="042CFC4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联合体成员一名称：</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0A60B6D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联合体成员二名称：</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7559472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w:t>
      </w:r>
    </w:p>
    <w:p w14:paraId="407F4E53">
      <w:pPr>
        <w:pageBreakBefore w:val="0"/>
        <w:kinsoku w:val="0"/>
        <w:wordWrap/>
        <w:overflowPunct/>
        <w:topLinePunct w:val="0"/>
        <w:bidi w:val="0"/>
        <w:adjustRightInd w:val="0"/>
        <w:snapToGrid w:val="0"/>
        <w:spacing w:line="360" w:lineRule="auto"/>
        <w:ind w:left="0" w:leftChars="0" w:right="0" w:rightChars="0" w:firstLine="436"/>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上述各成员单位经过友好协商， 自愿组成联合体，共同参加本项目的投标，现就联合体投 标事宜订立如下协议：</w:t>
      </w:r>
    </w:p>
    <w:p w14:paraId="5B4070A9">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(某成员单位名称) 为联合体牵头人。</w:t>
      </w:r>
    </w:p>
    <w:p w14:paraId="20D667D7">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2.在本项目投标阶段，联合体牵头人负责投标项目的一切组织、协调工作，  并授权  代理人以联合体的名义参加项目的投标，代理人在投标、开标、评标、合同签订过程中所签  署的一切文件和处理与本次招标有关的一切事务，联合体各方均予以承认并承担法律责任。联合体 中标后，联合体各方共同与</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签订合同，就本项目对</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承担连带责任。</w:t>
      </w:r>
    </w:p>
    <w:p w14:paraId="44B86394">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3.联合体各成员单位内部的职责分工及各方负责内容的合同金额占总合同金额 的百分比如下：</w:t>
      </w:r>
    </w:p>
    <w:p w14:paraId="6739694E">
      <w:pPr>
        <w:pageBreakBefore w:val="0"/>
        <w:kinsoku w:val="0"/>
        <w:wordWrap/>
        <w:overflowPunct/>
        <w:topLinePunct w:val="0"/>
        <w:bidi w:val="0"/>
        <w:adjustRightInd w:val="0"/>
        <w:snapToGrid w:val="0"/>
        <w:spacing w:line="360" w:lineRule="auto"/>
        <w:ind w:left="0" w:leftChars="0" w:right="0" w:rightChars="0" w:firstLine="415"/>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联合体成员一名称：</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，承担</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工作，负责内容的合同金额占 总合同金额的百分比：</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48FD0B48">
      <w:pPr>
        <w:pageBreakBefore w:val="0"/>
        <w:kinsoku w:val="0"/>
        <w:wordWrap/>
        <w:overflowPunct/>
        <w:topLinePunct w:val="0"/>
        <w:bidi w:val="0"/>
        <w:adjustRightInd w:val="0"/>
        <w:snapToGrid w:val="0"/>
        <w:spacing w:line="360" w:lineRule="auto"/>
        <w:ind w:left="0" w:leftChars="0" w:right="0" w:rightChars="0" w:firstLine="425"/>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联合体成员二名称：</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，承担</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工作，负责内容的合同金 额占总合同金额的百分比：</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4CC922D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 ” ”</w:t>
      </w:r>
    </w:p>
    <w:p w14:paraId="49DCE0BC">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4.投标工作和联合体在中标后项目实施过程中的有关费用按各自承担的工作量分摊。</w:t>
      </w:r>
    </w:p>
    <w:p w14:paraId="7465A494">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5.联合体中标后，本联合体协议是合同的附件， 对联合体各成员单位有合同约束力。</w:t>
      </w:r>
    </w:p>
    <w:p w14:paraId="21F07B4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6.本协议书自签署之日起生效，联合体未中标或者合同履行完毕后自动失效。 </w:t>
      </w:r>
    </w:p>
    <w:p w14:paraId="64D5824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6FD2A7C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联合体成员一：</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(公章)</w:t>
      </w:r>
    </w:p>
    <w:p w14:paraId="466354E4">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(签字或盖章) 联合体成员二：</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(公章)</w:t>
      </w:r>
    </w:p>
    <w:p w14:paraId="768EABD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(签字或盖章)</w:t>
      </w:r>
    </w:p>
    <w:p w14:paraId="2F7968C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 ” ”</w:t>
      </w:r>
    </w:p>
    <w:p w14:paraId="3F413E4A">
      <w:pPr>
        <w:pageBreakBefore w:val="0"/>
        <w:kinsoku w:val="0"/>
        <w:wordWrap/>
        <w:overflowPunct/>
        <w:topLinePunct w:val="0"/>
        <w:bidi w:val="0"/>
        <w:adjustRightInd w:val="0"/>
        <w:snapToGrid w:val="0"/>
        <w:spacing w:line="360" w:lineRule="auto"/>
        <w:ind w:left="0" w:leftChars="0" w:right="0" w:rightChars="0"/>
        <w:jc w:val="righ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签 订 日 期 ：  年    月       日</w:t>
      </w:r>
    </w:p>
    <w:p w14:paraId="371B755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26" w:type="default"/>
          <w:pgSz w:w="11922" w:h="16849"/>
          <w:pgMar w:top="1440" w:right="1803" w:bottom="1440" w:left="1803" w:header="1134" w:footer="1253" w:gutter="0"/>
          <w:pgNumType w:fmt="decimal"/>
          <w:cols w:space="0" w:num="1"/>
          <w:rtlGutter w:val="0"/>
          <w:docGrid w:linePitch="0" w:charSpace="0"/>
        </w:sectPr>
      </w:pPr>
    </w:p>
    <w:p w14:paraId="04213A10">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rPr>
      </w:pPr>
      <w:bookmarkStart w:id="44" w:name="_Toc25779"/>
      <w:r>
        <w:rPr>
          <w:rFonts w:hint="eastAsia" w:ascii="仿宋" w:hAnsi="仿宋" w:eastAsia="仿宋" w:cs="仿宋"/>
          <w:b/>
          <w:bCs/>
          <w:color w:val="auto"/>
          <w:spacing w:val="0"/>
          <w:w w:val="100"/>
          <w:position w:val="0"/>
          <w:sz w:val="28"/>
          <w:szCs w:val="28"/>
          <w:lang w:val="en-US" w:eastAsia="zh-CN"/>
        </w:rPr>
        <w:t>十一</w:t>
      </w:r>
      <w:r>
        <w:rPr>
          <w:rFonts w:hint="eastAsia" w:ascii="仿宋" w:hAnsi="仿宋" w:eastAsia="仿宋" w:cs="仿宋"/>
          <w:b/>
          <w:bCs/>
          <w:color w:val="auto"/>
          <w:spacing w:val="0"/>
          <w:w w:val="100"/>
          <w:position w:val="0"/>
          <w:sz w:val="28"/>
          <w:szCs w:val="28"/>
        </w:rPr>
        <w:t>、其他相关证明材料</w:t>
      </w:r>
      <w:bookmarkEnd w:id="44"/>
    </w:p>
    <w:p w14:paraId="5773714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提供符合征集公告(投标邀请）、采购需求及评标方法和标准规定的相关证明文件。</w:t>
      </w:r>
    </w:p>
    <w:p w14:paraId="1B8DB996">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36107996">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03BD93AC">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5C2B67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特别提示:</w:t>
      </w:r>
    </w:p>
    <w:p w14:paraId="1F538FC3">
      <w:pPr>
        <w:pageBreakBefore w:val="0"/>
        <w:kinsoku w:val="0"/>
        <w:wordWrap/>
        <w:overflowPunct/>
        <w:topLinePunct w:val="0"/>
        <w:bidi w:val="0"/>
        <w:adjustRightInd w:val="0"/>
        <w:snapToGrid w:val="0"/>
        <w:spacing w:line="360" w:lineRule="auto"/>
        <w:ind w:left="0" w:leftChars="0" w:right="0" w:rightChars="0" w:firstLine="424"/>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供应商在征集响应文件制作时可在此栏内上传征集文件要求上传的证明资料，如营业执照、税务登记证、人员证书、资质证书、荣誉奖项等，应将上述证明材料制作成扫描件上传。</w:t>
      </w:r>
    </w:p>
    <w:sectPr>
      <w:footerReference r:id="rId27" w:type="default"/>
      <w:pgSz w:w="11922" w:h="16849"/>
      <w:pgMar w:top="1440" w:right="1803" w:bottom="1440" w:left="1803" w:header="1134" w:footer="125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8FB1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2E9E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E2E9E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D6DF">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CBDFF">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BCBDFF">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638A">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E620A">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6E620A">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65EE">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AA7DC">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AFAA7DC">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43">
    <w:pPr>
      <w:pStyle w:val="8"/>
      <w:spacing w:line="184" w:lineRule="auto"/>
      <w:ind w:left="436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3927">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63927">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6143">
    <w:pPr>
      <w:pStyle w:val="1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5D02E">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55D02E">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68B2">
    <w:pPr>
      <w:pStyle w:val="1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3358B">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B3358B">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B2A7">
    <w:pPr>
      <w:pStyle w:val="8"/>
      <w:spacing w:line="184" w:lineRule="auto"/>
      <w:ind w:left="408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3A167">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F83A167">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8377">
    <w:pPr>
      <w:pStyle w:val="8"/>
      <w:spacing w:line="184" w:lineRule="auto"/>
      <w:ind w:left="420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4953E">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E84953E">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8087">
    <w:pPr>
      <w:pStyle w:val="1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3C475">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DF3C475">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CF6F">
    <w:pPr>
      <w:pStyle w:val="1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F4390">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92F4390">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ECA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CCBF4">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CCCBF4">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73AE">
    <w:pPr>
      <w:pStyle w:val="12"/>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93BDC">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4393BDC">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E032">
    <w:pPr>
      <w:pStyle w:val="12"/>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2AC88">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992AC88">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FC0E">
    <w:pPr>
      <w:pStyle w:val="1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DD7BC">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F6DD7BC">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201F">
    <w:pPr>
      <w:pStyle w:val="8"/>
      <w:spacing w:line="14" w:lineRule="auto"/>
      <w:rPr>
        <w:sz w:val="2"/>
      </w:rPr>
    </w:pPr>
    <w:r>
      <w:rPr>
        <w:sz w:val="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434AC">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D1434AC">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9F1A">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68B4A">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068B4A">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F0B2">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6D253">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36D253">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1E18">
    <w:pPr>
      <w:pStyle w:val="8"/>
      <w:spacing w:line="184" w:lineRule="auto"/>
      <w:ind w:left="4542"/>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5CA2D">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5CA2D">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40FB">
    <w:pPr>
      <w:pStyle w:val="8"/>
      <w:spacing w:line="184" w:lineRule="auto"/>
      <w:ind w:left="4486"/>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6156D">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36156D">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631B1">
    <w:pPr>
      <w:spacing w:line="167" w:lineRule="auto"/>
      <w:ind w:left="4214"/>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097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09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F9431">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25pt;mso-position-horizontal:center;mso-position-horizontal-relative:margin;z-index:251665408;mso-width-relative:page;mso-height-relative:page;" filled="f" stroked="f" coordsize="21600,21600" o:gfxdata="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AI6iTSAAAABAEAAA8AAAAAAAAAAQAgAAAAIgAAAGRycy9kb3ducmV2Lnht&#10;bFBLAQIUABQAAAAIAIdO4kCpUGHMOAIAAGIEAAAOAAAAAAAAAAEAIAAAACEBAABkcnMvZTJvRG9j&#10;LnhtbFBLBQYAAAAABgAGAFkBAADLBQAAAAA=&#10;">
              <v:fill on="f" focussize="0,0"/>
              <v:stroke on="f" weight="0.5pt"/>
              <v:imagedata o:title=""/>
              <o:lock v:ext="edit" aspectratio="f"/>
              <v:textbox inset="0mm,0mm,0mm,0mm" style="mso-fit-shape-to-text:t;">
                <w:txbxContent>
                  <w:p w14:paraId="415F9431">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1B7D">
    <w:pPr>
      <w:spacing w:line="167" w:lineRule="auto"/>
      <w:ind w:left="4014"/>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65496">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F65496">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DFBE">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0393">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990393">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AF238"/>
    <w:multiLevelType w:val="singleLevel"/>
    <w:tmpl w:val="913AF238"/>
    <w:lvl w:ilvl="0" w:tentative="0">
      <w:start w:val="1"/>
      <w:numFmt w:val="decimal"/>
      <w:suff w:val="nothing"/>
      <w:lvlText w:val="（%1）"/>
      <w:lvlJc w:val="left"/>
    </w:lvl>
  </w:abstractNum>
  <w:abstractNum w:abstractNumId="1">
    <w:nsid w:val="C3A3BDA2"/>
    <w:multiLevelType w:val="singleLevel"/>
    <w:tmpl w:val="C3A3BDA2"/>
    <w:lvl w:ilvl="0" w:tentative="0">
      <w:start w:val="1"/>
      <w:numFmt w:val="decimal"/>
      <w:lvlText w:val="(%1)"/>
      <w:lvlJc w:val="left"/>
      <w:pPr>
        <w:tabs>
          <w:tab w:val="left" w:pos="312"/>
        </w:tabs>
      </w:pPr>
    </w:lvl>
  </w:abstractNum>
  <w:abstractNum w:abstractNumId="2">
    <w:nsid w:val="2D398D8C"/>
    <w:multiLevelType w:val="singleLevel"/>
    <w:tmpl w:val="2D398D8C"/>
    <w:lvl w:ilvl="0" w:tentative="0">
      <w:start w:val="4"/>
      <w:numFmt w:val="chineseCounting"/>
      <w:suff w:val="nothing"/>
      <w:lvlText w:val="%1、"/>
      <w:lvlJc w:val="left"/>
      <w:rPr>
        <w:rFonts w:hint="eastAsia"/>
      </w:rPr>
    </w:lvl>
  </w:abstractNum>
  <w:abstractNum w:abstractNumId="3">
    <w:nsid w:val="53A28FA8"/>
    <w:multiLevelType w:val="singleLevel"/>
    <w:tmpl w:val="53A28FA8"/>
    <w:lvl w:ilvl="0" w:tentative="0">
      <w:start w:val="1"/>
      <w:numFmt w:val="decimal"/>
      <w:suff w:val="nothing"/>
      <w:lvlText w:val="%1、"/>
      <w:lvlJc w:val="left"/>
    </w:lvl>
  </w:abstractNum>
  <w:abstractNum w:abstractNumId="4">
    <w:nsid w:val="68D4CD3C"/>
    <w:multiLevelType w:val="singleLevel"/>
    <w:tmpl w:val="68D4CD3C"/>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EwYzEwOGNkNWYwNTY1MDJiYTRhMDgzZTZkM2EyMWIifQ=="/>
  </w:docVars>
  <w:rsids>
    <w:rsidRoot w:val="00000000"/>
    <w:rsid w:val="01D0024F"/>
    <w:rsid w:val="034675D0"/>
    <w:rsid w:val="036D4905"/>
    <w:rsid w:val="03C829F6"/>
    <w:rsid w:val="03CC7180"/>
    <w:rsid w:val="03E86C76"/>
    <w:rsid w:val="04637F4D"/>
    <w:rsid w:val="05842CD1"/>
    <w:rsid w:val="07047ECE"/>
    <w:rsid w:val="07BA7FB4"/>
    <w:rsid w:val="0827498B"/>
    <w:rsid w:val="08412609"/>
    <w:rsid w:val="08B66FA6"/>
    <w:rsid w:val="08D437C5"/>
    <w:rsid w:val="09F75979"/>
    <w:rsid w:val="0A3B3BD5"/>
    <w:rsid w:val="0A8173F8"/>
    <w:rsid w:val="0AF963B5"/>
    <w:rsid w:val="0B154424"/>
    <w:rsid w:val="0BDB3E04"/>
    <w:rsid w:val="0BF650B6"/>
    <w:rsid w:val="0C912038"/>
    <w:rsid w:val="0D7758B2"/>
    <w:rsid w:val="0DC72BC0"/>
    <w:rsid w:val="0E1F7897"/>
    <w:rsid w:val="0E477FDC"/>
    <w:rsid w:val="0E612A2C"/>
    <w:rsid w:val="0F4F368A"/>
    <w:rsid w:val="0FCC3635"/>
    <w:rsid w:val="0FED0DC8"/>
    <w:rsid w:val="105B2462"/>
    <w:rsid w:val="10727A27"/>
    <w:rsid w:val="1125116C"/>
    <w:rsid w:val="12770CCA"/>
    <w:rsid w:val="138B2F9B"/>
    <w:rsid w:val="159643E7"/>
    <w:rsid w:val="15AC02FF"/>
    <w:rsid w:val="15CA05AA"/>
    <w:rsid w:val="16813872"/>
    <w:rsid w:val="16CE694C"/>
    <w:rsid w:val="17066A5C"/>
    <w:rsid w:val="19405E7C"/>
    <w:rsid w:val="198F6550"/>
    <w:rsid w:val="1A512B1C"/>
    <w:rsid w:val="1A6C5913"/>
    <w:rsid w:val="1AA11864"/>
    <w:rsid w:val="1B873A07"/>
    <w:rsid w:val="1BDB2AF0"/>
    <w:rsid w:val="1C69207F"/>
    <w:rsid w:val="1C6A6CC6"/>
    <w:rsid w:val="1C7A2EE3"/>
    <w:rsid w:val="1D1F268A"/>
    <w:rsid w:val="1E6A11E7"/>
    <w:rsid w:val="1E7A1F93"/>
    <w:rsid w:val="1E804710"/>
    <w:rsid w:val="1F120336"/>
    <w:rsid w:val="20AC0F62"/>
    <w:rsid w:val="21E06BFE"/>
    <w:rsid w:val="224D4E8B"/>
    <w:rsid w:val="22AA7879"/>
    <w:rsid w:val="22CA3922"/>
    <w:rsid w:val="24297E89"/>
    <w:rsid w:val="249718DE"/>
    <w:rsid w:val="24DE7951"/>
    <w:rsid w:val="24DF12B1"/>
    <w:rsid w:val="25324AE2"/>
    <w:rsid w:val="259C54CD"/>
    <w:rsid w:val="26DC58B7"/>
    <w:rsid w:val="281D1523"/>
    <w:rsid w:val="28D61E8B"/>
    <w:rsid w:val="29564161"/>
    <w:rsid w:val="297840D8"/>
    <w:rsid w:val="2A2B1325"/>
    <w:rsid w:val="2A4168D8"/>
    <w:rsid w:val="2A731B6B"/>
    <w:rsid w:val="2AD96DF8"/>
    <w:rsid w:val="2AEF2177"/>
    <w:rsid w:val="2B2A5D24"/>
    <w:rsid w:val="2B322330"/>
    <w:rsid w:val="2BA61037"/>
    <w:rsid w:val="2BE12049"/>
    <w:rsid w:val="2C3076F3"/>
    <w:rsid w:val="2DE868EF"/>
    <w:rsid w:val="2E2C687F"/>
    <w:rsid w:val="2ECD73FA"/>
    <w:rsid w:val="30A811B7"/>
    <w:rsid w:val="312468F3"/>
    <w:rsid w:val="315E2053"/>
    <w:rsid w:val="31D7650C"/>
    <w:rsid w:val="32C26F97"/>
    <w:rsid w:val="32F16347"/>
    <w:rsid w:val="332B21BB"/>
    <w:rsid w:val="333659B6"/>
    <w:rsid w:val="33552D94"/>
    <w:rsid w:val="33681AA0"/>
    <w:rsid w:val="33F205A1"/>
    <w:rsid w:val="34663B20"/>
    <w:rsid w:val="35056FAB"/>
    <w:rsid w:val="35C85A92"/>
    <w:rsid w:val="36796631"/>
    <w:rsid w:val="368D0B71"/>
    <w:rsid w:val="37305FF2"/>
    <w:rsid w:val="391D25A6"/>
    <w:rsid w:val="39B74775"/>
    <w:rsid w:val="39FF3A59"/>
    <w:rsid w:val="3A2212AF"/>
    <w:rsid w:val="3A3A0F35"/>
    <w:rsid w:val="3AEF63EA"/>
    <w:rsid w:val="3B9E37B1"/>
    <w:rsid w:val="3C131844"/>
    <w:rsid w:val="3E151CF0"/>
    <w:rsid w:val="3E240008"/>
    <w:rsid w:val="3F7102DD"/>
    <w:rsid w:val="3F7A33EB"/>
    <w:rsid w:val="3FA93097"/>
    <w:rsid w:val="3FE40DEE"/>
    <w:rsid w:val="400716B4"/>
    <w:rsid w:val="405475ED"/>
    <w:rsid w:val="40741F5E"/>
    <w:rsid w:val="41184492"/>
    <w:rsid w:val="41196E69"/>
    <w:rsid w:val="41A31919"/>
    <w:rsid w:val="42424E2B"/>
    <w:rsid w:val="4307713D"/>
    <w:rsid w:val="43625E85"/>
    <w:rsid w:val="43D212BD"/>
    <w:rsid w:val="44E67CEF"/>
    <w:rsid w:val="45192DDB"/>
    <w:rsid w:val="452D5D95"/>
    <w:rsid w:val="45687E0A"/>
    <w:rsid w:val="45F57367"/>
    <w:rsid w:val="46BA1434"/>
    <w:rsid w:val="478E57A6"/>
    <w:rsid w:val="48262F05"/>
    <w:rsid w:val="49107811"/>
    <w:rsid w:val="49B52386"/>
    <w:rsid w:val="4A137078"/>
    <w:rsid w:val="4AB04258"/>
    <w:rsid w:val="4AC9433B"/>
    <w:rsid w:val="4BDE7972"/>
    <w:rsid w:val="4CC77104"/>
    <w:rsid w:val="4CCC2CF5"/>
    <w:rsid w:val="4D0C1DC1"/>
    <w:rsid w:val="4DE3517A"/>
    <w:rsid w:val="4DF23BA9"/>
    <w:rsid w:val="4E4F4B57"/>
    <w:rsid w:val="4F0179C8"/>
    <w:rsid w:val="4F2F4622"/>
    <w:rsid w:val="50B96C00"/>
    <w:rsid w:val="51320BF3"/>
    <w:rsid w:val="51820C15"/>
    <w:rsid w:val="51D721C7"/>
    <w:rsid w:val="5271581E"/>
    <w:rsid w:val="52FB34A3"/>
    <w:rsid w:val="547C7DBE"/>
    <w:rsid w:val="54EF03E5"/>
    <w:rsid w:val="55012924"/>
    <w:rsid w:val="550752E8"/>
    <w:rsid w:val="55376345"/>
    <w:rsid w:val="554F4AB2"/>
    <w:rsid w:val="55F50070"/>
    <w:rsid w:val="56757125"/>
    <w:rsid w:val="57CE0F24"/>
    <w:rsid w:val="58566F70"/>
    <w:rsid w:val="588355D1"/>
    <w:rsid w:val="588D0722"/>
    <w:rsid w:val="58B71C77"/>
    <w:rsid w:val="59961079"/>
    <w:rsid w:val="5A0C5FF2"/>
    <w:rsid w:val="5A767910"/>
    <w:rsid w:val="5ADA2272"/>
    <w:rsid w:val="5B21797E"/>
    <w:rsid w:val="5C18110A"/>
    <w:rsid w:val="5E7C3EF2"/>
    <w:rsid w:val="5FC34E35"/>
    <w:rsid w:val="5FE1306B"/>
    <w:rsid w:val="602C5A37"/>
    <w:rsid w:val="607E12CC"/>
    <w:rsid w:val="60F1769A"/>
    <w:rsid w:val="63521ABA"/>
    <w:rsid w:val="63DC0140"/>
    <w:rsid w:val="63F5500B"/>
    <w:rsid w:val="644B15DB"/>
    <w:rsid w:val="64BB38A4"/>
    <w:rsid w:val="64BC3993"/>
    <w:rsid w:val="65672BAC"/>
    <w:rsid w:val="65826E33"/>
    <w:rsid w:val="65D82D46"/>
    <w:rsid w:val="66823A94"/>
    <w:rsid w:val="66ED0F5A"/>
    <w:rsid w:val="67354B19"/>
    <w:rsid w:val="673D4944"/>
    <w:rsid w:val="67495785"/>
    <w:rsid w:val="67726250"/>
    <w:rsid w:val="67A61834"/>
    <w:rsid w:val="67C21A5D"/>
    <w:rsid w:val="67EC6609"/>
    <w:rsid w:val="67F00D02"/>
    <w:rsid w:val="680270A0"/>
    <w:rsid w:val="684E0520"/>
    <w:rsid w:val="69167FA7"/>
    <w:rsid w:val="696574CD"/>
    <w:rsid w:val="69694C28"/>
    <w:rsid w:val="697B1C0E"/>
    <w:rsid w:val="69A4217F"/>
    <w:rsid w:val="69BF5656"/>
    <w:rsid w:val="69DA0D8F"/>
    <w:rsid w:val="69F12B0F"/>
    <w:rsid w:val="69FF3DA6"/>
    <w:rsid w:val="6A372C18"/>
    <w:rsid w:val="6A3B6058"/>
    <w:rsid w:val="6AD541DF"/>
    <w:rsid w:val="6B4D0219"/>
    <w:rsid w:val="6B5E5F82"/>
    <w:rsid w:val="6B75270C"/>
    <w:rsid w:val="6C7517D5"/>
    <w:rsid w:val="6CDC2709"/>
    <w:rsid w:val="6DA00AD4"/>
    <w:rsid w:val="6EE12150"/>
    <w:rsid w:val="6F7E6BF3"/>
    <w:rsid w:val="6FD34B11"/>
    <w:rsid w:val="70065B95"/>
    <w:rsid w:val="704A1CE6"/>
    <w:rsid w:val="70B434DC"/>
    <w:rsid w:val="70C060C6"/>
    <w:rsid w:val="719A47D5"/>
    <w:rsid w:val="71C34D91"/>
    <w:rsid w:val="726D2375"/>
    <w:rsid w:val="72C34FE8"/>
    <w:rsid w:val="73DA313E"/>
    <w:rsid w:val="73FD28A5"/>
    <w:rsid w:val="74814B36"/>
    <w:rsid w:val="75D80684"/>
    <w:rsid w:val="76DE3348"/>
    <w:rsid w:val="77706971"/>
    <w:rsid w:val="778637D8"/>
    <w:rsid w:val="77884BE9"/>
    <w:rsid w:val="77C70064"/>
    <w:rsid w:val="785250C1"/>
    <w:rsid w:val="79D331F8"/>
    <w:rsid w:val="7A1A1C0E"/>
    <w:rsid w:val="7BA21EBB"/>
    <w:rsid w:val="7CAD6FC9"/>
    <w:rsid w:val="7CFD5F16"/>
    <w:rsid w:val="7D953D7C"/>
    <w:rsid w:val="7EB93469"/>
    <w:rsid w:val="7EBF93E6"/>
    <w:rsid w:val="7EE80764"/>
    <w:rsid w:val="7F3D2627"/>
    <w:rsid w:val="7F6A0A34"/>
    <w:rsid w:val="7FD36AE7"/>
    <w:rsid w:val="7FFD3A5A"/>
    <w:rsid w:val="BFF98A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Body Text Indent"/>
    <w:basedOn w:val="1"/>
    <w:next w:val="10"/>
    <w:qFormat/>
    <w:uiPriority w:val="99"/>
    <w:pPr>
      <w:autoSpaceDE/>
      <w:autoSpaceDN/>
      <w:spacing w:after="120"/>
      <w:ind w:left="420" w:leftChars="200"/>
      <w:jc w:val="both"/>
    </w:pPr>
    <w:rPr>
      <w:rFonts w:ascii="Times New Roman" w:hAnsi="Times New Roman" w:cs="Times New Roman"/>
      <w:kern w:val="2"/>
      <w:sz w:val="21"/>
      <w:szCs w:val="24"/>
      <w:lang w:val="en-US" w:bidi="ar-SA"/>
    </w:rPr>
  </w:style>
  <w:style w:type="paragraph" w:styleId="10">
    <w:name w:val="envelope return"/>
    <w:basedOn w:val="1"/>
    <w:qFormat/>
    <w:uiPriority w:val="0"/>
    <w:pPr>
      <w:snapToGrid w:val="0"/>
    </w:pPr>
    <w:rPr>
      <w:rFonts w:ascii="Arial" w:hAnsi="Arial" w:cs="Arial"/>
      <w:szCs w:val="20"/>
    </w:r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9"/>
    <w:unhideWhenUsed/>
    <w:qFormat/>
    <w:uiPriority w:val="0"/>
    <w:pPr>
      <w:ind w:firstLine="420" w:firstLineChars="200"/>
    </w:pPr>
    <w:rPr>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TML Sample"/>
    <w:basedOn w:val="20"/>
    <w:qFormat/>
    <w:uiPriority w:val="0"/>
    <w:rPr>
      <w:rFonts w:ascii="Courier New" w:hAnsi="Courier New"/>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仿宋" w:hAnsi="仿宋" w:eastAsia="仿宋" w:cs="仿宋"/>
      <w:sz w:val="24"/>
      <w:szCs w:val="24"/>
      <w:lang w:val="en-US" w:eastAsia="en-US" w:bidi="ar-SA"/>
    </w:rPr>
  </w:style>
  <w:style w:type="paragraph" w:customStyle="1" w:styleId="24">
    <w:name w:val="Table Paragraph"/>
    <w:basedOn w:val="1"/>
    <w:qFormat/>
    <w:uiPriority w:val="1"/>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15670</Words>
  <Characters>16529</Characters>
  <TotalTime>3</TotalTime>
  <ScaleCrop>false</ScaleCrop>
  <LinksUpToDate>false</LinksUpToDate>
  <CharactersWithSpaces>16778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2024-06-07T16:49:00Z</dcterms:created>
  <dc:creator>NTKO</dc:creator>
  <cp:lastModifiedBy>熊孩子</cp:lastModifiedBy>
  <cp:lastPrinted>2025-08-05T00:35:00Z</cp:lastPrinted>
  <dcterms:modified xsi:type="dcterms:W3CDTF">2025-10-20T00:09:30Z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2024-10-24T09:04:12Z</vt:filetime>
  </property>
  <property fmtid="{D5CDD505-2E9C-101B-9397-08002B2CF9AE}" pid="4" name="KSOProductBuildVer">
    <vt:lpwstr>2052-12.1.0.23125</vt:lpwstr>
  </property>
  <property fmtid="{D5CDD505-2E9C-101B-9397-08002B2CF9AE}" pid="5" name="ICV">
    <vt:lpwstr>4CCB1A611A12492AB6A75D3E87F14C27_13</vt:lpwstr>
  </property>
  <property fmtid="{D5CDD505-2E9C-101B-9397-08002B2CF9AE}" pid="6" name="KSOTemplateDocerSaveRecord">
    <vt:lpwstr>eyJoZGlkIjoiYjgyOGQyODI3NTAyMDJjYmRjZmFkZWE1NDI5Y2Q4NDIiLCJ1c2VySWQiOiIyNzU4OTc2MTUifQ==</vt:lpwstr>
  </property>
</Properties>
</file>