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C997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color w:val="auto"/>
          <w:spacing w:val="0"/>
          <w:w w:val="100"/>
          <w:position w:val="0"/>
          <w:sz w:val="44"/>
          <w:szCs w:val="44"/>
          <w:lang w:eastAsia="zh-CN"/>
        </w:rPr>
      </w:pPr>
    </w:p>
    <w:p w14:paraId="579E3BDD">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bCs/>
          <w:color w:val="auto"/>
          <w:spacing w:val="0"/>
          <w:w w:val="100"/>
          <w:position w:val="0"/>
          <w:sz w:val="44"/>
          <w:szCs w:val="44"/>
          <w:lang w:eastAsia="zh-CN"/>
        </w:rPr>
      </w:pPr>
      <w:r>
        <w:rPr>
          <w:rFonts w:hint="eastAsia" w:ascii="华文中宋" w:hAnsi="华文中宋" w:eastAsia="华文中宋" w:cs="华文中宋"/>
          <w:b/>
          <w:bCs/>
          <w:color w:val="auto"/>
          <w:spacing w:val="0"/>
          <w:w w:val="100"/>
          <w:position w:val="0"/>
          <w:sz w:val="44"/>
          <w:szCs w:val="44"/>
          <w:lang w:eastAsia="zh-CN"/>
        </w:rPr>
        <w:t>颍东区机关事务管理中心公务用车定点保险项目（三次）</w:t>
      </w:r>
    </w:p>
    <w:p w14:paraId="5C95737D">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6AA2DD3B">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5B27C1D0">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lang w:eastAsia="zh-CN"/>
        </w:rPr>
      </w:pPr>
      <w:r>
        <w:rPr>
          <w:rFonts w:hint="eastAsia" w:ascii="华文中宋" w:hAnsi="华文中宋" w:eastAsia="华文中宋" w:cs="华文中宋"/>
          <w:b w:val="0"/>
          <w:bCs w:val="0"/>
          <w:color w:val="auto"/>
          <w:spacing w:val="0"/>
          <w:w w:val="100"/>
          <w:position w:val="0"/>
          <w:sz w:val="32"/>
          <w:szCs w:val="32"/>
          <w:lang w:eastAsia="zh-CN"/>
        </w:rPr>
        <w:t>征 集 文 件</w:t>
      </w:r>
    </w:p>
    <w:p w14:paraId="741F2E2E">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lang w:eastAsia="zh-CN"/>
        </w:rPr>
      </w:pPr>
    </w:p>
    <w:p w14:paraId="23324C85">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default" w:ascii="华文中宋" w:hAnsi="华文中宋" w:eastAsia="华文中宋" w:cs="华文中宋"/>
          <w:b w:val="0"/>
          <w:bCs w:val="0"/>
          <w:color w:val="auto"/>
          <w:spacing w:val="0"/>
          <w:w w:val="100"/>
          <w:position w:val="0"/>
          <w:sz w:val="32"/>
          <w:szCs w:val="32"/>
          <w:lang w:val="en-US" w:eastAsia="zh-CN"/>
        </w:rPr>
      </w:pPr>
      <w:r>
        <w:rPr>
          <w:rFonts w:hint="eastAsia" w:ascii="华文中宋" w:hAnsi="华文中宋" w:eastAsia="华文中宋" w:cs="华文中宋"/>
          <w:b w:val="0"/>
          <w:bCs w:val="0"/>
          <w:color w:val="auto"/>
          <w:spacing w:val="0"/>
          <w:w w:val="100"/>
          <w:position w:val="0"/>
          <w:sz w:val="32"/>
          <w:szCs w:val="32"/>
          <w:lang w:eastAsia="zh-CN"/>
        </w:rPr>
        <w:t>项目编号:KJXY202508210480-Z</w:t>
      </w:r>
      <w:r>
        <w:rPr>
          <w:rFonts w:hint="eastAsia" w:ascii="华文中宋" w:hAnsi="华文中宋" w:eastAsia="华文中宋" w:cs="华文中宋"/>
          <w:b w:val="0"/>
          <w:bCs w:val="0"/>
          <w:color w:val="auto"/>
          <w:spacing w:val="0"/>
          <w:w w:val="100"/>
          <w:position w:val="0"/>
          <w:sz w:val="32"/>
          <w:szCs w:val="32"/>
          <w:lang w:val="en-US" w:eastAsia="zh-CN"/>
        </w:rPr>
        <w:t xml:space="preserve">2 </w:t>
      </w:r>
    </w:p>
    <w:p w14:paraId="4F80C582">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lang w:eastAsia="zh-CN"/>
        </w:rPr>
      </w:pPr>
    </w:p>
    <w:p w14:paraId="2D80D8A0">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lang w:eastAsia="zh-CN"/>
        </w:rPr>
      </w:pPr>
    </w:p>
    <w:p w14:paraId="3798DEB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lang w:eastAsia="zh-CN"/>
        </w:rPr>
      </w:pPr>
    </w:p>
    <w:p w14:paraId="70E71A9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lang w:eastAsia="zh-CN"/>
        </w:rPr>
      </w:pPr>
    </w:p>
    <w:p w14:paraId="2660A92D">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lang w:eastAsia="zh-CN"/>
        </w:rPr>
      </w:pPr>
    </w:p>
    <w:p w14:paraId="713CF043">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lang w:eastAsia="zh-CN"/>
        </w:rPr>
      </w:pPr>
    </w:p>
    <w:p w14:paraId="73D123CA">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lang w:eastAsia="zh-CN"/>
        </w:rPr>
      </w:pPr>
    </w:p>
    <w:p w14:paraId="6AE281C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lang w:eastAsia="zh-CN"/>
        </w:rPr>
      </w:pPr>
    </w:p>
    <w:p w14:paraId="0D7171A8">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lang w:eastAsia="zh-CN"/>
        </w:rPr>
      </w:pPr>
      <w:r>
        <w:rPr>
          <w:rFonts w:hint="eastAsia" w:ascii="华文中宋" w:hAnsi="华文中宋" w:eastAsia="华文中宋" w:cs="华文中宋"/>
          <w:b w:val="0"/>
          <w:bCs w:val="0"/>
          <w:color w:val="auto"/>
          <w:spacing w:val="0"/>
          <w:w w:val="100"/>
          <w:position w:val="0"/>
          <w:sz w:val="32"/>
          <w:szCs w:val="32"/>
          <w:lang w:eastAsia="zh-CN"/>
        </w:rPr>
        <w:t>征集人: 阜阳市颍东区机关事务管理服务中心 (单位盖章)</w:t>
      </w:r>
    </w:p>
    <w:p w14:paraId="5D8DB3FF">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rPr>
      </w:pPr>
      <w:r>
        <w:rPr>
          <w:rFonts w:hint="eastAsia" w:ascii="华文中宋" w:hAnsi="华文中宋" w:eastAsia="华文中宋" w:cs="华文中宋"/>
          <w:b w:val="0"/>
          <w:bCs w:val="0"/>
          <w:color w:val="auto"/>
          <w:spacing w:val="0"/>
          <w:w w:val="100"/>
          <w:position w:val="0"/>
          <w:sz w:val="32"/>
          <w:szCs w:val="32"/>
          <w:lang w:eastAsia="zh-CN"/>
        </w:rPr>
        <w:t>202</w:t>
      </w:r>
      <w:r>
        <w:rPr>
          <w:rFonts w:hint="eastAsia" w:ascii="华文中宋" w:hAnsi="华文中宋" w:eastAsia="华文中宋" w:cs="华文中宋"/>
          <w:b w:val="0"/>
          <w:bCs w:val="0"/>
          <w:color w:val="auto"/>
          <w:spacing w:val="0"/>
          <w:w w:val="100"/>
          <w:position w:val="0"/>
          <w:sz w:val="32"/>
          <w:szCs w:val="32"/>
          <w:lang w:val="en-US" w:eastAsia="zh-CN"/>
        </w:rPr>
        <w:t>5</w:t>
      </w:r>
      <w:r>
        <w:rPr>
          <w:rFonts w:hint="eastAsia" w:ascii="华文中宋" w:hAnsi="华文中宋" w:eastAsia="华文中宋" w:cs="华文中宋"/>
          <w:b w:val="0"/>
          <w:bCs w:val="0"/>
          <w:color w:val="auto"/>
          <w:spacing w:val="0"/>
          <w:w w:val="100"/>
          <w:position w:val="0"/>
          <w:sz w:val="32"/>
          <w:szCs w:val="32"/>
          <w:lang w:eastAsia="zh-CN"/>
        </w:rPr>
        <w:t>年</w:t>
      </w:r>
      <w:r>
        <w:rPr>
          <w:rFonts w:hint="eastAsia" w:ascii="华文中宋" w:hAnsi="华文中宋" w:eastAsia="华文中宋" w:cs="华文中宋"/>
          <w:b w:val="0"/>
          <w:bCs w:val="0"/>
          <w:color w:val="auto"/>
          <w:spacing w:val="0"/>
          <w:w w:val="100"/>
          <w:position w:val="0"/>
          <w:sz w:val="32"/>
          <w:szCs w:val="32"/>
          <w:lang w:val="en-US" w:eastAsia="zh-CN"/>
        </w:rPr>
        <w:t>10</w:t>
      </w:r>
      <w:r>
        <w:rPr>
          <w:rFonts w:hint="eastAsia" w:ascii="华文中宋" w:hAnsi="华文中宋" w:eastAsia="华文中宋" w:cs="华文中宋"/>
          <w:b w:val="0"/>
          <w:bCs w:val="0"/>
          <w:color w:val="auto"/>
          <w:spacing w:val="0"/>
          <w:w w:val="100"/>
          <w:position w:val="0"/>
          <w:sz w:val="32"/>
          <w:szCs w:val="32"/>
          <w:lang w:eastAsia="zh-CN"/>
        </w:rPr>
        <w:t>月</w:t>
      </w:r>
    </w:p>
    <w:p w14:paraId="1F4F659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5" w:type="default"/>
          <w:pgSz w:w="11922" w:h="16849"/>
          <w:pgMar w:top="1440" w:right="1803" w:bottom="1440" w:left="1803" w:header="1134" w:footer="1253" w:gutter="0"/>
          <w:pgNumType w:fmt="decimal" w:start="1"/>
          <w:cols w:space="0" w:num="1"/>
          <w:rtlGutter w:val="0"/>
          <w:docGrid w:linePitch="0" w:charSpace="0"/>
        </w:sectPr>
      </w:pPr>
    </w:p>
    <w:sdt>
      <w:sdtPr>
        <w:rPr>
          <w:rFonts w:hint="eastAsia" w:ascii="仿宋" w:hAnsi="仿宋" w:eastAsia="仿宋" w:cs="仿宋"/>
          <w:b/>
          <w:bCs/>
          <w:snapToGrid w:val="0"/>
          <w:color w:val="auto"/>
          <w:spacing w:val="0"/>
          <w:w w:val="100"/>
          <w:kern w:val="0"/>
          <w:position w:val="0"/>
          <w:sz w:val="30"/>
          <w:szCs w:val="30"/>
          <w:lang w:val="en-US" w:eastAsia="en-US" w:bidi="ar-SA"/>
        </w:rPr>
        <w:id w:val="147481467"/>
        <w15:color w:val="DBDBDB"/>
        <w:docPartObj>
          <w:docPartGallery w:val="Table of Contents"/>
          <w:docPartUnique/>
        </w:docPartObj>
      </w:sdtPr>
      <w:sdtEndPr>
        <w:rPr>
          <w:rFonts w:hint="eastAsia" w:ascii="仿宋" w:hAnsi="仿宋" w:eastAsia="仿宋" w:cs="仿宋"/>
          <w:b/>
          <w:bCs/>
          <w:snapToGrid w:val="0"/>
          <w:color w:val="auto"/>
          <w:spacing w:val="0"/>
          <w:w w:val="100"/>
          <w:kern w:val="0"/>
          <w:position w:val="0"/>
          <w:sz w:val="21"/>
          <w:szCs w:val="28"/>
          <w:lang w:val="en-US" w:eastAsia="en-US" w:bidi="ar-SA"/>
        </w:rPr>
      </w:sdtEndPr>
      <w:sdtContent>
        <w:p w14:paraId="03D7C820">
          <w:pPr>
            <w:pageBreakBefore w:val="0"/>
            <w:kinsoku w:val="0"/>
            <w:wordWrap/>
            <w:overflowPunct/>
            <w:topLinePunct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b/>
              <w:bCs/>
              <w:color w:val="auto"/>
              <w:spacing w:val="0"/>
              <w:w w:val="100"/>
              <w:position w:val="0"/>
              <w:sz w:val="30"/>
              <w:szCs w:val="30"/>
            </w:rPr>
          </w:pPr>
          <w:r>
            <w:rPr>
              <w:rFonts w:hint="eastAsia" w:ascii="仿宋" w:hAnsi="仿宋" w:eastAsia="仿宋" w:cs="仿宋"/>
              <w:b/>
              <w:bCs/>
              <w:color w:val="auto"/>
              <w:spacing w:val="0"/>
              <w:w w:val="100"/>
              <w:position w:val="0"/>
              <w:sz w:val="30"/>
              <w:szCs w:val="30"/>
            </w:rPr>
            <w:t>目</w:t>
          </w:r>
          <w:r>
            <w:rPr>
              <w:rFonts w:hint="eastAsia" w:ascii="仿宋" w:hAnsi="仿宋" w:eastAsia="仿宋" w:cs="仿宋"/>
              <w:b/>
              <w:bCs/>
              <w:color w:val="auto"/>
              <w:spacing w:val="0"/>
              <w:w w:val="100"/>
              <w:position w:val="0"/>
              <w:sz w:val="30"/>
              <w:szCs w:val="30"/>
              <w:lang w:val="en-US" w:eastAsia="zh-CN"/>
            </w:rPr>
            <w:t xml:space="preserve"> </w:t>
          </w:r>
          <w:r>
            <w:rPr>
              <w:rFonts w:hint="eastAsia" w:ascii="仿宋" w:hAnsi="仿宋" w:eastAsia="仿宋" w:cs="仿宋"/>
              <w:b/>
              <w:bCs/>
              <w:color w:val="auto"/>
              <w:spacing w:val="0"/>
              <w:w w:val="100"/>
              <w:position w:val="0"/>
              <w:sz w:val="30"/>
              <w:szCs w:val="30"/>
            </w:rPr>
            <w:t>录</w:t>
          </w:r>
        </w:p>
        <w:p w14:paraId="1FC60E8A">
          <w:pPr>
            <w:pStyle w:val="15"/>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TOC \o "1-3" \h \u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40"/>
            </w:rPr>
            <w:fldChar w:fldCharType="begin"/>
          </w:r>
          <w:r>
            <w:rPr>
              <w:rFonts w:hint="eastAsia" w:ascii="仿宋" w:hAnsi="仿宋" w:eastAsia="仿宋" w:cs="仿宋"/>
              <w:color w:val="auto"/>
              <w:spacing w:val="0"/>
              <w:w w:val="100"/>
              <w:position w:val="0"/>
              <w:sz w:val="28"/>
              <w:szCs w:val="40"/>
            </w:rPr>
            <w:instrText xml:space="preserve"> HYPERLINK \l _Toc13141 </w:instrText>
          </w:r>
          <w:r>
            <w:rPr>
              <w:rFonts w:hint="eastAsia" w:ascii="仿宋" w:hAnsi="仿宋" w:eastAsia="仿宋" w:cs="仿宋"/>
              <w:color w:val="auto"/>
              <w:spacing w:val="0"/>
              <w:w w:val="100"/>
              <w:position w:val="0"/>
              <w:sz w:val="28"/>
              <w:szCs w:val="40"/>
            </w:rPr>
            <w:fldChar w:fldCharType="separate"/>
          </w:r>
          <w:r>
            <w:rPr>
              <w:rFonts w:hint="eastAsia" w:ascii="仿宋" w:hAnsi="仿宋" w:eastAsia="仿宋" w:cs="仿宋"/>
              <w:bCs/>
              <w:color w:val="auto"/>
              <w:spacing w:val="0"/>
              <w:w w:val="100"/>
              <w:position w:val="0"/>
              <w:sz w:val="28"/>
              <w:szCs w:val="56"/>
            </w:rPr>
            <w:t>第一章 征集公告</w:t>
          </w:r>
          <w:r>
            <w:rPr>
              <w:rFonts w:hint="eastAsia" w:ascii="仿宋" w:hAnsi="仿宋" w:eastAsia="仿宋" w:cs="仿宋"/>
              <w:color w:val="auto"/>
              <w:spacing w:val="0"/>
              <w:w w:val="100"/>
              <w:position w:val="0"/>
              <w:sz w:val="28"/>
              <w:szCs w:val="28"/>
            </w:rPr>
            <w:tab/>
          </w: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 PAGEREF _Toc13141 \h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28"/>
            </w:rPr>
            <w:t>3</w:t>
          </w:r>
          <w:r>
            <w:rPr>
              <w:rFonts w:hint="eastAsia" w:ascii="仿宋" w:hAnsi="仿宋" w:eastAsia="仿宋" w:cs="仿宋"/>
              <w:color w:val="auto"/>
              <w:spacing w:val="0"/>
              <w:w w:val="100"/>
              <w:position w:val="0"/>
              <w:sz w:val="28"/>
              <w:szCs w:val="28"/>
            </w:rPr>
            <w:fldChar w:fldCharType="end"/>
          </w:r>
          <w:r>
            <w:rPr>
              <w:rFonts w:hint="eastAsia" w:ascii="仿宋" w:hAnsi="仿宋" w:eastAsia="仿宋" w:cs="仿宋"/>
              <w:color w:val="auto"/>
              <w:spacing w:val="0"/>
              <w:w w:val="100"/>
              <w:position w:val="0"/>
              <w:sz w:val="28"/>
              <w:szCs w:val="40"/>
            </w:rPr>
            <w:fldChar w:fldCharType="end"/>
          </w:r>
        </w:p>
        <w:p w14:paraId="7D4502CC">
          <w:pPr>
            <w:pStyle w:val="15"/>
            <w:keepNext w:val="0"/>
            <w:keepLines w:val="0"/>
            <w:pageBreakBefore w:val="0"/>
            <w:widowControl/>
            <w:tabs>
              <w:tab w:val="right" w:leader="dot" w:pos="8316"/>
            </w:tabs>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40"/>
            </w:rPr>
          </w:pPr>
        </w:p>
        <w:p w14:paraId="6A54FF89">
          <w:pPr>
            <w:pStyle w:val="15"/>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40"/>
            </w:rPr>
          </w:pPr>
          <w:r>
            <w:rPr>
              <w:rFonts w:hint="eastAsia" w:ascii="仿宋" w:hAnsi="仿宋" w:eastAsia="仿宋" w:cs="仿宋"/>
              <w:color w:val="auto"/>
              <w:spacing w:val="0"/>
              <w:w w:val="100"/>
              <w:position w:val="0"/>
              <w:sz w:val="28"/>
              <w:szCs w:val="40"/>
            </w:rPr>
            <w:fldChar w:fldCharType="begin"/>
          </w:r>
          <w:r>
            <w:rPr>
              <w:rFonts w:hint="eastAsia" w:ascii="仿宋" w:hAnsi="仿宋" w:eastAsia="仿宋" w:cs="仿宋"/>
              <w:color w:val="auto"/>
              <w:spacing w:val="0"/>
              <w:w w:val="100"/>
              <w:position w:val="0"/>
              <w:sz w:val="28"/>
              <w:szCs w:val="40"/>
            </w:rPr>
            <w:instrText xml:space="preserve"> HYPERLINK \l _Toc27469 </w:instrText>
          </w:r>
          <w:r>
            <w:rPr>
              <w:rFonts w:hint="eastAsia" w:ascii="仿宋" w:hAnsi="仿宋" w:eastAsia="仿宋" w:cs="仿宋"/>
              <w:color w:val="auto"/>
              <w:spacing w:val="0"/>
              <w:w w:val="100"/>
              <w:position w:val="0"/>
              <w:sz w:val="28"/>
              <w:szCs w:val="40"/>
            </w:rPr>
            <w:fldChar w:fldCharType="separate"/>
          </w:r>
          <w:r>
            <w:rPr>
              <w:rFonts w:hint="eastAsia" w:ascii="仿宋" w:hAnsi="仿宋" w:eastAsia="仿宋" w:cs="仿宋"/>
              <w:bCs/>
              <w:color w:val="auto"/>
              <w:spacing w:val="0"/>
              <w:w w:val="100"/>
              <w:position w:val="0"/>
              <w:sz w:val="28"/>
              <w:szCs w:val="56"/>
            </w:rPr>
            <w:t>第二章 供应商须知</w:t>
          </w:r>
          <w:r>
            <w:rPr>
              <w:rFonts w:hint="eastAsia" w:ascii="仿宋" w:hAnsi="仿宋" w:eastAsia="仿宋" w:cs="仿宋"/>
              <w:color w:val="auto"/>
              <w:spacing w:val="0"/>
              <w:w w:val="100"/>
              <w:position w:val="0"/>
              <w:sz w:val="28"/>
              <w:szCs w:val="28"/>
            </w:rPr>
            <w:tab/>
          </w: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 PAGEREF _Toc27469 \h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28"/>
            </w:rPr>
            <w:t>6</w:t>
          </w:r>
          <w:r>
            <w:rPr>
              <w:rFonts w:hint="eastAsia" w:ascii="仿宋" w:hAnsi="仿宋" w:eastAsia="仿宋" w:cs="仿宋"/>
              <w:color w:val="auto"/>
              <w:spacing w:val="0"/>
              <w:w w:val="100"/>
              <w:position w:val="0"/>
              <w:sz w:val="28"/>
              <w:szCs w:val="28"/>
            </w:rPr>
            <w:fldChar w:fldCharType="end"/>
          </w:r>
          <w:r>
            <w:rPr>
              <w:rFonts w:hint="eastAsia" w:ascii="仿宋" w:hAnsi="仿宋" w:eastAsia="仿宋" w:cs="仿宋"/>
              <w:color w:val="auto"/>
              <w:spacing w:val="0"/>
              <w:w w:val="100"/>
              <w:position w:val="0"/>
              <w:sz w:val="28"/>
              <w:szCs w:val="40"/>
            </w:rPr>
            <w:fldChar w:fldCharType="end"/>
          </w:r>
        </w:p>
        <w:p w14:paraId="693982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color w:val="auto"/>
              <w:spacing w:val="0"/>
              <w:w w:val="100"/>
              <w:position w:val="0"/>
            </w:rPr>
          </w:pPr>
        </w:p>
        <w:p w14:paraId="1D629A2C">
          <w:pPr>
            <w:pStyle w:val="15"/>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40"/>
            </w:rPr>
            <w:fldChar w:fldCharType="begin"/>
          </w:r>
          <w:r>
            <w:rPr>
              <w:rFonts w:hint="eastAsia" w:ascii="仿宋" w:hAnsi="仿宋" w:eastAsia="仿宋" w:cs="仿宋"/>
              <w:color w:val="auto"/>
              <w:spacing w:val="0"/>
              <w:w w:val="100"/>
              <w:position w:val="0"/>
              <w:sz w:val="28"/>
              <w:szCs w:val="40"/>
            </w:rPr>
            <w:instrText xml:space="preserve"> HYPERLINK \l _Toc21744 </w:instrText>
          </w:r>
          <w:r>
            <w:rPr>
              <w:rFonts w:hint="eastAsia" w:ascii="仿宋" w:hAnsi="仿宋" w:eastAsia="仿宋" w:cs="仿宋"/>
              <w:color w:val="auto"/>
              <w:spacing w:val="0"/>
              <w:w w:val="100"/>
              <w:position w:val="0"/>
              <w:sz w:val="28"/>
              <w:szCs w:val="40"/>
            </w:rPr>
            <w:fldChar w:fldCharType="separate"/>
          </w:r>
          <w:r>
            <w:rPr>
              <w:rFonts w:hint="eastAsia" w:ascii="仿宋" w:hAnsi="仿宋" w:eastAsia="仿宋" w:cs="仿宋"/>
              <w:bCs/>
              <w:color w:val="auto"/>
              <w:spacing w:val="0"/>
              <w:w w:val="100"/>
              <w:position w:val="0"/>
              <w:sz w:val="28"/>
              <w:szCs w:val="56"/>
            </w:rPr>
            <w:t>第三章 采购需求</w:t>
          </w:r>
          <w:r>
            <w:rPr>
              <w:rFonts w:hint="eastAsia" w:ascii="仿宋" w:hAnsi="仿宋" w:eastAsia="仿宋" w:cs="仿宋"/>
              <w:color w:val="auto"/>
              <w:spacing w:val="0"/>
              <w:w w:val="100"/>
              <w:position w:val="0"/>
              <w:sz w:val="28"/>
              <w:szCs w:val="28"/>
            </w:rPr>
            <w:tab/>
          </w: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 PAGEREF _Toc21744 \h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28"/>
            </w:rPr>
            <w:t>27</w:t>
          </w:r>
          <w:r>
            <w:rPr>
              <w:rFonts w:hint="eastAsia" w:ascii="仿宋" w:hAnsi="仿宋" w:eastAsia="仿宋" w:cs="仿宋"/>
              <w:color w:val="auto"/>
              <w:spacing w:val="0"/>
              <w:w w:val="100"/>
              <w:position w:val="0"/>
              <w:sz w:val="28"/>
              <w:szCs w:val="28"/>
            </w:rPr>
            <w:fldChar w:fldCharType="end"/>
          </w:r>
          <w:r>
            <w:rPr>
              <w:rFonts w:hint="eastAsia" w:ascii="仿宋" w:hAnsi="仿宋" w:eastAsia="仿宋" w:cs="仿宋"/>
              <w:color w:val="auto"/>
              <w:spacing w:val="0"/>
              <w:w w:val="100"/>
              <w:position w:val="0"/>
              <w:sz w:val="28"/>
              <w:szCs w:val="40"/>
            </w:rPr>
            <w:fldChar w:fldCharType="end"/>
          </w:r>
        </w:p>
        <w:p w14:paraId="58952F1E">
          <w:pPr>
            <w:pStyle w:val="15"/>
            <w:keepNext w:val="0"/>
            <w:keepLines w:val="0"/>
            <w:pageBreakBefore w:val="0"/>
            <w:widowControl/>
            <w:tabs>
              <w:tab w:val="right" w:leader="dot" w:pos="8316"/>
            </w:tabs>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40"/>
            </w:rPr>
          </w:pPr>
        </w:p>
        <w:p w14:paraId="43A07028">
          <w:pPr>
            <w:pStyle w:val="15"/>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40"/>
            </w:rPr>
            <w:fldChar w:fldCharType="begin"/>
          </w:r>
          <w:r>
            <w:rPr>
              <w:rFonts w:hint="eastAsia" w:ascii="仿宋" w:hAnsi="仿宋" w:eastAsia="仿宋" w:cs="仿宋"/>
              <w:color w:val="auto"/>
              <w:spacing w:val="0"/>
              <w:w w:val="100"/>
              <w:position w:val="0"/>
              <w:sz w:val="28"/>
              <w:szCs w:val="40"/>
            </w:rPr>
            <w:instrText xml:space="preserve"> HYPERLINK \l _Toc28157 </w:instrText>
          </w:r>
          <w:r>
            <w:rPr>
              <w:rFonts w:hint="eastAsia" w:ascii="仿宋" w:hAnsi="仿宋" w:eastAsia="仿宋" w:cs="仿宋"/>
              <w:color w:val="auto"/>
              <w:spacing w:val="0"/>
              <w:w w:val="100"/>
              <w:position w:val="0"/>
              <w:sz w:val="28"/>
              <w:szCs w:val="40"/>
            </w:rPr>
            <w:fldChar w:fldCharType="separate"/>
          </w:r>
          <w:r>
            <w:rPr>
              <w:rFonts w:hint="eastAsia" w:ascii="仿宋" w:hAnsi="仿宋" w:eastAsia="仿宋" w:cs="仿宋"/>
              <w:bCs/>
              <w:color w:val="auto"/>
              <w:spacing w:val="0"/>
              <w:w w:val="100"/>
              <w:position w:val="0"/>
              <w:sz w:val="28"/>
              <w:szCs w:val="56"/>
            </w:rPr>
            <w:t>第四章 评标办法</w:t>
          </w:r>
          <w:r>
            <w:rPr>
              <w:rFonts w:hint="eastAsia" w:ascii="仿宋" w:hAnsi="仿宋" w:eastAsia="仿宋" w:cs="仿宋"/>
              <w:color w:val="auto"/>
              <w:spacing w:val="0"/>
              <w:w w:val="100"/>
              <w:position w:val="0"/>
              <w:sz w:val="28"/>
              <w:szCs w:val="28"/>
            </w:rPr>
            <w:tab/>
          </w: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 PAGEREF _Toc28157 \h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28"/>
            </w:rPr>
            <w:t>30</w:t>
          </w:r>
          <w:r>
            <w:rPr>
              <w:rFonts w:hint="eastAsia" w:ascii="仿宋" w:hAnsi="仿宋" w:eastAsia="仿宋" w:cs="仿宋"/>
              <w:color w:val="auto"/>
              <w:spacing w:val="0"/>
              <w:w w:val="100"/>
              <w:position w:val="0"/>
              <w:sz w:val="28"/>
              <w:szCs w:val="28"/>
            </w:rPr>
            <w:fldChar w:fldCharType="end"/>
          </w:r>
          <w:r>
            <w:rPr>
              <w:rFonts w:hint="eastAsia" w:ascii="仿宋" w:hAnsi="仿宋" w:eastAsia="仿宋" w:cs="仿宋"/>
              <w:color w:val="auto"/>
              <w:spacing w:val="0"/>
              <w:w w:val="100"/>
              <w:position w:val="0"/>
              <w:sz w:val="28"/>
              <w:szCs w:val="40"/>
            </w:rPr>
            <w:fldChar w:fldCharType="end"/>
          </w:r>
        </w:p>
        <w:p w14:paraId="5475F065">
          <w:pPr>
            <w:pStyle w:val="12"/>
            <w:keepNext w:val="0"/>
            <w:keepLines w:val="0"/>
            <w:pageBreakBefore w:val="0"/>
            <w:widowControl/>
            <w:tabs>
              <w:tab w:val="right" w:leader="dot" w:pos="8316"/>
            </w:tabs>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仿宋" w:hAnsi="仿宋" w:eastAsia="仿宋" w:cs="仿宋"/>
              <w:color w:val="auto"/>
              <w:spacing w:val="0"/>
              <w:w w:val="100"/>
              <w:position w:val="0"/>
              <w:sz w:val="28"/>
              <w:szCs w:val="40"/>
            </w:rPr>
          </w:pPr>
        </w:p>
        <w:p w14:paraId="3AE6CFC8">
          <w:pPr>
            <w:pStyle w:val="12"/>
            <w:pageBreakBefore w:val="0"/>
            <w:tabs>
              <w:tab w:val="right" w:leader="dot" w:pos="8316"/>
            </w:tabs>
            <w:kinsoku w:val="0"/>
            <w:wordWrap/>
            <w:overflowPunct/>
            <w:topLinePunct w:val="0"/>
            <w:bidi w:val="0"/>
            <w:adjustRightInd w:val="0"/>
            <w:snapToGrid w:val="0"/>
            <w:spacing w:line="360" w:lineRule="auto"/>
            <w:ind w:left="0" w:leftChars="0" w:right="0" w:rightChars="0" w:firstLine="0" w:firstLineChars="0"/>
            <w:textAlignment w:val="baseline"/>
            <w:rPr>
              <w:rFonts w:hint="eastAsia" w:ascii="仿宋" w:hAnsi="仿宋" w:eastAsia="仿宋" w:cs="仿宋"/>
              <w:color w:val="auto"/>
              <w:spacing w:val="0"/>
              <w:w w:val="100"/>
              <w:position w:val="0"/>
              <w:sz w:val="28"/>
              <w:szCs w:val="40"/>
            </w:rPr>
          </w:pPr>
          <w:r>
            <w:rPr>
              <w:rFonts w:hint="eastAsia" w:ascii="仿宋" w:hAnsi="仿宋" w:eastAsia="仿宋" w:cs="仿宋"/>
              <w:color w:val="auto"/>
              <w:spacing w:val="0"/>
              <w:w w:val="100"/>
              <w:position w:val="0"/>
              <w:sz w:val="28"/>
              <w:szCs w:val="40"/>
            </w:rPr>
            <w:fldChar w:fldCharType="begin"/>
          </w:r>
          <w:r>
            <w:rPr>
              <w:rFonts w:hint="eastAsia" w:ascii="仿宋" w:hAnsi="仿宋" w:eastAsia="仿宋" w:cs="仿宋"/>
              <w:color w:val="auto"/>
              <w:spacing w:val="0"/>
              <w:w w:val="100"/>
              <w:position w:val="0"/>
              <w:sz w:val="28"/>
              <w:szCs w:val="40"/>
            </w:rPr>
            <w:instrText xml:space="preserve"> HYPERLINK \l _Toc6589 </w:instrText>
          </w:r>
          <w:r>
            <w:rPr>
              <w:rFonts w:hint="eastAsia" w:ascii="仿宋" w:hAnsi="仿宋" w:eastAsia="仿宋" w:cs="仿宋"/>
              <w:color w:val="auto"/>
              <w:spacing w:val="0"/>
              <w:w w:val="100"/>
              <w:position w:val="0"/>
              <w:sz w:val="28"/>
              <w:szCs w:val="40"/>
            </w:rPr>
            <w:fldChar w:fldCharType="separate"/>
          </w:r>
          <w:r>
            <w:rPr>
              <w:rFonts w:hint="eastAsia" w:ascii="仿宋" w:hAnsi="仿宋" w:eastAsia="仿宋" w:cs="仿宋"/>
              <w:color w:val="auto"/>
              <w:spacing w:val="0"/>
              <w:w w:val="100"/>
              <w:position w:val="0"/>
              <w:sz w:val="28"/>
              <w:szCs w:val="28"/>
              <w:lang w:val="en-US" w:eastAsia="en-US"/>
            </w:rPr>
            <w:t>第五章</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框架协议</w:t>
          </w:r>
          <w:r>
            <w:rPr>
              <w:rFonts w:hint="eastAsia" w:ascii="仿宋" w:hAnsi="仿宋" w:eastAsia="仿宋" w:cs="仿宋"/>
              <w:color w:val="auto"/>
              <w:spacing w:val="0"/>
              <w:w w:val="100"/>
              <w:position w:val="0"/>
              <w:sz w:val="28"/>
              <w:szCs w:val="28"/>
            </w:rPr>
            <w:tab/>
          </w: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 PAGEREF _Toc6589 \h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28"/>
            </w:rPr>
            <w:t>37</w:t>
          </w:r>
          <w:r>
            <w:rPr>
              <w:rFonts w:hint="eastAsia" w:ascii="仿宋" w:hAnsi="仿宋" w:eastAsia="仿宋" w:cs="仿宋"/>
              <w:color w:val="auto"/>
              <w:spacing w:val="0"/>
              <w:w w:val="100"/>
              <w:position w:val="0"/>
              <w:sz w:val="28"/>
              <w:szCs w:val="28"/>
            </w:rPr>
            <w:fldChar w:fldCharType="end"/>
          </w:r>
          <w:r>
            <w:rPr>
              <w:rFonts w:hint="eastAsia" w:ascii="仿宋" w:hAnsi="仿宋" w:eastAsia="仿宋" w:cs="仿宋"/>
              <w:color w:val="auto"/>
              <w:spacing w:val="0"/>
              <w:w w:val="100"/>
              <w:position w:val="0"/>
              <w:sz w:val="28"/>
              <w:szCs w:val="40"/>
            </w:rPr>
            <w:fldChar w:fldCharType="end"/>
          </w:r>
        </w:p>
        <w:p w14:paraId="15D5DB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color w:val="auto"/>
              <w:spacing w:val="0"/>
              <w:w w:val="100"/>
              <w:position w:val="0"/>
            </w:rPr>
          </w:pPr>
        </w:p>
        <w:p w14:paraId="50E0030F">
          <w:pPr>
            <w:pStyle w:val="15"/>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color w:val="auto"/>
              <w:spacing w:val="0"/>
              <w:w w:val="100"/>
              <w:position w:val="0"/>
            </w:rPr>
          </w:pPr>
          <w:r>
            <w:rPr>
              <w:rFonts w:hint="eastAsia" w:ascii="仿宋" w:hAnsi="仿宋" w:eastAsia="仿宋" w:cs="仿宋"/>
              <w:color w:val="auto"/>
              <w:spacing w:val="0"/>
              <w:w w:val="100"/>
              <w:position w:val="0"/>
              <w:sz w:val="28"/>
              <w:szCs w:val="40"/>
            </w:rPr>
            <w:fldChar w:fldCharType="begin"/>
          </w:r>
          <w:r>
            <w:rPr>
              <w:rFonts w:hint="eastAsia" w:ascii="仿宋" w:hAnsi="仿宋" w:eastAsia="仿宋" w:cs="仿宋"/>
              <w:color w:val="auto"/>
              <w:spacing w:val="0"/>
              <w:w w:val="100"/>
              <w:position w:val="0"/>
              <w:sz w:val="28"/>
              <w:szCs w:val="40"/>
            </w:rPr>
            <w:instrText xml:space="preserve"> HYPERLINK \l _Toc16469 </w:instrText>
          </w:r>
          <w:r>
            <w:rPr>
              <w:rFonts w:hint="eastAsia" w:ascii="仿宋" w:hAnsi="仿宋" w:eastAsia="仿宋" w:cs="仿宋"/>
              <w:color w:val="auto"/>
              <w:spacing w:val="0"/>
              <w:w w:val="100"/>
              <w:position w:val="0"/>
              <w:sz w:val="28"/>
              <w:szCs w:val="40"/>
            </w:rPr>
            <w:fldChar w:fldCharType="separate"/>
          </w:r>
          <w:r>
            <w:rPr>
              <w:rFonts w:hint="eastAsia" w:ascii="仿宋" w:hAnsi="仿宋" w:eastAsia="仿宋" w:cs="仿宋"/>
              <w:bCs/>
              <w:color w:val="auto"/>
              <w:spacing w:val="0"/>
              <w:w w:val="100"/>
              <w:position w:val="0"/>
              <w:sz w:val="28"/>
              <w:szCs w:val="56"/>
              <w:lang w:val="en-US" w:eastAsia="en-US"/>
            </w:rPr>
            <w:t>第六章 响应文件格式</w:t>
          </w:r>
          <w:r>
            <w:rPr>
              <w:rFonts w:hint="eastAsia" w:ascii="仿宋" w:hAnsi="仿宋" w:eastAsia="仿宋" w:cs="仿宋"/>
              <w:color w:val="auto"/>
              <w:spacing w:val="0"/>
              <w:w w:val="100"/>
              <w:position w:val="0"/>
              <w:sz w:val="28"/>
              <w:szCs w:val="28"/>
            </w:rPr>
            <w:tab/>
          </w: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 PAGEREF _Toc16469 \h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28"/>
            </w:rPr>
            <w:t>47</w:t>
          </w:r>
          <w:r>
            <w:rPr>
              <w:rFonts w:hint="eastAsia" w:ascii="仿宋" w:hAnsi="仿宋" w:eastAsia="仿宋" w:cs="仿宋"/>
              <w:color w:val="auto"/>
              <w:spacing w:val="0"/>
              <w:w w:val="100"/>
              <w:position w:val="0"/>
              <w:sz w:val="28"/>
              <w:szCs w:val="28"/>
            </w:rPr>
            <w:fldChar w:fldCharType="end"/>
          </w:r>
          <w:r>
            <w:rPr>
              <w:rFonts w:hint="eastAsia" w:ascii="仿宋" w:hAnsi="仿宋" w:eastAsia="仿宋" w:cs="仿宋"/>
              <w:color w:val="auto"/>
              <w:spacing w:val="0"/>
              <w:w w:val="100"/>
              <w:position w:val="0"/>
              <w:sz w:val="28"/>
              <w:szCs w:val="40"/>
            </w:rPr>
            <w:fldChar w:fldCharType="end"/>
          </w:r>
        </w:p>
        <w:p w14:paraId="72E8684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snapToGrid w:val="0"/>
              <w:color w:val="auto"/>
              <w:spacing w:val="0"/>
              <w:w w:val="100"/>
              <w:kern w:val="0"/>
              <w:position w:val="0"/>
              <w:sz w:val="21"/>
              <w:szCs w:val="28"/>
              <w:lang w:val="en-US" w:eastAsia="en-US" w:bidi="ar-SA"/>
            </w:rPr>
          </w:pPr>
          <w:r>
            <w:rPr>
              <w:rFonts w:hint="eastAsia" w:ascii="仿宋" w:hAnsi="仿宋" w:eastAsia="仿宋" w:cs="仿宋"/>
              <w:color w:val="auto"/>
              <w:spacing w:val="0"/>
              <w:w w:val="100"/>
              <w:position w:val="0"/>
              <w:szCs w:val="28"/>
            </w:rPr>
            <w:fldChar w:fldCharType="end"/>
          </w:r>
        </w:p>
      </w:sdtContent>
    </w:sdt>
    <w:p w14:paraId="19EBC5A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snapToGrid w:val="0"/>
          <w:color w:val="auto"/>
          <w:spacing w:val="0"/>
          <w:w w:val="100"/>
          <w:kern w:val="0"/>
          <w:position w:val="0"/>
          <w:sz w:val="21"/>
          <w:szCs w:val="28"/>
          <w:lang w:val="en-US" w:eastAsia="en-US" w:bidi="ar-SA"/>
        </w:rPr>
        <w:sectPr>
          <w:footerReference r:id="rId6" w:type="default"/>
          <w:pgSz w:w="11922" w:h="16849"/>
          <w:pgMar w:top="1440" w:right="1803" w:bottom="1440" w:left="1803" w:header="1134" w:footer="1253" w:gutter="0"/>
          <w:pgNumType w:fmt="decimal"/>
          <w:cols w:space="0" w:num="1"/>
          <w:rtlGutter w:val="0"/>
          <w:docGrid w:linePitch="0" w:charSpace="0"/>
        </w:sectPr>
      </w:pPr>
    </w:p>
    <w:p w14:paraId="03851AD2">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color w:val="auto"/>
          <w:spacing w:val="0"/>
          <w:w w:val="100"/>
          <w:position w:val="0"/>
          <w:sz w:val="28"/>
          <w:szCs w:val="28"/>
        </w:rPr>
      </w:pPr>
      <w:bookmarkStart w:id="0" w:name="_Toc13141"/>
      <w:r>
        <w:rPr>
          <w:rFonts w:hint="eastAsia" w:ascii="华文中宋" w:hAnsi="华文中宋" w:eastAsia="华文中宋" w:cs="华文中宋"/>
          <w:b/>
          <w:bCs/>
          <w:color w:val="auto"/>
          <w:spacing w:val="0"/>
          <w:w w:val="100"/>
          <w:position w:val="0"/>
          <w:sz w:val="44"/>
          <w:szCs w:val="44"/>
        </w:rPr>
        <w:t>第一章 征集公告</w:t>
      </w:r>
      <w:bookmarkEnd w:id="0"/>
    </w:p>
    <w:p w14:paraId="36DDF9F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rPr>
      </w:pPr>
      <w:r>
        <w:rPr>
          <w:rFonts w:hint="eastAsia" w:ascii="黑体" w:hAnsi="黑体" w:eastAsia="黑体" w:cs="黑体"/>
          <w:color w:val="auto"/>
          <w:spacing w:val="0"/>
          <w:w w:val="100"/>
          <w:position w:val="0"/>
          <w:sz w:val="28"/>
          <w:szCs w:val="28"/>
        </w:rPr>
        <w:t>一、项目基本情况</w:t>
      </w:r>
    </w:p>
    <w:p w14:paraId="674A90A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1.项目名称：</w:t>
      </w:r>
      <w:r>
        <w:rPr>
          <w:rFonts w:hint="eastAsia" w:ascii="仿宋" w:hAnsi="仿宋" w:eastAsia="仿宋" w:cs="仿宋"/>
          <w:color w:val="auto"/>
          <w:spacing w:val="0"/>
          <w:w w:val="100"/>
          <w:position w:val="0"/>
          <w:sz w:val="28"/>
          <w:szCs w:val="28"/>
          <w:lang w:eastAsia="zh-CN"/>
        </w:rPr>
        <w:t>颍东区机关事务管理中心公务用车定点保险项目（三次）</w:t>
      </w:r>
      <w:r>
        <w:rPr>
          <w:rFonts w:hint="eastAsia" w:ascii="仿宋" w:hAnsi="仿宋" w:eastAsia="仿宋" w:cs="仿宋"/>
          <w:color w:val="auto"/>
          <w:spacing w:val="0"/>
          <w:w w:val="100"/>
          <w:position w:val="0"/>
          <w:sz w:val="28"/>
          <w:szCs w:val="28"/>
        </w:rPr>
        <w:t xml:space="preserve"> </w:t>
      </w:r>
    </w:p>
    <w:p w14:paraId="61CFCE2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default"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rPr>
        <w:t>2.项目编号：</w:t>
      </w:r>
      <w:r>
        <w:rPr>
          <w:rFonts w:hint="eastAsia" w:ascii="仿宋" w:hAnsi="仿宋" w:eastAsia="仿宋" w:cs="仿宋"/>
          <w:color w:val="auto"/>
          <w:spacing w:val="0"/>
          <w:w w:val="100"/>
          <w:position w:val="0"/>
          <w:sz w:val="28"/>
          <w:szCs w:val="28"/>
          <w:lang w:eastAsia="zh-CN"/>
        </w:rPr>
        <w:t>KJXY202508210480-Z</w:t>
      </w:r>
      <w:r>
        <w:rPr>
          <w:rFonts w:hint="eastAsia" w:ascii="仿宋" w:hAnsi="仿宋" w:eastAsia="仿宋" w:cs="仿宋"/>
          <w:color w:val="auto"/>
          <w:spacing w:val="0"/>
          <w:w w:val="100"/>
          <w:position w:val="0"/>
          <w:sz w:val="28"/>
          <w:szCs w:val="28"/>
          <w:lang w:val="en-US" w:eastAsia="zh-CN"/>
        </w:rPr>
        <w:t xml:space="preserve">2 </w:t>
      </w:r>
    </w:p>
    <w:p w14:paraId="425AF2E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3.采购需求：对颍东区公务用车定点保险</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详见采购需求。</w:t>
      </w:r>
    </w:p>
    <w:p w14:paraId="1409041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4.适用本次采购框架协议的征集人或服务对象：</w:t>
      </w:r>
      <w:r>
        <w:rPr>
          <w:rFonts w:hint="eastAsia" w:ascii="仿宋" w:hAnsi="仿宋" w:eastAsia="仿宋" w:cs="仿宋"/>
          <w:color w:val="auto"/>
          <w:spacing w:val="0"/>
          <w:w w:val="100"/>
          <w:position w:val="0"/>
          <w:sz w:val="28"/>
          <w:szCs w:val="28"/>
          <w:lang w:eastAsia="zh-CN"/>
        </w:rPr>
        <w:t>阜阳市颍东区机关事务管理服务中心</w:t>
      </w:r>
      <w:r>
        <w:rPr>
          <w:rFonts w:hint="eastAsia" w:ascii="仿宋" w:hAnsi="仿宋" w:eastAsia="仿宋" w:cs="仿宋"/>
          <w:color w:val="auto"/>
          <w:spacing w:val="0"/>
          <w:w w:val="100"/>
          <w:position w:val="0"/>
          <w:sz w:val="28"/>
          <w:szCs w:val="28"/>
          <w:lang w:val="en-US" w:eastAsia="zh-CN"/>
        </w:rPr>
        <w:t>及全区公务用车单位定点</w:t>
      </w:r>
      <w:r>
        <w:rPr>
          <w:rFonts w:hint="eastAsia" w:ascii="仿宋" w:hAnsi="仿宋" w:eastAsia="仿宋" w:cs="仿宋"/>
          <w:color w:val="auto"/>
          <w:spacing w:val="0"/>
          <w:w w:val="100"/>
          <w:position w:val="0"/>
          <w:sz w:val="28"/>
          <w:szCs w:val="28"/>
          <w:lang w:eastAsia="zh-CN"/>
        </w:rPr>
        <w:t>使用。</w:t>
      </w:r>
    </w:p>
    <w:p w14:paraId="52637B2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5.框架协议期限：自框架协议签订之日起 2 年，</w:t>
      </w:r>
      <w:r>
        <w:rPr>
          <w:rFonts w:hint="eastAsia" w:ascii="仿宋" w:hAnsi="仿宋" w:eastAsia="仿宋" w:cs="仿宋"/>
          <w:color w:val="auto"/>
          <w:spacing w:val="0"/>
          <w:w w:val="100"/>
          <w:position w:val="0"/>
          <w:sz w:val="28"/>
          <w:szCs w:val="28"/>
          <w:lang w:eastAsia="zh-CN"/>
        </w:rPr>
        <w:t>（合同一年一签，一年一保，一年合同服务期结束后，征集人根据成交供应商在服务期间的履约情况，选择是否续签合同）。成交供应商在成交后五日内做好应承保车辆具体情况的登记、测算和承保工作。</w:t>
      </w:r>
      <w:r>
        <w:rPr>
          <w:rFonts w:hint="eastAsia" w:ascii="仿宋" w:hAnsi="仿宋" w:eastAsia="仿宋" w:cs="仿宋"/>
          <w:color w:val="auto"/>
          <w:spacing w:val="0"/>
          <w:w w:val="100"/>
          <w:position w:val="0"/>
          <w:sz w:val="28"/>
          <w:szCs w:val="28"/>
        </w:rPr>
        <w:t xml:space="preserve"> </w:t>
      </w:r>
    </w:p>
    <w:p w14:paraId="2709EB8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6.资金来源：财政资金</w:t>
      </w:r>
    </w:p>
    <w:p w14:paraId="4F0E2E1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7.标段划分：共分1个标段</w:t>
      </w:r>
    </w:p>
    <w:p w14:paraId="32EBBD5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8.本项目是否接受联合体：否</w:t>
      </w:r>
    </w:p>
    <w:p w14:paraId="4FC05A4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9.最高限制单价：新能源车型、燃油车型：费率75%</w:t>
      </w:r>
    </w:p>
    <w:p w14:paraId="440B9EA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rPr>
      </w:pPr>
      <w:r>
        <w:rPr>
          <w:rFonts w:hint="eastAsia" w:ascii="黑体" w:hAnsi="黑体" w:eastAsia="黑体" w:cs="黑体"/>
          <w:color w:val="auto"/>
          <w:spacing w:val="0"/>
          <w:w w:val="100"/>
          <w:position w:val="0"/>
          <w:sz w:val="28"/>
          <w:szCs w:val="28"/>
        </w:rPr>
        <w:t>二、 申请人的资格要求：</w:t>
      </w:r>
    </w:p>
    <w:p w14:paraId="04FB768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1.满足《中华人民共和国政府采购法》第二十二条规定；</w:t>
      </w:r>
    </w:p>
    <w:p w14:paraId="79EB26E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2.落实政府采购政策需满足的资格要求：本项目符合财政部、工业和信息化部制定的《政府采购促进中小企业发展管理办法》第六条第</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4</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款之规定：框架协议采购项目。因此，本项目不专门面向中小企业采购。如对此项内容有疑问，可通过电子交易系统在线提出或书面方式向</w:t>
      </w:r>
      <w:r>
        <w:rPr>
          <w:rFonts w:hint="eastAsia" w:ascii="仿宋" w:hAnsi="仿宋" w:eastAsia="仿宋" w:cs="仿宋"/>
          <w:color w:val="auto"/>
          <w:spacing w:val="0"/>
          <w:w w:val="100"/>
          <w:position w:val="0"/>
          <w:sz w:val="28"/>
          <w:szCs w:val="28"/>
          <w:lang w:val="en-US" w:eastAsia="zh-CN"/>
        </w:rPr>
        <w:t>采购</w:t>
      </w:r>
      <w:r>
        <w:rPr>
          <w:rFonts w:hint="eastAsia" w:ascii="仿宋" w:hAnsi="仿宋" w:eastAsia="仿宋" w:cs="仿宋"/>
          <w:color w:val="auto"/>
          <w:spacing w:val="0"/>
          <w:w w:val="100"/>
          <w:position w:val="0"/>
          <w:sz w:val="28"/>
          <w:szCs w:val="28"/>
          <w:lang w:eastAsia="zh-CN"/>
        </w:rPr>
        <w:t>代理机构或征集人提出询问或质疑。</w:t>
      </w:r>
    </w:p>
    <w:p w14:paraId="27C8EE7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3.本项目的特定资格要求：</w:t>
      </w:r>
      <w:r>
        <w:rPr>
          <w:rFonts w:hint="eastAsia" w:ascii="仿宋" w:hAnsi="仿宋" w:eastAsia="仿宋" w:cs="仿宋"/>
          <w:color w:val="auto"/>
          <w:spacing w:val="0"/>
          <w:w w:val="100"/>
          <w:position w:val="0"/>
          <w:sz w:val="28"/>
          <w:szCs w:val="28"/>
          <w:lang w:val="en-US" w:eastAsia="zh-CN"/>
        </w:rPr>
        <w:t>供应商</w:t>
      </w:r>
      <w:r>
        <w:rPr>
          <w:rFonts w:hint="eastAsia" w:ascii="仿宋" w:hAnsi="仿宋" w:eastAsia="仿宋" w:cs="仿宋"/>
          <w:color w:val="auto"/>
          <w:spacing w:val="0"/>
          <w:w w:val="100"/>
          <w:position w:val="0"/>
          <w:sz w:val="28"/>
          <w:szCs w:val="28"/>
          <w:lang w:eastAsia="zh-CN"/>
        </w:rPr>
        <w:t>具有</w:t>
      </w:r>
      <w:r>
        <w:rPr>
          <w:rFonts w:hint="eastAsia" w:ascii="仿宋" w:hAnsi="仿宋" w:eastAsia="仿宋" w:cs="仿宋"/>
          <w:color w:val="auto"/>
          <w:spacing w:val="0"/>
          <w:w w:val="100"/>
          <w:position w:val="0"/>
          <w:sz w:val="28"/>
          <w:szCs w:val="28"/>
          <w:lang w:val="en-US" w:eastAsia="zh-CN"/>
        </w:rPr>
        <w:t>有效的</w:t>
      </w:r>
      <w:r>
        <w:rPr>
          <w:rFonts w:hint="eastAsia" w:ascii="仿宋" w:hAnsi="仿宋" w:eastAsia="仿宋" w:cs="仿宋"/>
          <w:color w:val="auto"/>
          <w:spacing w:val="0"/>
          <w:w w:val="100"/>
          <w:position w:val="0"/>
          <w:sz w:val="28"/>
          <w:szCs w:val="28"/>
          <w:lang w:eastAsia="zh-CN"/>
        </w:rPr>
        <w:t>《经营保险业务许可证》，如为省、市、县级分支机构投标提供其总公司授权分支机构参加本项目投标的授权书（格式自拟）。</w:t>
      </w:r>
    </w:p>
    <w:p w14:paraId="06164EC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注:一家保险公司只能授权其一个分支机构参与本项目投标。</w:t>
      </w:r>
    </w:p>
    <w:p w14:paraId="4ACEC3C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rPr>
      </w:pPr>
      <w:r>
        <w:rPr>
          <w:rFonts w:hint="eastAsia" w:ascii="黑体" w:hAnsi="黑体" w:eastAsia="黑体" w:cs="黑体"/>
          <w:color w:val="auto"/>
          <w:spacing w:val="0"/>
          <w:w w:val="100"/>
          <w:position w:val="0"/>
          <w:sz w:val="28"/>
          <w:szCs w:val="28"/>
        </w:rPr>
        <w:t>三、获取征集文件</w:t>
      </w:r>
    </w:p>
    <w:p w14:paraId="0CCE484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1.时间：2025</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年</w:t>
      </w:r>
      <w:r>
        <w:rPr>
          <w:rFonts w:hint="eastAsia" w:ascii="仿宋" w:hAnsi="仿宋" w:eastAsia="仿宋" w:cs="仿宋"/>
          <w:color w:val="auto"/>
          <w:spacing w:val="0"/>
          <w:w w:val="100"/>
          <w:position w:val="0"/>
          <w:sz w:val="28"/>
          <w:szCs w:val="28"/>
          <w:lang w:val="en-US" w:eastAsia="zh-CN"/>
        </w:rPr>
        <w:t xml:space="preserve"> 10 </w:t>
      </w:r>
      <w:r>
        <w:rPr>
          <w:rFonts w:hint="eastAsia" w:ascii="仿宋" w:hAnsi="仿宋" w:eastAsia="仿宋" w:cs="仿宋"/>
          <w:color w:val="auto"/>
          <w:spacing w:val="0"/>
          <w:w w:val="100"/>
          <w:position w:val="0"/>
          <w:sz w:val="28"/>
          <w:szCs w:val="28"/>
          <w:lang w:eastAsia="zh-CN"/>
        </w:rPr>
        <w:t>月</w:t>
      </w:r>
      <w:r>
        <w:rPr>
          <w:rFonts w:hint="eastAsia" w:ascii="仿宋" w:hAnsi="仿宋" w:eastAsia="仿宋" w:cs="仿宋"/>
          <w:color w:val="auto"/>
          <w:spacing w:val="0"/>
          <w:w w:val="100"/>
          <w:position w:val="0"/>
          <w:sz w:val="28"/>
          <w:szCs w:val="28"/>
          <w:lang w:val="en-US" w:eastAsia="zh-CN"/>
        </w:rPr>
        <w:t xml:space="preserve"> 13 </w:t>
      </w:r>
      <w:r>
        <w:rPr>
          <w:rFonts w:hint="eastAsia" w:ascii="仿宋" w:hAnsi="仿宋" w:eastAsia="仿宋" w:cs="仿宋"/>
          <w:color w:val="auto"/>
          <w:spacing w:val="0"/>
          <w:w w:val="100"/>
          <w:position w:val="0"/>
          <w:sz w:val="28"/>
          <w:szCs w:val="28"/>
          <w:lang w:eastAsia="zh-CN"/>
        </w:rPr>
        <w:t>日至</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2025</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年</w:t>
      </w:r>
      <w:r>
        <w:rPr>
          <w:rFonts w:hint="eastAsia" w:ascii="仿宋" w:hAnsi="仿宋" w:eastAsia="仿宋" w:cs="仿宋"/>
          <w:color w:val="auto"/>
          <w:spacing w:val="0"/>
          <w:w w:val="100"/>
          <w:position w:val="0"/>
          <w:sz w:val="28"/>
          <w:szCs w:val="28"/>
          <w:lang w:val="en-US" w:eastAsia="zh-CN"/>
        </w:rPr>
        <w:t xml:space="preserve"> 11 </w:t>
      </w:r>
      <w:r>
        <w:rPr>
          <w:rFonts w:hint="eastAsia" w:ascii="仿宋" w:hAnsi="仿宋" w:eastAsia="仿宋" w:cs="仿宋"/>
          <w:color w:val="auto"/>
          <w:spacing w:val="0"/>
          <w:w w:val="100"/>
          <w:position w:val="0"/>
          <w:sz w:val="28"/>
          <w:szCs w:val="28"/>
          <w:lang w:eastAsia="zh-CN"/>
        </w:rPr>
        <w:t>月</w:t>
      </w:r>
      <w:r>
        <w:rPr>
          <w:rFonts w:hint="eastAsia" w:ascii="仿宋" w:hAnsi="仿宋" w:eastAsia="仿宋" w:cs="仿宋"/>
          <w:color w:val="auto"/>
          <w:spacing w:val="0"/>
          <w:w w:val="100"/>
          <w:position w:val="0"/>
          <w:sz w:val="28"/>
          <w:szCs w:val="28"/>
          <w:lang w:val="en-US" w:eastAsia="zh-CN"/>
        </w:rPr>
        <w:t xml:space="preserve"> 4</w:t>
      </w:r>
      <w:bookmarkStart w:id="45" w:name="_GoBack"/>
      <w:bookmarkEnd w:id="45"/>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日，每天上午00:00</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至 12:00，下午</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12:00</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至</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23:59（北京时间，法定节假日除外）。</w:t>
      </w:r>
    </w:p>
    <w:p w14:paraId="1C82E3E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2.地点：“徽采云”电子交易系统。</w:t>
      </w:r>
    </w:p>
    <w:p w14:paraId="41B5C8F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3.方式：供应商登录“徽采云”电子交易系统在线获取征集文件。</w:t>
      </w:r>
    </w:p>
    <w:p w14:paraId="269781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rPr>
      </w:pPr>
      <w:r>
        <w:rPr>
          <w:rFonts w:hint="eastAsia" w:ascii="黑体" w:hAnsi="黑体" w:eastAsia="黑体" w:cs="黑体"/>
          <w:color w:val="auto"/>
          <w:spacing w:val="0"/>
          <w:w w:val="100"/>
          <w:position w:val="0"/>
          <w:sz w:val="28"/>
          <w:szCs w:val="28"/>
        </w:rPr>
        <w:t>四、提交征集响应文件截止时间、开标时间和地点</w:t>
      </w:r>
    </w:p>
    <w:p w14:paraId="132E301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1.响应文件提交截止时间：202</w:t>
      </w:r>
      <w:r>
        <w:rPr>
          <w:rFonts w:hint="eastAsia" w:ascii="仿宋" w:hAnsi="仿宋" w:eastAsia="仿宋" w:cs="仿宋"/>
          <w:color w:val="auto"/>
          <w:spacing w:val="0"/>
          <w:w w:val="100"/>
          <w:position w:val="0"/>
          <w:sz w:val="28"/>
          <w:szCs w:val="28"/>
          <w:lang w:val="en-US" w:eastAsia="zh-CN"/>
        </w:rPr>
        <w:t>5</w:t>
      </w:r>
      <w:r>
        <w:rPr>
          <w:rFonts w:hint="eastAsia" w:ascii="仿宋" w:hAnsi="仿宋" w:eastAsia="仿宋" w:cs="仿宋"/>
          <w:color w:val="auto"/>
          <w:spacing w:val="0"/>
          <w:w w:val="100"/>
          <w:position w:val="0"/>
          <w:sz w:val="28"/>
          <w:szCs w:val="28"/>
          <w:lang w:eastAsia="zh-CN"/>
        </w:rPr>
        <w:t>年</w:t>
      </w:r>
      <w:r>
        <w:rPr>
          <w:rFonts w:hint="eastAsia" w:ascii="仿宋" w:hAnsi="仿宋" w:eastAsia="仿宋" w:cs="仿宋"/>
          <w:color w:val="auto"/>
          <w:spacing w:val="0"/>
          <w:w w:val="100"/>
          <w:position w:val="0"/>
          <w:sz w:val="28"/>
          <w:szCs w:val="28"/>
          <w:lang w:val="en-US" w:eastAsia="zh-CN"/>
        </w:rPr>
        <w:t xml:space="preserve"> 11 </w:t>
      </w:r>
      <w:r>
        <w:rPr>
          <w:rFonts w:hint="eastAsia" w:ascii="仿宋" w:hAnsi="仿宋" w:eastAsia="仿宋" w:cs="仿宋"/>
          <w:color w:val="auto"/>
          <w:spacing w:val="0"/>
          <w:w w:val="100"/>
          <w:position w:val="0"/>
          <w:sz w:val="28"/>
          <w:szCs w:val="28"/>
          <w:lang w:eastAsia="zh-CN"/>
        </w:rPr>
        <w:t>月</w:t>
      </w:r>
      <w:r>
        <w:rPr>
          <w:rFonts w:hint="eastAsia" w:ascii="仿宋" w:hAnsi="仿宋" w:eastAsia="仿宋" w:cs="仿宋"/>
          <w:color w:val="auto"/>
          <w:spacing w:val="0"/>
          <w:w w:val="100"/>
          <w:position w:val="0"/>
          <w:sz w:val="28"/>
          <w:szCs w:val="28"/>
          <w:lang w:val="en-US" w:eastAsia="zh-CN"/>
        </w:rPr>
        <w:t xml:space="preserve"> 4 </w:t>
      </w:r>
      <w:r>
        <w:rPr>
          <w:rFonts w:hint="eastAsia" w:ascii="仿宋" w:hAnsi="仿宋" w:eastAsia="仿宋" w:cs="仿宋"/>
          <w:color w:val="auto"/>
          <w:spacing w:val="0"/>
          <w:w w:val="100"/>
          <w:position w:val="0"/>
          <w:sz w:val="28"/>
          <w:szCs w:val="28"/>
          <w:lang w:eastAsia="zh-CN"/>
        </w:rPr>
        <w:t>日</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09:00</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(北京时间)。</w:t>
      </w:r>
    </w:p>
    <w:p w14:paraId="154002C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2.响应文件提交地点（网址）：请登录“徽采云”投标客户端投标。</w:t>
      </w:r>
    </w:p>
    <w:p w14:paraId="1623FA8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3.响应文件开启时间：202</w:t>
      </w:r>
      <w:r>
        <w:rPr>
          <w:rFonts w:hint="eastAsia" w:ascii="仿宋" w:hAnsi="仿宋" w:eastAsia="仿宋" w:cs="仿宋"/>
          <w:color w:val="auto"/>
          <w:spacing w:val="0"/>
          <w:w w:val="100"/>
          <w:position w:val="0"/>
          <w:sz w:val="28"/>
          <w:szCs w:val="28"/>
          <w:lang w:val="en-US" w:eastAsia="zh-CN"/>
        </w:rPr>
        <w:t>5</w:t>
      </w:r>
      <w:r>
        <w:rPr>
          <w:rFonts w:hint="eastAsia" w:ascii="仿宋" w:hAnsi="仿宋" w:eastAsia="仿宋" w:cs="仿宋"/>
          <w:color w:val="auto"/>
          <w:spacing w:val="0"/>
          <w:w w:val="100"/>
          <w:position w:val="0"/>
          <w:sz w:val="28"/>
          <w:szCs w:val="28"/>
          <w:lang w:eastAsia="zh-CN"/>
        </w:rPr>
        <w:t>年</w:t>
      </w:r>
      <w:r>
        <w:rPr>
          <w:rFonts w:hint="eastAsia" w:ascii="仿宋" w:hAnsi="仿宋" w:eastAsia="仿宋" w:cs="仿宋"/>
          <w:color w:val="auto"/>
          <w:spacing w:val="0"/>
          <w:w w:val="100"/>
          <w:position w:val="0"/>
          <w:sz w:val="28"/>
          <w:szCs w:val="28"/>
          <w:lang w:val="en-US" w:eastAsia="zh-CN"/>
        </w:rPr>
        <w:t xml:space="preserve"> 11 </w:t>
      </w:r>
      <w:r>
        <w:rPr>
          <w:rFonts w:hint="eastAsia" w:ascii="仿宋" w:hAnsi="仿宋" w:eastAsia="仿宋" w:cs="仿宋"/>
          <w:color w:val="auto"/>
          <w:spacing w:val="0"/>
          <w:w w:val="100"/>
          <w:position w:val="0"/>
          <w:sz w:val="28"/>
          <w:szCs w:val="28"/>
          <w:lang w:eastAsia="zh-CN"/>
        </w:rPr>
        <w:t>月</w:t>
      </w:r>
      <w:r>
        <w:rPr>
          <w:rFonts w:hint="eastAsia" w:ascii="仿宋" w:hAnsi="仿宋" w:eastAsia="仿宋" w:cs="仿宋"/>
          <w:color w:val="auto"/>
          <w:spacing w:val="0"/>
          <w:w w:val="100"/>
          <w:position w:val="0"/>
          <w:sz w:val="28"/>
          <w:szCs w:val="28"/>
          <w:lang w:val="en-US" w:eastAsia="zh-CN"/>
        </w:rPr>
        <w:t xml:space="preserve"> 4 </w:t>
      </w:r>
      <w:r>
        <w:rPr>
          <w:rFonts w:hint="eastAsia" w:ascii="仿宋" w:hAnsi="仿宋" w:eastAsia="仿宋" w:cs="仿宋"/>
          <w:color w:val="auto"/>
          <w:spacing w:val="0"/>
          <w:w w:val="100"/>
          <w:position w:val="0"/>
          <w:sz w:val="28"/>
          <w:szCs w:val="28"/>
          <w:lang w:eastAsia="zh-CN"/>
        </w:rPr>
        <w:t>日09:00（北京时间）。</w:t>
      </w:r>
    </w:p>
    <w:p w14:paraId="1C1C23D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4.响应文件开启地点：阜阳市公共资源交易中心开标</w:t>
      </w:r>
      <w:r>
        <w:rPr>
          <w:rFonts w:hint="eastAsia" w:ascii="仿宋" w:hAnsi="仿宋" w:eastAsia="仿宋" w:cs="仿宋"/>
          <w:color w:val="auto"/>
          <w:spacing w:val="0"/>
          <w:w w:val="100"/>
          <w:position w:val="0"/>
          <w:sz w:val="28"/>
          <w:szCs w:val="28"/>
          <w:lang w:val="en-US" w:eastAsia="zh-CN"/>
        </w:rPr>
        <w:t xml:space="preserve"> 3 </w:t>
      </w:r>
      <w:r>
        <w:rPr>
          <w:rFonts w:hint="eastAsia" w:ascii="仿宋" w:hAnsi="仿宋" w:eastAsia="仿宋" w:cs="仿宋"/>
          <w:color w:val="auto"/>
          <w:spacing w:val="0"/>
          <w:w w:val="100"/>
          <w:position w:val="0"/>
          <w:sz w:val="28"/>
          <w:szCs w:val="28"/>
          <w:lang w:eastAsia="zh-CN"/>
        </w:rPr>
        <w:t>室（</w:t>
      </w:r>
      <w:r>
        <w:rPr>
          <w:rFonts w:hint="eastAsia" w:ascii="仿宋" w:hAnsi="仿宋" w:eastAsia="仿宋" w:cs="仿宋"/>
          <w:color w:val="auto"/>
          <w:spacing w:val="0"/>
          <w:w w:val="100"/>
          <w:position w:val="0"/>
          <w:sz w:val="28"/>
          <w:szCs w:val="28"/>
          <w:lang w:val="en-US" w:eastAsia="zh-CN"/>
        </w:rPr>
        <w:t>阜阳市</w:t>
      </w:r>
      <w:r>
        <w:rPr>
          <w:rFonts w:hint="eastAsia" w:ascii="仿宋" w:hAnsi="仿宋" w:eastAsia="仿宋" w:cs="仿宋"/>
          <w:color w:val="auto"/>
          <w:spacing w:val="0"/>
          <w:w w:val="100"/>
          <w:position w:val="0"/>
          <w:sz w:val="28"/>
          <w:szCs w:val="28"/>
          <w:lang w:eastAsia="zh-CN"/>
        </w:rPr>
        <w:t>城南新区三清路</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666</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号阜阳市民中心五楼）。</w:t>
      </w:r>
    </w:p>
    <w:p w14:paraId="0C5C7BD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rPr>
      </w:pPr>
      <w:r>
        <w:rPr>
          <w:rFonts w:hint="eastAsia" w:ascii="黑体" w:hAnsi="黑体" w:eastAsia="黑体" w:cs="黑体"/>
          <w:color w:val="auto"/>
          <w:spacing w:val="0"/>
          <w:w w:val="100"/>
          <w:position w:val="0"/>
          <w:sz w:val="28"/>
          <w:szCs w:val="28"/>
        </w:rPr>
        <w:t>五、公告期限</w:t>
      </w:r>
    </w:p>
    <w:p w14:paraId="17376A9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自本公告发布之日起 5 个工作日。</w:t>
      </w:r>
    </w:p>
    <w:p w14:paraId="46F996E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rPr>
      </w:pPr>
      <w:r>
        <w:rPr>
          <w:rFonts w:hint="eastAsia" w:ascii="黑体" w:hAnsi="黑体" w:eastAsia="黑体" w:cs="黑体"/>
          <w:color w:val="auto"/>
          <w:spacing w:val="0"/>
          <w:w w:val="100"/>
          <w:position w:val="0"/>
          <w:sz w:val="28"/>
          <w:szCs w:val="28"/>
        </w:rPr>
        <w:t>六、其他补充事宜</w:t>
      </w:r>
    </w:p>
    <w:p w14:paraId="77EE5DE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1.本次征集公告在安徽省政府采购网</w:t>
      </w:r>
      <w:r>
        <w:rPr>
          <w:rFonts w:hint="eastAsia" w:ascii="仿宋" w:hAnsi="仿宋" w:eastAsia="仿宋" w:cs="仿宋"/>
          <w:color w:val="auto"/>
          <w:spacing w:val="0"/>
          <w:w w:val="100"/>
          <w:position w:val="0"/>
          <w:sz w:val="28"/>
          <w:szCs w:val="28"/>
          <w:lang w:eastAsia="zh-CN"/>
        </w:rPr>
        <w:fldChar w:fldCharType="begin"/>
      </w:r>
      <w:r>
        <w:rPr>
          <w:rFonts w:hint="eastAsia" w:ascii="仿宋" w:hAnsi="仿宋" w:eastAsia="仿宋" w:cs="仿宋"/>
          <w:color w:val="auto"/>
          <w:spacing w:val="0"/>
          <w:w w:val="100"/>
          <w:position w:val="0"/>
          <w:sz w:val="28"/>
          <w:szCs w:val="28"/>
          <w:lang w:eastAsia="zh-CN"/>
        </w:rPr>
        <w:instrText xml:space="preserve"> HYPERLINK "http://www.ccgp-anhui.gov.cn/" </w:instrText>
      </w:r>
      <w:r>
        <w:rPr>
          <w:rFonts w:hint="eastAsia" w:ascii="仿宋" w:hAnsi="仿宋" w:eastAsia="仿宋" w:cs="仿宋"/>
          <w:color w:val="auto"/>
          <w:spacing w:val="0"/>
          <w:w w:val="100"/>
          <w:position w:val="0"/>
          <w:sz w:val="28"/>
          <w:szCs w:val="28"/>
          <w:lang w:eastAsia="zh-CN"/>
        </w:rPr>
        <w:fldChar w:fldCharType="separate"/>
      </w:r>
      <w:r>
        <w:rPr>
          <w:rFonts w:hint="eastAsia" w:ascii="仿宋" w:hAnsi="仿宋" w:eastAsia="仿宋" w:cs="仿宋"/>
          <w:color w:val="auto"/>
          <w:spacing w:val="0"/>
          <w:w w:val="100"/>
          <w:position w:val="0"/>
          <w:sz w:val="28"/>
          <w:szCs w:val="28"/>
          <w:lang w:eastAsia="zh-CN"/>
        </w:rPr>
        <w:t>(www.ccgp-anhui.gov.cn</w:t>
      </w:r>
      <w:r>
        <w:rPr>
          <w:rFonts w:hint="eastAsia" w:ascii="仿宋" w:hAnsi="仿宋" w:eastAsia="仿宋" w:cs="仿宋"/>
          <w:color w:val="auto"/>
          <w:spacing w:val="0"/>
          <w:w w:val="100"/>
          <w:position w:val="0"/>
          <w:sz w:val="28"/>
          <w:szCs w:val="28"/>
          <w:lang w:eastAsia="zh-CN"/>
        </w:rPr>
        <w:fldChar w:fldCharType="end"/>
      </w:r>
      <w:r>
        <w:rPr>
          <w:rFonts w:hint="eastAsia" w:ascii="仿宋" w:hAnsi="仿宋" w:eastAsia="仿宋" w:cs="仿宋"/>
          <w:color w:val="auto"/>
          <w:spacing w:val="0"/>
          <w:w w:val="100"/>
          <w:position w:val="0"/>
          <w:sz w:val="28"/>
          <w:szCs w:val="28"/>
          <w:lang w:eastAsia="zh-CN"/>
        </w:rPr>
        <w:t>)上发布。</w:t>
      </w:r>
    </w:p>
    <w:p w14:paraId="3DACA03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2.服务商应合理安排征集文件获取时间，如果因计算机及网络故障造成无法完成征集文件获取，责任自负。</w:t>
      </w:r>
    </w:p>
    <w:p w14:paraId="65C2832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3.本项目实施全流程电子化交易，响应文件实施网上远程解密，服务商无需前往开标现场。网上响应请各供应商登录安徽省政府采购网查看教学视频，咨询电话：0558-95763。</w:t>
      </w:r>
    </w:p>
    <w:p w14:paraId="1A42F13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4.本项目需落实的节能环保、中小微型企业扶持等相关政府采购政策详见征集文件。</w:t>
      </w:r>
    </w:p>
    <w:p w14:paraId="12CF52A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rPr>
      </w:pPr>
      <w:r>
        <w:rPr>
          <w:rFonts w:hint="eastAsia" w:ascii="黑体" w:hAnsi="黑体" w:eastAsia="黑体" w:cs="黑体"/>
          <w:color w:val="auto"/>
          <w:spacing w:val="0"/>
          <w:w w:val="100"/>
          <w:position w:val="0"/>
          <w:sz w:val="28"/>
          <w:szCs w:val="28"/>
        </w:rPr>
        <w:t>七、对本次征集提出询问，请按以下方式联系。</w:t>
      </w:r>
    </w:p>
    <w:p w14:paraId="116290A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1.征集人信息</w:t>
      </w:r>
    </w:p>
    <w:p w14:paraId="65BF12B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名 称：</w:t>
      </w:r>
      <w:r>
        <w:rPr>
          <w:rFonts w:hint="eastAsia" w:ascii="仿宋" w:hAnsi="仿宋" w:eastAsia="仿宋" w:cs="仿宋"/>
          <w:color w:val="auto"/>
          <w:spacing w:val="0"/>
          <w:w w:val="100"/>
          <w:position w:val="0"/>
          <w:sz w:val="28"/>
          <w:szCs w:val="28"/>
          <w:u w:val="single"/>
          <w:lang w:eastAsia="zh-CN"/>
        </w:rPr>
        <w:t xml:space="preserve">阜阳市颍东区机关事务管理服务中心 </w:t>
      </w:r>
    </w:p>
    <w:p w14:paraId="06C076C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地</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址：</w:t>
      </w:r>
      <w:r>
        <w:rPr>
          <w:rFonts w:hint="eastAsia" w:ascii="仿宋" w:hAnsi="仿宋" w:eastAsia="仿宋" w:cs="仿宋"/>
          <w:color w:val="auto"/>
          <w:spacing w:val="0"/>
          <w:w w:val="100"/>
          <w:position w:val="0"/>
          <w:sz w:val="28"/>
          <w:szCs w:val="28"/>
          <w:u w:val="single"/>
          <w:lang w:eastAsia="zh-CN"/>
        </w:rPr>
        <w:t>安徽省阜阳市颍东区北京东路216号</w:t>
      </w:r>
    </w:p>
    <w:p w14:paraId="04D508D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联系方式：</w:t>
      </w:r>
      <w:r>
        <w:rPr>
          <w:rFonts w:hint="eastAsia" w:ascii="仿宋" w:hAnsi="仿宋" w:eastAsia="仿宋" w:cs="仿宋"/>
          <w:color w:val="auto"/>
          <w:spacing w:val="0"/>
          <w:w w:val="100"/>
          <w:position w:val="0"/>
          <w:sz w:val="28"/>
          <w:szCs w:val="28"/>
          <w:u w:val="single"/>
          <w:lang w:val="en-US" w:eastAsia="zh-CN"/>
        </w:rPr>
        <w:t>王亮13635581710</w:t>
      </w:r>
      <w:r>
        <w:rPr>
          <w:rFonts w:hint="eastAsia" w:ascii="仿宋" w:hAnsi="仿宋" w:eastAsia="仿宋" w:cs="仿宋"/>
          <w:color w:val="auto"/>
          <w:spacing w:val="0"/>
          <w:w w:val="100"/>
          <w:position w:val="0"/>
          <w:sz w:val="28"/>
          <w:szCs w:val="28"/>
          <w:lang w:eastAsia="zh-CN"/>
        </w:rPr>
        <w:t xml:space="preserve"> </w:t>
      </w:r>
    </w:p>
    <w:p w14:paraId="3FC1C75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2.采购代理机构信息</w:t>
      </w:r>
    </w:p>
    <w:p w14:paraId="56CD5FF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名 称：</w:t>
      </w:r>
      <w:r>
        <w:rPr>
          <w:rFonts w:hint="eastAsia" w:ascii="仿宋" w:hAnsi="仿宋" w:eastAsia="仿宋" w:cs="仿宋"/>
          <w:color w:val="auto"/>
          <w:spacing w:val="0"/>
          <w:w w:val="100"/>
          <w:position w:val="0"/>
          <w:sz w:val="28"/>
          <w:szCs w:val="28"/>
          <w:u w:val="single"/>
          <w:lang w:eastAsia="zh-CN"/>
        </w:rPr>
        <w:t>阜阳市晟景项目管理有限公司</w:t>
      </w:r>
    </w:p>
    <w:p w14:paraId="0759599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地 址：</w:t>
      </w:r>
      <w:r>
        <w:rPr>
          <w:rFonts w:hint="eastAsia" w:ascii="仿宋" w:hAnsi="仿宋" w:eastAsia="仿宋" w:cs="仿宋"/>
          <w:color w:val="auto"/>
          <w:spacing w:val="0"/>
          <w:w w:val="100"/>
          <w:position w:val="0"/>
          <w:sz w:val="28"/>
          <w:szCs w:val="28"/>
          <w:u w:val="single"/>
          <w:lang w:eastAsia="zh-CN"/>
        </w:rPr>
        <w:t>安徽省阜阳市颍东区向阳街道东旭路5号东坪圩农民安置区16＃楼</w:t>
      </w:r>
    </w:p>
    <w:p w14:paraId="3F16A2A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联系方式：</w:t>
      </w:r>
      <w:r>
        <w:rPr>
          <w:rFonts w:hint="eastAsia" w:ascii="仿宋" w:hAnsi="仿宋" w:eastAsia="仿宋" w:cs="仿宋"/>
          <w:color w:val="auto"/>
          <w:spacing w:val="0"/>
          <w:w w:val="100"/>
          <w:position w:val="0"/>
          <w:sz w:val="28"/>
          <w:szCs w:val="28"/>
          <w:u w:val="single"/>
          <w:lang w:eastAsia="zh-CN"/>
        </w:rPr>
        <w:t>王少云17755859266</w:t>
      </w:r>
      <w:r>
        <w:rPr>
          <w:rFonts w:hint="eastAsia" w:ascii="仿宋" w:hAnsi="仿宋" w:eastAsia="仿宋" w:cs="仿宋"/>
          <w:color w:val="auto"/>
          <w:spacing w:val="0"/>
          <w:w w:val="100"/>
          <w:position w:val="0"/>
          <w:sz w:val="28"/>
          <w:szCs w:val="28"/>
          <w:lang w:eastAsia="zh-CN"/>
        </w:rPr>
        <w:t xml:space="preserve"> </w:t>
      </w:r>
    </w:p>
    <w:p w14:paraId="2B44E61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3.项目联系方式</w:t>
      </w:r>
    </w:p>
    <w:p w14:paraId="6FB9ED8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default"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eastAsia="zh-CN"/>
        </w:rPr>
        <w:t>项目联系人：</w:t>
      </w:r>
      <w:r>
        <w:rPr>
          <w:rFonts w:hint="eastAsia" w:ascii="仿宋" w:hAnsi="仿宋" w:eastAsia="仿宋" w:cs="仿宋"/>
          <w:color w:val="auto"/>
          <w:spacing w:val="0"/>
          <w:w w:val="100"/>
          <w:position w:val="0"/>
          <w:sz w:val="28"/>
          <w:szCs w:val="28"/>
          <w:u w:val="single"/>
          <w:lang w:eastAsia="zh-CN"/>
        </w:rPr>
        <w:t>王亮、</w:t>
      </w:r>
      <w:r>
        <w:rPr>
          <w:rFonts w:hint="eastAsia" w:ascii="仿宋" w:hAnsi="仿宋" w:eastAsia="仿宋" w:cs="仿宋"/>
          <w:color w:val="auto"/>
          <w:spacing w:val="0"/>
          <w:w w:val="100"/>
          <w:position w:val="0"/>
          <w:sz w:val="28"/>
          <w:szCs w:val="28"/>
          <w:u w:val="single"/>
          <w:lang w:val="en-US" w:eastAsia="zh-CN"/>
        </w:rPr>
        <w:t>王少云</w:t>
      </w:r>
    </w:p>
    <w:p w14:paraId="1646428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color w:val="auto"/>
          <w:spacing w:val="0"/>
          <w:w w:val="100"/>
          <w:position w:val="0"/>
          <w:u w:val="single"/>
          <w:lang w:eastAsia="zh-CN"/>
        </w:rPr>
      </w:pPr>
      <w:r>
        <w:rPr>
          <w:rFonts w:hint="eastAsia" w:ascii="仿宋" w:hAnsi="仿宋" w:eastAsia="仿宋" w:cs="仿宋"/>
          <w:color w:val="auto"/>
          <w:spacing w:val="0"/>
          <w:w w:val="100"/>
          <w:position w:val="0"/>
          <w:sz w:val="28"/>
          <w:szCs w:val="28"/>
          <w:lang w:eastAsia="zh-CN"/>
        </w:rPr>
        <w:t>电  话：</w:t>
      </w:r>
      <w:r>
        <w:rPr>
          <w:rFonts w:hint="eastAsia" w:ascii="仿宋" w:hAnsi="仿宋" w:eastAsia="仿宋" w:cs="仿宋"/>
          <w:color w:val="auto"/>
          <w:spacing w:val="0"/>
          <w:w w:val="100"/>
          <w:position w:val="0"/>
          <w:sz w:val="28"/>
          <w:szCs w:val="28"/>
          <w:u w:val="single"/>
          <w:lang w:val="en-US" w:eastAsia="zh-CN"/>
        </w:rPr>
        <w:t>13635581710</w:t>
      </w:r>
      <w:r>
        <w:rPr>
          <w:rFonts w:hint="eastAsia" w:ascii="仿宋" w:hAnsi="仿宋" w:eastAsia="仿宋" w:cs="仿宋"/>
          <w:color w:val="auto"/>
          <w:spacing w:val="0"/>
          <w:w w:val="100"/>
          <w:position w:val="0"/>
          <w:sz w:val="28"/>
          <w:szCs w:val="28"/>
          <w:u w:val="single"/>
          <w:lang w:eastAsia="zh-CN"/>
        </w:rPr>
        <w:t>、17755859266</w:t>
      </w:r>
    </w:p>
    <w:p w14:paraId="2EE323F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7" w:type="default"/>
          <w:pgSz w:w="11922" w:h="16849"/>
          <w:pgMar w:top="1440" w:right="1803" w:bottom="1440" w:left="1803" w:header="1134" w:footer="1253" w:gutter="0"/>
          <w:pgNumType w:fmt="decimal"/>
          <w:cols w:space="0" w:num="1"/>
          <w:rtlGutter w:val="0"/>
          <w:docGrid w:linePitch="0" w:charSpace="0"/>
        </w:sectPr>
      </w:pPr>
    </w:p>
    <w:p w14:paraId="05944A52">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bCs/>
          <w:color w:val="auto"/>
          <w:spacing w:val="0"/>
          <w:w w:val="100"/>
          <w:position w:val="0"/>
          <w:sz w:val="44"/>
          <w:szCs w:val="44"/>
        </w:rPr>
      </w:pPr>
      <w:bookmarkStart w:id="1" w:name="_Toc27469"/>
      <w:r>
        <w:rPr>
          <w:rFonts w:hint="eastAsia" w:ascii="华文中宋" w:hAnsi="华文中宋" w:eastAsia="华文中宋" w:cs="华文中宋"/>
          <w:b/>
          <w:bCs/>
          <w:color w:val="auto"/>
          <w:spacing w:val="0"/>
          <w:w w:val="100"/>
          <w:position w:val="0"/>
          <w:sz w:val="44"/>
          <w:szCs w:val="44"/>
        </w:rPr>
        <w:t>第二章 供应商须知</w:t>
      </w:r>
      <w:bookmarkEnd w:id="1"/>
    </w:p>
    <w:p w14:paraId="5942C64C">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2" w:name="_Toc21262"/>
      <w:r>
        <w:rPr>
          <w:rFonts w:hint="eastAsia" w:ascii="仿宋" w:hAnsi="仿宋" w:eastAsia="仿宋" w:cs="仿宋"/>
          <w:color w:val="auto"/>
          <w:spacing w:val="0"/>
          <w:w w:val="100"/>
          <w:position w:val="0"/>
          <w:sz w:val="28"/>
          <w:szCs w:val="28"/>
        </w:rPr>
        <w:t>一、供应商须知前附表</w:t>
      </w:r>
      <w:bookmarkEnd w:id="2"/>
    </w:p>
    <w:p w14:paraId="5CAE31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注：本表是本项目的具体要求，是对供应商须知的具体补充和修改，如有不一致，以本表为准。</w:t>
      </w:r>
    </w:p>
    <w:tbl>
      <w:tblPr>
        <w:tblStyle w:val="22"/>
        <w:tblW w:w="9015" w:type="dxa"/>
        <w:tblInd w:w="-3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1707"/>
        <w:gridCol w:w="6298"/>
      </w:tblGrid>
      <w:tr w14:paraId="4890F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010" w:type="dxa"/>
            <w:vAlign w:val="center"/>
          </w:tcPr>
          <w:p w14:paraId="5B05B9D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条款号</w:t>
            </w:r>
          </w:p>
        </w:tc>
        <w:tc>
          <w:tcPr>
            <w:tcW w:w="1707" w:type="dxa"/>
            <w:vAlign w:val="center"/>
          </w:tcPr>
          <w:p w14:paraId="625CF70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条款名称</w:t>
            </w:r>
          </w:p>
        </w:tc>
        <w:tc>
          <w:tcPr>
            <w:tcW w:w="6298" w:type="dxa"/>
            <w:vAlign w:val="center"/>
          </w:tcPr>
          <w:p w14:paraId="5B166F6B">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内容、说明与要求</w:t>
            </w:r>
          </w:p>
        </w:tc>
      </w:tr>
      <w:tr w14:paraId="20BAD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10" w:type="dxa"/>
            <w:vAlign w:val="center"/>
          </w:tcPr>
          <w:p w14:paraId="740F7163">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p>
        </w:tc>
        <w:tc>
          <w:tcPr>
            <w:tcW w:w="1707" w:type="dxa"/>
            <w:vAlign w:val="center"/>
          </w:tcPr>
          <w:p w14:paraId="06ED37EA">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征集人</w:t>
            </w:r>
          </w:p>
        </w:tc>
        <w:tc>
          <w:tcPr>
            <w:tcW w:w="6298" w:type="dxa"/>
            <w:vAlign w:val="center"/>
          </w:tcPr>
          <w:p w14:paraId="3CCC6B82">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 xml:space="preserve">阜阳市颍东区机关事务管理服务中心 </w:t>
            </w:r>
          </w:p>
        </w:tc>
      </w:tr>
      <w:tr w14:paraId="26940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010" w:type="dxa"/>
            <w:vAlign w:val="center"/>
          </w:tcPr>
          <w:p w14:paraId="38F0078F">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p>
        </w:tc>
        <w:tc>
          <w:tcPr>
            <w:tcW w:w="1707" w:type="dxa"/>
            <w:vAlign w:val="center"/>
          </w:tcPr>
          <w:p w14:paraId="71B202E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采购代理机构</w:t>
            </w:r>
          </w:p>
        </w:tc>
        <w:tc>
          <w:tcPr>
            <w:tcW w:w="6298" w:type="dxa"/>
            <w:vAlign w:val="center"/>
          </w:tcPr>
          <w:p w14:paraId="6D96A4BC">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阜阳市晟景项目管理有限公司</w:t>
            </w:r>
          </w:p>
        </w:tc>
      </w:tr>
      <w:tr w14:paraId="28620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010" w:type="dxa"/>
            <w:vAlign w:val="center"/>
          </w:tcPr>
          <w:p w14:paraId="36C4F27B">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w:t>
            </w:r>
          </w:p>
        </w:tc>
        <w:tc>
          <w:tcPr>
            <w:tcW w:w="1707" w:type="dxa"/>
            <w:vAlign w:val="center"/>
          </w:tcPr>
          <w:p w14:paraId="54741CBA">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政府采购监督 管理部门</w:t>
            </w:r>
          </w:p>
        </w:tc>
        <w:tc>
          <w:tcPr>
            <w:tcW w:w="6298" w:type="dxa"/>
            <w:vAlign w:val="center"/>
          </w:tcPr>
          <w:p w14:paraId="77784C97">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default"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eastAsia="zh-CN"/>
              </w:rPr>
              <w:t>阜阳市颍东区财政局</w:t>
            </w:r>
          </w:p>
        </w:tc>
      </w:tr>
      <w:tr w14:paraId="160C2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1010" w:type="dxa"/>
            <w:vAlign w:val="center"/>
          </w:tcPr>
          <w:p w14:paraId="0290F5D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w:t>
            </w:r>
          </w:p>
        </w:tc>
        <w:tc>
          <w:tcPr>
            <w:tcW w:w="1707" w:type="dxa"/>
            <w:vAlign w:val="center"/>
          </w:tcPr>
          <w:p w14:paraId="2A635E3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是否允许联合 体响应</w:t>
            </w:r>
          </w:p>
        </w:tc>
        <w:tc>
          <w:tcPr>
            <w:tcW w:w="6298" w:type="dxa"/>
            <w:vAlign w:val="center"/>
          </w:tcPr>
          <w:p w14:paraId="404F82F4">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□是 ☑否</w:t>
            </w:r>
          </w:p>
        </w:tc>
      </w:tr>
      <w:tr w14:paraId="114BC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3" w:hRule="atLeast"/>
        </w:trPr>
        <w:tc>
          <w:tcPr>
            <w:tcW w:w="1010" w:type="dxa"/>
            <w:vAlign w:val="center"/>
          </w:tcPr>
          <w:p w14:paraId="7FF6439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w:t>
            </w:r>
          </w:p>
        </w:tc>
        <w:tc>
          <w:tcPr>
            <w:tcW w:w="1707" w:type="dxa"/>
            <w:vAlign w:val="center"/>
          </w:tcPr>
          <w:p w14:paraId="1DCE9C5C">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w:t>
            </w:r>
            <w:r>
              <w:rPr>
                <w:rFonts w:hint="eastAsia" w:ascii="仿宋" w:hAnsi="仿宋" w:eastAsia="仿宋" w:cs="仿宋"/>
                <w:color w:val="auto"/>
                <w:spacing w:val="0"/>
                <w:w w:val="100"/>
                <w:position w:val="0"/>
                <w:sz w:val="30"/>
                <w:szCs w:val="30"/>
              </w:rPr>
              <w:t>应</w:t>
            </w:r>
            <w:r>
              <w:rPr>
                <w:rFonts w:hint="eastAsia" w:ascii="仿宋" w:hAnsi="仿宋" w:eastAsia="仿宋" w:cs="仿宋"/>
                <w:color w:val="auto"/>
                <w:spacing w:val="0"/>
                <w:w w:val="100"/>
                <w:position w:val="0"/>
                <w:sz w:val="28"/>
                <w:szCs w:val="28"/>
              </w:rPr>
              <w:t>商质疑截 止时间</w:t>
            </w:r>
          </w:p>
        </w:tc>
        <w:tc>
          <w:tcPr>
            <w:tcW w:w="6298" w:type="dxa"/>
            <w:vAlign w:val="center"/>
          </w:tcPr>
          <w:p w14:paraId="52F1B7B1">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1、对征集文件提出质疑的，应当在征集文件公告期限届满之日起7个工作日内通过电子交易系统在线提出或书面提出。</w:t>
            </w:r>
          </w:p>
          <w:p w14:paraId="407D35C1">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特别提示：提出质疑时须注明项目名称及项目编号。</w:t>
            </w:r>
          </w:p>
          <w:p w14:paraId="572ACC5D">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2、供应商认为采购过程、成交结果使自己的权益受到损害的，可以在知道或者应知其权益受到损害之日起7个工作日内，通过电子交易系统在线提出或书面提出。</w:t>
            </w:r>
          </w:p>
        </w:tc>
      </w:tr>
      <w:tr w14:paraId="13166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10" w:type="dxa"/>
            <w:vAlign w:val="center"/>
          </w:tcPr>
          <w:p w14:paraId="1961B41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w:t>
            </w:r>
          </w:p>
        </w:tc>
        <w:tc>
          <w:tcPr>
            <w:tcW w:w="1707" w:type="dxa"/>
            <w:vAlign w:val="center"/>
          </w:tcPr>
          <w:p w14:paraId="41B3FBE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响应保证金</w:t>
            </w:r>
          </w:p>
        </w:tc>
        <w:tc>
          <w:tcPr>
            <w:tcW w:w="6298" w:type="dxa"/>
            <w:vAlign w:val="center"/>
          </w:tcPr>
          <w:p w14:paraId="734E7249">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免收</w:t>
            </w:r>
          </w:p>
        </w:tc>
      </w:tr>
      <w:tr w14:paraId="12C32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10" w:type="dxa"/>
            <w:vAlign w:val="center"/>
          </w:tcPr>
          <w:p w14:paraId="70F5C67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w:t>
            </w:r>
          </w:p>
        </w:tc>
        <w:tc>
          <w:tcPr>
            <w:tcW w:w="1707" w:type="dxa"/>
            <w:vAlign w:val="center"/>
          </w:tcPr>
          <w:p w14:paraId="55BECD53">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征集有效期</w:t>
            </w:r>
          </w:p>
        </w:tc>
        <w:tc>
          <w:tcPr>
            <w:tcW w:w="6298" w:type="dxa"/>
            <w:vAlign w:val="center"/>
          </w:tcPr>
          <w:p w14:paraId="64C836C1">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120日历天</w:t>
            </w:r>
          </w:p>
        </w:tc>
      </w:tr>
      <w:tr w14:paraId="2E49F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10" w:type="dxa"/>
            <w:vAlign w:val="center"/>
          </w:tcPr>
          <w:p w14:paraId="37C8616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8</w:t>
            </w:r>
          </w:p>
        </w:tc>
        <w:tc>
          <w:tcPr>
            <w:tcW w:w="1707" w:type="dxa"/>
            <w:vAlign w:val="center"/>
          </w:tcPr>
          <w:p w14:paraId="7C9E7BB1">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征集文件要求</w:t>
            </w:r>
          </w:p>
        </w:tc>
        <w:tc>
          <w:tcPr>
            <w:tcW w:w="6298" w:type="dxa"/>
            <w:vAlign w:val="center"/>
          </w:tcPr>
          <w:p w14:paraId="321AA776">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加密电子征集响应文件</w:t>
            </w:r>
          </w:p>
        </w:tc>
      </w:tr>
      <w:tr w14:paraId="77D39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1010" w:type="dxa"/>
            <w:vAlign w:val="center"/>
          </w:tcPr>
          <w:p w14:paraId="6C78EAE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9</w:t>
            </w:r>
          </w:p>
        </w:tc>
        <w:tc>
          <w:tcPr>
            <w:tcW w:w="1707" w:type="dxa"/>
            <w:vAlign w:val="center"/>
          </w:tcPr>
          <w:p w14:paraId="1977703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征集响应截止 时间</w:t>
            </w:r>
          </w:p>
        </w:tc>
        <w:tc>
          <w:tcPr>
            <w:tcW w:w="6298" w:type="dxa"/>
            <w:vAlign w:val="center"/>
          </w:tcPr>
          <w:p w14:paraId="4A2C36D4">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详见征集公告</w:t>
            </w:r>
          </w:p>
        </w:tc>
      </w:tr>
      <w:tr w14:paraId="757A0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010" w:type="dxa"/>
            <w:vAlign w:val="center"/>
          </w:tcPr>
          <w:p w14:paraId="1C13A69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10</w:t>
            </w:r>
          </w:p>
        </w:tc>
        <w:tc>
          <w:tcPr>
            <w:tcW w:w="1707" w:type="dxa"/>
            <w:vAlign w:val="center"/>
          </w:tcPr>
          <w:p w14:paraId="293C770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响应文件解密 时间</w:t>
            </w:r>
          </w:p>
        </w:tc>
        <w:tc>
          <w:tcPr>
            <w:tcW w:w="6298" w:type="dxa"/>
            <w:vAlign w:val="center"/>
          </w:tcPr>
          <w:p w14:paraId="574BE9CE">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投标截止时间后 60 分钟内(以电子交易系统解密倒计时为准)</w:t>
            </w:r>
          </w:p>
        </w:tc>
      </w:tr>
      <w:tr w14:paraId="65F4F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010" w:type="dxa"/>
            <w:vAlign w:val="center"/>
          </w:tcPr>
          <w:p w14:paraId="3913EB49">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11</w:t>
            </w:r>
          </w:p>
        </w:tc>
        <w:tc>
          <w:tcPr>
            <w:tcW w:w="1707" w:type="dxa"/>
            <w:vAlign w:val="center"/>
          </w:tcPr>
          <w:p w14:paraId="3F5F451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征集时间</w:t>
            </w:r>
          </w:p>
        </w:tc>
        <w:tc>
          <w:tcPr>
            <w:tcW w:w="6298" w:type="dxa"/>
            <w:vAlign w:val="center"/>
          </w:tcPr>
          <w:p w14:paraId="392C566C">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详见征集公告</w:t>
            </w:r>
          </w:p>
        </w:tc>
      </w:tr>
      <w:tr w14:paraId="5EC6F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10" w:type="dxa"/>
            <w:vAlign w:val="center"/>
          </w:tcPr>
          <w:p w14:paraId="560AA90C">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12</w:t>
            </w:r>
          </w:p>
        </w:tc>
        <w:tc>
          <w:tcPr>
            <w:tcW w:w="1707" w:type="dxa"/>
            <w:vAlign w:val="center"/>
          </w:tcPr>
          <w:p w14:paraId="5369838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征集地点</w:t>
            </w:r>
          </w:p>
        </w:tc>
        <w:tc>
          <w:tcPr>
            <w:tcW w:w="6298" w:type="dxa"/>
            <w:vAlign w:val="center"/>
          </w:tcPr>
          <w:p w14:paraId="0EC23E11">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详见征集公告</w:t>
            </w:r>
          </w:p>
        </w:tc>
      </w:tr>
      <w:tr w14:paraId="752BC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2" w:hRule="atLeast"/>
        </w:trPr>
        <w:tc>
          <w:tcPr>
            <w:tcW w:w="1010" w:type="dxa"/>
            <w:vAlign w:val="center"/>
          </w:tcPr>
          <w:p w14:paraId="2135E2E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13</w:t>
            </w:r>
          </w:p>
        </w:tc>
        <w:tc>
          <w:tcPr>
            <w:tcW w:w="1707" w:type="dxa"/>
            <w:vAlign w:val="center"/>
          </w:tcPr>
          <w:p w14:paraId="7B74EC8B">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评审办法</w:t>
            </w:r>
          </w:p>
        </w:tc>
        <w:tc>
          <w:tcPr>
            <w:tcW w:w="6298" w:type="dxa"/>
            <w:vAlign w:val="center"/>
          </w:tcPr>
          <w:p w14:paraId="1D31D29F">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第一阶段入围供应商的评审方法为质量优先法（指对满足采购需求且响应报价不超过最高限制单价的</w:t>
            </w:r>
            <w:r>
              <w:rPr>
                <w:rFonts w:hint="eastAsia" w:ascii="仿宋" w:hAnsi="仿宋" w:eastAsia="仿宋" w:cs="仿宋"/>
                <w:color w:val="auto"/>
                <w:spacing w:val="0"/>
                <w:w w:val="100"/>
                <w:position w:val="0"/>
                <w:sz w:val="28"/>
                <w:szCs w:val="28"/>
                <w:lang w:val="en-US" w:eastAsia="zh-CN"/>
              </w:rPr>
              <w:t>服务</w:t>
            </w:r>
            <w:r>
              <w:rPr>
                <w:rFonts w:hint="eastAsia" w:ascii="仿宋" w:hAnsi="仿宋" w:eastAsia="仿宋" w:cs="仿宋"/>
                <w:color w:val="auto"/>
                <w:spacing w:val="0"/>
                <w:w w:val="100"/>
                <w:position w:val="0"/>
                <w:sz w:val="28"/>
                <w:szCs w:val="28"/>
              </w:rPr>
              <w:t>进行质量综合评分，按照质量评分从高到低排序，根据征集文件规定的淘汰率或者入围单位数量上限，确定入围单位的评审方法）。</w:t>
            </w:r>
          </w:p>
        </w:tc>
      </w:tr>
      <w:tr w14:paraId="72428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0" w:type="dxa"/>
            <w:vAlign w:val="center"/>
          </w:tcPr>
          <w:p w14:paraId="05C1D82A">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14</w:t>
            </w:r>
          </w:p>
        </w:tc>
        <w:tc>
          <w:tcPr>
            <w:tcW w:w="1707" w:type="dxa"/>
            <w:vAlign w:val="center"/>
          </w:tcPr>
          <w:p w14:paraId="49652A7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投标报价扣除(本项目不采用)</w:t>
            </w:r>
          </w:p>
        </w:tc>
        <w:tc>
          <w:tcPr>
            <w:tcW w:w="6298" w:type="dxa"/>
            <w:vAlign w:val="center"/>
          </w:tcPr>
          <w:p w14:paraId="50504859">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(1)小微企业价格扣除： / %(不专门面向中小企业采购部分享受价格扣除。(扣除比例在10%-20%间，由</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自行选择)</w:t>
            </w:r>
          </w:p>
          <w:p w14:paraId="59C31B5A">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(2)监狱企业价格扣除：同小微企业。</w:t>
            </w:r>
          </w:p>
          <w:p w14:paraId="4FDCDC64">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(3)残疾人福利性单位价格扣除：同小微企业。</w:t>
            </w:r>
          </w:p>
          <w:p w14:paraId="653B15E9">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(4)符合条件的联合体价格扣除：/ %。(扣除比例在2%</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3%</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间，由</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自行选择。联合协议约定小微企业的合同份额占合同总金额 30% 以上）。</w:t>
            </w:r>
          </w:p>
          <w:p w14:paraId="59624564">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(5)符合条件的大中型企业价格扣除：/ % (扣除比例在4%-6%间，由</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自行选择。</w:t>
            </w:r>
          </w:p>
          <w:p w14:paraId="76D8C5BE">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分包意向协议约定小微企业的合同份额占合同总金额30%以上）。</w:t>
            </w:r>
          </w:p>
        </w:tc>
      </w:tr>
      <w:tr w14:paraId="13E19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1010" w:type="dxa"/>
            <w:vAlign w:val="center"/>
          </w:tcPr>
          <w:p w14:paraId="2D3222E5">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15</w:t>
            </w:r>
          </w:p>
        </w:tc>
        <w:tc>
          <w:tcPr>
            <w:tcW w:w="1707" w:type="dxa"/>
            <w:vAlign w:val="center"/>
          </w:tcPr>
          <w:p w14:paraId="683F26DB">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确定第一阶段入围供应商数量及原则</w:t>
            </w:r>
          </w:p>
        </w:tc>
        <w:tc>
          <w:tcPr>
            <w:tcW w:w="6298" w:type="dxa"/>
            <w:vAlign w:val="center"/>
          </w:tcPr>
          <w:p w14:paraId="49760AA1">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本次征集第一阶段将选定 2 家入围供应商，当合格供应商＞ 2 家时，按淘汰比例不低于 20% （且至少淘汰一家供应商）的原则确定得分前 2 名的供应商为入围供应商；</w:t>
            </w:r>
          </w:p>
          <w:p w14:paraId="1C918FCB">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当提交响应文件</w:t>
            </w:r>
            <w:r>
              <w:rPr>
                <w:rFonts w:hint="eastAsia" w:ascii="仿宋" w:hAnsi="仿宋" w:eastAsia="仿宋" w:cs="仿宋"/>
                <w:color w:val="auto"/>
                <w:spacing w:val="0"/>
                <w:w w:val="100"/>
                <w:position w:val="0"/>
                <w:sz w:val="28"/>
                <w:szCs w:val="28"/>
                <w:lang w:val="en-US" w:eastAsia="zh-CN"/>
              </w:rPr>
              <w:t>或</w:t>
            </w:r>
            <w:r>
              <w:rPr>
                <w:rFonts w:hint="eastAsia" w:ascii="仿宋" w:hAnsi="仿宋" w:eastAsia="仿宋" w:cs="仿宋"/>
                <w:color w:val="auto"/>
                <w:spacing w:val="0"/>
                <w:w w:val="100"/>
                <w:position w:val="0"/>
                <w:sz w:val="28"/>
                <w:szCs w:val="28"/>
              </w:rPr>
              <w:t>通过资格审查、符合性审查的供应商≤</w:t>
            </w:r>
            <w:r>
              <w:rPr>
                <w:rFonts w:hint="eastAsia" w:ascii="仿宋" w:hAnsi="仿宋" w:eastAsia="仿宋" w:cs="仿宋"/>
                <w:color w:val="auto"/>
                <w:spacing w:val="0"/>
                <w:w w:val="100"/>
                <w:position w:val="0"/>
                <w:sz w:val="28"/>
                <w:szCs w:val="28"/>
                <w:lang w:val="en-US" w:eastAsia="zh-CN"/>
              </w:rPr>
              <w:t xml:space="preserve"> 2 </w:t>
            </w:r>
            <w:r>
              <w:rPr>
                <w:rFonts w:hint="eastAsia" w:ascii="仿宋" w:hAnsi="仿宋" w:eastAsia="仿宋" w:cs="仿宋"/>
                <w:color w:val="auto"/>
                <w:spacing w:val="0"/>
                <w:w w:val="100"/>
                <w:position w:val="0"/>
                <w:sz w:val="28"/>
                <w:szCs w:val="28"/>
              </w:rPr>
              <w:t>家时，本次采购终止</w:t>
            </w:r>
            <w:r>
              <w:rPr>
                <w:rFonts w:hint="eastAsia" w:ascii="仿宋" w:hAnsi="仿宋" w:eastAsia="仿宋" w:cs="仿宋"/>
                <w:color w:val="auto"/>
                <w:spacing w:val="0"/>
                <w:w w:val="100"/>
                <w:position w:val="0"/>
                <w:sz w:val="28"/>
                <w:szCs w:val="28"/>
                <w:lang w:eastAsia="zh-CN"/>
              </w:rPr>
              <w:t>。</w:t>
            </w:r>
          </w:p>
        </w:tc>
      </w:tr>
      <w:tr w14:paraId="16E0C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0" w:type="dxa"/>
            <w:vAlign w:val="center"/>
          </w:tcPr>
          <w:p w14:paraId="32BF9A9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16</w:t>
            </w:r>
          </w:p>
        </w:tc>
        <w:tc>
          <w:tcPr>
            <w:tcW w:w="1707" w:type="dxa"/>
            <w:vAlign w:val="center"/>
          </w:tcPr>
          <w:p w14:paraId="480B4D9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确定第二阶段成交供应商</w:t>
            </w:r>
          </w:p>
        </w:tc>
        <w:tc>
          <w:tcPr>
            <w:tcW w:w="6298" w:type="dxa"/>
            <w:vAlign w:val="center"/>
          </w:tcPr>
          <w:p w14:paraId="449AD030">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 xml:space="preserve">直接选定 □二次竞价 □顺序轮候 </w:t>
            </w:r>
          </w:p>
          <w:p w14:paraId="1C048E25">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备注：</w:t>
            </w:r>
          </w:p>
          <w:p w14:paraId="55152260">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lang w:val="en-US" w:eastAsia="zh-CN"/>
              </w:rPr>
              <w:t>1</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直接选定方式是确定第二阶段成交供应商的主要方式。除征集人根据采购项目特点和提高绩效等要求，在征集文件中载明采用二次竞价或者顺序轮候方式外，确定第二阶段成交供应商应当由</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依据入围产品价格、质量以及服务便利性、用户评价等因素，从第一阶段入围供应商中直接选定。</w:t>
            </w:r>
          </w:p>
          <w:p w14:paraId="7EA99BA9">
            <w:pPr>
              <w:pStyle w:val="23"/>
              <w:keepNext w:val="0"/>
              <w:keepLines w:val="0"/>
              <w:pageBreakBefore w:val="0"/>
              <w:widowControl/>
              <w:numPr>
                <w:ilvl w:val="0"/>
                <w:numId w:val="0"/>
              </w:numPr>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snapToGrid w:val="0"/>
                <w:color w:val="auto"/>
                <w:spacing w:val="0"/>
                <w:w w:val="100"/>
                <w:kern w:val="0"/>
                <w:position w:val="0"/>
                <w:sz w:val="28"/>
                <w:szCs w:val="28"/>
                <w:lang w:val="en-US" w:eastAsia="en-US" w:bidi="ar-SA"/>
              </w:rPr>
              <w:t>（</w:t>
            </w:r>
            <w:r>
              <w:rPr>
                <w:rFonts w:hint="eastAsia" w:cs="仿宋"/>
                <w:snapToGrid w:val="0"/>
                <w:color w:val="auto"/>
                <w:spacing w:val="0"/>
                <w:w w:val="100"/>
                <w:kern w:val="0"/>
                <w:position w:val="0"/>
                <w:sz w:val="28"/>
                <w:szCs w:val="28"/>
                <w:lang w:val="en-US" w:eastAsia="zh-CN" w:bidi="ar-SA"/>
              </w:rPr>
              <w:t>2</w:t>
            </w:r>
            <w:r>
              <w:rPr>
                <w:rFonts w:hint="eastAsia" w:ascii="仿宋" w:hAnsi="仿宋" w:eastAsia="仿宋" w:cs="仿宋"/>
                <w:snapToGrid w:val="0"/>
                <w:color w:val="auto"/>
                <w:spacing w:val="0"/>
                <w:w w:val="100"/>
                <w:kern w:val="0"/>
                <w:position w:val="0"/>
                <w:sz w:val="28"/>
                <w:szCs w:val="28"/>
                <w:lang w:val="en-US" w:eastAsia="en-US" w:bidi="ar-SA"/>
              </w:rPr>
              <w:t>）</w:t>
            </w:r>
            <w:r>
              <w:rPr>
                <w:rFonts w:hint="eastAsia" w:ascii="仿宋" w:hAnsi="仿宋" w:eastAsia="仿宋" w:cs="仿宋"/>
                <w:color w:val="auto"/>
                <w:spacing w:val="0"/>
                <w:w w:val="100"/>
                <w:position w:val="0"/>
                <w:sz w:val="28"/>
                <w:szCs w:val="28"/>
              </w:rPr>
              <w:t>二次竞价方式是指以框架协议约定的入围产品、采购合同文本等为依据，以协议价格为最高限价，</w:t>
            </w:r>
            <w:r>
              <w:rPr>
                <w:rFonts w:hint="eastAsia"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明确第二阶段竞价需求，从入围供应商中选择所有符合竞价需求的供应商参与二次竞价，确定报价最低的为成交供应商的方式。二次竞价一般适用于采用价格优先法的采购项目。</w:t>
            </w:r>
          </w:p>
          <w:p w14:paraId="1E975A7A">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tc>
      </w:tr>
      <w:tr w14:paraId="4CDE9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trPr>
        <w:tc>
          <w:tcPr>
            <w:tcW w:w="1010" w:type="dxa"/>
            <w:vAlign w:val="center"/>
          </w:tcPr>
          <w:p w14:paraId="18B94CFF">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17</w:t>
            </w:r>
          </w:p>
        </w:tc>
        <w:tc>
          <w:tcPr>
            <w:tcW w:w="1707" w:type="dxa"/>
            <w:vAlign w:val="center"/>
          </w:tcPr>
          <w:p w14:paraId="06C8B311">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随成交公告同时公告的成交人的征集响应文件内容</w:t>
            </w:r>
          </w:p>
        </w:tc>
        <w:tc>
          <w:tcPr>
            <w:tcW w:w="6298" w:type="dxa"/>
            <w:vAlign w:val="center"/>
          </w:tcPr>
          <w:p w14:paraId="4A7144CE">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(1)中小企业声明函；(如有)</w:t>
            </w:r>
          </w:p>
          <w:p w14:paraId="1FAAF101">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(2)残疾人福利性单位声明函；(如有)</w:t>
            </w:r>
          </w:p>
          <w:p w14:paraId="527F21FB">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(3)征集文件中规定进行公示的其他内容。(如有)</w:t>
            </w:r>
          </w:p>
        </w:tc>
      </w:tr>
      <w:tr w14:paraId="138F6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trPr>
        <w:tc>
          <w:tcPr>
            <w:tcW w:w="1010" w:type="dxa"/>
            <w:vAlign w:val="center"/>
          </w:tcPr>
          <w:p w14:paraId="78F42995">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18</w:t>
            </w:r>
          </w:p>
        </w:tc>
        <w:tc>
          <w:tcPr>
            <w:tcW w:w="1707" w:type="dxa"/>
            <w:vAlign w:val="center"/>
          </w:tcPr>
          <w:p w14:paraId="3A9D121C">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中标(成交)通知书发出的形式</w:t>
            </w:r>
          </w:p>
        </w:tc>
        <w:tc>
          <w:tcPr>
            <w:tcW w:w="6298" w:type="dxa"/>
            <w:vAlign w:val="center"/>
          </w:tcPr>
          <w:p w14:paraId="5A3AFDDB">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书面 ☑数据电文</w:t>
            </w:r>
          </w:p>
        </w:tc>
      </w:tr>
      <w:tr w14:paraId="72E85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10" w:type="dxa"/>
            <w:vAlign w:val="center"/>
          </w:tcPr>
          <w:p w14:paraId="1C5DA72F">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19</w:t>
            </w:r>
          </w:p>
        </w:tc>
        <w:tc>
          <w:tcPr>
            <w:tcW w:w="1707" w:type="dxa"/>
            <w:vAlign w:val="center"/>
          </w:tcPr>
          <w:p w14:paraId="51C0E4F3">
            <w:pPr>
              <w:pStyle w:val="23"/>
              <w:pageBreakBefore w:val="0"/>
              <w:kinsoku w:val="0"/>
              <w:wordWrap/>
              <w:overflowPunct/>
              <w:topLinePunct w:val="0"/>
              <w:bidi w:val="0"/>
              <w:adjustRightInd w:val="0"/>
              <w:snapToGrid w:val="0"/>
              <w:spacing w:line="360" w:lineRule="auto"/>
              <w:ind w:left="0" w:leftChars="0" w:right="0" w:rightChars="0" w:hanging="554"/>
              <w:jc w:val="center"/>
              <w:textAlignment w:val="baseline"/>
              <w:rPr>
                <w:rFonts w:hint="eastAsia" w:ascii="仿宋" w:hAnsi="仿宋" w:eastAsia="仿宋" w:cs="仿宋"/>
                <w:color w:val="auto"/>
                <w:spacing w:val="0"/>
                <w:w w:val="100"/>
                <w:position w:val="0"/>
                <w:sz w:val="28"/>
                <w:szCs w:val="28"/>
              </w:rPr>
            </w:pPr>
            <w:r>
              <w:rPr>
                <w:rFonts w:hint="eastAsia"/>
                <w:color w:val="auto"/>
                <w:spacing w:val="0"/>
                <w:w w:val="100"/>
                <w:position w:val="0"/>
                <w:sz w:val="28"/>
                <w:szCs w:val="28"/>
              </w:rPr>
              <w:t>告知成交结果的形式</w:t>
            </w:r>
          </w:p>
        </w:tc>
        <w:tc>
          <w:tcPr>
            <w:tcW w:w="6298" w:type="dxa"/>
            <w:vAlign w:val="center"/>
          </w:tcPr>
          <w:p w14:paraId="73F13265">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☑供应商自行登录电子交易系统查看</w:t>
            </w:r>
          </w:p>
          <w:p w14:paraId="3C1B73C0">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□评审现场告知</w:t>
            </w:r>
          </w:p>
        </w:tc>
      </w:tr>
      <w:tr w14:paraId="3E682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10" w:type="dxa"/>
            <w:vAlign w:val="center"/>
          </w:tcPr>
          <w:p w14:paraId="481CA000">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20</w:t>
            </w:r>
          </w:p>
        </w:tc>
        <w:tc>
          <w:tcPr>
            <w:tcW w:w="1707" w:type="dxa"/>
            <w:vAlign w:val="center"/>
          </w:tcPr>
          <w:p w14:paraId="59B55955">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履约保证金</w:t>
            </w:r>
          </w:p>
        </w:tc>
        <w:tc>
          <w:tcPr>
            <w:tcW w:w="6298" w:type="dxa"/>
            <w:vAlign w:val="center"/>
          </w:tcPr>
          <w:p w14:paraId="755171F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（1）金额：遵照《阜阳市财政局阜阳市公共资源交易监督管理局关于进一步规范政府采购管理支持企业发展的通知》（财购〔2021〕178号）执行</w:t>
            </w:r>
          </w:p>
          <w:p w14:paraId="0222BE4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eastAsia="zh-CN" w:bidi="ar-SA"/>
              </w:rPr>
              <w:t>☑</w:t>
            </w:r>
            <w:r>
              <w:rPr>
                <w:rFonts w:hint="eastAsia" w:ascii="仿宋" w:hAnsi="仿宋" w:eastAsia="仿宋" w:cs="仿宋"/>
                <w:color w:val="auto"/>
                <w:spacing w:val="0"/>
                <w:w w:val="100"/>
                <w:kern w:val="2"/>
                <w:position w:val="0"/>
                <w:sz w:val="28"/>
                <w:szCs w:val="28"/>
                <w:lang w:val="en-US" w:bidi="ar-SA"/>
              </w:rPr>
              <w:t>免收</w:t>
            </w:r>
          </w:p>
          <w:p w14:paraId="583A4C5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□合同价的</w:t>
            </w:r>
            <w:r>
              <w:rPr>
                <w:rFonts w:hint="eastAsia" w:ascii="仿宋" w:hAnsi="仿宋" w:eastAsia="仿宋" w:cs="仿宋"/>
                <w:b/>
                <w:color w:val="auto"/>
                <w:spacing w:val="0"/>
                <w:w w:val="100"/>
                <w:kern w:val="2"/>
                <w:position w:val="0"/>
                <w:sz w:val="28"/>
                <w:szCs w:val="28"/>
                <w:u w:val="single"/>
                <w:lang w:val="en-US" w:bidi="ar-SA"/>
              </w:rPr>
              <w:t xml:space="preserve">         </w:t>
            </w:r>
            <w:r>
              <w:rPr>
                <w:rFonts w:hint="eastAsia" w:ascii="仿宋" w:hAnsi="仿宋" w:eastAsia="仿宋" w:cs="仿宋"/>
                <w:color w:val="auto"/>
                <w:spacing w:val="0"/>
                <w:w w:val="100"/>
                <w:kern w:val="2"/>
                <w:position w:val="0"/>
                <w:sz w:val="28"/>
                <w:szCs w:val="28"/>
                <w:lang w:val="en-US" w:bidi="ar-SA"/>
              </w:rPr>
              <w:t>%</w:t>
            </w:r>
          </w:p>
          <w:p w14:paraId="2D99E9E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□定额收取：人民币</w:t>
            </w:r>
            <w:r>
              <w:rPr>
                <w:rFonts w:hint="eastAsia" w:ascii="仿宋" w:hAnsi="仿宋" w:eastAsia="仿宋" w:cs="仿宋"/>
                <w:b/>
                <w:color w:val="auto"/>
                <w:spacing w:val="0"/>
                <w:w w:val="100"/>
                <w:kern w:val="2"/>
                <w:position w:val="0"/>
                <w:sz w:val="28"/>
                <w:szCs w:val="28"/>
                <w:u w:val="single"/>
                <w:lang w:val="en-US" w:bidi="ar-SA"/>
              </w:rPr>
              <w:t xml:space="preserve">         </w:t>
            </w:r>
            <w:r>
              <w:rPr>
                <w:rFonts w:hint="eastAsia" w:ascii="仿宋" w:hAnsi="仿宋" w:eastAsia="仿宋" w:cs="仿宋"/>
                <w:color w:val="auto"/>
                <w:spacing w:val="0"/>
                <w:w w:val="100"/>
                <w:kern w:val="2"/>
                <w:position w:val="0"/>
                <w:sz w:val="28"/>
                <w:szCs w:val="28"/>
                <w:lang w:val="en-US" w:bidi="ar-SA"/>
              </w:rPr>
              <w:t>元</w:t>
            </w:r>
          </w:p>
          <w:p w14:paraId="40E71C5F">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（2）支付方式：</w:t>
            </w:r>
          </w:p>
          <w:p w14:paraId="0A3995BA">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rPr>
              <w:t>□转账/电汇 □支票 □汇票 □本票 □保函</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kern w:val="2"/>
                <w:position w:val="0"/>
                <w:sz w:val="28"/>
                <w:szCs w:val="28"/>
                <w:lang w:val="en-US" w:bidi="ar-SA"/>
              </w:rPr>
              <w:t>□保</w:t>
            </w:r>
            <w:r>
              <w:rPr>
                <w:rFonts w:hint="eastAsia" w:ascii="仿宋" w:hAnsi="仿宋" w:eastAsia="仿宋" w:cs="仿宋"/>
                <w:color w:val="auto"/>
                <w:spacing w:val="0"/>
                <w:w w:val="100"/>
                <w:kern w:val="2"/>
                <w:position w:val="0"/>
                <w:sz w:val="28"/>
                <w:szCs w:val="28"/>
                <w:lang w:val="en-US" w:eastAsia="zh-CN" w:bidi="ar-SA"/>
              </w:rPr>
              <w:t>险</w:t>
            </w:r>
          </w:p>
          <w:p w14:paraId="2E49820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 xml:space="preserve">其他要求：             </w:t>
            </w:r>
          </w:p>
          <w:p w14:paraId="16ECE7E9">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 xml:space="preserve">（3）收取单位：             </w:t>
            </w:r>
          </w:p>
          <w:p w14:paraId="7C4DFF57">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kern w:val="2"/>
                <w:position w:val="0"/>
                <w:sz w:val="28"/>
                <w:szCs w:val="28"/>
                <w:lang w:val="en-US" w:bidi="ar-SA"/>
              </w:rPr>
            </w:pPr>
            <w:r>
              <w:rPr>
                <w:rFonts w:hint="eastAsia" w:ascii="仿宋" w:hAnsi="仿宋" w:eastAsia="仿宋" w:cs="仿宋"/>
                <w:color w:val="auto"/>
                <w:spacing w:val="0"/>
                <w:w w:val="100"/>
                <w:kern w:val="2"/>
                <w:position w:val="0"/>
                <w:sz w:val="28"/>
                <w:szCs w:val="28"/>
                <w:lang w:val="en-US" w:bidi="ar-SA"/>
              </w:rPr>
              <w:t xml:space="preserve">（4）缴纳时间：             </w:t>
            </w:r>
          </w:p>
          <w:p w14:paraId="4FDF0A0D">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kern w:val="2"/>
                <w:position w:val="0"/>
                <w:sz w:val="28"/>
                <w:szCs w:val="28"/>
                <w:lang w:val="en-US" w:bidi="ar-SA"/>
              </w:rPr>
              <w:t>（5）退还时间：</w:t>
            </w:r>
            <w:r>
              <w:rPr>
                <w:rFonts w:hint="eastAsia" w:cs="Times New Roman"/>
                <w:color w:val="auto"/>
                <w:spacing w:val="0"/>
                <w:w w:val="100"/>
                <w:kern w:val="2"/>
                <w:position w:val="0"/>
                <w:sz w:val="28"/>
                <w:szCs w:val="28"/>
                <w:lang w:val="en-US" w:bidi="ar-SA"/>
              </w:rPr>
              <w:t xml:space="preserve">      </w:t>
            </w:r>
          </w:p>
        </w:tc>
      </w:tr>
      <w:tr w14:paraId="13DB2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010" w:type="dxa"/>
            <w:vAlign w:val="center"/>
          </w:tcPr>
          <w:p w14:paraId="699584F6">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w:t>
            </w:r>
          </w:p>
        </w:tc>
        <w:tc>
          <w:tcPr>
            <w:tcW w:w="1707" w:type="dxa"/>
            <w:vAlign w:val="center"/>
          </w:tcPr>
          <w:p w14:paraId="76D2EAB7">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采购代理机构代理费用</w:t>
            </w:r>
          </w:p>
        </w:tc>
        <w:tc>
          <w:tcPr>
            <w:tcW w:w="6298" w:type="dxa"/>
            <w:vAlign w:val="center"/>
          </w:tcPr>
          <w:p w14:paraId="34A9949B">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本项目不收取</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（供应商）、</w:t>
            </w:r>
            <w:r>
              <w:rPr>
                <w:rFonts w:hint="eastAsia" w:ascii="仿宋" w:hAnsi="仿宋" w:eastAsia="仿宋" w:cs="仿宋"/>
                <w:color w:val="auto"/>
                <w:spacing w:val="0"/>
                <w:w w:val="100"/>
                <w:position w:val="0"/>
                <w:sz w:val="28"/>
                <w:szCs w:val="28"/>
                <w:lang w:eastAsia="zh-CN"/>
              </w:rPr>
              <w:t>成交供应商</w:t>
            </w:r>
            <w:r>
              <w:rPr>
                <w:rFonts w:hint="eastAsia" w:ascii="仿宋" w:hAnsi="仿宋" w:eastAsia="仿宋" w:cs="仿宋"/>
                <w:color w:val="auto"/>
                <w:spacing w:val="0"/>
                <w:w w:val="100"/>
                <w:position w:val="0"/>
                <w:sz w:val="28"/>
                <w:szCs w:val="28"/>
              </w:rPr>
              <w:t>（成交人）任何费用</w:t>
            </w:r>
            <w:r>
              <w:rPr>
                <w:rFonts w:hint="eastAsia" w:ascii="仿宋" w:hAnsi="仿宋" w:eastAsia="仿宋" w:cs="仿宋"/>
                <w:color w:val="auto"/>
                <w:spacing w:val="0"/>
                <w:w w:val="100"/>
                <w:position w:val="0"/>
                <w:sz w:val="28"/>
                <w:szCs w:val="28"/>
                <w:lang w:eastAsia="zh-CN"/>
              </w:rPr>
              <w:t>。</w:t>
            </w:r>
          </w:p>
          <w:p w14:paraId="6640783E">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本项目的下列费用由</w:t>
            </w:r>
            <w:r>
              <w:rPr>
                <w:rFonts w:hint="eastAsia" w:ascii="仿宋" w:hAnsi="仿宋" w:eastAsia="仿宋" w:cs="仿宋"/>
                <w:color w:val="auto"/>
                <w:spacing w:val="0"/>
                <w:w w:val="100"/>
                <w:position w:val="0"/>
                <w:sz w:val="28"/>
                <w:szCs w:val="28"/>
                <w:lang w:eastAsia="zh-CN"/>
              </w:rPr>
              <w:t>入围供应商</w:t>
            </w:r>
            <w:r>
              <w:rPr>
                <w:rFonts w:hint="eastAsia" w:ascii="仿宋" w:hAnsi="仿宋" w:eastAsia="仿宋" w:cs="仿宋"/>
                <w:color w:val="auto"/>
                <w:spacing w:val="0"/>
                <w:w w:val="100"/>
                <w:position w:val="0"/>
                <w:sz w:val="28"/>
                <w:szCs w:val="28"/>
              </w:rPr>
              <w:t>（成交人）支付</w:t>
            </w:r>
            <w:r>
              <w:rPr>
                <w:rFonts w:hint="eastAsia" w:ascii="仿宋" w:hAnsi="仿宋" w:eastAsia="仿宋" w:cs="仿宋"/>
                <w:color w:val="auto"/>
                <w:spacing w:val="0"/>
                <w:w w:val="100"/>
                <w:position w:val="0"/>
                <w:sz w:val="28"/>
                <w:szCs w:val="28"/>
                <w:lang w:eastAsia="zh-CN"/>
              </w:rPr>
              <w:t>。</w:t>
            </w:r>
          </w:p>
          <w:p w14:paraId="23FBBB04">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1、采购代理机构代理费：</w:t>
            </w:r>
            <w:r>
              <w:rPr>
                <w:rFonts w:hint="eastAsia" w:ascii="仿宋" w:hAnsi="仿宋" w:eastAsia="仿宋" w:cs="仿宋"/>
                <w:color w:val="auto"/>
                <w:spacing w:val="0"/>
                <w:w w:val="100"/>
                <w:position w:val="0"/>
                <w:sz w:val="28"/>
                <w:szCs w:val="28"/>
                <w:lang w:val="en-US" w:eastAsia="zh-CN"/>
              </w:rPr>
              <w:t>4000.00元每家</w:t>
            </w:r>
            <w:r>
              <w:rPr>
                <w:rFonts w:hint="eastAsia" w:ascii="仿宋" w:hAnsi="仿宋" w:eastAsia="仿宋" w:cs="仿宋"/>
                <w:color w:val="auto"/>
                <w:spacing w:val="0"/>
                <w:w w:val="100"/>
                <w:position w:val="0"/>
                <w:sz w:val="28"/>
                <w:szCs w:val="28"/>
              </w:rPr>
              <w:t>。</w:t>
            </w:r>
          </w:p>
          <w:p w14:paraId="276AC26A">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2、成交人在成交通知书办理前，一次性付清。</w:t>
            </w:r>
          </w:p>
        </w:tc>
      </w:tr>
      <w:tr w14:paraId="41B4E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trPr>
        <w:tc>
          <w:tcPr>
            <w:tcW w:w="1010" w:type="dxa"/>
            <w:vAlign w:val="center"/>
          </w:tcPr>
          <w:p w14:paraId="73F40096">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22</w:t>
            </w:r>
          </w:p>
        </w:tc>
        <w:tc>
          <w:tcPr>
            <w:tcW w:w="1707" w:type="dxa"/>
            <w:vAlign w:val="center"/>
          </w:tcPr>
          <w:p w14:paraId="13BDAD5B">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质疑函递交的方式</w:t>
            </w:r>
          </w:p>
        </w:tc>
        <w:tc>
          <w:tcPr>
            <w:tcW w:w="6298" w:type="dxa"/>
            <w:vAlign w:val="center"/>
          </w:tcPr>
          <w:p w14:paraId="475350F5">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snapToGrid w:val="0"/>
                <w:color w:val="auto"/>
                <w:spacing w:val="0"/>
                <w:w w:val="100"/>
                <w:kern w:val="2"/>
                <w:position w:val="0"/>
                <w:sz w:val="28"/>
                <w:szCs w:val="28"/>
                <w:lang w:val="en-US" w:eastAsia="en-US" w:bidi="ar-SA"/>
              </w:rPr>
            </w:pPr>
            <w:r>
              <w:rPr>
                <w:rFonts w:hint="eastAsia" w:ascii="仿宋" w:hAnsi="仿宋" w:eastAsia="仿宋" w:cs="仿宋"/>
                <w:snapToGrid w:val="0"/>
                <w:color w:val="auto"/>
                <w:spacing w:val="0"/>
                <w:w w:val="100"/>
                <w:kern w:val="2"/>
                <w:position w:val="0"/>
                <w:sz w:val="28"/>
                <w:szCs w:val="28"/>
                <w:lang w:val="en-US" w:eastAsia="en-US" w:bidi="ar-SA"/>
              </w:rPr>
              <w:t>递交方式：书面提出</w:t>
            </w:r>
          </w:p>
          <w:p w14:paraId="12E65D9B">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snapToGrid w:val="0"/>
                <w:color w:val="auto"/>
                <w:spacing w:val="0"/>
                <w:w w:val="100"/>
                <w:kern w:val="2"/>
                <w:position w:val="0"/>
                <w:sz w:val="28"/>
                <w:szCs w:val="28"/>
                <w:lang w:val="en-US" w:eastAsia="zh-CN" w:bidi="ar-SA"/>
              </w:rPr>
            </w:pPr>
            <w:r>
              <w:rPr>
                <w:rFonts w:hint="eastAsia" w:ascii="仿宋" w:hAnsi="仿宋" w:eastAsia="仿宋" w:cs="仿宋"/>
                <w:snapToGrid w:val="0"/>
                <w:color w:val="auto"/>
                <w:spacing w:val="0"/>
                <w:w w:val="100"/>
                <w:kern w:val="2"/>
                <w:position w:val="0"/>
                <w:sz w:val="28"/>
                <w:szCs w:val="28"/>
                <w:lang w:val="en-US" w:eastAsia="en-US" w:bidi="ar-SA"/>
              </w:rPr>
              <w:t>接收部门：</w:t>
            </w:r>
            <w:r>
              <w:rPr>
                <w:rFonts w:hint="eastAsia" w:cs="仿宋"/>
                <w:snapToGrid w:val="0"/>
                <w:color w:val="auto"/>
                <w:spacing w:val="0"/>
                <w:w w:val="100"/>
                <w:kern w:val="2"/>
                <w:position w:val="0"/>
                <w:sz w:val="28"/>
                <w:szCs w:val="28"/>
                <w:lang w:val="en-US" w:eastAsia="zh-CN" w:bidi="ar-SA"/>
              </w:rPr>
              <w:t xml:space="preserve">阜阳市颍东区机关事务管理服务中心 </w:t>
            </w:r>
            <w:r>
              <w:rPr>
                <w:rFonts w:hint="eastAsia" w:ascii="仿宋" w:hAnsi="仿宋" w:eastAsia="仿宋" w:cs="仿宋"/>
                <w:snapToGrid w:val="0"/>
                <w:color w:val="auto"/>
                <w:spacing w:val="0"/>
                <w:w w:val="100"/>
                <w:kern w:val="2"/>
                <w:position w:val="0"/>
                <w:sz w:val="28"/>
                <w:szCs w:val="28"/>
                <w:lang w:val="en-US" w:eastAsia="en-US" w:bidi="ar-SA"/>
              </w:rPr>
              <w:t>、</w:t>
            </w:r>
            <w:r>
              <w:rPr>
                <w:rFonts w:hint="eastAsia" w:cs="仿宋"/>
                <w:snapToGrid w:val="0"/>
                <w:color w:val="auto"/>
                <w:spacing w:val="0"/>
                <w:w w:val="100"/>
                <w:kern w:val="2"/>
                <w:position w:val="0"/>
                <w:sz w:val="28"/>
                <w:szCs w:val="28"/>
                <w:lang w:val="en-US" w:eastAsia="zh-CN" w:bidi="ar-SA"/>
              </w:rPr>
              <w:t>阜阳市晟景项目管理有限公司</w:t>
            </w:r>
          </w:p>
          <w:p w14:paraId="7C7E99C3">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snapToGrid w:val="0"/>
                <w:color w:val="auto"/>
                <w:spacing w:val="0"/>
                <w:w w:val="100"/>
                <w:kern w:val="2"/>
                <w:position w:val="0"/>
                <w:sz w:val="28"/>
                <w:szCs w:val="28"/>
                <w:lang w:val="en-US" w:eastAsia="zh-CN" w:bidi="ar-SA"/>
              </w:rPr>
            </w:pPr>
            <w:r>
              <w:rPr>
                <w:rFonts w:hint="eastAsia" w:ascii="仿宋" w:hAnsi="仿宋" w:eastAsia="仿宋" w:cs="仿宋"/>
                <w:snapToGrid w:val="0"/>
                <w:color w:val="auto"/>
                <w:spacing w:val="0"/>
                <w:w w:val="100"/>
                <w:kern w:val="2"/>
                <w:position w:val="0"/>
                <w:sz w:val="28"/>
                <w:szCs w:val="28"/>
                <w:lang w:val="en-US" w:eastAsia="en-US" w:bidi="ar-SA"/>
              </w:rPr>
              <w:t>联系电话：</w:t>
            </w:r>
            <w:r>
              <w:rPr>
                <w:rFonts w:hint="eastAsia" w:cs="仿宋"/>
                <w:snapToGrid w:val="0"/>
                <w:color w:val="auto"/>
                <w:spacing w:val="0"/>
                <w:w w:val="100"/>
                <w:kern w:val="2"/>
                <w:position w:val="0"/>
                <w:sz w:val="28"/>
                <w:szCs w:val="28"/>
                <w:lang w:val="en-US" w:eastAsia="zh-CN" w:bidi="ar-SA"/>
              </w:rPr>
              <w:t>13635581710</w:t>
            </w:r>
            <w:r>
              <w:rPr>
                <w:rFonts w:hint="eastAsia" w:ascii="仿宋" w:hAnsi="仿宋" w:eastAsia="仿宋" w:cs="仿宋"/>
                <w:snapToGrid w:val="0"/>
                <w:color w:val="auto"/>
                <w:spacing w:val="0"/>
                <w:w w:val="100"/>
                <w:kern w:val="2"/>
                <w:position w:val="0"/>
                <w:sz w:val="28"/>
                <w:szCs w:val="28"/>
                <w:lang w:val="en-US" w:eastAsia="zh-CN" w:bidi="ar-SA"/>
              </w:rPr>
              <w:t>、</w:t>
            </w:r>
            <w:r>
              <w:rPr>
                <w:rFonts w:hint="eastAsia" w:cs="仿宋"/>
                <w:snapToGrid w:val="0"/>
                <w:color w:val="auto"/>
                <w:spacing w:val="0"/>
                <w:w w:val="100"/>
                <w:kern w:val="2"/>
                <w:position w:val="0"/>
                <w:sz w:val="28"/>
                <w:szCs w:val="28"/>
                <w:lang w:val="en-US" w:eastAsia="zh-CN" w:bidi="ar-SA"/>
              </w:rPr>
              <w:t>17755859266</w:t>
            </w:r>
          </w:p>
          <w:p w14:paraId="77215D5F">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snapToGrid w:val="0"/>
                <w:color w:val="auto"/>
                <w:spacing w:val="0"/>
                <w:w w:val="100"/>
                <w:kern w:val="2"/>
                <w:position w:val="0"/>
                <w:sz w:val="28"/>
                <w:szCs w:val="28"/>
                <w:lang w:val="en-US" w:eastAsia="zh-CN" w:bidi="ar-SA"/>
              </w:rPr>
            </w:pPr>
            <w:r>
              <w:rPr>
                <w:rFonts w:hint="eastAsia" w:ascii="仿宋" w:hAnsi="仿宋" w:eastAsia="仿宋" w:cs="仿宋"/>
                <w:snapToGrid w:val="0"/>
                <w:color w:val="auto"/>
                <w:spacing w:val="0"/>
                <w:w w:val="100"/>
                <w:kern w:val="2"/>
                <w:position w:val="0"/>
                <w:sz w:val="28"/>
                <w:szCs w:val="28"/>
                <w:lang w:val="en-US" w:eastAsia="en-US" w:bidi="ar-SA"/>
              </w:rPr>
              <w:t>通讯地址：</w:t>
            </w:r>
            <w:r>
              <w:rPr>
                <w:rFonts w:hint="eastAsia" w:cs="仿宋"/>
                <w:snapToGrid w:val="0"/>
                <w:color w:val="auto"/>
                <w:spacing w:val="0"/>
                <w:w w:val="100"/>
                <w:kern w:val="2"/>
                <w:position w:val="0"/>
                <w:sz w:val="28"/>
                <w:szCs w:val="28"/>
                <w:lang w:val="en-US" w:eastAsia="zh-CN" w:bidi="ar-SA"/>
              </w:rPr>
              <w:t>安徽省阜阳市颍东区北京东路216号</w:t>
            </w:r>
            <w:r>
              <w:rPr>
                <w:rFonts w:hint="eastAsia" w:ascii="仿宋" w:hAnsi="仿宋" w:eastAsia="仿宋" w:cs="仿宋"/>
                <w:snapToGrid w:val="0"/>
                <w:color w:val="auto"/>
                <w:spacing w:val="0"/>
                <w:w w:val="100"/>
                <w:kern w:val="2"/>
                <w:position w:val="0"/>
                <w:sz w:val="28"/>
                <w:szCs w:val="28"/>
                <w:lang w:val="en-US" w:eastAsia="en-US" w:bidi="ar-SA"/>
              </w:rPr>
              <w:t>、</w:t>
            </w:r>
            <w:r>
              <w:rPr>
                <w:rFonts w:hint="eastAsia" w:cs="仿宋"/>
                <w:snapToGrid w:val="0"/>
                <w:color w:val="auto"/>
                <w:spacing w:val="0"/>
                <w:w w:val="100"/>
                <w:kern w:val="2"/>
                <w:position w:val="0"/>
                <w:sz w:val="28"/>
                <w:szCs w:val="28"/>
                <w:lang w:val="en-US" w:eastAsia="zh-CN" w:bidi="ar-SA"/>
              </w:rPr>
              <w:t>安徽省阜阳市颍东区向阳街道东旭路5号东坪圩农民安置区16＃楼</w:t>
            </w:r>
          </w:p>
        </w:tc>
      </w:tr>
      <w:tr w14:paraId="34A62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1010" w:type="dxa"/>
            <w:vAlign w:val="center"/>
          </w:tcPr>
          <w:p w14:paraId="0950D005">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23</w:t>
            </w:r>
          </w:p>
        </w:tc>
        <w:tc>
          <w:tcPr>
            <w:tcW w:w="1707" w:type="dxa"/>
            <w:vAlign w:val="center"/>
          </w:tcPr>
          <w:p w14:paraId="5316114D">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投诉函递交的方式</w:t>
            </w:r>
          </w:p>
        </w:tc>
        <w:tc>
          <w:tcPr>
            <w:tcW w:w="6298" w:type="dxa"/>
            <w:vAlign w:val="center"/>
          </w:tcPr>
          <w:p w14:paraId="51C8A0AE">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snapToGrid w:val="0"/>
                <w:color w:val="auto"/>
                <w:spacing w:val="0"/>
                <w:w w:val="100"/>
                <w:kern w:val="2"/>
                <w:position w:val="0"/>
                <w:sz w:val="28"/>
                <w:szCs w:val="28"/>
                <w:lang w:val="en-US" w:eastAsia="en-US" w:bidi="ar-SA"/>
              </w:rPr>
            </w:pPr>
            <w:r>
              <w:rPr>
                <w:rFonts w:hint="eastAsia" w:ascii="仿宋" w:hAnsi="仿宋" w:eastAsia="仿宋" w:cs="仿宋"/>
                <w:snapToGrid w:val="0"/>
                <w:color w:val="auto"/>
                <w:spacing w:val="0"/>
                <w:w w:val="100"/>
                <w:kern w:val="2"/>
                <w:position w:val="0"/>
                <w:sz w:val="28"/>
                <w:szCs w:val="28"/>
                <w:lang w:val="en-US" w:eastAsia="en-US" w:bidi="ar-SA"/>
              </w:rPr>
              <w:t>递交方式：书面提出</w:t>
            </w:r>
          </w:p>
          <w:p w14:paraId="1A1AE929">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snapToGrid w:val="0"/>
                <w:color w:val="auto"/>
                <w:spacing w:val="0"/>
                <w:w w:val="100"/>
                <w:kern w:val="2"/>
                <w:position w:val="0"/>
                <w:sz w:val="28"/>
                <w:szCs w:val="28"/>
                <w:lang w:val="en-US" w:eastAsia="zh-CN" w:bidi="ar-SA"/>
              </w:rPr>
            </w:pPr>
            <w:r>
              <w:rPr>
                <w:rFonts w:hint="eastAsia" w:ascii="仿宋" w:hAnsi="仿宋" w:eastAsia="仿宋" w:cs="仿宋"/>
                <w:snapToGrid w:val="0"/>
                <w:color w:val="auto"/>
                <w:spacing w:val="0"/>
                <w:w w:val="100"/>
                <w:kern w:val="2"/>
                <w:position w:val="0"/>
                <w:sz w:val="28"/>
                <w:szCs w:val="28"/>
                <w:lang w:val="en-US" w:eastAsia="en-US" w:bidi="ar-SA"/>
              </w:rPr>
              <w:t>接收部门：</w:t>
            </w:r>
            <w:r>
              <w:rPr>
                <w:rFonts w:hint="eastAsia" w:cs="仿宋"/>
                <w:snapToGrid w:val="0"/>
                <w:color w:val="auto"/>
                <w:spacing w:val="0"/>
                <w:w w:val="100"/>
                <w:kern w:val="2"/>
                <w:position w:val="0"/>
                <w:sz w:val="28"/>
                <w:szCs w:val="28"/>
                <w:lang w:val="en-US" w:eastAsia="zh-CN" w:bidi="ar-SA"/>
              </w:rPr>
              <w:t>阜阳市颍东区财政局</w:t>
            </w:r>
          </w:p>
          <w:p w14:paraId="6C8C34F7">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snapToGrid w:val="0"/>
                <w:color w:val="auto"/>
                <w:spacing w:val="0"/>
                <w:w w:val="100"/>
                <w:kern w:val="2"/>
                <w:position w:val="0"/>
                <w:sz w:val="28"/>
                <w:szCs w:val="28"/>
                <w:lang w:val="en-US" w:eastAsia="zh-CN" w:bidi="ar-SA"/>
              </w:rPr>
            </w:pPr>
            <w:r>
              <w:rPr>
                <w:rFonts w:hint="eastAsia" w:ascii="仿宋" w:hAnsi="仿宋" w:eastAsia="仿宋" w:cs="仿宋"/>
                <w:snapToGrid w:val="0"/>
                <w:color w:val="auto"/>
                <w:spacing w:val="0"/>
                <w:w w:val="100"/>
                <w:kern w:val="2"/>
                <w:position w:val="0"/>
                <w:sz w:val="28"/>
                <w:szCs w:val="28"/>
                <w:lang w:val="en-US" w:eastAsia="en-US" w:bidi="ar-SA"/>
              </w:rPr>
              <w:t>联系电话：</w:t>
            </w:r>
            <w:r>
              <w:rPr>
                <w:rFonts w:hint="eastAsia" w:cs="仿宋"/>
                <w:snapToGrid w:val="0"/>
                <w:color w:val="auto"/>
                <w:spacing w:val="0"/>
                <w:w w:val="100"/>
                <w:kern w:val="2"/>
                <w:position w:val="0"/>
                <w:sz w:val="28"/>
                <w:szCs w:val="28"/>
                <w:lang w:val="en-US" w:eastAsia="zh-CN" w:bidi="ar-SA"/>
              </w:rPr>
              <w:t>0558-</w:t>
            </w:r>
            <w:r>
              <w:rPr>
                <w:rFonts w:hint="eastAsia" w:ascii="仿宋" w:hAnsi="仿宋" w:eastAsia="仿宋" w:cs="仿宋"/>
                <w:snapToGrid w:val="0"/>
                <w:color w:val="auto"/>
                <w:spacing w:val="0"/>
                <w:w w:val="100"/>
                <w:kern w:val="2"/>
                <w:position w:val="0"/>
                <w:sz w:val="28"/>
                <w:szCs w:val="28"/>
                <w:lang w:val="en-US" w:eastAsia="en-US" w:bidi="ar-SA"/>
              </w:rPr>
              <w:t>2706816</w:t>
            </w:r>
          </w:p>
          <w:p w14:paraId="1AA7F231">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snapToGrid w:val="0"/>
                <w:color w:val="auto"/>
                <w:spacing w:val="0"/>
                <w:w w:val="100"/>
                <w:kern w:val="2"/>
                <w:position w:val="0"/>
                <w:sz w:val="28"/>
                <w:szCs w:val="28"/>
                <w:lang w:val="en-US" w:eastAsia="en-US" w:bidi="ar-SA"/>
              </w:rPr>
            </w:pPr>
            <w:r>
              <w:rPr>
                <w:rFonts w:hint="eastAsia" w:ascii="仿宋" w:hAnsi="仿宋" w:eastAsia="仿宋" w:cs="仿宋"/>
                <w:snapToGrid w:val="0"/>
                <w:color w:val="auto"/>
                <w:spacing w:val="0"/>
                <w:w w:val="100"/>
                <w:kern w:val="2"/>
                <w:position w:val="0"/>
                <w:sz w:val="28"/>
                <w:szCs w:val="28"/>
                <w:lang w:val="en-US" w:eastAsia="en-US" w:bidi="ar-SA"/>
              </w:rPr>
              <w:t>通讯地址：</w:t>
            </w:r>
            <w:r>
              <w:rPr>
                <w:rFonts w:hint="eastAsia" w:cs="仿宋"/>
                <w:snapToGrid w:val="0"/>
                <w:color w:val="auto"/>
                <w:spacing w:val="0"/>
                <w:w w:val="100"/>
                <w:kern w:val="2"/>
                <w:position w:val="0"/>
                <w:sz w:val="28"/>
                <w:szCs w:val="28"/>
                <w:lang w:val="en-US" w:eastAsia="zh-CN" w:bidi="ar-SA"/>
              </w:rPr>
              <w:t xml:space="preserve">颍东区东湖路与东旭路交叉口南侧 50 米 </w:t>
            </w:r>
          </w:p>
        </w:tc>
      </w:tr>
      <w:tr w14:paraId="3DE80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0" w:type="dxa"/>
            <w:vAlign w:val="center"/>
          </w:tcPr>
          <w:p w14:paraId="01E32DF1">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24</w:t>
            </w:r>
          </w:p>
        </w:tc>
        <w:tc>
          <w:tcPr>
            <w:tcW w:w="1707" w:type="dxa"/>
            <w:vAlign w:val="center"/>
          </w:tcPr>
          <w:p w14:paraId="5B3BFFE7">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本项目提供除征集文件以外的其他资料</w:t>
            </w:r>
          </w:p>
        </w:tc>
        <w:tc>
          <w:tcPr>
            <w:tcW w:w="6298" w:type="dxa"/>
            <w:vAlign w:val="center"/>
          </w:tcPr>
          <w:p w14:paraId="1575FD58">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☑无</w:t>
            </w:r>
          </w:p>
        </w:tc>
      </w:tr>
      <w:tr w14:paraId="40AD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1010" w:type="dxa"/>
            <w:vAlign w:val="center"/>
          </w:tcPr>
          <w:p w14:paraId="1907A8E4">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cs="仿宋"/>
                <w:color w:val="auto"/>
                <w:spacing w:val="0"/>
                <w:w w:val="100"/>
                <w:position w:val="0"/>
                <w:sz w:val="28"/>
                <w:szCs w:val="28"/>
                <w:lang w:val="en-US" w:eastAsia="zh-CN"/>
              </w:rPr>
              <w:t>25</w:t>
            </w:r>
          </w:p>
        </w:tc>
        <w:tc>
          <w:tcPr>
            <w:tcW w:w="1707" w:type="dxa"/>
            <w:vAlign w:val="center"/>
          </w:tcPr>
          <w:p w14:paraId="0B832807">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清退规则</w:t>
            </w:r>
          </w:p>
        </w:tc>
        <w:tc>
          <w:tcPr>
            <w:tcW w:w="6298" w:type="dxa"/>
            <w:vAlign w:val="center"/>
          </w:tcPr>
          <w:p w14:paraId="50FDBCC0">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入围供应商存在《政府采购框架协议采购方式管理暂行办法》第十九条规定情形的，尚未签订框架协议的，取消其入围资格；已经签订框架协议的，解除与其签订的框架协议。</w:t>
            </w:r>
          </w:p>
        </w:tc>
      </w:tr>
      <w:tr w14:paraId="16835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1010" w:type="dxa"/>
            <w:vAlign w:val="center"/>
          </w:tcPr>
          <w:p w14:paraId="0916CBB5">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cs="仿宋"/>
                <w:color w:val="auto"/>
                <w:spacing w:val="0"/>
                <w:w w:val="100"/>
                <w:position w:val="0"/>
                <w:sz w:val="28"/>
                <w:szCs w:val="28"/>
                <w:lang w:val="en-US" w:eastAsia="zh-CN"/>
              </w:rPr>
              <w:t>26</w:t>
            </w:r>
          </w:p>
        </w:tc>
        <w:tc>
          <w:tcPr>
            <w:tcW w:w="1707" w:type="dxa"/>
            <w:vAlign w:val="center"/>
          </w:tcPr>
          <w:p w14:paraId="7D0C2B60">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补充规则</w:t>
            </w:r>
          </w:p>
        </w:tc>
        <w:tc>
          <w:tcPr>
            <w:tcW w:w="6298" w:type="dxa"/>
            <w:vAlign w:val="center"/>
          </w:tcPr>
          <w:p w14:paraId="18F87CEC">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除剩余入围供应商不足入围供应商总数 70%</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且影响框架协议执行的情形外，框架协议有效期内，征集人不得补充征集供应商。</w:t>
            </w:r>
          </w:p>
          <w:p w14:paraId="0A579734">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人补充征集供应商的，补充征集规则应当在框架协议中约定，补充征集的条件、程序、评审方法和淘汰比例应当与初次征集相同。补充征集应当遵守原框架协议的有效期。补充征集期间，原框架协议继续履行。</w:t>
            </w:r>
          </w:p>
        </w:tc>
      </w:tr>
      <w:tr w14:paraId="7B69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1010" w:type="dxa"/>
            <w:vAlign w:val="center"/>
          </w:tcPr>
          <w:p w14:paraId="4E48B404">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cs="仿宋"/>
                <w:color w:val="auto"/>
                <w:spacing w:val="0"/>
                <w:w w:val="100"/>
                <w:position w:val="0"/>
                <w:sz w:val="28"/>
                <w:szCs w:val="28"/>
                <w:lang w:val="en-US" w:eastAsia="zh-CN"/>
              </w:rPr>
              <w:t>27</w:t>
            </w:r>
          </w:p>
        </w:tc>
        <w:tc>
          <w:tcPr>
            <w:tcW w:w="1707" w:type="dxa"/>
            <w:vAlign w:val="center"/>
          </w:tcPr>
          <w:p w14:paraId="68220184">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用户反馈和评价机制</w:t>
            </w:r>
          </w:p>
        </w:tc>
        <w:tc>
          <w:tcPr>
            <w:tcW w:w="6298" w:type="dxa"/>
            <w:vAlign w:val="center"/>
          </w:tcPr>
          <w:p w14:paraId="214485CE">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根据用户反馈和评价机制约定，</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和服务对象对入围供应商履行框架协议和采购合同情况的反馈与评价，用户反馈和评价情况将向</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和服务对象公开，并作为第二阶段直接选定成交供应商的参考。</w:t>
            </w:r>
          </w:p>
        </w:tc>
      </w:tr>
      <w:tr w14:paraId="60A45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0" w:type="dxa"/>
            <w:vAlign w:val="center"/>
          </w:tcPr>
          <w:p w14:paraId="6FC2F5B5">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2</w:t>
            </w:r>
            <w:r>
              <w:rPr>
                <w:rFonts w:hint="eastAsia" w:cs="仿宋"/>
                <w:color w:val="auto"/>
                <w:spacing w:val="0"/>
                <w:w w:val="100"/>
                <w:position w:val="0"/>
                <w:sz w:val="28"/>
                <w:szCs w:val="28"/>
                <w:lang w:val="en-US" w:eastAsia="zh-CN"/>
              </w:rPr>
              <w:t>8</w:t>
            </w:r>
          </w:p>
        </w:tc>
        <w:tc>
          <w:tcPr>
            <w:tcW w:w="1707" w:type="dxa"/>
            <w:vAlign w:val="center"/>
          </w:tcPr>
          <w:p w14:paraId="3843EE5F">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解释权</w:t>
            </w:r>
          </w:p>
        </w:tc>
        <w:tc>
          <w:tcPr>
            <w:tcW w:w="6298" w:type="dxa"/>
            <w:vAlign w:val="center"/>
          </w:tcPr>
          <w:p w14:paraId="140593D2">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(1)构成本征集文件的各个组成文件应互为解释，互为说明；</w:t>
            </w:r>
          </w:p>
          <w:p w14:paraId="0BF70B99">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(2)同一组成文件中就同一事项的规定或约定不一致的，以编排顺序在后者为准；</w:t>
            </w:r>
          </w:p>
          <w:p w14:paraId="2FF6CCED">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(3)如有不明确或不一致，构成合同文件组成内容的，以合同文件约定内容为准，且以专用合同条款约定的合同文件优先顺序解释；</w:t>
            </w:r>
          </w:p>
          <w:p w14:paraId="222D8ED6">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(4)除征集文件中有特别规定外，仅适用于招标投标阶段的规定，按征集公告、供应商须知、评标方法和标准、征集响应文件格式的先后顺序解释；</w:t>
            </w:r>
          </w:p>
          <w:p w14:paraId="78BF90E1">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（5）按本款前述规定仍不能形成结论的，由征集人负责解释。</w:t>
            </w:r>
          </w:p>
        </w:tc>
      </w:tr>
      <w:tr w14:paraId="5796B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1010" w:type="dxa"/>
            <w:vAlign w:val="center"/>
          </w:tcPr>
          <w:p w14:paraId="197B03BF">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2</w:t>
            </w:r>
            <w:r>
              <w:rPr>
                <w:rFonts w:hint="eastAsia" w:cs="仿宋"/>
                <w:color w:val="auto"/>
                <w:spacing w:val="0"/>
                <w:w w:val="100"/>
                <w:position w:val="0"/>
                <w:sz w:val="28"/>
                <w:szCs w:val="28"/>
                <w:lang w:val="en-US" w:eastAsia="zh-CN"/>
              </w:rPr>
              <w:t>9</w:t>
            </w:r>
          </w:p>
        </w:tc>
        <w:tc>
          <w:tcPr>
            <w:tcW w:w="1707" w:type="dxa"/>
            <w:vAlign w:val="center"/>
          </w:tcPr>
          <w:p w14:paraId="182B1A5C">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重要提示</w:t>
            </w:r>
          </w:p>
        </w:tc>
        <w:tc>
          <w:tcPr>
            <w:tcW w:w="6298" w:type="dxa"/>
            <w:vAlign w:val="center"/>
          </w:tcPr>
          <w:p w14:paraId="6432EC1D">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（1）入围供应商应在规定期限内与征集人签订框架协议，若入围供应商未能在规定期限内签订框架协议,征集人有权取消入围供应商入围资格，并将相关违约行为报送监管部门，实施信用惩戒；</w:t>
            </w:r>
          </w:p>
          <w:p w14:paraId="5FD2A5D1">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（2）采购合同签订后，入围供应商存在规定时间内不组织人员进场开工，不履行供货、安装或服务义务等情况，征集人有权解除框架协议，并追究违约责任，同时将相关违约行为报送监管部门</w:t>
            </w:r>
            <w:r>
              <w:rPr>
                <w:rFonts w:hint="eastAsia" w:ascii="仿宋" w:hAnsi="仿宋" w:eastAsia="仿宋" w:cs="仿宋"/>
                <w:color w:val="auto"/>
                <w:spacing w:val="0"/>
                <w:w w:val="100"/>
                <w:position w:val="0"/>
                <w:sz w:val="28"/>
                <w:szCs w:val="28"/>
                <w:lang w:eastAsia="zh-CN"/>
              </w:rPr>
              <w:t>，登</w:t>
            </w:r>
            <w:r>
              <w:rPr>
                <w:rFonts w:hint="eastAsia" w:ascii="仿宋" w:hAnsi="仿宋" w:eastAsia="仿宋" w:cs="仿宋"/>
                <w:color w:val="auto"/>
                <w:spacing w:val="0"/>
                <w:w w:val="100"/>
                <w:position w:val="0"/>
                <w:sz w:val="28"/>
                <w:szCs w:val="28"/>
              </w:rPr>
              <w:t>记不良行为记录，实施信用惩戒；</w:t>
            </w:r>
          </w:p>
          <w:p w14:paraId="0EA2EA6E">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（3）入围供应商入围后被监管部门查实存在违法行为，不满足入围条件的，由征集人取消入围资格，并做好项目后续工作；</w:t>
            </w:r>
          </w:p>
          <w:p w14:paraId="7B2421D0">
            <w:pPr>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color w:val="auto"/>
                <w:spacing w:val="0"/>
                <w:w w:val="100"/>
                <w:position w:val="0"/>
                <w:sz w:val="28"/>
                <w:szCs w:val="28"/>
              </w:rPr>
            </w:pPr>
            <w:r>
              <w:rPr>
                <w:rFonts w:hint="eastAsia" w:ascii="仿宋" w:hAnsi="仿宋" w:eastAsia="仿宋" w:cs="仿宋"/>
                <w:color w:val="auto"/>
                <w:spacing w:val="0"/>
                <w:w w:val="100"/>
                <w:position w:val="0"/>
                <w:sz w:val="28"/>
                <w:szCs w:val="28"/>
              </w:rPr>
              <w:t>（4）入围供应商在项目发生投诉、信访举报案件、履约存在争议时，拒绝协助配合执法部门调查案件的，征集人可以取消其入围资格或解除框架协议，并追究其违约责任。</w:t>
            </w:r>
          </w:p>
        </w:tc>
      </w:tr>
      <w:tr w14:paraId="0BF56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10" w:type="dxa"/>
            <w:vAlign w:val="center"/>
          </w:tcPr>
          <w:p w14:paraId="66EBE4B3">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default" w:ascii="仿宋" w:hAnsi="仿宋" w:eastAsia="仿宋" w:cs="仿宋"/>
                <w:color w:val="auto"/>
                <w:spacing w:val="0"/>
                <w:w w:val="100"/>
                <w:position w:val="0"/>
                <w:sz w:val="28"/>
                <w:szCs w:val="28"/>
                <w:lang w:val="en-US" w:eastAsia="zh-CN"/>
              </w:rPr>
            </w:pPr>
            <w:r>
              <w:rPr>
                <w:rFonts w:hint="eastAsia" w:cs="仿宋"/>
                <w:color w:val="auto"/>
                <w:spacing w:val="0"/>
                <w:w w:val="100"/>
                <w:position w:val="0"/>
                <w:sz w:val="28"/>
                <w:szCs w:val="28"/>
                <w:lang w:val="en-US" w:eastAsia="zh-CN"/>
              </w:rPr>
              <w:t>30</w:t>
            </w:r>
          </w:p>
        </w:tc>
        <w:tc>
          <w:tcPr>
            <w:tcW w:w="1707" w:type="dxa"/>
            <w:vAlign w:val="center"/>
          </w:tcPr>
          <w:p w14:paraId="7498153F">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其他补充说明</w:t>
            </w:r>
          </w:p>
        </w:tc>
        <w:tc>
          <w:tcPr>
            <w:tcW w:w="6298" w:type="dxa"/>
            <w:vAlign w:val="center"/>
          </w:tcPr>
          <w:p w14:paraId="693A2C4F">
            <w:pPr>
              <w:pStyle w:val="23"/>
              <w:keepNext w:val="0"/>
              <w:keepLines w:val="0"/>
              <w:pageBreakBefore w:val="0"/>
              <w:widowControl/>
              <w:kinsoku w:val="0"/>
              <w:wordWrap/>
              <w:overflowPunct/>
              <w:topLinePunct w:val="0"/>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snapToGrid w:val="0"/>
                <w:color w:val="auto"/>
                <w:spacing w:val="0"/>
                <w:w w:val="100"/>
                <w:kern w:val="0"/>
                <w:position w:val="0"/>
                <w:sz w:val="28"/>
                <w:szCs w:val="28"/>
                <w:lang w:val="en-US" w:eastAsia="en-US" w:bidi="ar-SA"/>
              </w:rPr>
              <w:t>入围结果公告结束后，入围供应商</w:t>
            </w:r>
            <w:r>
              <w:rPr>
                <w:rFonts w:hint="eastAsia" w:cs="仿宋"/>
                <w:snapToGrid w:val="0"/>
                <w:color w:val="auto"/>
                <w:spacing w:val="0"/>
                <w:w w:val="100"/>
                <w:kern w:val="0"/>
                <w:position w:val="0"/>
                <w:sz w:val="28"/>
                <w:szCs w:val="28"/>
                <w:lang w:val="en-US" w:eastAsia="zh-CN" w:bidi="ar-SA"/>
              </w:rPr>
              <w:t>需</w:t>
            </w:r>
            <w:r>
              <w:rPr>
                <w:rFonts w:hint="eastAsia" w:ascii="仿宋" w:hAnsi="仿宋" w:eastAsia="仿宋" w:cs="仿宋"/>
                <w:snapToGrid w:val="0"/>
                <w:color w:val="auto"/>
                <w:spacing w:val="0"/>
                <w:w w:val="100"/>
                <w:kern w:val="0"/>
                <w:position w:val="0"/>
                <w:sz w:val="28"/>
                <w:szCs w:val="28"/>
                <w:lang w:val="en-US" w:eastAsia="en-US" w:bidi="ar-SA"/>
              </w:rPr>
              <w:t>提供征集响应文件纸质版3份（胶装，一正两副），以及非加密电子版（U盘）征集响应文件</w:t>
            </w:r>
            <w:r>
              <w:rPr>
                <w:rFonts w:hint="eastAsia" w:cs="仿宋"/>
                <w:snapToGrid w:val="0"/>
                <w:color w:val="auto"/>
                <w:spacing w:val="0"/>
                <w:w w:val="100"/>
                <w:kern w:val="0"/>
                <w:position w:val="0"/>
                <w:sz w:val="28"/>
                <w:szCs w:val="28"/>
                <w:lang w:val="en-US" w:eastAsia="zh-CN" w:bidi="ar-SA"/>
              </w:rPr>
              <w:t>3</w:t>
            </w:r>
            <w:r>
              <w:rPr>
                <w:rFonts w:hint="eastAsia" w:ascii="仿宋" w:hAnsi="仿宋" w:eastAsia="仿宋" w:cs="仿宋"/>
                <w:snapToGrid w:val="0"/>
                <w:color w:val="auto"/>
                <w:spacing w:val="0"/>
                <w:w w:val="100"/>
                <w:kern w:val="0"/>
                <w:position w:val="0"/>
                <w:sz w:val="28"/>
                <w:szCs w:val="28"/>
                <w:lang w:val="en-US" w:eastAsia="en-US" w:bidi="ar-SA"/>
              </w:rPr>
              <w:t>份。</w:t>
            </w:r>
          </w:p>
        </w:tc>
      </w:tr>
    </w:tbl>
    <w:p w14:paraId="7D7999E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8" w:type="default"/>
          <w:pgSz w:w="11922" w:h="16849"/>
          <w:pgMar w:top="1440" w:right="1803" w:bottom="1440" w:left="1803" w:header="1134" w:footer="1253" w:gutter="0"/>
          <w:pgNumType w:fmt="decimal"/>
          <w:cols w:space="0" w:num="1"/>
          <w:rtlGutter w:val="0"/>
          <w:docGrid w:linePitch="0" w:charSpace="0"/>
        </w:sectPr>
      </w:pPr>
    </w:p>
    <w:p w14:paraId="42C2BB81">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rPr>
      </w:pPr>
      <w:bookmarkStart w:id="3" w:name="_Toc32705"/>
      <w:r>
        <w:rPr>
          <w:rFonts w:hint="eastAsia" w:ascii="仿宋" w:hAnsi="仿宋" w:eastAsia="仿宋" w:cs="仿宋"/>
          <w:b/>
          <w:bCs/>
          <w:color w:val="auto"/>
          <w:spacing w:val="0"/>
          <w:w w:val="100"/>
          <w:position w:val="0"/>
          <w:sz w:val="28"/>
          <w:szCs w:val="28"/>
        </w:rPr>
        <w:t>二、供应商须知正文</w:t>
      </w:r>
      <w:bookmarkEnd w:id="3"/>
    </w:p>
    <w:p w14:paraId="422F010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供应商须知</w:t>
      </w:r>
    </w:p>
    <w:p w14:paraId="6E641D5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rPr>
      </w:pPr>
      <w:r>
        <w:rPr>
          <w:rFonts w:hint="eastAsia" w:ascii="仿宋" w:hAnsi="仿宋" w:eastAsia="仿宋" w:cs="仿宋"/>
          <w:b/>
          <w:bCs/>
          <w:color w:val="auto"/>
          <w:spacing w:val="0"/>
          <w:w w:val="100"/>
          <w:position w:val="0"/>
          <w:sz w:val="28"/>
          <w:szCs w:val="28"/>
          <w:lang w:val="en-US" w:eastAsia="zh-CN"/>
        </w:rPr>
        <w:t>一、</w:t>
      </w:r>
      <w:r>
        <w:rPr>
          <w:rFonts w:hint="eastAsia" w:ascii="仿宋" w:hAnsi="仿宋" w:eastAsia="仿宋" w:cs="仿宋"/>
          <w:b/>
          <w:bCs/>
          <w:color w:val="auto"/>
          <w:spacing w:val="0"/>
          <w:w w:val="100"/>
          <w:position w:val="0"/>
          <w:sz w:val="28"/>
          <w:szCs w:val="28"/>
        </w:rPr>
        <w:t>适用范围</w:t>
      </w:r>
    </w:p>
    <w:p w14:paraId="704E5B8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1.1本征集文件仅适用于本次采购所述的服务项目采购。</w:t>
      </w:r>
    </w:p>
    <w:p w14:paraId="455CD86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2.定义</w:t>
      </w:r>
    </w:p>
    <w:p w14:paraId="43F73F3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2.1服务：系指除货物和工程以外的其他政府采购对象，包括咨询、调研、评估、规划、设计、监理、审计、保险、租赁、印刷、维修、物业管理等。</w:t>
      </w:r>
    </w:p>
    <w:p w14:paraId="0396B50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2.1.1时限(年份、月份等)计算：系指从征集之日向前追溯 X年/月 (“X ”为“一 ”及以后整数)起算。</w:t>
      </w:r>
    </w:p>
    <w:p w14:paraId="575F4DD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2.2业绩：除非本征集文件中另有规定，业绩系指符合本征集文件规定的与最终用户签订的合同。供应商与其关联公司(如母公司、控股公司、分公司、子公司、同一法定代表人的公司等)之间签订的合同，均不予认可。</w:t>
      </w:r>
    </w:p>
    <w:p w14:paraId="7A6FA31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除非本征集文件中另有规定，否则业绩均为已服务完毕的业绩，业绩时间均以合同签订之日为追溯节点。</w:t>
      </w:r>
    </w:p>
    <w:p w14:paraId="6F2DD56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3.征集人、采购代理机构及供应商</w:t>
      </w:r>
    </w:p>
    <w:p w14:paraId="2A82221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3.1征集人：集中采购机构、主管预算单位及其委托的采购代理机构，统称征集人。</w:t>
      </w:r>
    </w:p>
    <w:p w14:paraId="2D8A9A8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3.2采购代理机构：是指集中采购机构或从事采购代理业务的社会中介机构。本项目的采购代理机构见供应商须知前附表。</w:t>
      </w:r>
    </w:p>
    <w:p w14:paraId="0DC5A09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3.3政府采购监督管理部门：各级人民政府指定的有关部门依法履行与政府采购活动有关的监督管理职责。</w:t>
      </w:r>
    </w:p>
    <w:p w14:paraId="668231A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3.4本项目的政府采购监督管理部门见供应商须知前附表。</w:t>
      </w:r>
    </w:p>
    <w:p w14:paraId="21F2E19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3.5供应商：是指向征集人提供货物、工程或者服务的法人、非法人组织或者自然人。分支机构不得参加政府采购活动，但银行、保险、石油石化、电力、电信等特殊行业除外。</w:t>
      </w:r>
    </w:p>
    <w:p w14:paraId="1807051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本项目的供应商须满足以下条件：</w:t>
      </w:r>
    </w:p>
    <w:p w14:paraId="4E7B8CF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3.5.1在中华人民共和国境内注册，能够独立承担民事责任，有生产或供应能力的本国供应商。</w:t>
      </w:r>
    </w:p>
    <w:p w14:paraId="4858251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3.5.2具备《中华人民共和国政府采购法》第二十二条关于供应商条件的规定，遵守 本项目征集人本级和上级财政部门政府采购的有关规定</w:t>
      </w:r>
    </w:p>
    <w:p w14:paraId="4E397A2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3.5.3以采购代理机构认可的方式获得了本项目的征集文件。</w:t>
      </w:r>
    </w:p>
    <w:p w14:paraId="59E5827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3.5.4若供应商须知前附表中写明专门面向中小企业采购的，如供应商为非中小企业，其征集响应文件将被认定为响应无效。</w:t>
      </w:r>
    </w:p>
    <w:p w14:paraId="35A2CC1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3.5.5单位负责人为同一人或者存在直接控股、管理关系的不同供应商，不得参加同一合同项下的政府采购活动。否则其相关征集响应文件将被认定为响应无效。</w:t>
      </w:r>
    </w:p>
    <w:p w14:paraId="5E1261A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3.6为本项目提供过整体设计、规范编制或者项目管理、监理、检测等服务的供应商，不得再参加本项目上述服务以外的其他采购活动。否则其征集响应文件将被认定为响应无效。</w:t>
      </w:r>
    </w:p>
    <w:p w14:paraId="53E749A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4.资金来源</w:t>
      </w:r>
    </w:p>
    <w:p w14:paraId="704E613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4.1本项目的征集人已获得足以支付本次征集后所签订的合同项下的资金。 </w:t>
      </w:r>
    </w:p>
    <w:p w14:paraId="4E6E0BA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4.2项目预算金额或分项(或分包)预算金额见征集公告。</w:t>
      </w:r>
    </w:p>
    <w:p w14:paraId="0E2996A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5.征集费用</w:t>
      </w:r>
    </w:p>
    <w:p w14:paraId="4FCEE90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不论征集的结果如何，供应商应承担其所有与准备和参加征集有关的费用。</w:t>
      </w:r>
    </w:p>
    <w:p w14:paraId="2C3BD89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6.适用法律</w:t>
      </w:r>
    </w:p>
    <w:p w14:paraId="3C2DF5E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项目征集人、采购代理机构、供应商、征集评审小组的相关行为均受《中华人民共和国政府采购法》、《中华人民共和国政府采购法实施条例》及本项目本级和上级财政部门、政府采购监督管理部门的政府采购有关规定的约束，其权利受到上述法律法规的保护。</w:t>
      </w:r>
    </w:p>
    <w:p w14:paraId="6846248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lang w:val="en-US" w:eastAsia="zh-CN"/>
        </w:rPr>
      </w:pPr>
      <w:r>
        <w:rPr>
          <w:rFonts w:hint="eastAsia" w:ascii="仿宋" w:hAnsi="仿宋" w:eastAsia="仿宋" w:cs="仿宋"/>
          <w:b/>
          <w:bCs/>
          <w:color w:val="auto"/>
          <w:spacing w:val="0"/>
          <w:w w:val="100"/>
          <w:position w:val="0"/>
          <w:sz w:val="28"/>
          <w:szCs w:val="28"/>
          <w:lang w:val="en-US" w:eastAsia="zh-CN"/>
        </w:rPr>
        <w:t>二、征集文件</w:t>
      </w:r>
    </w:p>
    <w:p w14:paraId="45F5DFE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2.征集文件</w:t>
      </w:r>
    </w:p>
    <w:p w14:paraId="33E725A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应认真阅读征集文件中所有的事项、格式、条款和规范等要求。如果没有按照征集文件要求提交全部资料或者征集响应文件没有对征集文件做出实质性响应，该投标有可能被拒绝，其风险应由供应商自行承担。</w:t>
      </w:r>
    </w:p>
    <w:p w14:paraId="168FEEB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征集文件的澄清</w:t>
      </w:r>
    </w:p>
    <w:p w14:paraId="56EA06D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评审小组将对征集响应文件的有效性、完整性和响应程度进行审查，审查时可以要求供应商对征集响应文件中含义不明确、同类问题表述不一致或者有明显文字和计算错误的内容等作出必要的澄清、说明或者更正。供应商的澄清、说明或者更正不得超出征集响应文件的范围或者改变征集响应文件的实质性内容。对不同文字文本征集响应文件的解释发生异议的，以中文文本为准。</w:t>
      </w:r>
    </w:p>
    <w:p w14:paraId="535CA0B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评审小组要求供应商澄清、说明或者更正征集响应文件应当以书面形式(询标)作出。供应商的澄清、说明或者更正应当由法定代表人或其授权代表签字或者加盖公章。</w:t>
      </w:r>
    </w:p>
    <w:p w14:paraId="709D524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2.1.1征集文件的修改</w:t>
      </w:r>
    </w:p>
    <w:p w14:paraId="7CDA4C7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2.1.2在提交征集响应文件截止日期前15天，征集人或</w:t>
      </w:r>
      <w:r>
        <w:rPr>
          <w:rFonts w:hint="eastAsia" w:ascii="仿宋" w:hAnsi="仿宋" w:eastAsia="仿宋" w:cs="仿宋"/>
          <w:color w:val="auto"/>
          <w:spacing w:val="0"/>
          <w:w w:val="100"/>
          <w:position w:val="0"/>
          <w:sz w:val="28"/>
          <w:szCs w:val="28"/>
          <w:lang w:val="en-US" w:eastAsia="zh-CN"/>
        </w:rPr>
        <w:t>采购</w:t>
      </w:r>
      <w:r>
        <w:rPr>
          <w:rFonts w:hint="eastAsia" w:ascii="仿宋" w:hAnsi="仿宋" w:eastAsia="仿宋" w:cs="仿宋"/>
          <w:color w:val="auto"/>
          <w:spacing w:val="0"/>
          <w:w w:val="100"/>
          <w:position w:val="0"/>
          <w:sz w:val="28"/>
          <w:szCs w:val="28"/>
        </w:rPr>
        <w:t>代理机构可主动地或在解答供应商提出的问题时对征集文件进行修改。</w:t>
      </w:r>
    </w:p>
    <w:p w14:paraId="2800F44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2.1.3征集文件的修改将以变更公告形式在安徽省政府采购网发布,并对所有供应商具有约束力。</w:t>
      </w:r>
    </w:p>
    <w:p w14:paraId="319A4D0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2.1.4为使供应商在编写征集响应文件时有充分时间对征集文件的修改部分进行研究，代理单位可以酌情后延投标日期。</w:t>
      </w:r>
    </w:p>
    <w:p w14:paraId="408E43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2.1.5对征集文件的澄清与修改均须经过征集人确认后方可发放。当征集文件、修改补充通知、澄清(答疑)记录内容相互矛盾时，以最后发出的通知(或纪要)或修改文件为准；</w:t>
      </w:r>
    </w:p>
    <w:p w14:paraId="0F9262F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供应商在征集响应文件递交截止时间前须自行查看项目进展、变更通知、澄清及回复，因供应商未及时查看而造成的后果自负。</w:t>
      </w:r>
    </w:p>
    <w:p w14:paraId="3BB417C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lang w:val="en-US" w:eastAsia="zh-CN"/>
        </w:rPr>
      </w:pPr>
      <w:r>
        <w:rPr>
          <w:rFonts w:hint="eastAsia" w:ascii="仿宋" w:hAnsi="仿宋" w:eastAsia="仿宋" w:cs="仿宋"/>
          <w:b/>
          <w:bCs/>
          <w:color w:val="auto"/>
          <w:spacing w:val="0"/>
          <w:w w:val="100"/>
          <w:position w:val="0"/>
          <w:sz w:val="28"/>
          <w:szCs w:val="28"/>
          <w:lang w:val="en-US" w:eastAsia="zh-CN"/>
        </w:rPr>
        <w:t>三、征集响应文件</w:t>
      </w:r>
    </w:p>
    <w:p w14:paraId="6AAA4C1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3.1征集响应文件的编制依据</w:t>
      </w:r>
    </w:p>
    <w:p w14:paraId="11C9C0E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3.1.1征集人提供的征集文件及有关资料；</w:t>
      </w:r>
    </w:p>
    <w:p w14:paraId="6B5DDFF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3.1.2相关的法律法规。 </w:t>
      </w:r>
    </w:p>
    <w:p w14:paraId="71F9418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3.2征集响应文件格式</w:t>
      </w:r>
    </w:p>
    <w:p w14:paraId="3746F2A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3.2.1征集响应文件应包括本征集文件“征集响应文件格式 ”中所列的内容。</w:t>
      </w:r>
    </w:p>
    <w:p w14:paraId="1C1EE4E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供应商应按照本企业的实际情况提供征集响应文件格式中所要求的资料，如其征集响应文件与其实际不符，一经发现直接取消其投标资格，并将追究其相关法律责任。</w:t>
      </w:r>
    </w:p>
    <w:p w14:paraId="1509447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3.2.2编制征集响应文件的语言及计量单位</w:t>
      </w:r>
    </w:p>
    <w:p w14:paraId="7774531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1)各</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与</w:t>
      </w:r>
      <w:r>
        <w:rPr>
          <w:rFonts w:hint="eastAsia" w:ascii="仿宋" w:hAnsi="仿宋" w:eastAsia="仿宋" w:cs="仿宋"/>
          <w:color w:val="auto"/>
          <w:spacing w:val="0"/>
          <w:w w:val="100"/>
          <w:position w:val="0"/>
          <w:sz w:val="28"/>
          <w:szCs w:val="28"/>
          <w:lang w:eastAsia="zh-CN"/>
        </w:rPr>
        <w:t>采购代理机构</w:t>
      </w:r>
      <w:r>
        <w:rPr>
          <w:rFonts w:hint="eastAsia" w:ascii="仿宋" w:hAnsi="仿宋" w:eastAsia="仿宋" w:cs="仿宋"/>
          <w:color w:val="auto"/>
          <w:spacing w:val="0"/>
          <w:w w:val="100"/>
          <w:position w:val="0"/>
          <w:sz w:val="28"/>
          <w:szCs w:val="28"/>
        </w:rPr>
        <w:t>就有关招标、投标的所有来往函电均应使用中文。</w:t>
      </w:r>
    </w:p>
    <w:p w14:paraId="620FB49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2)除规范另有规定外，征集响应文件使用的度量衡单位，均采用中华人民共和国法定计量单位。</w:t>
      </w:r>
    </w:p>
    <w:p w14:paraId="4ACBAF6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3.3投标报价</w:t>
      </w:r>
    </w:p>
    <w:p w14:paraId="5A0A5BF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3.3.1报价依据：本项目征集文件中要求。</w:t>
      </w:r>
    </w:p>
    <w:p w14:paraId="7F01C4A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3.3.2投标货币</w:t>
      </w:r>
    </w:p>
    <w:p w14:paraId="5F15E9E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除非另有规定或许可，供应商应采用人民币报价。</w:t>
      </w:r>
    </w:p>
    <w:p w14:paraId="5B5AC4C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3.3.3报价方法：</w:t>
      </w:r>
    </w:p>
    <w:p w14:paraId="346EA48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1)投标报价应按照征集文件要求编制。</w:t>
      </w:r>
    </w:p>
    <w:p w14:paraId="5FB6256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服务费应为完成规定的工作内容的各项费用,并包括且不限于在项目所在地办公地点、交通、食宿、通讯、办公设备、专用设备等费用，并包含所提供的高级职称人员、需聘请的专家及最低人数要求所带来的额外费用。</w:t>
      </w:r>
    </w:p>
    <w:p w14:paraId="3BC8F3D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3)服务费价格：服务费以</w:t>
      </w:r>
      <w:r>
        <w:rPr>
          <w:rFonts w:hint="eastAsia" w:ascii="仿宋" w:hAnsi="仿宋" w:eastAsia="仿宋" w:cs="仿宋"/>
          <w:color w:val="auto"/>
          <w:spacing w:val="0"/>
          <w:w w:val="100"/>
          <w:position w:val="0"/>
          <w:sz w:val="28"/>
          <w:szCs w:val="28"/>
          <w:lang w:eastAsia="zh-CN"/>
        </w:rPr>
        <w:t>成交供应商</w:t>
      </w:r>
      <w:r>
        <w:rPr>
          <w:rFonts w:hint="eastAsia" w:ascii="仿宋" w:hAnsi="仿宋" w:eastAsia="仿宋" w:cs="仿宋"/>
          <w:color w:val="auto"/>
          <w:spacing w:val="0"/>
          <w:w w:val="100"/>
          <w:position w:val="0"/>
          <w:sz w:val="28"/>
          <w:szCs w:val="28"/>
        </w:rPr>
        <w:t>实际承接任务数额据实结算，每个项目支付价格包括供应商履行合同所需的全部直接费用、间接费用、各种征(取)费、政策性调整因素，各种税金、供应商期望的利润、可能发生的任何风险和责任以及完成全部项目而发生的全部费用等。一旦中标，供应商除合同条款规定的调整价格因素外不能以任何理由追加酬金或提任何调整要求。投标报价中所发生的费用缺漏项以及由此引起的风险由供应商承担，并且不免除供应商以缺漏项费用为理由的违约责任；</w:t>
      </w:r>
    </w:p>
    <w:p w14:paraId="5EFD338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4)本项目在执行过程中，上级对本项目内容有新规定时执行上级规定，本项目自行终止。</w:t>
      </w:r>
    </w:p>
    <w:p w14:paraId="15585C0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3.4征集响应文件的有效期</w:t>
      </w:r>
    </w:p>
    <w:p w14:paraId="6A27C9B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3.4.1征集响应文件的有效期为开标之日起120天。</w:t>
      </w:r>
    </w:p>
    <w:p w14:paraId="59DBB8A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3.4.2在原定投标有效期满之前，如果出现特殊情况，经政府采购监督管理机构核准，征集人或</w:t>
      </w:r>
      <w:r>
        <w:rPr>
          <w:rFonts w:hint="eastAsia" w:ascii="仿宋" w:hAnsi="仿宋" w:eastAsia="仿宋" w:cs="仿宋"/>
          <w:color w:val="auto"/>
          <w:spacing w:val="0"/>
          <w:w w:val="100"/>
          <w:position w:val="0"/>
          <w:sz w:val="28"/>
          <w:szCs w:val="28"/>
          <w:lang w:val="en-US" w:eastAsia="zh-CN"/>
        </w:rPr>
        <w:t>采购</w:t>
      </w:r>
      <w:r>
        <w:rPr>
          <w:rFonts w:hint="eastAsia" w:ascii="仿宋" w:hAnsi="仿宋" w:eastAsia="仿宋" w:cs="仿宋"/>
          <w:color w:val="auto"/>
          <w:spacing w:val="0"/>
          <w:w w:val="100"/>
          <w:position w:val="0"/>
          <w:sz w:val="28"/>
          <w:szCs w:val="28"/>
        </w:rPr>
        <w:t>代理机构可以跟供应商协商延长投标有效期。</w:t>
      </w:r>
    </w:p>
    <w:p w14:paraId="720B2EF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征集响应文件授权委托书期限不得少于投标有效。</w:t>
      </w:r>
    </w:p>
    <w:p w14:paraId="7DE803B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3.5投标保证金(本项目不收取保证金) </w:t>
      </w:r>
    </w:p>
    <w:p w14:paraId="1CB01F9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3.6征集响应文件的修正</w:t>
      </w:r>
    </w:p>
    <w:p w14:paraId="6DEFE73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评标委员会将对确定为实质上响应征集文件要求的征集响应文件进行校核，看其是否有计算或表达上的错误,修正错误的原则如下:</w:t>
      </w:r>
    </w:p>
    <w:p w14:paraId="6A63E8B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3.6.1征集响应文件的大写金额和小写金额不一致的，以大写金额为准；</w:t>
      </w:r>
    </w:p>
    <w:p w14:paraId="0611AFD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3.6.2总价金额与按单价汇总金额不一致的，以单价金额计算结果为准；</w:t>
      </w:r>
    </w:p>
    <w:p w14:paraId="112A9F0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3.6.3单价金额小数点有明显错位的，应以总价为准，并修改单价；</w:t>
      </w:r>
    </w:p>
    <w:p w14:paraId="2A43582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3.6.4对不同文字文本征集响应文件的解释发生异议的，以中文文本为准。</w:t>
      </w:r>
    </w:p>
    <w:p w14:paraId="6F7FC5F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3.7征集响应文件的编制要求</w:t>
      </w:r>
    </w:p>
    <w:p w14:paraId="58692E7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3.7.本项目要求提供加密电子征集响应文件，征集响应文件的制作应满足以下规定：</w:t>
      </w:r>
    </w:p>
    <w:p w14:paraId="79415EF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(1)征集响应文件由供应商使用电子交易系统提供的“</w:t>
      </w:r>
      <w:r>
        <w:rPr>
          <w:rFonts w:hint="eastAsia" w:ascii="仿宋" w:hAnsi="仿宋" w:eastAsia="仿宋" w:cs="仿宋"/>
          <w:color w:val="auto"/>
          <w:spacing w:val="0"/>
          <w:w w:val="100"/>
          <w:position w:val="0"/>
          <w:sz w:val="28"/>
          <w:szCs w:val="28"/>
          <w:lang w:eastAsia="zh-CN"/>
        </w:rPr>
        <w:t>响应文件</w:t>
      </w:r>
      <w:r>
        <w:rPr>
          <w:rFonts w:hint="eastAsia" w:ascii="仿宋" w:hAnsi="仿宋" w:eastAsia="仿宋" w:cs="仿宋"/>
          <w:color w:val="auto"/>
          <w:spacing w:val="0"/>
          <w:w w:val="100"/>
          <w:position w:val="0"/>
          <w:sz w:val="28"/>
          <w:szCs w:val="28"/>
        </w:rPr>
        <w:t>制作工具”制作生成。“</w:t>
      </w:r>
      <w:r>
        <w:rPr>
          <w:rFonts w:hint="eastAsia" w:ascii="仿宋" w:hAnsi="仿宋" w:eastAsia="仿宋" w:cs="仿宋"/>
          <w:color w:val="auto"/>
          <w:spacing w:val="0"/>
          <w:w w:val="100"/>
          <w:position w:val="0"/>
          <w:sz w:val="28"/>
          <w:szCs w:val="28"/>
          <w:lang w:eastAsia="zh-CN"/>
        </w:rPr>
        <w:t>响应文件</w:t>
      </w:r>
      <w:r>
        <w:rPr>
          <w:rFonts w:hint="eastAsia" w:ascii="仿宋" w:hAnsi="仿宋" w:eastAsia="仿宋" w:cs="仿宋"/>
          <w:color w:val="auto"/>
          <w:spacing w:val="0"/>
          <w:w w:val="100"/>
          <w:position w:val="0"/>
          <w:sz w:val="28"/>
          <w:szCs w:val="28"/>
        </w:rPr>
        <w:t>制作工具”可以通过电子交易系统中下载。供应商应当在互联网络通畅状态下启用最新版</w:t>
      </w:r>
      <w:r>
        <w:rPr>
          <w:rFonts w:hint="eastAsia" w:ascii="仿宋" w:hAnsi="仿宋" w:eastAsia="仿宋" w:cs="仿宋"/>
          <w:color w:val="auto"/>
          <w:spacing w:val="0"/>
          <w:w w:val="100"/>
          <w:position w:val="0"/>
          <w:sz w:val="28"/>
          <w:szCs w:val="28"/>
          <w:lang w:eastAsia="zh-CN"/>
        </w:rPr>
        <w:t>响应文件</w:t>
      </w:r>
      <w:r>
        <w:rPr>
          <w:rFonts w:hint="eastAsia" w:ascii="仿宋" w:hAnsi="仿宋" w:eastAsia="仿宋" w:cs="仿宋"/>
          <w:color w:val="auto"/>
          <w:spacing w:val="0"/>
          <w:w w:val="100"/>
          <w:position w:val="0"/>
          <w:sz w:val="28"/>
          <w:szCs w:val="28"/>
        </w:rPr>
        <w:t>制作工具制作征集响应文件。</w:t>
      </w:r>
    </w:p>
    <w:p w14:paraId="3745C9F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在第六章“征集响应文件格式”中要求加盖供应商电子签章处，供应商均应加盖供应商电子签章或公章。联合体参加征集的，除联合体协议及征集文件规定须联合体各成员单位各自盖章的证明材料外，征集响应文件由联合体牵头人按上述规定加盖联合体牵头人单位电子签章或公章。</w:t>
      </w:r>
    </w:p>
    <w:p w14:paraId="1964407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(3)征集响应文件制作完成后，供应商应对征集响应文件进行文件加密，形成加密的征集响应文件。</w:t>
      </w:r>
    </w:p>
    <w:p w14:paraId="189B97F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采用数字证书加密的，加密时征集响应文件的所有内容均只能使用同一把数字证书进行加密，否则引起的解密失败责任由供应商自行承担。</w:t>
      </w:r>
    </w:p>
    <w:p w14:paraId="73123C1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(4)征集响应文件制作的具体方法详见“</w:t>
      </w:r>
      <w:r>
        <w:rPr>
          <w:rFonts w:hint="eastAsia" w:ascii="仿宋" w:hAnsi="仿宋" w:eastAsia="仿宋" w:cs="仿宋"/>
          <w:color w:val="auto"/>
          <w:spacing w:val="0"/>
          <w:w w:val="100"/>
          <w:position w:val="0"/>
          <w:sz w:val="28"/>
          <w:szCs w:val="28"/>
          <w:lang w:eastAsia="zh-CN"/>
        </w:rPr>
        <w:t>响应文件</w:t>
      </w:r>
      <w:r>
        <w:rPr>
          <w:rFonts w:hint="eastAsia" w:ascii="仿宋" w:hAnsi="仿宋" w:eastAsia="仿宋" w:cs="仿宋"/>
          <w:color w:val="auto"/>
          <w:spacing w:val="0"/>
          <w:w w:val="100"/>
          <w:position w:val="0"/>
          <w:sz w:val="28"/>
          <w:szCs w:val="28"/>
        </w:rPr>
        <w:t>制作工具”中的帮助文档。</w:t>
      </w:r>
    </w:p>
    <w:p w14:paraId="5056470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因供应商自身原因而导致征集响应文件无法导入电子交易系统电子开标、评标系统的，该征集响应文件视为无效征集响应文件，供应商自行承担由此导致的全部责任。(该征集响应文件是指解密后的征集响应文件)。征集现场提交的其他材料要求详见供应商须知前附表。</w:t>
      </w:r>
    </w:p>
    <w:p w14:paraId="6923445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3.8征集响应文件提交截止时间</w:t>
      </w:r>
    </w:p>
    <w:p w14:paraId="496FE8E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3.8.1供应商应在供应商须知前附表中规定的征集响应文件提交截止时间前，在网上提交加密电子征集响应文件。</w:t>
      </w:r>
    </w:p>
    <w:p w14:paraId="7BACA97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3.9征集响应文件的提交、修改与撤回</w:t>
      </w:r>
    </w:p>
    <w:p w14:paraId="099847F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3.9.1供应商应当在第一章“征集公告”规定的征集响应文件提交截止时间前，将加密的征集响应文件在电子交易系统上传。</w:t>
      </w:r>
    </w:p>
    <w:p w14:paraId="38D1BD0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3.9.2供应商应当在征集响应文件提交截止时间前完成征集响应文件的传输提交并可以补充、修改或者撤回征集响应文件。征集响应文件提交截止时间前未完成征集响应文件传输的，视为撤回征集响应文件。未按规定加密或征集响应文件提交截止时间后送达的征集响应文件，电子交易系统应当拒收。</w:t>
      </w:r>
    </w:p>
    <w:p w14:paraId="2DDD947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3.9.3供应商在供应商须知前附表规定的解密时间(以电子交易系统解密倒计时为准)内完成电子响应文件的解密工作。</w:t>
      </w:r>
    </w:p>
    <w:p w14:paraId="29F0E9E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lang w:val="en-US" w:eastAsia="zh-CN"/>
        </w:rPr>
      </w:pPr>
      <w:r>
        <w:rPr>
          <w:rFonts w:hint="eastAsia" w:ascii="仿宋" w:hAnsi="仿宋" w:eastAsia="仿宋" w:cs="仿宋"/>
          <w:b/>
          <w:bCs/>
          <w:color w:val="auto"/>
          <w:spacing w:val="0"/>
          <w:w w:val="100"/>
          <w:position w:val="0"/>
          <w:sz w:val="28"/>
          <w:szCs w:val="28"/>
          <w:lang w:val="en-US" w:eastAsia="zh-CN"/>
        </w:rPr>
        <w:t>四、开标及评标</w:t>
      </w:r>
    </w:p>
    <w:p w14:paraId="456A81A1">
      <w:pPr>
        <w:pageBreakBefore w:val="0"/>
        <w:numPr>
          <w:ilvl w:val="0"/>
          <w:numId w:val="0"/>
        </w:numPr>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 4.1开标</w:t>
      </w:r>
    </w:p>
    <w:p w14:paraId="55F81B9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4.1.1代理单位按照征集文件规定的时间，地点组织开标。征集响应文件递交截止时间前一小时内，各</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的法定代表人或委托代理人均提前进入网上开标大厅，选择进入对应标段的开标会议区在线签到。</w:t>
      </w:r>
    </w:p>
    <w:p w14:paraId="22304F0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未按规定时间60分钟之内(以系统规定时间为准)解密的征集响应文件的视为供应商自动放弃投标权。</w:t>
      </w:r>
    </w:p>
    <w:p w14:paraId="33B2D2A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4.1.2有重大偏离的征集响应文件将被拒绝。</w:t>
      </w:r>
    </w:p>
    <w:p w14:paraId="7DA3C20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4.1.3开标程序</w:t>
      </w:r>
    </w:p>
    <w:p w14:paraId="2E56EBD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主持人按下列程序进行开标：</w:t>
      </w:r>
    </w:p>
    <w:p w14:paraId="7D46078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1)主持人登录网上开标大厅，进入不见面开标系统，选择本项目进行网上开标。</w:t>
      </w:r>
    </w:p>
    <w:p w14:paraId="05D7241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2)各供应商的授权委托人或法定代表人需在征集响应文件递交截止时间前一小时内进入网上开标大厅。征集响应文件递交截止时间截止后，根据主持人的要求在规定 的时间内进行征集响应文件的解密。</w:t>
      </w:r>
    </w:p>
    <w:p w14:paraId="6A1BE31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3)主持人在供应商全部解密征集响应文件成功后，导入全部投标征集响应文件，根据投标报价进行唱标环节。</w:t>
      </w:r>
    </w:p>
    <w:p w14:paraId="6264BD1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4)唱标环节结束后，供应商确认有无异议，若供应商有异议，可一一作出答复，所有供应商确认无异议后开标结束。</w:t>
      </w:r>
    </w:p>
    <w:p w14:paraId="4ECFA5B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rPr>
        <w:t>5)开标结束，</w:t>
      </w:r>
      <w:r>
        <w:rPr>
          <w:rFonts w:hint="eastAsia" w:ascii="仿宋" w:hAnsi="仿宋" w:eastAsia="仿宋" w:cs="仿宋"/>
          <w:color w:val="auto"/>
          <w:spacing w:val="0"/>
          <w:w w:val="100"/>
          <w:position w:val="0"/>
          <w:sz w:val="28"/>
          <w:szCs w:val="28"/>
          <w:lang w:eastAsia="zh-CN"/>
        </w:rPr>
        <w:t>采购代理机构对开标过程进行记录，并存档备查。转入评标阶段。</w:t>
      </w:r>
      <w:r>
        <w:rPr>
          <w:rFonts w:hint="eastAsia" w:ascii="仿宋" w:hAnsi="仿宋" w:eastAsia="仿宋" w:cs="仿宋"/>
          <w:color w:val="auto"/>
          <w:spacing w:val="0"/>
          <w:w w:val="100"/>
          <w:position w:val="0"/>
          <w:sz w:val="28"/>
          <w:szCs w:val="28"/>
          <w:lang w:val="en-US" w:eastAsia="zh-CN"/>
        </w:rPr>
        <w:t xml:space="preserve"> </w:t>
      </w:r>
    </w:p>
    <w:p w14:paraId="145A9CE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6)招标代理人对开标过程进行记录，并存档备查；</w:t>
      </w:r>
    </w:p>
    <w:p w14:paraId="22BF1FE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4.2评标</w:t>
      </w:r>
    </w:p>
    <w:p w14:paraId="4428AE6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详见征集文件第四章 评标办法</w:t>
      </w:r>
    </w:p>
    <w:p w14:paraId="700BB3B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4.3征集响应文件的澄清</w:t>
      </w:r>
    </w:p>
    <w:p w14:paraId="479E87E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4.3.1评审小组将对征集响应文件的有效性、完整性和响应程度进行审查，审查时可以要求供应商对征集响应文件中含义不明确、同类问题表述不一致或者有明显文字和计算错误的内容等作出必要的澄清、说明或者更正。供应商的澄清、说明或者更正不得超出征集响应文件的范围或者改变征集响应文件的实质性内容。对不同文字文本征集响应文件的解释发生异议的，以中文文本为准。</w:t>
      </w:r>
    </w:p>
    <w:p w14:paraId="3639210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4.3.2评审小组要求供应商澄清、说明或者更正征集响应文件应当以书面形式(询标)作出。供应商的澄清、说明或者更正应当由法定代表人或其授权代表签字或者加盖公章。</w:t>
      </w:r>
    </w:p>
    <w:p w14:paraId="3D27641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4.4废标条件</w:t>
      </w:r>
    </w:p>
    <w:p w14:paraId="7230F83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4.4.1未按照征集文件的规定提交投标保证金(如有)的；</w:t>
      </w:r>
    </w:p>
    <w:p w14:paraId="26E3B69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4.4.2征集响应文件未按征集文件要求签字、盖章的；</w:t>
      </w:r>
    </w:p>
    <w:p w14:paraId="671504E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4.4.3不具备征集文件中规定的资格要求的；</w:t>
      </w:r>
    </w:p>
    <w:p w14:paraId="5F7C5A5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4.4.4报价超过征集文件中规定的最高限价(如有)的；</w:t>
      </w:r>
    </w:p>
    <w:p w14:paraId="78BE7C5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4.4.5投标截止时间以后送达；</w:t>
      </w:r>
    </w:p>
    <w:p w14:paraId="24F4DEA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4.4.6无法人身份证明书的或无法定代表人出具的授权委托书的；</w:t>
      </w:r>
    </w:p>
    <w:p w14:paraId="55BDE60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4.4.7征集响应文件的内容不全、扫描件不清晰或者关键内容字迹模糊、无法辨认的；</w:t>
      </w:r>
    </w:p>
    <w:p w14:paraId="189CCA7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4.4.8供应商递交两份或多份内容不同的征集响应文件，或在一份征集响应文件中对同一招标货物或服务报有两个或多个报价的；</w:t>
      </w:r>
    </w:p>
    <w:p w14:paraId="4FB5DF4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4.4.9征集响应文件含有征集人不能接受的附加条件的；</w:t>
      </w:r>
    </w:p>
    <w:p w14:paraId="17EDD6D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4.4.10供应商以他人名义投标、征集响应文件雷同或者以弄虚作假等方式投标的；</w:t>
      </w:r>
    </w:p>
    <w:p w14:paraId="4736FAF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4.4.11出现其他不符合法律法规和不满足征集文件实质性要求的其他情形；</w:t>
      </w:r>
    </w:p>
    <w:p w14:paraId="2CFEA6E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4.4.12未按照征集文件格式制作征集响应文件的；</w:t>
      </w:r>
    </w:p>
    <w:p w14:paraId="09E41BC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4.4.13征集响应文件中所附证件或证明材料无效不能实质性响应征集文件的；</w:t>
      </w:r>
    </w:p>
    <w:p w14:paraId="79C9340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4.4.14如征集人所采购产品为政府强制采购产品，供应商所投产品不属于品目清单范围内或未在认证证书有效期内的。</w:t>
      </w:r>
    </w:p>
    <w:p w14:paraId="14BFD5D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4.4.15征集文件中明确规定可以废标的其他情形；</w:t>
      </w:r>
    </w:p>
    <w:p w14:paraId="40367CF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4.4.16违反法律、法规及有关规定的其它行为。</w:t>
      </w:r>
    </w:p>
    <w:p w14:paraId="496F636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4.5有下列情形之一的，视为供应商串通投标，其投标无效</w:t>
      </w:r>
    </w:p>
    <w:p w14:paraId="3C0ECB0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4.5.1不同供应商的征集响应文件由同一单位或者个人编制</w:t>
      </w:r>
    </w:p>
    <w:p w14:paraId="2407810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4.5.2不同供应商委托同一单位或者个人办理投标事宜 </w:t>
      </w:r>
    </w:p>
    <w:p w14:paraId="6780463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4.5.3 不同供应商的征集响应文件载明的项目管理成员或者联系人员为同一人</w:t>
      </w:r>
    </w:p>
    <w:p w14:paraId="17F3029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4.5.3不同供应商的征集响应文件异常一致或者投标报价呈规律性差异</w:t>
      </w:r>
    </w:p>
    <w:p w14:paraId="6312747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4.5.4不同供应商的征集响应文件互相混装</w:t>
      </w:r>
    </w:p>
    <w:p w14:paraId="22CECC1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4.5.5不同供应商的投标保证金从同一单位或者个人的账户转出。</w:t>
      </w:r>
    </w:p>
    <w:p w14:paraId="3FDB71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4.6其它</w:t>
      </w:r>
    </w:p>
    <w:p w14:paraId="3B32CFA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4.6.1评标委员会有权选择和拒绝供应商中标。评标委员会无义务向供应商进行任何有关评标的解释。</w:t>
      </w:r>
    </w:p>
    <w:p w14:paraId="01F3500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4.6.2供应商在评标过程中，所进行的力图影响评标结果的不符合招标规定的活动，可能导致其被取消中标资格。</w:t>
      </w:r>
    </w:p>
    <w:p w14:paraId="1E50ECB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4.6.3终止征集：出现下列情况之一时，征集人和采购代理机构有权宣布终止征集活动，并将理由通知所有供应商：</w:t>
      </w:r>
    </w:p>
    <w:p w14:paraId="0F40FB8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(1)有效供应商数量不足，不符合法律规定的；</w:t>
      </w:r>
    </w:p>
    <w:p w14:paraId="418E00A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(2)出现影响采购公正的违法、违规行为的；</w:t>
      </w:r>
    </w:p>
    <w:p w14:paraId="7F04D7B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(3)因重大变故，采购任务取消的；</w:t>
      </w:r>
    </w:p>
    <w:p w14:paraId="325253C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(4)政府采购法律法规规定的其他情形。</w:t>
      </w:r>
    </w:p>
    <w:p w14:paraId="2DFD8BE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lang w:val="en-US" w:eastAsia="zh-CN"/>
        </w:rPr>
      </w:pPr>
      <w:r>
        <w:rPr>
          <w:rFonts w:hint="eastAsia" w:ascii="仿宋" w:hAnsi="仿宋" w:eastAsia="仿宋" w:cs="仿宋"/>
          <w:b/>
          <w:bCs/>
          <w:color w:val="auto"/>
          <w:spacing w:val="0"/>
          <w:w w:val="100"/>
          <w:position w:val="0"/>
          <w:sz w:val="28"/>
          <w:szCs w:val="28"/>
          <w:lang w:val="en-US" w:eastAsia="zh-CN"/>
        </w:rPr>
        <w:t>五、框架协议有效期</w:t>
      </w:r>
    </w:p>
    <w:p w14:paraId="3A493ED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5.1框架协议有效期：</w:t>
      </w:r>
    </w:p>
    <w:p w14:paraId="4FE2CAE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详见征集公告</w:t>
      </w:r>
      <w:r>
        <w:rPr>
          <w:rFonts w:hint="eastAsia" w:ascii="仿宋" w:hAnsi="仿宋" w:eastAsia="仿宋" w:cs="仿宋"/>
          <w:color w:val="auto"/>
          <w:spacing w:val="0"/>
          <w:w w:val="100"/>
          <w:position w:val="0"/>
          <w:sz w:val="28"/>
          <w:szCs w:val="28"/>
        </w:rPr>
        <w:t>。</w:t>
      </w:r>
    </w:p>
    <w:p w14:paraId="4B78842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5.2框架协议采购类型：</w:t>
      </w:r>
    </w:p>
    <w:p w14:paraId="18E8C80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本项目采用封闭式框架协议入围采购的方式，入围供应商无正当理由，不得主动放弃入围资格或者退出框架协议，入围供应商如出现自愿放弃，不可抗力或其他因素导致无法正常签订合同，不进行递补。</w:t>
      </w:r>
    </w:p>
    <w:p w14:paraId="1D30425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lang w:val="en-US" w:eastAsia="zh-CN"/>
        </w:rPr>
      </w:pPr>
      <w:r>
        <w:rPr>
          <w:rFonts w:hint="eastAsia" w:ascii="仿宋" w:hAnsi="仿宋" w:eastAsia="仿宋" w:cs="仿宋"/>
          <w:b/>
          <w:bCs/>
          <w:color w:val="auto"/>
          <w:spacing w:val="0"/>
          <w:w w:val="100"/>
          <w:position w:val="0"/>
          <w:sz w:val="28"/>
          <w:szCs w:val="28"/>
          <w:lang w:val="en-US" w:eastAsia="zh-CN"/>
        </w:rPr>
        <w:t>六、入围结果通知</w:t>
      </w:r>
    </w:p>
    <w:p w14:paraId="63D6946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6.1为体现“公开、公平、公正”的原则，征集结束后，采购代理机构将在安徽省政府采购网(</w:t>
      </w: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 HYPERLINK "http://www.ccgp-anhui.gov.cn/"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28"/>
        </w:rPr>
        <w:t>www.ccgp-anhui.gov.cn</w:t>
      </w:r>
      <w:r>
        <w:rPr>
          <w:rFonts w:hint="eastAsia" w:ascii="仿宋" w:hAnsi="仿宋" w:eastAsia="仿宋" w:cs="仿宋"/>
          <w:color w:val="auto"/>
          <w:spacing w:val="0"/>
          <w:w w:val="100"/>
          <w:position w:val="0"/>
          <w:sz w:val="28"/>
          <w:szCs w:val="28"/>
        </w:rPr>
        <w:fldChar w:fldCharType="end"/>
      </w:r>
      <w:r>
        <w:rPr>
          <w:rFonts w:hint="eastAsia" w:ascii="仿宋" w:hAnsi="仿宋" w:eastAsia="仿宋" w:cs="仿宋"/>
          <w:color w:val="auto"/>
          <w:spacing w:val="0"/>
          <w:w w:val="100"/>
          <w:position w:val="0"/>
          <w:sz w:val="28"/>
          <w:szCs w:val="28"/>
        </w:rPr>
        <w:t>)上发布入围结果公告。</w:t>
      </w:r>
    </w:p>
    <w:p w14:paraId="31D53AF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6.2入围结果公告内容应当包括征集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p>
    <w:p w14:paraId="35D7F26E">
      <w:pPr>
        <w:pageBreakBefore w:val="0"/>
        <w:kinsoku w:val="0"/>
        <w:wordWrap/>
        <w:overflowPunct/>
        <w:topLinePunct w:val="0"/>
        <w:bidi w:val="0"/>
        <w:adjustRightInd w:val="0"/>
        <w:snapToGrid w:val="0"/>
        <w:spacing w:line="360" w:lineRule="auto"/>
        <w:ind w:left="0" w:leftChars="0" w:right="0" w:rightChars="0" w:firstLine="280" w:firstLineChars="1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w:t>
      </w:r>
    </w:p>
    <w:p w14:paraId="26AD3C4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1、征集人定标前对成交候选人进行信用查询，如成交候选人存在不良信用记录，征集人应取消成交候选人资格，并按规定予以处理。</w:t>
      </w:r>
    </w:p>
    <w:p w14:paraId="58EB244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2、不良信用记录是指：</w:t>
      </w:r>
    </w:p>
    <w:p w14:paraId="014ADF6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lang w:val="en-US" w:eastAsia="zh-CN"/>
        </w:rPr>
        <w:t>1</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供应商被人民法院列入失信被执行人；</w:t>
      </w:r>
    </w:p>
    <w:p w14:paraId="70B50BE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lang w:val="en-US" w:eastAsia="zh-CN"/>
        </w:rPr>
        <w:t>2</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供应商被税务部门列入重大税收违法案件当事人名单；</w:t>
      </w:r>
    </w:p>
    <w:p w14:paraId="64BBE9D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lang w:val="en-US" w:eastAsia="zh-CN"/>
        </w:rPr>
        <w:t>3</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供应商被政府采购监管部门列入政府采购严重违法失信行为记录名单，以及存在《中华人民共和国政府采购法实施条例》第十九条规定的行政处罚记录。</w:t>
      </w:r>
    </w:p>
    <w:p w14:paraId="7D50FDB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3、以联合体形式参加征集的，联合体任何成员存在以上不良信用记录的，不得确定为成交供应商。</w:t>
      </w:r>
    </w:p>
    <w:p w14:paraId="29204F8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4、信用信息查询渠道：</w:t>
      </w: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 HYPERLINK "http://www.ccgp.gov.cn/"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28"/>
        </w:rPr>
        <w:t>中国政府采购网(www.ccgp.gov.cn</w:t>
      </w:r>
      <w:r>
        <w:rPr>
          <w:rFonts w:hint="eastAsia" w:ascii="仿宋" w:hAnsi="仿宋" w:eastAsia="仿宋" w:cs="仿宋"/>
          <w:color w:val="auto"/>
          <w:spacing w:val="0"/>
          <w:w w:val="100"/>
          <w:position w:val="0"/>
          <w:sz w:val="28"/>
          <w:szCs w:val="28"/>
        </w:rPr>
        <w:fldChar w:fldCharType="end"/>
      </w:r>
      <w:r>
        <w:rPr>
          <w:rFonts w:hint="eastAsia" w:ascii="仿宋" w:hAnsi="仿宋" w:eastAsia="仿宋" w:cs="仿宋"/>
          <w:color w:val="auto"/>
          <w:spacing w:val="0"/>
          <w:w w:val="100"/>
          <w:position w:val="0"/>
          <w:sz w:val="28"/>
          <w:szCs w:val="28"/>
        </w:rPr>
        <w:t>)、“信用中国”网站 (</w:t>
      </w:r>
      <w:r>
        <w:rPr>
          <w:rFonts w:hint="eastAsia" w:ascii="仿宋" w:hAnsi="仿宋" w:eastAsia="仿宋" w:cs="仿宋"/>
          <w:color w:val="auto"/>
          <w:spacing w:val="0"/>
          <w:w w:val="100"/>
          <w:position w:val="0"/>
          <w:sz w:val="28"/>
          <w:szCs w:val="28"/>
        </w:rPr>
        <w:fldChar w:fldCharType="begin"/>
      </w:r>
      <w:r>
        <w:rPr>
          <w:rFonts w:hint="eastAsia" w:ascii="仿宋" w:hAnsi="仿宋" w:eastAsia="仿宋" w:cs="仿宋"/>
          <w:color w:val="auto"/>
          <w:spacing w:val="0"/>
          <w:w w:val="100"/>
          <w:position w:val="0"/>
          <w:sz w:val="28"/>
          <w:szCs w:val="28"/>
        </w:rPr>
        <w:instrText xml:space="preserve"> HYPERLINK "http://www.creditchina.gov.cn/" </w:instrText>
      </w:r>
      <w:r>
        <w:rPr>
          <w:rFonts w:hint="eastAsia" w:ascii="仿宋" w:hAnsi="仿宋" w:eastAsia="仿宋" w:cs="仿宋"/>
          <w:color w:val="auto"/>
          <w:spacing w:val="0"/>
          <w:w w:val="100"/>
          <w:position w:val="0"/>
          <w:sz w:val="28"/>
          <w:szCs w:val="28"/>
        </w:rPr>
        <w:fldChar w:fldCharType="separate"/>
      </w:r>
      <w:r>
        <w:rPr>
          <w:rFonts w:hint="eastAsia" w:ascii="仿宋" w:hAnsi="仿宋" w:eastAsia="仿宋" w:cs="仿宋"/>
          <w:color w:val="auto"/>
          <w:spacing w:val="0"/>
          <w:w w:val="100"/>
          <w:position w:val="0"/>
          <w:sz w:val="28"/>
          <w:szCs w:val="28"/>
        </w:rPr>
        <w:t>www.creditchina.gov.cn</w:t>
      </w:r>
      <w:r>
        <w:rPr>
          <w:rFonts w:hint="eastAsia" w:ascii="仿宋" w:hAnsi="仿宋" w:eastAsia="仿宋" w:cs="仿宋"/>
          <w:color w:val="auto"/>
          <w:spacing w:val="0"/>
          <w:w w:val="100"/>
          <w:position w:val="0"/>
          <w:sz w:val="28"/>
          <w:szCs w:val="28"/>
        </w:rPr>
        <w:fldChar w:fldCharType="end"/>
      </w:r>
      <w:r>
        <w:rPr>
          <w:rFonts w:hint="eastAsia" w:ascii="仿宋" w:hAnsi="仿宋" w:eastAsia="仿宋" w:cs="仿宋"/>
          <w:color w:val="auto"/>
          <w:spacing w:val="0"/>
          <w:w w:val="100"/>
          <w:position w:val="0"/>
          <w:sz w:val="28"/>
          <w:szCs w:val="28"/>
        </w:rPr>
        <w:t>)。</w:t>
      </w:r>
    </w:p>
    <w:p w14:paraId="105164E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5、信用信息记录方式：征集人将查询网页打印、签字并存档备查。</w:t>
      </w:r>
    </w:p>
    <w:p w14:paraId="00C5506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lang w:val="en-US" w:eastAsia="zh-CN"/>
        </w:rPr>
      </w:pPr>
      <w:r>
        <w:rPr>
          <w:rFonts w:hint="eastAsia" w:ascii="仿宋" w:hAnsi="仿宋" w:eastAsia="仿宋" w:cs="仿宋"/>
          <w:b/>
          <w:bCs/>
          <w:color w:val="auto"/>
          <w:spacing w:val="0"/>
          <w:w w:val="100"/>
          <w:position w:val="0"/>
          <w:sz w:val="28"/>
          <w:szCs w:val="28"/>
          <w:lang w:val="en-US" w:eastAsia="zh-CN"/>
        </w:rPr>
        <w:t>七、入围结果通知书</w:t>
      </w:r>
    </w:p>
    <w:p w14:paraId="1D9A8C4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7.1.1采购代理机构发布成交结果公告的同时以供应商须知前附表规定的形式向成交供应商发出</w:t>
      </w:r>
      <w:r>
        <w:rPr>
          <w:rFonts w:hint="eastAsia" w:ascii="仿宋" w:hAnsi="仿宋" w:eastAsia="仿宋" w:cs="仿宋"/>
          <w:color w:val="auto"/>
          <w:spacing w:val="0"/>
          <w:w w:val="100"/>
          <w:position w:val="0"/>
          <w:sz w:val="28"/>
          <w:szCs w:val="28"/>
          <w:lang w:val="en-US" w:eastAsia="zh-CN"/>
        </w:rPr>
        <w:t>入围结果</w:t>
      </w:r>
      <w:r>
        <w:rPr>
          <w:rFonts w:hint="eastAsia" w:ascii="仿宋" w:hAnsi="仿宋" w:eastAsia="仿宋" w:cs="仿宋"/>
          <w:color w:val="auto"/>
          <w:spacing w:val="0"/>
          <w:w w:val="100"/>
          <w:position w:val="0"/>
          <w:sz w:val="28"/>
          <w:szCs w:val="28"/>
        </w:rPr>
        <w:t>通知书。</w:t>
      </w:r>
    </w:p>
    <w:p w14:paraId="72F15F6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7.1.2入围结果通知书对征集人和成交供应商具有同等法律效力。成交通知书发出以后，征集人改变成交结果或者成交供应商放弃成交资格，应当承担相应的法律责任。</w:t>
      </w:r>
    </w:p>
    <w:p w14:paraId="4578FBE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7.1.3成交通知书是合同的组成部分。</w:t>
      </w:r>
    </w:p>
    <w:p w14:paraId="29B71FE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7.2告知入围结果</w:t>
      </w:r>
    </w:p>
    <w:p w14:paraId="3488A09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7.2.1在公告成交结果的同时，采购代理机构同时以供应商须知前附表规定的形式 告知未成交供应商本人的评审得分和排序。</w:t>
      </w:r>
    </w:p>
    <w:p w14:paraId="03DF9DF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7.2.2采购代理机构对未成交的供应商不做未成交原因的解释。</w:t>
      </w:r>
    </w:p>
    <w:p w14:paraId="05B5763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7.2.3履约保证金(如有)</w:t>
      </w:r>
    </w:p>
    <w:p w14:paraId="64F655A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lang w:eastAsia="zh-CN"/>
        </w:rPr>
        <w:t>7.2.4成交供应商应按照供应商须知前附表规定缴纳履约保证金。</w:t>
      </w:r>
    </w:p>
    <w:p w14:paraId="1580146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7.2.5如果成交供应商没有按照上述履约保证金的规定执行，将视为放弃成交资格。在此情况下，征集人可确定下一成交候选供应商为成交供应商，也可以重新开展采购活动。</w:t>
      </w:r>
    </w:p>
    <w:p w14:paraId="291164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lang w:val="en-US" w:eastAsia="zh-CN"/>
        </w:rPr>
      </w:pPr>
      <w:r>
        <w:rPr>
          <w:rFonts w:hint="eastAsia" w:ascii="仿宋" w:hAnsi="仿宋" w:eastAsia="仿宋" w:cs="仿宋"/>
          <w:b/>
          <w:bCs/>
          <w:color w:val="auto"/>
          <w:spacing w:val="0"/>
          <w:w w:val="100"/>
          <w:position w:val="0"/>
          <w:sz w:val="28"/>
          <w:szCs w:val="28"/>
          <w:lang w:val="en-US" w:eastAsia="zh-CN"/>
        </w:rPr>
        <w:t>八、保密</w:t>
      </w:r>
    </w:p>
    <w:p w14:paraId="0846D70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向</w:t>
      </w:r>
      <w:r>
        <w:rPr>
          <w:rFonts w:hint="eastAsia" w:ascii="仿宋" w:hAnsi="仿宋" w:eastAsia="仿宋" w:cs="仿宋"/>
          <w:color w:val="auto"/>
          <w:spacing w:val="0"/>
          <w:w w:val="100"/>
          <w:position w:val="0"/>
          <w:sz w:val="28"/>
          <w:szCs w:val="28"/>
          <w:lang w:eastAsia="zh-CN"/>
        </w:rPr>
        <w:t>成交供应商</w:t>
      </w:r>
      <w:r>
        <w:rPr>
          <w:rFonts w:hint="eastAsia" w:ascii="仿宋" w:hAnsi="仿宋" w:eastAsia="仿宋" w:cs="仿宋"/>
          <w:color w:val="auto"/>
          <w:spacing w:val="0"/>
          <w:w w:val="100"/>
          <w:position w:val="0"/>
          <w:sz w:val="28"/>
          <w:szCs w:val="28"/>
        </w:rPr>
        <w:t>授予合同之前，征集人、采购代理机构、现场监督人员和评标委员会的成员不得向提交征集响应文件的供应商或与这些程序无关的人员泄漏与评标和合同授予有关的信息。</w:t>
      </w:r>
    </w:p>
    <w:p w14:paraId="5FF9BEE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lang w:val="en-US" w:eastAsia="zh-CN"/>
        </w:rPr>
      </w:pPr>
      <w:r>
        <w:rPr>
          <w:rFonts w:hint="eastAsia" w:ascii="仿宋" w:hAnsi="仿宋" w:eastAsia="仿宋" w:cs="仿宋"/>
          <w:b/>
          <w:bCs/>
          <w:color w:val="auto"/>
          <w:spacing w:val="0"/>
          <w:w w:val="100"/>
          <w:position w:val="0"/>
          <w:sz w:val="28"/>
          <w:szCs w:val="28"/>
          <w:lang w:val="en-US" w:eastAsia="zh-CN"/>
        </w:rPr>
        <w:t>九、落实的政府采购政策：</w:t>
      </w:r>
    </w:p>
    <w:p w14:paraId="376D9D9B">
      <w:pPr>
        <w:pageBreakBefore w:val="0"/>
        <w:kinsoku w:val="0"/>
        <w:wordWrap/>
        <w:overflowPunct/>
        <w:topLinePunct w:val="0"/>
        <w:bidi w:val="0"/>
        <w:adjustRightInd w:val="0"/>
        <w:snapToGrid w:val="0"/>
        <w:spacing w:line="360" w:lineRule="auto"/>
        <w:ind w:left="0" w:leftChars="0" w:right="0" w:rightChars="0" w:firstLine="562" w:firstLineChars="200"/>
        <w:textAlignment w:val="baseline"/>
        <w:rPr>
          <w:rFonts w:hint="eastAsia" w:ascii="仿宋" w:hAnsi="仿宋" w:eastAsia="仿宋" w:cs="仿宋"/>
          <w:b/>
          <w:bCs/>
          <w:color w:val="auto"/>
          <w:spacing w:val="0"/>
          <w:w w:val="100"/>
          <w:position w:val="0"/>
          <w:sz w:val="28"/>
          <w:szCs w:val="28"/>
          <w:lang w:val="en-US" w:eastAsia="zh-CN"/>
        </w:rPr>
      </w:pPr>
      <w:r>
        <w:rPr>
          <w:rFonts w:hint="eastAsia" w:ascii="仿宋" w:hAnsi="仿宋" w:eastAsia="仿宋" w:cs="仿宋"/>
          <w:b/>
          <w:bCs/>
          <w:color w:val="auto"/>
          <w:spacing w:val="0"/>
          <w:w w:val="100"/>
          <w:position w:val="0"/>
          <w:sz w:val="28"/>
          <w:szCs w:val="28"/>
          <w:lang w:val="en-US" w:eastAsia="zh-CN"/>
        </w:rPr>
        <w:t>/</w:t>
      </w:r>
    </w:p>
    <w:p w14:paraId="756ACB2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lang w:val="en-US" w:eastAsia="zh-CN"/>
        </w:rPr>
      </w:pPr>
      <w:r>
        <w:rPr>
          <w:rFonts w:hint="eastAsia" w:ascii="仿宋" w:hAnsi="仿宋" w:eastAsia="仿宋" w:cs="仿宋"/>
          <w:b/>
          <w:bCs/>
          <w:color w:val="auto"/>
          <w:spacing w:val="0"/>
          <w:w w:val="100"/>
          <w:position w:val="0"/>
          <w:sz w:val="28"/>
          <w:szCs w:val="28"/>
          <w:lang w:val="en-US" w:eastAsia="zh-CN"/>
        </w:rPr>
        <w:t>十、质疑与投诉</w:t>
      </w:r>
    </w:p>
    <w:p w14:paraId="7700C04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10.1</w:t>
      </w:r>
      <w:r>
        <w:rPr>
          <w:rFonts w:hint="eastAsia" w:ascii="仿宋" w:hAnsi="仿宋" w:eastAsia="仿宋" w:cs="仿宋"/>
          <w:color w:val="auto"/>
          <w:spacing w:val="0"/>
          <w:w w:val="100"/>
          <w:position w:val="0"/>
          <w:sz w:val="28"/>
          <w:szCs w:val="28"/>
          <w:lang w:eastAsia="zh-CN"/>
        </w:rPr>
        <w:t>供应商认为征集文件、采购过程、成交结果使自己的权益受到损害的，可以根据《中华人民共和国政府采购法》、《中华人民共和国政府采购法实施条例》和《政府采购质疑和投诉办法》的有关规定，依法向征集人或其委托的采购代理机构提出质疑。</w:t>
      </w:r>
    </w:p>
    <w:p w14:paraId="56086BE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10.2质疑供应商应按照财政部制定的《政府采购质疑函范本》格式和《政府采购质疑和投诉办法》的要求，在法定质疑期内以通过电子交易系统在线提出或书面提出，超出法定质疑期提交的质疑将被拒绝。针对同一采购程序环节的质疑应一次性提出。超出法定质疑期的、重复提出的、分次提出的或内容、形式不符合《政府采购质疑和投诉办法》的，质疑供应商将依法承担不利后果。</w:t>
      </w:r>
    </w:p>
    <w:p w14:paraId="60F904C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10.3采购代理机构质疑函接收部门、联系电话和通讯地址，见供应商须知前附表。</w:t>
      </w:r>
    </w:p>
    <w:p w14:paraId="7E597FA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9" w:type="default"/>
          <w:pgSz w:w="11922" w:h="16849"/>
          <w:pgMar w:top="1440" w:right="1803" w:bottom="1440" w:left="1803" w:header="1134" w:footer="1253" w:gutter="0"/>
          <w:pgNumType w:fmt="decimal"/>
          <w:cols w:space="0" w:num="1"/>
          <w:rtlGutter w:val="0"/>
          <w:docGrid w:linePitch="0" w:charSpace="0"/>
        </w:sectPr>
      </w:pPr>
    </w:p>
    <w:p w14:paraId="605AFA49">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bCs/>
          <w:color w:val="auto"/>
          <w:spacing w:val="0"/>
          <w:w w:val="100"/>
          <w:position w:val="0"/>
          <w:sz w:val="44"/>
          <w:szCs w:val="44"/>
        </w:rPr>
      </w:pPr>
      <w:bookmarkStart w:id="4" w:name="_Toc21744"/>
      <w:r>
        <w:rPr>
          <w:rFonts w:hint="eastAsia" w:ascii="华文中宋" w:hAnsi="华文中宋" w:eastAsia="华文中宋" w:cs="华文中宋"/>
          <w:b/>
          <w:bCs/>
          <w:color w:val="auto"/>
          <w:spacing w:val="0"/>
          <w:w w:val="100"/>
          <w:position w:val="0"/>
          <w:sz w:val="44"/>
          <w:szCs w:val="44"/>
        </w:rPr>
        <w:t>第三章 采购需求</w:t>
      </w:r>
      <w:bookmarkEnd w:id="4"/>
    </w:p>
    <w:p w14:paraId="45BAAB2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前注：</w:t>
      </w:r>
    </w:p>
    <w:p w14:paraId="56F79349">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本采购需求中提出的服务方案仅为参考，如无明确限制，供应商可以进行优化，提供满足征集人实际需要的更优(或者性能实质上不低于的)服务方案，且此方案须经评标委员会评审认可。</w:t>
      </w:r>
    </w:p>
    <w:p w14:paraId="4903C32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一、采购需求前附表</w:t>
      </w:r>
    </w:p>
    <w:tbl>
      <w:tblPr>
        <w:tblStyle w:val="22"/>
        <w:tblW w:w="8560"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230"/>
        <w:gridCol w:w="6530"/>
      </w:tblGrid>
      <w:tr w14:paraId="4BEAB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00" w:type="dxa"/>
            <w:vAlign w:val="center"/>
          </w:tcPr>
          <w:p w14:paraId="254B2CDE">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序号</w:t>
            </w:r>
          </w:p>
        </w:tc>
        <w:tc>
          <w:tcPr>
            <w:tcW w:w="1230" w:type="dxa"/>
            <w:vAlign w:val="center"/>
          </w:tcPr>
          <w:p w14:paraId="59089447">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条款名称</w:t>
            </w:r>
          </w:p>
        </w:tc>
        <w:tc>
          <w:tcPr>
            <w:tcW w:w="6530" w:type="dxa"/>
            <w:vAlign w:val="center"/>
          </w:tcPr>
          <w:p w14:paraId="581EAFE7">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内容、说明与要求</w:t>
            </w:r>
          </w:p>
        </w:tc>
      </w:tr>
      <w:tr w14:paraId="1B164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800" w:type="dxa"/>
            <w:vAlign w:val="center"/>
          </w:tcPr>
          <w:p w14:paraId="57053B4E">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1</w:t>
            </w:r>
          </w:p>
        </w:tc>
        <w:tc>
          <w:tcPr>
            <w:tcW w:w="1230" w:type="dxa"/>
            <w:vAlign w:val="center"/>
          </w:tcPr>
          <w:p w14:paraId="6DB551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付款方式</w:t>
            </w:r>
          </w:p>
        </w:tc>
        <w:tc>
          <w:tcPr>
            <w:tcW w:w="6530" w:type="dxa"/>
            <w:vAlign w:val="center"/>
          </w:tcPr>
          <w:p w14:paraId="6CF132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本项目按每月实际出险费用由车辆使用单位全额支付。</w:t>
            </w:r>
          </w:p>
        </w:tc>
      </w:tr>
      <w:tr w14:paraId="5CA7C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00" w:type="dxa"/>
            <w:vAlign w:val="center"/>
          </w:tcPr>
          <w:p w14:paraId="4CE6321E">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2</w:t>
            </w:r>
          </w:p>
        </w:tc>
        <w:tc>
          <w:tcPr>
            <w:tcW w:w="1230" w:type="dxa"/>
            <w:vAlign w:val="center"/>
          </w:tcPr>
          <w:p w14:paraId="48BCE8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服务地点</w:t>
            </w:r>
          </w:p>
        </w:tc>
        <w:tc>
          <w:tcPr>
            <w:tcW w:w="6530" w:type="dxa"/>
            <w:vAlign w:val="center"/>
          </w:tcPr>
          <w:p w14:paraId="17A1BA3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zh-CN" w:bidi="ar-SA"/>
              </w:rPr>
              <w:t>使用单位</w:t>
            </w:r>
            <w:r>
              <w:rPr>
                <w:rFonts w:hint="eastAsia" w:ascii="仿宋" w:hAnsi="仿宋" w:eastAsia="仿宋" w:cs="仿宋"/>
                <w:snapToGrid w:val="0"/>
                <w:color w:val="auto"/>
                <w:spacing w:val="0"/>
                <w:w w:val="100"/>
                <w:kern w:val="0"/>
                <w:position w:val="0"/>
                <w:sz w:val="28"/>
                <w:szCs w:val="28"/>
                <w:lang w:val="en-US" w:eastAsia="en-US" w:bidi="ar-SA"/>
              </w:rPr>
              <w:t>指定地点</w:t>
            </w:r>
          </w:p>
        </w:tc>
      </w:tr>
      <w:tr w14:paraId="68287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00" w:type="dxa"/>
            <w:vAlign w:val="center"/>
          </w:tcPr>
          <w:p w14:paraId="54A8836C">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3</w:t>
            </w:r>
          </w:p>
        </w:tc>
        <w:tc>
          <w:tcPr>
            <w:tcW w:w="1230" w:type="dxa"/>
            <w:vAlign w:val="center"/>
          </w:tcPr>
          <w:p w14:paraId="7DA96B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服务期限</w:t>
            </w:r>
          </w:p>
        </w:tc>
        <w:tc>
          <w:tcPr>
            <w:tcW w:w="6530" w:type="dxa"/>
            <w:vAlign w:val="center"/>
          </w:tcPr>
          <w:p w14:paraId="1DEFA9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both"/>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框架协议签订后2年，</w:t>
            </w:r>
            <w:r>
              <w:rPr>
                <w:rFonts w:hint="eastAsia" w:ascii="仿宋" w:hAnsi="仿宋" w:eastAsia="仿宋" w:cs="仿宋"/>
                <w:snapToGrid w:val="0"/>
                <w:color w:val="auto"/>
                <w:spacing w:val="0"/>
                <w:w w:val="100"/>
                <w:kern w:val="0"/>
                <w:position w:val="0"/>
                <w:sz w:val="28"/>
                <w:szCs w:val="28"/>
                <w:lang w:val="en-US" w:eastAsia="zh-CN" w:bidi="ar-SA"/>
              </w:rPr>
              <w:t>（合同一年一签，一年一保，一年合同服务期结束后，征集人根据成交供应商在服务期间的履约情况，选择是否续签合同）。成交供应商在成交后五日内做好应承保车辆具体情况的登记、测算和承保工作。</w:t>
            </w:r>
          </w:p>
        </w:tc>
      </w:tr>
    </w:tbl>
    <w:p w14:paraId="45B2601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二、项目概况</w:t>
      </w:r>
    </w:p>
    <w:p w14:paraId="1636247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val="en-US" w:eastAsia="zh-CN"/>
        </w:rPr>
        <w:t>对颍东区公务用车定点保险。</w:t>
      </w:r>
    </w:p>
    <w:p w14:paraId="4B60176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val="en-US" w:eastAsia="zh-CN"/>
        </w:rPr>
        <w:t>承保单位应为投保单位提供车辆的交通事故责任强制险、机动车车辆损失险、第三者责任险保额300万、驾驶员及车上人员责任险每座保额10万、附加医保外医疗费用、精神抚慰金。</w:t>
      </w:r>
    </w:p>
    <w:p w14:paraId="7AFCB92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三、服务需求</w:t>
      </w:r>
    </w:p>
    <w:p w14:paraId="6C528B8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（1）本次</w:t>
      </w:r>
      <w:r>
        <w:rPr>
          <w:rFonts w:hint="eastAsia" w:ascii="仿宋" w:hAnsi="仿宋" w:eastAsia="仿宋" w:cs="仿宋"/>
          <w:snapToGrid w:val="0"/>
          <w:color w:val="auto"/>
          <w:spacing w:val="0"/>
          <w:w w:val="100"/>
          <w:kern w:val="0"/>
          <w:position w:val="0"/>
          <w:sz w:val="28"/>
          <w:szCs w:val="28"/>
          <w:lang w:val="en-US" w:eastAsia="zh-CN" w:bidi="ar-SA"/>
        </w:rPr>
        <w:t>征集项目供应商</w:t>
      </w:r>
      <w:r>
        <w:rPr>
          <w:rFonts w:hint="eastAsia" w:ascii="仿宋" w:hAnsi="仿宋" w:eastAsia="仿宋" w:cs="仿宋"/>
          <w:snapToGrid w:val="0"/>
          <w:color w:val="auto"/>
          <w:spacing w:val="0"/>
          <w:w w:val="100"/>
          <w:kern w:val="0"/>
          <w:position w:val="0"/>
          <w:sz w:val="28"/>
          <w:szCs w:val="28"/>
          <w:lang w:val="en-US" w:eastAsia="en-US" w:bidi="ar-SA"/>
        </w:rPr>
        <w:t>应充分考虑影响车保保费、理赔的因素：车辆的类型、车龄、座位、车辆的价格部分以及各险种投保的金额。</w:t>
      </w:r>
    </w:p>
    <w:p w14:paraId="7C2F71D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（2）各</w:t>
      </w:r>
      <w:r>
        <w:rPr>
          <w:rFonts w:hint="eastAsia" w:ascii="仿宋" w:hAnsi="仿宋" w:eastAsia="仿宋" w:cs="仿宋"/>
          <w:snapToGrid w:val="0"/>
          <w:color w:val="auto"/>
          <w:spacing w:val="0"/>
          <w:w w:val="100"/>
          <w:kern w:val="0"/>
          <w:position w:val="0"/>
          <w:sz w:val="28"/>
          <w:szCs w:val="28"/>
          <w:lang w:val="en-US" w:eastAsia="zh-CN" w:bidi="ar-SA"/>
        </w:rPr>
        <w:t>供应商</w:t>
      </w:r>
      <w:r>
        <w:rPr>
          <w:rFonts w:hint="eastAsia" w:ascii="仿宋" w:hAnsi="仿宋" w:eastAsia="仿宋" w:cs="仿宋"/>
          <w:snapToGrid w:val="0"/>
          <w:color w:val="auto"/>
          <w:spacing w:val="0"/>
          <w:w w:val="100"/>
          <w:kern w:val="0"/>
          <w:position w:val="0"/>
          <w:sz w:val="28"/>
          <w:szCs w:val="28"/>
          <w:lang w:val="en-US" w:eastAsia="en-US" w:bidi="ar-SA"/>
        </w:rPr>
        <w:t>须针对本次保险采购项目所有参保车辆给出一个优惠费率，并承担投保单位车辆的保险责任。</w:t>
      </w:r>
    </w:p>
    <w:p w14:paraId="6154D6F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（3）在参保车辆的保险责任期内，若中标的保险人的保险政策发生变动，应及时以书面形式通知投保人，投保人有权享受其优惠政策。除行业政策调整外，不利于投保人的新的车保条款，将被拒绝。</w:t>
      </w:r>
    </w:p>
    <w:p w14:paraId="3974B9A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color w:val="auto"/>
          <w:spacing w:val="0"/>
          <w:w w:val="100"/>
          <w:position w:val="0"/>
          <w:sz w:val="28"/>
          <w:szCs w:val="28"/>
        </w:rPr>
      </w:pPr>
      <w:r>
        <w:rPr>
          <w:rFonts w:hint="eastAsia" w:ascii="仿宋" w:hAnsi="仿宋" w:eastAsia="仿宋" w:cs="仿宋"/>
          <w:snapToGrid w:val="0"/>
          <w:color w:val="auto"/>
          <w:spacing w:val="0"/>
          <w:w w:val="100"/>
          <w:kern w:val="0"/>
          <w:position w:val="0"/>
          <w:sz w:val="28"/>
          <w:szCs w:val="28"/>
          <w:lang w:val="en-US" w:eastAsia="en-US" w:bidi="ar-SA"/>
        </w:rPr>
        <w:t>（4）承保单位向投保单位承诺，在车辆出险维修厂的选择上，原则上须听取甲方的建议。</w:t>
      </w:r>
    </w:p>
    <w:p w14:paraId="020C83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rPr>
      </w:pPr>
      <w:r>
        <w:rPr>
          <w:rFonts w:hint="eastAsia" w:ascii="仿宋" w:hAnsi="仿宋" w:eastAsia="仿宋" w:cs="仿宋"/>
          <w:b/>
          <w:bCs/>
          <w:color w:val="auto"/>
          <w:spacing w:val="0"/>
          <w:w w:val="100"/>
          <w:position w:val="0"/>
          <w:sz w:val="28"/>
          <w:szCs w:val="28"/>
        </w:rPr>
        <w:t>四、报价要求</w:t>
      </w:r>
    </w:p>
    <w:p w14:paraId="21AADE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1、本项目为费率报价，车辆商业险自主定价系数%。例：若自主定价系数为75%，即填75%；</w:t>
      </w:r>
    </w:p>
    <w:p w14:paraId="2D0029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2、本项目最终结算方式以使用单位与入围供应商签订的合同约定为准，并作为项目最终结算依据；履约期内公务用车保险实际结算费用=实际商业险综合费用*自主定价系数+交强险(如：入围供应商自主定价系数率为75%，则履约期内实际结算费用=实际商业险综合费用*75%+交强险)。此次报价均为完成本次征集项目的全费用价格；本项目报价包括本次服务全部的费用，报价采用商业险综合优惠费率方式报价，本次响应报价费率不包含交强险；</w:t>
      </w:r>
    </w:p>
    <w:p w14:paraId="6593E5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3、交强险：严格按照《中华人民共和国保险法》、《机动车交通事故责任强制保险条例》、《机动车交通事故责任强制保险条款》等有关法律、法规的规定执行。</w:t>
      </w:r>
    </w:p>
    <w:p w14:paraId="0CC520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bCs/>
          <w:snapToGrid w:val="0"/>
          <w:color w:val="auto"/>
          <w:spacing w:val="0"/>
          <w:w w:val="100"/>
          <w:kern w:val="0"/>
          <w:position w:val="0"/>
          <w:sz w:val="28"/>
          <w:szCs w:val="28"/>
          <w:lang w:val="en-US" w:eastAsia="zh-CN" w:bidi="ar-SA"/>
        </w:rPr>
      </w:pPr>
      <w:r>
        <w:rPr>
          <w:rFonts w:hint="eastAsia" w:ascii="仿宋" w:hAnsi="仿宋" w:eastAsia="仿宋" w:cs="仿宋"/>
          <w:b/>
          <w:bCs/>
          <w:snapToGrid w:val="0"/>
          <w:color w:val="auto"/>
          <w:spacing w:val="0"/>
          <w:w w:val="100"/>
          <w:kern w:val="0"/>
          <w:position w:val="0"/>
          <w:sz w:val="28"/>
          <w:szCs w:val="28"/>
          <w:lang w:val="en-US" w:eastAsia="zh-CN" w:bidi="ar-SA"/>
        </w:rPr>
        <w:t>注：本项目采用费率的形式进行报价，系统默认“优惠率/下浮率”等词汇，均要求按费率填写。</w:t>
      </w:r>
    </w:p>
    <w:p w14:paraId="3DB42B4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rPr>
      </w:pPr>
      <w:r>
        <w:rPr>
          <w:rFonts w:hint="eastAsia" w:ascii="仿宋" w:hAnsi="仿宋" w:eastAsia="仿宋" w:cs="仿宋"/>
          <w:b/>
          <w:bCs/>
          <w:color w:val="auto"/>
          <w:spacing w:val="0"/>
          <w:w w:val="100"/>
          <w:position w:val="0"/>
          <w:sz w:val="28"/>
          <w:szCs w:val="28"/>
        </w:rPr>
        <w:t>五、其他要求</w:t>
      </w:r>
    </w:p>
    <w:p w14:paraId="6542E66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w:t>
      </w:r>
      <w:r>
        <w:rPr>
          <w:rFonts w:hint="eastAsia" w:ascii="仿宋" w:hAnsi="仿宋" w:eastAsia="仿宋" w:cs="仿宋"/>
          <w:color w:val="auto"/>
          <w:spacing w:val="0"/>
          <w:w w:val="100"/>
          <w:position w:val="0"/>
          <w:sz w:val="28"/>
          <w:szCs w:val="28"/>
        </w:rPr>
        <w:br w:type="page"/>
      </w:r>
    </w:p>
    <w:p w14:paraId="6C12BD8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bCs/>
          <w:color w:val="auto"/>
          <w:spacing w:val="0"/>
          <w:w w:val="100"/>
          <w:position w:val="0"/>
          <w:sz w:val="44"/>
          <w:szCs w:val="44"/>
        </w:rPr>
      </w:pPr>
      <w:bookmarkStart w:id="5" w:name="_Toc28157"/>
      <w:r>
        <w:rPr>
          <w:rFonts w:hint="eastAsia" w:ascii="华文中宋" w:hAnsi="华文中宋" w:eastAsia="华文中宋" w:cs="华文中宋"/>
          <w:b/>
          <w:bCs/>
          <w:color w:val="auto"/>
          <w:spacing w:val="0"/>
          <w:w w:val="100"/>
          <w:position w:val="0"/>
          <w:sz w:val="44"/>
          <w:szCs w:val="44"/>
        </w:rPr>
        <w:t>第四章 评标办法</w:t>
      </w:r>
      <w:bookmarkEnd w:id="5"/>
    </w:p>
    <w:p w14:paraId="5F3A067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一、评标原则</w:t>
      </w:r>
    </w:p>
    <w:p w14:paraId="73AA41D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根据《中华人民共和国政府采购法》及相关法律法规的</w:t>
      </w:r>
      <w:r>
        <w:rPr>
          <w:rFonts w:hint="eastAsia" w:ascii="仿宋" w:hAnsi="仿宋" w:eastAsia="仿宋" w:cs="仿宋"/>
          <w:color w:val="auto"/>
          <w:spacing w:val="0"/>
          <w:w w:val="100"/>
          <w:position w:val="0"/>
          <w:sz w:val="28"/>
          <w:szCs w:val="28"/>
          <w:lang w:eastAsia="zh-CN"/>
        </w:rPr>
        <w:t>有关</w:t>
      </w:r>
      <w:r>
        <w:rPr>
          <w:rFonts w:hint="eastAsia" w:ascii="仿宋" w:hAnsi="仿宋" w:eastAsia="仿宋" w:cs="仿宋"/>
          <w:color w:val="auto"/>
          <w:spacing w:val="0"/>
          <w:w w:val="100"/>
          <w:position w:val="0"/>
          <w:sz w:val="28"/>
          <w:szCs w:val="28"/>
        </w:rPr>
        <w:t>规定，在坚持公平、公正、科学、择优的原则基础上，由评标委员会根据征集文件载明的评标办法和标准，对供应商进行综合评定。</w:t>
      </w:r>
    </w:p>
    <w:p w14:paraId="1929A64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二、评标委员会的组成：</w:t>
      </w:r>
    </w:p>
    <w:p w14:paraId="093C6BD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人依法组建评标委员会，评标委员会由征集人和评标专家库中随机抽取的技术、经济等有关方面的专家组成，成员人数为五人以上单数，其中技术、经济等方面的专家不得少于成员总数的三分之二。有《中华人民共和国政府采购法实施条例》中第九条规定情形中的专家及征集人评委应当回避不能担任评委。</w:t>
      </w:r>
    </w:p>
    <w:p w14:paraId="20399F6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三、评标办法</w:t>
      </w:r>
    </w:p>
    <w:p w14:paraId="03758A1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根据中华人民共和国财政部令第110号《政府采购框架协议采购方式管理暂行办法》的相关规定，确定第一阶段入围供应商的评审方法为质量优先法，对满足征集文件采购需求全部实质性要求且响应报价不超过最高限制单价的服务进行质量综合评分，按照质量评分从高到低排序，根据征集文件规定的入围供应商数量上限，确定入围供应商。服务项目质量因素包括服务内容、服务水平、供应商的履约能力、服务经验等。</w:t>
      </w:r>
    </w:p>
    <w:p w14:paraId="1BD1AF5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四、评审程序</w:t>
      </w:r>
    </w:p>
    <w:p w14:paraId="029AB66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4.1.1 资格评审(资格后审)：征集人或采购代理机构依据法律法规和征集文件的规定，对供应商进行资格性审查，以确定供应商是否具备投标资格。(详见资格审查表)合格供应商不足</w:t>
      </w:r>
      <w:r>
        <w:rPr>
          <w:rFonts w:hint="eastAsia" w:ascii="仿宋" w:hAnsi="仿宋" w:eastAsia="仿宋" w:cs="仿宋"/>
          <w:color w:val="auto"/>
          <w:spacing w:val="0"/>
          <w:w w:val="100"/>
          <w:position w:val="0"/>
          <w:sz w:val="28"/>
          <w:szCs w:val="28"/>
          <w:lang w:val="en-US" w:eastAsia="zh-CN"/>
        </w:rPr>
        <w:t>2</w:t>
      </w:r>
      <w:r>
        <w:rPr>
          <w:rFonts w:hint="eastAsia" w:ascii="仿宋" w:hAnsi="仿宋" w:eastAsia="仿宋" w:cs="仿宋"/>
          <w:color w:val="auto"/>
          <w:spacing w:val="0"/>
          <w:w w:val="100"/>
          <w:position w:val="0"/>
          <w:sz w:val="28"/>
          <w:szCs w:val="28"/>
        </w:rPr>
        <w:t>家的，不得评标。</w:t>
      </w:r>
    </w:p>
    <w:p w14:paraId="2EF5600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4.1.2 初步评审</w:t>
      </w:r>
    </w:p>
    <w:p w14:paraId="7531829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符合性检查。依据征集文件的规定，从征集响应文件的有效性、完整性和对征集文件的响应程度进行审查，以确定是否对征集文件的实质性要求作出响应。征集响应文件报价出现前后不一致的，按照下列规定修正:</w:t>
      </w:r>
    </w:p>
    <w:p w14:paraId="5E6DA8B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(1)征集响应文件中开标一览表(报价表)内容与征集响应文件中相应内容不一致的，以开标一览表(报价表)为准；</w:t>
      </w:r>
    </w:p>
    <w:p w14:paraId="725A333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(2)征集响应文件的大写金额和小写金额不一致的，以大写金额为准；</w:t>
      </w:r>
    </w:p>
    <w:p w14:paraId="2E43953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(3)总价金额与按单价汇总金额不一致的，以单价金额计算结果为准；</w:t>
      </w:r>
    </w:p>
    <w:p w14:paraId="17856FB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(4)单价金额小数点或者百分比有明显错位的，以开标一览表的总价为准，并修改单价；</w:t>
      </w:r>
    </w:p>
    <w:p w14:paraId="4717599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(5)对不同文字文本征集响应文件的解释发生异议的，以中文文本为准。</w:t>
      </w:r>
    </w:p>
    <w:p w14:paraId="0346EA4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供应商拒不按照要求对征集响应文件进行澄清、说明或者补正的，或者对报价修正不确认的，评标委员会可以否决其投标。</w:t>
      </w:r>
    </w:p>
    <w:p w14:paraId="7968473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4.1.3 比较与评价。</w:t>
      </w:r>
    </w:p>
    <w:p w14:paraId="79876D0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按征集文件中规定的评标方法和标准，对资格性检查和符合性检查合格的征集响应文件进行商务和技术等其他因素的评估，综合比较与评价。</w:t>
      </w:r>
    </w:p>
    <w:p w14:paraId="756CAC7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4.1.4 确定入围供应商。</w:t>
      </w:r>
    </w:p>
    <w:p w14:paraId="715617A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确定第一阶段入围供应商时，对满足采购需求且通过初审的供应商服务进行质量综合评分。确定第一阶段入围供应商时，提交响应文件</w:t>
      </w:r>
      <w:r>
        <w:rPr>
          <w:rFonts w:hint="eastAsia" w:ascii="仿宋" w:hAnsi="仿宋" w:eastAsia="仿宋" w:cs="仿宋"/>
          <w:color w:val="auto"/>
          <w:spacing w:val="0"/>
          <w:w w:val="100"/>
          <w:position w:val="0"/>
          <w:sz w:val="28"/>
          <w:szCs w:val="28"/>
          <w:lang w:val="en-US" w:eastAsia="zh-CN"/>
        </w:rPr>
        <w:t>或</w:t>
      </w:r>
      <w:r>
        <w:rPr>
          <w:rFonts w:hint="eastAsia" w:ascii="仿宋" w:hAnsi="仿宋" w:eastAsia="仿宋" w:cs="仿宋"/>
          <w:color w:val="auto"/>
          <w:spacing w:val="0"/>
          <w:w w:val="100"/>
          <w:position w:val="0"/>
          <w:sz w:val="28"/>
          <w:szCs w:val="28"/>
        </w:rPr>
        <w:t>符合资格条件、实质性要求的供应商应当均不少于</w:t>
      </w:r>
      <w:r>
        <w:rPr>
          <w:rFonts w:hint="eastAsia" w:ascii="仿宋" w:hAnsi="仿宋" w:eastAsia="仿宋" w:cs="仿宋"/>
          <w:color w:val="auto"/>
          <w:spacing w:val="0"/>
          <w:w w:val="100"/>
          <w:position w:val="0"/>
          <w:sz w:val="28"/>
          <w:szCs w:val="28"/>
          <w:lang w:val="en-US" w:eastAsia="zh-CN"/>
        </w:rPr>
        <w:t>2</w:t>
      </w:r>
      <w:r>
        <w:rPr>
          <w:rFonts w:hint="eastAsia" w:ascii="仿宋" w:hAnsi="仿宋" w:eastAsia="仿宋" w:cs="仿宋"/>
          <w:color w:val="auto"/>
          <w:spacing w:val="0"/>
          <w:w w:val="100"/>
          <w:position w:val="0"/>
          <w:sz w:val="28"/>
          <w:szCs w:val="28"/>
        </w:rPr>
        <w:t>家，淘汰比例一般不得低于20%，且至少淘汰一家供应商。</w:t>
      </w:r>
    </w:p>
    <w:p w14:paraId="2C886F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4.2 评标细则</w:t>
      </w:r>
    </w:p>
    <w:p w14:paraId="5178319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4.2.1 本项目在供应商须知前附表里设最高限价，投标报价高于最高限价或由评标委员会认定低于成本价的，其报价无效。</w:t>
      </w:r>
    </w:p>
    <w:p w14:paraId="03941B3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4.2.2 有效报价指通过了资格后审及初步评审，并对评标委员会提出的澄清、说明或者纠正以书面的形式提交了澄清、说明或者补正的</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的投标报价为有效报价。严重偏离市场价格或低于成本价的除外。评标委员会认为供应商的报价明显低于其他通过符合性审查供应商的报价，有可能影响项目质量或者不能诚信履约的，应当要求其在评标现场合理的时间内提供书面说明</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供应商应自行考虑自身报价情况提前准备证明材料，以备递交评标委员会</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，同时提交相关证明材料；供应商不能证明其报价合理性的，评标委员会应当将其作为无效投标处理。</w:t>
      </w:r>
    </w:p>
    <w:p w14:paraId="3A01836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五、评分标准及因素</w:t>
      </w:r>
    </w:p>
    <w:p w14:paraId="3E7F047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5.1 资格审查</w:t>
      </w:r>
    </w:p>
    <w:p w14:paraId="1BECDFC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或</w:t>
      </w:r>
      <w:r>
        <w:rPr>
          <w:rFonts w:hint="eastAsia" w:ascii="仿宋" w:hAnsi="仿宋" w:eastAsia="仿宋" w:cs="仿宋"/>
          <w:color w:val="auto"/>
          <w:spacing w:val="0"/>
          <w:w w:val="100"/>
          <w:position w:val="0"/>
          <w:sz w:val="28"/>
          <w:szCs w:val="28"/>
          <w:lang w:val="en-US" w:eastAsia="zh-CN"/>
        </w:rPr>
        <w:t>采购</w:t>
      </w:r>
      <w:r>
        <w:rPr>
          <w:rFonts w:hint="eastAsia" w:ascii="仿宋" w:hAnsi="仿宋" w:eastAsia="仿宋" w:cs="仿宋"/>
          <w:color w:val="auto"/>
          <w:spacing w:val="0"/>
          <w:w w:val="100"/>
          <w:position w:val="0"/>
          <w:sz w:val="28"/>
          <w:szCs w:val="28"/>
        </w:rPr>
        <w:t>代理机构对</w:t>
      </w:r>
      <w:r>
        <w:rPr>
          <w:rFonts w:hint="eastAsia" w:ascii="仿宋" w:hAnsi="仿宋" w:eastAsia="仿宋" w:cs="仿宋"/>
          <w:color w:val="auto"/>
          <w:spacing w:val="0"/>
          <w:w w:val="100"/>
          <w:position w:val="0"/>
          <w:sz w:val="28"/>
          <w:szCs w:val="28"/>
          <w:lang w:val="en-US" w:eastAsia="zh-CN"/>
        </w:rPr>
        <w:t>供应商</w:t>
      </w:r>
      <w:r>
        <w:rPr>
          <w:rFonts w:hint="eastAsia" w:ascii="仿宋" w:hAnsi="仿宋" w:eastAsia="仿宋" w:cs="仿宋"/>
          <w:color w:val="auto"/>
          <w:spacing w:val="0"/>
          <w:w w:val="100"/>
          <w:position w:val="0"/>
          <w:sz w:val="28"/>
          <w:szCs w:val="28"/>
        </w:rPr>
        <w:t>的资格进行审查，审查</w:t>
      </w:r>
      <w:r>
        <w:rPr>
          <w:rFonts w:hint="eastAsia" w:ascii="仿宋" w:hAnsi="仿宋" w:eastAsia="仿宋" w:cs="仿宋"/>
          <w:color w:val="auto"/>
          <w:spacing w:val="0"/>
          <w:w w:val="100"/>
          <w:position w:val="0"/>
          <w:sz w:val="28"/>
          <w:szCs w:val="28"/>
          <w:lang w:eastAsia="zh-CN"/>
        </w:rPr>
        <w:t>响应文件</w:t>
      </w:r>
      <w:r>
        <w:rPr>
          <w:rFonts w:hint="eastAsia" w:ascii="仿宋" w:hAnsi="仿宋" w:eastAsia="仿宋" w:cs="仿宋"/>
          <w:color w:val="auto"/>
          <w:spacing w:val="0"/>
          <w:w w:val="100"/>
          <w:position w:val="0"/>
          <w:sz w:val="28"/>
          <w:szCs w:val="28"/>
        </w:rPr>
        <w:t>是否响应</w:t>
      </w:r>
      <w:r>
        <w:rPr>
          <w:rFonts w:hint="eastAsia" w:ascii="仿宋" w:hAnsi="仿宋" w:eastAsia="仿宋" w:cs="仿宋"/>
          <w:color w:val="auto"/>
          <w:spacing w:val="0"/>
          <w:w w:val="100"/>
          <w:position w:val="0"/>
          <w:sz w:val="28"/>
          <w:szCs w:val="28"/>
          <w:lang w:val="en-US" w:eastAsia="zh-CN"/>
        </w:rPr>
        <w:t>征集</w:t>
      </w:r>
      <w:r>
        <w:rPr>
          <w:rFonts w:hint="eastAsia" w:ascii="仿宋" w:hAnsi="仿宋" w:eastAsia="仿宋" w:cs="仿宋"/>
          <w:color w:val="auto"/>
          <w:spacing w:val="0"/>
          <w:w w:val="100"/>
          <w:position w:val="0"/>
          <w:sz w:val="28"/>
          <w:szCs w:val="28"/>
        </w:rPr>
        <w:t>文件的资格要求。当发现</w:t>
      </w:r>
      <w:r>
        <w:rPr>
          <w:rFonts w:hint="eastAsia" w:ascii="仿宋" w:hAnsi="仿宋" w:eastAsia="仿宋" w:cs="仿宋"/>
          <w:color w:val="auto"/>
          <w:spacing w:val="0"/>
          <w:w w:val="100"/>
          <w:position w:val="0"/>
          <w:sz w:val="28"/>
          <w:szCs w:val="28"/>
          <w:lang w:val="en-US" w:eastAsia="zh-CN"/>
        </w:rPr>
        <w:t>供应商</w:t>
      </w:r>
      <w:r>
        <w:rPr>
          <w:rFonts w:hint="eastAsia" w:ascii="仿宋" w:hAnsi="仿宋" w:eastAsia="仿宋" w:cs="仿宋"/>
          <w:color w:val="auto"/>
          <w:spacing w:val="0"/>
          <w:w w:val="100"/>
          <w:position w:val="0"/>
          <w:sz w:val="28"/>
          <w:szCs w:val="28"/>
        </w:rPr>
        <w:t>或其</w:t>
      </w:r>
      <w:r>
        <w:rPr>
          <w:rFonts w:hint="eastAsia" w:ascii="仿宋" w:hAnsi="仿宋" w:eastAsia="仿宋" w:cs="仿宋"/>
          <w:color w:val="auto"/>
          <w:spacing w:val="0"/>
          <w:w w:val="100"/>
          <w:position w:val="0"/>
          <w:sz w:val="28"/>
          <w:szCs w:val="28"/>
          <w:lang w:val="en-US" w:eastAsia="zh-CN"/>
        </w:rPr>
        <w:t>响应</w:t>
      </w:r>
      <w:r>
        <w:rPr>
          <w:rFonts w:hint="eastAsia" w:ascii="仿宋" w:hAnsi="仿宋" w:eastAsia="仿宋" w:cs="仿宋"/>
          <w:color w:val="auto"/>
          <w:spacing w:val="0"/>
          <w:w w:val="100"/>
          <w:position w:val="0"/>
          <w:sz w:val="28"/>
          <w:szCs w:val="28"/>
        </w:rPr>
        <w:t>文件存在下列情况之一时，将判定</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的资格不符合要求，资格审查不通过。</w:t>
      </w:r>
    </w:p>
    <w:p w14:paraId="1FB6316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资格审查表如下：</w:t>
      </w:r>
    </w:p>
    <w:tbl>
      <w:tblPr>
        <w:tblStyle w:val="22"/>
        <w:tblW w:w="8985" w:type="dxa"/>
        <w:tblInd w:w="-3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790"/>
        <w:gridCol w:w="2750"/>
        <w:gridCol w:w="3715"/>
      </w:tblGrid>
      <w:tr w14:paraId="50D42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985" w:type="dxa"/>
            <w:gridSpan w:val="4"/>
            <w:vAlign w:val="center"/>
          </w:tcPr>
          <w:p w14:paraId="6CFE9F04">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资格审查表</w:t>
            </w:r>
          </w:p>
        </w:tc>
      </w:tr>
      <w:tr w14:paraId="2DD2E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30" w:type="dxa"/>
            <w:vAlign w:val="center"/>
          </w:tcPr>
          <w:p w14:paraId="6A357A22">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序号</w:t>
            </w:r>
          </w:p>
        </w:tc>
        <w:tc>
          <w:tcPr>
            <w:tcW w:w="1790" w:type="dxa"/>
            <w:vAlign w:val="center"/>
          </w:tcPr>
          <w:p w14:paraId="558B43C4">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评审指标</w:t>
            </w:r>
          </w:p>
        </w:tc>
        <w:tc>
          <w:tcPr>
            <w:tcW w:w="2750" w:type="dxa"/>
            <w:tcBorders>
              <w:bottom w:val="single" w:color="auto" w:sz="4" w:space="0"/>
              <w:right w:val="single" w:color="000000" w:sz="4" w:space="0"/>
            </w:tcBorders>
            <w:vAlign w:val="center"/>
          </w:tcPr>
          <w:p w14:paraId="379954CB">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评审标准</w:t>
            </w:r>
          </w:p>
        </w:tc>
        <w:tc>
          <w:tcPr>
            <w:tcW w:w="3715" w:type="dxa"/>
            <w:tcBorders>
              <w:left w:val="single" w:color="000000" w:sz="4" w:space="0"/>
              <w:bottom w:val="single" w:color="auto" w:sz="4" w:space="0"/>
            </w:tcBorders>
            <w:vAlign w:val="center"/>
          </w:tcPr>
          <w:p w14:paraId="06F0C8BF">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格式及材料要求</w:t>
            </w:r>
          </w:p>
        </w:tc>
      </w:tr>
      <w:tr w14:paraId="34DD7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9" w:hRule="atLeast"/>
        </w:trPr>
        <w:tc>
          <w:tcPr>
            <w:tcW w:w="730" w:type="dxa"/>
            <w:vAlign w:val="center"/>
          </w:tcPr>
          <w:p w14:paraId="4E114585">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p>
        </w:tc>
        <w:tc>
          <w:tcPr>
            <w:tcW w:w="1790" w:type="dxa"/>
            <w:tcBorders>
              <w:right w:val="single" w:color="auto" w:sz="4" w:space="0"/>
            </w:tcBorders>
            <w:vAlign w:val="center"/>
          </w:tcPr>
          <w:p w14:paraId="3453E60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营业执照</w:t>
            </w:r>
          </w:p>
        </w:tc>
        <w:tc>
          <w:tcPr>
            <w:tcW w:w="2750" w:type="dxa"/>
            <w:tcBorders>
              <w:top w:val="single" w:color="auto" w:sz="4" w:space="0"/>
              <w:left w:val="single" w:color="auto" w:sz="4" w:space="0"/>
              <w:bottom w:val="single" w:color="auto" w:sz="4" w:space="0"/>
              <w:right w:val="single" w:color="000000" w:sz="4" w:space="0"/>
            </w:tcBorders>
            <w:vAlign w:val="center"/>
          </w:tcPr>
          <w:p w14:paraId="254A4629">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合法有效</w:t>
            </w:r>
          </w:p>
        </w:tc>
        <w:tc>
          <w:tcPr>
            <w:tcW w:w="3715" w:type="dxa"/>
            <w:vMerge w:val="restart"/>
            <w:tcBorders>
              <w:top w:val="single" w:color="auto" w:sz="4" w:space="0"/>
              <w:left w:val="single" w:color="000000" w:sz="4" w:space="0"/>
              <w:bottom w:val="single" w:color="auto" w:sz="4" w:space="0"/>
              <w:right w:val="single" w:color="auto" w:sz="4" w:space="0"/>
            </w:tcBorders>
            <w:vAlign w:val="center"/>
          </w:tcPr>
          <w:p w14:paraId="76095387">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提供有效的供应商营业执照（或事业单位法人登记证书）和税务登记证的 扫描件或影印件，应完整的体现出营业执照（或事业单位法人登记证书）和税务登记证的全部内容。已办理“ 三证合一 ”登记的，响应文件中提供 营业执照（或事业单位法人登记证书) 扫描件即可。联合体参加</w:t>
            </w:r>
            <w:r>
              <w:rPr>
                <w:rFonts w:hint="eastAsia" w:cs="仿宋"/>
                <w:color w:val="auto"/>
                <w:spacing w:val="0"/>
                <w:w w:val="100"/>
                <w:position w:val="0"/>
                <w:sz w:val="28"/>
                <w:szCs w:val="28"/>
                <w:lang w:eastAsia="zh-CN"/>
              </w:rPr>
              <w:t>投标</w:t>
            </w:r>
            <w:r>
              <w:rPr>
                <w:rFonts w:hint="eastAsia" w:ascii="仿宋" w:hAnsi="仿宋" w:eastAsia="仿宋" w:cs="仿宋"/>
                <w:color w:val="auto"/>
                <w:spacing w:val="0"/>
                <w:w w:val="100"/>
                <w:position w:val="0"/>
                <w:sz w:val="28"/>
                <w:szCs w:val="28"/>
              </w:rPr>
              <w:t>的联合体各方均须提供。</w:t>
            </w:r>
          </w:p>
        </w:tc>
      </w:tr>
      <w:tr w14:paraId="100D1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730" w:type="dxa"/>
            <w:vAlign w:val="center"/>
          </w:tcPr>
          <w:p w14:paraId="21CB725E">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p>
        </w:tc>
        <w:tc>
          <w:tcPr>
            <w:tcW w:w="1790" w:type="dxa"/>
            <w:vAlign w:val="center"/>
          </w:tcPr>
          <w:p w14:paraId="39E00A9F">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税务登记证</w:t>
            </w:r>
          </w:p>
        </w:tc>
        <w:tc>
          <w:tcPr>
            <w:tcW w:w="2750" w:type="dxa"/>
            <w:tcBorders>
              <w:top w:val="single" w:color="auto" w:sz="4" w:space="0"/>
              <w:right w:val="single" w:color="000000" w:sz="4" w:space="0"/>
            </w:tcBorders>
            <w:vAlign w:val="center"/>
          </w:tcPr>
          <w:p w14:paraId="07D40F34">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合法有效</w:t>
            </w:r>
          </w:p>
        </w:tc>
        <w:tc>
          <w:tcPr>
            <w:tcW w:w="3715" w:type="dxa"/>
            <w:vMerge w:val="continue"/>
            <w:tcBorders>
              <w:top w:val="single" w:color="auto" w:sz="4" w:space="0"/>
              <w:left w:val="single" w:color="000000" w:sz="4" w:space="0"/>
              <w:right w:val="single" w:color="auto" w:sz="4" w:space="0"/>
            </w:tcBorders>
            <w:vAlign w:val="center"/>
          </w:tcPr>
          <w:p w14:paraId="4A5C6E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r w14:paraId="68475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30" w:type="dxa"/>
            <w:vAlign w:val="center"/>
          </w:tcPr>
          <w:p w14:paraId="4C621B73">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w:t>
            </w:r>
          </w:p>
        </w:tc>
        <w:tc>
          <w:tcPr>
            <w:tcW w:w="1790" w:type="dxa"/>
            <w:vAlign w:val="center"/>
          </w:tcPr>
          <w:p w14:paraId="4F59C9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无重大违法记录声明函、无不良信用记录声明函</w:t>
            </w:r>
          </w:p>
        </w:tc>
        <w:tc>
          <w:tcPr>
            <w:tcW w:w="2750" w:type="dxa"/>
            <w:tcBorders>
              <w:right w:val="single" w:color="000000" w:sz="4" w:space="0"/>
            </w:tcBorders>
            <w:vAlign w:val="center"/>
          </w:tcPr>
          <w:p w14:paraId="2983C6E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格式、填写要求符合征集文件规定并加盖供应商电子签章</w:t>
            </w:r>
          </w:p>
        </w:tc>
        <w:tc>
          <w:tcPr>
            <w:tcW w:w="3715" w:type="dxa"/>
            <w:tcBorders>
              <w:left w:val="single" w:color="000000" w:sz="4" w:space="0"/>
            </w:tcBorders>
            <w:vAlign w:val="center"/>
          </w:tcPr>
          <w:p w14:paraId="0D6C810D">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详见响应文件格式</w:t>
            </w:r>
          </w:p>
        </w:tc>
      </w:tr>
      <w:tr w14:paraId="3A96B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730" w:type="dxa"/>
            <w:vAlign w:val="center"/>
          </w:tcPr>
          <w:p w14:paraId="0E9F8961">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val="en-US" w:eastAsia="zh-CN"/>
              </w:rPr>
              <w:t>4</w:t>
            </w:r>
          </w:p>
        </w:tc>
        <w:tc>
          <w:tcPr>
            <w:tcW w:w="1790" w:type="dxa"/>
            <w:vAlign w:val="center"/>
          </w:tcPr>
          <w:p w14:paraId="3F72B7E0">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val="en-US" w:eastAsia="zh-CN"/>
              </w:rPr>
              <w:t>特定资格要求</w:t>
            </w:r>
          </w:p>
        </w:tc>
        <w:tc>
          <w:tcPr>
            <w:tcW w:w="2750" w:type="dxa"/>
            <w:tcBorders>
              <w:right w:val="single" w:color="000000" w:sz="4" w:space="0"/>
            </w:tcBorders>
            <w:vAlign w:val="center"/>
          </w:tcPr>
          <w:p w14:paraId="5C305655">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供应商具有有效的《经营保险业务许可证》，如为省、市、县级分支机构投标提供其总公司授权分支机构参加本项目投标的授权书(格式自拟)。注:一家保险公司只能授权其一个分支机构参与本项目投标。</w:t>
            </w:r>
          </w:p>
        </w:tc>
        <w:tc>
          <w:tcPr>
            <w:tcW w:w="3715" w:type="dxa"/>
            <w:tcBorders>
              <w:left w:val="single" w:color="000000" w:sz="4" w:space="0"/>
            </w:tcBorders>
            <w:vAlign w:val="center"/>
          </w:tcPr>
          <w:p w14:paraId="173B5023">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default"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rPr>
              <w:t>提供符合供应商资格中的要求的资质证书扫描件</w:t>
            </w:r>
            <w:r>
              <w:rPr>
                <w:rFonts w:hint="eastAsia" w:cs="仿宋"/>
                <w:color w:val="auto"/>
                <w:spacing w:val="0"/>
                <w:w w:val="100"/>
                <w:position w:val="0"/>
                <w:sz w:val="28"/>
                <w:szCs w:val="28"/>
                <w:lang w:val="en-US" w:eastAsia="zh-CN"/>
              </w:rPr>
              <w:t>及授权书</w:t>
            </w:r>
          </w:p>
        </w:tc>
      </w:tr>
    </w:tbl>
    <w:p w14:paraId="63F9056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b/>
          <w:bCs/>
          <w:color w:val="auto"/>
          <w:spacing w:val="0"/>
          <w:w w:val="100"/>
          <w:position w:val="0"/>
          <w:sz w:val="28"/>
          <w:szCs w:val="28"/>
          <w:lang w:val="en-US" w:eastAsia="zh-CN"/>
        </w:rPr>
        <w:t>资格审查指标通过标准：</w:t>
      </w:r>
      <w:r>
        <w:rPr>
          <w:rFonts w:hint="eastAsia" w:ascii="仿宋" w:hAnsi="仿宋" w:eastAsia="仿宋" w:cs="仿宋"/>
          <w:color w:val="auto"/>
          <w:spacing w:val="0"/>
          <w:w w:val="100"/>
          <w:position w:val="0"/>
          <w:sz w:val="28"/>
          <w:szCs w:val="28"/>
          <w:lang w:val="en-US" w:eastAsia="zh-CN"/>
        </w:rPr>
        <w:t>供应商必须通过资格审查表中的全部评审指标。</w:t>
      </w:r>
    </w:p>
    <w:p w14:paraId="33A3C8F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val="en-US" w:eastAsia="zh-CN"/>
        </w:rPr>
        <w:br w:type="page"/>
      </w:r>
    </w:p>
    <w:p w14:paraId="64A55FA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val="en-US" w:eastAsia="zh-CN"/>
        </w:rPr>
        <w:t xml:space="preserve">5.2 </w:t>
      </w:r>
      <w:r>
        <w:rPr>
          <w:rFonts w:hint="eastAsia" w:ascii="仿宋" w:hAnsi="仿宋" w:eastAsia="仿宋" w:cs="仿宋"/>
          <w:color w:val="auto"/>
          <w:spacing w:val="0"/>
          <w:w w:val="100"/>
          <w:position w:val="0"/>
          <w:sz w:val="28"/>
          <w:szCs w:val="28"/>
        </w:rPr>
        <w:t>符合性审查</w:t>
      </w:r>
    </w:p>
    <w:p w14:paraId="41A473C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评标委员会对通过资格审查的</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的</w:t>
      </w:r>
      <w:r>
        <w:rPr>
          <w:rFonts w:hint="eastAsia" w:ascii="仿宋" w:hAnsi="仿宋" w:eastAsia="仿宋" w:cs="仿宋"/>
          <w:color w:val="auto"/>
          <w:spacing w:val="0"/>
          <w:w w:val="100"/>
          <w:position w:val="0"/>
          <w:sz w:val="28"/>
          <w:szCs w:val="28"/>
          <w:lang w:eastAsia="zh-CN"/>
        </w:rPr>
        <w:t>响应文件</w:t>
      </w:r>
      <w:r>
        <w:rPr>
          <w:rFonts w:hint="eastAsia" w:ascii="仿宋" w:hAnsi="仿宋" w:eastAsia="仿宋" w:cs="仿宋"/>
          <w:color w:val="auto"/>
          <w:spacing w:val="0"/>
          <w:w w:val="100"/>
          <w:position w:val="0"/>
          <w:sz w:val="28"/>
          <w:szCs w:val="28"/>
        </w:rPr>
        <w:t>进行符合性审查，以确定其是否满足招 标文件的实质性要求。</w:t>
      </w:r>
    </w:p>
    <w:p w14:paraId="2A8DD67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b/>
          <w:bCs/>
          <w:color w:val="auto"/>
          <w:spacing w:val="0"/>
          <w:w w:val="100"/>
          <w:position w:val="0"/>
          <w:sz w:val="28"/>
          <w:szCs w:val="28"/>
        </w:rPr>
      </w:pPr>
      <w:r>
        <w:rPr>
          <w:rFonts w:hint="eastAsia" w:ascii="仿宋" w:hAnsi="仿宋" w:eastAsia="仿宋" w:cs="仿宋"/>
          <w:color w:val="auto"/>
          <w:spacing w:val="0"/>
          <w:w w:val="100"/>
          <w:position w:val="0"/>
          <w:sz w:val="28"/>
          <w:szCs w:val="28"/>
        </w:rPr>
        <w:t>符合性审查表如下：</w:t>
      </w:r>
    </w:p>
    <w:tbl>
      <w:tblPr>
        <w:tblStyle w:val="22"/>
        <w:tblW w:w="8985" w:type="dxa"/>
        <w:tblInd w:w="-3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790"/>
        <w:gridCol w:w="3110"/>
        <w:gridCol w:w="3355"/>
      </w:tblGrid>
      <w:tr w14:paraId="108B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985" w:type="dxa"/>
            <w:gridSpan w:val="4"/>
            <w:vAlign w:val="center"/>
          </w:tcPr>
          <w:p w14:paraId="3D4FF5FB">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符合性审查表</w:t>
            </w:r>
          </w:p>
        </w:tc>
      </w:tr>
      <w:tr w14:paraId="52103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30" w:type="dxa"/>
            <w:vAlign w:val="center"/>
          </w:tcPr>
          <w:p w14:paraId="4F9029F7">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p>
        </w:tc>
        <w:tc>
          <w:tcPr>
            <w:tcW w:w="1790" w:type="dxa"/>
            <w:vAlign w:val="center"/>
          </w:tcPr>
          <w:p w14:paraId="5ECDB51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开标一览表</w:t>
            </w:r>
          </w:p>
        </w:tc>
        <w:tc>
          <w:tcPr>
            <w:tcW w:w="3110" w:type="dxa"/>
            <w:tcBorders>
              <w:right w:val="single" w:color="000000" w:sz="4" w:space="0"/>
            </w:tcBorders>
            <w:vAlign w:val="center"/>
          </w:tcPr>
          <w:p w14:paraId="2D2A133D">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1"/>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格式、填写要求符合征集文件规定并加盖供应商电子签章</w:t>
            </w:r>
          </w:p>
        </w:tc>
        <w:tc>
          <w:tcPr>
            <w:tcW w:w="3355" w:type="dxa"/>
            <w:tcBorders>
              <w:left w:val="single" w:color="000000" w:sz="4" w:space="0"/>
            </w:tcBorders>
            <w:vAlign w:val="center"/>
          </w:tcPr>
          <w:p w14:paraId="656640B3">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详见响应文件格式</w:t>
            </w:r>
          </w:p>
        </w:tc>
      </w:tr>
      <w:tr w14:paraId="01206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730" w:type="dxa"/>
            <w:vAlign w:val="center"/>
          </w:tcPr>
          <w:p w14:paraId="612D7864">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p>
        </w:tc>
        <w:tc>
          <w:tcPr>
            <w:tcW w:w="1790" w:type="dxa"/>
            <w:vAlign w:val="center"/>
          </w:tcPr>
          <w:p w14:paraId="550513B4">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投标函</w:t>
            </w:r>
          </w:p>
        </w:tc>
        <w:tc>
          <w:tcPr>
            <w:tcW w:w="3110" w:type="dxa"/>
            <w:tcBorders>
              <w:right w:val="single" w:color="000000" w:sz="4" w:space="0"/>
            </w:tcBorders>
            <w:vAlign w:val="center"/>
          </w:tcPr>
          <w:p w14:paraId="0E7521D7">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格式、填写要求符合征集文件规定并加盖供应商电子签章</w:t>
            </w:r>
          </w:p>
        </w:tc>
        <w:tc>
          <w:tcPr>
            <w:tcW w:w="3355" w:type="dxa"/>
            <w:tcBorders>
              <w:left w:val="single" w:color="000000" w:sz="4" w:space="0"/>
            </w:tcBorders>
            <w:vAlign w:val="center"/>
          </w:tcPr>
          <w:p w14:paraId="3978B2A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详见响应文件格式</w:t>
            </w:r>
          </w:p>
        </w:tc>
      </w:tr>
      <w:tr w14:paraId="228D0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30" w:type="dxa"/>
            <w:vAlign w:val="center"/>
          </w:tcPr>
          <w:p w14:paraId="3E890C0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w:t>
            </w:r>
          </w:p>
        </w:tc>
        <w:tc>
          <w:tcPr>
            <w:tcW w:w="1790" w:type="dxa"/>
            <w:vAlign w:val="center"/>
          </w:tcPr>
          <w:p w14:paraId="46AA3511">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授权书</w:t>
            </w:r>
          </w:p>
        </w:tc>
        <w:tc>
          <w:tcPr>
            <w:tcW w:w="3110" w:type="dxa"/>
            <w:tcBorders>
              <w:right w:val="single" w:color="000000" w:sz="4" w:space="0"/>
            </w:tcBorders>
            <w:vAlign w:val="center"/>
          </w:tcPr>
          <w:p w14:paraId="4C41B8BF">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1"/>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格式、填写要求符合征集文件规定并加盖供应商电子签章</w:t>
            </w:r>
          </w:p>
        </w:tc>
        <w:tc>
          <w:tcPr>
            <w:tcW w:w="3355" w:type="dxa"/>
            <w:tcBorders>
              <w:left w:val="single" w:color="000000" w:sz="4" w:space="0"/>
            </w:tcBorders>
            <w:vAlign w:val="center"/>
          </w:tcPr>
          <w:p w14:paraId="31E8D5E1">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8"/>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法定代表人参加</w:t>
            </w:r>
            <w:r>
              <w:rPr>
                <w:rFonts w:hint="eastAsia" w:cs="仿宋"/>
                <w:color w:val="auto"/>
                <w:spacing w:val="0"/>
                <w:w w:val="100"/>
                <w:position w:val="0"/>
                <w:sz w:val="28"/>
                <w:szCs w:val="28"/>
                <w:lang w:eastAsia="zh-CN"/>
              </w:rPr>
              <w:t>投标</w:t>
            </w:r>
            <w:r>
              <w:rPr>
                <w:rFonts w:hint="eastAsia" w:ascii="仿宋" w:hAnsi="仿宋" w:eastAsia="仿宋" w:cs="仿宋"/>
                <w:color w:val="auto"/>
                <w:spacing w:val="0"/>
                <w:w w:val="100"/>
                <w:position w:val="0"/>
                <w:sz w:val="28"/>
                <w:szCs w:val="28"/>
              </w:rPr>
              <w:t>的无需此件， 提供身份证明即可 。详见响应文件格式</w:t>
            </w:r>
          </w:p>
        </w:tc>
      </w:tr>
      <w:tr w14:paraId="705EF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0" w:type="dxa"/>
            <w:vAlign w:val="center"/>
          </w:tcPr>
          <w:p w14:paraId="33D312CD">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w:t>
            </w:r>
          </w:p>
        </w:tc>
        <w:tc>
          <w:tcPr>
            <w:tcW w:w="1790" w:type="dxa"/>
            <w:vAlign w:val="center"/>
          </w:tcPr>
          <w:p w14:paraId="04AD30FD">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商务响应情况</w:t>
            </w:r>
          </w:p>
        </w:tc>
        <w:tc>
          <w:tcPr>
            <w:tcW w:w="3110" w:type="dxa"/>
            <w:tcBorders>
              <w:right w:val="single" w:color="000000" w:sz="4" w:space="0"/>
            </w:tcBorders>
            <w:vAlign w:val="center"/>
          </w:tcPr>
          <w:p w14:paraId="44AA87E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符合征集文件采购需求中付款方式、服务地点及服务期限的要求</w:t>
            </w:r>
          </w:p>
        </w:tc>
        <w:tc>
          <w:tcPr>
            <w:tcW w:w="3355" w:type="dxa"/>
            <w:tcBorders>
              <w:left w:val="single" w:color="000000" w:sz="4" w:space="0"/>
            </w:tcBorders>
            <w:vAlign w:val="center"/>
          </w:tcPr>
          <w:p w14:paraId="01554355">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详见响应文件格式</w:t>
            </w:r>
          </w:p>
        </w:tc>
      </w:tr>
      <w:tr w14:paraId="1DD09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0" w:type="dxa"/>
            <w:vAlign w:val="center"/>
          </w:tcPr>
          <w:p w14:paraId="1295C432">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w:t>
            </w:r>
          </w:p>
        </w:tc>
        <w:tc>
          <w:tcPr>
            <w:tcW w:w="1790" w:type="dxa"/>
            <w:vAlign w:val="center"/>
          </w:tcPr>
          <w:p w14:paraId="2D32E8F6">
            <w:pPr>
              <w:pStyle w:val="24"/>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其他实质性要求</w:t>
            </w:r>
          </w:p>
        </w:tc>
        <w:tc>
          <w:tcPr>
            <w:tcW w:w="3110" w:type="dxa"/>
            <w:tcBorders>
              <w:right w:val="single" w:color="000000" w:sz="4" w:space="0"/>
            </w:tcBorders>
            <w:vAlign w:val="center"/>
          </w:tcPr>
          <w:p w14:paraId="0DA48BA7">
            <w:pPr>
              <w:pStyle w:val="24"/>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符合法律、行政法规规定的其他条件和</w:t>
            </w:r>
            <w:r>
              <w:rPr>
                <w:rFonts w:hint="eastAsia" w:ascii="仿宋" w:hAnsi="仿宋" w:eastAsia="仿宋" w:cs="仿宋"/>
                <w:snapToGrid w:val="0"/>
                <w:color w:val="auto"/>
                <w:spacing w:val="0"/>
                <w:w w:val="100"/>
                <w:kern w:val="0"/>
                <w:position w:val="0"/>
                <w:sz w:val="28"/>
                <w:szCs w:val="28"/>
                <w:lang w:val="en-US" w:eastAsia="zh-CN" w:bidi="ar-SA"/>
              </w:rPr>
              <w:t>征集</w:t>
            </w:r>
            <w:r>
              <w:rPr>
                <w:rFonts w:hint="eastAsia" w:ascii="仿宋" w:hAnsi="仿宋" w:eastAsia="仿宋" w:cs="仿宋"/>
                <w:snapToGrid w:val="0"/>
                <w:color w:val="auto"/>
                <w:spacing w:val="0"/>
                <w:w w:val="100"/>
                <w:kern w:val="0"/>
                <w:position w:val="0"/>
                <w:sz w:val="28"/>
                <w:szCs w:val="28"/>
                <w:lang w:val="en-US" w:eastAsia="en-US" w:bidi="ar-SA"/>
              </w:rPr>
              <w:t>文件列明的其他实质性要求</w:t>
            </w:r>
          </w:p>
        </w:tc>
        <w:tc>
          <w:tcPr>
            <w:tcW w:w="3355" w:type="dxa"/>
            <w:tcBorders>
              <w:left w:val="single" w:color="000000" w:sz="4" w:space="0"/>
            </w:tcBorders>
            <w:vAlign w:val="center"/>
          </w:tcPr>
          <w:p w14:paraId="71495F1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bl>
    <w:p w14:paraId="03F744D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符合性审查指标通过标准：</w:t>
      </w:r>
      <w:r>
        <w:rPr>
          <w:rFonts w:hint="eastAsia" w:ascii="仿宋" w:hAnsi="仿宋" w:eastAsia="仿宋" w:cs="仿宋"/>
          <w:color w:val="auto"/>
          <w:spacing w:val="0"/>
          <w:w w:val="100"/>
          <w:position w:val="0"/>
          <w:sz w:val="28"/>
          <w:szCs w:val="28"/>
        </w:rPr>
        <w:t>供应商必须通过初审表中的全部评审指标。</w:t>
      </w:r>
    </w:p>
    <w:p w14:paraId="73D5E0C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rPr>
      </w:pPr>
      <w:r>
        <w:rPr>
          <w:rFonts w:hint="eastAsia" w:ascii="仿宋" w:hAnsi="仿宋" w:eastAsia="仿宋" w:cs="仿宋"/>
          <w:b/>
          <w:bCs/>
          <w:color w:val="auto"/>
          <w:spacing w:val="0"/>
          <w:w w:val="100"/>
          <w:position w:val="0"/>
          <w:sz w:val="28"/>
          <w:szCs w:val="28"/>
        </w:rPr>
        <w:br w:type="page"/>
      </w:r>
    </w:p>
    <w:p w14:paraId="1D71BE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5.2</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质量优先法评分</w:t>
      </w:r>
    </w:p>
    <w:p w14:paraId="78768E3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5.2.1 评审小组按照下表对进入综合评分的所有供应商的响应文件进行综合评分。</w:t>
      </w:r>
    </w:p>
    <w:p w14:paraId="4564DE8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评分细则：本项目综合评分满分为100分，其中：技术资信分值占总分值的权重为70%，价格分值占总分值的权重为30%。具体评分细则如下：</w:t>
      </w:r>
    </w:p>
    <w:tbl>
      <w:tblPr>
        <w:tblStyle w:val="19"/>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1051"/>
        <w:gridCol w:w="1387"/>
        <w:gridCol w:w="5555"/>
        <w:gridCol w:w="1350"/>
      </w:tblGrid>
      <w:tr w14:paraId="4A2E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106" w:hRule="atLeast"/>
          <w:tblHeader/>
          <w:jc w:val="center"/>
        </w:trPr>
        <w:tc>
          <w:tcPr>
            <w:tcW w:w="1051" w:type="dxa"/>
            <w:vAlign w:val="center"/>
          </w:tcPr>
          <w:p w14:paraId="3CF05A9F">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
              <w:jc w:val="center"/>
              <w:textAlignment w:val="baseline"/>
              <w:rPr>
                <w:rFonts w:hint="eastAsia" w:ascii="仿宋" w:hAnsi="仿宋" w:eastAsia="仿宋" w:cs="仿宋"/>
                <w:b/>
                <w:bCs/>
                <w:snapToGrid w:val="0"/>
                <w:color w:val="auto"/>
                <w:spacing w:val="0"/>
                <w:w w:val="100"/>
                <w:kern w:val="0"/>
                <w:position w:val="0"/>
                <w:sz w:val="28"/>
                <w:szCs w:val="28"/>
                <w:lang w:val="en-US" w:eastAsia="zh-CN" w:bidi="ar-SA"/>
              </w:rPr>
            </w:pPr>
            <w:r>
              <w:rPr>
                <w:rFonts w:hint="eastAsia" w:ascii="仿宋" w:eastAsia="仿宋" w:cs="仿宋"/>
                <w:b/>
                <w:bCs/>
                <w:snapToGrid w:val="0"/>
                <w:color w:val="auto"/>
                <w:spacing w:val="0"/>
                <w:w w:val="100"/>
                <w:kern w:val="0"/>
                <w:position w:val="0"/>
                <w:sz w:val="28"/>
                <w:szCs w:val="28"/>
                <w:lang w:val="en-US" w:eastAsia="zh-CN" w:bidi="ar-SA"/>
              </w:rPr>
              <w:t>类别</w:t>
            </w:r>
          </w:p>
        </w:tc>
        <w:tc>
          <w:tcPr>
            <w:tcW w:w="1387" w:type="dxa"/>
            <w:vAlign w:val="center"/>
          </w:tcPr>
          <w:p w14:paraId="43C49B28">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
              <w:jc w:val="center"/>
              <w:textAlignment w:val="baseline"/>
              <w:rPr>
                <w:rFonts w:hint="eastAsia" w:ascii="仿宋" w:hAnsi="仿宋" w:eastAsia="仿宋" w:cs="仿宋"/>
                <w:b/>
                <w:bCs/>
                <w:snapToGrid w:val="0"/>
                <w:color w:val="auto"/>
                <w:spacing w:val="0"/>
                <w:w w:val="100"/>
                <w:kern w:val="0"/>
                <w:position w:val="0"/>
                <w:sz w:val="28"/>
                <w:szCs w:val="28"/>
                <w:lang w:val="en-US" w:eastAsia="zh-CN" w:bidi="ar-SA"/>
              </w:rPr>
            </w:pPr>
            <w:r>
              <w:rPr>
                <w:rFonts w:hint="eastAsia" w:ascii="仿宋" w:eastAsia="仿宋" w:cs="仿宋"/>
                <w:b/>
                <w:bCs/>
                <w:snapToGrid w:val="0"/>
                <w:color w:val="auto"/>
                <w:spacing w:val="0"/>
                <w:w w:val="100"/>
                <w:kern w:val="0"/>
                <w:position w:val="0"/>
                <w:sz w:val="28"/>
                <w:szCs w:val="28"/>
                <w:lang w:val="en-US" w:eastAsia="zh-CN" w:bidi="ar-SA"/>
              </w:rPr>
              <w:t>评分内容</w:t>
            </w:r>
          </w:p>
        </w:tc>
        <w:tc>
          <w:tcPr>
            <w:tcW w:w="5555" w:type="dxa"/>
            <w:vAlign w:val="center"/>
          </w:tcPr>
          <w:p w14:paraId="6CAB16AC">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
              <w:jc w:val="center"/>
              <w:textAlignment w:val="baseline"/>
              <w:rPr>
                <w:rFonts w:hint="eastAsia" w:ascii="仿宋" w:hAnsi="仿宋" w:eastAsia="仿宋" w:cs="仿宋"/>
                <w:b/>
                <w:bCs/>
                <w:snapToGrid w:val="0"/>
                <w:color w:val="auto"/>
                <w:spacing w:val="0"/>
                <w:w w:val="100"/>
                <w:kern w:val="0"/>
                <w:position w:val="0"/>
                <w:sz w:val="28"/>
                <w:szCs w:val="28"/>
                <w:lang w:val="en-US" w:eastAsia="zh-CN" w:bidi="ar-SA"/>
              </w:rPr>
            </w:pPr>
            <w:r>
              <w:rPr>
                <w:rFonts w:hint="eastAsia" w:ascii="仿宋" w:eastAsia="仿宋" w:cs="仿宋"/>
                <w:b/>
                <w:bCs/>
                <w:snapToGrid w:val="0"/>
                <w:color w:val="auto"/>
                <w:spacing w:val="0"/>
                <w:w w:val="100"/>
                <w:kern w:val="0"/>
                <w:position w:val="0"/>
                <w:sz w:val="28"/>
                <w:szCs w:val="28"/>
                <w:lang w:val="en-US" w:eastAsia="zh-CN" w:bidi="ar-SA"/>
              </w:rPr>
              <w:t>评分标准</w:t>
            </w:r>
          </w:p>
        </w:tc>
        <w:tc>
          <w:tcPr>
            <w:tcW w:w="1350" w:type="dxa"/>
            <w:vAlign w:val="center"/>
          </w:tcPr>
          <w:p w14:paraId="7B7D744F">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6"/>
              <w:jc w:val="center"/>
              <w:textAlignment w:val="baseline"/>
              <w:rPr>
                <w:rFonts w:hint="eastAsia" w:ascii="仿宋" w:hAnsi="仿宋" w:eastAsia="仿宋" w:cs="仿宋"/>
                <w:b/>
                <w:bCs/>
                <w:snapToGrid w:val="0"/>
                <w:color w:val="auto"/>
                <w:spacing w:val="0"/>
                <w:w w:val="100"/>
                <w:kern w:val="0"/>
                <w:position w:val="0"/>
                <w:sz w:val="28"/>
                <w:szCs w:val="28"/>
                <w:lang w:val="en-US" w:eastAsia="zh-CN" w:bidi="ar-SA"/>
              </w:rPr>
            </w:pPr>
            <w:r>
              <w:rPr>
                <w:rFonts w:hint="eastAsia" w:ascii="仿宋" w:eastAsia="仿宋" w:cs="仿宋"/>
                <w:b/>
                <w:bCs/>
                <w:snapToGrid w:val="0"/>
                <w:color w:val="auto"/>
                <w:spacing w:val="0"/>
                <w:w w:val="100"/>
                <w:kern w:val="0"/>
                <w:position w:val="0"/>
                <w:sz w:val="28"/>
                <w:szCs w:val="28"/>
                <w:lang w:val="en-US" w:eastAsia="zh-CN" w:bidi="ar-SA"/>
              </w:rPr>
              <w:t>分值范围</w:t>
            </w:r>
          </w:p>
        </w:tc>
      </w:tr>
      <w:tr w14:paraId="1489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51" w:type="dxa"/>
            <w:vAlign w:val="center"/>
          </w:tcPr>
          <w:p w14:paraId="768892A9">
            <w:pPr>
              <w:keepNext w:val="0"/>
              <w:keepLines w:val="0"/>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技术资信分（70分）</w:t>
            </w:r>
          </w:p>
        </w:tc>
        <w:tc>
          <w:tcPr>
            <w:tcW w:w="1387" w:type="dxa"/>
            <w:vAlign w:val="center"/>
          </w:tcPr>
          <w:p w14:paraId="003B1488">
            <w:pPr>
              <w:keepNext w:val="0"/>
              <w:keepLines w:val="0"/>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color w:val="auto"/>
                <w:spacing w:val="0"/>
                <w:w w:val="100"/>
                <w:position w:val="0"/>
                <w:sz w:val="28"/>
                <w:szCs w:val="28"/>
              </w:rPr>
              <w:t>服务质量及承诺</w:t>
            </w:r>
          </w:p>
        </w:tc>
        <w:tc>
          <w:tcPr>
            <w:tcW w:w="5555" w:type="dxa"/>
            <w:vAlign w:val="center"/>
          </w:tcPr>
          <w:p w14:paraId="0566901E">
            <w:pPr>
              <w:pStyle w:val="23"/>
              <w:keepNext w:val="0"/>
              <w:keepLines w:val="0"/>
              <w:pageBreakBefore w:val="0"/>
              <w:widowControl w:val="0"/>
              <w:kinsoku w:val="0"/>
              <w:wordWrap/>
              <w:overflowPunct/>
              <w:topLinePunct w:val="0"/>
              <w:bidi w:val="0"/>
              <w:adjustRightInd w:val="0"/>
              <w:snapToGrid w:val="0"/>
              <w:spacing w:line="360" w:lineRule="auto"/>
              <w:ind w:left="0" w:leftChars="0" w:right="0" w:firstLine="8"/>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1、响应要求（5分）</w:t>
            </w:r>
            <w:r>
              <w:rPr>
                <w:rFonts w:hint="eastAsia" w:ascii="仿宋" w:eastAsia="仿宋" w:cs="仿宋"/>
                <w:snapToGrid w:val="0"/>
                <w:color w:val="auto"/>
                <w:spacing w:val="0"/>
                <w:w w:val="100"/>
                <w:kern w:val="0"/>
                <w:position w:val="0"/>
                <w:sz w:val="28"/>
                <w:szCs w:val="28"/>
                <w:lang w:val="en-US" w:eastAsia="zh-CN" w:bidi="ar-SA"/>
              </w:rPr>
              <w:t>：</w:t>
            </w:r>
          </w:p>
          <w:p w14:paraId="565D6209">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评标委员会根据</w:t>
            </w:r>
            <w:r>
              <w:rPr>
                <w:rFonts w:hint="eastAsia" w:cs="仿宋"/>
                <w:snapToGrid w:val="0"/>
                <w:color w:val="auto"/>
                <w:spacing w:val="0"/>
                <w:w w:val="100"/>
                <w:kern w:val="0"/>
                <w:position w:val="0"/>
                <w:sz w:val="28"/>
                <w:szCs w:val="28"/>
                <w:lang w:val="en-US" w:eastAsia="zh-CN" w:bidi="ar-SA"/>
              </w:rPr>
              <w:t>征集文件</w:t>
            </w:r>
            <w:r>
              <w:rPr>
                <w:rFonts w:hint="eastAsia" w:ascii="仿宋" w:hAnsi="仿宋" w:eastAsia="仿宋" w:cs="仿宋"/>
                <w:snapToGrid w:val="0"/>
                <w:color w:val="auto"/>
                <w:spacing w:val="0"/>
                <w:w w:val="100"/>
                <w:kern w:val="0"/>
                <w:position w:val="0"/>
                <w:sz w:val="28"/>
                <w:szCs w:val="28"/>
                <w:lang w:val="en-US" w:eastAsia="zh-CN" w:bidi="ar-SA"/>
              </w:rPr>
              <w:t>要求及</w:t>
            </w:r>
            <w:r>
              <w:rPr>
                <w:rFonts w:hint="eastAsia" w:cs="仿宋"/>
                <w:snapToGrid w:val="0"/>
                <w:color w:val="auto"/>
                <w:spacing w:val="0"/>
                <w:w w:val="100"/>
                <w:kern w:val="0"/>
                <w:position w:val="0"/>
                <w:sz w:val="28"/>
                <w:szCs w:val="28"/>
                <w:lang w:val="en-US" w:eastAsia="zh-CN" w:bidi="ar-SA"/>
              </w:rPr>
              <w:t>供应商</w:t>
            </w:r>
            <w:r>
              <w:rPr>
                <w:rFonts w:hint="eastAsia" w:ascii="仿宋" w:hAnsi="仿宋" w:eastAsia="仿宋" w:cs="仿宋"/>
                <w:snapToGrid w:val="0"/>
                <w:color w:val="auto"/>
                <w:spacing w:val="0"/>
                <w:w w:val="100"/>
                <w:kern w:val="0"/>
                <w:position w:val="0"/>
                <w:sz w:val="28"/>
                <w:szCs w:val="28"/>
                <w:lang w:val="en-US" w:eastAsia="zh-CN" w:bidi="ar-SA"/>
              </w:rPr>
              <w:t>提供的对服务要求响应情况，进行综合评分：</w:t>
            </w:r>
          </w:p>
          <w:p w14:paraId="009BDECB">
            <w:pPr>
              <w:pStyle w:val="23"/>
              <w:keepNext w:val="0"/>
              <w:keepLines w:val="0"/>
              <w:pageBreakBefore w:val="0"/>
              <w:widowControl w:val="0"/>
              <w:kinsoku w:val="0"/>
              <w:wordWrap/>
              <w:overflowPunct/>
              <w:topLinePunct w:val="0"/>
              <w:bidi w:val="0"/>
              <w:adjustRightInd w:val="0"/>
              <w:snapToGrid w:val="0"/>
              <w:spacing w:line="360" w:lineRule="auto"/>
              <w:ind w:left="0" w:leftChars="0" w:right="0" w:firstLine="8"/>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（1）对本项目特点和难点理解准确，对服务要求的响应全面完整、详细且针对性强，远超本项目采购需求，得5分；</w:t>
            </w:r>
          </w:p>
          <w:p w14:paraId="426A3C28">
            <w:pPr>
              <w:pStyle w:val="23"/>
              <w:keepNext w:val="0"/>
              <w:keepLines w:val="0"/>
              <w:pageBreakBefore w:val="0"/>
              <w:widowControl w:val="0"/>
              <w:kinsoku w:val="0"/>
              <w:wordWrap/>
              <w:overflowPunct/>
              <w:topLinePunct w:val="0"/>
              <w:bidi w:val="0"/>
              <w:adjustRightInd w:val="0"/>
              <w:snapToGrid w:val="0"/>
              <w:spacing w:line="360" w:lineRule="auto"/>
              <w:ind w:left="0" w:leftChars="0" w:right="0" w:firstLine="8"/>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（2）对本项目特点和难点理解基本准确，对服务要求的响应较全面完整、较详细，针对性较强，契合本项目采购需求，得3分；</w:t>
            </w:r>
          </w:p>
          <w:p w14:paraId="7A67CE39">
            <w:pPr>
              <w:pStyle w:val="23"/>
              <w:keepNext w:val="0"/>
              <w:keepLines w:val="0"/>
              <w:pageBreakBefore w:val="0"/>
              <w:widowControl w:val="0"/>
              <w:kinsoku w:val="0"/>
              <w:wordWrap/>
              <w:overflowPunct/>
              <w:topLinePunct w:val="0"/>
              <w:bidi w:val="0"/>
              <w:adjustRightInd w:val="0"/>
              <w:snapToGrid w:val="0"/>
              <w:spacing w:line="360" w:lineRule="auto"/>
              <w:ind w:left="0" w:leftChars="0" w:right="0" w:firstLine="8"/>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（3）对本项目特点和难点理解有待提升，对服务要求的响应仅基本符合本项目采购需求，全面性、详细程度及针对性有待提高，得1分；</w:t>
            </w:r>
          </w:p>
          <w:p w14:paraId="4A597C41">
            <w:pPr>
              <w:pStyle w:val="23"/>
              <w:keepNext w:val="0"/>
              <w:keepLines w:val="0"/>
              <w:pageBreakBefore w:val="0"/>
              <w:widowControl w:val="0"/>
              <w:kinsoku w:val="0"/>
              <w:wordWrap/>
              <w:overflowPunct/>
              <w:topLinePunct w:val="0"/>
              <w:bidi w:val="0"/>
              <w:adjustRightInd w:val="0"/>
              <w:snapToGrid w:val="0"/>
              <w:spacing w:line="360" w:lineRule="auto"/>
              <w:ind w:left="0" w:leftChars="0" w:right="0" w:firstLine="8"/>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（4）方案不可行或者未提供得0分。</w:t>
            </w:r>
          </w:p>
          <w:p w14:paraId="64201230">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3"/>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2、承诺服务（5分）：</w:t>
            </w:r>
          </w:p>
          <w:p w14:paraId="3BF0C13A">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3"/>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评标委员会根据</w:t>
            </w:r>
            <w:r>
              <w:rPr>
                <w:rFonts w:hint="eastAsia" w:cs="仿宋"/>
                <w:snapToGrid w:val="0"/>
                <w:color w:val="auto"/>
                <w:spacing w:val="0"/>
                <w:w w:val="100"/>
                <w:kern w:val="0"/>
                <w:position w:val="0"/>
                <w:sz w:val="28"/>
                <w:szCs w:val="28"/>
                <w:lang w:val="en-US" w:eastAsia="zh-CN" w:bidi="ar-SA"/>
              </w:rPr>
              <w:t>征集文件</w:t>
            </w:r>
            <w:r>
              <w:rPr>
                <w:rFonts w:hint="eastAsia" w:ascii="仿宋" w:hAnsi="仿宋" w:eastAsia="仿宋" w:cs="仿宋"/>
                <w:snapToGrid w:val="0"/>
                <w:color w:val="auto"/>
                <w:spacing w:val="0"/>
                <w:w w:val="100"/>
                <w:kern w:val="0"/>
                <w:position w:val="0"/>
                <w:sz w:val="28"/>
                <w:szCs w:val="28"/>
                <w:lang w:val="en-US" w:eastAsia="zh-CN" w:bidi="ar-SA"/>
              </w:rPr>
              <w:t>要求及</w:t>
            </w:r>
            <w:r>
              <w:rPr>
                <w:rFonts w:hint="eastAsia" w:cs="仿宋"/>
                <w:snapToGrid w:val="0"/>
                <w:color w:val="auto"/>
                <w:spacing w:val="0"/>
                <w:w w:val="100"/>
                <w:kern w:val="0"/>
                <w:position w:val="0"/>
                <w:sz w:val="28"/>
                <w:szCs w:val="28"/>
                <w:lang w:val="en-US" w:eastAsia="zh-CN" w:bidi="ar-SA"/>
              </w:rPr>
              <w:t>供应商</w:t>
            </w:r>
            <w:r>
              <w:rPr>
                <w:rFonts w:hint="eastAsia" w:ascii="仿宋" w:hAnsi="仿宋" w:eastAsia="仿宋" w:cs="仿宋"/>
                <w:snapToGrid w:val="0"/>
                <w:color w:val="auto"/>
                <w:spacing w:val="0"/>
                <w:w w:val="100"/>
                <w:kern w:val="0"/>
                <w:position w:val="0"/>
                <w:sz w:val="28"/>
                <w:szCs w:val="28"/>
                <w:lang w:val="en-US" w:eastAsia="zh-CN" w:bidi="ar-SA"/>
              </w:rPr>
              <w:t>提供的承诺服务方案情况，进行综合评分：</w:t>
            </w:r>
          </w:p>
          <w:p w14:paraId="0BB7584E">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3"/>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（1）对本项目特点和难点理解准确，承诺服务方案针对性、实施性极强，显著优于本项目采购需求，得5分；</w:t>
            </w:r>
          </w:p>
          <w:p w14:paraId="1DD729A3">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3"/>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（2）对本项目特点和难点理解基本准确，承诺服务方案实施性较强，但针对性稍弱，能较好满足本项目采购需求，得3分；</w:t>
            </w:r>
          </w:p>
          <w:p w14:paraId="5988BA89">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3"/>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（3）对本项目特点和难点理解有待提升，承诺服务方案基本符合本项目采购需求，但在可行性、实用性和针对性方面存在不足，得1分；</w:t>
            </w:r>
          </w:p>
          <w:p w14:paraId="5EDF6FE9">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3"/>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（4）方案不可行或者未提供得0分。</w:t>
            </w:r>
          </w:p>
          <w:p w14:paraId="4B371177">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3"/>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3、查勘</w:t>
            </w:r>
            <w:r>
              <w:rPr>
                <w:rFonts w:hint="eastAsia" w:ascii="仿宋" w:eastAsia="仿宋" w:cs="仿宋"/>
                <w:snapToGrid w:val="0"/>
                <w:color w:val="auto"/>
                <w:spacing w:val="0"/>
                <w:w w:val="100"/>
                <w:kern w:val="0"/>
                <w:position w:val="0"/>
                <w:sz w:val="28"/>
                <w:szCs w:val="28"/>
                <w:lang w:val="en-US" w:eastAsia="zh-CN" w:bidi="ar-SA"/>
              </w:rPr>
              <w:t>（</w:t>
            </w:r>
            <w:r>
              <w:rPr>
                <w:rFonts w:hint="eastAsia" w:ascii="仿宋" w:hAnsi="仿宋" w:eastAsia="仿宋" w:cs="仿宋"/>
                <w:snapToGrid w:val="0"/>
                <w:color w:val="auto"/>
                <w:spacing w:val="0"/>
                <w:w w:val="100"/>
                <w:kern w:val="0"/>
                <w:position w:val="0"/>
                <w:sz w:val="28"/>
                <w:szCs w:val="28"/>
                <w:lang w:val="en-US" w:eastAsia="zh-CN" w:bidi="ar-SA"/>
              </w:rPr>
              <w:t>5分</w:t>
            </w:r>
            <w:r>
              <w:rPr>
                <w:rFonts w:hint="eastAsia" w:ascii="仿宋" w:eastAsia="仿宋" w:cs="仿宋"/>
                <w:snapToGrid w:val="0"/>
                <w:color w:val="auto"/>
                <w:spacing w:val="0"/>
                <w:w w:val="100"/>
                <w:kern w:val="0"/>
                <w:position w:val="0"/>
                <w:sz w:val="28"/>
                <w:szCs w:val="28"/>
                <w:lang w:val="en-US" w:eastAsia="zh-CN" w:bidi="ar-SA"/>
              </w:rPr>
              <w:t>）</w:t>
            </w:r>
            <w:r>
              <w:rPr>
                <w:rFonts w:hint="eastAsia" w:ascii="仿宋" w:hAnsi="仿宋" w:eastAsia="仿宋" w:cs="仿宋"/>
                <w:snapToGrid w:val="0"/>
                <w:color w:val="auto"/>
                <w:spacing w:val="0"/>
                <w:w w:val="100"/>
                <w:kern w:val="0"/>
                <w:position w:val="0"/>
                <w:sz w:val="28"/>
                <w:szCs w:val="28"/>
                <w:lang w:val="en-US" w:eastAsia="zh-CN" w:bidi="ar-SA"/>
              </w:rPr>
              <w:t>：</w:t>
            </w:r>
          </w:p>
          <w:p w14:paraId="24ACA678">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3"/>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eastAsia="仿宋" w:cs="仿宋"/>
                <w:snapToGrid w:val="0"/>
                <w:color w:val="auto"/>
                <w:spacing w:val="0"/>
                <w:w w:val="100"/>
                <w:kern w:val="0"/>
                <w:position w:val="0"/>
                <w:sz w:val="28"/>
                <w:szCs w:val="28"/>
                <w:lang w:val="en-US" w:eastAsia="zh-CN" w:bidi="ar-SA"/>
              </w:rPr>
              <w:t>（1）</w:t>
            </w:r>
            <w:r>
              <w:rPr>
                <w:rFonts w:hint="eastAsia" w:ascii="仿宋" w:hAnsi="仿宋" w:eastAsia="仿宋" w:cs="仿宋"/>
                <w:snapToGrid w:val="0"/>
                <w:color w:val="auto"/>
                <w:spacing w:val="0"/>
                <w:w w:val="100"/>
                <w:kern w:val="0"/>
                <w:position w:val="0"/>
                <w:sz w:val="28"/>
                <w:szCs w:val="28"/>
                <w:lang w:val="en-US" w:eastAsia="zh-CN" w:bidi="ar-SA"/>
              </w:rPr>
              <w:t>承诺市区内半小时、郊区(县区)一小时到达事故现场查勘的,得</w:t>
            </w:r>
            <w:r>
              <w:rPr>
                <w:rFonts w:hint="eastAsia" w:ascii="仿宋" w:eastAsia="仿宋" w:cs="仿宋"/>
                <w:snapToGrid w:val="0"/>
                <w:color w:val="auto"/>
                <w:spacing w:val="0"/>
                <w:w w:val="100"/>
                <w:kern w:val="0"/>
                <w:position w:val="0"/>
                <w:sz w:val="28"/>
                <w:szCs w:val="28"/>
                <w:lang w:val="en-US" w:eastAsia="zh-CN" w:bidi="ar-SA"/>
              </w:rPr>
              <w:t>5</w:t>
            </w:r>
            <w:r>
              <w:rPr>
                <w:rFonts w:hint="eastAsia" w:ascii="仿宋" w:hAnsi="仿宋" w:eastAsia="仿宋" w:cs="仿宋"/>
                <w:snapToGrid w:val="0"/>
                <w:color w:val="auto"/>
                <w:spacing w:val="0"/>
                <w:w w:val="100"/>
                <w:kern w:val="0"/>
                <w:position w:val="0"/>
                <w:sz w:val="28"/>
                <w:szCs w:val="28"/>
                <w:lang w:val="en-US" w:eastAsia="zh-CN" w:bidi="ar-SA"/>
              </w:rPr>
              <w:t>分；</w:t>
            </w:r>
          </w:p>
          <w:p w14:paraId="00BECA34">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3"/>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eastAsia="仿宋" w:cs="仿宋"/>
                <w:snapToGrid w:val="0"/>
                <w:color w:val="auto"/>
                <w:spacing w:val="0"/>
                <w:w w:val="100"/>
                <w:kern w:val="0"/>
                <w:position w:val="0"/>
                <w:sz w:val="28"/>
                <w:szCs w:val="28"/>
                <w:lang w:val="en-US" w:eastAsia="zh-CN" w:bidi="ar-SA"/>
              </w:rPr>
              <w:t>（2）</w:t>
            </w:r>
            <w:r>
              <w:rPr>
                <w:rFonts w:hint="eastAsia" w:ascii="仿宋" w:hAnsi="仿宋" w:eastAsia="仿宋" w:cs="仿宋"/>
                <w:snapToGrid w:val="0"/>
                <w:color w:val="auto"/>
                <w:spacing w:val="0"/>
                <w:w w:val="100"/>
                <w:kern w:val="0"/>
                <w:position w:val="0"/>
                <w:sz w:val="28"/>
                <w:szCs w:val="28"/>
                <w:lang w:val="en-US" w:eastAsia="zh-CN" w:bidi="ar-SA"/>
              </w:rPr>
              <w:t>承诺两小时内到郊区(县区)事故现场勘察的,得</w:t>
            </w:r>
            <w:r>
              <w:rPr>
                <w:rFonts w:hint="eastAsia" w:ascii="仿宋" w:eastAsia="仿宋" w:cs="仿宋"/>
                <w:snapToGrid w:val="0"/>
                <w:color w:val="auto"/>
                <w:spacing w:val="0"/>
                <w:w w:val="100"/>
                <w:kern w:val="0"/>
                <w:position w:val="0"/>
                <w:sz w:val="28"/>
                <w:szCs w:val="28"/>
                <w:lang w:val="en-US" w:eastAsia="zh-CN" w:bidi="ar-SA"/>
              </w:rPr>
              <w:t>3</w:t>
            </w:r>
            <w:r>
              <w:rPr>
                <w:rFonts w:hint="eastAsia" w:ascii="仿宋" w:hAnsi="仿宋" w:eastAsia="仿宋" w:cs="仿宋"/>
                <w:snapToGrid w:val="0"/>
                <w:color w:val="auto"/>
                <w:spacing w:val="0"/>
                <w:w w:val="100"/>
                <w:kern w:val="0"/>
                <w:position w:val="0"/>
                <w:sz w:val="28"/>
                <w:szCs w:val="28"/>
                <w:lang w:val="en-US" w:eastAsia="zh-CN" w:bidi="ar-SA"/>
              </w:rPr>
              <w:t>分；</w:t>
            </w:r>
          </w:p>
          <w:p w14:paraId="71113FAD">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3"/>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eastAsia="仿宋" w:cs="仿宋"/>
                <w:snapToGrid w:val="0"/>
                <w:color w:val="auto"/>
                <w:spacing w:val="0"/>
                <w:w w:val="100"/>
                <w:kern w:val="0"/>
                <w:position w:val="0"/>
                <w:sz w:val="28"/>
                <w:szCs w:val="28"/>
                <w:lang w:val="en-US" w:eastAsia="zh-CN" w:bidi="ar-SA"/>
              </w:rPr>
              <w:t>（3）</w:t>
            </w:r>
            <w:r>
              <w:rPr>
                <w:rFonts w:hint="eastAsia" w:ascii="仿宋" w:hAnsi="仿宋" w:eastAsia="仿宋" w:cs="仿宋"/>
                <w:snapToGrid w:val="0"/>
                <w:color w:val="auto"/>
                <w:spacing w:val="0"/>
                <w:w w:val="100"/>
                <w:kern w:val="0"/>
                <w:position w:val="0"/>
                <w:sz w:val="28"/>
                <w:szCs w:val="28"/>
                <w:lang w:val="en-US" w:eastAsia="zh-CN" w:bidi="ar-SA"/>
              </w:rPr>
              <w:t>承诺六小时内到达郊区(县区)事故现场勘察的,得0分。</w:t>
            </w:r>
          </w:p>
          <w:p w14:paraId="23D1433E">
            <w:pPr>
              <w:pStyle w:val="23"/>
              <w:keepNext w:val="0"/>
              <w:keepLines w:val="0"/>
              <w:pageBreakBefore w:val="0"/>
              <w:widowControl w:val="0"/>
              <w:kinsoku w:val="0"/>
              <w:wordWrap/>
              <w:overflowPunct/>
              <w:topLinePunct w:val="0"/>
              <w:bidi w:val="0"/>
              <w:adjustRightInd w:val="0"/>
              <w:snapToGrid w:val="0"/>
              <w:spacing w:line="360" w:lineRule="auto"/>
              <w:ind w:left="0" w:leftChars="0" w:right="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4、定损：定损时限承诺(5分)：</w:t>
            </w:r>
          </w:p>
          <w:p w14:paraId="4445CE07">
            <w:pPr>
              <w:pStyle w:val="23"/>
              <w:keepNext w:val="0"/>
              <w:keepLines w:val="0"/>
              <w:pageBreakBefore w:val="0"/>
              <w:widowControl w:val="0"/>
              <w:kinsoku w:val="0"/>
              <w:wordWrap/>
              <w:overflowPunct/>
              <w:topLinePunct w:val="0"/>
              <w:bidi w:val="0"/>
              <w:adjustRightInd w:val="0"/>
              <w:snapToGrid w:val="0"/>
              <w:spacing w:line="360" w:lineRule="auto"/>
              <w:ind w:left="0" w:leftChars="0" w:right="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（1）承诺属于单方事故不涉及人身伤亡且损失金额低于5千元以内当日给出定损结果的,得1分,否则得0分。</w:t>
            </w:r>
          </w:p>
          <w:p w14:paraId="4EF51016">
            <w:pPr>
              <w:pStyle w:val="23"/>
              <w:keepNext w:val="0"/>
              <w:keepLines w:val="0"/>
              <w:pageBreakBefore w:val="0"/>
              <w:widowControl w:val="0"/>
              <w:kinsoku w:val="0"/>
              <w:wordWrap/>
              <w:overflowPunct/>
              <w:topLinePunct w:val="0"/>
              <w:bidi w:val="0"/>
              <w:adjustRightInd w:val="0"/>
              <w:snapToGrid w:val="0"/>
              <w:spacing w:line="360" w:lineRule="auto"/>
              <w:ind w:left="0" w:leftChars="0" w:right="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（2）承诺属于损失在5千至5万元以内得单方事故(指仅发生车辆损失)2个工作日内给出定损结果,得2分,否则0分。</w:t>
            </w:r>
          </w:p>
          <w:p w14:paraId="3D4A5D64">
            <w:pPr>
              <w:pStyle w:val="23"/>
              <w:keepNext w:val="0"/>
              <w:keepLines w:val="0"/>
              <w:pageBreakBefore w:val="0"/>
              <w:widowControl w:val="0"/>
              <w:kinsoku w:val="0"/>
              <w:wordWrap/>
              <w:overflowPunct/>
              <w:topLinePunct w:val="0"/>
              <w:bidi w:val="0"/>
              <w:adjustRightInd w:val="0"/>
              <w:snapToGrid w:val="0"/>
              <w:spacing w:line="360" w:lineRule="auto"/>
              <w:ind w:left="0" w:leftChars="0" w:right="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（3）承诺损失在5万元以上单方事故(指仅发生车辆损失)3个工作日内给出定损结果,得2分,否则得0分。</w:t>
            </w:r>
          </w:p>
          <w:p w14:paraId="5EB53254">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5"/>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5、理赔服务（5分）：</w:t>
            </w:r>
          </w:p>
          <w:p w14:paraId="614748B1">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5"/>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评标委员会根据</w:t>
            </w:r>
            <w:r>
              <w:rPr>
                <w:rFonts w:hint="eastAsia" w:cs="仿宋"/>
                <w:snapToGrid w:val="0"/>
                <w:color w:val="auto"/>
                <w:spacing w:val="0"/>
                <w:w w:val="100"/>
                <w:kern w:val="0"/>
                <w:position w:val="0"/>
                <w:sz w:val="28"/>
                <w:szCs w:val="28"/>
                <w:lang w:val="en-US" w:eastAsia="zh-CN" w:bidi="ar-SA"/>
              </w:rPr>
              <w:t>征集文件</w:t>
            </w:r>
            <w:r>
              <w:rPr>
                <w:rFonts w:hint="eastAsia" w:ascii="仿宋" w:hAnsi="仿宋" w:eastAsia="仿宋" w:cs="仿宋"/>
                <w:snapToGrid w:val="0"/>
                <w:color w:val="auto"/>
                <w:spacing w:val="0"/>
                <w:w w:val="100"/>
                <w:kern w:val="0"/>
                <w:position w:val="0"/>
                <w:sz w:val="28"/>
                <w:szCs w:val="28"/>
                <w:lang w:val="en-US" w:eastAsia="zh-CN" w:bidi="ar-SA"/>
              </w:rPr>
              <w:t>要求及</w:t>
            </w:r>
            <w:r>
              <w:rPr>
                <w:rFonts w:hint="eastAsia" w:cs="仿宋"/>
                <w:snapToGrid w:val="0"/>
                <w:color w:val="auto"/>
                <w:spacing w:val="0"/>
                <w:w w:val="100"/>
                <w:kern w:val="0"/>
                <w:position w:val="0"/>
                <w:sz w:val="28"/>
                <w:szCs w:val="28"/>
                <w:lang w:val="en-US" w:eastAsia="zh-CN" w:bidi="ar-SA"/>
              </w:rPr>
              <w:t>供应商</w:t>
            </w:r>
            <w:r>
              <w:rPr>
                <w:rFonts w:hint="eastAsia" w:ascii="仿宋" w:hAnsi="仿宋" w:eastAsia="仿宋" w:cs="仿宋"/>
                <w:snapToGrid w:val="0"/>
                <w:color w:val="auto"/>
                <w:spacing w:val="0"/>
                <w:w w:val="100"/>
                <w:kern w:val="0"/>
                <w:position w:val="0"/>
                <w:sz w:val="28"/>
                <w:szCs w:val="28"/>
                <w:lang w:val="en-US" w:eastAsia="zh-CN" w:bidi="ar-SA"/>
              </w:rPr>
              <w:t>提供的理赔服务方案情况，进行综合评分：</w:t>
            </w:r>
          </w:p>
          <w:p w14:paraId="182C37CB">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5"/>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（1）对本项目特点和难点理解准确，理赔服务方案在针对性、实施性方面全面完整、详细且极具针对性，远超本项目采购需求，得5分；</w:t>
            </w:r>
          </w:p>
          <w:p w14:paraId="24C420E6">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5"/>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（2）对本项目特点和难点理解基本准确，理赔服务方案较全面完整、较详细，针对性较强，契合本项目采购需求，得3分；</w:t>
            </w:r>
          </w:p>
          <w:p w14:paraId="5B9D3345">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5"/>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（3）对本项目特点和难点理解有待提升，理赔服务方案基本符合本项目采购需求，但全面性、详细程度及针对性有待改善，得1分；</w:t>
            </w:r>
          </w:p>
          <w:p w14:paraId="2BA7B4C7">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5"/>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（4）方案不可行或者未提供得0分。</w:t>
            </w:r>
          </w:p>
          <w:p w14:paraId="56E27BE0">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17"/>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6、增值服务（5分）：</w:t>
            </w:r>
          </w:p>
          <w:p w14:paraId="05BBE6FB">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17"/>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根据供应商的其他实质性优惠（除报价以外的优惠）等进行评分。如车辆重置价、车辆折旧、赔付等方面的一些实质性优惠（优于招标文件要求）等进行评分：</w:t>
            </w:r>
          </w:p>
          <w:p w14:paraId="6ED57EA0">
            <w:pPr>
              <w:pStyle w:val="23"/>
              <w:keepNext w:val="0"/>
              <w:keepLines w:val="0"/>
              <w:pageBreakBefore w:val="0"/>
              <w:widowControl w:val="0"/>
              <w:kinsoku w:val="0"/>
              <w:wordWrap/>
              <w:overflowPunct/>
              <w:topLinePunct w:val="0"/>
              <w:bidi w:val="0"/>
              <w:adjustRightInd w:val="0"/>
              <w:snapToGrid w:val="0"/>
              <w:spacing w:line="360" w:lineRule="auto"/>
              <w:ind w:left="0" w:leftChars="0" w:right="0" w:firstLine="8"/>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eastAsia="仿宋" w:cs="仿宋"/>
                <w:snapToGrid w:val="0"/>
                <w:color w:val="auto"/>
                <w:spacing w:val="0"/>
                <w:w w:val="100"/>
                <w:kern w:val="0"/>
                <w:position w:val="0"/>
                <w:sz w:val="28"/>
                <w:szCs w:val="28"/>
                <w:lang w:val="en-US" w:eastAsia="zh-CN" w:bidi="ar-SA"/>
              </w:rPr>
              <w:t>（1）</w:t>
            </w:r>
            <w:r>
              <w:rPr>
                <w:rFonts w:hint="eastAsia" w:ascii="仿宋" w:hAnsi="仿宋" w:eastAsia="仿宋" w:cs="仿宋"/>
                <w:snapToGrid w:val="0"/>
                <w:color w:val="auto"/>
                <w:spacing w:val="0"/>
                <w:w w:val="100"/>
                <w:kern w:val="0"/>
                <w:position w:val="0"/>
                <w:sz w:val="28"/>
                <w:szCs w:val="28"/>
                <w:lang w:val="en-US" w:eastAsia="zh-CN" w:bidi="ar-SA"/>
              </w:rPr>
              <w:t>供应商提供的优惠方案与</w:t>
            </w:r>
            <w:r>
              <w:rPr>
                <w:rFonts w:hint="eastAsia" w:cs="仿宋"/>
                <w:snapToGrid w:val="0"/>
                <w:color w:val="auto"/>
                <w:spacing w:val="0"/>
                <w:w w:val="100"/>
                <w:kern w:val="0"/>
                <w:position w:val="0"/>
                <w:sz w:val="28"/>
                <w:szCs w:val="28"/>
                <w:lang w:val="en-US" w:eastAsia="zh-CN" w:bidi="ar-SA"/>
              </w:rPr>
              <w:t>征集人</w:t>
            </w:r>
            <w:r>
              <w:rPr>
                <w:rFonts w:hint="eastAsia" w:ascii="仿宋" w:hAnsi="仿宋" w:eastAsia="仿宋" w:cs="仿宋"/>
                <w:snapToGrid w:val="0"/>
                <w:color w:val="auto"/>
                <w:spacing w:val="0"/>
                <w:w w:val="100"/>
                <w:kern w:val="0"/>
                <w:position w:val="0"/>
                <w:sz w:val="28"/>
                <w:szCs w:val="28"/>
                <w:lang w:val="en-US" w:eastAsia="zh-CN" w:bidi="ar-SA"/>
              </w:rPr>
              <w:t>需求紧密相关，可操作性高的得5分；</w:t>
            </w:r>
          </w:p>
          <w:p w14:paraId="2AF038A9">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4"/>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eastAsia="仿宋" w:cs="仿宋"/>
                <w:snapToGrid w:val="0"/>
                <w:color w:val="auto"/>
                <w:spacing w:val="0"/>
                <w:w w:val="100"/>
                <w:kern w:val="0"/>
                <w:position w:val="0"/>
                <w:sz w:val="28"/>
                <w:szCs w:val="28"/>
                <w:lang w:val="en-US" w:eastAsia="zh-CN" w:bidi="ar-SA"/>
              </w:rPr>
              <w:t>（2）</w:t>
            </w:r>
            <w:r>
              <w:rPr>
                <w:rFonts w:hint="eastAsia" w:ascii="仿宋" w:hAnsi="仿宋" w:eastAsia="仿宋" w:cs="仿宋"/>
                <w:snapToGrid w:val="0"/>
                <w:color w:val="auto"/>
                <w:spacing w:val="0"/>
                <w:w w:val="100"/>
                <w:kern w:val="0"/>
                <w:position w:val="0"/>
                <w:sz w:val="28"/>
                <w:szCs w:val="28"/>
                <w:lang w:val="en-US" w:eastAsia="zh-CN" w:bidi="ar-SA"/>
              </w:rPr>
              <w:t>供应商提供的优惠方案与</w:t>
            </w:r>
            <w:r>
              <w:rPr>
                <w:rFonts w:hint="eastAsia" w:cs="仿宋"/>
                <w:snapToGrid w:val="0"/>
                <w:color w:val="auto"/>
                <w:spacing w:val="0"/>
                <w:w w:val="100"/>
                <w:kern w:val="0"/>
                <w:position w:val="0"/>
                <w:sz w:val="28"/>
                <w:szCs w:val="28"/>
                <w:lang w:val="en-US" w:eastAsia="zh-CN" w:bidi="ar-SA"/>
              </w:rPr>
              <w:t>征集人</w:t>
            </w:r>
            <w:r>
              <w:rPr>
                <w:rFonts w:hint="eastAsia" w:ascii="仿宋" w:hAnsi="仿宋" w:eastAsia="仿宋" w:cs="仿宋"/>
                <w:snapToGrid w:val="0"/>
                <w:color w:val="auto"/>
                <w:spacing w:val="0"/>
                <w:w w:val="100"/>
                <w:kern w:val="0"/>
                <w:position w:val="0"/>
                <w:sz w:val="28"/>
                <w:szCs w:val="28"/>
                <w:lang w:val="en-US" w:eastAsia="zh-CN" w:bidi="ar-SA"/>
              </w:rPr>
              <w:t>需求适用程度，可操作性符合项目要求的得3分；</w:t>
            </w:r>
          </w:p>
          <w:p w14:paraId="4B138967">
            <w:pPr>
              <w:pStyle w:val="23"/>
              <w:keepNext w:val="0"/>
              <w:keepLines w:val="0"/>
              <w:pageBreakBefore w:val="0"/>
              <w:widowControl w:val="0"/>
              <w:kinsoku w:val="0"/>
              <w:wordWrap/>
              <w:overflowPunct/>
              <w:topLinePunct w:val="0"/>
              <w:bidi w:val="0"/>
              <w:adjustRightInd w:val="0"/>
              <w:snapToGrid w:val="0"/>
              <w:spacing w:line="360" w:lineRule="auto"/>
              <w:ind w:left="0" w:leftChars="0" w:right="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eastAsia="仿宋" w:cs="仿宋"/>
                <w:snapToGrid w:val="0"/>
                <w:color w:val="auto"/>
                <w:spacing w:val="0"/>
                <w:w w:val="100"/>
                <w:kern w:val="0"/>
                <w:position w:val="0"/>
                <w:sz w:val="28"/>
                <w:szCs w:val="28"/>
                <w:lang w:val="en-US" w:eastAsia="zh-CN" w:bidi="ar-SA"/>
              </w:rPr>
              <w:t>（3）</w:t>
            </w:r>
            <w:r>
              <w:rPr>
                <w:rFonts w:hint="eastAsia" w:ascii="仿宋" w:hAnsi="仿宋" w:eastAsia="仿宋" w:cs="仿宋"/>
                <w:snapToGrid w:val="0"/>
                <w:color w:val="auto"/>
                <w:spacing w:val="0"/>
                <w:w w:val="100"/>
                <w:kern w:val="0"/>
                <w:position w:val="0"/>
                <w:sz w:val="28"/>
                <w:szCs w:val="28"/>
                <w:lang w:val="en-US" w:eastAsia="zh-CN" w:bidi="ar-SA"/>
              </w:rPr>
              <w:t>供应商提供的优惠方案与</w:t>
            </w:r>
            <w:r>
              <w:rPr>
                <w:rFonts w:hint="eastAsia" w:cs="仿宋"/>
                <w:snapToGrid w:val="0"/>
                <w:color w:val="auto"/>
                <w:spacing w:val="0"/>
                <w:w w:val="100"/>
                <w:kern w:val="0"/>
                <w:position w:val="0"/>
                <w:sz w:val="28"/>
                <w:szCs w:val="28"/>
                <w:lang w:val="en-US" w:eastAsia="zh-CN" w:bidi="ar-SA"/>
              </w:rPr>
              <w:t>征集人</w:t>
            </w:r>
            <w:r>
              <w:rPr>
                <w:rFonts w:hint="eastAsia" w:ascii="仿宋" w:hAnsi="仿宋" w:eastAsia="仿宋" w:cs="仿宋"/>
                <w:snapToGrid w:val="0"/>
                <w:color w:val="auto"/>
                <w:spacing w:val="0"/>
                <w:w w:val="100"/>
                <w:kern w:val="0"/>
                <w:position w:val="0"/>
                <w:sz w:val="28"/>
                <w:szCs w:val="28"/>
                <w:lang w:val="en-US" w:eastAsia="zh-CN" w:bidi="ar-SA"/>
              </w:rPr>
              <w:t>需求适用程度，可操作性基本满足项目要求的得2分；</w:t>
            </w:r>
          </w:p>
          <w:p w14:paraId="33F05595">
            <w:pPr>
              <w:pStyle w:val="23"/>
              <w:keepNext w:val="0"/>
              <w:keepLines w:val="0"/>
              <w:pageBreakBefore w:val="0"/>
              <w:widowControl w:val="0"/>
              <w:kinsoku w:val="0"/>
              <w:wordWrap/>
              <w:overflowPunct/>
              <w:topLinePunct w:val="0"/>
              <w:bidi w:val="0"/>
              <w:adjustRightInd w:val="0"/>
              <w:snapToGrid w:val="0"/>
              <w:spacing w:line="360" w:lineRule="auto"/>
              <w:ind w:left="0" w:leftChars="0" w:right="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eastAsia="仿宋" w:cs="仿宋"/>
                <w:snapToGrid w:val="0"/>
                <w:color w:val="auto"/>
                <w:spacing w:val="0"/>
                <w:w w:val="100"/>
                <w:kern w:val="0"/>
                <w:position w:val="0"/>
                <w:sz w:val="28"/>
                <w:szCs w:val="28"/>
                <w:lang w:val="en-US" w:eastAsia="zh-CN" w:bidi="ar-SA"/>
              </w:rPr>
              <w:t>（4）</w:t>
            </w:r>
            <w:r>
              <w:rPr>
                <w:rFonts w:hint="eastAsia" w:ascii="仿宋" w:hAnsi="仿宋" w:eastAsia="仿宋" w:cs="仿宋"/>
                <w:snapToGrid w:val="0"/>
                <w:color w:val="auto"/>
                <w:spacing w:val="0"/>
                <w:w w:val="100"/>
                <w:kern w:val="0"/>
                <w:position w:val="0"/>
                <w:sz w:val="28"/>
                <w:szCs w:val="28"/>
                <w:lang w:val="en-US" w:eastAsia="zh-CN" w:bidi="ar-SA"/>
              </w:rPr>
              <w:t>非实质性优惠的得1分</w:t>
            </w:r>
            <w:r>
              <w:rPr>
                <w:rFonts w:hint="eastAsia" w:ascii="仿宋" w:eastAsia="仿宋" w:cs="仿宋"/>
                <w:snapToGrid w:val="0"/>
                <w:color w:val="auto"/>
                <w:spacing w:val="0"/>
                <w:w w:val="100"/>
                <w:kern w:val="0"/>
                <w:position w:val="0"/>
                <w:sz w:val="28"/>
                <w:szCs w:val="28"/>
                <w:lang w:val="en-US" w:eastAsia="zh-CN" w:bidi="ar-SA"/>
              </w:rPr>
              <w:t>；</w:t>
            </w:r>
          </w:p>
          <w:p w14:paraId="75F2D0E3">
            <w:pPr>
              <w:pStyle w:val="23"/>
              <w:keepNext w:val="0"/>
              <w:keepLines w:val="0"/>
              <w:pageBreakBefore w:val="0"/>
              <w:widowControl w:val="0"/>
              <w:kinsoku w:val="0"/>
              <w:wordWrap/>
              <w:overflowPunct/>
              <w:topLinePunct w:val="0"/>
              <w:bidi w:val="0"/>
              <w:adjustRightInd w:val="0"/>
              <w:snapToGrid w:val="0"/>
              <w:spacing w:line="360" w:lineRule="auto"/>
              <w:ind w:left="0" w:leftChars="0" w:right="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eastAsia="仿宋" w:cs="仿宋"/>
                <w:snapToGrid w:val="0"/>
                <w:color w:val="auto"/>
                <w:spacing w:val="0"/>
                <w:w w:val="100"/>
                <w:kern w:val="0"/>
                <w:position w:val="0"/>
                <w:sz w:val="28"/>
                <w:szCs w:val="28"/>
                <w:lang w:val="en-US" w:eastAsia="zh-CN" w:bidi="ar-SA"/>
              </w:rPr>
              <w:t>（5）</w:t>
            </w:r>
            <w:r>
              <w:rPr>
                <w:rFonts w:hint="eastAsia" w:ascii="仿宋" w:hAnsi="仿宋" w:eastAsia="仿宋" w:cs="仿宋"/>
                <w:snapToGrid w:val="0"/>
                <w:color w:val="auto"/>
                <w:spacing w:val="0"/>
                <w:w w:val="100"/>
                <w:kern w:val="0"/>
                <w:position w:val="0"/>
                <w:sz w:val="28"/>
                <w:szCs w:val="28"/>
                <w:lang w:val="en-US" w:eastAsia="zh-CN" w:bidi="ar-SA"/>
              </w:rPr>
              <w:t>没有不得分。</w:t>
            </w:r>
          </w:p>
          <w:p w14:paraId="62FF60FD">
            <w:pPr>
              <w:pStyle w:val="2"/>
              <w:keepNext w:val="0"/>
              <w:keepLines w:val="0"/>
              <w:pageBreakBefore w:val="0"/>
              <w:widowControl w:val="0"/>
              <w:kinsoku w:val="0"/>
              <w:wordWrap/>
              <w:overflowPunct/>
              <w:topLinePunct w:val="0"/>
              <w:bidi w:val="0"/>
              <w:adjustRightInd w:val="0"/>
              <w:snapToGrid w:val="0"/>
              <w:spacing w:after="0" w:line="360" w:lineRule="auto"/>
              <w:ind w:left="0" w:leftChars="0" w:right="0" w:firstLine="0" w:firstLineChars="0"/>
              <w:jc w:val="left"/>
              <w:textAlignment w:val="baseline"/>
              <w:rPr>
                <w:rFonts w:hint="default" w:ascii="仿宋" w:eastAsia="仿宋"/>
                <w:color w:val="auto"/>
                <w:spacing w:val="0"/>
                <w:sz w:val="28"/>
                <w:lang w:val="en-US" w:eastAsia="zh-CN"/>
              </w:rPr>
            </w:pPr>
            <w:r>
              <w:rPr>
                <w:rFonts w:hint="eastAsia" w:ascii="仿宋" w:hAnsi="仿宋" w:eastAsia="仿宋" w:cs="仿宋"/>
                <w:snapToGrid w:val="0"/>
                <w:color w:val="auto"/>
                <w:spacing w:val="0"/>
                <w:w w:val="100"/>
                <w:kern w:val="0"/>
                <w:position w:val="0"/>
                <w:sz w:val="28"/>
                <w:szCs w:val="28"/>
                <w:lang w:val="en-US" w:eastAsia="zh-CN" w:bidi="ar-SA"/>
              </w:rPr>
              <w:t>7、服务手册（5分）：承诺对车辆定点保险编制有针对性服务手册。承诺基本满足得3分，全面的得5分。（本项参考理赔、增值服务和定损的承诺）</w:t>
            </w:r>
          </w:p>
        </w:tc>
        <w:tc>
          <w:tcPr>
            <w:tcW w:w="1350" w:type="dxa"/>
            <w:vAlign w:val="center"/>
          </w:tcPr>
          <w:p w14:paraId="1D84F3C5">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default"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color w:val="auto"/>
                <w:spacing w:val="0"/>
                <w:w w:val="100"/>
                <w:position w:val="0"/>
                <w:sz w:val="28"/>
                <w:szCs w:val="28"/>
                <w:vertAlign w:val="baseline"/>
                <w:lang w:val="en-US" w:eastAsia="zh-CN"/>
              </w:rPr>
              <w:t>0-35分</w:t>
            </w:r>
          </w:p>
        </w:tc>
      </w:tr>
      <w:tr w14:paraId="1313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51" w:type="dxa"/>
            <w:vAlign w:val="center"/>
          </w:tcPr>
          <w:p w14:paraId="1ED67D01">
            <w:pPr>
              <w:keepNext w:val="0"/>
              <w:keepLines w:val="0"/>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rPr>
            </w:pPr>
          </w:p>
        </w:tc>
        <w:tc>
          <w:tcPr>
            <w:tcW w:w="1387" w:type="dxa"/>
            <w:vAlign w:val="center"/>
          </w:tcPr>
          <w:p w14:paraId="39EFA2B6">
            <w:pPr>
              <w:keepNext w:val="0"/>
              <w:keepLines w:val="0"/>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rPr>
            </w:pPr>
            <w:r>
              <w:rPr>
                <w:rFonts w:hint="eastAsia" w:ascii="仿宋" w:hAnsi="仿宋" w:eastAsia="仿宋" w:cs="仿宋"/>
                <w:color w:val="auto"/>
                <w:spacing w:val="0"/>
                <w:w w:val="100"/>
                <w:position w:val="0"/>
                <w:sz w:val="28"/>
                <w:szCs w:val="28"/>
                <w:vertAlign w:val="baseline"/>
              </w:rPr>
              <w:t>核心偿付能力充足率</w:t>
            </w:r>
          </w:p>
        </w:tc>
        <w:tc>
          <w:tcPr>
            <w:tcW w:w="5555" w:type="dxa"/>
            <w:vAlign w:val="center"/>
          </w:tcPr>
          <w:p w14:paraId="2E7E0EA2">
            <w:pPr>
              <w:pStyle w:val="2"/>
              <w:keepNext w:val="0"/>
              <w:keepLines w:val="0"/>
              <w:pageBreakBefore w:val="0"/>
              <w:widowControl w:val="0"/>
              <w:kinsoku w:val="0"/>
              <w:wordWrap/>
              <w:overflowPunct/>
              <w:topLinePunct w:val="0"/>
              <w:bidi w:val="0"/>
              <w:adjustRightInd w:val="0"/>
              <w:snapToGrid w:val="0"/>
              <w:spacing w:after="0" w:line="360" w:lineRule="auto"/>
              <w:ind w:left="0" w:leftChars="0" w:firstLine="0" w:firstLineChars="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2025年第一季度公布的核心偿付能力充足率：</w:t>
            </w:r>
          </w:p>
          <w:p w14:paraId="253A08A7">
            <w:pPr>
              <w:pStyle w:val="2"/>
              <w:keepNext w:val="0"/>
              <w:keepLines w:val="0"/>
              <w:pageBreakBefore w:val="0"/>
              <w:widowControl w:val="0"/>
              <w:kinsoku w:val="0"/>
              <w:wordWrap/>
              <w:overflowPunct/>
              <w:topLinePunct w:val="0"/>
              <w:bidi w:val="0"/>
              <w:adjustRightInd w:val="0"/>
              <w:snapToGrid w:val="0"/>
              <w:spacing w:after="0" w:line="360" w:lineRule="auto"/>
              <w:ind w:left="0" w:leftChars="0" w:firstLine="0" w:firstLineChars="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1、核心偿付能力充足率＞190%的得10分；</w:t>
            </w:r>
          </w:p>
          <w:p w14:paraId="2C03D4F8">
            <w:pPr>
              <w:pStyle w:val="2"/>
              <w:keepNext w:val="0"/>
              <w:keepLines w:val="0"/>
              <w:pageBreakBefore w:val="0"/>
              <w:widowControl w:val="0"/>
              <w:kinsoku w:val="0"/>
              <w:wordWrap/>
              <w:overflowPunct/>
              <w:topLinePunct w:val="0"/>
              <w:bidi w:val="0"/>
              <w:adjustRightInd w:val="0"/>
              <w:snapToGrid w:val="0"/>
              <w:spacing w:after="0" w:line="360" w:lineRule="auto"/>
              <w:ind w:left="0" w:leftChars="0" w:firstLine="0" w:firstLineChars="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2、190%≤核心偿付能力充足率≤185%的得6分；</w:t>
            </w:r>
          </w:p>
          <w:p w14:paraId="68EEB93D">
            <w:pPr>
              <w:pStyle w:val="2"/>
              <w:keepNext w:val="0"/>
              <w:keepLines w:val="0"/>
              <w:pageBreakBefore w:val="0"/>
              <w:widowControl w:val="0"/>
              <w:kinsoku w:val="0"/>
              <w:wordWrap/>
              <w:overflowPunct/>
              <w:topLinePunct w:val="0"/>
              <w:bidi w:val="0"/>
              <w:adjustRightInd w:val="0"/>
              <w:snapToGrid w:val="0"/>
              <w:spacing w:after="0" w:line="360" w:lineRule="auto"/>
              <w:ind w:left="0" w:leftChars="0" w:firstLine="0" w:firstLineChars="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3、185%＜核心偿付能力充足率≤180%的得2分；</w:t>
            </w:r>
          </w:p>
          <w:p w14:paraId="31084AED">
            <w:pPr>
              <w:pStyle w:val="2"/>
              <w:keepNext w:val="0"/>
              <w:keepLines w:val="0"/>
              <w:pageBreakBefore w:val="0"/>
              <w:widowControl w:val="0"/>
              <w:kinsoku w:val="0"/>
              <w:wordWrap/>
              <w:overflowPunct/>
              <w:topLinePunct w:val="0"/>
              <w:bidi w:val="0"/>
              <w:adjustRightInd w:val="0"/>
              <w:snapToGrid w:val="0"/>
              <w:spacing w:after="0" w:line="360" w:lineRule="auto"/>
              <w:ind w:left="0" w:leftChars="0" w:firstLine="0" w:firstLineChars="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4、核心偿付能力充足率＜180%的不得分。</w:t>
            </w:r>
          </w:p>
          <w:p w14:paraId="6D4670EF">
            <w:pPr>
              <w:pStyle w:val="2"/>
              <w:keepNext w:val="0"/>
              <w:keepLines w:val="0"/>
              <w:pageBreakBefore w:val="0"/>
              <w:widowControl w:val="0"/>
              <w:kinsoku w:val="0"/>
              <w:wordWrap/>
              <w:overflowPunct/>
              <w:topLinePunct w:val="0"/>
              <w:bidi w:val="0"/>
              <w:adjustRightInd w:val="0"/>
              <w:snapToGrid w:val="0"/>
              <w:spacing w:after="0" w:line="360" w:lineRule="auto"/>
              <w:ind w:left="0" w:leftChars="0" w:firstLine="0" w:firstLineChars="0"/>
              <w:jc w:val="left"/>
              <w:textAlignment w:val="baseline"/>
              <w:rPr>
                <w:rFonts w:hint="eastAsia" w:ascii="仿宋" w:eastAsia="仿宋"/>
                <w:color w:val="auto"/>
                <w:spacing w:val="0"/>
                <w:sz w:val="28"/>
                <w:lang w:eastAsia="zh-CN"/>
              </w:rPr>
            </w:pPr>
            <w:r>
              <w:rPr>
                <w:rFonts w:hint="eastAsia" w:ascii="仿宋" w:hAnsi="仿宋" w:eastAsia="仿宋" w:cs="仿宋"/>
                <w:b/>
                <w:bCs/>
                <w:snapToGrid w:val="0"/>
                <w:color w:val="auto"/>
                <w:spacing w:val="0"/>
                <w:w w:val="100"/>
                <w:kern w:val="0"/>
                <w:position w:val="0"/>
                <w:sz w:val="28"/>
                <w:szCs w:val="28"/>
                <w:lang w:val="en-US" w:eastAsia="zh-CN" w:bidi="ar-SA"/>
              </w:rPr>
              <w:t>注：提供供应商或其总公司经审计的或中国保险行业协会官网披露的偿付能力报告关键页截图并盖章。</w:t>
            </w:r>
          </w:p>
        </w:tc>
        <w:tc>
          <w:tcPr>
            <w:tcW w:w="1350" w:type="dxa"/>
            <w:vAlign w:val="center"/>
          </w:tcPr>
          <w:p w14:paraId="0524E2B9">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default"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color w:val="auto"/>
                <w:spacing w:val="0"/>
                <w:w w:val="100"/>
                <w:position w:val="0"/>
                <w:sz w:val="28"/>
                <w:szCs w:val="28"/>
                <w:vertAlign w:val="baseline"/>
                <w:lang w:val="en-US" w:eastAsia="zh-CN"/>
              </w:rPr>
              <w:t>0-10分</w:t>
            </w:r>
          </w:p>
        </w:tc>
      </w:tr>
      <w:tr w14:paraId="39D9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51" w:type="dxa"/>
            <w:vAlign w:val="center"/>
          </w:tcPr>
          <w:p w14:paraId="0F548D00">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rPr>
            </w:pPr>
          </w:p>
        </w:tc>
        <w:tc>
          <w:tcPr>
            <w:tcW w:w="1387" w:type="dxa"/>
            <w:vAlign w:val="center"/>
          </w:tcPr>
          <w:p w14:paraId="625D1820">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rPr>
            </w:pPr>
            <w:r>
              <w:rPr>
                <w:rFonts w:hint="eastAsia" w:ascii="仿宋" w:hAnsi="仿宋" w:eastAsia="仿宋" w:cs="仿宋"/>
                <w:color w:val="auto"/>
                <w:spacing w:val="0"/>
                <w:w w:val="100"/>
                <w:position w:val="0"/>
                <w:sz w:val="28"/>
                <w:szCs w:val="28"/>
                <w:vertAlign w:val="baseline"/>
              </w:rPr>
              <w:t>综合偿付能力</w:t>
            </w:r>
          </w:p>
        </w:tc>
        <w:tc>
          <w:tcPr>
            <w:tcW w:w="5555" w:type="dxa"/>
            <w:vAlign w:val="center"/>
          </w:tcPr>
          <w:p w14:paraId="7A6C2192">
            <w:pPr>
              <w:pStyle w:val="2"/>
              <w:keepNext w:val="0"/>
              <w:keepLines w:val="0"/>
              <w:pageBreakBefore w:val="0"/>
              <w:widowControl w:val="0"/>
              <w:kinsoku w:val="0"/>
              <w:wordWrap/>
              <w:overflowPunct/>
              <w:topLinePunct w:val="0"/>
              <w:bidi w:val="0"/>
              <w:adjustRightInd w:val="0"/>
              <w:snapToGrid w:val="0"/>
              <w:spacing w:after="0" w:line="360" w:lineRule="auto"/>
              <w:ind w:left="0" w:leftChars="0" w:firstLine="0" w:firstLineChars="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2025年度第一季度的综合偿付能力充足率：</w:t>
            </w:r>
          </w:p>
          <w:p w14:paraId="23D7AAAA">
            <w:pPr>
              <w:pStyle w:val="2"/>
              <w:keepNext w:val="0"/>
              <w:keepLines w:val="0"/>
              <w:pageBreakBefore w:val="0"/>
              <w:widowControl w:val="0"/>
              <w:kinsoku w:val="0"/>
              <w:wordWrap/>
              <w:overflowPunct/>
              <w:topLinePunct w:val="0"/>
              <w:bidi w:val="0"/>
              <w:adjustRightInd w:val="0"/>
              <w:snapToGrid w:val="0"/>
              <w:spacing w:after="0" w:line="360" w:lineRule="auto"/>
              <w:ind w:left="0" w:leftChars="0" w:firstLine="0" w:firstLineChars="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（1）在240%（不含）以上的，得10分；</w:t>
            </w:r>
          </w:p>
          <w:p w14:paraId="6A91F0D7">
            <w:pPr>
              <w:pStyle w:val="2"/>
              <w:keepNext w:val="0"/>
              <w:keepLines w:val="0"/>
              <w:pageBreakBefore w:val="0"/>
              <w:widowControl w:val="0"/>
              <w:kinsoku w:val="0"/>
              <w:wordWrap/>
              <w:overflowPunct/>
              <w:topLinePunct w:val="0"/>
              <w:bidi w:val="0"/>
              <w:adjustRightInd w:val="0"/>
              <w:snapToGrid w:val="0"/>
              <w:spacing w:after="0" w:line="360" w:lineRule="auto"/>
              <w:ind w:left="0" w:leftChars="0" w:firstLine="0" w:firstLineChars="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（2）在235%（含）-240%（不含）的，得6分；</w:t>
            </w:r>
          </w:p>
          <w:p w14:paraId="71D145D1">
            <w:pPr>
              <w:pStyle w:val="2"/>
              <w:keepNext w:val="0"/>
              <w:keepLines w:val="0"/>
              <w:pageBreakBefore w:val="0"/>
              <w:widowControl w:val="0"/>
              <w:kinsoku w:val="0"/>
              <w:wordWrap/>
              <w:overflowPunct/>
              <w:topLinePunct w:val="0"/>
              <w:bidi w:val="0"/>
              <w:adjustRightInd w:val="0"/>
              <w:snapToGrid w:val="0"/>
              <w:spacing w:after="0" w:line="360" w:lineRule="auto"/>
              <w:ind w:left="0" w:leftChars="0" w:firstLine="0" w:firstLineChars="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（3）在230%（含）-235%（不含）的，得2分；</w:t>
            </w:r>
          </w:p>
          <w:p w14:paraId="3BF27D9A">
            <w:pPr>
              <w:pStyle w:val="2"/>
              <w:keepNext w:val="0"/>
              <w:keepLines w:val="0"/>
              <w:pageBreakBefore w:val="0"/>
              <w:widowControl w:val="0"/>
              <w:kinsoku w:val="0"/>
              <w:wordWrap/>
              <w:overflowPunct/>
              <w:topLinePunct w:val="0"/>
              <w:bidi w:val="0"/>
              <w:adjustRightInd w:val="0"/>
              <w:snapToGrid w:val="0"/>
              <w:spacing w:after="0" w:line="360" w:lineRule="auto"/>
              <w:ind w:left="0" w:leftChars="0" w:firstLine="0" w:firstLineChars="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（4）在230%（含）以下的不得分。</w:t>
            </w:r>
          </w:p>
          <w:p w14:paraId="22664929">
            <w:pPr>
              <w:pStyle w:val="2"/>
              <w:keepNext w:val="0"/>
              <w:keepLines w:val="0"/>
              <w:pageBreakBefore w:val="0"/>
              <w:widowControl w:val="0"/>
              <w:kinsoku w:val="0"/>
              <w:wordWrap/>
              <w:overflowPunct/>
              <w:topLinePunct w:val="0"/>
              <w:bidi w:val="0"/>
              <w:adjustRightInd w:val="0"/>
              <w:snapToGrid w:val="0"/>
              <w:spacing w:after="0" w:line="360" w:lineRule="auto"/>
              <w:ind w:left="0" w:leftChars="0" w:firstLine="0" w:firstLineChars="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b/>
                <w:bCs/>
                <w:snapToGrid w:val="0"/>
                <w:color w:val="auto"/>
                <w:spacing w:val="0"/>
                <w:w w:val="100"/>
                <w:kern w:val="0"/>
                <w:position w:val="0"/>
                <w:sz w:val="28"/>
                <w:szCs w:val="28"/>
                <w:lang w:val="en-US" w:eastAsia="zh-CN" w:bidi="ar-SA"/>
              </w:rPr>
              <w:t>注：提供供应商或其总公司经审计的或中国保险行业协会官网披露的偿付能力报告关键页截图并盖章。</w:t>
            </w:r>
          </w:p>
        </w:tc>
        <w:tc>
          <w:tcPr>
            <w:tcW w:w="1350" w:type="dxa"/>
            <w:vAlign w:val="center"/>
          </w:tcPr>
          <w:p w14:paraId="06A7400C">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default"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color w:val="auto"/>
                <w:spacing w:val="0"/>
                <w:w w:val="100"/>
                <w:position w:val="0"/>
                <w:sz w:val="28"/>
                <w:szCs w:val="28"/>
                <w:vertAlign w:val="baseline"/>
                <w:lang w:val="en-US" w:eastAsia="zh-CN"/>
              </w:rPr>
              <w:t>0-10分</w:t>
            </w:r>
          </w:p>
        </w:tc>
      </w:tr>
      <w:tr w14:paraId="2969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51" w:type="dxa"/>
            <w:vAlign w:val="center"/>
          </w:tcPr>
          <w:p w14:paraId="27095F7B">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rPr>
            </w:pPr>
          </w:p>
        </w:tc>
        <w:tc>
          <w:tcPr>
            <w:tcW w:w="1387" w:type="dxa"/>
            <w:vAlign w:val="center"/>
          </w:tcPr>
          <w:p w14:paraId="3FDD30D3">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rPr>
            </w:pPr>
            <w:r>
              <w:rPr>
                <w:rFonts w:hint="eastAsia" w:ascii="仿宋" w:hAnsi="仿宋" w:eastAsia="仿宋" w:cs="仿宋"/>
                <w:color w:val="auto"/>
                <w:spacing w:val="0"/>
                <w:w w:val="100"/>
                <w:position w:val="0"/>
                <w:sz w:val="28"/>
                <w:szCs w:val="28"/>
                <w:vertAlign w:val="baseline"/>
              </w:rPr>
              <w:t>业绩</w:t>
            </w:r>
          </w:p>
        </w:tc>
        <w:tc>
          <w:tcPr>
            <w:tcW w:w="5555" w:type="dxa"/>
            <w:vAlign w:val="center"/>
          </w:tcPr>
          <w:p w14:paraId="799102F9">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jc w:val="left"/>
              <w:textAlignment w:val="baseline"/>
              <w:rPr>
                <w:rFonts w:hint="default" w:ascii="仿宋" w:hAnsi="仿宋" w:eastAsia="仿宋" w:cs="仿宋"/>
                <w:snapToGrid w:val="0"/>
                <w:color w:val="auto"/>
                <w:spacing w:val="0"/>
                <w:w w:val="100"/>
                <w:kern w:val="0"/>
                <w:position w:val="0"/>
                <w:sz w:val="28"/>
                <w:szCs w:val="28"/>
                <w:lang w:val="en-US" w:eastAsia="zh-CN" w:bidi="ar-SA"/>
              </w:rPr>
            </w:pPr>
            <w:r>
              <w:rPr>
                <w:rFonts w:hint="default" w:ascii="仿宋" w:hAnsi="仿宋" w:eastAsia="仿宋" w:cs="仿宋"/>
                <w:snapToGrid w:val="0"/>
                <w:color w:val="auto"/>
                <w:spacing w:val="0"/>
                <w:w w:val="100"/>
                <w:kern w:val="0"/>
                <w:position w:val="0"/>
                <w:sz w:val="28"/>
                <w:szCs w:val="28"/>
                <w:lang w:val="en-US" w:eastAsia="zh-CN" w:bidi="ar-SA"/>
              </w:rPr>
              <w:t>2023年1月1日至响应截止日，</w:t>
            </w:r>
            <w:r>
              <w:rPr>
                <w:rFonts w:hint="eastAsia" w:ascii="仿宋" w:hAnsi="仿宋" w:eastAsia="仿宋" w:cs="仿宋"/>
                <w:snapToGrid w:val="0"/>
                <w:color w:val="auto"/>
                <w:spacing w:val="0"/>
                <w:w w:val="100"/>
                <w:kern w:val="0"/>
                <w:position w:val="0"/>
                <w:sz w:val="28"/>
                <w:szCs w:val="28"/>
                <w:lang w:val="en-US" w:eastAsia="zh-CN" w:bidi="ar-SA"/>
              </w:rPr>
              <w:t>供应商或其总公司</w:t>
            </w:r>
            <w:r>
              <w:rPr>
                <w:rFonts w:hint="default" w:ascii="仿宋" w:hAnsi="仿宋" w:eastAsia="仿宋" w:cs="仿宋"/>
                <w:snapToGrid w:val="0"/>
                <w:color w:val="auto"/>
                <w:spacing w:val="0"/>
                <w:w w:val="100"/>
                <w:kern w:val="0"/>
                <w:position w:val="0"/>
                <w:sz w:val="28"/>
                <w:szCs w:val="28"/>
                <w:lang w:val="en-US" w:eastAsia="zh-CN" w:bidi="ar-SA"/>
              </w:rPr>
              <w:t>具有类似业绩的，有一例加3分，满分15分。</w:t>
            </w:r>
          </w:p>
          <w:p w14:paraId="6EE37AA7">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17"/>
              <w:jc w:val="left"/>
              <w:textAlignment w:val="baseline"/>
              <w:rPr>
                <w:rFonts w:hint="default" w:ascii="仿宋" w:hAnsi="仿宋" w:eastAsia="仿宋" w:cs="仿宋"/>
                <w:snapToGrid w:val="0"/>
                <w:color w:val="auto"/>
                <w:spacing w:val="0"/>
                <w:w w:val="100"/>
                <w:kern w:val="0"/>
                <w:position w:val="0"/>
                <w:sz w:val="28"/>
                <w:szCs w:val="28"/>
                <w:lang w:val="en-US" w:eastAsia="zh-CN" w:bidi="ar-SA"/>
              </w:rPr>
            </w:pPr>
            <w:r>
              <w:rPr>
                <w:rFonts w:hint="default" w:ascii="仿宋" w:hAnsi="仿宋" w:eastAsia="仿宋" w:cs="仿宋"/>
                <w:b/>
                <w:bCs/>
                <w:snapToGrid w:val="0"/>
                <w:color w:val="auto"/>
                <w:spacing w:val="0"/>
                <w:w w:val="100"/>
                <w:kern w:val="0"/>
                <w:position w:val="0"/>
                <w:sz w:val="28"/>
                <w:szCs w:val="28"/>
                <w:lang w:val="en-US" w:eastAsia="zh-CN" w:bidi="ar-SA"/>
              </w:rPr>
              <w:t>注：提供</w:t>
            </w:r>
            <w:r>
              <w:rPr>
                <w:rFonts w:hint="eastAsia" w:ascii="仿宋" w:hAnsi="仿宋" w:eastAsia="仿宋" w:cs="仿宋"/>
                <w:b/>
                <w:bCs/>
                <w:snapToGrid w:val="0"/>
                <w:color w:val="auto"/>
                <w:spacing w:val="0"/>
                <w:w w:val="100"/>
                <w:kern w:val="0"/>
                <w:position w:val="0"/>
                <w:sz w:val="28"/>
                <w:szCs w:val="28"/>
                <w:lang w:val="en-US" w:eastAsia="zh-CN" w:bidi="ar-SA"/>
              </w:rPr>
              <w:t>供应商或其总公司</w:t>
            </w:r>
            <w:r>
              <w:rPr>
                <w:rFonts w:hint="default" w:ascii="仿宋" w:hAnsi="仿宋" w:eastAsia="仿宋" w:cs="仿宋"/>
                <w:b/>
                <w:bCs/>
                <w:snapToGrid w:val="0"/>
                <w:color w:val="auto"/>
                <w:spacing w:val="0"/>
                <w:w w:val="100"/>
                <w:kern w:val="0"/>
                <w:position w:val="0"/>
                <w:sz w:val="28"/>
                <w:szCs w:val="28"/>
                <w:lang w:val="en-US" w:eastAsia="zh-CN" w:bidi="ar-SA"/>
              </w:rPr>
              <w:t>业绩合同</w:t>
            </w:r>
            <w:r>
              <w:rPr>
                <w:rFonts w:hint="eastAsia" w:cs="仿宋"/>
                <w:b/>
                <w:bCs/>
                <w:snapToGrid w:val="0"/>
                <w:color w:val="auto"/>
                <w:spacing w:val="0"/>
                <w:w w:val="100"/>
                <w:kern w:val="0"/>
                <w:position w:val="0"/>
                <w:sz w:val="28"/>
                <w:szCs w:val="28"/>
                <w:lang w:val="en-US" w:eastAsia="zh-CN" w:bidi="ar-SA"/>
              </w:rPr>
              <w:t>协议书；</w:t>
            </w:r>
            <w:r>
              <w:rPr>
                <w:rFonts w:hint="default" w:ascii="仿宋" w:hAnsi="仿宋" w:eastAsia="仿宋" w:cs="仿宋"/>
                <w:b/>
                <w:bCs/>
                <w:snapToGrid w:val="0"/>
                <w:color w:val="auto"/>
                <w:spacing w:val="0"/>
                <w:w w:val="100"/>
                <w:kern w:val="0"/>
                <w:position w:val="0"/>
                <w:sz w:val="28"/>
                <w:szCs w:val="28"/>
                <w:lang w:val="en-US" w:eastAsia="zh-CN" w:bidi="ar-SA"/>
              </w:rPr>
              <w:t>时间以合同签订时间为准</w:t>
            </w:r>
            <w:r>
              <w:rPr>
                <w:rFonts w:hint="eastAsia" w:cs="仿宋"/>
                <w:b/>
                <w:bCs/>
                <w:snapToGrid w:val="0"/>
                <w:color w:val="auto"/>
                <w:spacing w:val="0"/>
                <w:w w:val="100"/>
                <w:kern w:val="0"/>
                <w:position w:val="0"/>
                <w:sz w:val="28"/>
                <w:szCs w:val="28"/>
                <w:lang w:val="en-US" w:eastAsia="zh-CN" w:bidi="ar-SA"/>
              </w:rPr>
              <w:t>；</w:t>
            </w:r>
            <w:r>
              <w:rPr>
                <w:rFonts w:hint="default" w:ascii="仿宋" w:hAnsi="仿宋" w:eastAsia="仿宋" w:cs="仿宋"/>
                <w:b/>
                <w:bCs/>
                <w:snapToGrid w:val="0"/>
                <w:color w:val="auto"/>
                <w:spacing w:val="0"/>
                <w:w w:val="100"/>
                <w:kern w:val="0"/>
                <w:position w:val="0"/>
                <w:sz w:val="28"/>
                <w:szCs w:val="28"/>
                <w:lang w:val="en-US" w:eastAsia="zh-CN" w:bidi="ar-SA"/>
              </w:rPr>
              <w:t>同一项目和业主续签的合同不累计计分。</w:t>
            </w:r>
          </w:p>
        </w:tc>
        <w:tc>
          <w:tcPr>
            <w:tcW w:w="1350" w:type="dxa"/>
            <w:vAlign w:val="center"/>
          </w:tcPr>
          <w:p w14:paraId="787B1B8A">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default"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color w:val="auto"/>
                <w:spacing w:val="0"/>
                <w:w w:val="100"/>
                <w:position w:val="0"/>
                <w:sz w:val="28"/>
                <w:szCs w:val="28"/>
                <w:vertAlign w:val="baseline"/>
                <w:lang w:val="en-US" w:eastAsia="zh-CN"/>
              </w:rPr>
              <w:t>0-15分</w:t>
            </w:r>
          </w:p>
        </w:tc>
      </w:tr>
      <w:tr w14:paraId="3A4A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51" w:type="dxa"/>
            <w:vAlign w:val="center"/>
          </w:tcPr>
          <w:p w14:paraId="11886BAD">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rPr>
            </w:pPr>
          </w:p>
        </w:tc>
        <w:tc>
          <w:tcPr>
            <w:tcW w:w="1387" w:type="dxa"/>
            <w:vAlign w:val="center"/>
          </w:tcPr>
          <w:p w14:paraId="07078793">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vertAlign w:val="baseline"/>
              </w:rPr>
            </w:pPr>
            <w:r>
              <w:rPr>
                <w:rFonts w:hint="eastAsia" w:ascii="仿宋" w:hAnsi="仿宋" w:eastAsia="仿宋" w:cs="仿宋"/>
                <w:color w:val="auto"/>
                <w:spacing w:val="0"/>
                <w:w w:val="100"/>
                <w:position w:val="0"/>
                <w:sz w:val="28"/>
                <w:szCs w:val="28"/>
                <w:vertAlign w:val="baseline"/>
              </w:rPr>
              <w:t>直赔服务、全城通赔服务</w:t>
            </w:r>
          </w:p>
        </w:tc>
        <w:tc>
          <w:tcPr>
            <w:tcW w:w="5555" w:type="dxa"/>
            <w:vAlign w:val="center"/>
          </w:tcPr>
          <w:p w14:paraId="7192F775">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17"/>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cs="仿宋"/>
                <w:snapToGrid w:val="0"/>
                <w:color w:val="auto"/>
                <w:spacing w:val="0"/>
                <w:w w:val="100"/>
                <w:kern w:val="0"/>
                <w:position w:val="0"/>
                <w:sz w:val="28"/>
                <w:szCs w:val="28"/>
                <w:lang w:val="en-US" w:eastAsia="zh-CN" w:bidi="ar-SA"/>
              </w:rPr>
              <w:t>供应商</w:t>
            </w:r>
            <w:r>
              <w:rPr>
                <w:rFonts w:hint="eastAsia" w:ascii="仿宋" w:hAnsi="仿宋" w:eastAsia="仿宋" w:cs="仿宋"/>
                <w:snapToGrid w:val="0"/>
                <w:color w:val="auto"/>
                <w:spacing w:val="0"/>
                <w:w w:val="100"/>
                <w:kern w:val="0"/>
                <w:position w:val="0"/>
                <w:sz w:val="28"/>
                <w:szCs w:val="28"/>
                <w:lang w:val="en-US" w:eastAsia="zh-CN" w:bidi="ar-SA"/>
              </w:rPr>
              <w:t>承诺提供直赔服务得5分；供应商承诺提供全城通赔服务得5分；</w:t>
            </w:r>
          </w:p>
          <w:p w14:paraId="3EDACCD4">
            <w:pPr>
              <w:pStyle w:val="23"/>
              <w:keepNext w:val="0"/>
              <w:keepLines w:val="0"/>
              <w:pageBreakBefore w:val="0"/>
              <w:widowControl w:val="0"/>
              <w:kinsoku w:val="0"/>
              <w:wordWrap/>
              <w:overflowPunct/>
              <w:topLinePunct w:val="0"/>
              <w:bidi w:val="0"/>
              <w:adjustRightInd w:val="0"/>
              <w:snapToGrid w:val="0"/>
              <w:spacing w:line="360" w:lineRule="auto"/>
              <w:ind w:left="0" w:leftChars="0" w:right="0" w:hanging="17"/>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b/>
                <w:bCs/>
                <w:snapToGrid w:val="0"/>
                <w:color w:val="auto"/>
                <w:spacing w:val="0"/>
                <w:w w:val="100"/>
                <w:kern w:val="0"/>
                <w:position w:val="0"/>
                <w:sz w:val="28"/>
                <w:szCs w:val="28"/>
                <w:lang w:val="en-US" w:eastAsia="zh-CN" w:bidi="ar-SA"/>
              </w:rPr>
              <w:t>注：提供承诺</w:t>
            </w:r>
            <w:r>
              <w:rPr>
                <w:rFonts w:hint="eastAsia" w:cs="仿宋"/>
                <w:b/>
                <w:bCs/>
                <w:snapToGrid w:val="0"/>
                <w:color w:val="auto"/>
                <w:spacing w:val="0"/>
                <w:w w:val="100"/>
                <w:kern w:val="0"/>
                <w:position w:val="0"/>
                <w:sz w:val="28"/>
                <w:szCs w:val="28"/>
                <w:lang w:val="en-US" w:eastAsia="zh-CN" w:bidi="ar-SA"/>
              </w:rPr>
              <w:t>函</w:t>
            </w:r>
            <w:r>
              <w:rPr>
                <w:rFonts w:hint="eastAsia" w:ascii="仿宋" w:hAnsi="仿宋" w:eastAsia="仿宋" w:cs="仿宋"/>
                <w:b/>
                <w:bCs/>
                <w:snapToGrid w:val="0"/>
                <w:color w:val="auto"/>
                <w:spacing w:val="0"/>
                <w:w w:val="100"/>
                <w:kern w:val="0"/>
                <w:position w:val="0"/>
                <w:sz w:val="28"/>
                <w:szCs w:val="28"/>
                <w:lang w:val="en-US" w:eastAsia="zh-CN" w:bidi="ar-SA"/>
              </w:rPr>
              <w:t>（格式自拟）</w:t>
            </w:r>
            <w:r>
              <w:rPr>
                <w:rFonts w:hint="eastAsia" w:cs="仿宋"/>
                <w:b/>
                <w:bCs/>
                <w:snapToGrid w:val="0"/>
                <w:color w:val="auto"/>
                <w:spacing w:val="0"/>
                <w:w w:val="100"/>
                <w:kern w:val="0"/>
                <w:position w:val="0"/>
                <w:sz w:val="28"/>
                <w:szCs w:val="28"/>
                <w:lang w:val="en-US" w:eastAsia="zh-CN" w:bidi="ar-SA"/>
              </w:rPr>
              <w:t>。</w:t>
            </w:r>
          </w:p>
        </w:tc>
        <w:tc>
          <w:tcPr>
            <w:tcW w:w="1350" w:type="dxa"/>
            <w:vAlign w:val="center"/>
          </w:tcPr>
          <w:p w14:paraId="332A0160">
            <w:pPr>
              <w:pageBreakBefore w:val="0"/>
              <w:widowControl w:val="0"/>
              <w:kinsoku w:val="0"/>
              <w:wordWrap/>
              <w:overflowPunct/>
              <w:topLinePunct w:val="0"/>
              <w:bidi w:val="0"/>
              <w:adjustRightInd w:val="0"/>
              <w:snapToGrid w:val="0"/>
              <w:spacing w:line="360" w:lineRule="auto"/>
              <w:ind w:left="0" w:leftChars="0" w:right="0" w:rightChars="0"/>
              <w:jc w:val="center"/>
              <w:textAlignment w:val="baseline"/>
              <w:rPr>
                <w:rFonts w:hint="default" w:ascii="仿宋" w:hAnsi="仿宋" w:eastAsia="仿宋" w:cs="仿宋"/>
                <w:color w:val="auto"/>
                <w:spacing w:val="0"/>
                <w:w w:val="100"/>
                <w:position w:val="0"/>
                <w:sz w:val="28"/>
                <w:szCs w:val="28"/>
                <w:vertAlign w:val="baseline"/>
                <w:lang w:val="en-US" w:eastAsia="zh-CN"/>
              </w:rPr>
            </w:pPr>
            <w:r>
              <w:rPr>
                <w:rFonts w:hint="eastAsia" w:ascii="仿宋" w:hAnsi="仿宋" w:eastAsia="仿宋" w:cs="仿宋"/>
                <w:color w:val="auto"/>
                <w:spacing w:val="0"/>
                <w:w w:val="100"/>
                <w:position w:val="0"/>
                <w:sz w:val="28"/>
                <w:szCs w:val="28"/>
                <w:vertAlign w:val="baseline"/>
                <w:lang w:val="en-US" w:eastAsia="zh-CN"/>
              </w:rPr>
              <w:t>0-10分</w:t>
            </w:r>
          </w:p>
        </w:tc>
      </w:tr>
      <w:tr w14:paraId="1B3C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051" w:type="dxa"/>
            <w:vAlign w:val="center"/>
          </w:tcPr>
          <w:p w14:paraId="768162B7">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jc w:val="center"/>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价格分（20分）</w:t>
            </w:r>
          </w:p>
        </w:tc>
        <w:tc>
          <w:tcPr>
            <w:tcW w:w="8292" w:type="dxa"/>
            <w:gridSpan w:val="3"/>
            <w:vAlign w:val="center"/>
          </w:tcPr>
          <w:p w14:paraId="017F7224">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jc w:val="left"/>
              <w:textAlignment w:val="baseline"/>
              <w:rPr>
                <w:rFonts w:hint="eastAsia"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价格分统一采用低价优先法，即满足征集文件要求且响应价格最低的报价为评标基准价，其价格分为满分20分。其他供应商的价格分统一按照下列公式计算：</w:t>
            </w:r>
          </w:p>
          <w:p w14:paraId="00BB7FFF">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jc w:val="left"/>
              <w:textAlignment w:val="baseline"/>
              <w:rPr>
                <w:rFonts w:hint="default" w:ascii="仿宋" w:hAnsi="仿宋" w:eastAsia="仿宋" w:cs="仿宋"/>
                <w:snapToGrid w:val="0"/>
                <w:color w:val="auto"/>
                <w:spacing w:val="0"/>
                <w:w w:val="100"/>
                <w:kern w:val="0"/>
                <w:position w:val="0"/>
                <w:sz w:val="28"/>
                <w:szCs w:val="28"/>
                <w:lang w:val="en-US" w:eastAsia="zh-CN" w:bidi="ar-SA"/>
              </w:rPr>
            </w:pPr>
            <w:r>
              <w:rPr>
                <w:rFonts w:hint="eastAsia" w:ascii="仿宋" w:hAnsi="仿宋" w:eastAsia="仿宋" w:cs="仿宋"/>
                <w:snapToGrid w:val="0"/>
                <w:color w:val="auto"/>
                <w:spacing w:val="0"/>
                <w:w w:val="100"/>
                <w:kern w:val="0"/>
                <w:position w:val="0"/>
                <w:sz w:val="28"/>
                <w:szCs w:val="28"/>
                <w:lang w:val="en-US" w:eastAsia="zh-CN" w:bidi="ar-SA"/>
              </w:rPr>
              <w:t>报价得分＝（评标基准价/响应报价）×20% ×100</w:t>
            </w:r>
            <w:r>
              <w:rPr>
                <w:rFonts w:hint="eastAsia" w:cs="仿宋"/>
                <w:snapToGrid w:val="0"/>
                <w:color w:val="auto"/>
                <w:spacing w:val="0"/>
                <w:w w:val="100"/>
                <w:kern w:val="0"/>
                <w:position w:val="0"/>
                <w:sz w:val="28"/>
                <w:szCs w:val="28"/>
                <w:lang w:val="en-US" w:eastAsia="zh-CN" w:bidi="ar-SA"/>
              </w:rPr>
              <w:t>。</w:t>
            </w:r>
          </w:p>
        </w:tc>
      </w:tr>
    </w:tbl>
    <w:p w14:paraId="399C31B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5.2.2分值汇总</w:t>
      </w:r>
    </w:p>
    <w:p w14:paraId="408E3D83">
      <w:pPr>
        <w:pageBreakBefore w:val="0"/>
        <w:kinsoku w:val="0"/>
        <w:wordWrap/>
        <w:overflowPunct/>
        <w:topLinePunct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评审小组各成员应当独立对每个有效响应的文件进行评价、打分，然后汇总每个供应商每项评分因素的得分(四舍五入保留至小数点后两位数)，再将供应商每项评分因素的得分进行汇总，得到该供应商的技术资信分之和，即为该供应商的综合总得分。</w:t>
      </w:r>
    </w:p>
    <w:p w14:paraId="2B0E972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5.2.3入围供应商约定</w:t>
      </w:r>
    </w:p>
    <w:p w14:paraId="0D91FB7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本项目设置淘汰比例为20%，且至少淘汰一家供应商(向上取整，例如：8 家供应商通过资格审查、符合性审查，按20%淘汰比例应该淘汰1.6 家，向上取整后淘汰2家)，根据综合总得分由低到高进行淘汰。如出现得分并列时，则由评审小组采用随机抽取的方式确定淘汰供应商。</w:t>
      </w:r>
    </w:p>
    <w:p w14:paraId="1F35210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0" w:type="default"/>
          <w:pgSz w:w="11922" w:h="16849"/>
          <w:pgMar w:top="1440" w:right="1803" w:bottom="1440" w:left="1803" w:header="1134" w:footer="1253" w:gutter="0"/>
          <w:pgNumType w:fmt="decimal"/>
          <w:cols w:space="0" w:num="1"/>
          <w:rtlGutter w:val="0"/>
          <w:docGrid w:linePitch="0" w:charSpace="0"/>
        </w:sectPr>
      </w:pPr>
    </w:p>
    <w:p w14:paraId="73AA5820">
      <w:pPr>
        <w:pStyle w:val="7"/>
        <w:pageBreakBefore w:val="0"/>
        <w:kinsoku w:val="0"/>
        <w:wordWrap/>
        <w:overflowPunct/>
        <w:topLinePunct w:val="0"/>
        <w:bidi w:val="0"/>
        <w:adjustRightInd w:val="0"/>
        <w:snapToGrid w:val="0"/>
        <w:spacing w:before="0" w:beforeLines="0" w:after="0" w:afterLines="0" w:line="360" w:lineRule="auto"/>
        <w:ind w:left="0" w:leftChars="0" w:right="0" w:rightChars="0"/>
        <w:jc w:val="center"/>
        <w:textAlignment w:val="baseline"/>
        <w:rPr>
          <w:rFonts w:hint="eastAsia" w:eastAsia="宋体"/>
          <w:color w:val="auto"/>
          <w:spacing w:val="0"/>
          <w:w w:val="100"/>
          <w:position w:val="0"/>
          <w:lang w:eastAsia="zh-CN"/>
        </w:rPr>
      </w:pPr>
      <w:bookmarkStart w:id="6" w:name="_Toc6589"/>
      <w:r>
        <w:rPr>
          <w:rFonts w:hint="eastAsia"/>
          <w:color w:val="auto"/>
          <w:spacing w:val="0"/>
          <w:w w:val="100"/>
          <w:position w:val="0"/>
          <w:lang w:val="en-US" w:eastAsia="en-US"/>
        </w:rPr>
        <w:t>第五章</w:t>
      </w:r>
      <w:r>
        <w:rPr>
          <w:rFonts w:hint="eastAsia"/>
          <w:color w:val="auto"/>
          <w:spacing w:val="0"/>
          <w:w w:val="100"/>
          <w:position w:val="0"/>
        </w:rPr>
        <w:t>框架协议</w:t>
      </w:r>
      <w:bookmarkEnd w:id="6"/>
      <w:r>
        <w:rPr>
          <w:rFonts w:hint="eastAsia" w:eastAsia="宋体"/>
          <w:color w:val="auto"/>
          <w:spacing w:val="0"/>
          <w:w w:val="100"/>
          <w:position w:val="0"/>
          <w:lang w:eastAsia="zh-CN"/>
        </w:rPr>
        <w:t>（</w:t>
      </w:r>
      <w:r>
        <w:rPr>
          <w:rFonts w:hint="eastAsia" w:eastAsia="宋体"/>
          <w:color w:val="auto"/>
          <w:spacing w:val="0"/>
          <w:w w:val="100"/>
          <w:position w:val="0"/>
          <w:lang w:val="en-US" w:eastAsia="zh-CN"/>
        </w:rPr>
        <w:t>参考文本</w:t>
      </w:r>
      <w:r>
        <w:rPr>
          <w:rFonts w:hint="eastAsia" w:eastAsia="宋体"/>
          <w:color w:val="auto"/>
          <w:spacing w:val="0"/>
          <w:w w:val="100"/>
          <w:position w:val="0"/>
          <w:lang w:eastAsia="zh-CN"/>
        </w:rPr>
        <w:t>）</w:t>
      </w:r>
    </w:p>
    <w:p w14:paraId="7CE22487">
      <w:pPr>
        <w:pageBreakBefore w:val="0"/>
        <w:kinsoku w:val="0"/>
        <w:wordWrap/>
        <w:overflowPunct/>
        <w:topLinePunct w:val="0"/>
        <w:bidi w:val="0"/>
        <w:adjustRightInd w:val="0"/>
        <w:snapToGrid w:val="0"/>
        <w:spacing w:line="360" w:lineRule="auto"/>
        <w:ind w:left="0" w:leftChars="0"/>
        <w:jc w:val="center"/>
        <w:textAlignment w:val="baseline"/>
        <w:rPr>
          <w:rFonts w:hint="eastAsia" w:ascii="Arial" w:hAnsi="Arial" w:eastAsia="宋体" w:cs="Arial"/>
          <w:b/>
          <w:snapToGrid w:val="0"/>
          <w:color w:val="auto"/>
          <w:spacing w:val="0"/>
          <w:w w:val="100"/>
          <w:kern w:val="0"/>
          <w:position w:val="0"/>
          <w:sz w:val="32"/>
          <w:szCs w:val="21"/>
          <w:lang w:val="en-US" w:eastAsia="zh-CN" w:bidi="ar-SA"/>
        </w:rPr>
      </w:pPr>
      <w:r>
        <w:rPr>
          <w:rFonts w:hint="eastAsia" w:ascii="Arial" w:hAnsi="Arial" w:eastAsia="宋体" w:cs="Arial"/>
          <w:b/>
          <w:snapToGrid w:val="0"/>
          <w:color w:val="auto"/>
          <w:spacing w:val="0"/>
          <w:w w:val="100"/>
          <w:kern w:val="0"/>
          <w:position w:val="0"/>
          <w:sz w:val="32"/>
          <w:szCs w:val="21"/>
          <w:lang w:val="en-US" w:eastAsia="zh-CN" w:bidi="ar-SA"/>
        </w:rPr>
        <w:t>（以最终签订的合同为准）</w:t>
      </w:r>
    </w:p>
    <w:p w14:paraId="62DDA7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框 架 协 议 格 式</w:t>
      </w:r>
    </w:p>
    <w:p w14:paraId="157E7C5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3"/>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甲方 (征集人)：</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p w14:paraId="798F561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3"/>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乙方  (入围供应商)：</w:t>
      </w:r>
      <w:r>
        <w:rPr>
          <w:rFonts w:hint="eastAsia" w:ascii="仿宋" w:hAnsi="仿宋" w:eastAsia="仿宋" w:cs="仿宋"/>
          <w:color w:val="auto"/>
          <w:spacing w:val="0"/>
          <w:w w:val="100"/>
          <w:position w:val="0"/>
          <w:sz w:val="28"/>
          <w:szCs w:val="28"/>
          <w:u w:val="single" w:color="auto"/>
        </w:rPr>
        <w:t xml:space="preserve">                                         </w:t>
      </w:r>
    </w:p>
    <w:p w14:paraId="02CFCB9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依照《中华人民共和国民法典》、《政府采购框架协议采购方式管理暂行办法》、《中华人民共和国政府采购法》及其实施条例等有关法律、行政法规，结合本项目的具体情况，遵循平等、自愿、公平和诚实信用的原则，双方就</w:t>
      </w:r>
      <w:r>
        <w:rPr>
          <w:rFonts w:hint="eastAsia" w:ascii="仿宋" w:hAnsi="仿宋" w:eastAsia="仿宋" w:cs="仿宋"/>
          <w:color w:val="auto"/>
          <w:spacing w:val="0"/>
          <w:w w:val="100"/>
          <w:position w:val="0"/>
          <w:sz w:val="28"/>
          <w:szCs w:val="28"/>
          <w:u w:val="single" w:color="auto"/>
          <w:lang w:eastAsia="zh-CN"/>
        </w:rPr>
        <w:t>颍东区机关事务管理中心公务用车定点保险项目</w:t>
      </w:r>
      <w:r>
        <w:rPr>
          <w:rFonts w:hint="eastAsia" w:ascii="仿宋" w:hAnsi="仿宋" w:eastAsia="仿宋" w:cs="仿宋"/>
          <w:color w:val="auto"/>
          <w:spacing w:val="0"/>
          <w:w w:val="100"/>
          <w:position w:val="0"/>
          <w:sz w:val="28"/>
          <w:szCs w:val="28"/>
          <w:u w:val="single" w:color="auto"/>
          <w:lang w:val="en-US" w:eastAsia="zh-CN"/>
        </w:rPr>
        <w:t xml:space="preserve"> </w:t>
      </w:r>
      <w:r>
        <w:rPr>
          <w:rFonts w:hint="eastAsia" w:ascii="仿宋" w:hAnsi="仿宋" w:eastAsia="仿宋" w:cs="仿宋"/>
          <w:color w:val="auto"/>
          <w:spacing w:val="0"/>
          <w:w w:val="100"/>
          <w:position w:val="0"/>
          <w:sz w:val="28"/>
          <w:szCs w:val="28"/>
        </w:rPr>
        <w:t>(项目编号：    )的相关内容协商一致，同意按照以下条款和条件，订立本框架协议。</w:t>
      </w:r>
    </w:p>
    <w:p w14:paraId="7BFDBD2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一、合同文件下列文件构成本框架协议的组成部分：</w:t>
      </w:r>
    </w:p>
    <w:p w14:paraId="5E3EF423">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1、框架协议及补充协议</w:t>
      </w:r>
    </w:p>
    <w:p w14:paraId="7FC072D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2、中标通知书</w:t>
      </w:r>
    </w:p>
    <w:p w14:paraId="280CC0D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3、响应文件及评标过程中做出的书面说明或承诺</w:t>
      </w:r>
    </w:p>
    <w:p w14:paraId="7D72B3F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4、征集文件及答疑补充文件</w:t>
      </w:r>
    </w:p>
    <w:p w14:paraId="7379A8E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二</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、采购需求</w:t>
      </w:r>
    </w:p>
    <w:p w14:paraId="4D1E453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详见征集文件《第三章采购需求》；</w:t>
      </w:r>
    </w:p>
    <w:p w14:paraId="3450623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三、确定第二阶段成交供应商的方式：</w:t>
      </w:r>
    </w:p>
    <w:p w14:paraId="4B17100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u w:val="single"/>
        </w:rPr>
        <w:t>直接选定方式</w:t>
      </w:r>
      <w:r>
        <w:rPr>
          <w:rFonts w:hint="eastAsia" w:ascii="仿宋" w:hAnsi="仿宋" w:eastAsia="仿宋" w:cs="仿宋"/>
          <w:color w:val="auto"/>
          <w:spacing w:val="0"/>
          <w:w w:val="100"/>
          <w:position w:val="0"/>
          <w:sz w:val="28"/>
          <w:szCs w:val="28"/>
        </w:rPr>
        <w:t>；</w:t>
      </w:r>
    </w:p>
    <w:p w14:paraId="40E3F06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四、适用框架协议的征集人或者服务对象范围，以及履行合同的地域范围。</w:t>
      </w:r>
    </w:p>
    <w:p w14:paraId="0B534A1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1、阜阳市颍东区机关事务管理服务中心及全区公务用车单位定点使用。</w:t>
      </w:r>
    </w:p>
    <w:p w14:paraId="472C350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2、履行合同的地域范围：使用单位指定地点</w:t>
      </w:r>
      <w:r>
        <w:rPr>
          <w:rFonts w:hint="eastAsia" w:ascii="仿宋" w:hAnsi="仿宋" w:eastAsia="仿宋" w:cs="仿宋"/>
          <w:color w:val="auto"/>
          <w:spacing w:val="0"/>
          <w:w w:val="100"/>
          <w:position w:val="0"/>
          <w:sz w:val="28"/>
          <w:szCs w:val="28"/>
          <w:lang w:eastAsia="zh-CN"/>
        </w:rPr>
        <w:t>。</w:t>
      </w:r>
    </w:p>
    <w:p w14:paraId="2882847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五</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、服务费用计取及结算</w:t>
      </w:r>
    </w:p>
    <w:p w14:paraId="0A02652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本合同</w:t>
      </w:r>
      <w:r>
        <w:rPr>
          <w:rFonts w:hint="eastAsia" w:ascii="仿宋" w:hAnsi="仿宋" w:eastAsia="仿宋" w:cs="仿宋"/>
          <w:color w:val="auto"/>
          <w:spacing w:val="0"/>
          <w:w w:val="100"/>
          <w:position w:val="0"/>
          <w:sz w:val="28"/>
          <w:szCs w:val="28"/>
          <w:lang w:eastAsia="zh-CN"/>
        </w:rPr>
        <w:t>中标费率</w:t>
      </w:r>
      <w:r>
        <w:rPr>
          <w:rFonts w:hint="eastAsia" w:ascii="仿宋" w:hAnsi="仿宋" w:eastAsia="仿宋" w:cs="仿宋"/>
          <w:color w:val="auto"/>
          <w:spacing w:val="0"/>
          <w:w w:val="100"/>
          <w:position w:val="0"/>
          <w:sz w:val="28"/>
          <w:szCs w:val="28"/>
        </w:rPr>
        <w:t>为：</w:t>
      </w:r>
      <w:r>
        <w:rPr>
          <w:rFonts w:hint="eastAsia" w:ascii="仿宋" w:hAnsi="仿宋" w:eastAsia="仿宋" w:cs="仿宋"/>
          <w:color w:val="auto"/>
          <w:spacing w:val="0"/>
          <w:w w:val="100"/>
          <w:position w:val="0"/>
          <w:sz w:val="28"/>
          <w:szCs w:val="28"/>
          <w:u w:val="single"/>
        </w:rPr>
        <w:t xml:space="preserve"> </w:t>
      </w:r>
      <w:r>
        <w:rPr>
          <w:rFonts w:hint="eastAsia" w:ascii="仿宋" w:hAnsi="仿宋" w:eastAsia="仿宋" w:cs="仿宋"/>
          <w:color w:val="auto"/>
          <w:spacing w:val="0"/>
          <w:w w:val="100"/>
          <w:position w:val="0"/>
          <w:sz w:val="28"/>
          <w:szCs w:val="28"/>
          <w:u w:val="single"/>
          <w:lang w:val="en-US" w:eastAsia="zh-CN"/>
        </w:rPr>
        <w:t xml:space="preserve">    </w:t>
      </w:r>
      <w:r>
        <w:rPr>
          <w:rFonts w:hint="eastAsia" w:ascii="仿宋" w:hAnsi="仿宋" w:eastAsia="仿宋" w:cs="仿宋"/>
          <w:color w:val="auto"/>
          <w:spacing w:val="0"/>
          <w:w w:val="100"/>
          <w:position w:val="0"/>
          <w:sz w:val="28"/>
          <w:szCs w:val="28"/>
          <w:u w:val="single"/>
        </w:rPr>
        <w:tab/>
      </w:r>
      <w:r>
        <w:rPr>
          <w:rFonts w:hint="eastAsia" w:ascii="仿宋" w:hAnsi="仿宋" w:eastAsia="仿宋" w:cs="仿宋"/>
          <w:color w:val="auto"/>
          <w:spacing w:val="0"/>
          <w:w w:val="100"/>
          <w:position w:val="0"/>
          <w:sz w:val="28"/>
          <w:szCs w:val="28"/>
          <w:lang w:val="en-US" w:eastAsia="zh-CN"/>
        </w:rPr>
        <w:t>%</w:t>
      </w:r>
      <w:r>
        <w:rPr>
          <w:rFonts w:hint="eastAsia" w:ascii="仿宋" w:hAnsi="仿宋" w:eastAsia="仿宋" w:cs="仿宋"/>
          <w:color w:val="auto"/>
          <w:spacing w:val="0"/>
          <w:w w:val="100"/>
          <w:position w:val="0"/>
          <w:sz w:val="28"/>
          <w:szCs w:val="28"/>
        </w:rPr>
        <w:t>（大写：</w:t>
      </w:r>
      <w:r>
        <w:rPr>
          <w:rFonts w:hint="eastAsia" w:ascii="仿宋" w:hAnsi="仿宋" w:eastAsia="仿宋" w:cs="仿宋"/>
          <w:color w:val="auto"/>
          <w:spacing w:val="0"/>
          <w:w w:val="100"/>
          <w:position w:val="0"/>
          <w:sz w:val="28"/>
          <w:szCs w:val="28"/>
          <w:u w:val="single"/>
        </w:rPr>
        <w:tab/>
      </w:r>
      <w:r>
        <w:rPr>
          <w:rFonts w:hint="eastAsia" w:ascii="仿宋" w:hAnsi="仿宋" w:eastAsia="仿宋" w:cs="仿宋"/>
          <w:color w:val="auto"/>
          <w:spacing w:val="0"/>
          <w:w w:val="100"/>
          <w:position w:val="0"/>
          <w:sz w:val="28"/>
          <w:szCs w:val="28"/>
          <w:u w:val="single"/>
          <w:lang w:val="en-US" w:eastAsia="zh-CN"/>
        </w:rPr>
        <w:t xml:space="preserve">             </w:t>
      </w:r>
      <w:r>
        <w:rPr>
          <w:rFonts w:hint="eastAsia" w:ascii="仿宋" w:hAnsi="仿宋" w:eastAsia="仿宋" w:cs="仿宋"/>
          <w:color w:val="auto"/>
          <w:spacing w:val="0"/>
          <w:w w:val="100"/>
          <w:position w:val="0"/>
          <w:sz w:val="28"/>
          <w:szCs w:val="28"/>
        </w:rPr>
        <w:t>）。</w:t>
      </w:r>
    </w:p>
    <w:p w14:paraId="56BD736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分项价格：</w:t>
      </w:r>
    </w:p>
    <w:tbl>
      <w:tblPr>
        <w:tblStyle w:val="22"/>
        <w:tblW w:w="8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315"/>
        <w:gridCol w:w="1"/>
        <w:gridCol w:w="3241"/>
      </w:tblGrid>
      <w:tr w14:paraId="6A280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61" w:type="dxa"/>
            <w:vAlign w:val="top"/>
          </w:tcPr>
          <w:p w14:paraId="2C2D4A64">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序号</w:t>
            </w:r>
          </w:p>
        </w:tc>
        <w:tc>
          <w:tcPr>
            <w:tcW w:w="4316" w:type="dxa"/>
            <w:gridSpan w:val="2"/>
            <w:vAlign w:val="top"/>
          </w:tcPr>
          <w:p w14:paraId="3CB8A9A9">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分项名称</w:t>
            </w:r>
          </w:p>
        </w:tc>
        <w:tc>
          <w:tcPr>
            <w:tcW w:w="3241" w:type="dxa"/>
            <w:vAlign w:val="top"/>
          </w:tcPr>
          <w:p w14:paraId="5A3960D2">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分项价格</w:t>
            </w:r>
          </w:p>
        </w:tc>
      </w:tr>
      <w:tr w14:paraId="0522A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1" w:type="dxa"/>
            <w:vAlign w:val="top"/>
          </w:tcPr>
          <w:p w14:paraId="4615BB42">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p>
        </w:tc>
        <w:tc>
          <w:tcPr>
            <w:tcW w:w="4316" w:type="dxa"/>
            <w:gridSpan w:val="2"/>
            <w:vAlign w:val="top"/>
          </w:tcPr>
          <w:p w14:paraId="09E510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3241" w:type="dxa"/>
            <w:vAlign w:val="top"/>
          </w:tcPr>
          <w:p w14:paraId="7FB589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r w14:paraId="0841B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1" w:type="dxa"/>
            <w:vAlign w:val="top"/>
          </w:tcPr>
          <w:p w14:paraId="2370181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p>
        </w:tc>
        <w:tc>
          <w:tcPr>
            <w:tcW w:w="4316" w:type="dxa"/>
            <w:gridSpan w:val="2"/>
            <w:vAlign w:val="top"/>
          </w:tcPr>
          <w:p w14:paraId="470702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3241" w:type="dxa"/>
            <w:vAlign w:val="top"/>
          </w:tcPr>
          <w:p w14:paraId="685251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r w14:paraId="6AEC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61" w:type="dxa"/>
            <w:vAlign w:val="top"/>
          </w:tcPr>
          <w:p w14:paraId="62A1E5BC">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w:t>
            </w:r>
          </w:p>
        </w:tc>
        <w:tc>
          <w:tcPr>
            <w:tcW w:w="4316" w:type="dxa"/>
            <w:gridSpan w:val="2"/>
            <w:vAlign w:val="top"/>
          </w:tcPr>
          <w:p w14:paraId="6BC4B7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3241" w:type="dxa"/>
            <w:vAlign w:val="top"/>
          </w:tcPr>
          <w:p w14:paraId="30F44B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r w14:paraId="626C5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61" w:type="dxa"/>
            <w:vAlign w:val="top"/>
          </w:tcPr>
          <w:p w14:paraId="2F711115">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w:t>
            </w:r>
          </w:p>
        </w:tc>
        <w:tc>
          <w:tcPr>
            <w:tcW w:w="4315" w:type="dxa"/>
            <w:vAlign w:val="top"/>
          </w:tcPr>
          <w:p w14:paraId="1789A9F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3242" w:type="dxa"/>
            <w:gridSpan w:val="2"/>
            <w:vAlign w:val="top"/>
          </w:tcPr>
          <w:p w14:paraId="66F72D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r>
      <w:tr w14:paraId="634A3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276" w:type="dxa"/>
            <w:gridSpan w:val="2"/>
            <w:vAlign w:val="top"/>
          </w:tcPr>
          <w:p w14:paraId="7C2C20C5">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总价</w:t>
            </w:r>
          </w:p>
        </w:tc>
        <w:tc>
          <w:tcPr>
            <w:tcW w:w="3242" w:type="dxa"/>
            <w:gridSpan w:val="2"/>
            <w:tcBorders>
              <w:right w:val="single" w:color="000000" w:sz="4" w:space="0"/>
            </w:tcBorders>
            <w:vAlign w:val="top"/>
          </w:tcPr>
          <w:p w14:paraId="408240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bl>
    <w:p w14:paraId="6A0EAF4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7" w:name="_Toc12215"/>
      <w:r>
        <w:rPr>
          <w:rFonts w:hint="eastAsia" w:ascii="仿宋" w:hAnsi="仿宋" w:eastAsia="仿宋" w:cs="仿宋"/>
          <w:b/>
          <w:bCs/>
          <w:color w:val="auto"/>
          <w:spacing w:val="0"/>
          <w:w w:val="100"/>
          <w:position w:val="0"/>
          <w:sz w:val="28"/>
          <w:szCs w:val="28"/>
        </w:rPr>
        <w:t>1.1</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付款方式和发票开具方式</w:t>
      </w:r>
      <w:bookmarkEnd w:id="7"/>
    </w:p>
    <w:p w14:paraId="4F785AD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1.1.1 付款方式：</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763222E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1.1.2 发票开具方式：</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4416E07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8" w:name="_Toc26694"/>
      <w:r>
        <w:rPr>
          <w:rFonts w:hint="eastAsia" w:ascii="仿宋" w:hAnsi="仿宋" w:eastAsia="仿宋" w:cs="仿宋"/>
          <w:b/>
          <w:bCs/>
          <w:color w:val="auto"/>
          <w:spacing w:val="0"/>
          <w:w w:val="100"/>
          <w:position w:val="0"/>
          <w:sz w:val="28"/>
          <w:szCs w:val="28"/>
        </w:rPr>
        <w:t>1.2</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服务期限、地点和方式</w:t>
      </w:r>
      <w:bookmarkEnd w:id="8"/>
    </w:p>
    <w:p w14:paraId="079279F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1.2.1 服务期限：</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6877BF0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1.2.2 服务地点：</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 xml:space="preserve">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4500D1B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1.2.3 服务方式：</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 xml:space="preserve">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3833597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9" w:name="_Toc15507"/>
      <w:r>
        <w:rPr>
          <w:rFonts w:hint="eastAsia" w:ascii="仿宋" w:hAnsi="仿宋" w:eastAsia="仿宋" w:cs="仿宋"/>
          <w:b/>
          <w:bCs/>
          <w:color w:val="auto"/>
          <w:spacing w:val="0"/>
          <w:w w:val="100"/>
          <w:position w:val="0"/>
          <w:sz w:val="28"/>
          <w:szCs w:val="28"/>
        </w:rPr>
        <w:t>1.3</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违约责任</w:t>
      </w:r>
      <w:bookmarkEnd w:id="9"/>
    </w:p>
    <w:p w14:paraId="06E6B4E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1.3.1 除不可抗力外，如果乙方没有按照本合同约定的期限、地点和方式履行，那么甲方可要求乙方支付违约金，违约金按每迟延履行一日的应提供而未提供服务价格的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0.05</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%计算，最高限额为本合同总价的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1</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%；迟延履行的违约金计算数额达到前述最高限额之日起，甲方有权在要求乙方支付违约金的同时，书面通知乙方解除本合同；</w:t>
      </w:r>
    </w:p>
    <w:p w14:paraId="763112E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1.3.2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 xml:space="preserve">0.05 </w:t>
      </w:r>
      <w:r>
        <w:rPr>
          <w:rFonts w:hint="eastAsia" w:ascii="仿宋" w:hAnsi="仿宋" w:eastAsia="仿宋" w:cs="仿宋"/>
          <w:color w:val="auto"/>
          <w:spacing w:val="0"/>
          <w:w w:val="100"/>
          <w:position w:val="0"/>
          <w:sz w:val="28"/>
          <w:szCs w:val="28"/>
        </w:rPr>
        <w:t>% 计算，最高限额为本合同总价的</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 xml:space="preserve">1 </w:t>
      </w:r>
      <w:r>
        <w:rPr>
          <w:rFonts w:hint="eastAsia" w:ascii="仿宋" w:hAnsi="仿宋" w:eastAsia="仿宋" w:cs="仿宋"/>
          <w:color w:val="auto"/>
          <w:spacing w:val="0"/>
          <w:w w:val="100"/>
          <w:position w:val="0"/>
          <w:sz w:val="28"/>
          <w:szCs w:val="28"/>
        </w:rPr>
        <w:t>%；迟延付款的违约金计算数额达到前述最高限额之日起，乙方有权在要求甲方支付违约金的同时，书面通知甲方解除本合同；</w:t>
      </w:r>
    </w:p>
    <w:p w14:paraId="796D55A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1.3.3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492919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1.3.4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740E3F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snapToGrid w:val="0"/>
          <w:color w:val="auto"/>
          <w:spacing w:val="0"/>
          <w:w w:val="100"/>
          <w:kern w:val="0"/>
          <w:position w:val="0"/>
          <w:sz w:val="28"/>
          <w:szCs w:val="28"/>
          <w:lang w:val="en-US" w:eastAsia="en-US" w:bidi="ar-SA"/>
        </w:rPr>
      </w:pPr>
      <w:r>
        <w:rPr>
          <w:rFonts w:hint="eastAsia" w:ascii="仿宋" w:hAnsi="仿宋" w:eastAsia="仿宋" w:cs="仿宋"/>
          <w:snapToGrid w:val="0"/>
          <w:color w:val="auto"/>
          <w:spacing w:val="0"/>
          <w:w w:val="100"/>
          <w:kern w:val="0"/>
          <w:position w:val="0"/>
          <w:sz w:val="28"/>
          <w:szCs w:val="28"/>
          <w:lang w:val="en-US" w:eastAsia="en-US" w:bidi="ar-SA"/>
        </w:rPr>
        <w:t>1.3.5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A67CC9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49"/>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snapToGrid w:val="0"/>
          <w:color w:val="auto"/>
          <w:spacing w:val="0"/>
          <w:w w:val="100"/>
          <w:kern w:val="0"/>
          <w:position w:val="0"/>
          <w:sz w:val="28"/>
          <w:szCs w:val="28"/>
          <w:lang w:val="en-US" w:eastAsia="en-US" w:bidi="ar-SA"/>
        </w:rPr>
        <w:t>1.3.6 如果出现政府采购监督管理部门在处理投诉事项期间，书面通知甲方暂停采购活动的情形，或者询问或质疑事项可能影响中标结果的，导致甲方中止履行合同的情形，均不视为甲方违约。</w:t>
      </w:r>
    </w:p>
    <w:p w14:paraId="2FF2088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0" w:name="_Toc15725"/>
      <w:r>
        <w:rPr>
          <w:rFonts w:hint="eastAsia" w:ascii="仿宋" w:hAnsi="仿宋" w:eastAsia="仿宋" w:cs="仿宋"/>
          <w:b/>
          <w:bCs/>
          <w:color w:val="auto"/>
          <w:spacing w:val="0"/>
          <w:w w:val="100"/>
          <w:position w:val="0"/>
          <w:sz w:val="28"/>
          <w:szCs w:val="28"/>
        </w:rPr>
        <w:t>1.4</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合同争议的解决</w:t>
      </w:r>
      <w:bookmarkEnd w:id="10"/>
    </w:p>
    <w:p w14:paraId="66B21F8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本合同履行过程中发生的任何争议，双方当事人均可通过和解或者调解解决；不愿和解、调解或者和解、调解不成的，可以选择下列第</w:t>
      </w:r>
      <w:r>
        <w:rPr>
          <w:rFonts w:hint="eastAsia" w:ascii="仿宋" w:hAnsi="仿宋" w:eastAsia="仿宋" w:cs="仿宋"/>
          <w:color w:val="auto"/>
          <w:spacing w:val="0"/>
          <w:w w:val="100"/>
          <w:position w:val="0"/>
          <w:sz w:val="28"/>
          <w:szCs w:val="28"/>
          <w:u w:val="single" w:color="auto"/>
        </w:rPr>
        <w:t xml:space="preserve">  2  </w:t>
      </w:r>
      <w:r>
        <w:rPr>
          <w:rFonts w:hint="eastAsia" w:ascii="仿宋" w:hAnsi="仿宋" w:eastAsia="仿宋" w:cs="仿宋"/>
          <w:color w:val="auto"/>
          <w:spacing w:val="0"/>
          <w:w w:val="100"/>
          <w:position w:val="0"/>
          <w:sz w:val="28"/>
          <w:szCs w:val="28"/>
        </w:rPr>
        <w:t>种方式解决：</w:t>
      </w:r>
    </w:p>
    <w:p w14:paraId="1395B46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1.4.1 将争议提交</w:t>
      </w:r>
      <w:r>
        <w:rPr>
          <w:rFonts w:hint="eastAsia" w:ascii="仿宋" w:hAnsi="仿宋" w:eastAsia="仿宋" w:cs="仿宋"/>
          <w:color w:val="auto"/>
          <w:spacing w:val="0"/>
          <w:w w:val="100"/>
          <w:position w:val="0"/>
          <w:sz w:val="28"/>
          <w:szCs w:val="28"/>
          <w:u w:val="single" w:color="auto"/>
        </w:rPr>
        <w:t xml:space="preserve">阜阳 </w:t>
      </w:r>
      <w:r>
        <w:rPr>
          <w:rFonts w:hint="eastAsia" w:ascii="仿宋" w:hAnsi="仿宋" w:eastAsia="仿宋" w:cs="仿宋"/>
          <w:color w:val="auto"/>
          <w:spacing w:val="0"/>
          <w:w w:val="100"/>
          <w:position w:val="0"/>
          <w:sz w:val="28"/>
          <w:szCs w:val="28"/>
        </w:rPr>
        <w:t>仲裁委员会依申请仲裁时其现行有效的仲裁规则裁决；</w:t>
      </w:r>
    </w:p>
    <w:p w14:paraId="6435152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1.4.2 向</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项目所在地</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人民法院起诉。</w:t>
      </w:r>
    </w:p>
    <w:p w14:paraId="1F0B056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1" w:name="_Toc6795"/>
      <w:r>
        <w:rPr>
          <w:rFonts w:hint="eastAsia" w:ascii="仿宋" w:hAnsi="仿宋" w:eastAsia="仿宋" w:cs="仿宋"/>
          <w:b/>
          <w:bCs/>
          <w:color w:val="auto"/>
          <w:spacing w:val="0"/>
          <w:w w:val="100"/>
          <w:position w:val="0"/>
          <w:sz w:val="28"/>
          <w:szCs w:val="28"/>
        </w:rPr>
        <w:t>1.5</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合同生效</w:t>
      </w:r>
      <w:bookmarkEnd w:id="11"/>
    </w:p>
    <w:p w14:paraId="0336FAF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本合同自双方当事人盖章时生效。本框架协议未尽事宜，双方可签订补充协议，补充协议与本框架协议具有同等法律效力。</w:t>
      </w:r>
    </w:p>
    <w:p w14:paraId="518D50A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六</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、框架协议份数</w:t>
      </w:r>
    </w:p>
    <w:p w14:paraId="521CEAD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bl>
      <w:tblPr>
        <w:tblStyle w:val="19"/>
        <w:tblW w:w="87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5"/>
        <w:gridCol w:w="4260"/>
      </w:tblGrid>
      <w:tr w14:paraId="4E7D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775" w:type="dxa"/>
            <w:gridSpan w:val="2"/>
            <w:tcBorders>
              <w:top w:val="nil"/>
              <w:left w:val="nil"/>
              <w:bottom w:val="nil"/>
              <w:right w:val="nil"/>
            </w:tcBorders>
          </w:tcPr>
          <w:p w14:paraId="3015812F">
            <w:pPr>
              <w:pStyle w:val="2"/>
              <w:widowControl w:val="0"/>
              <w:ind w:left="0" w:leftChars="0" w:firstLine="560" w:firstLineChars="200"/>
              <w:rPr>
                <w:rFonts w:hint="eastAsia"/>
                <w:vertAlign w:val="baseline"/>
              </w:rPr>
            </w:pPr>
            <w:r>
              <w:rPr>
                <w:rFonts w:hint="eastAsia" w:ascii="仿宋" w:hAnsi="仿宋" w:eastAsia="仿宋" w:cs="仿宋"/>
                <w:color w:val="auto"/>
                <w:spacing w:val="0"/>
                <w:w w:val="100"/>
                <w:position w:val="0"/>
                <w:sz w:val="28"/>
                <w:szCs w:val="28"/>
              </w:rPr>
              <w:t xml:space="preserve">本合同一式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份，甲、乙各执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份。</w:t>
            </w:r>
          </w:p>
        </w:tc>
      </w:tr>
      <w:tr w14:paraId="5904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515" w:type="dxa"/>
            <w:tcBorders>
              <w:top w:val="nil"/>
              <w:left w:val="nil"/>
              <w:bottom w:val="nil"/>
              <w:right w:val="nil"/>
            </w:tcBorders>
          </w:tcPr>
          <w:p w14:paraId="7EEE57B8">
            <w:pPr>
              <w:pStyle w:val="2"/>
              <w:widowControl w:val="0"/>
              <w:ind w:left="0" w:leftChars="0" w:firstLine="560" w:firstLineChars="200"/>
              <w:rPr>
                <w:rFonts w:hint="eastAsia"/>
                <w:vertAlign w:val="baseline"/>
              </w:rPr>
            </w:pPr>
            <w:r>
              <w:rPr>
                <w:rFonts w:hint="eastAsia" w:ascii="仿宋" w:hAnsi="仿宋" w:eastAsia="仿宋" w:cs="仿宋"/>
                <w:color w:val="auto"/>
                <w:spacing w:val="0"/>
                <w:w w:val="100"/>
                <w:position w:val="0"/>
                <w:sz w:val="28"/>
                <w:szCs w:val="28"/>
              </w:rPr>
              <w:t>甲方： (盖章)</w:t>
            </w:r>
          </w:p>
        </w:tc>
        <w:tc>
          <w:tcPr>
            <w:tcW w:w="4260" w:type="dxa"/>
            <w:tcBorders>
              <w:top w:val="nil"/>
              <w:left w:val="nil"/>
              <w:bottom w:val="nil"/>
              <w:right w:val="nil"/>
            </w:tcBorders>
          </w:tcPr>
          <w:p w14:paraId="7C168750">
            <w:pPr>
              <w:pStyle w:val="2"/>
              <w:widowControl w:val="0"/>
              <w:ind w:left="0" w:leftChars="0" w:firstLine="0" w:firstLineChars="0"/>
              <w:rPr>
                <w:rFonts w:hint="eastAsia"/>
                <w:vertAlign w:val="baseline"/>
              </w:rPr>
            </w:pPr>
            <w:r>
              <w:rPr>
                <w:rFonts w:hint="eastAsia" w:ascii="仿宋" w:hAnsi="仿宋" w:eastAsia="仿宋" w:cs="仿宋"/>
                <w:color w:val="auto"/>
                <w:spacing w:val="0"/>
                <w:w w:val="100"/>
                <w:position w:val="0"/>
                <w:sz w:val="28"/>
                <w:szCs w:val="28"/>
              </w:rPr>
              <w:t>乙方：（盖章）</w:t>
            </w:r>
          </w:p>
        </w:tc>
      </w:tr>
      <w:tr w14:paraId="4C0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15" w:type="dxa"/>
            <w:tcBorders>
              <w:top w:val="nil"/>
              <w:left w:val="nil"/>
              <w:bottom w:val="nil"/>
              <w:right w:val="nil"/>
            </w:tcBorders>
          </w:tcPr>
          <w:p w14:paraId="3786C4C7">
            <w:pPr>
              <w:pStyle w:val="2"/>
              <w:widowControl w:val="0"/>
              <w:ind w:left="0" w:leftChars="0" w:firstLine="560" w:firstLineChars="200"/>
              <w:rPr>
                <w:rFonts w:hint="eastAsia"/>
                <w:vertAlign w:val="baseline"/>
              </w:rPr>
            </w:pPr>
            <w:r>
              <w:rPr>
                <w:rFonts w:hint="eastAsia" w:ascii="仿宋" w:hAnsi="仿宋" w:eastAsia="仿宋" w:cs="仿宋"/>
                <w:color w:val="auto"/>
                <w:spacing w:val="0"/>
                <w:w w:val="100"/>
                <w:position w:val="0"/>
                <w:sz w:val="28"/>
                <w:szCs w:val="28"/>
              </w:rPr>
              <w:t>地址：</w:t>
            </w:r>
          </w:p>
        </w:tc>
        <w:tc>
          <w:tcPr>
            <w:tcW w:w="4260" w:type="dxa"/>
            <w:tcBorders>
              <w:top w:val="nil"/>
              <w:left w:val="nil"/>
              <w:bottom w:val="nil"/>
              <w:right w:val="nil"/>
            </w:tcBorders>
          </w:tcPr>
          <w:p w14:paraId="26D3A1B5">
            <w:pPr>
              <w:pStyle w:val="2"/>
              <w:widowControl w:val="0"/>
              <w:ind w:left="0" w:leftChars="0" w:firstLine="0" w:firstLineChars="0"/>
              <w:rPr>
                <w:rFonts w:hint="eastAsia"/>
                <w:vertAlign w:val="baseline"/>
              </w:rPr>
            </w:pPr>
            <w:r>
              <w:rPr>
                <w:rFonts w:hint="eastAsia" w:ascii="仿宋" w:hAnsi="仿宋" w:eastAsia="仿宋" w:cs="仿宋"/>
                <w:color w:val="auto"/>
                <w:spacing w:val="0"/>
                <w:w w:val="100"/>
                <w:position w:val="0"/>
                <w:sz w:val="28"/>
                <w:szCs w:val="28"/>
              </w:rPr>
              <w:t>地址：</w:t>
            </w:r>
          </w:p>
        </w:tc>
      </w:tr>
      <w:tr w14:paraId="4AF5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515" w:type="dxa"/>
            <w:tcBorders>
              <w:top w:val="nil"/>
              <w:left w:val="nil"/>
              <w:bottom w:val="nil"/>
              <w:right w:val="nil"/>
            </w:tcBorders>
          </w:tcPr>
          <w:p w14:paraId="1992E306">
            <w:pPr>
              <w:pStyle w:val="2"/>
              <w:widowControl w:val="0"/>
              <w:ind w:left="0" w:leftChars="0" w:firstLine="560" w:firstLineChars="200"/>
              <w:rPr>
                <w:rFonts w:hint="eastAsia"/>
                <w:vertAlign w:val="baseline"/>
              </w:rPr>
            </w:pPr>
            <w:r>
              <w:rPr>
                <w:rFonts w:hint="eastAsia" w:ascii="仿宋" w:hAnsi="仿宋" w:eastAsia="仿宋" w:cs="仿宋"/>
                <w:color w:val="auto"/>
                <w:spacing w:val="0"/>
                <w:w w:val="100"/>
                <w:position w:val="0"/>
                <w:sz w:val="28"/>
                <w:szCs w:val="28"/>
              </w:rPr>
              <w:t>法定代表人</w:t>
            </w:r>
            <w:r>
              <w:rPr>
                <w:rFonts w:hint="eastAsia" w:ascii="仿宋" w:hAnsi="仿宋" w:eastAsia="仿宋" w:cs="仿宋"/>
                <w:color w:val="auto"/>
                <w:spacing w:val="0"/>
                <w:w w:val="100"/>
                <w:position w:val="0"/>
                <w:sz w:val="28"/>
                <w:szCs w:val="28"/>
                <w:lang w:eastAsia="zh-CN"/>
              </w:rPr>
              <w:t>：</w:t>
            </w:r>
          </w:p>
        </w:tc>
        <w:tc>
          <w:tcPr>
            <w:tcW w:w="4260" w:type="dxa"/>
            <w:tcBorders>
              <w:top w:val="nil"/>
              <w:left w:val="nil"/>
              <w:bottom w:val="nil"/>
              <w:right w:val="nil"/>
            </w:tcBorders>
          </w:tcPr>
          <w:p w14:paraId="67FAB5A2">
            <w:pPr>
              <w:pStyle w:val="2"/>
              <w:widowControl w:val="0"/>
              <w:ind w:left="0" w:leftChars="0" w:firstLine="0" w:firstLineChars="0"/>
              <w:rPr>
                <w:rFonts w:hint="eastAsia"/>
                <w:vertAlign w:val="baseline"/>
              </w:rPr>
            </w:pPr>
            <w:r>
              <w:rPr>
                <w:rFonts w:hint="eastAsia" w:ascii="仿宋" w:hAnsi="仿宋" w:eastAsia="仿宋" w:cs="仿宋"/>
                <w:color w:val="auto"/>
                <w:spacing w:val="0"/>
                <w:w w:val="100"/>
                <w:position w:val="0"/>
                <w:sz w:val="28"/>
                <w:szCs w:val="28"/>
              </w:rPr>
              <w:t>法定代表人</w:t>
            </w:r>
            <w:r>
              <w:rPr>
                <w:rFonts w:hint="eastAsia" w:ascii="仿宋" w:hAnsi="仿宋" w:eastAsia="仿宋" w:cs="仿宋"/>
                <w:color w:val="auto"/>
                <w:spacing w:val="0"/>
                <w:w w:val="100"/>
                <w:position w:val="0"/>
                <w:sz w:val="28"/>
                <w:szCs w:val="28"/>
                <w:lang w:eastAsia="zh-CN"/>
              </w:rPr>
              <w:t>：</w:t>
            </w:r>
          </w:p>
        </w:tc>
      </w:tr>
      <w:tr w14:paraId="2F7D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515" w:type="dxa"/>
            <w:tcBorders>
              <w:top w:val="nil"/>
              <w:left w:val="nil"/>
              <w:bottom w:val="nil"/>
              <w:right w:val="nil"/>
            </w:tcBorders>
          </w:tcPr>
          <w:p w14:paraId="4CC8C1DA">
            <w:pPr>
              <w:pStyle w:val="2"/>
              <w:widowControl w:val="0"/>
              <w:ind w:left="0" w:leftChars="0" w:firstLine="560" w:firstLineChars="200"/>
              <w:rPr>
                <w:rFonts w:hint="eastAsia"/>
                <w:vertAlign w:val="baseline"/>
              </w:rPr>
            </w:pPr>
            <w:r>
              <w:rPr>
                <w:rFonts w:hint="eastAsia" w:ascii="仿宋" w:hAnsi="仿宋" w:eastAsia="仿宋" w:cs="仿宋"/>
                <w:color w:val="auto"/>
                <w:spacing w:val="0"/>
                <w:w w:val="100"/>
                <w:position w:val="0"/>
                <w:sz w:val="28"/>
                <w:szCs w:val="28"/>
              </w:rPr>
              <w:t>或委托代表人：(签字或盖章)</w:t>
            </w:r>
          </w:p>
        </w:tc>
        <w:tc>
          <w:tcPr>
            <w:tcW w:w="4260" w:type="dxa"/>
            <w:tcBorders>
              <w:top w:val="nil"/>
              <w:left w:val="nil"/>
              <w:bottom w:val="nil"/>
              <w:right w:val="nil"/>
            </w:tcBorders>
          </w:tcPr>
          <w:p w14:paraId="5E02A86C">
            <w:pPr>
              <w:pStyle w:val="2"/>
              <w:widowControl w:val="0"/>
              <w:ind w:left="0" w:leftChars="0" w:firstLine="0" w:firstLineChars="0"/>
              <w:rPr>
                <w:rFonts w:hint="eastAsia"/>
                <w:vertAlign w:val="baseline"/>
              </w:rPr>
            </w:pPr>
            <w:r>
              <w:rPr>
                <w:rFonts w:hint="eastAsia" w:ascii="仿宋" w:hAnsi="仿宋" w:eastAsia="仿宋" w:cs="仿宋"/>
                <w:color w:val="auto"/>
                <w:spacing w:val="0"/>
                <w:w w:val="100"/>
                <w:position w:val="0"/>
                <w:sz w:val="28"/>
                <w:szCs w:val="28"/>
              </w:rPr>
              <w:t>或委托代理人：（签字或盖章）</w:t>
            </w:r>
          </w:p>
        </w:tc>
      </w:tr>
      <w:tr w14:paraId="6B06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15" w:type="dxa"/>
            <w:tcBorders>
              <w:top w:val="nil"/>
              <w:left w:val="nil"/>
              <w:bottom w:val="nil"/>
              <w:right w:val="nil"/>
            </w:tcBorders>
          </w:tcPr>
          <w:p w14:paraId="0715BCD4">
            <w:pPr>
              <w:widowControl w:val="0"/>
              <w:ind w:firstLine="560" w:firstLineChars="200"/>
              <w:rPr>
                <w:rFonts w:hint="eastAsia"/>
                <w:vertAlign w:val="baseline"/>
              </w:rPr>
            </w:pPr>
            <w:r>
              <w:rPr>
                <w:rFonts w:hint="eastAsia" w:ascii="仿宋" w:hAnsi="仿宋" w:eastAsia="仿宋" w:cs="仿宋"/>
                <w:color w:val="auto"/>
                <w:spacing w:val="0"/>
                <w:w w:val="100"/>
                <w:position w:val="0"/>
                <w:sz w:val="28"/>
                <w:szCs w:val="28"/>
              </w:rPr>
              <w:t>联系方式：</w:t>
            </w:r>
          </w:p>
        </w:tc>
        <w:tc>
          <w:tcPr>
            <w:tcW w:w="4260" w:type="dxa"/>
            <w:tcBorders>
              <w:top w:val="nil"/>
              <w:left w:val="nil"/>
              <w:bottom w:val="nil"/>
              <w:right w:val="nil"/>
            </w:tcBorders>
          </w:tcPr>
          <w:p w14:paraId="789614B4">
            <w:pPr>
              <w:widowControl w:val="0"/>
              <w:rPr>
                <w:rFonts w:hint="eastAsia"/>
                <w:vertAlign w:val="baseline"/>
              </w:rPr>
            </w:pPr>
            <w:r>
              <w:rPr>
                <w:rFonts w:hint="eastAsia" w:ascii="仿宋" w:hAnsi="仿宋" w:eastAsia="仿宋" w:cs="仿宋"/>
                <w:color w:val="auto"/>
                <w:spacing w:val="0"/>
                <w:w w:val="100"/>
                <w:position w:val="0"/>
                <w:sz w:val="28"/>
                <w:szCs w:val="28"/>
              </w:rPr>
              <w:t>联系方式：</w:t>
            </w:r>
          </w:p>
        </w:tc>
      </w:tr>
      <w:tr w14:paraId="2379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515" w:type="dxa"/>
            <w:tcBorders>
              <w:top w:val="nil"/>
              <w:left w:val="nil"/>
              <w:bottom w:val="nil"/>
              <w:right w:val="nil"/>
            </w:tcBorders>
          </w:tcPr>
          <w:p w14:paraId="5A74D985">
            <w:pPr>
              <w:widowControl w:val="0"/>
              <w:ind w:firstLine="560" w:firstLineChars="200"/>
              <w:rPr>
                <w:rFonts w:hint="eastAsia"/>
                <w:vertAlign w:val="baseline"/>
              </w:rPr>
            </w:pPr>
            <w:r>
              <w:rPr>
                <w:rFonts w:hint="eastAsia" w:ascii="仿宋" w:hAnsi="仿宋" w:eastAsia="仿宋" w:cs="仿宋"/>
                <w:color w:val="auto"/>
                <w:spacing w:val="0"/>
                <w:w w:val="100"/>
                <w:position w:val="0"/>
                <w:sz w:val="28"/>
                <w:szCs w:val="28"/>
              </w:rPr>
              <w:t>开户银行：</w:t>
            </w:r>
          </w:p>
        </w:tc>
        <w:tc>
          <w:tcPr>
            <w:tcW w:w="4260" w:type="dxa"/>
            <w:tcBorders>
              <w:top w:val="nil"/>
              <w:left w:val="nil"/>
              <w:bottom w:val="nil"/>
              <w:right w:val="nil"/>
            </w:tcBorders>
          </w:tcPr>
          <w:p w14:paraId="694A9559">
            <w:pPr>
              <w:widowControl w:val="0"/>
              <w:rPr>
                <w:rFonts w:hint="eastAsia"/>
                <w:vertAlign w:val="baseline"/>
              </w:rPr>
            </w:pPr>
            <w:r>
              <w:rPr>
                <w:rFonts w:hint="eastAsia" w:ascii="仿宋" w:hAnsi="仿宋" w:eastAsia="仿宋" w:cs="仿宋"/>
                <w:color w:val="auto"/>
                <w:spacing w:val="0"/>
                <w:w w:val="100"/>
                <w:position w:val="0"/>
                <w:sz w:val="28"/>
                <w:szCs w:val="28"/>
              </w:rPr>
              <w:t>开户银行：</w:t>
            </w:r>
          </w:p>
        </w:tc>
      </w:tr>
      <w:tr w14:paraId="55FD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515" w:type="dxa"/>
            <w:tcBorders>
              <w:top w:val="nil"/>
              <w:left w:val="nil"/>
              <w:bottom w:val="nil"/>
              <w:right w:val="nil"/>
            </w:tcBorders>
          </w:tcPr>
          <w:p w14:paraId="70A6D309">
            <w:pPr>
              <w:widowControl w:val="0"/>
              <w:ind w:firstLine="560" w:firstLineChars="200"/>
              <w:rPr>
                <w:rFonts w:hint="eastAsia"/>
                <w:vertAlign w:val="baseline"/>
              </w:rPr>
            </w:pPr>
            <w:r>
              <w:rPr>
                <w:rFonts w:hint="eastAsia" w:ascii="仿宋" w:hAnsi="仿宋" w:eastAsia="仿宋" w:cs="仿宋"/>
                <w:color w:val="auto"/>
                <w:spacing w:val="0"/>
                <w:w w:val="100"/>
                <w:position w:val="0"/>
                <w:sz w:val="28"/>
                <w:szCs w:val="28"/>
              </w:rPr>
              <w:t>账号</w:t>
            </w:r>
            <w:r>
              <w:rPr>
                <w:rFonts w:hint="eastAsia" w:ascii="仿宋" w:hAnsi="仿宋" w:eastAsia="仿宋" w:cs="仿宋"/>
                <w:color w:val="auto"/>
                <w:spacing w:val="0"/>
                <w:w w:val="100"/>
                <w:position w:val="0"/>
                <w:sz w:val="28"/>
                <w:szCs w:val="28"/>
                <w:lang w:eastAsia="zh-CN"/>
              </w:rPr>
              <w:t>：</w:t>
            </w:r>
          </w:p>
        </w:tc>
        <w:tc>
          <w:tcPr>
            <w:tcW w:w="4260" w:type="dxa"/>
            <w:tcBorders>
              <w:top w:val="nil"/>
              <w:left w:val="nil"/>
              <w:bottom w:val="nil"/>
              <w:right w:val="nil"/>
            </w:tcBorders>
          </w:tcPr>
          <w:p w14:paraId="32A21B59">
            <w:pPr>
              <w:widowControl w:val="0"/>
              <w:rPr>
                <w:rFonts w:hint="eastAsia"/>
                <w:vertAlign w:val="baseline"/>
              </w:rPr>
            </w:pPr>
            <w:r>
              <w:rPr>
                <w:rFonts w:hint="eastAsia" w:ascii="仿宋" w:hAnsi="仿宋" w:eastAsia="仿宋" w:cs="仿宋"/>
                <w:color w:val="auto"/>
                <w:spacing w:val="0"/>
                <w:w w:val="100"/>
                <w:position w:val="0"/>
                <w:sz w:val="28"/>
                <w:szCs w:val="28"/>
              </w:rPr>
              <w:t>账号</w:t>
            </w:r>
            <w:r>
              <w:rPr>
                <w:rFonts w:hint="eastAsia" w:ascii="仿宋" w:hAnsi="仿宋" w:eastAsia="仿宋" w:cs="仿宋"/>
                <w:color w:val="auto"/>
                <w:spacing w:val="0"/>
                <w:w w:val="100"/>
                <w:position w:val="0"/>
                <w:sz w:val="28"/>
                <w:szCs w:val="28"/>
                <w:lang w:eastAsia="zh-CN"/>
              </w:rPr>
              <w:t>：</w:t>
            </w:r>
          </w:p>
        </w:tc>
      </w:tr>
      <w:tr w14:paraId="1FD4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5" w:type="dxa"/>
            <w:gridSpan w:val="2"/>
            <w:tcBorders>
              <w:top w:val="nil"/>
              <w:left w:val="nil"/>
              <w:bottom w:val="nil"/>
              <w:right w:val="nil"/>
            </w:tcBorders>
          </w:tcPr>
          <w:p w14:paraId="610173F8">
            <w:pPr>
              <w:pStyle w:val="2"/>
              <w:widowControl w:val="0"/>
              <w:ind w:left="0" w:leftChars="0" w:firstLine="560" w:firstLineChars="200"/>
              <w:rPr>
                <w:rFonts w:hint="eastAsia"/>
                <w:vertAlign w:val="baseline"/>
              </w:rPr>
            </w:pPr>
            <w:r>
              <w:rPr>
                <w:rFonts w:hint="eastAsia" w:ascii="仿宋" w:hAnsi="仿宋" w:eastAsia="仿宋" w:cs="仿宋"/>
                <w:color w:val="auto"/>
                <w:spacing w:val="0"/>
                <w:w w:val="100"/>
                <w:position w:val="0"/>
                <w:sz w:val="28"/>
                <w:szCs w:val="28"/>
              </w:rPr>
              <w:t>本框架协议签订于：   年  月   日</w:t>
            </w:r>
          </w:p>
        </w:tc>
      </w:tr>
    </w:tbl>
    <w:p w14:paraId="3570233A">
      <w:pPr>
        <w:pStyle w:val="2"/>
        <w:rPr>
          <w:rFonts w:hint="eastAsia"/>
        </w:rPr>
        <w:sectPr>
          <w:footerReference r:id="rId11" w:type="default"/>
          <w:pgSz w:w="11922" w:h="16849"/>
          <w:pgMar w:top="1440" w:right="1803" w:bottom="1440" w:left="1803" w:header="1134" w:footer="1253" w:gutter="0"/>
          <w:pgNumType w:fmt="decimal"/>
          <w:cols w:space="0" w:num="1"/>
          <w:rtlGutter w:val="0"/>
          <w:docGrid w:linePitch="0" w:charSpace="0"/>
        </w:sectPr>
      </w:pPr>
    </w:p>
    <w:p w14:paraId="40C6F25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12" w:name="_Toc6495"/>
      <w:r>
        <w:rPr>
          <w:rFonts w:hint="eastAsia" w:ascii="仿宋" w:hAnsi="仿宋" w:eastAsia="仿宋" w:cs="仿宋"/>
          <w:b/>
          <w:bCs/>
          <w:color w:val="auto"/>
          <w:spacing w:val="0"/>
          <w:w w:val="100"/>
          <w:position w:val="0"/>
          <w:sz w:val="28"/>
          <w:szCs w:val="28"/>
        </w:rPr>
        <w:t>第二部分</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合同一般条款</w:t>
      </w:r>
      <w:bookmarkEnd w:id="12"/>
    </w:p>
    <w:p w14:paraId="57F0136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3" w:name="_Toc31433"/>
      <w:r>
        <w:rPr>
          <w:rFonts w:hint="eastAsia" w:ascii="仿宋" w:hAnsi="仿宋" w:eastAsia="仿宋" w:cs="仿宋"/>
          <w:b/>
          <w:bCs/>
          <w:color w:val="auto"/>
          <w:spacing w:val="0"/>
          <w:w w:val="100"/>
          <w:position w:val="0"/>
          <w:sz w:val="28"/>
          <w:szCs w:val="28"/>
        </w:rPr>
        <w:t>2.1</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定义</w:t>
      </w:r>
      <w:bookmarkEnd w:id="13"/>
    </w:p>
    <w:p w14:paraId="1E79B34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本合同中的下列词语应按以下内容进行解释：</w:t>
      </w:r>
    </w:p>
    <w:p w14:paraId="3357EB0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2.1.1</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合同”系指</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和</w:t>
      </w:r>
      <w:r>
        <w:rPr>
          <w:rFonts w:hint="eastAsia" w:ascii="仿宋" w:hAnsi="仿宋" w:eastAsia="仿宋" w:cs="仿宋"/>
          <w:color w:val="auto"/>
          <w:spacing w:val="0"/>
          <w:w w:val="100"/>
          <w:position w:val="0"/>
          <w:sz w:val="28"/>
          <w:szCs w:val="28"/>
          <w:lang w:eastAsia="zh-CN"/>
        </w:rPr>
        <w:t>成交供应商</w:t>
      </w:r>
      <w:r>
        <w:rPr>
          <w:rFonts w:hint="eastAsia" w:ascii="仿宋" w:hAnsi="仿宋" w:eastAsia="仿宋" w:cs="仿宋"/>
          <w:color w:val="auto"/>
          <w:spacing w:val="0"/>
          <w:w w:val="100"/>
          <w:position w:val="0"/>
          <w:sz w:val="28"/>
          <w:szCs w:val="28"/>
        </w:rPr>
        <w:t>签订的载明双方当事人所达成的协议，并包括所有的附件、附录和构成合同的其他文件。</w:t>
      </w:r>
    </w:p>
    <w:p w14:paraId="559BEC2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2.1.2</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“合同价”系指根据合同约定，</w:t>
      </w:r>
      <w:r>
        <w:rPr>
          <w:rFonts w:hint="eastAsia" w:ascii="仿宋" w:hAnsi="仿宋" w:eastAsia="仿宋" w:cs="仿宋"/>
          <w:color w:val="auto"/>
          <w:spacing w:val="0"/>
          <w:w w:val="100"/>
          <w:position w:val="0"/>
          <w:sz w:val="28"/>
          <w:szCs w:val="28"/>
          <w:lang w:eastAsia="zh-CN"/>
        </w:rPr>
        <w:t>成交供应商</w:t>
      </w:r>
      <w:r>
        <w:rPr>
          <w:rFonts w:hint="eastAsia" w:ascii="仿宋" w:hAnsi="仿宋" w:eastAsia="仿宋" w:cs="仿宋"/>
          <w:color w:val="auto"/>
          <w:spacing w:val="0"/>
          <w:w w:val="100"/>
          <w:position w:val="0"/>
          <w:sz w:val="28"/>
          <w:szCs w:val="28"/>
        </w:rPr>
        <w:t>在完全履行合同义务后，</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应支付给</w:t>
      </w:r>
      <w:r>
        <w:rPr>
          <w:rFonts w:hint="eastAsia" w:ascii="仿宋" w:hAnsi="仿宋" w:eastAsia="仿宋" w:cs="仿宋"/>
          <w:color w:val="auto"/>
          <w:spacing w:val="0"/>
          <w:w w:val="100"/>
          <w:position w:val="0"/>
          <w:sz w:val="28"/>
          <w:szCs w:val="28"/>
          <w:lang w:eastAsia="zh-CN"/>
        </w:rPr>
        <w:t>成交供应商</w:t>
      </w:r>
      <w:r>
        <w:rPr>
          <w:rFonts w:hint="eastAsia" w:ascii="仿宋" w:hAnsi="仿宋" w:eastAsia="仿宋" w:cs="仿宋"/>
          <w:color w:val="auto"/>
          <w:spacing w:val="0"/>
          <w:w w:val="100"/>
          <w:position w:val="0"/>
          <w:sz w:val="28"/>
          <w:szCs w:val="28"/>
        </w:rPr>
        <w:t>的价格。</w:t>
      </w:r>
    </w:p>
    <w:p w14:paraId="1212F20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2.1.3</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“服务”系指</w:t>
      </w:r>
      <w:r>
        <w:rPr>
          <w:rFonts w:hint="eastAsia" w:ascii="仿宋" w:hAnsi="仿宋" w:eastAsia="仿宋" w:cs="仿宋"/>
          <w:color w:val="auto"/>
          <w:spacing w:val="0"/>
          <w:w w:val="100"/>
          <w:position w:val="0"/>
          <w:sz w:val="28"/>
          <w:szCs w:val="28"/>
          <w:lang w:eastAsia="zh-CN"/>
        </w:rPr>
        <w:t>成交供应商</w:t>
      </w:r>
      <w:r>
        <w:rPr>
          <w:rFonts w:hint="eastAsia" w:ascii="仿宋" w:hAnsi="仿宋" w:eastAsia="仿宋" w:cs="仿宋"/>
          <w:color w:val="auto"/>
          <w:spacing w:val="0"/>
          <w:w w:val="100"/>
          <w:position w:val="0"/>
          <w:sz w:val="28"/>
          <w:szCs w:val="28"/>
        </w:rPr>
        <w:t>根据合同约定应向</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履行的除货物和工程以外的其他政府采购对象，包括</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自身需要的服务和向社会公众提供的公共服务。</w:t>
      </w:r>
    </w:p>
    <w:p w14:paraId="5306476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2.1.4</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“甲方”系指与</w:t>
      </w:r>
      <w:r>
        <w:rPr>
          <w:rFonts w:hint="eastAsia" w:ascii="仿宋" w:hAnsi="仿宋" w:eastAsia="仿宋" w:cs="仿宋"/>
          <w:color w:val="auto"/>
          <w:spacing w:val="0"/>
          <w:w w:val="100"/>
          <w:position w:val="0"/>
          <w:sz w:val="28"/>
          <w:szCs w:val="28"/>
          <w:lang w:eastAsia="zh-CN"/>
        </w:rPr>
        <w:t>成交供应商</w:t>
      </w:r>
      <w:r>
        <w:rPr>
          <w:rFonts w:hint="eastAsia" w:ascii="仿宋" w:hAnsi="仿宋" w:eastAsia="仿宋" w:cs="仿宋"/>
          <w:color w:val="auto"/>
          <w:spacing w:val="0"/>
          <w:w w:val="100"/>
          <w:position w:val="0"/>
          <w:sz w:val="28"/>
          <w:szCs w:val="28"/>
        </w:rPr>
        <w:t>签署合同的</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委托采购代理机构代表其与乙方签订合同的，</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的授权委托书作为合同附件。</w:t>
      </w:r>
    </w:p>
    <w:p w14:paraId="25BFF96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2.1.5</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lang w:eastAsia="zh-CN"/>
        </w:rPr>
        <w:t>“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08766B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2.1.6</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“现场”系指合同约定提供服务的地点。</w:t>
      </w:r>
    </w:p>
    <w:p w14:paraId="3459175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4" w:name="_Toc7044"/>
      <w:r>
        <w:rPr>
          <w:rFonts w:hint="eastAsia" w:ascii="仿宋" w:hAnsi="仿宋" w:eastAsia="仿宋" w:cs="仿宋"/>
          <w:b/>
          <w:bCs/>
          <w:color w:val="auto"/>
          <w:spacing w:val="0"/>
          <w:w w:val="100"/>
          <w:position w:val="0"/>
          <w:sz w:val="28"/>
          <w:szCs w:val="28"/>
        </w:rPr>
        <w:t>2.2</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技术规范</w:t>
      </w:r>
      <w:bookmarkEnd w:id="14"/>
    </w:p>
    <w:p w14:paraId="4DAEAB0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8"/>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货物所应遵守的技术规范应与</w:t>
      </w:r>
      <w:r>
        <w:rPr>
          <w:rFonts w:hint="eastAsia" w:ascii="仿宋" w:hAnsi="仿宋" w:eastAsia="仿宋" w:cs="仿宋"/>
          <w:color w:val="auto"/>
          <w:spacing w:val="0"/>
          <w:w w:val="100"/>
          <w:position w:val="0"/>
          <w:sz w:val="28"/>
          <w:szCs w:val="28"/>
          <w:lang w:eastAsia="zh-CN"/>
        </w:rPr>
        <w:t>征集文件</w:t>
      </w:r>
      <w:r>
        <w:rPr>
          <w:rFonts w:hint="eastAsia" w:ascii="仿宋" w:hAnsi="仿宋" w:eastAsia="仿宋" w:cs="仿宋"/>
          <w:color w:val="auto"/>
          <w:spacing w:val="0"/>
          <w:w w:val="100"/>
          <w:position w:val="0"/>
          <w:sz w:val="28"/>
          <w:szCs w:val="28"/>
        </w:rPr>
        <w:t>规定的技术规范和技术规范附件(如果有的话)及其技术规范偏差表(如果被甲方接受的话)相一致；如果</w:t>
      </w:r>
      <w:r>
        <w:rPr>
          <w:rFonts w:hint="eastAsia" w:ascii="仿宋" w:hAnsi="仿宋" w:eastAsia="仿宋" w:cs="仿宋"/>
          <w:color w:val="auto"/>
          <w:spacing w:val="0"/>
          <w:w w:val="100"/>
          <w:position w:val="0"/>
          <w:sz w:val="28"/>
          <w:szCs w:val="28"/>
          <w:lang w:eastAsia="zh-CN"/>
        </w:rPr>
        <w:t>征集文件</w:t>
      </w:r>
      <w:r>
        <w:rPr>
          <w:rFonts w:hint="eastAsia" w:ascii="仿宋" w:hAnsi="仿宋" w:eastAsia="仿宋" w:cs="仿宋"/>
          <w:color w:val="auto"/>
          <w:spacing w:val="0"/>
          <w:w w:val="100"/>
          <w:position w:val="0"/>
          <w:sz w:val="28"/>
          <w:szCs w:val="28"/>
        </w:rPr>
        <w:t>中没有技术规范的相应说明，那么应以国家有关部门最新颁布的相应标准和规范为准。</w:t>
      </w:r>
    </w:p>
    <w:p w14:paraId="027B8A5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5" w:name="_Toc3677"/>
      <w:r>
        <w:rPr>
          <w:rFonts w:hint="eastAsia" w:ascii="仿宋" w:hAnsi="仿宋" w:eastAsia="仿宋" w:cs="仿宋"/>
          <w:b/>
          <w:bCs/>
          <w:color w:val="auto"/>
          <w:spacing w:val="0"/>
          <w:w w:val="100"/>
          <w:position w:val="0"/>
          <w:sz w:val="28"/>
          <w:szCs w:val="28"/>
        </w:rPr>
        <w:t>2.3</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知识产权</w:t>
      </w:r>
      <w:bookmarkEnd w:id="15"/>
    </w:p>
    <w:p w14:paraId="0323947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2.3.1</w:t>
      </w:r>
      <w:r>
        <w:rPr>
          <w:rFonts w:hint="eastAsia" w:ascii="仿宋" w:hAnsi="仿宋" w:eastAsia="仿宋" w:cs="仿宋"/>
          <w:color w:val="auto"/>
          <w:spacing w:val="0"/>
          <w:w w:val="100"/>
          <w:position w:val="0"/>
          <w:sz w:val="28"/>
          <w:szCs w:val="28"/>
          <w:lang w:val="en-US" w:eastAsia="zh-CN"/>
        </w:rPr>
        <w:t xml:space="preserve"> </w:t>
      </w:r>
      <w:r>
        <w:rPr>
          <w:rFonts w:hint="eastAsia" w:ascii="仿宋" w:hAnsi="仿宋" w:eastAsia="仿宋" w:cs="仿宋"/>
          <w:color w:val="auto"/>
          <w:spacing w:val="0"/>
          <w:w w:val="100"/>
          <w:position w:val="0"/>
          <w:sz w:val="28"/>
          <w:szCs w:val="28"/>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076EFCF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2.3.2 具有知识产权的计算机软件等货物的知识产权归属，详见</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rPr>
        <w:t>。</w:t>
      </w:r>
    </w:p>
    <w:p w14:paraId="210FBAA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6" w:name="_Toc2796"/>
      <w:r>
        <w:rPr>
          <w:rFonts w:hint="eastAsia" w:ascii="仿宋" w:hAnsi="仿宋" w:eastAsia="仿宋" w:cs="仿宋"/>
          <w:b/>
          <w:bCs/>
          <w:color w:val="auto"/>
          <w:spacing w:val="0"/>
          <w:w w:val="100"/>
          <w:position w:val="0"/>
          <w:sz w:val="28"/>
          <w:szCs w:val="28"/>
        </w:rPr>
        <w:t>2.4</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履约检查和问题反馈</w:t>
      </w:r>
      <w:bookmarkEnd w:id="16"/>
    </w:p>
    <w:p w14:paraId="05B7F75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2.4.1 甲方有权在其认为必要时，对乙方是否能够按照合同约定提供服务进行履约检查，以确保乙方所提供的服务能够依约满足甲方项目需求，但不得因履约检查妨碍乙方的正常工作，乙方应予积极配合；</w:t>
      </w:r>
    </w:p>
    <w:p w14:paraId="73E2BEA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2.4.2 合同履行期间，甲方有权将履行过程中出现的问题反馈给乙方，双方当事人应以书面形式约定需要完善和改进的内容。</w:t>
      </w:r>
    </w:p>
    <w:p w14:paraId="0156235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2.5</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结算方式和付款条件</w:t>
      </w:r>
      <w:r>
        <w:rPr>
          <w:rFonts w:hint="eastAsia" w:ascii="仿宋" w:hAnsi="仿宋" w:eastAsia="仿宋" w:cs="仿宋"/>
          <w:color w:val="auto"/>
          <w:spacing w:val="0"/>
          <w:w w:val="100"/>
          <w:position w:val="0"/>
          <w:sz w:val="28"/>
          <w:szCs w:val="28"/>
        </w:rPr>
        <w:t>详见</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rPr>
        <w:t>。</w:t>
      </w:r>
    </w:p>
    <w:p w14:paraId="173DAB7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7" w:name="_Toc22879"/>
      <w:r>
        <w:rPr>
          <w:rFonts w:hint="eastAsia" w:ascii="仿宋" w:hAnsi="仿宋" w:eastAsia="仿宋" w:cs="仿宋"/>
          <w:b/>
          <w:bCs/>
          <w:color w:val="auto"/>
          <w:spacing w:val="0"/>
          <w:w w:val="100"/>
          <w:position w:val="0"/>
          <w:sz w:val="28"/>
          <w:szCs w:val="28"/>
        </w:rPr>
        <w:t>2.6</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技术资料和保密义务</w:t>
      </w:r>
      <w:bookmarkEnd w:id="17"/>
    </w:p>
    <w:p w14:paraId="3A49C3A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2.6.1 乙方有权依据合同约定和项目需要，向甲方了解有关情况，调阅有关资料等，甲方应予积极配合；</w:t>
      </w:r>
    </w:p>
    <w:p w14:paraId="7E61775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2.6.2 乙方有义务妥善保管和保护由甲方提供的前款信息和资料等；</w:t>
      </w:r>
    </w:p>
    <w:p w14:paraId="4FD2B4B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FD5255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8" w:name="_Toc5968"/>
      <w:r>
        <w:rPr>
          <w:rFonts w:hint="eastAsia" w:ascii="仿宋" w:hAnsi="仿宋" w:eastAsia="仿宋" w:cs="仿宋"/>
          <w:b/>
          <w:bCs/>
          <w:color w:val="auto"/>
          <w:spacing w:val="0"/>
          <w:w w:val="100"/>
          <w:position w:val="0"/>
          <w:sz w:val="28"/>
          <w:szCs w:val="28"/>
        </w:rPr>
        <w:t>2.7</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质量保证</w:t>
      </w:r>
      <w:bookmarkEnd w:id="18"/>
    </w:p>
    <w:p w14:paraId="7241AB3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2.7.1 乙方应建立和完善履行合同的内部质量保证体系，并提供相关内部规章制度给甲方，以便甲方进行监督检查；</w:t>
      </w:r>
    </w:p>
    <w:p w14:paraId="322A193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2.7.2 乙方应保证履行合同的人员数量和素质、软件和硬件设备的配置、场地、环境和设施等满足全面履行合同的要求，并应接受甲方的监督检查。</w:t>
      </w:r>
    </w:p>
    <w:p w14:paraId="1E92A55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19" w:name="_Toc16525"/>
      <w:r>
        <w:rPr>
          <w:rFonts w:hint="eastAsia" w:ascii="仿宋" w:hAnsi="仿宋" w:eastAsia="仿宋" w:cs="仿宋"/>
          <w:b/>
          <w:bCs/>
          <w:color w:val="auto"/>
          <w:spacing w:val="0"/>
          <w:w w:val="100"/>
          <w:position w:val="0"/>
          <w:sz w:val="28"/>
          <w:szCs w:val="28"/>
        </w:rPr>
        <w:t>2.8</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延迟履行</w:t>
      </w:r>
      <w:bookmarkEnd w:id="19"/>
    </w:p>
    <w:p w14:paraId="7B0BE02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26356F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0" w:name="_Toc16088"/>
      <w:r>
        <w:rPr>
          <w:rFonts w:hint="eastAsia" w:ascii="仿宋" w:hAnsi="仿宋" w:eastAsia="仿宋" w:cs="仿宋"/>
          <w:b/>
          <w:bCs/>
          <w:color w:val="auto"/>
          <w:spacing w:val="0"/>
          <w:w w:val="100"/>
          <w:position w:val="0"/>
          <w:sz w:val="28"/>
          <w:szCs w:val="28"/>
        </w:rPr>
        <w:t>2.9</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合同变更</w:t>
      </w:r>
      <w:bookmarkEnd w:id="20"/>
    </w:p>
    <w:p w14:paraId="4E9BF75B">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2.9.1 双方当事人协商一致，可以签订书面补充合同的形式变更合同，但不得违背采购 文件确定的事项；</w:t>
      </w:r>
    </w:p>
    <w:p w14:paraId="6CC55FC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2.9.2 合同继续履行将损害国家利益和社会公共利益的，双方当事人应当以书面形式变更合同。有过错的一方应当承担赔偿责任，双方当事人都有过错的，各自承担相应的责任。</w:t>
      </w:r>
    </w:p>
    <w:p w14:paraId="4DFF3EC1">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1" w:name="_Toc11360"/>
      <w:r>
        <w:rPr>
          <w:rFonts w:hint="eastAsia" w:ascii="仿宋" w:hAnsi="仿宋" w:eastAsia="仿宋" w:cs="仿宋"/>
          <w:b/>
          <w:bCs/>
          <w:color w:val="auto"/>
          <w:spacing w:val="0"/>
          <w:w w:val="100"/>
          <w:position w:val="0"/>
          <w:sz w:val="28"/>
          <w:szCs w:val="28"/>
        </w:rPr>
        <w:t>2.10</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合同转让和分包</w:t>
      </w:r>
      <w:bookmarkEnd w:id="21"/>
    </w:p>
    <w:p w14:paraId="08E32BC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1F9C4E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b/>
          <w:bCs/>
          <w:color w:val="auto"/>
          <w:spacing w:val="0"/>
          <w:w w:val="100"/>
          <w:position w:val="0"/>
          <w:sz w:val="28"/>
          <w:szCs w:val="28"/>
        </w:rPr>
      </w:pPr>
      <w:bookmarkStart w:id="22" w:name="_Toc26432"/>
      <w:r>
        <w:rPr>
          <w:rFonts w:hint="eastAsia" w:ascii="仿宋" w:hAnsi="仿宋" w:eastAsia="仿宋" w:cs="仿宋"/>
          <w:b/>
          <w:bCs/>
          <w:color w:val="auto"/>
          <w:spacing w:val="0"/>
          <w:w w:val="100"/>
          <w:position w:val="0"/>
          <w:sz w:val="28"/>
          <w:szCs w:val="28"/>
        </w:rPr>
        <w:t>2.11</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不可抗力</w:t>
      </w:r>
      <w:bookmarkEnd w:id="22"/>
    </w:p>
    <w:p w14:paraId="27A717D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outlineLvl w:val="1"/>
        <w:rPr>
          <w:rFonts w:hint="eastAsia" w:ascii="仿宋" w:hAnsi="仿宋" w:eastAsia="仿宋" w:cs="仿宋"/>
          <w:color w:val="auto"/>
          <w:spacing w:val="0"/>
          <w:w w:val="100"/>
          <w:position w:val="0"/>
          <w:sz w:val="28"/>
          <w:szCs w:val="28"/>
        </w:rPr>
      </w:pPr>
      <w:bookmarkStart w:id="23" w:name="_Toc13860"/>
      <w:r>
        <w:rPr>
          <w:rFonts w:hint="eastAsia" w:ascii="仿宋" w:hAnsi="仿宋" w:eastAsia="仿宋" w:cs="仿宋"/>
          <w:color w:val="auto"/>
          <w:spacing w:val="0"/>
          <w:w w:val="100"/>
          <w:position w:val="0"/>
          <w:sz w:val="28"/>
          <w:szCs w:val="28"/>
        </w:rPr>
        <w:t>2.11.1 如果任何一方遭遇法律规定的不可抗力，致使合同履行受阻时，履行合同的期限应予延长，延长的期限应相当于不可抗力所影响的时间；</w:t>
      </w:r>
      <w:bookmarkEnd w:id="23"/>
    </w:p>
    <w:p w14:paraId="50E9AC8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outlineLvl w:val="1"/>
        <w:rPr>
          <w:rFonts w:hint="eastAsia" w:ascii="仿宋" w:hAnsi="仿宋" w:eastAsia="仿宋" w:cs="仿宋"/>
          <w:color w:val="auto"/>
          <w:spacing w:val="0"/>
          <w:w w:val="100"/>
          <w:position w:val="0"/>
          <w:sz w:val="28"/>
          <w:szCs w:val="28"/>
        </w:rPr>
      </w:pPr>
      <w:bookmarkStart w:id="24" w:name="_Toc27935"/>
      <w:r>
        <w:rPr>
          <w:rFonts w:hint="eastAsia" w:ascii="仿宋" w:hAnsi="仿宋" w:eastAsia="仿宋" w:cs="仿宋"/>
          <w:color w:val="auto"/>
          <w:spacing w:val="0"/>
          <w:w w:val="100"/>
          <w:position w:val="0"/>
          <w:sz w:val="28"/>
          <w:szCs w:val="28"/>
        </w:rPr>
        <w:t>2.11.2 因不可抗力致使不能实现合同目的的，当事人可以解除合同；</w:t>
      </w:r>
      <w:bookmarkEnd w:id="24"/>
    </w:p>
    <w:p w14:paraId="65DC4C2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2.11.3 因不可抗力致使合同有变更必要的，双方当事人应在</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约定时间 内以书面形式变更合同；</w:t>
      </w:r>
    </w:p>
    <w:p w14:paraId="05B09F9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2.11.4 受不可抗力影响的一方在不可抗力发生后，应在</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约定时间内以书面形式通知对方当事人，并在</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约定时间内，将有关部门出具的证明文件送达对方当事人。</w:t>
      </w:r>
    </w:p>
    <w:p w14:paraId="7A0D5B5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5" w:name="_Toc13991"/>
      <w:r>
        <w:rPr>
          <w:rFonts w:hint="eastAsia" w:ascii="仿宋" w:hAnsi="仿宋" w:eastAsia="仿宋" w:cs="仿宋"/>
          <w:b/>
          <w:bCs/>
          <w:color w:val="auto"/>
          <w:spacing w:val="0"/>
          <w:w w:val="100"/>
          <w:position w:val="0"/>
          <w:sz w:val="28"/>
          <w:szCs w:val="28"/>
        </w:rPr>
        <w:t>2.12</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税费</w:t>
      </w:r>
      <w:bookmarkEnd w:id="25"/>
    </w:p>
    <w:p w14:paraId="06ED142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与合同有关的一切税费，均按照中华人民共和国法律的相关规定缴纳。</w:t>
      </w:r>
    </w:p>
    <w:p w14:paraId="5B7D093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6" w:name="_Toc16980"/>
      <w:r>
        <w:rPr>
          <w:rFonts w:hint="eastAsia" w:ascii="仿宋" w:hAnsi="仿宋" w:eastAsia="仿宋" w:cs="仿宋"/>
          <w:b/>
          <w:bCs/>
          <w:color w:val="auto"/>
          <w:spacing w:val="0"/>
          <w:w w:val="100"/>
          <w:position w:val="0"/>
          <w:sz w:val="28"/>
          <w:szCs w:val="28"/>
        </w:rPr>
        <w:t>2.13</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乙方破产</w:t>
      </w:r>
      <w:bookmarkEnd w:id="26"/>
    </w:p>
    <w:p w14:paraId="293AD2F2">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35A0D80">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7" w:name="_Toc2928"/>
      <w:r>
        <w:rPr>
          <w:rFonts w:hint="eastAsia" w:ascii="仿宋" w:hAnsi="仿宋" w:eastAsia="仿宋" w:cs="仿宋"/>
          <w:b/>
          <w:bCs/>
          <w:color w:val="auto"/>
          <w:spacing w:val="0"/>
          <w:w w:val="100"/>
          <w:position w:val="0"/>
          <w:sz w:val="28"/>
          <w:szCs w:val="28"/>
        </w:rPr>
        <w:t>2.14</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合同中止、终止</w:t>
      </w:r>
      <w:bookmarkEnd w:id="27"/>
    </w:p>
    <w:p w14:paraId="5FEABBF6">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2.14.1 双方当事人不得擅自中止或者终止合同；</w:t>
      </w:r>
    </w:p>
    <w:p w14:paraId="412A0D7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2.14.2 合同继续履行将损害国家利益和社会公共利益的，双方当事人应当中止或者终止合同。有过错的一方应当承担赔偿责任，双方当事人都有过错的，各自承担相应的责任。</w:t>
      </w:r>
    </w:p>
    <w:p w14:paraId="3A76E24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8" w:name="_Toc15587"/>
      <w:r>
        <w:rPr>
          <w:rFonts w:hint="eastAsia" w:ascii="仿宋" w:hAnsi="仿宋" w:eastAsia="仿宋" w:cs="仿宋"/>
          <w:b/>
          <w:bCs/>
          <w:color w:val="auto"/>
          <w:spacing w:val="0"/>
          <w:w w:val="100"/>
          <w:position w:val="0"/>
          <w:sz w:val="28"/>
          <w:szCs w:val="28"/>
        </w:rPr>
        <w:t>2.15</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检验和验收</w:t>
      </w:r>
      <w:bookmarkEnd w:id="28"/>
    </w:p>
    <w:p w14:paraId="184A567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2.15.1</w:t>
      </w:r>
      <w:r>
        <w:rPr>
          <w:rFonts w:hint="eastAsia" w:ascii="仿宋" w:hAnsi="仿宋" w:eastAsia="仿宋" w:cs="仿宋"/>
          <w:color w:val="auto"/>
          <w:spacing w:val="0"/>
          <w:w w:val="100"/>
          <w:position w:val="0"/>
          <w:sz w:val="28"/>
          <w:szCs w:val="28"/>
        </w:rPr>
        <w:t xml:space="preserve"> 乙方按照</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rPr>
        <w:t>的约定，定期提交服务报告，甲方按照</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rPr>
        <w:t>的约定进行定期验收；</w:t>
      </w:r>
    </w:p>
    <w:p w14:paraId="44F6175F">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2"/>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2.15.2 合同期满或者履行完毕后，甲方有权组织（包括依法邀请国家认可的质量检测机 构参加）对乙方履约的验收，即：按照合同约定的标准，组织对乙方履约情况的验收，并出具验收书；向社会公众提供的公共服务项目，验收时应当邀请服务对象参与并出具意见，验收结果应当向社会公告；</w:t>
      </w:r>
    </w:p>
    <w:p w14:paraId="1B51C1B7">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2.15.3 检验和验收标准、程序等具体内容以及前述验收书的效力详见</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rPr>
        <w:t>。</w:t>
      </w:r>
    </w:p>
    <w:p w14:paraId="3BC54AD4">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29" w:name="_Toc20129"/>
      <w:r>
        <w:rPr>
          <w:rFonts w:hint="eastAsia" w:ascii="仿宋" w:hAnsi="仿宋" w:eastAsia="仿宋" w:cs="仿宋"/>
          <w:b/>
          <w:bCs/>
          <w:color w:val="auto"/>
          <w:spacing w:val="0"/>
          <w:w w:val="100"/>
          <w:position w:val="0"/>
          <w:sz w:val="28"/>
          <w:szCs w:val="28"/>
        </w:rPr>
        <w:t>2.16</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合同使用的文字和适用的法律</w:t>
      </w:r>
      <w:bookmarkEnd w:id="29"/>
    </w:p>
    <w:p w14:paraId="1716E42D">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2.16.1 合同使用汉语</w:t>
      </w:r>
      <w:r>
        <w:rPr>
          <w:rFonts w:hint="eastAsia" w:ascii="仿宋" w:hAnsi="仿宋" w:eastAsia="仿宋" w:cs="仿宋"/>
          <w:color w:val="auto"/>
          <w:spacing w:val="0"/>
          <w:w w:val="100"/>
          <w:position w:val="0"/>
          <w:sz w:val="28"/>
          <w:szCs w:val="28"/>
          <w:lang w:eastAsia="zh-CN"/>
        </w:rPr>
        <w:t>书写</w:t>
      </w:r>
      <w:r>
        <w:rPr>
          <w:rFonts w:hint="eastAsia" w:ascii="仿宋" w:hAnsi="仿宋" w:eastAsia="仿宋" w:cs="仿宋"/>
          <w:color w:val="auto"/>
          <w:spacing w:val="0"/>
          <w:w w:val="100"/>
          <w:position w:val="0"/>
          <w:sz w:val="28"/>
          <w:szCs w:val="28"/>
        </w:rPr>
        <w:t>、变更和解释；</w:t>
      </w:r>
    </w:p>
    <w:p w14:paraId="5E6D193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2.16.2 合同适用中华人民共和国法律。</w:t>
      </w:r>
    </w:p>
    <w:p w14:paraId="2E3C35E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30" w:name="_Toc466"/>
      <w:r>
        <w:rPr>
          <w:rFonts w:hint="eastAsia" w:ascii="仿宋" w:hAnsi="仿宋" w:eastAsia="仿宋" w:cs="仿宋"/>
          <w:b/>
          <w:bCs/>
          <w:color w:val="auto"/>
          <w:spacing w:val="0"/>
          <w:w w:val="100"/>
          <w:position w:val="0"/>
          <w:sz w:val="28"/>
          <w:szCs w:val="28"/>
        </w:rPr>
        <w:t>2.17</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履约保证金</w:t>
      </w:r>
      <w:bookmarkEnd w:id="30"/>
    </w:p>
    <w:p w14:paraId="4646D6FC">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4"/>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2.17.1 </w:t>
      </w:r>
      <w:r>
        <w:rPr>
          <w:rFonts w:hint="eastAsia" w:ascii="仿宋" w:hAnsi="仿宋" w:eastAsia="仿宋" w:cs="仿宋"/>
          <w:color w:val="auto"/>
          <w:spacing w:val="0"/>
          <w:w w:val="100"/>
          <w:position w:val="0"/>
          <w:sz w:val="28"/>
          <w:szCs w:val="28"/>
          <w:lang w:eastAsia="zh-CN"/>
        </w:rPr>
        <w:t>征集文件</w:t>
      </w:r>
      <w:r>
        <w:rPr>
          <w:rFonts w:hint="eastAsia" w:ascii="仿宋" w:hAnsi="仿宋" w:eastAsia="仿宋" w:cs="仿宋"/>
          <w:color w:val="auto"/>
          <w:spacing w:val="0"/>
          <w:w w:val="100"/>
          <w:position w:val="0"/>
          <w:sz w:val="28"/>
          <w:szCs w:val="28"/>
        </w:rPr>
        <w:t xml:space="preserve">要求乙方提交履约保证金的，乙方应按合同专用条款约定的方式提交； </w:t>
      </w:r>
    </w:p>
    <w:p w14:paraId="3A4993E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4"/>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2.17.2 履约保证金在合同专用条款约定期间内不予退还或者应完全有效，前述约定期间届满或者甲方在验收合格后退还；</w:t>
      </w:r>
    </w:p>
    <w:p w14:paraId="3D3E7E68">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4"/>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60AEB89">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rPr>
      </w:pPr>
      <w:bookmarkStart w:id="31" w:name="_Toc24303"/>
      <w:r>
        <w:rPr>
          <w:rFonts w:hint="eastAsia" w:ascii="仿宋" w:hAnsi="仿宋" w:eastAsia="仿宋" w:cs="仿宋"/>
          <w:b/>
          <w:bCs/>
          <w:color w:val="auto"/>
          <w:spacing w:val="0"/>
          <w:w w:val="100"/>
          <w:position w:val="0"/>
          <w:sz w:val="28"/>
          <w:szCs w:val="28"/>
        </w:rPr>
        <w:t>2.18</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合同份数</w:t>
      </w:r>
      <w:bookmarkEnd w:id="31"/>
    </w:p>
    <w:p w14:paraId="1360A815">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合同份数按</w:t>
      </w:r>
      <w:r>
        <w:rPr>
          <w:rFonts w:hint="eastAsia" w:ascii="仿宋" w:hAnsi="仿宋" w:eastAsia="仿宋" w:cs="仿宋"/>
          <w:b/>
          <w:bCs/>
          <w:color w:val="auto"/>
          <w:spacing w:val="0"/>
          <w:w w:val="100"/>
          <w:position w:val="0"/>
          <w:sz w:val="28"/>
          <w:szCs w:val="28"/>
          <w:u w:val="single" w:color="auto"/>
        </w:rPr>
        <w:t>合同专用条款</w:t>
      </w:r>
      <w:r>
        <w:rPr>
          <w:rFonts w:hint="eastAsia" w:ascii="仿宋" w:hAnsi="仿宋" w:eastAsia="仿宋" w:cs="仿宋"/>
          <w:color w:val="auto"/>
          <w:spacing w:val="0"/>
          <w:w w:val="100"/>
          <w:position w:val="0"/>
          <w:sz w:val="28"/>
          <w:szCs w:val="28"/>
        </w:rPr>
        <w:t>规定，每份均具有同等法律效力。</w:t>
      </w:r>
    </w:p>
    <w:p w14:paraId="5A24E8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2" w:type="default"/>
          <w:pgSz w:w="11922" w:h="16849"/>
          <w:pgMar w:top="1440" w:right="1803" w:bottom="1440" w:left="1803" w:header="1134" w:footer="1253" w:gutter="0"/>
          <w:pgNumType w:fmt="decimal"/>
          <w:cols w:space="0" w:num="1"/>
          <w:rtlGutter w:val="0"/>
          <w:docGrid w:linePitch="0" w:charSpace="0"/>
        </w:sectPr>
      </w:pPr>
    </w:p>
    <w:p w14:paraId="647611F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32" w:name="_Toc5053"/>
      <w:r>
        <w:rPr>
          <w:rFonts w:hint="eastAsia" w:ascii="仿宋" w:hAnsi="仿宋" w:eastAsia="仿宋" w:cs="仿宋"/>
          <w:b/>
          <w:bCs/>
          <w:color w:val="auto"/>
          <w:spacing w:val="0"/>
          <w:w w:val="100"/>
          <w:position w:val="0"/>
          <w:sz w:val="28"/>
          <w:szCs w:val="28"/>
        </w:rPr>
        <w:t>第三部分</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合同专用条款</w:t>
      </w:r>
      <w:bookmarkEnd w:id="32"/>
    </w:p>
    <w:p w14:paraId="104554BA">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3"/>
        <w:jc w:val="both"/>
        <w:textAlignment w:val="baseline"/>
        <w:rPr>
          <w:rFonts w:hint="eastAsia" w:ascii="仿宋" w:hAnsi="仿宋" w:eastAsia="仿宋" w:cs="仿宋"/>
          <w:color w:val="auto"/>
          <w:spacing w:val="0"/>
          <w:w w:val="100"/>
          <w:position w:val="0"/>
          <w:sz w:val="28"/>
          <w:szCs w:val="28"/>
          <w:lang w:eastAsia="zh-CN"/>
        </w:rPr>
      </w:pPr>
      <w:r>
        <w:rPr>
          <w:rFonts w:hint="eastAsia" w:ascii="仿宋" w:hAnsi="仿宋" w:eastAsia="仿宋" w:cs="仿宋"/>
          <w:color w:val="auto"/>
          <w:spacing w:val="0"/>
          <w:w w:val="100"/>
          <w:position w:val="0"/>
          <w:sz w:val="28"/>
          <w:szCs w:val="28"/>
        </w:rPr>
        <w:t>本部分是对前两部分的补充和修改，如果前两部分和本部分的约定不一致，应以本部分的约定为准。本部分的条款号应与前两部分的条款号保持对应；与前两部分无对应关系的内容可另行编制</w:t>
      </w:r>
      <w:r>
        <w:rPr>
          <w:rFonts w:hint="eastAsia" w:ascii="仿宋" w:hAnsi="仿宋" w:eastAsia="仿宋" w:cs="仿宋"/>
          <w:color w:val="auto"/>
          <w:spacing w:val="0"/>
          <w:w w:val="100"/>
          <w:position w:val="0"/>
          <w:sz w:val="28"/>
          <w:szCs w:val="28"/>
          <w:lang w:eastAsia="zh-CN"/>
        </w:rPr>
        <w:t>。</w:t>
      </w:r>
    </w:p>
    <w:tbl>
      <w:tblPr>
        <w:tblStyle w:val="22"/>
        <w:tblW w:w="8671" w:type="dxa"/>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9"/>
        <w:gridCol w:w="7572"/>
      </w:tblGrid>
      <w:tr w14:paraId="14CC5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99" w:type="dxa"/>
            <w:tcBorders>
              <w:left w:val="single" w:color="000000" w:sz="2" w:space="0"/>
            </w:tcBorders>
            <w:vAlign w:val="top"/>
          </w:tcPr>
          <w:p w14:paraId="39E3FE4F">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条款号</w:t>
            </w:r>
          </w:p>
        </w:tc>
        <w:tc>
          <w:tcPr>
            <w:tcW w:w="7572" w:type="dxa"/>
            <w:vAlign w:val="top"/>
          </w:tcPr>
          <w:p w14:paraId="4BCD1049">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约定内容</w:t>
            </w:r>
          </w:p>
        </w:tc>
      </w:tr>
      <w:tr w14:paraId="3563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9" w:type="dxa"/>
            <w:tcBorders>
              <w:left w:val="single" w:color="000000" w:sz="2" w:space="0"/>
            </w:tcBorders>
            <w:vAlign w:val="center"/>
          </w:tcPr>
          <w:p w14:paraId="513354B7">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履约保证金</w:t>
            </w:r>
          </w:p>
        </w:tc>
        <w:tc>
          <w:tcPr>
            <w:tcW w:w="7572" w:type="dxa"/>
            <w:vAlign w:val="center"/>
          </w:tcPr>
          <w:p w14:paraId="1EAEF538">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kern w:val="2"/>
                <w:position w:val="0"/>
                <w:sz w:val="28"/>
                <w:szCs w:val="28"/>
                <w:lang w:val="en-US" w:bidi="ar-SA"/>
              </w:rPr>
              <w:t>免收</w:t>
            </w:r>
            <w:r>
              <w:rPr>
                <w:rFonts w:hint="eastAsia" w:cs="Times New Roman"/>
                <w:color w:val="auto"/>
                <w:spacing w:val="0"/>
                <w:w w:val="100"/>
                <w:kern w:val="2"/>
                <w:position w:val="0"/>
                <w:sz w:val="28"/>
                <w:szCs w:val="28"/>
                <w:lang w:val="en-US" w:bidi="ar-SA"/>
              </w:rPr>
              <w:t xml:space="preserve">      </w:t>
            </w:r>
          </w:p>
        </w:tc>
      </w:tr>
      <w:tr w14:paraId="55547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99" w:type="dxa"/>
            <w:tcBorders>
              <w:left w:val="single" w:color="000000" w:sz="2" w:space="0"/>
            </w:tcBorders>
            <w:vAlign w:val="top"/>
          </w:tcPr>
          <w:p w14:paraId="55DA53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2D8E2E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2C3FF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9" w:type="dxa"/>
            <w:tcBorders>
              <w:left w:val="single" w:color="000000" w:sz="2" w:space="0"/>
            </w:tcBorders>
            <w:vAlign w:val="top"/>
          </w:tcPr>
          <w:p w14:paraId="25AC57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6802384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6CB0B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99" w:type="dxa"/>
            <w:tcBorders>
              <w:left w:val="single" w:color="000000" w:sz="2" w:space="0"/>
            </w:tcBorders>
            <w:vAlign w:val="top"/>
          </w:tcPr>
          <w:p w14:paraId="7C533B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3980F6C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5B3DB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9" w:type="dxa"/>
            <w:tcBorders>
              <w:left w:val="single" w:color="000000" w:sz="2" w:space="0"/>
            </w:tcBorders>
            <w:vAlign w:val="top"/>
          </w:tcPr>
          <w:p w14:paraId="23B654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619310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6DDE1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9" w:type="dxa"/>
            <w:tcBorders>
              <w:left w:val="single" w:color="000000" w:sz="2" w:space="0"/>
            </w:tcBorders>
            <w:vAlign w:val="top"/>
          </w:tcPr>
          <w:p w14:paraId="560B4E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3736D2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009D2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99" w:type="dxa"/>
            <w:tcBorders>
              <w:left w:val="single" w:color="000000" w:sz="2" w:space="0"/>
            </w:tcBorders>
            <w:vAlign w:val="top"/>
          </w:tcPr>
          <w:p w14:paraId="10D5187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7572" w:type="dxa"/>
            <w:vAlign w:val="top"/>
          </w:tcPr>
          <w:p w14:paraId="2278BAD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bl>
    <w:p w14:paraId="669F2C0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2750FCD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3" w:type="default"/>
          <w:pgSz w:w="11922" w:h="16849"/>
          <w:pgMar w:top="1440" w:right="1803" w:bottom="1440" w:left="1803" w:header="1134" w:footer="1253" w:gutter="0"/>
          <w:pgNumType w:fmt="decimal"/>
          <w:cols w:space="0" w:num="1"/>
          <w:rtlGutter w:val="0"/>
          <w:docGrid w:linePitch="0" w:charSpace="0"/>
        </w:sectPr>
      </w:pPr>
    </w:p>
    <w:p w14:paraId="461D62A5">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bCs/>
          <w:color w:val="auto"/>
          <w:spacing w:val="0"/>
          <w:w w:val="100"/>
          <w:position w:val="0"/>
          <w:sz w:val="44"/>
          <w:szCs w:val="44"/>
          <w:lang w:val="en-US" w:eastAsia="en-US"/>
        </w:rPr>
      </w:pPr>
      <w:bookmarkStart w:id="33" w:name="_Toc16469"/>
      <w:r>
        <w:rPr>
          <w:rFonts w:hint="eastAsia" w:ascii="华文中宋" w:hAnsi="华文中宋" w:eastAsia="华文中宋" w:cs="华文中宋"/>
          <w:b/>
          <w:bCs/>
          <w:color w:val="auto"/>
          <w:spacing w:val="0"/>
          <w:w w:val="100"/>
          <w:position w:val="0"/>
          <w:sz w:val="44"/>
          <w:szCs w:val="44"/>
          <w:lang w:val="en-US" w:eastAsia="en-US"/>
        </w:rPr>
        <w:t>第六章 响应文件格式</w:t>
      </w:r>
      <w:bookmarkEnd w:id="33"/>
    </w:p>
    <w:p w14:paraId="44AF2408">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2F9369A9">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7A6D6955">
      <w:pPr>
        <w:pageBreakBefore w:val="0"/>
        <w:kinsoku w:val="0"/>
        <w:wordWrap/>
        <w:overflowPunct/>
        <w:topLinePunct w:val="0"/>
        <w:bidi w:val="0"/>
        <w:adjustRightInd w:val="0"/>
        <w:snapToGrid w:val="0"/>
        <w:spacing w:line="360" w:lineRule="auto"/>
        <w:ind w:left="0" w:leftChars="0" w:right="0" w:rightChars="0"/>
        <w:textAlignment w:val="baseline"/>
        <w:outlineLvl w:val="9"/>
        <w:rPr>
          <w:rFonts w:hint="eastAsia" w:ascii="仿宋" w:hAnsi="仿宋" w:eastAsia="仿宋" w:cs="仿宋"/>
          <w:color w:val="auto"/>
          <w:spacing w:val="0"/>
          <w:w w:val="100"/>
          <w:position w:val="0"/>
          <w:sz w:val="28"/>
          <w:szCs w:val="28"/>
        </w:rPr>
      </w:pPr>
    </w:p>
    <w:p w14:paraId="7D0F7B69">
      <w:pPr>
        <w:pageBreakBefore w:val="0"/>
        <w:kinsoku w:val="0"/>
        <w:wordWrap/>
        <w:overflowPunct/>
        <w:topLinePunct w:val="0"/>
        <w:bidi w:val="0"/>
        <w:adjustRightInd w:val="0"/>
        <w:snapToGrid w:val="0"/>
        <w:spacing w:line="360" w:lineRule="auto"/>
        <w:ind w:left="0" w:leftChars="0" w:right="0" w:rightChars="0"/>
        <w:textAlignment w:val="baseline"/>
        <w:outlineLvl w:val="9"/>
        <w:rPr>
          <w:rFonts w:hint="eastAsia" w:ascii="仿宋" w:hAnsi="仿宋" w:eastAsia="仿宋" w:cs="仿宋"/>
          <w:color w:val="auto"/>
          <w:spacing w:val="0"/>
          <w:w w:val="100"/>
          <w:position w:val="0"/>
          <w:sz w:val="28"/>
          <w:szCs w:val="28"/>
        </w:rPr>
      </w:pPr>
    </w:p>
    <w:p w14:paraId="124281F3">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(项目名称)</w:t>
      </w:r>
    </w:p>
    <w:p w14:paraId="6825404C">
      <w:pPr>
        <w:pStyle w:val="11"/>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p w14:paraId="3CD3E50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b/>
          <w:bCs/>
          <w:color w:val="auto"/>
          <w:spacing w:val="0"/>
          <w:w w:val="100"/>
          <w:position w:val="0"/>
          <w:sz w:val="28"/>
          <w:szCs w:val="28"/>
        </w:rPr>
        <w:t>响</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应</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文</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件</w:t>
      </w:r>
    </w:p>
    <w:p w14:paraId="004627CF">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12BEE2C6">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3A94EC2A">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5A086140">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61354644">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4631E170">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6DBE6DE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项目编号：</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p w14:paraId="17DFFA3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征集人：</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p w14:paraId="40B2AD3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供应商电子签章：</w:t>
      </w:r>
      <w:r>
        <w:rPr>
          <w:rFonts w:hint="eastAsia" w:ascii="仿宋" w:hAnsi="仿宋" w:eastAsia="仿宋" w:cs="仿宋"/>
          <w:color w:val="auto"/>
          <w:spacing w:val="0"/>
          <w:w w:val="100"/>
          <w:position w:val="0"/>
          <w:sz w:val="28"/>
          <w:szCs w:val="28"/>
          <w:u w:val="single" w:color="auto"/>
        </w:rPr>
        <w:t xml:space="preserve">                    </w:t>
      </w:r>
    </w:p>
    <w:p w14:paraId="474621E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法定代表人或其委托代理人：</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(签字或盖章)</w:t>
      </w:r>
    </w:p>
    <w:p w14:paraId="1E4E3FA7">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2FC21498">
      <w:pPr>
        <w:pageBreakBefore w:val="0"/>
        <w:tabs>
          <w:tab w:val="left" w:pos="3767"/>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u w:val="single" w:color="auto"/>
          <w:lang w:val="en-US" w:eastAsia="zh-CN"/>
        </w:rPr>
        <w:t xml:space="preserve">   </w:t>
      </w:r>
      <w:r>
        <w:rPr>
          <w:rFonts w:hint="eastAsia" w:ascii="仿宋" w:hAnsi="仿宋" w:eastAsia="仿宋" w:cs="仿宋"/>
          <w:color w:val="auto"/>
          <w:spacing w:val="0"/>
          <w:w w:val="100"/>
          <w:position w:val="0"/>
          <w:sz w:val="28"/>
          <w:szCs w:val="28"/>
        </w:rPr>
        <w:t xml:space="preserve"> 年</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月</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日</w:t>
      </w:r>
    </w:p>
    <w:p w14:paraId="4A1B474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4" w:type="default"/>
          <w:pgSz w:w="11922" w:h="16849"/>
          <w:pgMar w:top="1440" w:right="1803" w:bottom="1440" w:left="1803" w:header="1134" w:footer="1253" w:gutter="0"/>
          <w:pgNumType w:fmt="decimal"/>
          <w:cols w:space="0" w:num="1"/>
          <w:rtlGutter w:val="0"/>
          <w:docGrid w:linePitch="0" w:charSpace="0"/>
        </w:sectPr>
      </w:pPr>
    </w:p>
    <w:p w14:paraId="4BCB5AEF">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34" w:name="_Toc2875"/>
      <w:r>
        <w:rPr>
          <w:rFonts w:hint="eastAsia" w:ascii="仿宋" w:hAnsi="仿宋" w:eastAsia="仿宋" w:cs="仿宋"/>
          <w:b/>
          <w:bCs/>
          <w:color w:val="auto"/>
          <w:spacing w:val="0"/>
          <w:w w:val="100"/>
          <w:position w:val="0"/>
          <w:sz w:val="28"/>
          <w:szCs w:val="28"/>
        </w:rPr>
        <w:t>一、开标一览表</w:t>
      </w:r>
      <w:bookmarkEnd w:id="34"/>
    </w:p>
    <w:tbl>
      <w:tblPr>
        <w:tblStyle w:val="22"/>
        <w:tblW w:w="8532"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9"/>
        <w:gridCol w:w="6223"/>
      </w:tblGrid>
      <w:tr w14:paraId="751F5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309" w:type="dxa"/>
            <w:vAlign w:val="center"/>
          </w:tcPr>
          <w:p w14:paraId="0F62AAAC">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项目名称</w:t>
            </w:r>
          </w:p>
        </w:tc>
        <w:tc>
          <w:tcPr>
            <w:tcW w:w="6223" w:type="dxa"/>
            <w:vAlign w:val="top"/>
          </w:tcPr>
          <w:p w14:paraId="49A5799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60C29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09" w:type="dxa"/>
            <w:vAlign w:val="center"/>
          </w:tcPr>
          <w:p w14:paraId="4461404F">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供应商全称</w:t>
            </w:r>
          </w:p>
        </w:tc>
        <w:tc>
          <w:tcPr>
            <w:tcW w:w="6223" w:type="dxa"/>
            <w:vAlign w:val="top"/>
          </w:tcPr>
          <w:p w14:paraId="113D494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5039D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09" w:type="dxa"/>
            <w:vAlign w:val="center"/>
          </w:tcPr>
          <w:p w14:paraId="0CAF21D0">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投标范围</w:t>
            </w:r>
          </w:p>
        </w:tc>
        <w:tc>
          <w:tcPr>
            <w:tcW w:w="6223" w:type="dxa"/>
            <w:vAlign w:val="top"/>
          </w:tcPr>
          <w:p w14:paraId="4E652F0B">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全部</w:t>
            </w:r>
          </w:p>
        </w:tc>
      </w:tr>
      <w:tr w14:paraId="6D4A0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2309" w:type="dxa"/>
            <w:vAlign w:val="center"/>
          </w:tcPr>
          <w:p w14:paraId="2ADC7BEB">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投标报价</w:t>
            </w:r>
          </w:p>
        </w:tc>
        <w:tc>
          <w:tcPr>
            <w:tcW w:w="6223" w:type="dxa"/>
            <w:vAlign w:val="center"/>
          </w:tcPr>
          <w:p w14:paraId="3407F548">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费率 (大写)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 xml:space="preserve">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(小写</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 xml:space="preserve">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tc>
      </w:tr>
      <w:tr w14:paraId="06362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2309" w:type="dxa"/>
            <w:vAlign w:val="center"/>
          </w:tcPr>
          <w:p w14:paraId="5ED07381">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其他</w:t>
            </w:r>
          </w:p>
        </w:tc>
        <w:tc>
          <w:tcPr>
            <w:tcW w:w="6223" w:type="dxa"/>
            <w:vAlign w:val="center"/>
          </w:tcPr>
          <w:p w14:paraId="16A575E3">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完全响应征集文件要求。</w:t>
            </w:r>
          </w:p>
        </w:tc>
      </w:tr>
    </w:tbl>
    <w:p w14:paraId="47A26B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2244180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供应商电子签章：</w:t>
      </w:r>
    </w:p>
    <w:p w14:paraId="1D333BD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法定代表人或其委托代理人： (签字或盖章)</w:t>
      </w:r>
    </w:p>
    <w:p w14:paraId="2518497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5"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rPr>
        <w:t>日        期：</w:t>
      </w:r>
      <w:r>
        <w:rPr>
          <w:rFonts w:hint="eastAsia" w:ascii="仿宋" w:hAnsi="仿宋" w:eastAsia="仿宋" w:cs="仿宋"/>
          <w:color w:val="auto"/>
          <w:spacing w:val="0"/>
          <w:w w:val="100"/>
          <w:position w:val="0"/>
          <w:sz w:val="28"/>
          <w:szCs w:val="28"/>
          <w:u w:val="single" w:color="auto"/>
        </w:rPr>
        <w:t xml:space="preserve">              </w:t>
      </w:r>
    </w:p>
    <w:p w14:paraId="5366F247">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rPr>
      </w:pPr>
      <w:bookmarkStart w:id="35" w:name="_Toc25455"/>
      <w:r>
        <w:rPr>
          <w:rFonts w:hint="eastAsia" w:ascii="仿宋" w:hAnsi="仿宋" w:eastAsia="仿宋" w:cs="仿宋"/>
          <w:b/>
          <w:bCs/>
          <w:color w:val="auto"/>
          <w:spacing w:val="0"/>
          <w:w w:val="100"/>
          <w:position w:val="0"/>
          <w:sz w:val="28"/>
          <w:szCs w:val="28"/>
        </w:rPr>
        <w:t>二、投标函</w:t>
      </w:r>
      <w:bookmarkEnd w:id="35"/>
    </w:p>
    <w:p w14:paraId="3C7CAD96">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致：</w:t>
      </w:r>
      <w:r>
        <w:rPr>
          <w:rFonts w:hint="eastAsia" w:ascii="仿宋" w:hAnsi="仿宋" w:eastAsia="仿宋" w:cs="仿宋"/>
          <w:color w:val="auto"/>
          <w:spacing w:val="0"/>
          <w:w w:val="100"/>
          <w:position w:val="0"/>
          <w:sz w:val="28"/>
          <w:szCs w:val="28"/>
          <w:u w:val="single" w:color="auto"/>
        </w:rPr>
        <w:t xml:space="preserve">(征集人)        </w:t>
      </w:r>
    </w:p>
    <w:p w14:paraId="39930BD6">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根据贵方的征集公告，我方兹宣布同意如下：</w:t>
      </w:r>
    </w:p>
    <w:p w14:paraId="1DA0FD73">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按征集文件规定提供所有服务的最终投标报价见开标一览表，如我方中标，我方承诺愿意按征集文件规定缴纳履约保证金和中标服务费。</w:t>
      </w:r>
    </w:p>
    <w:p w14:paraId="7127E2E4">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我方根据征集文件的规定，严格履行合同的责任和义务,并</w:t>
      </w:r>
      <w:r>
        <w:rPr>
          <w:rFonts w:hint="eastAsia" w:ascii="仿宋" w:hAnsi="仿宋" w:eastAsia="仿宋" w:cs="仿宋"/>
          <w:color w:val="auto"/>
          <w:spacing w:val="0"/>
          <w:w w:val="100"/>
          <w:position w:val="0"/>
          <w:sz w:val="28"/>
          <w:szCs w:val="28"/>
          <w:lang w:eastAsia="zh-CN"/>
        </w:rPr>
        <w:t>保证</w:t>
      </w:r>
      <w:r>
        <w:rPr>
          <w:rFonts w:hint="eastAsia" w:ascii="仿宋" w:hAnsi="仿宋" w:eastAsia="仿宋" w:cs="仿宋"/>
          <w:color w:val="auto"/>
          <w:spacing w:val="0"/>
          <w:w w:val="100"/>
          <w:position w:val="0"/>
          <w:sz w:val="28"/>
          <w:szCs w:val="28"/>
        </w:rPr>
        <w:t>在征集文件要求的日期内完成所有服务，并通过买方验收。</w:t>
      </w:r>
    </w:p>
    <w:p w14:paraId="1BE21DA2">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5D317511">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我方同意从征集文件规定的开标日期起遵循本征集文件，并在征集文件规定的投标有效期之前均具有约束力。</w:t>
      </w:r>
    </w:p>
    <w:p w14:paraId="0ECF7C98">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我方承诺如投标保证金未在征集文件规定缴纳，我方投标无效，由此产生的一切后果由我方承担。</w:t>
      </w:r>
    </w:p>
    <w:p w14:paraId="31F0767C">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我方声明征集响应文件所提供的一切资料均真实无误、及时、有效，企业运营正常。由于我方提供资料不实而造成的责任和后果由我方承担。我方同意按照贵方提出的要求，提供与投标有关的任何证据、数据或资料。</w:t>
      </w:r>
    </w:p>
    <w:p w14:paraId="2249C3EA">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7</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我方完全理解贵方不一定接受最低报价的投标。</w:t>
      </w:r>
    </w:p>
    <w:p w14:paraId="7F509CF8">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8</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 xml:space="preserve">我方接受征集文件规定的付款方式、免费质保要求。 </w:t>
      </w:r>
    </w:p>
    <w:p w14:paraId="337AE55B">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9</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诚信承诺书(见附录)</w:t>
      </w:r>
    </w:p>
    <w:p w14:paraId="5801FC71">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供应商电子签章：</w:t>
      </w:r>
      <w:r>
        <w:rPr>
          <w:rFonts w:hint="eastAsia" w:ascii="仿宋" w:hAnsi="仿宋" w:eastAsia="仿宋" w:cs="仿宋"/>
          <w:color w:val="auto"/>
          <w:spacing w:val="0"/>
          <w:w w:val="100"/>
          <w:position w:val="0"/>
          <w:sz w:val="28"/>
          <w:szCs w:val="28"/>
          <w:u w:val="single"/>
          <w:lang w:val="en-US" w:eastAsia="zh-CN"/>
        </w:rPr>
        <w:t xml:space="preserve">                    </w:t>
      </w:r>
      <w:r>
        <w:rPr>
          <w:rFonts w:hint="eastAsia" w:ascii="仿宋" w:hAnsi="仿宋" w:eastAsia="仿宋" w:cs="仿宋"/>
          <w:color w:val="auto"/>
          <w:spacing w:val="0"/>
          <w:w w:val="100"/>
          <w:position w:val="0"/>
          <w:sz w:val="28"/>
          <w:szCs w:val="28"/>
        </w:rPr>
        <w:t xml:space="preserve">                  </w:t>
      </w:r>
    </w:p>
    <w:p w14:paraId="6357A40F">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法定代表人或其委托代理人：</w:t>
      </w:r>
      <w:r>
        <w:rPr>
          <w:rFonts w:hint="eastAsia" w:ascii="仿宋" w:hAnsi="仿宋" w:eastAsia="仿宋" w:cs="仿宋"/>
          <w:color w:val="auto"/>
          <w:spacing w:val="0"/>
          <w:w w:val="100"/>
          <w:position w:val="0"/>
          <w:sz w:val="28"/>
          <w:szCs w:val="28"/>
          <w:u w:val="single"/>
          <w:lang w:val="en-US" w:eastAsia="zh-CN"/>
        </w:rPr>
        <w:t xml:space="preserve">     </w:t>
      </w:r>
      <w:r>
        <w:rPr>
          <w:rFonts w:hint="eastAsia" w:ascii="仿宋" w:hAnsi="仿宋" w:eastAsia="仿宋" w:cs="仿宋"/>
          <w:color w:val="auto"/>
          <w:spacing w:val="0"/>
          <w:w w:val="100"/>
          <w:position w:val="0"/>
          <w:sz w:val="28"/>
          <w:szCs w:val="28"/>
        </w:rPr>
        <w:t>(签字或盖章)</w:t>
      </w:r>
    </w:p>
    <w:p w14:paraId="4C34A20D">
      <w:pPr>
        <w:keepNext w:val="0"/>
        <w:keepLines w:val="0"/>
        <w:pageBreakBefore w:val="0"/>
        <w:widowControl/>
        <w:kinsoku w:val="0"/>
        <w:wordWrap/>
        <w:overflowPunct/>
        <w:topLinePunct w:val="0"/>
        <w:autoSpaceDE w:val="0"/>
        <w:autoSpaceDN w:val="0"/>
        <w:bidi w:val="0"/>
        <w:adjustRightInd w:val="0"/>
        <w:snapToGrid w:val="0"/>
        <w:spacing w:line="348" w:lineRule="auto"/>
        <w:ind w:left="0" w:leftChars="0" w:right="0" w:rightChars="0"/>
        <w:jc w:val="lef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日           期：</w:t>
      </w:r>
      <w:r>
        <w:rPr>
          <w:rFonts w:hint="eastAsia" w:ascii="仿宋" w:hAnsi="仿宋" w:eastAsia="仿宋" w:cs="仿宋"/>
          <w:color w:val="auto"/>
          <w:spacing w:val="0"/>
          <w:w w:val="100"/>
          <w:position w:val="0"/>
          <w:sz w:val="28"/>
          <w:szCs w:val="28"/>
          <w:u w:val="single"/>
          <w:lang w:val="en-US" w:eastAsia="zh-CN"/>
        </w:rPr>
        <w:t xml:space="preserve">          </w:t>
      </w:r>
      <w:r>
        <w:rPr>
          <w:rFonts w:hint="eastAsia" w:ascii="仿宋" w:hAnsi="仿宋" w:eastAsia="仿宋" w:cs="仿宋"/>
          <w:color w:val="auto"/>
          <w:spacing w:val="0"/>
          <w:w w:val="100"/>
          <w:position w:val="0"/>
          <w:sz w:val="28"/>
          <w:szCs w:val="28"/>
        </w:rPr>
        <w:t xml:space="preserve">                    </w:t>
      </w:r>
    </w:p>
    <w:p w14:paraId="24FA0B0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6" w:type="default"/>
          <w:pgSz w:w="11922" w:h="16849"/>
          <w:pgMar w:top="1440" w:right="1803" w:bottom="1440" w:left="1803" w:header="1134" w:footer="1253" w:gutter="0"/>
          <w:pgNumType w:fmt="decimal"/>
          <w:cols w:space="0" w:num="1"/>
          <w:rtlGutter w:val="0"/>
          <w:docGrid w:linePitch="0" w:charSpace="0"/>
        </w:sectPr>
      </w:pPr>
    </w:p>
    <w:p w14:paraId="03C3372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附录1:</w:t>
      </w:r>
    </w:p>
    <w:p w14:paraId="045B6A58">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b/>
          <w:bCs/>
          <w:color w:val="auto"/>
          <w:spacing w:val="0"/>
          <w:w w:val="100"/>
          <w:position w:val="0"/>
          <w:sz w:val="28"/>
          <w:szCs w:val="28"/>
        </w:rPr>
      </w:pPr>
      <w:r>
        <w:rPr>
          <w:rFonts w:hint="eastAsia" w:ascii="仿宋" w:hAnsi="仿宋" w:eastAsia="仿宋" w:cs="仿宋"/>
          <w:b/>
          <w:bCs/>
          <w:color w:val="auto"/>
          <w:spacing w:val="0"/>
          <w:w w:val="100"/>
          <w:position w:val="0"/>
          <w:sz w:val="28"/>
          <w:szCs w:val="28"/>
        </w:rPr>
        <w:t>供应商诚信承诺书</w:t>
      </w:r>
    </w:p>
    <w:p w14:paraId="1604090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致：</w:t>
      </w:r>
      <w:r>
        <w:rPr>
          <w:rFonts w:hint="eastAsia" w:ascii="仿宋" w:hAnsi="仿宋" w:eastAsia="仿宋" w:cs="仿宋"/>
          <w:color w:val="auto"/>
          <w:spacing w:val="0"/>
          <w:w w:val="100"/>
          <w:position w:val="0"/>
          <w:sz w:val="28"/>
          <w:szCs w:val="28"/>
          <w:u w:val="single" w:color="auto"/>
        </w:rPr>
        <w:t xml:space="preserve">   (征集人)         </w:t>
      </w:r>
    </w:p>
    <w:p w14:paraId="2025554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我单位参加本次投标，承诺如下：</w:t>
      </w:r>
    </w:p>
    <w:p w14:paraId="1657F17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1、提供的所有资料都是真实有效。如被发现提供虚假资料或虚假承诺(声明)，同意取消 投标和中标候选人资格。</w:t>
      </w:r>
    </w:p>
    <w:p w14:paraId="6784C11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2、不存在借用资质、串通投标等情形。如被发现，同意取消投标和中标候选人资格。</w:t>
      </w:r>
    </w:p>
    <w:p w14:paraId="1F256F2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3、如我方为中标候选人，除不可抗力(是指不能预见、不能避免并不能克服的客观情况，包括自然灾害和社会突发事件，如地震、海啸、瘟疫、水灾、骚乱、暴动、战争等)，不因任何 其它原因放弃中标候选人资格。</w:t>
      </w:r>
    </w:p>
    <w:p w14:paraId="1EF2456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4、我方</w:t>
      </w:r>
      <w:r>
        <w:rPr>
          <w:rFonts w:hint="eastAsia" w:ascii="仿宋" w:hAnsi="仿宋" w:eastAsia="仿宋" w:cs="仿宋"/>
          <w:color w:val="auto"/>
          <w:spacing w:val="0"/>
          <w:w w:val="100"/>
          <w:position w:val="0"/>
          <w:sz w:val="28"/>
          <w:szCs w:val="28"/>
          <w:lang w:eastAsia="zh-CN"/>
        </w:rPr>
        <w:t>成交后</w:t>
      </w:r>
      <w:r>
        <w:rPr>
          <w:rFonts w:hint="eastAsia" w:ascii="仿宋" w:hAnsi="仿宋" w:eastAsia="仿宋" w:cs="仿宋"/>
          <w:color w:val="auto"/>
          <w:spacing w:val="0"/>
          <w:w w:val="100"/>
          <w:position w:val="0"/>
          <w:sz w:val="28"/>
          <w:szCs w:val="28"/>
        </w:rPr>
        <w:t>，严格按照征集文件和我单位征集响应文件的约定签订合同。</w:t>
      </w:r>
    </w:p>
    <w:p w14:paraId="57CB10C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5、我方同意将达不到供应商资格要求条件仍参与投标或被行政主管部门、监督管理部门等暂停、取消公共资源交易资格且在限制期内仍参与投标的情形视为弄虚作假，愿意接受处理。</w:t>
      </w:r>
    </w:p>
    <w:p w14:paraId="4B14A11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6、我方参与投标如出现投标报价高于该项目最高投标限价的情形，同意视为串通投标并接受处理。</w:t>
      </w:r>
    </w:p>
    <w:p w14:paraId="594EF3C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出现违反上述承诺情形之一的，我单位还同意投标保证金不予退还，并在1至3年内不参与阜阳市公共资源交易活动，且后期我单位不因公司表现良好等各种理由向</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申请予以恢复参与阜阳市公共资源交易活动，</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也不应以公司表现良好等各种理由为由提前解除对我单位的处理。愿意公开披露我单位违反承诺的不良行为信息，愿意接受处罚并承担所有经济损失和法律责任。</w:t>
      </w:r>
    </w:p>
    <w:p w14:paraId="7908F67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后期履约过程中除不可抗力外如我单位放弃(拒绝)履约，同意</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(甲方)不予退还履约保证金，我单位(乙方)不要求退还履约保证金，我单位(乙方)三年不参与阜阳市公共资源交易活动，且在处理期间不因公司表现良好等各种理由向</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申请予以提前恢复 参与阜阳市公共资源交易活动，</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(甲方)也不能以公司表现良好等各种理由为由提前解除对我单位(乙方)的处理。</w:t>
      </w:r>
    </w:p>
    <w:p w14:paraId="1BDC108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此承诺不受投标有效期的限制</w:t>
      </w:r>
    </w:p>
    <w:p w14:paraId="7B50F91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供应商电子签章：</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p w14:paraId="3FEE51F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法定代表人或其委托代理人：</w:t>
      </w:r>
      <w:r>
        <w:rPr>
          <w:rFonts w:hint="eastAsia" w:ascii="仿宋" w:hAnsi="仿宋" w:eastAsia="仿宋" w:cs="仿宋"/>
          <w:color w:val="auto"/>
          <w:spacing w:val="0"/>
          <w:w w:val="100"/>
          <w:position w:val="0"/>
          <w:sz w:val="28"/>
          <w:szCs w:val="28"/>
          <w:u w:val="single" w:color="auto"/>
        </w:rPr>
        <w:t>(签字或盖章)</w:t>
      </w:r>
    </w:p>
    <w:p w14:paraId="3128056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年 月 日</w:t>
      </w:r>
    </w:p>
    <w:p w14:paraId="5F68D8F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7" w:type="default"/>
          <w:pgSz w:w="11922" w:h="16849"/>
          <w:pgMar w:top="1440" w:right="1803" w:bottom="1440" w:left="1803" w:header="1134" w:footer="1253" w:gutter="0"/>
          <w:pgNumType w:fmt="decimal"/>
          <w:cols w:space="0" w:num="1"/>
          <w:rtlGutter w:val="0"/>
          <w:docGrid w:linePitch="0" w:charSpace="0"/>
        </w:sectPr>
      </w:pPr>
    </w:p>
    <w:p w14:paraId="7B88A267">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rPr>
      </w:pPr>
      <w:bookmarkStart w:id="36" w:name="_Toc28497"/>
      <w:r>
        <w:rPr>
          <w:rFonts w:hint="eastAsia" w:ascii="仿宋" w:hAnsi="仿宋" w:eastAsia="仿宋" w:cs="仿宋"/>
          <w:b/>
          <w:bCs/>
          <w:color w:val="auto"/>
          <w:spacing w:val="0"/>
          <w:w w:val="100"/>
          <w:position w:val="0"/>
          <w:sz w:val="28"/>
          <w:szCs w:val="28"/>
        </w:rPr>
        <w:t>三、无重大违法记录声明函、无不良信用记录声明函</w:t>
      </w:r>
      <w:bookmarkEnd w:id="36"/>
    </w:p>
    <w:p w14:paraId="521E0D3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(联合体参加投标的, 联合体各方均须提供)</w:t>
      </w:r>
    </w:p>
    <w:p w14:paraId="758506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3BB734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rPr>
        <w:t>本单位郑重声明，我单位无以下不良信用记录情形：</w:t>
      </w:r>
    </w:p>
    <w:p w14:paraId="447C15F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(1)被人民法院列入失信被执行人</w:t>
      </w:r>
    </w:p>
    <w:p w14:paraId="2CD31AC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(2)单位、法定代表人或拟派项目经理(项目负责人)被人民检察院列入行贿犯 罪档案；</w:t>
      </w:r>
    </w:p>
    <w:p w14:paraId="7BC81E0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(3)被工商行政管理部门列入企业经营异常名录；</w:t>
      </w:r>
    </w:p>
    <w:p w14:paraId="386BFA2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(4)被税务部门列入重大税收违法案件当事人名单；</w:t>
      </w:r>
    </w:p>
    <w:p w14:paraId="09F40C4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(5)被政府采购监管部门列入政府采购严重违法失信行为记录名单。</w:t>
      </w:r>
    </w:p>
    <w:p w14:paraId="04E07DA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本单位对上述声明的真实性负责。如有虚假，将依法承担相应责任。</w:t>
      </w:r>
    </w:p>
    <w:p w14:paraId="7B1A65FF">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387045D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电子签章：</w:t>
      </w:r>
      <w:r>
        <w:rPr>
          <w:rFonts w:hint="eastAsia" w:ascii="仿宋" w:hAnsi="仿宋" w:eastAsia="仿宋" w:cs="仿宋"/>
          <w:color w:val="auto"/>
          <w:spacing w:val="0"/>
          <w:w w:val="100"/>
          <w:position w:val="0"/>
          <w:sz w:val="28"/>
          <w:szCs w:val="28"/>
          <w:u w:val="single" w:color="auto"/>
        </w:rPr>
        <w:t xml:space="preserve">                 </w:t>
      </w:r>
    </w:p>
    <w:p w14:paraId="031E89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日        期：</w:t>
      </w:r>
      <w:r>
        <w:rPr>
          <w:rFonts w:hint="eastAsia" w:ascii="仿宋" w:hAnsi="仿宋" w:eastAsia="仿宋" w:cs="仿宋"/>
          <w:color w:val="auto"/>
          <w:spacing w:val="0"/>
          <w:w w:val="100"/>
          <w:position w:val="0"/>
          <w:sz w:val="28"/>
          <w:szCs w:val="28"/>
          <w:u w:val="single" w:color="auto"/>
        </w:rPr>
        <w:t xml:space="preserve">              </w:t>
      </w:r>
    </w:p>
    <w:p w14:paraId="0326A02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8" w:type="default"/>
          <w:pgSz w:w="11922" w:h="16849"/>
          <w:pgMar w:top="1440" w:right="1803" w:bottom="1440" w:left="1803" w:header="1134" w:footer="1253" w:gutter="0"/>
          <w:pgNumType w:fmt="decimal"/>
          <w:cols w:space="0" w:num="1"/>
          <w:rtlGutter w:val="0"/>
          <w:docGrid w:linePitch="0" w:charSpace="0"/>
        </w:sectPr>
      </w:pPr>
    </w:p>
    <w:p w14:paraId="33E847A9">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rPr>
      </w:pPr>
      <w:bookmarkStart w:id="37" w:name="_Toc4257"/>
      <w:r>
        <w:rPr>
          <w:rFonts w:hint="eastAsia" w:ascii="仿宋" w:hAnsi="仿宋" w:eastAsia="仿宋" w:cs="仿宋"/>
          <w:b/>
          <w:bCs/>
          <w:color w:val="auto"/>
          <w:spacing w:val="0"/>
          <w:w w:val="100"/>
          <w:position w:val="0"/>
          <w:sz w:val="28"/>
          <w:szCs w:val="28"/>
        </w:rPr>
        <w:t>四、法定代表人授权委托书</w:t>
      </w:r>
      <w:bookmarkEnd w:id="37"/>
    </w:p>
    <w:p w14:paraId="34C49B0E">
      <w:pPr>
        <w:pageBreakBefore w:val="0"/>
        <w:kinsoku w:val="0"/>
        <w:wordWrap/>
        <w:overflowPunct/>
        <w:topLinePunct w:val="0"/>
        <w:bidi w:val="0"/>
        <w:adjustRightInd w:val="0"/>
        <w:snapToGrid w:val="0"/>
        <w:spacing w:line="360" w:lineRule="auto"/>
        <w:ind w:left="0" w:leftChars="0" w:right="0" w:rightChars="0" w:firstLine="433"/>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本授权书声明：</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公司(工厂)(纳税人识别号：</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)的</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(法人代表   姓名、职务)代表本公司(工厂)授权本公司(工厂)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(被授权人的姓名、职务)为  本公司(工厂)的合法代理人，参加</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采购项目活动(项目编号：</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 全权代表本公司处理投标过程的一切事宜，包括但不限于：投标、参与开标、</w:t>
      </w:r>
      <w:r>
        <w:rPr>
          <w:rFonts w:hint="eastAsia" w:ascii="仿宋" w:hAnsi="仿宋" w:eastAsia="仿宋" w:cs="仿宋"/>
          <w:color w:val="auto"/>
          <w:spacing w:val="0"/>
          <w:w w:val="100"/>
          <w:position w:val="0"/>
          <w:sz w:val="28"/>
          <w:szCs w:val="28"/>
          <w:lang w:eastAsia="zh-CN"/>
        </w:rPr>
        <w:t>投标</w:t>
      </w:r>
      <w:r>
        <w:rPr>
          <w:rFonts w:hint="eastAsia" w:ascii="仿宋" w:hAnsi="仿宋" w:eastAsia="仿宋" w:cs="仿宋"/>
          <w:color w:val="auto"/>
          <w:spacing w:val="0"/>
          <w:w w:val="100"/>
          <w:position w:val="0"/>
          <w:sz w:val="28"/>
          <w:szCs w:val="28"/>
        </w:rPr>
        <w:t xml:space="preserve">、签约等。 </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代表在投标过程中所签署的一切文件和处理与之有关的一切事务，本公司均予以认可  并对此承担责任。被授权人无转委托权。特此授权。</w:t>
      </w:r>
    </w:p>
    <w:p w14:paraId="439EC6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6"/>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本授权书自出具之日起生效。 特此声明。</w:t>
      </w:r>
    </w:p>
    <w:p w14:paraId="4BA77EBE">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05B9E8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7"/>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法定代表人联系方式：</w:t>
      </w:r>
      <w:r>
        <w:rPr>
          <w:rFonts w:hint="eastAsia" w:ascii="仿宋" w:hAnsi="仿宋" w:eastAsia="仿宋" w:cs="仿宋"/>
          <w:color w:val="auto"/>
          <w:spacing w:val="0"/>
          <w:w w:val="100"/>
          <w:position w:val="0"/>
          <w:sz w:val="28"/>
          <w:szCs w:val="28"/>
          <w:u w:val="single" w:color="auto"/>
        </w:rPr>
        <w:t xml:space="preserve"> (手机号码)       </w:t>
      </w:r>
      <w:r>
        <w:rPr>
          <w:rFonts w:hint="eastAsia" w:ascii="仿宋" w:hAnsi="仿宋" w:eastAsia="仿宋" w:cs="仿宋"/>
          <w:color w:val="auto"/>
          <w:spacing w:val="0"/>
          <w:w w:val="100"/>
          <w:position w:val="0"/>
          <w:sz w:val="28"/>
          <w:szCs w:val="28"/>
        </w:rPr>
        <w:t xml:space="preserve"> </w:t>
      </w:r>
    </w:p>
    <w:p w14:paraId="7DD6D9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7"/>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授权委托人联系方式：</w:t>
      </w:r>
      <w:r>
        <w:rPr>
          <w:rFonts w:hint="eastAsia" w:ascii="仿宋" w:hAnsi="仿宋" w:eastAsia="仿宋" w:cs="仿宋"/>
          <w:color w:val="auto"/>
          <w:spacing w:val="0"/>
          <w:w w:val="100"/>
          <w:position w:val="0"/>
          <w:sz w:val="28"/>
          <w:szCs w:val="28"/>
          <w:u w:val="single" w:color="auto"/>
        </w:rPr>
        <w:t xml:space="preserve"> (手机号码)        </w:t>
      </w:r>
    </w:p>
    <w:p w14:paraId="47F73C94">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5E9FDB2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法人代表签字或盖章：</w:t>
      </w:r>
      <w:r>
        <w:rPr>
          <w:rFonts w:hint="eastAsia" w:ascii="仿宋" w:hAnsi="仿宋" w:eastAsia="仿宋" w:cs="仿宋"/>
          <w:color w:val="auto"/>
          <w:spacing w:val="0"/>
          <w:w w:val="100"/>
          <w:position w:val="0"/>
          <w:sz w:val="28"/>
          <w:szCs w:val="28"/>
          <w:u w:val="single" w:color="auto"/>
        </w:rPr>
        <w:t xml:space="preserve">                     </w:t>
      </w:r>
    </w:p>
    <w:p w14:paraId="5727B399">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代理人(被授权人)签字或盖章：</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w:t>
      </w:r>
    </w:p>
    <w:p w14:paraId="55C4E5B2">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电子签章：</w:t>
      </w:r>
      <w:r>
        <w:rPr>
          <w:rFonts w:hint="eastAsia" w:ascii="仿宋" w:hAnsi="仿宋" w:eastAsia="仿宋" w:cs="仿宋"/>
          <w:color w:val="auto"/>
          <w:spacing w:val="0"/>
          <w:w w:val="100"/>
          <w:position w:val="0"/>
          <w:sz w:val="28"/>
          <w:szCs w:val="28"/>
          <w:u w:val="single" w:color="auto"/>
        </w:rPr>
        <w:t xml:space="preserve">                        </w:t>
      </w:r>
    </w:p>
    <w:p w14:paraId="46DF2C0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授权委托日期：</w:t>
      </w:r>
      <w:r>
        <w:rPr>
          <w:rFonts w:hint="eastAsia" w:ascii="仿宋" w:hAnsi="仿宋" w:eastAsia="仿宋" w:cs="仿宋"/>
          <w:color w:val="auto"/>
          <w:spacing w:val="0"/>
          <w:w w:val="100"/>
          <w:position w:val="0"/>
          <w:sz w:val="28"/>
          <w:szCs w:val="28"/>
          <w:u w:val="single" w:color="auto"/>
        </w:rPr>
        <w:t xml:space="preserve">                  </w:t>
      </w:r>
    </w:p>
    <w:p w14:paraId="5C9B33C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w:t>
      </w:r>
    </w:p>
    <w:p w14:paraId="2E695EF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1.本项目只允许有唯一的</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授权代表，提供身份证明扫描件；</w:t>
      </w:r>
    </w:p>
    <w:p w14:paraId="0D98085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 法定代表人参加投标的无需提供授权书，提供身份证明扫描件。</w:t>
      </w:r>
    </w:p>
    <w:p w14:paraId="71293F9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19" w:type="default"/>
          <w:pgSz w:w="11922" w:h="16849"/>
          <w:pgMar w:top="1440" w:right="1803" w:bottom="1440" w:left="1803" w:header="1134" w:footer="1253" w:gutter="0"/>
          <w:pgNumType w:fmt="decimal"/>
          <w:cols w:space="0" w:num="1"/>
          <w:rtlGutter w:val="0"/>
          <w:docGrid w:linePitch="0" w:charSpace="0"/>
        </w:sectPr>
      </w:pPr>
    </w:p>
    <w:p w14:paraId="030DE492">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38" w:name="_Toc5757"/>
      <w:r>
        <w:rPr>
          <w:rFonts w:hint="eastAsia" w:ascii="仿宋" w:hAnsi="仿宋" w:eastAsia="仿宋" w:cs="仿宋"/>
          <w:b/>
          <w:bCs/>
          <w:color w:val="auto"/>
          <w:spacing w:val="0"/>
          <w:w w:val="100"/>
          <w:position w:val="0"/>
          <w:sz w:val="28"/>
          <w:szCs w:val="28"/>
        </w:rPr>
        <w:t>五、</w:t>
      </w:r>
      <w:r>
        <w:rPr>
          <w:rFonts w:hint="eastAsia" w:ascii="仿宋" w:hAnsi="仿宋" w:eastAsia="仿宋" w:cs="仿宋"/>
          <w:color w:val="auto"/>
          <w:spacing w:val="0"/>
          <w:w w:val="100"/>
          <w:position w:val="0"/>
          <w:sz w:val="28"/>
          <w:szCs w:val="28"/>
        </w:rPr>
        <w:t xml:space="preserve"> </w:t>
      </w:r>
      <w:r>
        <w:rPr>
          <w:rFonts w:hint="eastAsia" w:ascii="仿宋" w:hAnsi="仿宋" w:eastAsia="仿宋" w:cs="仿宋"/>
          <w:b/>
          <w:bCs/>
          <w:color w:val="auto"/>
          <w:spacing w:val="0"/>
          <w:w w:val="100"/>
          <w:position w:val="0"/>
          <w:sz w:val="28"/>
          <w:szCs w:val="28"/>
        </w:rPr>
        <w:t>供应商业绩表</w:t>
      </w:r>
      <w:bookmarkEnd w:id="38"/>
    </w:p>
    <w:p w14:paraId="6FF9918E">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（格式自拟）</w:t>
      </w:r>
    </w:p>
    <w:p w14:paraId="5CB010F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20" w:type="default"/>
          <w:pgSz w:w="11922" w:h="16849"/>
          <w:pgMar w:top="1440" w:right="1803" w:bottom="1440" w:left="1803" w:header="1134" w:footer="1253" w:gutter="0"/>
          <w:pgNumType w:fmt="decimal"/>
          <w:cols w:space="0" w:num="1"/>
          <w:rtlGutter w:val="0"/>
          <w:docGrid w:linePitch="0" w:charSpace="0"/>
        </w:sectPr>
      </w:pPr>
    </w:p>
    <w:p w14:paraId="70C0C422">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39" w:name="_Toc23922"/>
      <w:r>
        <w:rPr>
          <w:rFonts w:hint="eastAsia" w:ascii="仿宋" w:hAnsi="仿宋" w:eastAsia="仿宋" w:cs="仿宋"/>
          <w:b/>
          <w:bCs/>
          <w:color w:val="auto"/>
          <w:spacing w:val="0"/>
          <w:w w:val="100"/>
          <w:position w:val="0"/>
          <w:sz w:val="28"/>
          <w:szCs w:val="28"/>
        </w:rPr>
        <w:t>六、投标响应表</w:t>
      </w:r>
      <w:bookmarkEnd w:id="39"/>
    </w:p>
    <w:p w14:paraId="1B14682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6.1商务响应表</w:t>
      </w:r>
    </w:p>
    <w:tbl>
      <w:tblPr>
        <w:tblStyle w:val="22"/>
        <w:tblW w:w="8661"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1913"/>
        <w:gridCol w:w="2495"/>
        <w:gridCol w:w="1872"/>
        <w:gridCol w:w="1650"/>
      </w:tblGrid>
      <w:tr w14:paraId="74354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31" w:type="dxa"/>
            <w:vAlign w:val="center"/>
          </w:tcPr>
          <w:p w14:paraId="0762AA9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val="en-US" w:eastAsia="zh-CN"/>
              </w:rPr>
            </w:pPr>
            <w:r>
              <w:rPr>
                <w:rFonts w:hint="eastAsia" w:ascii="仿宋" w:hAnsi="仿宋" w:eastAsia="仿宋" w:cs="仿宋"/>
                <w:color w:val="auto"/>
                <w:spacing w:val="0"/>
                <w:w w:val="100"/>
                <w:position w:val="0"/>
                <w:sz w:val="28"/>
                <w:szCs w:val="28"/>
                <w:lang w:val="en-US" w:eastAsia="zh-CN"/>
              </w:rPr>
              <w:t>序号</w:t>
            </w:r>
          </w:p>
        </w:tc>
        <w:tc>
          <w:tcPr>
            <w:tcW w:w="1913" w:type="dxa"/>
            <w:vAlign w:val="center"/>
          </w:tcPr>
          <w:p w14:paraId="365DF4F6">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商务条款</w:t>
            </w:r>
          </w:p>
        </w:tc>
        <w:tc>
          <w:tcPr>
            <w:tcW w:w="2495" w:type="dxa"/>
            <w:vAlign w:val="center"/>
          </w:tcPr>
          <w:p w14:paraId="398A403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征集文件要求</w:t>
            </w:r>
          </w:p>
        </w:tc>
        <w:tc>
          <w:tcPr>
            <w:tcW w:w="1872" w:type="dxa"/>
            <w:vAlign w:val="center"/>
          </w:tcPr>
          <w:p w14:paraId="395C6785">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供应商承诺</w:t>
            </w:r>
          </w:p>
        </w:tc>
        <w:tc>
          <w:tcPr>
            <w:tcW w:w="1650" w:type="dxa"/>
            <w:vAlign w:val="center"/>
          </w:tcPr>
          <w:p w14:paraId="09A4C5C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偏离说明</w:t>
            </w:r>
          </w:p>
        </w:tc>
      </w:tr>
      <w:tr w14:paraId="5ED2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1" w:type="dxa"/>
            <w:vAlign w:val="center"/>
          </w:tcPr>
          <w:p w14:paraId="0B326A8A">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p>
        </w:tc>
        <w:tc>
          <w:tcPr>
            <w:tcW w:w="1913" w:type="dxa"/>
            <w:vAlign w:val="top"/>
          </w:tcPr>
          <w:p w14:paraId="5E441C3C">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付款方式</w:t>
            </w:r>
          </w:p>
        </w:tc>
        <w:tc>
          <w:tcPr>
            <w:tcW w:w="2495" w:type="dxa"/>
            <w:vAlign w:val="top"/>
          </w:tcPr>
          <w:p w14:paraId="308A8F6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72" w:type="dxa"/>
            <w:vAlign w:val="top"/>
          </w:tcPr>
          <w:p w14:paraId="2C1D897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650" w:type="dxa"/>
            <w:vAlign w:val="top"/>
          </w:tcPr>
          <w:p w14:paraId="031DAF8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7515B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1" w:type="dxa"/>
            <w:vAlign w:val="center"/>
          </w:tcPr>
          <w:p w14:paraId="6082E58F">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w:t>
            </w:r>
          </w:p>
        </w:tc>
        <w:tc>
          <w:tcPr>
            <w:tcW w:w="1913" w:type="dxa"/>
            <w:vAlign w:val="top"/>
          </w:tcPr>
          <w:p w14:paraId="2D02DAD7">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服务地点</w:t>
            </w:r>
          </w:p>
        </w:tc>
        <w:tc>
          <w:tcPr>
            <w:tcW w:w="2495" w:type="dxa"/>
            <w:vAlign w:val="top"/>
          </w:tcPr>
          <w:p w14:paraId="079B71E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72" w:type="dxa"/>
            <w:vAlign w:val="top"/>
          </w:tcPr>
          <w:p w14:paraId="2FE21AE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650" w:type="dxa"/>
            <w:vAlign w:val="top"/>
          </w:tcPr>
          <w:p w14:paraId="0E7A9D6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4F1E7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31" w:type="dxa"/>
            <w:vAlign w:val="center"/>
          </w:tcPr>
          <w:p w14:paraId="280AFB86">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w:t>
            </w:r>
          </w:p>
        </w:tc>
        <w:tc>
          <w:tcPr>
            <w:tcW w:w="1913" w:type="dxa"/>
            <w:vAlign w:val="top"/>
          </w:tcPr>
          <w:p w14:paraId="40DFFF2A">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服务期限</w:t>
            </w:r>
          </w:p>
        </w:tc>
        <w:tc>
          <w:tcPr>
            <w:tcW w:w="2495" w:type="dxa"/>
            <w:vAlign w:val="top"/>
          </w:tcPr>
          <w:p w14:paraId="45084C5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72" w:type="dxa"/>
            <w:vAlign w:val="top"/>
          </w:tcPr>
          <w:p w14:paraId="67AD548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650" w:type="dxa"/>
            <w:vAlign w:val="top"/>
          </w:tcPr>
          <w:p w14:paraId="650E58E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6CBB7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31" w:type="dxa"/>
            <w:vAlign w:val="top"/>
          </w:tcPr>
          <w:p w14:paraId="72110995">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w:t>
            </w:r>
          </w:p>
        </w:tc>
        <w:tc>
          <w:tcPr>
            <w:tcW w:w="1913" w:type="dxa"/>
            <w:vAlign w:val="top"/>
          </w:tcPr>
          <w:p w14:paraId="412BB76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495" w:type="dxa"/>
            <w:vAlign w:val="top"/>
          </w:tcPr>
          <w:p w14:paraId="3A1ECFE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72" w:type="dxa"/>
            <w:vAlign w:val="top"/>
          </w:tcPr>
          <w:p w14:paraId="49617AA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650" w:type="dxa"/>
            <w:vAlign w:val="top"/>
          </w:tcPr>
          <w:p w14:paraId="603D8D4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bl>
    <w:p w14:paraId="47BD12B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电子签章：</w:t>
      </w:r>
      <w:r>
        <w:rPr>
          <w:rFonts w:hint="eastAsia" w:ascii="仿宋" w:hAnsi="仿宋" w:eastAsia="仿宋" w:cs="仿宋"/>
          <w:color w:val="auto"/>
          <w:spacing w:val="0"/>
          <w:w w:val="100"/>
          <w:position w:val="0"/>
          <w:sz w:val="28"/>
          <w:szCs w:val="28"/>
          <w:u w:val="single" w:color="auto"/>
        </w:rPr>
        <w:t xml:space="preserve">                 </w:t>
      </w:r>
    </w:p>
    <w:p w14:paraId="405F271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日        期：</w:t>
      </w:r>
      <w:r>
        <w:rPr>
          <w:rFonts w:hint="eastAsia" w:ascii="仿宋" w:hAnsi="仿宋" w:eastAsia="仿宋" w:cs="仿宋"/>
          <w:color w:val="auto"/>
          <w:spacing w:val="0"/>
          <w:w w:val="100"/>
          <w:position w:val="0"/>
          <w:sz w:val="28"/>
          <w:szCs w:val="28"/>
          <w:u w:val="single" w:color="auto"/>
        </w:rPr>
        <w:t xml:space="preserve">              </w:t>
      </w:r>
    </w:p>
    <w:p w14:paraId="7F2702E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21" w:type="default"/>
          <w:pgSz w:w="11922" w:h="16849"/>
          <w:pgMar w:top="1440" w:right="1803" w:bottom="1440" w:left="1803" w:header="1134" w:footer="1253" w:gutter="0"/>
          <w:pgNumType w:fmt="decimal"/>
          <w:cols w:space="0" w:num="1"/>
          <w:rtlGutter w:val="0"/>
          <w:docGrid w:linePitch="0" w:charSpace="0"/>
        </w:sectPr>
      </w:pPr>
    </w:p>
    <w:p w14:paraId="282CCEA3">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40" w:name="_Toc32037"/>
      <w:r>
        <w:rPr>
          <w:rFonts w:hint="eastAsia" w:ascii="仿宋" w:hAnsi="仿宋" w:eastAsia="仿宋" w:cs="仿宋"/>
          <w:b/>
          <w:bCs/>
          <w:color w:val="auto"/>
          <w:spacing w:val="0"/>
          <w:w w:val="100"/>
          <w:position w:val="0"/>
          <w:sz w:val="28"/>
          <w:szCs w:val="28"/>
        </w:rPr>
        <w:t>七、人员配备</w:t>
      </w:r>
      <w:bookmarkEnd w:id="40"/>
    </w:p>
    <w:p w14:paraId="2E248A48">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拟派项目负责人简历表（仅供参考）</w:t>
      </w:r>
    </w:p>
    <w:tbl>
      <w:tblPr>
        <w:tblStyle w:val="22"/>
        <w:tblW w:w="86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1328"/>
        <w:gridCol w:w="1448"/>
        <w:gridCol w:w="1290"/>
        <w:gridCol w:w="1620"/>
        <w:gridCol w:w="1410"/>
      </w:tblGrid>
      <w:tr w14:paraId="7FD7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573" w:type="dxa"/>
            <w:vAlign w:val="center"/>
          </w:tcPr>
          <w:p w14:paraId="279C2D56">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姓名</w:t>
            </w:r>
          </w:p>
        </w:tc>
        <w:tc>
          <w:tcPr>
            <w:tcW w:w="1328" w:type="dxa"/>
            <w:vAlign w:val="center"/>
          </w:tcPr>
          <w:p w14:paraId="5A720C16">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1448" w:type="dxa"/>
            <w:vAlign w:val="center"/>
          </w:tcPr>
          <w:p w14:paraId="68AD7DC5">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性别</w:t>
            </w:r>
          </w:p>
        </w:tc>
        <w:tc>
          <w:tcPr>
            <w:tcW w:w="1290" w:type="dxa"/>
            <w:vAlign w:val="center"/>
          </w:tcPr>
          <w:p w14:paraId="30DD11DF">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1620" w:type="dxa"/>
            <w:vAlign w:val="center"/>
          </w:tcPr>
          <w:p w14:paraId="11EA31B0">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出生年月</w:t>
            </w:r>
          </w:p>
        </w:tc>
        <w:tc>
          <w:tcPr>
            <w:tcW w:w="1410" w:type="dxa"/>
            <w:vAlign w:val="top"/>
          </w:tcPr>
          <w:p w14:paraId="649214B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28AF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Align w:val="center"/>
          </w:tcPr>
          <w:p w14:paraId="29B75BEC">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文化程度</w:t>
            </w:r>
          </w:p>
        </w:tc>
        <w:tc>
          <w:tcPr>
            <w:tcW w:w="1328" w:type="dxa"/>
            <w:vAlign w:val="center"/>
          </w:tcPr>
          <w:p w14:paraId="2EBBBD0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1448" w:type="dxa"/>
            <w:vAlign w:val="center"/>
          </w:tcPr>
          <w:p w14:paraId="5F1CE3C8">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专业</w:t>
            </w:r>
          </w:p>
        </w:tc>
        <w:tc>
          <w:tcPr>
            <w:tcW w:w="1290" w:type="dxa"/>
            <w:vAlign w:val="center"/>
          </w:tcPr>
          <w:p w14:paraId="7EE1D85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1620" w:type="dxa"/>
            <w:vAlign w:val="center"/>
          </w:tcPr>
          <w:p w14:paraId="41233701">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政治面貌</w:t>
            </w:r>
          </w:p>
        </w:tc>
        <w:tc>
          <w:tcPr>
            <w:tcW w:w="1410" w:type="dxa"/>
            <w:vAlign w:val="top"/>
          </w:tcPr>
          <w:p w14:paraId="38B05EF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2947A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573" w:type="dxa"/>
            <w:vAlign w:val="center"/>
          </w:tcPr>
          <w:p w14:paraId="73318147">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现任职务</w:t>
            </w:r>
          </w:p>
        </w:tc>
        <w:tc>
          <w:tcPr>
            <w:tcW w:w="1328" w:type="dxa"/>
            <w:vAlign w:val="center"/>
          </w:tcPr>
          <w:p w14:paraId="34EFC7D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1448" w:type="dxa"/>
            <w:vAlign w:val="center"/>
          </w:tcPr>
          <w:p w14:paraId="066E2FB0">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技术职称</w:t>
            </w:r>
          </w:p>
        </w:tc>
        <w:tc>
          <w:tcPr>
            <w:tcW w:w="1290" w:type="dxa"/>
            <w:vAlign w:val="center"/>
          </w:tcPr>
          <w:p w14:paraId="55C4B7B1">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p>
        </w:tc>
        <w:tc>
          <w:tcPr>
            <w:tcW w:w="1620" w:type="dxa"/>
            <w:vAlign w:val="center"/>
          </w:tcPr>
          <w:p w14:paraId="05A5917B">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聘任时间</w:t>
            </w:r>
          </w:p>
        </w:tc>
        <w:tc>
          <w:tcPr>
            <w:tcW w:w="1410" w:type="dxa"/>
            <w:vAlign w:val="top"/>
          </w:tcPr>
          <w:p w14:paraId="55107BD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19D3C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1573" w:type="dxa"/>
            <w:vAlign w:val="top"/>
          </w:tcPr>
          <w:p w14:paraId="28D29A3D">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color w:val="auto"/>
                <w:spacing w:val="0"/>
                <w:w w:val="100"/>
                <w:position w:val="0"/>
                <w:sz w:val="28"/>
                <w:szCs w:val="28"/>
              </w:rPr>
              <w:t>在本单位从业年限</w:t>
            </w:r>
          </w:p>
        </w:tc>
        <w:tc>
          <w:tcPr>
            <w:tcW w:w="7096" w:type="dxa"/>
            <w:gridSpan w:val="5"/>
            <w:vAlign w:val="top"/>
          </w:tcPr>
          <w:p w14:paraId="27F5435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6D78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573" w:type="dxa"/>
            <w:vMerge w:val="restart"/>
            <w:tcBorders>
              <w:bottom w:val="nil"/>
            </w:tcBorders>
            <w:vAlign w:val="center"/>
          </w:tcPr>
          <w:p w14:paraId="1447D218">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289"/>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(注册)</w:t>
            </w:r>
          </w:p>
          <w:p w14:paraId="1CBCEBF6">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289"/>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证书及编号</w:t>
            </w:r>
          </w:p>
        </w:tc>
        <w:tc>
          <w:tcPr>
            <w:tcW w:w="1328" w:type="dxa"/>
            <w:vAlign w:val="top"/>
          </w:tcPr>
          <w:p w14:paraId="3729F1B9">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序号</w:t>
            </w:r>
          </w:p>
        </w:tc>
        <w:tc>
          <w:tcPr>
            <w:tcW w:w="2738" w:type="dxa"/>
            <w:gridSpan w:val="2"/>
            <w:vAlign w:val="top"/>
          </w:tcPr>
          <w:p w14:paraId="4D2587BC">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证书名</w:t>
            </w:r>
          </w:p>
        </w:tc>
        <w:tc>
          <w:tcPr>
            <w:tcW w:w="3030" w:type="dxa"/>
            <w:gridSpan w:val="2"/>
            <w:vAlign w:val="top"/>
          </w:tcPr>
          <w:p w14:paraId="0030FAD8">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证书号</w:t>
            </w:r>
          </w:p>
        </w:tc>
      </w:tr>
      <w:tr w14:paraId="678D6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573" w:type="dxa"/>
            <w:vMerge w:val="continue"/>
            <w:tcBorders>
              <w:top w:val="nil"/>
              <w:bottom w:val="nil"/>
            </w:tcBorders>
            <w:vAlign w:val="top"/>
          </w:tcPr>
          <w:p w14:paraId="50C9921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328" w:type="dxa"/>
            <w:vAlign w:val="top"/>
          </w:tcPr>
          <w:p w14:paraId="682C208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38" w:type="dxa"/>
            <w:gridSpan w:val="2"/>
            <w:vAlign w:val="top"/>
          </w:tcPr>
          <w:p w14:paraId="6EC6C13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3030" w:type="dxa"/>
            <w:gridSpan w:val="2"/>
            <w:vAlign w:val="top"/>
          </w:tcPr>
          <w:p w14:paraId="780521E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0E67D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3" w:type="dxa"/>
            <w:vMerge w:val="continue"/>
            <w:tcBorders>
              <w:top w:val="nil"/>
              <w:bottom w:val="nil"/>
            </w:tcBorders>
            <w:vAlign w:val="top"/>
          </w:tcPr>
          <w:p w14:paraId="6D48773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328" w:type="dxa"/>
            <w:vAlign w:val="top"/>
          </w:tcPr>
          <w:p w14:paraId="4D07821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38" w:type="dxa"/>
            <w:gridSpan w:val="2"/>
            <w:vAlign w:val="top"/>
          </w:tcPr>
          <w:p w14:paraId="25A26C3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3030" w:type="dxa"/>
            <w:gridSpan w:val="2"/>
            <w:vAlign w:val="top"/>
          </w:tcPr>
          <w:p w14:paraId="630F316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45DB7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tcBorders>
            <w:vAlign w:val="top"/>
          </w:tcPr>
          <w:p w14:paraId="5EBE6C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328" w:type="dxa"/>
            <w:vAlign w:val="top"/>
          </w:tcPr>
          <w:p w14:paraId="1D47D43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38" w:type="dxa"/>
            <w:gridSpan w:val="2"/>
            <w:vAlign w:val="top"/>
          </w:tcPr>
          <w:p w14:paraId="1D5ADB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3030" w:type="dxa"/>
            <w:gridSpan w:val="2"/>
            <w:vAlign w:val="top"/>
          </w:tcPr>
          <w:p w14:paraId="493D434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40236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restart"/>
            <w:tcBorders>
              <w:bottom w:val="nil"/>
            </w:tcBorders>
            <w:vAlign w:val="center"/>
          </w:tcPr>
          <w:p w14:paraId="4EC91F69">
            <w:pPr>
              <w:pStyle w:val="2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主要经历和业绩</w:t>
            </w:r>
          </w:p>
        </w:tc>
        <w:tc>
          <w:tcPr>
            <w:tcW w:w="2776" w:type="dxa"/>
            <w:gridSpan w:val="2"/>
            <w:vAlign w:val="top"/>
          </w:tcPr>
          <w:p w14:paraId="771A741E">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工作起止时间</w:t>
            </w:r>
          </w:p>
        </w:tc>
        <w:tc>
          <w:tcPr>
            <w:tcW w:w="4320" w:type="dxa"/>
            <w:gridSpan w:val="3"/>
            <w:vAlign w:val="top"/>
          </w:tcPr>
          <w:p w14:paraId="08AB668A">
            <w:pPr>
              <w:pStyle w:val="23"/>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经历及主要业绩</w:t>
            </w:r>
          </w:p>
        </w:tc>
      </w:tr>
      <w:tr w14:paraId="6C25E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573" w:type="dxa"/>
            <w:vMerge w:val="continue"/>
            <w:tcBorders>
              <w:top w:val="nil"/>
              <w:bottom w:val="nil"/>
            </w:tcBorders>
            <w:vAlign w:val="top"/>
          </w:tcPr>
          <w:p w14:paraId="30BBE28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76" w:type="dxa"/>
            <w:gridSpan w:val="2"/>
            <w:vAlign w:val="top"/>
          </w:tcPr>
          <w:p w14:paraId="51E942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4320" w:type="dxa"/>
            <w:gridSpan w:val="3"/>
            <w:vAlign w:val="top"/>
          </w:tcPr>
          <w:p w14:paraId="37E9CEA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1933C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bottom w:val="nil"/>
            </w:tcBorders>
            <w:vAlign w:val="top"/>
          </w:tcPr>
          <w:p w14:paraId="766179E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76" w:type="dxa"/>
            <w:gridSpan w:val="2"/>
            <w:vAlign w:val="top"/>
          </w:tcPr>
          <w:p w14:paraId="422854E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4320" w:type="dxa"/>
            <w:gridSpan w:val="3"/>
            <w:vAlign w:val="top"/>
          </w:tcPr>
          <w:p w14:paraId="6F008A3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4623F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bottom w:val="nil"/>
            </w:tcBorders>
            <w:vAlign w:val="top"/>
          </w:tcPr>
          <w:p w14:paraId="306B811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76" w:type="dxa"/>
            <w:gridSpan w:val="2"/>
            <w:vAlign w:val="top"/>
          </w:tcPr>
          <w:p w14:paraId="1EAEAB2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4320" w:type="dxa"/>
            <w:gridSpan w:val="3"/>
            <w:vAlign w:val="top"/>
          </w:tcPr>
          <w:p w14:paraId="371C42E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73DED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tcBorders>
            <w:vAlign w:val="top"/>
          </w:tcPr>
          <w:p w14:paraId="6FD39B3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2776" w:type="dxa"/>
            <w:gridSpan w:val="2"/>
            <w:vAlign w:val="top"/>
          </w:tcPr>
          <w:p w14:paraId="4878C7B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4320" w:type="dxa"/>
            <w:gridSpan w:val="3"/>
            <w:vAlign w:val="top"/>
          </w:tcPr>
          <w:p w14:paraId="3BBFD7D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4F67D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1573" w:type="dxa"/>
            <w:vAlign w:val="center"/>
          </w:tcPr>
          <w:p w14:paraId="2EAE0B3A">
            <w:pPr>
              <w:pStyle w:val="23"/>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说明</w:t>
            </w:r>
          </w:p>
        </w:tc>
        <w:tc>
          <w:tcPr>
            <w:tcW w:w="7096" w:type="dxa"/>
            <w:gridSpan w:val="5"/>
            <w:vAlign w:val="top"/>
          </w:tcPr>
          <w:p w14:paraId="0C5CF2D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bl>
    <w:p w14:paraId="2F58726B">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174DAE9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注明：后附相关证明材料复印件并加盖</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公章。</w:t>
      </w:r>
    </w:p>
    <w:p w14:paraId="626F6C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22" w:type="default"/>
          <w:pgSz w:w="11922" w:h="16849"/>
          <w:pgMar w:top="1440" w:right="1803" w:bottom="1440" w:left="1803" w:header="1134" w:footer="1253" w:gutter="0"/>
          <w:pgNumType w:fmt="decimal"/>
          <w:cols w:space="0" w:num="1"/>
          <w:rtlGutter w:val="0"/>
          <w:docGrid w:linePitch="0" w:charSpace="0"/>
        </w:sectPr>
      </w:pPr>
    </w:p>
    <w:p w14:paraId="0C897B69">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拟派人员一览表（仅供参考）</w:t>
      </w:r>
    </w:p>
    <w:tbl>
      <w:tblPr>
        <w:tblStyle w:val="22"/>
        <w:tblW w:w="8270"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1132"/>
        <w:gridCol w:w="990"/>
        <w:gridCol w:w="1558"/>
        <w:gridCol w:w="1898"/>
        <w:gridCol w:w="1551"/>
      </w:tblGrid>
      <w:tr w14:paraId="07361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141" w:type="dxa"/>
            <w:vAlign w:val="center"/>
          </w:tcPr>
          <w:p w14:paraId="011792CD">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序号</w:t>
            </w:r>
          </w:p>
        </w:tc>
        <w:tc>
          <w:tcPr>
            <w:tcW w:w="1132" w:type="dxa"/>
            <w:vAlign w:val="center"/>
          </w:tcPr>
          <w:p w14:paraId="76105E18">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姓名</w:t>
            </w:r>
          </w:p>
        </w:tc>
        <w:tc>
          <w:tcPr>
            <w:tcW w:w="990" w:type="dxa"/>
            <w:vAlign w:val="center"/>
          </w:tcPr>
          <w:p w14:paraId="685CB172">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职称</w:t>
            </w:r>
          </w:p>
        </w:tc>
        <w:tc>
          <w:tcPr>
            <w:tcW w:w="1558" w:type="dxa"/>
            <w:vAlign w:val="center"/>
          </w:tcPr>
          <w:p w14:paraId="7C71750A">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资格证书号</w:t>
            </w:r>
          </w:p>
        </w:tc>
        <w:tc>
          <w:tcPr>
            <w:tcW w:w="1898" w:type="dxa"/>
            <w:vAlign w:val="center"/>
          </w:tcPr>
          <w:p w14:paraId="25B4F14F">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注册证书号</w:t>
            </w:r>
          </w:p>
        </w:tc>
        <w:tc>
          <w:tcPr>
            <w:tcW w:w="1551" w:type="dxa"/>
            <w:vAlign w:val="center"/>
          </w:tcPr>
          <w:p w14:paraId="15FC8172">
            <w:pPr>
              <w:pStyle w:val="23"/>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学历</w:t>
            </w:r>
          </w:p>
        </w:tc>
      </w:tr>
      <w:tr w14:paraId="7FF9E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32DC8C6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432E4B8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34C90AB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0B9C785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32B1DAA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15646EE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01CD3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41" w:type="dxa"/>
            <w:vAlign w:val="top"/>
          </w:tcPr>
          <w:p w14:paraId="60A091B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5C58FA8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085F71B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0447D68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16E3668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72638BA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073D0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75BCAC0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678445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3F8B1E5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12F9293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71FDDDD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2C702C0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3546A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41" w:type="dxa"/>
            <w:vAlign w:val="top"/>
          </w:tcPr>
          <w:p w14:paraId="5C8CB9F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25EBCE4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462DAD7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36CEC97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5A3A72C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7EEB346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189C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66505F6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110908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3F67EE3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005F1B8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11EEEBC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7137C96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215A3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64C9359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57CEDE9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71020CD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038C565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782453B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6471F98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0F741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0124E34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503BA7E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32B5D89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64CAB87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63160AF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1BADFEB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1CFAA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3862327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590B52F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3D41CC3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69C2AD9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032ACDE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61B662A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7148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1C5A4E2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310546C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7EB22C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2E932F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6256DE1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6A4E3FC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52660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621ACF4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7F46CDC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72903B5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5F6AAD6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0AED55A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2444E86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3303F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75B48B5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345E9A9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0A693ED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4641FDE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6CBA28C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4A8B50C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3CAD6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4C820FC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38456F1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710C752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4373ED8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386F714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727BD2A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769CA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686B59B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1827B5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6AA2DBD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5F33519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65044BB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2C6E782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3C394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73262AE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5E92E21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5966680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2D18318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38CD47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31FD383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r w14:paraId="30DD4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141" w:type="dxa"/>
            <w:vAlign w:val="top"/>
          </w:tcPr>
          <w:p w14:paraId="1A7335E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132" w:type="dxa"/>
            <w:vAlign w:val="top"/>
          </w:tcPr>
          <w:p w14:paraId="49C9F2C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990" w:type="dxa"/>
            <w:vAlign w:val="top"/>
          </w:tcPr>
          <w:p w14:paraId="5CAC5FF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8" w:type="dxa"/>
            <w:vAlign w:val="top"/>
          </w:tcPr>
          <w:p w14:paraId="0BED7F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898" w:type="dxa"/>
            <w:vAlign w:val="top"/>
          </w:tcPr>
          <w:p w14:paraId="40DD635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c>
          <w:tcPr>
            <w:tcW w:w="1551" w:type="dxa"/>
            <w:vAlign w:val="top"/>
          </w:tcPr>
          <w:p w14:paraId="700D1B5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tc>
      </w:tr>
    </w:tbl>
    <w:p w14:paraId="4BDBFB7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注明：后附相关证明材料复印件并加盖</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公章。</w:t>
      </w:r>
    </w:p>
    <w:p w14:paraId="67B755E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23" w:type="default"/>
          <w:pgSz w:w="11922" w:h="16849"/>
          <w:pgMar w:top="1440" w:right="1803" w:bottom="1440" w:left="1803" w:header="1134" w:footer="1253" w:gutter="0"/>
          <w:pgNumType w:fmt="decimal"/>
          <w:cols w:space="0" w:num="1"/>
          <w:rtlGutter w:val="0"/>
          <w:docGrid w:linePitch="0" w:charSpace="0"/>
        </w:sectPr>
      </w:pPr>
    </w:p>
    <w:p w14:paraId="56892B99">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41" w:name="_Toc1478"/>
      <w:r>
        <w:rPr>
          <w:rFonts w:hint="eastAsia" w:ascii="仿宋" w:hAnsi="仿宋" w:eastAsia="仿宋" w:cs="仿宋"/>
          <w:b/>
          <w:bCs/>
          <w:color w:val="auto"/>
          <w:spacing w:val="0"/>
          <w:w w:val="100"/>
          <w:position w:val="0"/>
          <w:sz w:val="28"/>
          <w:szCs w:val="28"/>
        </w:rPr>
        <w:t>八、服务方案</w:t>
      </w:r>
      <w:bookmarkEnd w:id="41"/>
    </w:p>
    <w:p w14:paraId="6A71374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eastAsia="zh-CN"/>
        </w:rPr>
        <w:sectPr>
          <w:footerReference r:id="rId24"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lang w:val="en-US" w:eastAsia="zh-CN"/>
        </w:rPr>
        <w:t>供应商自行制作格式</w:t>
      </w:r>
      <w:r>
        <w:rPr>
          <w:rFonts w:hint="eastAsia" w:ascii="仿宋" w:hAnsi="仿宋" w:eastAsia="仿宋" w:cs="仿宋"/>
          <w:color w:val="auto"/>
          <w:spacing w:val="0"/>
          <w:w w:val="100"/>
          <w:position w:val="0"/>
          <w:sz w:val="28"/>
          <w:szCs w:val="28"/>
          <w:lang w:eastAsia="zh-CN"/>
        </w:rPr>
        <w:t>）</w:t>
      </w:r>
    </w:p>
    <w:p w14:paraId="5AB9F978">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42" w:name="_Toc9322"/>
      <w:r>
        <w:rPr>
          <w:rFonts w:hint="eastAsia" w:ascii="仿宋" w:hAnsi="仿宋" w:eastAsia="仿宋" w:cs="仿宋"/>
          <w:b/>
          <w:bCs/>
          <w:color w:val="auto"/>
          <w:spacing w:val="0"/>
          <w:w w:val="100"/>
          <w:position w:val="0"/>
          <w:sz w:val="28"/>
          <w:szCs w:val="28"/>
        </w:rPr>
        <w:t>九、服务承诺</w:t>
      </w:r>
      <w:bookmarkEnd w:id="42"/>
    </w:p>
    <w:p w14:paraId="19CFF1DA">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lang w:eastAsia="zh-CN"/>
        </w:rPr>
        <w:sectPr>
          <w:footerReference r:id="rId25"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lang w:eastAsia="zh-CN"/>
        </w:rPr>
        <w:t>（</w:t>
      </w:r>
      <w:r>
        <w:rPr>
          <w:rFonts w:hint="eastAsia" w:ascii="仿宋" w:hAnsi="仿宋" w:eastAsia="仿宋" w:cs="仿宋"/>
          <w:color w:val="auto"/>
          <w:spacing w:val="0"/>
          <w:w w:val="100"/>
          <w:position w:val="0"/>
          <w:sz w:val="28"/>
          <w:szCs w:val="28"/>
          <w:lang w:val="en-US" w:eastAsia="zh-CN"/>
        </w:rPr>
        <w:t>供应商自行制作格式</w:t>
      </w:r>
      <w:r>
        <w:rPr>
          <w:rFonts w:hint="eastAsia" w:ascii="仿宋" w:hAnsi="仿宋" w:eastAsia="仿宋" w:cs="仿宋"/>
          <w:color w:val="auto"/>
          <w:spacing w:val="0"/>
          <w:w w:val="100"/>
          <w:position w:val="0"/>
          <w:sz w:val="28"/>
          <w:szCs w:val="28"/>
          <w:lang w:eastAsia="zh-CN"/>
        </w:rPr>
        <w:t>）</w:t>
      </w:r>
    </w:p>
    <w:p w14:paraId="64B3ED0B">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rPr>
      </w:pPr>
      <w:bookmarkStart w:id="43" w:name="_Toc4055"/>
      <w:r>
        <w:rPr>
          <w:rFonts w:hint="eastAsia" w:ascii="仿宋" w:hAnsi="仿宋" w:eastAsia="仿宋" w:cs="仿宋"/>
          <w:b/>
          <w:bCs/>
          <w:color w:val="auto"/>
          <w:spacing w:val="0"/>
          <w:w w:val="100"/>
          <w:position w:val="0"/>
          <w:sz w:val="28"/>
          <w:szCs w:val="28"/>
        </w:rPr>
        <w:t>十、联合体协议</w:t>
      </w:r>
      <w:bookmarkEnd w:id="43"/>
    </w:p>
    <w:p w14:paraId="5F31F0E4">
      <w:pPr>
        <w:pageBreakBefore w:val="0"/>
        <w:kinsoku w:val="0"/>
        <w:wordWrap/>
        <w:overflowPunct/>
        <w:topLinePunct w:val="0"/>
        <w:bidi w:val="0"/>
        <w:adjustRightInd w:val="0"/>
        <w:snapToGrid w:val="0"/>
        <w:spacing w:line="360" w:lineRule="auto"/>
        <w:ind w:left="0" w:leftChars="0" w:right="0" w:rightChars="0" w:firstLine="421"/>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(不允许联合体投标或未组成联合体投标,不需此件;允许联合体投标且</w:t>
      </w:r>
      <w:r>
        <w:rPr>
          <w:rFonts w:hint="eastAsia" w:ascii="仿宋" w:hAnsi="仿宋" w:eastAsia="仿宋" w:cs="仿宋"/>
          <w:color w:val="auto"/>
          <w:spacing w:val="0"/>
          <w:w w:val="100"/>
          <w:position w:val="0"/>
          <w:sz w:val="28"/>
          <w:szCs w:val="28"/>
          <w:lang w:eastAsia="zh-CN"/>
        </w:rPr>
        <w:t>供应商</w:t>
      </w:r>
      <w:r>
        <w:rPr>
          <w:rFonts w:hint="eastAsia" w:ascii="仿宋" w:hAnsi="仿宋" w:eastAsia="仿宋" w:cs="仿宋"/>
          <w:color w:val="auto"/>
          <w:spacing w:val="0"/>
          <w:w w:val="100"/>
          <w:position w:val="0"/>
          <w:sz w:val="28"/>
          <w:szCs w:val="28"/>
        </w:rPr>
        <w:t>为联合体投标的, 请将此件加盖公章后制成扫描件上传)</w:t>
      </w:r>
    </w:p>
    <w:p w14:paraId="042CFC4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联合体成员一名称：</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0A60B6D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联合体成员二名称：</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u w:val="single" w:color="auto"/>
          <w:lang w:val="en-US" w:eastAsia="zh-CN"/>
        </w:rPr>
        <w:t xml:space="preserve">      </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7559472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w:t>
      </w:r>
    </w:p>
    <w:p w14:paraId="407F4E53">
      <w:pPr>
        <w:pageBreakBefore w:val="0"/>
        <w:kinsoku w:val="0"/>
        <w:wordWrap/>
        <w:overflowPunct/>
        <w:topLinePunct w:val="0"/>
        <w:bidi w:val="0"/>
        <w:adjustRightInd w:val="0"/>
        <w:snapToGrid w:val="0"/>
        <w:spacing w:line="360" w:lineRule="auto"/>
        <w:ind w:left="0" w:leftChars="0" w:right="0" w:rightChars="0" w:firstLine="436"/>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上述各成员单位经过友好协商，自愿组成联合体，共同参加本项目的投标，现就联合体投 标事宜订立如下协议：</w:t>
      </w:r>
    </w:p>
    <w:p w14:paraId="5B4070A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1.</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(某成员单位名称) 为联合体牵头人。</w:t>
      </w:r>
    </w:p>
    <w:p w14:paraId="20D667D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2.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w:t>
      </w:r>
      <w:r>
        <w:rPr>
          <w:rFonts w:hint="eastAsia" w:ascii="仿宋" w:hAnsi="仿宋" w:eastAsia="仿宋" w:cs="仿宋"/>
          <w:color w:val="auto"/>
          <w:spacing w:val="0"/>
          <w:w w:val="100"/>
          <w:position w:val="0"/>
          <w:sz w:val="28"/>
          <w:szCs w:val="28"/>
          <w:lang w:eastAsia="zh-CN"/>
        </w:rPr>
        <w:t>成交后</w:t>
      </w:r>
      <w:r>
        <w:rPr>
          <w:rFonts w:hint="eastAsia" w:ascii="仿宋" w:hAnsi="仿宋" w:eastAsia="仿宋" w:cs="仿宋"/>
          <w:color w:val="auto"/>
          <w:spacing w:val="0"/>
          <w:w w:val="100"/>
          <w:position w:val="0"/>
          <w:sz w:val="28"/>
          <w:szCs w:val="28"/>
        </w:rPr>
        <w:t>，联合体各方共同与</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签订合同，就本项目对</w:t>
      </w:r>
      <w:r>
        <w:rPr>
          <w:rFonts w:hint="eastAsia" w:ascii="仿宋" w:hAnsi="仿宋" w:eastAsia="仿宋" w:cs="仿宋"/>
          <w:color w:val="auto"/>
          <w:spacing w:val="0"/>
          <w:w w:val="100"/>
          <w:position w:val="0"/>
          <w:sz w:val="28"/>
          <w:szCs w:val="28"/>
          <w:lang w:eastAsia="zh-CN"/>
        </w:rPr>
        <w:t>征集人</w:t>
      </w:r>
      <w:r>
        <w:rPr>
          <w:rFonts w:hint="eastAsia" w:ascii="仿宋" w:hAnsi="仿宋" w:eastAsia="仿宋" w:cs="仿宋"/>
          <w:color w:val="auto"/>
          <w:spacing w:val="0"/>
          <w:w w:val="100"/>
          <w:position w:val="0"/>
          <w:sz w:val="28"/>
          <w:szCs w:val="28"/>
        </w:rPr>
        <w:t>承担连带责任。</w:t>
      </w:r>
    </w:p>
    <w:p w14:paraId="44B8639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3.联合体各成员单位内部的职责分工及各方负责内容的合同金额占总合同金额 的百分比如下：</w:t>
      </w:r>
    </w:p>
    <w:p w14:paraId="6739694E">
      <w:pPr>
        <w:pageBreakBefore w:val="0"/>
        <w:kinsoku w:val="0"/>
        <w:wordWrap/>
        <w:overflowPunct/>
        <w:topLinePunct w:val="0"/>
        <w:bidi w:val="0"/>
        <w:adjustRightInd w:val="0"/>
        <w:snapToGrid w:val="0"/>
        <w:spacing w:line="360" w:lineRule="auto"/>
        <w:ind w:left="0" w:leftChars="0" w:right="0" w:rightChars="0" w:firstLine="415"/>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联合体成员一名称：</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，承担</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工作，负责内容的合同金额占 总合同金额的百分比：</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48FD0B48">
      <w:pPr>
        <w:pageBreakBefore w:val="0"/>
        <w:kinsoku w:val="0"/>
        <w:wordWrap/>
        <w:overflowPunct/>
        <w:topLinePunct w:val="0"/>
        <w:bidi w:val="0"/>
        <w:adjustRightInd w:val="0"/>
        <w:snapToGrid w:val="0"/>
        <w:spacing w:line="360" w:lineRule="auto"/>
        <w:ind w:left="0" w:leftChars="0" w:right="0" w:rightChars="0" w:firstLine="425"/>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联合体成员二名称：</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，承担</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工作，负责内容的合同金 额占总合同金额的百分比：</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w:t>
      </w:r>
    </w:p>
    <w:p w14:paraId="4CC922D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 ” ”</w:t>
      </w:r>
    </w:p>
    <w:p w14:paraId="49DCE0B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4.投标工作和联合体在</w:t>
      </w:r>
      <w:r>
        <w:rPr>
          <w:rFonts w:hint="eastAsia" w:ascii="仿宋" w:hAnsi="仿宋" w:eastAsia="仿宋" w:cs="仿宋"/>
          <w:color w:val="auto"/>
          <w:spacing w:val="0"/>
          <w:w w:val="100"/>
          <w:position w:val="0"/>
          <w:sz w:val="28"/>
          <w:szCs w:val="28"/>
          <w:lang w:eastAsia="zh-CN"/>
        </w:rPr>
        <w:t>成交后</w:t>
      </w:r>
      <w:r>
        <w:rPr>
          <w:rFonts w:hint="eastAsia" w:ascii="仿宋" w:hAnsi="仿宋" w:eastAsia="仿宋" w:cs="仿宋"/>
          <w:color w:val="auto"/>
          <w:spacing w:val="0"/>
          <w:w w:val="100"/>
          <w:position w:val="0"/>
          <w:sz w:val="28"/>
          <w:szCs w:val="28"/>
        </w:rPr>
        <w:t>项目实施过程中的有关费用按各自承担的工作量分摊。</w:t>
      </w:r>
    </w:p>
    <w:p w14:paraId="7465A49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5.联合体</w:t>
      </w:r>
      <w:r>
        <w:rPr>
          <w:rFonts w:hint="eastAsia" w:ascii="仿宋" w:hAnsi="仿宋" w:eastAsia="仿宋" w:cs="仿宋"/>
          <w:color w:val="auto"/>
          <w:spacing w:val="0"/>
          <w:w w:val="100"/>
          <w:position w:val="0"/>
          <w:sz w:val="28"/>
          <w:szCs w:val="28"/>
          <w:lang w:eastAsia="zh-CN"/>
        </w:rPr>
        <w:t>成交后</w:t>
      </w:r>
      <w:r>
        <w:rPr>
          <w:rFonts w:hint="eastAsia" w:ascii="仿宋" w:hAnsi="仿宋" w:eastAsia="仿宋" w:cs="仿宋"/>
          <w:color w:val="auto"/>
          <w:spacing w:val="0"/>
          <w:w w:val="100"/>
          <w:position w:val="0"/>
          <w:sz w:val="28"/>
          <w:szCs w:val="28"/>
        </w:rPr>
        <w:t>，本联合体协议是合同的附件， 对联合体各成员单位有合同约束力。</w:t>
      </w:r>
    </w:p>
    <w:p w14:paraId="21F07B4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xml:space="preserve">6.本协议书自签署之日起生效，联合体未中标或者合同履行完毕后自动失效。 </w:t>
      </w:r>
    </w:p>
    <w:p w14:paraId="64D5824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6FD2A7C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联合体成员一：</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(公章)</w:t>
      </w:r>
    </w:p>
    <w:p w14:paraId="466354E4">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(签字或盖章) 联合体成员二：</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(公章)</w:t>
      </w:r>
    </w:p>
    <w:p w14:paraId="768EABD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法定代表人：</w:t>
      </w:r>
      <w:r>
        <w:rPr>
          <w:rFonts w:hint="eastAsia" w:ascii="仿宋" w:hAnsi="仿宋" w:eastAsia="仿宋" w:cs="仿宋"/>
          <w:color w:val="auto"/>
          <w:spacing w:val="0"/>
          <w:w w:val="100"/>
          <w:position w:val="0"/>
          <w:sz w:val="28"/>
          <w:szCs w:val="28"/>
          <w:u w:val="single" w:color="auto"/>
        </w:rPr>
        <w:t xml:space="preserve">                               </w:t>
      </w:r>
      <w:r>
        <w:rPr>
          <w:rFonts w:hint="eastAsia" w:ascii="仿宋" w:hAnsi="仿宋" w:eastAsia="仿宋" w:cs="仿宋"/>
          <w:color w:val="auto"/>
          <w:spacing w:val="0"/>
          <w:w w:val="100"/>
          <w:position w:val="0"/>
          <w:sz w:val="28"/>
          <w:szCs w:val="28"/>
        </w:rPr>
        <w:t xml:space="preserve"> (签字或盖章)</w:t>
      </w:r>
    </w:p>
    <w:p w14:paraId="2F7968C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 ” ” ”</w:t>
      </w:r>
    </w:p>
    <w:p w14:paraId="3F413E4A">
      <w:pPr>
        <w:pageBreakBefore w:val="0"/>
        <w:kinsoku w:val="0"/>
        <w:wordWrap/>
        <w:overflowPunct/>
        <w:topLinePunct w:val="0"/>
        <w:bidi w:val="0"/>
        <w:adjustRightInd w:val="0"/>
        <w:snapToGrid w:val="0"/>
        <w:spacing w:line="360" w:lineRule="auto"/>
        <w:ind w:left="0" w:leftChars="0" w:right="0" w:rightChars="0"/>
        <w:jc w:val="right"/>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签 订 日 期 ：  年    月       日</w:t>
      </w:r>
    </w:p>
    <w:p w14:paraId="371B755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sectPr>
          <w:footerReference r:id="rId26" w:type="default"/>
          <w:pgSz w:w="11922" w:h="16849"/>
          <w:pgMar w:top="1440" w:right="1803" w:bottom="1440" w:left="1803" w:header="1134" w:footer="1253" w:gutter="0"/>
          <w:pgNumType w:fmt="decimal"/>
          <w:cols w:space="0" w:num="1"/>
          <w:rtlGutter w:val="0"/>
          <w:docGrid w:linePitch="0" w:charSpace="0"/>
        </w:sectPr>
      </w:pPr>
    </w:p>
    <w:p w14:paraId="04213A10">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rPr>
      </w:pPr>
      <w:bookmarkStart w:id="44" w:name="_Toc25779"/>
      <w:r>
        <w:rPr>
          <w:rFonts w:hint="eastAsia" w:ascii="仿宋" w:hAnsi="仿宋" w:eastAsia="仿宋" w:cs="仿宋"/>
          <w:b/>
          <w:bCs/>
          <w:color w:val="auto"/>
          <w:spacing w:val="0"/>
          <w:w w:val="100"/>
          <w:position w:val="0"/>
          <w:sz w:val="28"/>
          <w:szCs w:val="28"/>
          <w:lang w:val="en-US" w:eastAsia="zh-CN"/>
        </w:rPr>
        <w:t>十一</w:t>
      </w:r>
      <w:r>
        <w:rPr>
          <w:rFonts w:hint="eastAsia" w:ascii="仿宋" w:hAnsi="仿宋" w:eastAsia="仿宋" w:cs="仿宋"/>
          <w:b/>
          <w:bCs/>
          <w:color w:val="auto"/>
          <w:spacing w:val="0"/>
          <w:w w:val="100"/>
          <w:position w:val="0"/>
          <w:sz w:val="28"/>
          <w:szCs w:val="28"/>
        </w:rPr>
        <w:t>、其他相关证明材料</w:t>
      </w:r>
      <w:bookmarkEnd w:id="44"/>
    </w:p>
    <w:p w14:paraId="5773714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提供符合征集公告(投标邀请）、采购需求及评标方法和标准规定的相关证明文件。</w:t>
      </w:r>
    </w:p>
    <w:p w14:paraId="1B8DB996">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36107996">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03BD93AC">
      <w:pPr>
        <w:pStyle w:val="11"/>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p>
    <w:p w14:paraId="25C2B67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特别提示:</w:t>
      </w:r>
    </w:p>
    <w:p w14:paraId="1BC0C3E0">
      <w:pPr>
        <w:pageBreakBefore w:val="0"/>
        <w:kinsoku w:val="0"/>
        <w:wordWrap/>
        <w:overflowPunct/>
        <w:topLinePunct w:val="0"/>
        <w:bidi w:val="0"/>
        <w:adjustRightInd w:val="0"/>
        <w:snapToGrid w:val="0"/>
        <w:spacing w:line="360" w:lineRule="auto"/>
        <w:ind w:left="0" w:leftChars="0" w:right="0" w:rightChars="0" w:firstLine="424"/>
        <w:textAlignment w:val="baseline"/>
        <w:rPr>
          <w:rFonts w:hint="eastAsia" w:ascii="仿宋" w:hAnsi="仿宋" w:eastAsia="仿宋" w:cs="仿宋"/>
          <w:color w:val="auto"/>
          <w:spacing w:val="0"/>
          <w:w w:val="100"/>
          <w:position w:val="0"/>
          <w:sz w:val="28"/>
          <w:szCs w:val="28"/>
        </w:rPr>
      </w:pPr>
      <w:r>
        <w:rPr>
          <w:rFonts w:hint="eastAsia" w:ascii="仿宋" w:hAnsi="仿宋" w:eastAsia="仿宋" w:cs="仿宋"/>
          <w:color w:val="auto"/>
          <w:spacing w:val="0"/>
          <w:w w:val="100"/>
          <w:position w:val="0"/>
          <w:sz w:val="28"/>
          <w:szCs w:val="28"/>
        </w:rPr>
        <w:t>供应商在征集响应文件制作时可在此栏内上传征集文件要求上传的证明资料，如营业执照、税务登记证、人员证书、资质证书、荣誉奖项等，应将上述证明材料制作成扫描件上传。</w:t>
      </w:r>
    </w:p>
    <w:sectPr>
      <w:footerReference r:id="rId27" w:type="default"/>
      <w:pgSz w:w="11922" w:h="16849"/>
      <w:pgMar w:top="1440" w:right="1803" w:bottom="1440" w:left="1803" w:header="1134" w:footer="125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8FB1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2E9E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E2E9E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D6DF">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CBDFF">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BCBDFF">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7638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E620A">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6E620A">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65EE">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AA7DC">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AFAA7DC">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43">
    <w:pPr>
      <w:pStyle w:val="11"/>
      <w:spacing w:line="184" w:lineRule="auto"/>
      <w:ind w:left="436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63927">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63927">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6143">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5D02E">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55D02E">
                    <w:pPr>
                      <w:pStyle w:val="1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068B2">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3358B">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B3358B">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8B2A7">
    <w:pPr>
      <w:pStyle w:val="11"/>
      <w:spacing w:line="184" w:lineRule="auto"/>
      <w:ind w:left="408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3A167">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F83A167">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58377">
    <w:pPr>
      <w:pStyle w:val="11"/>
      <w:spacing w:line="184" w:lineRule="auto"/>
      <w:ind w:left="4207"/>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4953E">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E84953E">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8087">
    <w:pPr>
      <w:pStyle w:val="1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3C475">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DF3C475">
                    <w:pPr>
                      <w:pStyle w:val="1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3CF6F">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F4390">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92F4390">
                    <w:pPr>
                      <w:pStyle w:val="1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ECAE">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CCBF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CCCBF4">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73AE">
    <w:pPr>
      <w:pStyle w:val="1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93BDC">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4393BDC">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E032">
    <w:pPr>
      <w:pStyle w:val="1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2AC88">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992AC88">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FC0E">
    <w:pPr>
      <w:pStyle w:val="1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DD7BC">
                          <w:pPr>
                            <w:pStyle w:val="1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F6DD7BC">
                    <w:pPr>
                      <w:pStyle w:val="1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201F">
    <w:pPr>
      <w:pStyle w:val="11"/>
      <w:spacing w:line="14" w:lineRule="auto"/>
      <w:rPr>
        <w:sz w:val="2"/>
      </w:rPr>
    </w:pPr>
    <w:r>
      <w:rPr>
        <w:sz w:val="2"/>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434AC">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D1434AC">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9F1A">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68B4A">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068B4A">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F0B2">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6D253">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436D253">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1E18">
    <w:pPr>
      <w:pStyle w:val="11"/>
      <w:spacing w:line="184" w:lineRule="auto"/>
      <w:ind w:left="4542"/>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5CA2D">
                          <w:pPr>
                            <w:pStyle w:val="1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75CA2D">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40FB">
    <w:pPr>
      <w:pStyle w:val="11"/>
      <w:spacing w:line="184" w:lineRule="auto"/>
      <w:ind w:left="4486"/>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6156D">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36156D">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631B1">
    <w:pPr>
      <w:spacing w:line="167" w:lineRule="auto"/>
      <w:ind w:left="4214"/>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097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09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F9431">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25pt;mso-position-horizontal:center;mso-position-horizontal-relative:margin;z-index:251665408;mso-width-relative:page;mso-height-relative:page;" filled="f" stroked="f" coordsize="21600,21600" o:gfxdata="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AI6iTSAAAABAEAAA8AAAAAAAAAAQAgAAAAIgAAAGRycy9kb3ducmV2Lnht&#10;bFBLAQIUABQAAAAIAIdO4kCpUGHMOAIAAGIEAAAOAAAAAAAAAAEAIAAAACEBAABkcnMvZTJvRG9j&#10;LnhtbFBLBQYAAAAABgAGAFkBAADLBQAAAAA=&#10;">
              <v:fill on="f" focussize="0,0"/>
              <v:stroke on="f" weight="0.5pt"/>
              <v:imagedata o:title=""/>
              <o:lock v:ext="edit" aspectratio="f"/>
              <v:textbox inset="0mm,0mm,0mm,0mm" style="mso-fit-shape-to-text:t;">
                <w:txbxContent>
                  <w:p w14:paraId="415F9431">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1B7D">
    <w:pPr>
      <w:spacing w:line="167" w:lineRule="auto"/>
      <w:ind w:left="4014"/>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65496">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BF65496">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DFBE">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0393">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990393">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EwYzEwOGNkNWYwNTY1MDJiYTRhMDgzZTZkM2EyMWIifQ=="/>
  </w:docVars>
  <w:rsids>
    <w:rsidRoot w:val="00000000"/>
    <w:rsid w:val="01C901A1"/>
    <w:rsid w:val="02BC4F06"/>
    <w:rsid w:val="02EB448C"/>
    <w:rsid w:val="036D4905"/>
    <w:rsid w:val="03C829F6"/>
    <w:rsid w:val="03CC7180"/>
    <w:rsid w:val="03E86C76"/>
    <w:rsid w:val="05842CD1"/>
    <w:rsid w:val="066761DB"/>
    <w:rsid w:val="07BA7FB4"/>
    <w:rsid w:val="0827498B"/>
    <w:rsid w:val="0A8173F8"/>
    <w:rsid w:val="0A9B28F7"/>
    <w:rsid w:val="0AF963B5"/>
    <w:rsid w:val="0E711378"/>
    <w:rsid w:val="0F4F368A"/>
    <w:rsid w:val="0FED0DC8"/>
    <w:rsid w:val="10325C7B"/>
    <w:rsid w:val="105B2462"/>
    <w:rsid w:val="10727A27"/>
    <w:rsid w:val="11875983"/>
    <w:rsid w:val="13110A31"/>
    <w:rsid w:val="138B2F9B"/>
    <w:rsid w:val="159643E7"/>
    <w:rsid w:val="15AC02FF"/>
    <w:rsid w:val="16CE694C"/>
    <w:rsid w:val="19405E7C"/>
    <w:rsid w:val="198F6550"/>
    <w:rsid w:val="1A3418C5"/>
    <w:rsid w:val="1A512B1C"/>
    <w:rsid w:val="1A6C5913"/>
    <w:rsid w:val="1B873A07"/>
    <w:rsid w:val="1BDB2AF0"/>
    <w:rsid w:val="1C69207F"/>
    <w:rsid w:val="1C6A6CC6"/>
    <w:rsid w:val="1EB00694"/>
    <w:rsid w:val="1F120336"/>
    <w:rsid w:val="1FA71066"/>
    <w:rsid w:val="20AC0F62"/>
    <w:rsid w:val="220C7482"/>
    <w:rsid w:val="224D4E8B"/>
    <w:rsid w:val="230A4C69"/>
    <w:rsid w:val="240B1985"/>
    <w:rsid w:val="249718DE"/>
    <w:rsid w:val="24DE7951"/>
    <w:rsid w:val="25324AE2"/>
    <w:rsid w:val="25614148"/>
    <w:rsid w:val="26DC58B7"/>
    <w:rsid w:val="277A5916"/>
    <w:rsid w:val="291B71E4"/>
    <w:rsid w:val="293E4722"/>
    <w:rsid w:val="297840D8"/>
    <w:rsid w:val="2A4168D8"/>
    <w:rsid w:val="2A6B09ED"/>
    <w:rsid w:val="2AD96DF8"/>
    <w:rsid w:val="2B2A5D24"/>
    <w:rsid w:val="2B894C93"/>
    <w:rsid w:val="2CF16BCB"/>
    <w:rsid w:val="2ECD73FA"/>
    <w:rsid w:val="315B5B6B"/>
    <w:rsid w:val="32F16347"/>
    <w:rsid w:val="332B21BB"/>
    <w:rsid w:val="333659B6"/>
    <w:rsid w:val="33F205A1"/>
    <w:rsid w:val="35056FAB"/>
    <w:rsid w:val="351D1FD7"/>
    <w:rsid w:val="35731BB6"/>
    <w:rsid w:val="35C85A92"/>
    <w:rsid w:val="35E46651"/>
    <w:rsid w:val="3660217B"/>
    <w:rsid w:val="37305FF2"/>
    <w:rsid w:val="383C09C6"/>
    <w:rsid w:val="39B74775"/>
    <w:rsid w:val="39E82BB3"/>
    <w:rsid w:val="3A2212AF"/>
    <w:rsid w:val="3AEF63EA"/>
    <w:rsid w:val="3CE358B4"/>
    <w:rsid w:val="3D7F4C0F"/>
    <w:rsid w:val="3E240008"/>
    <w:rsid w:val="3FA93097"/>
    <w:rsid w:val="3FE40DEE"/>
    <w:rsid w:val="40362FE4"/>
    <w:rsid w:val="41184492"/>
    <w:rsid w:val="4307713D"/>
    <w:rsid w:val="43625E85"/>
    <w:rsid w:val="43D212BD"/>
    <w:rsid w:val="449A71A0"/>
    <w:rsid w:val="45192DDB"/>
    <w:rsid w:val="452D5D95"/>
    <w:rsid w:val="45CF69D6"/>
    <w:rsid w:val="45F57367"/>
    <w:rsid w:val="49DF4B68"/>
    <w:rsid w:val="49F8146E"/>
    <w:rsid w:val="4AB04258"/>
    <w:rsid w:val="4AC9433B"/>
    <w:rsid w:val="4B2B0B52"/>
    <w:rsid w:val="4CC77104"/>
    <w:rsid w:val="4D3D38EE"/>
    <w:rsid w:val="4DF23BA9"/>
    <w:rsid w:val="4E4F4B57"/>
    <w:rsid w:val="4F0179C8"/>
    <w:rsid w:val="51820C15"/>
    <w:rsid w:val="5271581E"/>
    <w:rsid w:val="52FB34A3"/>
    <w:rsid w:val="547C7DBE"/>
    <w:rsid w:val="550752E8"/>
    <w:rsid w:val="55376345"/>
    <w:rsid w:val="55A75279"/>
    <w:rsid w:val="56723AD9"/>
    <w:rsid w:val="579502B5"/>
    <w:rsid w:val="583F72BB"/>
    <w:rsid w:val="588355D1"/>
    <w:rsid w:val="588D0722"/>
    <w:rsid w:val="5A0C5FF2"/>
    <w:rsid w:val="5A767910"/>
    <w:rsid w:val="5B21797E"/>
    <w:rsid w:val="5BE70AC5"/>
    <w:rsid w:val="5CC92B77"/>
    <w:rsid w:val="5E7C3EF2"/>
    <w:rsid w:val="5F5C0449"/>
    <w:rsid w:val="5FD84369"/>
    <w:rsid w:val="60841A5A"/>
    <w:rsid w:val="60F1769A"/>
    <w:rsid w:val="627E2F39"/>
    <w:rsid w:val="63521ABA"/>
    <w:rsid w:val="63F5500B"/>
    <w:rsid w:val="64BC3993"/>
    <w:rsid w:val="65672BAC"/>
    <w:rsid w:val="65CE4FA7"/>
    <w:rsid w:val="66ED0F5A"/>
    <w:rsid w:val="67726250"/>
    <w:rsid w:val="67C21A5D"/>
    <w:rsid w:val="67F00D02"/>
    <w:rsid w:val="680270A0"/>
    <w:rsid w:val="69167FA7"/>
    <w:rsid w:val="69A4217F"/>
    <w:rsid w:val="69BF5656"/>
    <w:rsid w:val="6A372C18"/>
    <w:rsid w:val="6A3C1469"/>
    <w:rsid w:val="6B5E5F82"/>
    <w:rsid w:val="6B75270C"/>
    <w:rsid w:val="6CDC2709"/>
    <w:rsid w:val="6ECB0731"/>
    <w:rsid w:val="6F3B6D06"/>
    <w:rsid w:val="6FD34B11"/>
    <w:rsid w:val="702B7CF4"/>
    <w:rsid w:val="703B10C1"/>
    <w:rsid w:val="704F65DD"/>
    <w:rsid w:val="719A47D5"/>
    <w:rsid w:val="726D2375"/>
    <w:rsid w:val="72C34FE8"/>
    <w:rsid w:val="73DA313E"/>
    <w:rsid w:val="73FD28A5"/>
    <w:rsid w:val="74814B36"/>
    <w:rsid w:val="76DE3348"/>
    <w:rsid w:val="77706971"/>
    <w:rsid w:val="7A1A1C0E"/>
    <w:rsid w:val="7BEB5610"/>
    <w:rsid w:val="7CAD6FC9"/>
    <w:rsid w:val="7D953D7C"/>
    <w:rsid w:val="7E0D3F64"/>
    <w:rsid w:val="7E3C2153"/>
    <w:rsid w:val="7EBF93E6"/>
    <w:rsid w:val="7EE80764"/>
    <w:rsid w:val="BFF98A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szCs w:val="24"/>
    </w:rPr>
  </w:style>
  <w:style w:type="paragraph" w:styleId="3">
    <w:name w:val="Body Text Indent"/>
    <w:basedOn w:val="1"/>
    <w:next w:val="4"/>
    <w:qFormat/>
    <w:uiPriority w:val="99"/>
    <w:pPr>
      <w:autoSpaceDE/>
      <w:autoSpaceDN/>
      <w:spacing w:after="120"/>
      <w:ind w:left="420" w:leftChars="200"/>
      <w:jc w:val="both"/>
    </w:pPr>
    <w:rPr>
      <w:rFonts w:ascii="Times New Roman" w:hAnsi="Times New Roman" w:cs="Times New Roman"/>
      <w:kern w:val="2"/>
      <w:sz w:val="21"/>
      <w:szCs w:val="24"/>
      <w:lang w:val="en-US" w:bidi="ar-SA"/>
    </w:rPr>
  </w:style>
  <w:style w:type="paragraph" w:styleId="4">
    <w:name w:val="envelope return"/>
    <w:basedOn w:val="1"/>
    <w:qFormat/>
    <w:uiPriority w:val="0"/>
    <w:pPr>
      <w:snapToGrid w:val="0"/>
    </w:pPr>
    <w:rPr>
      <w:rFonts w:ascii="Arial" w:hAnsi="Arial" w:cs="Arial"/>
      <w:szCs w:val="20"/>
    </w:rPr>
  </w:style>
  <w:style w:type="paragraph" w:styleId="9">
    <w:name w:val="Normal Indent"/>
    <w:basedOn w:val="1"/>
    <w:qFormat/>
    <w:uiPriority w:val="0"/>
    <w:pPr>
      <w:ind w:firstLine="420"/>
    </w:pPr>
    <w:rPr>
      <w:szCs w:val="20"/>
    </w:rPr>
  </w:style>
  <w:style w:type="paragraph" w:styleId="10">
    <w:name w:val="annotation text"/>
    <w:basedOn w:val="1"/>
    <w:qFormat/>
    <w:uiPriority w:val="0"/>
    <w:pPr>
      <w:jc w:val="left"/>
    </w:pPr>
  </w:style>
  <w:style w:type="paragraph" w:styleId="11">
    <w:name w:val="Body Text"/>
    <w:basedOn w:val="1"/>
    <w:semiHidden/>
    <w:qFormat/>
    <w:uiPriority w:val="0"/>
    <w:rPr>
      <w:rFonts w:ascii="Arial" w:hAnsi="Arial" w:eastAsia="Arial" w:cs="Arial"/>
      <w:sz w:val="21"/>
      <w:szCs w:val="21"/>
      <w:lang w:val="en-US" w:eastAsia="en-US" w:bidi="ar-SA"/>
    </w:rPr>
  </w:style>
  <w:style w:type="paragraph" w:styleId="12">
    <w:name w:val="toc 3"/>
    <w:basedOn w:val="1"/>
    <w:next w:val="1"/>
    <w:qFormat/>
    <w:uiPriority w:val="0"/>
    <w:pPr>
      <w:ind w:left="840" w:leftChars="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TML Sample"/>
    <w:basedOn w:val="20"/>
    <w:qFormat/>
    <w:uiPriority w:val="0"/>
    <w:rPr>
      <w:rFonts w:ascii="Courier New" w:hAnsi="Courier New"/>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仿宋" w:hAnsi="仿宋" w:eastAsia="仿宋" w:cs="仿宋"/>
      <w:sz w:val="24"/>
      <w:szCs w:val="24"/>
      <w:lang w:val="en-US" w:eastAsia="en-US" w:bidi="ar-SA"/>
    </w:rPr>
  </w:style>
  <w:style w:type="paragraph" w:customStyle="1" w:styleId="24">
    <w:name w:val="Table Paragraph"/>
    <w:basedOn w:val="1"/>
    <w:qFormat/>
    <w:uiPriority w:val="1"/>
    <w:pPr>
      <w:autoSpaceDE w:val="0"/>
      <w:autoSpaceDN w:val="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12680</Words>
  <Characters>13476</Characters>
  <TotalTime>142</TotalTime>
  <ScaleCrop>false</ScaleCrop>
  <LinksUpToDate>false</LinksUpToDate>
  <CharactersWithSpaces>13690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2024-06-07T16:49:00Z</dcterms:created>
  <dc:creator>NTKO</dc:creator>
  <cp:lastModifiedBy>Hi小刘同学</cp:lastModifiedBy>
  <cp:lastPrinted>2024-11-04T17:14:00Z</cp:lastPrinted>
  <dcterms:modified xsi:type="dcterms:W3CDTF">2025-10-13T03:32:19Z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2024-10-24T09:04:12Z</vt:filetime>
  </property>
  <property fmtid="{D5CDD505-2E9C-101B-9397-08002B2CF9AE}" pid="4" name="KSOProductBuildVer">
    <vt:lpwstr>2052-12.1.0.22529</vt:lpwstr>
  </property>
  <property fmtid="{D5CDD505-2E9C-101B-9397-08002B2CF9AE}" pid="5" name="ICV">
    <vt:lpwstr>2DC74E6834A44CCCB06F0EF1E2017E0B_13</vt:lpwstr>
  </property>
  <property fmtid="{D5CDD505-2E9C-101B-9397-08002B2CF9AE}" pid="6" name="KSOTemplateDocerSaveRecord">
    <vt:lpwstr>eyJoZGlkIjoiZTEwYzEwOGNkNWYwNTY1MDJiYTRhMDgzZTZkM2EyMWIiLCJ1c2VySWQiOiIyMzUzMDI4NDYifQ==</vt:lpwstr>
  </property>
</Properties>
</file>