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sz w:val="52"/>
          <w:szCs w:val="52"/>
          <w:highlight w:val="none"/>
        </w:rPr>
      </w:pPr>
      <w:r>
        <w:rPr>
          <w:rFonts w:hint="eastAsia" w:ascii="宋体" w:hAnsi="宋体" w:eastAsia="宋体"/>
          <w:b/>
          <w:bCs/>
          <w:sz w:val="52"/>
          <w:szCs w:val="52"/>
          <w:highlight w:val="none"/>
        </w:rPr>
        <w:t xml:space="preserve"> </w:t>
      </w:r>
    </w:p>
    <w:p w14:paraId="6725B9D7">
      <w:pPr>
        <w:tabs>
          <w:tab w:val="left" w:pos="315"/>
          <w:tab w:val="left" w:pos="8820"/>
        </w:tabs>
        <w:spacing w:before="312" w:beforeLines="100" w:after="156" w:afterLines="50" w:line="500" w:lineRule="exact"/>
        <w:ind w:right="267" w:rightChars="127"/>
        <w:jc w:val="center"/>
        <w:rPr>
          <w:rFonts w:hint="eastAsia" w:ascii="宋体" w:hAnsi="宋体" w:eastAsia="宋体"/>
          <w:b/>
          <w:bCs/>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sz w:val="52"/>
          <w:szCs w:val="52"/>
          <w:highlight w:val="none"/>
        </w:rPr>
      </w:pPr>
      <w:bookmarkStart w:id="0" w:name="_Hlk9544796"/>
      <w:r>
        <w:rPr>
          <w:rFonts w:hint="eastAsia" w:ascii="宋体" w:hAnsi="宋体" w:eastAsia="宋体"/>
          <w:b/>
          <w:bCs/>
          <w:sz w:val="52"/>
          <w:szCs w:val="52"/>
          <w:highlight w:val="none"/>
        </w:rPr>
        <w:t>安徽省政府采购项目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sz w:val="52"/>
          <w:szCs w:val="52"/>
          <w:highlight w:val="none"/>
        </w:rPr>
      </w:pPr>
      <w:r>
        <w:rPr>
          <w:rFonts w:hint="eastAsia" w:ascii="宋体" w:hAnsi="宋体" w:eastAsia="宋体"/>
          <w:b/>
          <w:bCs/>
          <w:sz w:val="52"/>
          <w:szCs w:val="52"/>
          <w:highlight w:val="none"/>
        </w:rPr>
        <w:t>公开招标文件示范文本</w:t>
      </w:r>
      <w:bookmarkEnd w:id="0"/>
      <w:r>
        <w:rPr>
          <w:rFonts w:hint="eastAsia" w:ascii="宋体" w:hAnsi="宋体" w:eastAsia="宋体"/>
          <w:b/>
          <w:bCs/>
          <w:sz w:val="52"/>
          <w:szCs w:val="52"/>
          <w:highlight w:val="none"/>
        </w:rPr>
        <w:t>（货物类）</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sz w:val="52"/>
          <w:szCs w:val="52"/>
          <w:highlight w:val="none"/>
        </w:rPr>
      </w:pPr>
      <w:r>
        <w:rPr>
          <w:rFonts w:hint="eastAsia" w:ascii="宋体" w:hAnsi="宋体" w:eastAsia="宋体"/>
          <w:b/>
          <w:bCs/>
          <w:sz w:val="52"/>
          <w:szCs w:val="52"/>
          <w:highlight w:val="none"/>
        </w:rPr>
        <w:t>（2026年版）</w:t>
      </w:r>
    </w:p>
    <w:p w14:paraId="27483BD5">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07FFA10E">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项目名称：</w:t>
      </w:r>
      <w:r>
        <w:rPr>
          <w:rFonts w:hint="eastAsia" w:ascii="宋体" w:hAnsi="宋体" w:eastAsia="宋体"/>
          <w:b/>
          <w:spacing w:val="20"/>
          <w:kern w:val="0"/>
          <w:sz w:val="32"/>
          <w:szCs w:val="32"/>
          <w:highlight w:val="none"/>
          <w:u w:val="single"/>
        </w:rPr>
        <w:t>安徽职业技术大学2026年工业网络智能控制与维护系统项目</w:t>
      </w:r>
    </w:p>
    <w:p w14:paraId="3C8870C8">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项目编号：</w:t>
      </w:r>
      <w:r>
        <w:rPr>
          <w:rFonts w:hint="eastAsia" w:ascii="宋体" w:hAnsi="宋体" w:eastAsia="宋体"/>
          <w:b/>
          <w:spacing w:val="20"/>
          <w:kern w:val="0"/>
          <w:sz w:val="32"/>
          <w:szCs w:val="32"/>
          <w:highlight w:val="none"/>
          <w:u w:val="single"/>
        </w:rPr>
        <w:t>ZFCG-202629900052</w:t>
      </w:r>
    </w:p>
    <w:p w14:paraId="76A1B783">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 购 人：</w:t>
      </w:r>
      <w:r>
        <w:rPr>
          <w:rFonts w:hint="eastAsia" w:ascii="宋体" w:hAnsi="宋体" w:eastAsia="宋体"/>
          <w:b/>
          <w:spacing w:val="20"/>
          <w:kern w:val="0"/>
          <w:sz w:val="32"/>
          <w:szCs w:val="32"/>
          <w:highlight w:val="none"/>
          <w:u w:val="single"/>
        </w:rPr>
        <w:t>安徽职业技术大学</w:t>
      </w:r>
    </w:p>
    <w:p w14:paraId="092C3BD0">
      <w:pPr>
        <w:tabs>
          <w:tab w:val="left" w:pos="2410"/>
        </w:tabs>
        <w:autoSpaceDE w:val="0"/>
        <w:autoSpaceDN w:val="0"/>
        <w:adjustRightInd w:val="0"/>
        <w:snapToGrid w:val="0"/>
        <w:spacing w:line="360" w:lineRule="auto"/>
        <w:ind w:firstLine="723" w:firstLineChars="200"/>
        <w:rPr>
          <w:rFonts w:hint="eastAsia" w:ascii="宋体" w:hAnsi="宋体" w:eastAsia="宋体"/>
          <w:b/>
          <w:spacing w:val="20"/>
          <w:kern w:val="0"/>
          <w:sz w:val="32"/>
          <w:szCs w:val="32"/>
          <w:highlight w:val="none"/>
        </w:rPr>
      </w:pPr>
      <w:r>
        <w:rPr>
          <w:rFonts w:hint="eastAsia" w:ascii="宋体" w:hAnsi="宋体" w:eastAsia="宋体"/>
          <w:b/>
          <w:spacing w:val="20"/>
          <w:kern w:val="0"/>
          <w:sz w:val="32"/>
          <w:szCs w:val="32"/>
          <w:highlight w:val="none"/>
        </w:rPr>
        <w:t>采购代理机构：</w:t>
      </w:r>
      <w:r>
        <w:rPr>
          <w:rFonts w:hint="eastAsia" w:ascii="宋体" w:hAnsi="宋体" w:eastAsia="宋体"/>
          <w:b/>
          <w:spacing w:val="20"/>
          <w:kern w:val="0"/>
          <w:sz w:val="32"/>
          <w:szCs w:val="32"/>
          <w:highlight w:val="none"/>
          <w:u w:val="single"/>
        </w:rPr>
        <w:t>安徽中技工程咨询有限公司</w:t>
      </w:r>
    </w:p>
    <w:p w14:paraId="2993693E">
      <w:pPr>
        <w:tabs>
          <w:tab w:val="left" w:pos="315"/>
          <w:tab w:val="left" w:pos="8820"/>
        </w:tabs>
        <w:spacing w:before="312" w:beforeLines="100" w:after="156" w:afterLines="50" w:line="500" w:lineRule="exact"/>
        <w:ind w:right="267" w:rightChars="127"/>
        <w:jc w:val="center"/>
        <w:rPr>
          <w:rFonts w:hint="eastAsia" w:ascii="宋体" w:hAnsi="宋体" w:eastAsia="宋体"/>
          <w:b/>
          <w:bCs/>
          <w:sz w:val="44"/>
          <w:szCs w:val="44"/>
          <w:highlight w:val="none"/>
        </w:rPr>
      </w:pPr>
    </w:p>
    <w:p w14:paraId="33E1F0EF">
      <w:pPr>
        <w:tabs>
          <w:tab w:val="left" w:pos="2410"/>
        </w:tabs>
        <w:autoSpaceDE w:val="0"/>
        <w:autoSpaceDN w:val="0"/>
        <w:adjustRightInd w:val="0"/>
        <w:snapToGrid w:val="0"/>
        <w:spacing w:line="360" w:lineRule="auto"/>
        <w:jc w:val="center"/>
        <w:rPr>
          <w:rFonts w:hint="eastAsia" w:ascii="宋体" w:hAnsi="宋体" w:eastAsia="宋体"/>
          <w:b/>
          <w:sz w:val="36"/>
          <w:highlight w:val="none"/>
        </w:rPr>
      </w:pPr>
      <w:r>
        <w:rPr>
          <w:rFonts w:hint="eastAsia" w:ascii="宋体" w:hAnsi="宋体" w:eastAsia="宋体"/>
          <w:b/>
          <w:sz w:val="36"/>
          <w:highlight w:val="none"/>
          <w:u w:val="single"/>
        </w:rPr>
        <w:t>2026</w:t>
      </w:r>
      <w:r>
        <w:rPr>
          <w:rFonts w:hint="eastAsia" w:ascii="宋体" w:hAnsi="宋体" w:eastAsia="宋体"/>
          <w:b/>
          <w:sz w:val="36"/>
          <w:highlight w:val="none"/>
        </w:rPr>
        <w:t>年</w:t>
      </w:r>
      <w:r>
        <w:rPr>
          <w:rFonts w:hint="eastAsia" w:ascii="宋体" w:hAnsi="宋体" w:eastAsia="宋体"/>
          <w:b/>
          <w:sz w:val="36"/>
          <w:highlight w:val="none"/>
          <w:u w:val="single"/>
          <w:lang w:val="en-US" w:eastAsia="zh-CN"/>
        </w:rPr>
        <w:t>8</w:t>
      </w:r>
      <w:r>
        <w:rPr>
          <w:rFonts w:hint="eastAsia" w:ascii="宋体" w:hAnsi="宋体" w:eastAsia="宋体"/>
          <w:b/>
          <w:sz w:val="36"/>
          <w:highlight w:val="none"/>
        </w:rPr>
        <w:t>月</w:t>
      </w:r>
      <w:r>
        <w:rPr>
          <w:rFonts w:ascii="宋体" w:hAnsi="宋体" w:eastAsia="宋体"/>
          <w:b/>
          <w:sz w:val="36"/>
          <w:highlight w:val="none"/>
        </w:rPr>
        <w:br w:type="page"/>
      </w:r>
    </w:p>
    <w:p w14:paraId="61384983">
      <w:pPr>
        <w:tabs>
          <w:tab w:val="left" w:pos="2410"/>
        </w:tabs>
        <w:autoSpaceDE w:val="0"/>
        <w:autoSpaceDN w:val="0"/>
        <w:adjustRightInd w:val="0"/>
        <w:snapToGrid w:val="0"/>
        <w:spacing w:line="360" w:lineRule="auto"/>
        <w:jc w:val="center"/>
        <w:rPr>
          <w:rFonts w:hint="eastAsia" w:ascii="宋体" w:hAnsi="宋体" w:eastAsia="宋体"/>
          <w:b/>
          <w:sz w:val="28"/>
          <w:highlight w:val="none"/>
        </w:rPr>
      </w:pPr>
      <w:r>
        <w:rPr>
          <w:rFonts w:hint="eastAsia" w:ascii="宋体" w:hAnsi="宋体" w:eastAsia="宋体"/>
          <w:b/>
          <w:sz w:val="28"/>
          <w:highlight w:val="none"/>
        </w:rPr>
        <w:t>目  录</w:t>
      </w:r>
    </w:p>
    <w:p w14:paraId="6908259D">
      <w:pPr>
        <w:pStyle w:val="17"/>
        <w:tabs>
          <w:tab w:val="right" w:leader="dot" w:pos="8306"/>
        </w:tabs>
        <w:rPr>
          <w:highlight w:val="none"/>
        </w:rPr>
      </w:pPr>
      <w:r>
        <w:rPr>
          <w:rFonts w:asciiTheme="minorEastAsia" w:hAnsiTheme="minorEastAsia"/>
          <w:b/>
          <w:sz w:val="24"/>
          <w:szCs w:val="24"/>
          <w:highlight w:val="none"/>
        </w:rPr>
        <w:fldChar w:fldCharType="begin"/>
      </w:r>
      <w:r>
        <w:rPr>
          <w:rFonts w:asciiTheme="minorEastAsia" w:hAnsiTheme="minorEastAsia"/>
          <w:b/>
          <w:sz w:val="24"/>
          <w:szCs w:val="24"/>
          <w:highlight w:val="none"/>
        </w:rPr>
        <w:instrText xml:space="preserve"> </w:instrText>
      </w:r>
      <w:r>
        <w:rPr>
          <w:rFonts w:hint="eastAsia" w:asciiTheme="minorEastAsia" w:hAnsiTheme="minorEastAsia"/>
          <w:b/>
          <w:sz w:val="24"/>
          <w:szCs w:val="24"/>
          <w:highlight w:val="none"/>
        </w:rPr>
        <w:instrText xml:space="preserve">TOC \o "1-2" \h \z \u</w:instrText>
      </w:r>
      <w:r>
        <w:rPr>
          <w:rFonts w:asciiTheme="minorEastAsia" w:hAnsiTheme="minorEastAsia"/>
          <w:b/>
          <w:sz w:val="24"/>
          <w:szCs w:val="24"/>
          <w:highlight w:val="none"/>
        </w:rPr>
        <w:instrText xml:space="preserve"> </w:instrText>
      </w:r>
      <w:r>
        <w:rPr>
          <w:rFonts w:asciiTheme="minorEastAsia" w:hAnsiTheme="minorEastAsia"/>
          <w:b/>
          <w:sz w:val="24"/>
          <w:szCs w:val="24"/>
          <w:highlight w:val="none"/>
        </w:rPr>
        <w:fldChar w:fldCharType="separate"/>
      </w:r>
      <w:r>
        <w:rPr>
          <w:highlight w:val="none"/>
        </w:rPr>
        <w:fldChar w:fldCharType="begin"/>
      </w:r>
      <w:r>
        <w:rPr>
          <w:highlight w:val="none"/>
        </w:rPr>
        <w:instrText xml:space="preserve"> HYPERLINK \l "_Toc23443" </w:instrText>
      </w:r>
      <w:r>
        <w:rPr>
          <w:highlight w:val="none"/>
        </w:rPr>
        <w:fldChar w:fldCharType="separate"/>
      </w:r>
      <w:r>
        <w:rPr>
          <w:rFonts w:hint="eastAsia" w:asciiTheme="minorEastAsia" w:hAnsiTheme="minorEastAsia"/>
          <w:highlight w:val="none"/>
        </w:rPr>
        <w:t xml:space="preserve">第一章 </w:t>
      </w:r>
      <w:r>
        <w:rPr>
          <w:rFonts w:asciiTheme="minorEastAsia" w:hAnsiTheme="minorEastAsia"/>
          <w:highlight w:val="none"/>
        </w:rPr>
        <w:t xml:space="preserve"> 投标邀请</w:t>
      </w:r>
      <w:r>
        <w:rPr>
          <w:highlight w:val="none"/>
        </w:rPr>
        <w:tab/>
      </w:r>
      <w:r>
        <w:rPr>
          <w:highlight w:val="none"/>
        </w:rPr>
        <w:fldChar w:fldCharType="begin"/>
      </w:r>
      <w:r>
        <w:rPr>
          <w:highlight w:val="none"/>
        </w:rPr>
        <w:instrText xml:space="preserve"> PAGEREF _Toc23443 \h </w:instrText>
      </w:r>
      <w:r>
        <w:rPr>
          <w:highlight w:val="none"/>
        </w:rPr>
        <w:fldChar w:fldCharType="separate"/>
      </w:r>
      <w:r>
        <w:rPr>
          <w:highlight w:val="none"/>
        </w:rPr>
        <w:t>1</w:t>
      </w:r>
      <w:r>
        <w:rPr>
          <w:highlight w:val="none"/>
        </w:rPr>
        <w:fldChar w:fldCharType="end"/>
      </w:r>
      <w:r>
        <w:rPr>
          <w:highlight w:val="none"/>
        </w:rPr>
        <w:fldChar w:fldCharType="end"/>
      </w:r>
    </w:p>
    <w:p w14:paraId="38C6091F">
      <w:pPr>
        <w:pStyle w:val="17"/>
        <w:tabs>
          <w:tab w:val="right" w:leader="dot" w:pos="8306"/>
        </w:tabs>
        <w:rPr>
          <w:highlight w:val="none"/>
        </w:rPr>
      </w:pPr>
      <w:r>
        <w:rPr>
          <w:highlight w:val="none"/>
        </w:rPr>
        <w:fldChar w:fldCharType="begin"/>
      </w:r>
      <w:r>
        <w:rPr>
          <w:highlight w:val="none"/>
        </w:rPr>
        <w:instrText xml:space="preserve"> HYPERLINK \l "_Toc31935" </w:instrText>
      </w:r>
      <w:r>
        <w:rPr>
          <w:highlight w:val="none"/>
        </w:rPr>
        <w:fldChar w:fldCharType="separate"/>
      </w:r>
      <w:r>
        <w:rPr>
          <w:rFonts w:hint="eastAsia" w:asciiTheme="minorEastAsia" w:hAnsiTheme="minorEastAsia"/>
          <w:highlight w:val="none"/>
        </w:rPr>
        <w:t>第二章</w:t>
      </w:r>
      <w:r>
        <w:rPr>
          <w:rFonts w:asciiTheme="minorEastAsia" w:hAnsiTheme="minorEastAsia"/>
          <w:highlight w:val="none"/>
        </w:rPr>
        <w:t xml:space="preserve"> </w:t>
      </w:r>
      <w:r>
        <w:rPr>
          <w:rFonts w:hint="eastAsia" w:asciiTheme="minorEastAsia" w:hAnsiTheme="minorEastAsia"/>
          <w:highlight w:val="none"/>
        </w:rPr>
        <w:t xml:space="preserve"> </w:t>
      </w:r>
      <w:r>
        <w:rPr>
          <w:rFonts w:asciiTheme="minorEastAsia" w:hAnsiTheme="minorEastAsia"/>
          <w:highlight w:val="none"/>
        </w:rPr>
        <w:t>投标人须知</w:t>
      </w:r>
      <w:r>
        <w:rPr>
          <w:highlight w:val="none"/>
        </w:rPr>
        <w:tab/>
      </w:r>
      <w:r>
        <w:rPr>
          <w:highlight w:val="none"/>
        </w:rPr>
        <w:fldChar w:fldCharType="begin"/>
      </w:r>
      <w:r>
        <w:rPr>
          <w:highlight w:val="none"/>
        </w:rPr>
        <w:instrText xml:space="preserve"> PAGEREF _Toc31935 \h </w:instrText>
      </w:r>
      <w:r>
        <w:rPr>
          <w:highlight w:val="none"/>
        </w:rPr>
        <w:fldChar w:fldCharType="separate"/>
      </w:r>
      <w:r>
        <w:rPr>
          <w:highlight w:val="none"/>
        </w:rPr>
        <w:t>5</w:t>
      </w:r>
      <w:r>
        <w:rPr>
          <w:highlight w:val="none"/>
        </w:rPr>
        <w:fldChar w:fldCharType="end"/>
      </w:r>
      <w:r>
        <w:rPr>
          <w:highlight w:val="none"/>
        </w:rPr>
        <w:fldChar w:fldCharType="end"/>
      </w:r>
    </w:p>
    <w:p w14:paraId="540DF2B9">
      <w:pPr>
        <w:pStyle w:val="17"/>
        <w:tabs>
          <w:tab w:val="right" w:leader="dot" w:pos="8306"/>
        </w:tabs>
        <w:rPr>
          <w:highlight w:val="none"/>
        </w:rPr>
      </w:pPr>
      <w:r>
        <w:rPr>
          <w:highlight w:val="none"/>
        </w:rPr>
        <w:fldChar w:fldCharType="begin"/>
      </w:r>
      <w:r>
        <w:rPr>
          <w:highlight w:val="none"/>
        </w:rPr>
        <w:instrText xml:space="preserve"> HYPERLINK \l "_Toc10891" </w:instrText>
      </w:r>
      <w:r>
        <w:rPr>
          <w:highlight w:val="none"/>
        </w:rPr>
        <w:fldChar w:fldCharType="separate"/>
      </w:r>
      <w:r>
        <w:rPr>
          <w:rFonts w:hint="eastAsia" w:asciiTheme="minorEastAsia" w:hAnsiTheme="minorEastAsia"/>
          <w:highlight w:val="none"/>
        </w:rPr>
        <w:t>第三章  采购需求</w:t>
      </w:r>
      <w:r>
        <w:rPr>
          <w:highlight w:val="none"/>
        </w:rPr>
        <w:tab/>
      </w:r>
      <w:r>
        <w:rPr>
          <w:highlight w:val="none"/>
        </w:rPr>
        <w:fldChar w:fldCharType="begin"/>
      </w:r>
      <w:r>
        <w:rPr>
          <w:highlight w:val="none"/>
        </w:rPr>
        <w:instrText xml:space="preserve"> PAGEREF _Toc10891 \h </w:instrText>
      </w:r>
      <w:r>
        <w:rPr>
          <w:highlight w:val="none"/>
        </w:rPr>
        <w:fldChar w:fldCharType="separate"/>
      </w:r>
      <w:r>
        <w:rPr>
          <w:highlight w:val="none"/>
        </w:rPr>
        <w:t>22</w:t>
      </w:r>
      <w:r>
        <w:rPr>
          <w:highlight w:val="none"/>
        </w:rPr>
        <w:fldChar w:fldCharType="end"/>
      </w:r>
      <w:r>
        <w:rPr>
          <w:highlight w:val="none"/>
        </w:rPr>
        <w:fldChar w:fldCharType="end"/>
      </w:r>
    </w:p>
    <w:p w14:paraId="2309FF48">
      <w:pPr>
        <w:pStyle w:val="17"/>
        <w:tabs>
          <w:tab w:val="right" w:leader="dot" w:pos="8306"/>
        </w:tabs>
        <w:rPr>
          <w:highlight w:val="none"/>
        </w:rPr>
      </w:pPr>
      <w:r>
        <w:rPr>
          <w:highlight w:val="none"/>
        </w:rPr>
        <w:fldChar w:fldCharType="begin"/>
      </w:r>
      <w:r>
        <w:rPr>
          <w:highlight w:val="none"/>
        </w:rPr>
        <w:instrText xml:space="preserve"> HYPERLINK \l "_Toc16417" </w:instrText>
      </w:r>
      <w:r>
        <w:rPr>
          <w:highlight w:val="none"/>
        </w:rPr>
        <w:fldChar w:fldCharType="separate"/>
      </w:r>
      <w:r>
        <w:rPr>
          <w:rFonts w:hint="eastAsia" w:asciiTheme="minorEastAsia" w:hAnsiTheme="minorEastAsia"/>
          <w:highlight w:val="none"/>
        </w:rPr>
        <w:t>第四章  评标方法和标准（综合评分法）</w:t>
      </w:r>
      <w:r>
        <w:rPr>
          <w:highlight w:val="none"/>
        </w:rPr>
        <w:tab/>
      </w:r>
      <w:r>
        <w:rPr>
          <w:highlight w:val="none"/>
        </w:rPr>
        <w:fldChar w:fldCharType="begin"/>
      </w:r>
      <w:r>
        <w:rPr>
          <w:highlight w:val="none"/>
        </w:rPr>
        <w:instrText xml:space="preserve"> PAGEREF _Toc16417 \h </w:instrText>
      </w:r>
      <w:r>
        <w:rPr>
          <w:highlight w:val="none"/>
        </w:rPr>
        <w:fldChar w:fldCharType="separate"/>
      </w:r>
      <w:r>
        <w:rPr>
          <w:highlight w:val="none"/>
        </w:rPr>
        <w:t>59</w:t>
      </w:r>
      <w:r>
        <w:rPr>
          <w:highlight w:val="none"/>
        </w:rPr>
        <w:fldChar w:fldCharType="end"/>
      </w:r>
      <w:r>
        <w:rPr>
          <w:highlight w:val="none"/>
        </w:rPr>
        <w:fldChar w:fldCharType="end"/>
      </w:r>
    </w:p>
    <w:p w14:paraId="59DCF857">
      <w:pPr>
        <w:pStyle w:val="17"/>
        <w:tabs>
          <w:tab w:val="right" w:leader="dot" w:pos="8306"/>
        </w:tabs>
        <w:rPr>
          <w:highlight w:val="none"/>
        </w:rPr>
      </w:pPr>
      <w:r>
        <w:rPr>
          <w:highlight w:val="none"/>
        </w:rPr>
        <w:fldChar w:fldCharType="begin"/>
      </w:r>
      <w:r>
        <w:rPr>
          <w:highlight w:val="none"/>
        </w:rPr>
        <w:instrText xml:space="preserve"> HYPERLINK \l "_Toc4682" </w:instrText>
      </w:r>
      <w:r>
        <w:rPr>
          <w:highlight w:val="none"/>
        </w:rPr>
        <w:fldChar w:fldCharType="separate"/>
      </w:r>
      <w:r>
        <w:rPr>
          <w:rFonts w:hint="eastAsia" w:asciiTheme="minorEastAsia" w:hAnsiTheme="minorEastAsia"/>
          <w:highlight w:val="none"/>
        </w:rPr>
        <w:t xml:space="preserve">第五章  </w:t>
      </w:r>
      <w:r>
        <w:rPr>
          <w:rFonts w:asciiTheme="minorEastAsia" w:hAnsiTheme="minorEastAsia"/>
          <w:highlight w:val="none"/>
        </w:rPr>
        <w:t>政府采购合同</w:t>
      </w:r>
      <w:r>
        <w:rPr>
          <w:highlight w:val="none"/>
        </w:rPr>
        <w:tab/>
      </w:r>
      <w:r>
        <w:rPr>
          <w:highlight w:val="none"/>
        </w:rPr>
        <w:fldChar w:fldCharType="begin"/>
      </w:r>
      <w:r>
        <w:rPr>
          <w:highlight w:val="none"/>
        </w:rPr>
        <w:instrText xml:space="preserve"> PAGEREF _Toc4682 \h </w:instrText>
      </w:r>
      <w:r>
        <w:rPr>
          <w:highlight w:val="none"/>
        </w:rPr>
        <w:fldChar w:fldCharType="separate"/>
      </w:r>
      <w:r>
        <w:rPr>
          <w:highlight w:val="none"/>
        </w:rPr>
        <w:t>66</w:t>
      </w:r>
      <w:r>
        <w:rPr>
          <w:highlight w:val="none"/>
        </w:rPr>
        <w:fldChar w:fldCharType="end"/>
      </w:r>
      <w:r>
        <w:rPr>
          <w:highlight w:val="none"/>
        </w:rPr>
        <w:fldChar w:fldCharType="end"/>
      </w:r>
    </w:p>
    <w:p w14:paraId="3A96B3E5">
      <w:pPr>
        <w:pStyle w:val="17"/>
        <w:tabs>
          <w:tab w:val="right" w:leader="dot" w:pos="8306"/>
        </w:tabs>
        <w:rPr>
          <w:highlight w:val="none"/>
        </w:rPr>
      </w:pPr>
      <w:r>
        <w:rPr>
          <w:highlight w:val="none"/>
        </w:rPr>
        <w:fldChar w:fldCharType="begin"/>
      </w:r>
      <w:r>
        <w:rPr>
          <w:highlight w:val="none"/>
        </w:rPr>
        <w:instrText xml:space="preserve"> HYPERLINK \l "_Toc22492" </w:instrText>
      </w:r>
      <w:r>
        <w:rPr>
          <w:highlight w:val="none"/>
        </w:rPr>
        <w:fldChar w:fldCharType="separate"/>
      </w:r>
      <w:r>
        <w:rPr>
          <w:rFonts w:hint="eastAsia" w:asciiTheme="minorEastAsia" w:hAnsiTheme="minorEastAsia"/>
          <w:highlight w:val="none"/>
        </w:rPr>
        <w:t>第六章  投标文件格式</w:t>
      </w:r>
      <w:r>
        <w:rPr>
          <w:highlight w:val="none"/>
        </w:rPr>
        <w:tab/>
      </w:r>
      <w:r>
        <w:rPr>
          <w:highlight w:val="none"/>
        </w:rPr>
        <w:fldChar w:fldCharType="begin"/>
      </w:r>
      <w:r>
        <w:rPr>
          <w:highlight w:val="none"/>
        </w:rPr>
        <w:instrText xml:space="preserve"> PAGEREF _Toc22492 \h </w:instrText>
      </w:r>
      <w:r>
        <w:rPr>
          <w:highlight w:val="none"/>
        </w:rPr>
        <w:fldChar w:fldCharType="separate"/>
      </w:r>
      <w:r>
        <w:rPr>
          <w:highlight w:val="none"/>
        </w:rPr>
        <w:t>86</w:t>
      </w:r>
      <w:r>
        <w:rPr>
          <w:highlight w:val="none"/>
        </w:rPr>
        <w:fldChar w:fldCharType="end"/>
      </w:r>
      <w:r>
        <w:rPr>
          <w:highlight w:val="none"/>
        </w:rPr>
        <w:fldChar w:fldCharType="end"/>
      </w:r>
    </w:p>
    <w:p w14:paraId="5E839302">
      <w:pPr>
        <w:pStyle w:val="17"/>
        <w:tabs>
          <w:tab w:val="right" w:leader="dot" w:pos="8306"/>
        </w:tabs>
        <w:rPr>
          <w:highlight w:val="none"/>
        </w:rPr>
      </w:pPr>
      <w:r>
        <w:rPr>
          <w:highlight w:val="none"/>
        </w:rPr>
        <w:fldChar w:fldCharType="begin"/>
      </w:r>
      <w:r>
        <w:rPr>
          <w:highlight w:val="none"/>
        </w:rPr>
        <w:instrText xml:space="preserve"> HYPERLINK \l "_Toc18131" </w:instrText>
      </w:r>
      <w:r>
        <w:rPr>
          <w:highlight w:val="none"/>
        </w:rPr>
        <w:fldChar w:fldCharType="separate"/>
      </w:r>
      <w:r>
        <w:rPr>
          <w:rFonts w:hint="eastAsia" w:asciiTheme="minorEastAsia" w:hAnsiTheme="minorEastAsia"/>
          <w:highlight w:val="none"/>
        </w:rPr>
        <w:t>第七章</w:t>
      </w:r>
      <w:r>
        <w:rPr>
          <w:rFonts w:hint="eastAsia" w:ascii="宋体" w:hAnsi="宋体" w:eastAsia="宋体"/>
          <w:bCs/>
          <w:highlight w:val="none"/>
        </w:rPr>
        <w:t xml:space="preserve">  政府采购</w:t>
      </w:r>
      <w:r>
        <w:rPr>
          <w:rFonts w:hint="eastAsia" w:asciiTheme="minorEastAsia" w:hAnsi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_Toc18131 \h </w:instrText>
      </w:r>
      <w:r>
        <w:rPr>
          <w:highlight w:val="none"/>
        </w:rPr>
        <w:fldChar w:fldCharType="separate"/>
      </w:r>
      <w:r>
        <w:rPr>
          <w:highlight w:val="none"/>
        </w:rPr>
        <w:t>101</w:t>
      </w:r>
      <w:r>
        <w:rPr>
          <w:highlight w:val="none"/>
        </w:rPr>
        <w:fldChar w:fldCharType="end"/>
      </w:r>
      <w:r>
        <w:rPr>
          <w:highlight w:val="none"/>
        </w:rPr>
        <w:fldChar w:fldCharType="end"/>
      </w:r>
    </w:p>
    <w:p w14:paraId="2CC6E944">
      <w:pPr>
        <w:spacing w:line="360" w:lineRule="auto"/>
        <w:rPr>
          <w:rFonts w:hint="eastAsia"/>
          <w:highlight w:val="none"/>
        </w:rPr>
      </w:pPr>
      <w:r>
        <w:rPr>
          <w:rFonts w:asciiTheme="minorEastAsia" w:hAnsiTheme="minorEastAsia" w:eastAsiaTheme="minorEastAsia"/>
          <w:szCs w:val="24"/>
          <w:highlight w:val="none"/>
        </w:rPr>
        <w:fldChar w:fldCharType="end"/>
      </w:r>
      <w:r>
        <w:rPr>
          <w:highlight w:val="none"/>
        </w:rPr>
        <w:br w:type="page"/>
      </w:r>
    </w:p>
    <w:p w14:paraId="726BA831">
      <w:pPr>
        <w:pStyle w:val="2"/>
        <w:rPr>
          <w:rFonts w:hint="eastAsia"/>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20CCCC">
      <w:pPr>
        <w:spacing w:line="360" w:lineRule="auto"/>
        <w:jc w:val="center"/>
        <w:outlineLvl w:val="0"/>
        <w:rPr>
          <w:rFonts w:hint="eastAsia" w:asciiTheme="minorEastAsia" w:hAnsiTheme="minorEastAsia" w:eastAsiaTheme="minorEastAsia"/>
          <w:b/>
          <w:sz w:val="28"/>
          <w:highlight w:val="none"/>
        </w:rPr>
      </w:pPr>
      <w:bookmarkStart w:id="1" w:name="_Toc23443"/>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投标邀请</w:t>
      </w:r>
      <w:bookmarkEnd w:id="1"/>
    </w:p>
    <w:p w14:paraId="67B94087">
      <w:pPr>
        <w:spacing w:line="360" w:lineRule="auto"/>
        <w:ind w:firstLine="437"/>
        <w:outlineLvl w:val="1"/>
        <w:rPr>
          <w:rFonts w:hint="eastAsia" w:ascii="宋体" w:hAnsi="宋体" w:eastAsia="宋体"/>
          <w:b/>
          <w:bCs/>
          <w:sz w:val="24"/>
          <w:szCs w:val="18"/>
          <w:highlight w:val="none"/>
        </w:rPr>
      </w:pPr>
      <w:bookmarkStart w:id="2" w:name="_Toc1381"/>
      <w:bookmarkStart w:id="3" w:name="_Toc5842"/>
      <w:r>
        <w:rPr>
          <w:rFonts w:hint="eastAsia" w:ascii="宋体" w:hAnsi="宋体" w:eastAsia="宋体"/>
          <w:b/>
          <w:bCs/>
          <w:sz w:val="24"/>
          <w:szCs w:val="18"/>
          <w:highlight w:val="none"/>
        </w:rPr>
        <w:t>一、</w:t>
      </w:r>
      <w:bookmarkEnd w:id="2"/>
      <w:r>
        <w:rPr>
          <w:rFonts w:hint="eastAsia" w:ascii="宋体" w:hAnsi="宋体" w:eastAsia="宋体"/>
          <w:b/>
          <w:bCs/>
          <w:sz w:val="24"/>
          <w:szCs w:val="18"/>
          <w:highlight w:val="none"/>
        </w:rPr>
        <w:t>项目基本情况</w:t>
      </w:r>
      <w:bookmarkEnd w:id="3"/>
    </w:p>
    <w:p w14:paraId="6CF39A4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1.项目编号：</w:t>
      </w:r>
      <w:r>
        <w:rPr>
          <w:rFonts w:hint="eastAsia" w:ascii="宋体" w:hAnsi="宋体" w:eastAsia="宋体"/>
          <w:sz w:val="24"/>
          <w:szCs w:val="18"/>
          <w:highlight w:val="none"/>
          <w:u w:val="single"/>
        </w:rPr>
        <w:t>ZFCG-202629900052</w:t>
      </w:r>
    </w:p>
    <w:p w14:paraId="5CDF36A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2.项目名称：</w:t>
      </w:r>
      <w:r>
        <w:rPr>
          <w:rFonts w:hint="eastAsia" w:ascii="宋体" w:hAnsi="宋体" w:eastAsia="宋体"/>
          <w:sz w:val="24"/>
          <w:szCs w:val="18"/>
          <w:highlight w:val="none"/>
          <w:u w:val="single"/>
        </w:rPr>
        <w:t>安徽职业技术大学2026年工业网络智能控制与维护系统项目</w:t>
      </w:r>
    </w:p>
    <w:p w14:paraId="0286646D">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3.预算金额：</w:t>
      </w:r>
      <w:r>
        <w:rPr>
          <w:rFonts w:hint="eastAsia" w:ascii="宋体" w:hAnsi="宋体" w:eastAsia="宋体"/>
          <w:sz w:val="24"/>
          <w:szCs w:val="18"/>
          <w:highlight w:val="none"/>
          <w:u w:val="single"/>
        </w:rPr>
        <w:t>人民币2000000.00元</w:t>
      </w:r>
    </w:p>
    <w:p w14:paraId="747D5EE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4.最高限价：</w:t>
      </w:r>
      <w:r>
        <w:rPr>
          <w:rFonts w:hint="eastAsia" w:ascii="宋体" w:hAnsi="宋体" w:eastAsia="宋体"/>
          <w:sz w:val="24"/>
          <w:szCs w:val="18"/>
          <w:highlight w:val="none"/>
          <w:u w:val="single"/>
        </w:rPr>
        <w:t>人民币2000000.00元</w:t>
      </w:r>
    </w:p>
    <w:p w14:paraId="1FF7CDA5">
      <w:pPr>
        <w:spacing w:line="360" w:lineRule="auto"/>
        <w:ind w:firstLine="435"/>
        <w:rPr>
          <w:rFonts w:hint="eastAsia" w:eastAsia="宋体" w:asciiTheme="minorEastAsia" w:hAnsiTheme="minorEastAsia"/>
          <w:sz w:val="24"/>
          <w:highlight w:val="none"/>
        </w:rPr>
      </w:pPr>
      <w:r>
        <w:rPr>
          <w:rFonts w:hint="eastAsia" w:asciiTheme="minorEastAsia" w:hAnsiTheme="minorEastAsia" w:eastAsiaTheme="minorEastAsia"/>
          <w:sz w:val="24"/>
          <w:highlight w:val="none"/>
        </w:rPr>
        <w:t>5.采购需求：</w:t>
      </w:r>
      <w:r>
        <w:rPr>
          <w:rFonts w:hint="eastAsia" w:ascii="宋体" w:hAnsi="宋体" w:eastAsia="宋体"/>
          <w:sz w:val="24"/>
          <w:szCs w:val="18"/>
          <w:highlight w:val="none"/>
          <w:u w:val="single"/>
        </w:rPr>
        <w:t>主要建设内容包括工业互联网应用平台、工业互联网设备数据采集仿真系统、智能制造创新实训系统等单元模块。通过上述单元，学生可完整掌握工业数据采集、工业网络搭建、工业云平台管理的全链路工程能力。具体详见招标文件。</w:t>
      </w:r>
    </w:p>
    <w:p w14:paraId="1A0D76F1">
      <w:pPr>
        <w:spacing w:line="360" w:lineRule="auto"/>
        <w:ind w:firstLine="435"/>
        <w:rPr>
          <w:rFonts w:hint="eastAsia" w:eastAsia="宋体" w:asciiTheme="minorEastAsia" w:hAnsiTheme="minorEastAsia"/>
          <w:sz w:val="24"/>
          <w:highlight w:val="none"/>
        </w:rPr>
      </w:pPr>
      <w:r>
        <w:rPr>
          <w:rFonts w:hint="eastAsia" w:asciiTheme="minorEastAsia" w:hAnsiTheme="minorEastAsia" w:eastAsiaTheme="minorEastAsia"/>
          <w:sz w:val="24"/>
          <w:highlight w:val="none"/>
        </w:rPr>
        <w:t>6.合同履行期限：</w:t>
      </w:r>
      <w:r>
        <w:rPr>
          <w:rFonts w:hint="eastAsia" w:ascii="宋体" w:hAnsi="宋体" w:eastAsia="宋体"/>
          <w:sz w:val="24"/>
          <w:szCs w:val="18"/>
          <w:highlight w:val="none"/>
          <w:u w:val="single"/>
        </w:rPr>
        <w:t>自合同签订之日起45天内完成设备安装、调试。</w:t>
      </w:r>
    </w:p>
    <w:p w14:paraId="22848A5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7.本项目不接受联合体投标。</w:t>
      </w:r>
    </w:p>
    <w:p w14:paraId="07547E18">
      <w:pPr>
        <w:spacing w:line="360" w:lineRule="auto"/>
        <w:ind w:firstLine="437"/>
        <w:outlineLvl w:val="1"/>
        <w:rPr>
          <w:rFonts w:hint="eastAsia" w:ascii="宋体" w:hAnsi="宋体" w:eastAsia="宋体"/>
          <w:b/>
          <w:bCs/>
          <w:sz w:val="24"/>
          <w:szCs w:val="18"/>
          <w:highlight w:val="none"/>
        </w:rPr>
      </w:pPr>
      <w:bookmarkStart w:id="4" w:name="_Toc13530"/>
      <w:bookmarkStart w:id="5" w:name="_Toc26178"/>
      <w:r>
        <w:rPr>
          <w:rFonts w:hint="eastAsia" w:ascii="宋体" w:hAnsi="宋体" w:eastAsia="宋体"/>
          <w:b/>
          <w:bCs/>
          <w:sz w:val="24"/>
          <w:szCs w:val="18"/>
          <w:highlight w:val="none"/>
        </w:rPr>
        <w:t>二、</w:t>
      </w:r>
      <w:bookmarkEnd w:id="4"/>
      <w:r>
        <w:rPr>
          <w:rFonts w:hint="eastAsia" w:ascii="宋体" w:hAnsi="宋体" w:eastAsia="宋体"/>
          <w:b/>
          <w:bCs/>
          <w:sz w:val="24"/>
          <w:szCs w:val="18"/>
          <w:highlight w:val="none"/>
        </w:rPr>
        <w:t>申请人的资格要求</w:t>
      </w:r>
      <w:bookmarkEnd w:id="5"/>
    </w:p>
    <w:p w14:paraId="50C506A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1.满足《中华人民共和国政府采购法》第二十二条规定；</w:t>
      </w:r>
    </w:p>
    <w:p w14:paraId="778A847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2.落实政府采购政策需满足的资格要求：</w:t>
      </w:r>
    </w:p>
    <w:p w14:paraId="3A1FA8B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2.1中小企业政策</w:t>
      </w:r>
    </w:p>
    <w:p w14:paraId="30CE020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2.1.1本项目不专门面向中小企业预留采</w:t>
      </w:r>
      <w:bookmarkStart w:id="105" w:name="_GoBack"/>
      <w:bookmarkEnd w:id="105"/>
      <w:r>
        <w:rPr>
          <w:rFonts w:hint="eastAsia" w:asciiTheme="minorEastAsia" w:hAnsiTheme="minorEastAsia" w:eastAsiaTheme="minorEastAsia"/>
          <w:sz w:val="24"/>
          <w:highlight w:val="none"/>
        </w:rPr>
        <w:t>购份额。</w:t>
      </w:r>
    </w:p>
    <w:p w14:paraId="70156EC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以书面材料递交至采购人或采购代理机构处。</w:t>
      </w:r>
    </w:p>
    <w:p w14:paraId="3057E9DF">
      <w:pPr>
        <w:spacing w:line="360" w:lineRule="auto"/>
        <w:ind w:firstLine="435"/>
        <w:rPr>
          <w:rFonts w:hint="eastAsia"/>
          <w:highlight w:val="none"/>
        </w:rPr>
      </w:pPr>
      <w:r>
        <w:rPr>
          <w:rFonts w:asciiTheme="minorEastAsia" w:hAnsiTheme="minorEastAsia" w:eastAsiaTheme="minorEastAsia"/>
          <w:sz w:val="24"/>
          <w:highlight w:val="none"/>
        </w:rPr>
        <w:t>2.2</w:t>
      </w:r>
      <w:r>
        <w:rPr>
          <w:rFonts w:hint="eastAsia" w:asciiTheme="minorEastAsia" w:hAnsiTheme="minorEastAsia" w:eastAsiaTheme="minorEastAsia"/>
          <w:sz w:val="24"/>
          <w:highlight w:val="none"/>
        </w:rPr>
        <w:t>其它落实政府采购政策的资格要求：无。</w:t>
      </w:r>
    </w:p>
    <w:p w14:paraId="3F971D95">
      <w:pPr>
        <w:spacing w:line="360" w:lineRule="auto"/>
        <w:ind w:firstLine="435"/>
        <w:rPr>
          <w:rFonts w:hint="eastAsia"/>
          <w:highlight w:val="none"/>
        </w:rPr>
      </w:pPr>
      <w:r>
        <w:rPr>
          <w:rFonts w:hint="eastAsia" w:asciiTheme="minorEastAsia" w:hAnsiTheme="minorEastAsia" w:eastAsiaTheme="minorEastAsia"/>
          <w:sz w:val="24"/>
          <w:highlight w:val="none"/>
        </w:rPr>
        <w:t>3.本项目的特定资格要求：无。</w:t>
      </w:r>
    </w:p>
    <w:p w14:paraId="3C4AAEE9">
      <w:pPr>
        <w:spacing w:line="360" w:lineRule="auto"/>
        <w:ind w:firstLine="437"/>
        <w:outlineLvl w:val="1"/>
        <w:rPr>
          <w:rFonts w:hint="eastAsia" w:ascii="宋体" w:hAnsi="宋体" w:eastAsia="宋体"/>
          <w:b/>
          <w:bCs/>
          <w:sz w:val="24"/>
          <w:szCs w:val="18"/>
          <w:highlight w:val="none"/>
        </w:rPr>
      </w:pPr>
      <w:bookmarkStart w:id="6" w:name="_Toc30110"/>
      <w:bookmarkStart w:id="7" w:name="_Toc32089"/>
      <w:r>
        <w:rPr>
          <w:rFonts w:hint="eastAsia" w:ascii="宋体" w:hAnsi="宋体" w:eastAsia="宋体"/>
          <w:b/>
          <w:bCs/>
          <w:sz w:val="24"/>
          <w:szCs w:val="18"/>
          <w:highlight w:val="none"/>
        </w:rPr>
        <w:t>三、</w:t>
      </w:r>
      <w:bookmarkEnd w:id="6"/>
      <w:r>
        <w:rPr>
          <w:rFonts w:hint="eastAsia" w:ascii="宋体" w:hAnsi="宋体" w:eastAsia="宋体"/>
          <w:b/>
          <w:bCs/>
          <w:sz w:val="24"/>
          <w:szCs w:val="18"/>
          <w:highlight w:val="none"/>
        </w:rPr>
        <w:t>获取招标文件</w:t>
      </w:r>
      <w:bookmarkEnd w:id="7"/>
    </w:p>
    <w:p w14:paraId="7D496128">
      <w:pPr>
        <w:spacing w:line="360" w:lineRule="auto"/>
        <w:ind w:firstLine="540"/>
        <w:rPr>
          <w:rFonts w:hint="eastAsia" w:asciiTheme="minorEastAsia" w:hAnsiTheme="minorEastAsia" w:eastAsiaTheme="minorEastAsia" w:cstheme="minorEastAsia"/>
          <w:i/>
          <w:iCs/>
          <w:sz w:val="24"/>
          <w:szCs w:val="24"/>
          <w:highlight w:val="none"/>
        </w:rPr>
      </w:pPr>
      <w:bookmarkStart w:id="8" w:name="_Toc7957"/>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8</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03</w:t>
      </w:r>
      <w:r>
        <w:rPr>
          <w:rFonts w:hint="eastAsia" w:asciiTheme="minorEastAsia" w:hAnsiTheme="minorEastAsia" w:eastAsiaTheme="minorEastAsia" w:cstheme="minorEastAsia"/>
          <w:sz w:val="24"/>
          <w:szCs w:val="24"/>
          <w:highlight w:val="none"/>
        </w:rPr>
        <w:t>日至</w:t>
      </w:r>
      <w:r>
        <w:rPr>
          <w:rFonts w:hint="eastAsia" w:asciiTheme="minorEastAsia" w:hAnsiTheme="minorEastAsia" w:eastAsiaTheme="minorEastAsia" w:cstheme="minorEastAsia"/>
          <w:sz w:val="24"/>
          <w:szCs w:val="24"/>
          <w:highlight w:val="none"/>
          <w:u w:val="single"/>
        </w:rPr>
        <w:t>2026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8</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17</w:t>
      </w:r>
      <w:r>
        <w:rPr>
          <w:rFonts w:hint="eastAsia" w:asciiTheme="minorEastAsia" w:hAnsiTheme="minorEastAsia" w:eastAsiaTheme="minorEastAsia" w:cstheme="minorEastAsia"/>
          <w:sz w:val="24"/>
          <w:szCs w:val="24"/>
          <w:highlight w:val="none"/>
        </w:rPr>
        <w:t>日，每天上午00:00至12:00，下午12:00至23:59。</w:t>
      </w:r>
      <w:r>
        <w:rPr>
          <w:rFonts w:hint="eastAsia" w:asciiTheme="minorEastAsia" w:hAnsiTheme="minorEastAsia" w:eastAsiaTheme="minorEastAsia" w:cstheme="minorEastAsia"/>
          <w:sz w:val="24"/>
          <w:szCs w:val="24"/>
          <w:highlight w:val="none"/>
        </w:rPr>
        <w:tab/>
      </w:r>
    </w:p>
    <w:p w14:paraId="674C18F0">
      <w:pPr>
        <w:spacing w:line="360" w:lineRule="auto"/>
        <w:ind w:firstLine="540"/>
        <w:rPr>
          <w:rFonts w:hint="eastAsia" w:ascii="宋体" w:hAnsi="宋体" w:eastAsia="宋体"/>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sz w:val="24"/>
          <w:szCs w:val="18"/>
          <w:highlight w:val="none"/>
          <w:u w:val="single"/>
        </w:rPr>
        <w:t>“徽采云”电子交易系统</w:t>
      </w:r>
    </w:p>
    <w:p w14:paraId="7C6C0649">
      <w:pPr>
        <w:spacing w:line="360" w:lineRule="auto"/>
        <w:ind w:firstLine="540"/>
        <w:rPr>
          <w:rFonts w:hint="eastAsia" w:ascii="宋体" w:hAnsi="宋体" w:eastAsia="宋体"/>
          <w:sz w:val="24"/>
          <w:szCs w:val="18"/>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sz w:val="24"/>
          <w:szCs w:val="18"/>
          <w:highlight w:val="none"/>
          <w:u w:val="single"/>
        </w:rPr>
        <w:t>1、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7AAA2C52">
      <w:pPr>
        <w:spacing w:line="360" w:lineRule="auto"/>
        <w:ind w:firstLine="540"/>
        <w:rPr>
          <w:rFonts w:hint="eastAsia" w:ascii="宋体" w:hAnsi="宋体" w:eastAsia="宋体"/>
          <w:sz w:val="24"/>
          <w:szCs w:val="18"/>
          <w:highlight w:val="none"/>
          <w:u w:val="single"/>
        </w:rPr>
      </w:pPr>
      <w:r>
        <w:rPr>
          <w:rFonts w:hint="eastAsia" w:ascii="宋体" w:hAnsi="宋体" w:eastAsia="宋体"/>
          <w:sz w:val="24"/>
          <w:szCs w:val="18"/>
          <w:highlight w:val="none"/>
          <w:u w:val="single"/>
        </w:rPr>
        <w:t>2、采购文件获取过程中有任何疑问，请在工作时间（8:00-18:00节假日休息）拨打技术支持热线（非项目咨询）：95763。</w:t>
      </w:r>
    </w:p>
    <w:p w14:paraId="1FFED869">
      <w:pPr>
        <w:spacing w:line="360" w:lineRule="auto"/>
        <w:ind w:firstLine="540"/>
        <w:rPr>
          <w:rFonts w:hint="eastAsia" w:asciiTheme="minorEastAsia" w:hAnsiTheme="minorEastAsia" w:eastAsiaTheme="minorEastAsia" w:cstheme="minorEastAsia"/>
          <w:sz w:val="24"/>
          <w:szCs w:val="24"/>
          <w:highlight w:val="none"/>
          <w:u w:val="single"/>
        </w:rPr>
      </w:pPr>
      <w:r>
        <w:rPr>
          <w:rFonts w:hint="eastAsia" w:ascii="宋体" w:hAnsi="宋体" w:eastAsia="宋体"/>
          <w:sz w:val="24"/>
          <w:szCs w:val="18"/>
          <w:highlight w:val="none"/>
          <w:u w:val="single"/>
        </w:rPr>
        <w:t>项目咨询请拨打电话：0551-65149581-658、656，15956962711、18755110804。</w:t>
      </w:r>
    </w:p>
    <w:p w14:paraId="2C8EDA05">
      <w:pPr>
        <w:spacing w:line="360" w:lineRule="auto"/>
        <w:ind w:firstLine="437"/>
        <w:outlineLvl w:val="1"/>
        <w:rPr>
          <w:rFonts w:hint="eastAsia" w:ascii="宋体" w:hAnsi="宋体" w:eastAsia="宋体"/>
          <w:b/>
          <w:bCs/>
          <w:sz w:val="24"/>
          <w:szCs w:val="18"/>
          <w:highlight w:val="none"/>
        </w:rPr>
      </w:pPr>
      <w:bookmarkStart w:id="9" w:name="_Toc19726"/>
      <w:r>
        <w:rPr>
          <w:rFonts w:hint="eastAsia" w:ascii="宋体" w:hAnsi="宋体" w:eastAsia="宋体"/>
          <w:b/>
          <w:bCs/>
          <w:sz w:val="24"/>
          <w:szCs w:val="18"/>
          <w:highlight w:val="none"/>
        </w:rPr>
        <w:t>四、</w:t>
      </w:r>
      <w:bookmarkEnd w:id="8"/>
      <w:r>
        <w:rPr>
          <w:rFonts w:hint="eastAsia" w:ascii="宋体" w:hAnsi="宋体" w:eastAsia="宋体"/>
          <w:b/>
          <w:bCs/>
          <w:sz w:val="24"/>
          <w:szCs w:val="18"/>
          <w:highlight w:val="none"/>
        </w:rPr>
        <w:t>提交投标文件截止时间、开标时间和地点</w:t>
      </w:r>
      <w:bookmarkEnd w:id="9"/>
    </w:p>
    <w:p w14:paraId="481EDE4E">
      <w:pPr>
        <w:spacing w:line="360" w:lineRule="auto"/>
        <w:ind w:firstLine="480" w:firstLineChars="200"/>
        <w:rPr>
          <w:rFonts w:hint="eastAsia" w:asciiTheme="minorEastAsia" w:hAnsiTheme="minorEastAsia" w:eastAsiaTheme="minorEastAsia" w:cstheme="minorEastAsia"/>
          <w:bCs/>
          <w:sz w:val="24"/>
          <w:szCs w:val="24"/>
          <w:highlight w:val="none"/>
        </w:rPr>
      </w:pPr>
      <w:bookmarkStart w:id="10" w:name="_Toc5082"/>
      <w:r>
        <w:rPr>
          <w:rFonts w:hint="eastAsia" w:asciiTheme="minorEastAsia" w:hAnsiTheme="minorEastAsia" w:eastAsiaTheme="minorEastAsia" w:cstheme="minorEastAsia"/>
          <w:bCs/>
          <w:sz w:val="24"/>
          <w:szCs w:val="24"/>
          <w:highlight w:val="none"/>
          <w:u w:val="single"/>
        </w:rPr>
        <w:t>2026</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08</w:t>
      </w:r>
      <w:r>
        <w:rPr>
          <w:rFonts w:hint="eastAsia" w:asciiTheme="minorEastAsia" w:hAnsiTheme="minorEastAsia" w:eastAsiaTheme="minorEastAsia" w:cstheme="minorEastAsia"/>
          <w:bCs/>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24</w:t>
      </w:r>
      <w:r>
        <w:rPr>
          <w:rFonts w:hint="eastAsia" w:asciiTheme="minorEastAsia" w:hAnsiTheme="minorEastAsia" w:eastAsiaTheme="minorEastAsia" w:cstheme="minorEastAsia"/>
          <w:bCs/>
          <w:sz w:val="24"/>
          <w:szCs w:val="24"/>
          <w:highlight w:val="none"/>
        </w:rPr>
        <w:t>日</w:t>
      </w:r>
      <w:r>
        <w:rPr>
          <w:rFonts w:hint="eastAsia" w:asciiTheme="minorEastAsia" w:hAnsiTheme="minorEastAsia" w:eastAsiaTheme="minorEastAsia" w:cstheme="minorEastAsia"/>
          <w:sz w:val="24"/>
          <w:szCs w:val="24"/>
          <w:highlight w:val="none"/>
          <w:u w:val="single"/>
        </w:rPr>
        <w:t>09</w:t>
      </w:r>
      <w:r>
        <w:rPr>
          <w:rFonts w:hint="eastAsia" w:asciiTheme="minorEastAsia" w:hAnsiTheme="minorEastAsia" w:eastAsiaTheme="minorEastAsia" w:cstheme="minorEastAsia"/>
          <w:bCs/>
          <w:sz w:val="24"/>
          <w:szCs w:val="24"/>
          <w:highlight w:val="none"/>
        </w:rPr>
        <w:t>点</w:t>
      </w:r>
      <w:r>
        <w:rPr>
          <w:rFonts w:hint="eastAsia" w:asciiTheme="minorEastAsia" w:hAnsiTheme="minorEastAsia" w:eastAsiaTheme="minorEastAsia" w:cstheme="minorEastAsia"/>
          <w:sz w:val="24"/>
          <w:szCs w:val="24"/>
          <w:highlight w:val="none"/>
          <w:u w:val="single"/>
          <w:lang w:val="en-US" w:eastAsia="zh-CN"/>
        </w:rPr>
        <w:t>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bCs/>
          <w:sz w:val="24"/>
          <w:szCs w:val="24"/>
          <w:highlight w:val="none"/>
        </w:rPr>
        <w:t>分（北京时间）</w:t>
      </w:r>
    </w:p>
    <w:p w14:paraId="77C4031F">
      <w:pPr>
        <w:spacing w:line="360" w:lineRule="auto"/>
        <w:ind w:firstLine="480" w:firstLineChars="200"/>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sz w:val="24"/>
          <w:szCs w:val="18"/>
          <w:highlight w:val="none"/>
          <w:u w:val="single"/>
        </w:rPr>
        <w:t>“徽采云”电子交易系统</w:t>
      </w:r>
    </w:p>
    <w:p w14:paraId="5E0C0E8E">
      <w:pPr>
        <w:spacing w:line="360" w:lineRule="auto"/>
        <w:ind w:firstLine="437"/>
        <w:outlineLvl w:val="1"/>
        <w:rPr>
          <w:rFonts w:hint="eastAsia" w:ascii="宋体" w:hAnsi="宋体" w:eastAsia="宋体"/>
          <w:b/>
          <w:bCs/>
          <w:sz w:val="24"/>
          <w:szCs w:val="18"/>
          <w:highlight w:val="none"/>
        </w:rPr>
      </w:pPr>
      <w:bookmarkStart w:id="11" w:name="_Toc28531"/>
      <w:r>
        <w:rPr>
          <w:rFonts w:hint="eastAsia" w:ascii="宋体" w:hAnsi="宋体" w:eastAsia="宋体"/>
          <w:b/>
          <w:bCs/>
          <w:sz w:val="24"/>
          <w:szCs w:val="18"/>
          <w:highlight w:val="none"/>
        </w:rPr>
        <w:t>五、</w:t>
      </w:r>
      <w:bookmarkEnd w:id="10"/>
      <w:r>
        <w:rPr>
          <w:rFonts w:hint="eastAsia" w:ascii="宋体" w:hAnsi="宋体" w:eastAsia="宋体"/>
          <w:b/>
          <w:bCs/>
          <w:sz w:val="24"/>
          <w:szCs w:val="18"/>
          <w:highlight w:val="none"/>
        </w:rPr>
        <w:t>公告期限</w:t>
      </w:r>
      <w:bookmarkEnd w:id="11"/>
    </w:p>
    <w:p w14:paraId="65085C72">
      <w:pPr>
        <w:spacing w:line="360" w:lineRule="auto"/>
        <w:ind w:firstLine="437"/>
        <w:rPr>
          <w:rFonts w:hint="eastAsia" w:ascii="宋体" w:hAnsi="宋体" w:eastAsia="宋体"/>
          <w:sz w:val="24"/>
          <w:szCs w:val="18"/>
          <w:highlight w:val="none"/>
        </w:rPr>
      </w:pPr>
      <w:bookmarkStart w:id="12" w:name="_Toc1215"/>
      <w:r>
        <w:rPr>
          <w:rFonts w:hint="eastAsia" w:ascii="宋体" w:hAnsi="宋体" w:eastAsia="宋体"/>
          <w:sz w:val="24"/>
          <w:szCs w:val="18"/>
          <w:highlight w:val="none"/>
        </w:rPr>
        <w:t>自本公告发布之日起5个工作日。</w:t>
      </w:r>
    </w:p>
    <w:p w14:paraId="565A1032">
      <w:pPr>
        <w:spacing w:line="360" w:lineRule="auto"/>
        <w:ind w:firstLine="437"/>
        <w:outlineLvl w:val="1"/>
        <w:rPr>
          <w:rFonts w:hint="eastAsia" w:ascii="宋体" w:hAnsi="宋体" w:eastAsia="宋体"/>
          <w:b/>
          <w:bCs/>
          <w:sz w:val="24"/>
          <w:szCs w:val="18"/>
          <w:highlight w:val="none"/>
        </w:rPr>
      </w:pPr>
      <w:bookmarkStart w:id="13" w:name="_Toc35393795"/>
      <w:bookmarkStart w:id="14" w:name="_Toc35393626"/>
      <w:bookmarkStart w:id="15" w:name="_Toc8807"/>
      <w:r>
        <w:rPr>
          <w:rFonts w:hint="eastAsia" w:ascii="宋体" w:hAnsi="宋体" w:eastAsia="宋体"/>
          <w:b/>
          <w:bCs/>
          <w:sz w:val="24"/>
          <w:szCs w:val="18"/>
          <w:highlight w:val="none"/>
        </w:rPr>
        <w:t>六、其他补充事宜</w:t>
      </w:r>
      <w:bookmarkEnd w:id="13"/>
      <w:bookmarkEnd w:id="14"/>
      <w:bookmarkEnd w:id="15"/>
    </w:p>
    <w:p w14:paraId="793CDE84">
      <w:pPr>
        <w:pStyle w:val="2"/>
        <w:spacing w:after="0" w:line="360" w:lineRule="auto"/>
        <w:ind w:firstLine="480" w:firstLineChars="200"/>
        <w:rPr>
          <w:rFonts w:hint="eastAsia" w:ascii="宋体" w:hAnsi="宋体" w:eastAsia="宋体"/>
          <w:sz w:val="24"/>
          <w:szCs w:val="18"/>
          <w:highlight w:val="none"/>
          <w:lang w:val="en-US"/>
        </w:rPr>
      </w:pPr>
      <w:r>
        <w:rPr>
          <w:rFonts w:ascii="宋体" w:hAnsi="宋体" w:eastAsia="宋体"/>
          <w:sz w:val="24"/>
          <w:szCs w:val="18"/>
          <w:highlight w:val="none"/>
          <w:lang w:val="en-US"/>
        </w:rPr>
        <w:t>1.本项目落实节能环保、中小微型企业扶持等相关政府采购政策。</w:t>
      </w:r>
    </w:p>
    <w:p w14:paraId="4E88C2CC">
      <w:pPr>
        <w:pStyle w:val="2"/>
        <w:spacing w:after="0" w:line="360" w:lineRule="auto"/>
        <w:ind w:firstLine="480" w:firstLineChars="200"/>
        <w:rPr>
          <w:rFonts w:hint="eastAsia" w:ascii="宋体" w:hAnsi="宋体" w:eastAsia="宋体"/>
          <w:sz w:val="24"/>
          <w:szCs w:val="18"/>
          <w:highlight w:val="none"/>
          <w:lang w:val="en-US"/>
        </w:rPr>
      </w:pPr>
      <w:r>
        <w:rPr>
          <w:rFonts w:ascii="宋体" w:hAnsi="宋体" w:eastAsia="宋体"/>
          <w:sz w:val="24"/>
          <w:szCs w:val="18"/>
          <w:highlight w:val="none"/>
          <w:lang w:val="en-US"/>
        </w:rPr>
        <w:t>2.本次招标公告在安徽省政府采购网上发布。</w:t>
      </w:r>
    </w:p>
    <w:p w14:paraId="1A257509">
      <w:pPr>
        <w:pStyle w:val="2"/>
        <w:spacing w:after="0" w:line="360" w:lineRule="auto"/>
        <w:ind w:firstLine="480" w:firstLineChars="200"/>
        <w:rPr>
          <w:rFonts w:hint="eastAsia" w:ascii="宋体" w:hAnsi="宋体" w:eastAsia="宋体"/>
          <w:sz w:val="24"/>
          <w:szCs w:val="18"/>
          <w:highlight w:val="none"/>
          <w:lang w:val="en-US"/>
        </w:rPr>
      </w:pPr>
      <w:r>
        <w:rPr>
          <w:rFonts w:ascii="宋体" w:hAnsi="宋体" w:eastAsia="宋体"/>
          <w:sz w:val="24"/>
          <w:szCs w:val="18"/>
          <w:highlight w:val="none"/>
          <w:lang w:val="en-US"/>
        </w:rPr>
        <w:t>3.投标人应合理安排招标文件获取时间，特别是网络速度慢的地区防止在系统关闭前网络拥堵无法操作。如果因计算机及网络故障造成无法完成招标文件获取，责任自负。</w:t>
      </w:r>
    </w:p>
    <w:p w14:paraId="315AAE0C">
      <w:pPr>
        <w:spacing w:line="360" w:lineRule="auto"/>
        <w:ind w:firstLine="437"/>
        <w:rPr>
          <w:rFonts w:hint="eastAsia" w:ascii="宋体" w:hAnsi="宋体" w:eastAsia="宋体"/>
          <w:sz w:val="24"/>
          <w:szCs w:val="18"/>
          <w:highlight w:val="none"/>
        </w:rPr>
      </w:pPr>
      <w:r>
        <w:rPr>
          <w:rFonts w:ascii="宋体" w:hAnsi="宋体" w:eastAsia="宋体"/>
          <w:sz w:val="24"/>
          <w:szCs w:val="18"/>
          <w:highlight w:val="none"/>
        </w:rPr>
        <w:t>4.投标文件的提交要求：投标人应当在投标文件提交截止时间前通过“徽采云”电子交易系统上传加密的电子投标文件，未在投标文件提交截止时间前完成上传的，视为逾期送达，拒绝接收。</w:t>
      </w:r>
    </w:p>
    <w:p w14:paraId="2C7EC7D2">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5.电子招投标的说明</w:t>
      </w:r>
    </w:p>
    <w:p w14:paraId="426C8640">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5.1电子招投标：本项目以数据电文形式，依托“徽采云”电子交易系统进行招投标活动；</w:t>
      </w:r>
    </w:p>
    <w:p w14:paraId="0F78DEA8">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5.2投标准备：注册账号--详情参见“徽采云”平台供应商注册与配置手册“第2章入驻操作流程”</w:t>
      </w:r>
    </w:p>
    <w:p w14:paraId="029DE484">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657CE100">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5.3招标文件的获取：使用CA登录“徽采云”电子交易系统；进入“项目采购”应用，在获取采购文件菜单中选择项目，获取招标文件；</w:t>
      </w:r>
    </w:p>
    <w:p w14:paraId="6DD12B89">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5.4投标文件的制作：在“徽采云投标客户端”中完成“填写基本信息”、“制作和导入投标（响应）文件”、“标书关联”、“标书检查”、“电子签名”、“生成电子标书”等操作；</w:t>
      </w:r>
    </w:p>
    <w:p w14:paraId="64A28D89">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5.5投标文件的上传：使用CA登录“徽采云”电子交易系统；进入“项目采购”应用，在投标文件上传菜单中选择项目，上传加密的投标文件（*.jmbs）；</w:t>
      </w:r>
    </w:p>
    <w:p w14:paraId="6EDFA6B7">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5.6投标文件的解密：投标人按照系统提示和招标文件规定,在规定时间内完成在线解密；</w:t>
      </w:r>
    </w:p>
    <w:p w14:paraId="0A3962D3">
      <w:pPr>
        <w:spacing w:line="360" w:lineRule="auto"/>
        <w:ind w:firstLine="437"/>
        <w:rPr>
          <w:rFonts w:hint="eastAsia" w:ascii="宋体" w:hAnsi="宋体" w:eastAsia="宋体"/>
          <w:sz w:val="24"/>
          <w:szCs w:val="18"/>
          <w:highlight w:val="none"/>
        </w:rPr>
      </w:pPr>
      <w:r>
        <w:rPr>
          <w:rFonts w:hint="eastAsia" w:ascii="宋体" w:hAnsi="宋体" w:eastAsia="宋体"/>
          <w:sz w:val="24"/>
          <w:szCs w:val="18"/>
          <w:highlight w:val="none"/>
        </w:rPr>
        <w:t>5.7“徽采云”电子交易系统具体操作指南：详见安徽省政府采购网-徽采学院-电子交易系统学习专题-供应商-操作手册。</w:t>
      </w:r>
    </w:p>
    <w:p w14:paraId="318DA547">
      <w:pPr>
        <w:pStyle w:val="2"/>
        <w:spacing w:after="0" w:line="360" w:lineRule="auto"/>
        <w:ind w:firstLine="480" w:firstLineChars="200"/>
        <w:rPr>
          <w:rFonts w:hint="eastAsia" w:ascii="宋体" w:hAnsi="宋体" w:eastAsia="宋体"/>
          <w:sz w:val="24"/>
          <w:szCs w:val="18"/>
          <w:highlight w:val="none"/>
          <w:lang w:val="en-US"/>
        </w:rPr>
      </w:pPr>
      <w:r>
        <w:rPr>
          <w:rFonts w:hint="eastAsia" w:ascii="宋体" w:hAnsi="宋体" w:eastAsia="宋体"/>
          <w:sz w:val="24"/>
          <w:szCs w:val="18"/>
          <w:highlight w:val="none"/>
        </w:rPr>
        <w:t>5.8 CA问题联系电话：安徽CA 400-880-4959；翔晟CA 0551-68105136。</w:t>
      </w:r>
    </w:p>
    <w:bookmarkEnd w:id="12"/>
    <w:p w14:paraId="1A07881E">
      <w:pPr>
        <w:spacing w:line="360" w:lineRule="auto"/>
        <w:ind w:firstLine="437"/>
        <w:outlineLvl w:val="1"/>
        <w:rPr>
          <w:rFonts w:hint="eastAsia" w:ascii="宋体" w:hAnsi="宋体" w:eastAsia="宋体"/>
          <w:b/>
          <w:bCs/>
          <w:sz w:val="24"/>
          <w:szCs w:val="18"/>
          <w:highlight w:val="none"/>
        </w:rPr>
      </w:pPr>
      <w:bookmarkStart w:id="16" w:name="_Toc7265"/>
      <w:bookmarkStart w:id="17" w:name="_Toc3854"/>
      <w:r>
        <w:rPr>
          <w:rFonts w:hint="eastAsia" w:ascii="宋体" w:hAnsi="宋体" w:eastAsia="宋体"/>
          <w:b/>
          <w:bCs/>
          <w:sz w:val="24"/>
          <w:szCs w:val="18"/>
          <w:highlight w:val="none"/>
        </w:rPr>
        <w:t>七、</w:t>
      </w:r>
      <w:bookmarkEnd w:id="16"/>
      <w:r>
        <w:rPr>
          <w:rFonts w:hint="eastAsia" w:ascii="宋体" w:hAnsi="宋体" w:eastAsia="宋体"/>
          <w:b/>
          <w:bCs/>
          <w:sz w:val="24"/>
          <w:szCs w:val="18"/>
          <w:highlight w:val="none"/>
        </w:rPr>
        <w:t>对本次招标提出询问，请按以下方式联系</w:t>
      </w:r>
      <w:bookmarkEnd w:id="17"/>
    </w:p>
    <w:p w14:paraId="17163C33">
      <w:pPr>
        <w:spacing w:line="360" w:lineRule="auto"/>
        <w:ind w:firstLine="437"/>
        <w:outlineLvl w:val="2"/>
        <w:rPr>
          <w:rFonts w:hint="eastAsia" w:ascii="宋体" w:hAnsi="宋体" w:eastAsia="宋体"/>
          <w:sz w:val="24"/>
          <w:szCs w:val="18"/>
          <w:highlight w:val="none"/>
        </w:rPr>
      </w:pPr>
      <w:r>
        <w:rPr>
          <w:rFonts w:hint="eastAsia" w:ascii="宋体" w:hAnsi="宋体" w:eastAsia="宋体"/>
          <w:sz w:val="24"/>
          <w:szCs w:val="18"/>
          <w:highlight w:val="none"/>
        </w:rPr>
        <w:t>1.采购人信息</w:t>
      </w:r>
    </w:p>
    <w:p w14:paraId="7B51F399">
      <w:pPr>
        <w:spacing w:line="360" w:lineRule="auto"/>
        <w:ind w:firstLine="435"/>
        <w:rPr>
          <w:rFonts w:hint="eastAsia" w:ascii="宋体" w:hAnsi="宋体" w:eastAsia="宋体"/>
          <w:sz w:val="24"/>
          <w:szCs w:val="18"/>
          <w:highlight w:val="none"/>
        </w:rPr>
      </w:pPr>
      <w:r>
        <w:rPr>
          <w:rFonts w:hint="eastAsia" w:ascii="宋体" w:hAnsi="宋体" w:eastAsia="宋体" w:cs="宋体"/>
          <w:sz w:val="24"/>
          <w:szCs w:val="24"/>
          <w:highlight w:val="none"/>
        </w:rPr>
        <w:t>名  称</w:t>
      </w:r>
      <w:r>
        <w:rPr>
          <w:rFonts w:hint="eastAsia" w:ascii="宋体" w:hAnsi="宋体" w:eastAsia="宋体"/>
          <w:sz w:val="24"/>
          <w:szCs w:val="18"/>
          <w:highlight w:val="none"/>
        </w:rPr>
        <w:t>：</w:t>
      </w:r>
      <w:r>
        <w:rPr>
          <w:rFonts w:hint="eastAsia" w:ascii="宋体" w:hAnsi="宋体" w:eastAsia="宋体"/>
          <w:sz w:val="24"/>
          <w:szCs w:val="18"/>
          <w:highlight w:val="none"/>
          <w:u w:val="single"/>
        </w:rPr>
        <w:t>安徽职业技术大学</w:t>
      </w:r>
    </w:p>
    <w:p w14:paraId="2F66E8F6">
      <w:pPr>
        <w:spacing w:line="360" w:lineRule="auto"/>
        <w:ind w:firstLine="435"/>
        <w:rPr>
          <w:rFonts w:hint="eastAsia" w:ascii="宋体" w:hAnsi="宋体" w:eastAsia="宋体"/>
          <w:sz w:val="24"/>
          <w:szCs w:val="18"/>
          <w:highlight w:val="none"/>
          <w:u w:val="single"/>
        </w:rPr>
      </w:pPr>
      <w:r>
        <w:rPr>
          <w:rFonts w:hint="eastAsia" w:ascii="宋体" w:hAnsi="宋体" w:eastAsia="宋体"/>
          <w:sz w:val="24"/>
          <w:szCs w:val="18"/>
          <w:highlight w:val="none"/>
        </w:rPr>
        <w:t xml:space="preserve">地 </w:t>
      </w:r>
      <w:r>
        <w:rPr>
          <w:rFonts w:ascii="宋体" w:hAnsi="宋体" w:eastAsia="宋体"/>
          <w:sz w:val="24"/>
          <w:szCs w:val="18"/>
          <w:highlight w:val="none"/>
        </w:rPr>
        <w:t xml:space="preserve"> </w:t>
      </w:r>
      <w:r>
        <w:rPr>
          <w:rFonts w:hint="eastAsia" w:ascii="宋体" w:hAnsi="宋体" w:eastAsia="宋体"/>
          <w:sz w:val="24"/>
          <w:szCs w:val="18"/>
          <w:highlight w:val="none"/>
        </w:rPr>
        <w:t>址：</w:t>
      </w:r>
      <w:r>
        <w:rPr>
          <w:rFonts w:hint="eastAsia" w:ascii="宋体" w:hAnsi="宋体" w:eastAsia="宋体"/>
          <w:sz w:val="24"/>
          <w:szCs w:val="18"/>
          <w:highlight w:val="none"/>
          <w:u w:val="single"/>
        </w:rPr>
        <w:t>合肥市新站区文忠路2600号</w:t>
      </w:r>
    </w:p>
    <w:p w14:paraId="1999B4CF">
      <w:pPr>
        <w:spacing w:line="360" w:lineRule="auto"/>
        <w:ind w:firstLine="435"/>
        <w:rPr>
          <w:rFonts w:hint="eastAsia" w:ascii="宋体" w:hAnsi="宋体" w:eastAsia="宋体"/>
          <w:sz w:val="24"/>
          <w:szCs w:val="18"/>
          <w:highlight w:val="none"/>
        </w:rPr>
      </w:pPr>
      <w:r>
        <w:rPr>
          <w:rFonts w:hint="eastAsia" w:ascii="宋体" w:hAnsi="宋体" w:eastAsia="宋体"/>
          <w:sz w:val="24"/>
          <w:szCs w:val="18"/>
          <w:highlight w:val="none"/>
        </w:rPr>
        <w:t>联系人：</w:t>
      </w:r>
      <w:r>
        <w:rPr>
          <w:rFonts w:hint="eastAsia" w:ascii="宋体" w:hAnsi="宋体" w:eastAsia="宋体"/>
          <w:sz w:val="24"/>
          <w:szCs w:val="18"/>
          <w:highlight w:val="none"/>
          <w:u w:val="single"/>
        </w:rPr>
        <w:t>王老师</w:t>
      </w:r>
    </w:p>
    <w:p w14:paraId="0ED5D257">
      <w:pPr>
        <w:spacing w:line="360" w:lineRule="auto"/>
        <w:ind w:firstLine="435"/>
        <w:rPr>
          <w:rFonts w:hint="eastAsia" w:ascii="宋体" w:hAnsi="宋体" w:eastAsia="宋体"/>
          <w:sz w:val="24"/>
          <w:szCs w:val="18"/>
          <w:highlight w:val="none"/>
        </w:rPr>
      </w:pPr>
      <w:r>
        <w:rPr>
          <w:rFonts w:hint="eastAsia" w:ascii="宋体" w:hAnsi="宋体" w:eastAsia="宋体"/>
          <w:sz w:val="24"/>
          <w:szCs w:val="18"/>
          <w:highlight w:val="none"/>
        </w:rPr>
        <w:t>联系方式：</w:t>
      </w:r>
      <w:r>
        <w:rPr>
          <w:rFonts w:hint="eastAsia" w:ascii="宋体" w:hAnsi="宋体" w:eastAsia="宋体"/>
          <w:sz w:val="24"/>
          <w:szCs w:val="18"/>
          <w:highlight w:val="none"/>
          <w:u w:val="single"/>
        </w:rPr>
        <w:t>0551-64680165</w:t>
      </w:r>
    </w:p>
    <w:p w14:paraId="72CE88C6">
      <w:pPr>
        <w:spacing w:line="360" w:lineRule="auto"/>
        <w:ind w:firstLine="437"/>
        <w:outlineLvl w:val="2"/>
        <w:rPr>
          <w:rFonts w:hint="eastAsia" w:ascii="宋体" w:hAnsi="宋体" w:eastAsia="宋体"/>
          <w:sz w:val="24"/>
          <w:szCs w:val="18"/>
          <w:highlight w:val="none"/>
        </w:rPr>
      </w:pPr>
      <w:r>
        <w:rPr>
          <w:rFonts w:ascii="宋体" w:hAnsi="宋体" w:eastAsia="宋体"/>
          <w:sz w:val="24"/>
          <w:szCs w:val="18"/>
          <w:highlight w:val="none"/>
        </w:rPr>
        <w:t>2.采购代理机构</w:t>
      </w:r>
      <w:r>
        <w:rPr>
          <w:rFonts w:hint="eastAsia" w:ascii="宋体" w:hAnsi="宋体" w:eastAsia="宋体"/>
          <w:sz w:val="24"/>
          <w:szCs w:val="18"/>
          <w:highlight w:val="none"/>
        </w:rPr>
        <w:t>信息</w:t>
      </w:r>
    </w:p>
    <w:p w14:paraId="153A5225">
      <w:pPr>
        <w:spacing w:line="360" w:lineRule="auto"/>
        <w:ind w:firstLine="435"/>
        <w:rPr>
          <w:rFonts w:hint="eastAsia" w:ascii="宋体" w:hAnsi="宋体" w:eastAsia="宋体"/>
          <w:sz w:val="24"/>
          <w:szCs w:val="18"/>
          <w:highlight w:val="none"/>
        </w:rPr>
      </w:pPr>
      <w:r>
        <w:rPr>
          <w:rFonts w:hint="eastAsia" w:ascii="宋体" w:hAnsi="宋体" w:eastAsia="宋体" w:cs="宋体"/>
          <w:sz w:val="24"/>
          <w:szCs w:val="24"/>
          <w:highlight w:val="none"/>
        </w:rPr>
        <w:t>名  称</w:t>
      </w:r>
      <w:r>
        <w:rPr>
          <w:rFonts w:hint="eastAsia" w:ascii="宋体" w:hAnsi="宋体" w:eastAsia="宋体"/>
          <w:sz w:val="24"/>
          <w:szCs w:val="18"/>
          <w:highlight w:val="none"/>
        </w:rPr>
        <w:t>：</w:t>
      </w:r>
      <w:r>
        <w:rPr>
          <w:rFonts w:hint="eastAsia" w:ascii="宋体" w:hAnsi="宋体" w:eastAsia="宋体"/>
          <w:sz w:val="24"/>
          <w:szCs w:val="18"/>
          <w:highlight w:val="none"/>
          <w:u w:val="single"/>
        </w:rPr>
        <w:t>安徽中技工程咨询有限公司</w:t>
      </w:r>
    </w:p>
    <w:p w14:paraId="6330F5D7">
      <w:pPr>
        <w:spacing w:line="360" w:lineRule="auto"/>
        <w:ind w:firstLine="435"/>
        <w:rPr>
          <w:rFonts w:hint="eastAsia" w:ascii="宋体" w:hAnsi="宋体" w:eastAsia="宋体"/>
          <w:sz w:val="24"/>
          <w:szCs w:val="18"/>
          <w:highlight w:val="none"/>
          <w:u w:val="single"/>
        </w:rPr>
      </w:pPr>
      <w:r>
        <w:rPr>
          <w:rFonts w:hint="eastAsia" w:ascii="宋体" w:hAnsi="宋体" w:eastAsia="宋体"/>
          <w:sz w:val="24"/>
          <w:szCs w:val="18"/>
          <w:highlight w:val="none"/>
        </w:rPr>
        <w:t>地</w:t>
      </w:r>
      <w:r>
        <w:rPr>
          <w:rFonts w:ascii="宋体" w:hAnsi="宋体" w:eastAsia="宋体"/>
          <w:sz w:val="24"/>
          <w:szCs w:val="18"/>
          <w:highlight w:val="none"/>
        </w:rPr>
        <w:t xml:space="preserve">  址：</w:t>
      </w:r>
      <w:r>
        <w:rPr>
          <w:rFonts w:hint="eastAsia" w:ascii="宋体" w:hAnsi="宋体" w:eastAsia="宋体"/>
          <w:sz w:val="24"/>
          <w:szCs w:val="18"/>
          <w:highlight w:val="none"/>
          <w:u w:val="single"/>
        </w:rPr>
        <w:t>合肥市合作化南路27号</w:t>
      </w:r>
    </w:p>
    <w:p w14:paraId="16569BBF">
      <w:pPr>
        <w:spacing w:line="360" w:lineRule="auto"/>
        <w:ind w:firstLine="435"/>
        <w:rPr>
          <w:rFonts w:hint="eastAsia"/>
          <w:highlight w:val="none"/>
        </w:rPr>
      </w:pPr>
      <w:r>
        <w:rPr>
          <w:rFonts w:hint="eastAsia" w:ascii="宋体" w:hAnsi="宋体" w:eastAsia="宋体"/>
          <w:sz w:val="24"/>
          <w:szCs w:val="18"/>
          <w:highlight w:val="none"/>
        </w:rPr>
        <w:t>联系人：</w:t>
      </w:r>
      <w:r>
        <w:rPr>
          <w:rFonts w:hint="eastAsia" w:ascii="宋体" w:hAnsi="宋体" w:eastAsia="宋体"/>
          <w:sz w:val="24"/>
          <w:szCs w:val="18"/>
          <w:highlight w:val="none"/>
          <w:u w:val="single"/>
        </w:rPr>
        <w:t>王宏源</w:t>
      </w:r>
    </w:p>
    <w:p w14:paraId="23D72F95">
      <w:pPr>
        <w:spacing w:line="360" w:lineRule="auto"/>
        <w:ind w:firstLine="435"/>
        <w:rPr>
          <w:rFonts w:hint="eastAsia" w:ascii="宋体" w:hAnsi="宋体" w:eastAsia="宋体"/>
          <w:sz w:val="24"/>
          <w:szCs w:val="18"/>
          <w:highlight w:val="none"/>
        </w:rPr>
      </w:pPr>
      <w:r>
        <w:rPr>
          <w:rFonts w:hint="eastAsia" w:ascii="宋体" w:hAnsi="宋体" w:eastAsia="宋体"/>
          <w:sz w:val="24"/>
          <w:szCs w:val="18"/>
          <w:highlight w:val="none"/>
        </w:rPr>
        <w:t>联系方式：</w:t>
      </w:r>
      <w:r>
        <w:rPr>
          <w:rFonts w:hint="eastAsia" w:ascii="宋体" w:hAnsi="宋体" w:eastAsia="宋体"/>
          <w:sz w:val="24"/>
          <w:szCs w:val="18"/>
          <w:highlight w:val="none"/>
          <w:u w:val="single"/>
        </w:rPr>
        <w:t>0551－65149581-658，15956962711</w:t>
      </w:r>
    </w:p>
    <w:p w14:paraId="154F4FDE">
      <w:pPr>
        <w:spacing w:line="360" w:lineRule="auto"/>
        <w:ind w:firstLine="437"/>
        <w:outlineLvl w:val="2"/>
        <w:rPr>
          <w:rFonts w:hint="eastAsia" w:ascii="宋体" w:hAnsi="宋体" w:eastAsia="宋体"/>
          <w:b/>
          <w:sz w:val="24"/>
          <w:szCs w:val="18"/>
          <w:highlight w:val="none"/>
        </w:rPr>
      </w:pPr>
      <w:r>
        <w:rPr>
          <w:rFonts w:hint="eastAsia" w:ascii="宋体" w:hAnsi="宋体" w:eastAsia="宋体"/>
          <w:bCs/>
          <w:sz w:val="24"/>
          <w:szCs w:val="18"/>
          <w:highlight w:val="none"/>
        </w:rPr>
        <w:t>3</w:t>
      </w:r>
      <w:r>
        <w:rPr>
          <w:rFonts w:hint="eastAsia" w:ascii="宋体" w:hAnsi="宋体" w:eastAsia="宋体"/>
          <w:b/>
          <w:sz w:val="24"/>
          <w:szCs w:val="18"/>
          <w:highlight w:val="none"/>
        </w:rPr>
        <w:t>.</w:t>
      </w:r>
      <w:r>
        <w:rPr>
          <w:rFonts w:hint="eastAsia" w:ascii="宋体" w:hAnsi="宋体" w:eastAsia="宋体"/>
          <w:sz w:val="24"/>
          <w:szCs w:val="18"/>
          <w:highlight w:val="none"/>
        </w:rPr>
        <w:t>政府采购监督管理部门信息</w:t>
      </w:r>
    </w:p>
    <w:p w14:paraId="461A317E">
      <w:pPr>
        <w:spacing w:line="360" w:lineRule="auto"/>
        <w:ind w:firstLine="435"/>
        <w:rPr>
          <w:rFonts w:hint="eastAsia" w:ascii="宋体" w:hAnsi="宋体" w:eastAsia="宋体"/>
          <w:sz w:val="24"/>
          <w:szCs w:val="18"/>
          <w:highlight w:val="none"/>
        </w:rPr>
      </w:pPr>
      <w:r>
        <w:rPr>
          <w:rFonts w:hint="eastAsia" w:ascii="宋体" w:hAnsi="宋体" w:eastAsia="宋体" w:cs="宋体"/>
          <w:sz w:val="24"/>
          <w:szCs w:val="24"/>
          <w:highlight w:val="none"/>
        </w:rPr>
        <w:t>名  称</w:t>
      </w:r>
      <w:r>
        <w:rPr>
          <w:rFonts w:hint="eastAsia" w:ascii="宋体" w:hAnsi="宋体" w:eastAsia="宋体"/>
          <w:sz w:val="24"/>
          <w:szCs w:val="18"/>
          <w:highlight w:val="none"/>
        </w:rPr>
        <w:t>：</w:t>
      </w:r>
      <w:r>
        <w:rPr>
          <w:rFonts w:hint="eastAsia" w:ascii="宋体" w:hAnsi="宋体" w:eastAsia="宋体"/>
          <w:sz w:val="24"/>
          <w:szCs w:val="18"/>
          <w:highlight w:val="none"/>
          <w:u w:val="single"/>
        </w:rPr>
        <w:t>安徽省财政厅</w:t>
      </w:r>
    </w:p>
    <w:p w14:paraId="748FB2C4">
      <w:pPr>
        <w:spacing w:line="360" w:lineRule="auto"/>
        <w:ind w:firstLine="435"/>
        <w:rPr>
          <w:rFonts w:hint="eastAsia" w:ascii="宋体" w:hAnsi="宋体" w:eastAsia="宋体"/>
          <w:sz w:val="24"/>
          <w:szCs w:val="18"/>
          <w:highlight w:val="none"/>
        </w:rPr>
      </w:pPr>
      <w:r>
        <w:rPr>
          <w:rFonts w:hint="eastAsia" w:ascii="宋体" w:hAnsi="宋体" w:eastAsia="宋体"/>
          <w:sz w:val="24"/>
          <w:szCs w:val="18"/>
          <w:highlight w:val="none"/>
        </w:rPr>
        <w:t>地  址：</w:t>
      </w:r>
      <w:r>
        <w:rPr>
          <w:rFonts w:hint="eastAsia" w:ascii="宋体" w:hAnsi="宋体" w:eastAsia="宋体"/>
          <w:sz w:val="24"/>
          <w:szCs w:val="18"/>
          <w:highlight w:val="none"/>
          <w:u w:val="single"/>
        </w:rPr>
        <w:t>安徽省合肥市阜南西路238号</w:t>
      </w:r>
    </w:p>
    <w:p w14:paraId="00606153">
      <w:pPr>
        <w:spacing w:line="360" w:lineRule="auto"/>
        <w:ind w:firstLine="435"/>
        <w:rPr>
          <w:rFonts w:hint="eastAsia" w:ascii="宋体" w:hAnsi="宋体" w:eastAsia="宋体"/>
          <w:sz w:val="24"/>
          <w:szCs w:val="18"/>
          <w:highlight w:val="none"/>
          <w:u w:val="single"/>
        </w:rPr>
      </w:pPr>
      <w:r>
        <w:rPr>
          <w:rFonts w:hint="eastAsia" w:ascii="宋体" w:hAnsi="宋体" w:eastAsia="宋体"/>
          <w:sz w:val="24"/>
          <w:szCs w:val="18"/>
          <w:highlight w:val="none"/>
        </w:rPr>
        <w:t>联系方式：</w:t>
      </w:r>
      <w:r>
        <w:rPr>
          <w:rFonts w:hint="eastAsia" w:ascii="宋体" w:hAnsi="宋体" w:eastAsia="宋体"/>
          <w:sz w:val="24"/>
          <w:szCs w:val="18"/>
          <w:highlight w:val="none"/>
          <w:u w:val="single"/>
        </w:rPr>
        <w:t>0551-68150505</w:t>
      </w:r>
    </w:p>
    <w:p w14:paraId="6E44BB6D">
      <w:pPr>
        <w:widowControl/>
        <w:jc w:val="left"/>
        <w:rPr>
          <w:rFonts w:hint="eastAsia" w:ascii="宋体" w:hAnsi="宋体" w:eastAsia="宋体"/>
          <w:sz w:val="24"/>
          <w:szCs w:val="18"/>
          <w:highlight w:val="none"/>
        </w:rPr>
      </w:pPr>
      <w:r>
        <w:rPr>
          <w:rFonts w:ascii="宋体" w:hAnsi="宋体" w:eastAsia="宋体"/>
          <w:sz w:val="24"/>
          <w:szCs w:val="18"/>
          <w:highlight w:val="none"/>
        </w:rPr>
        <w:br w:type="page"/>
      </w:r>
    </w:p>
    <w:p w14:paraId="17281442">
      <w:pPr>
        <w:spacing w:line="360" w:lineRule="auto"/>
        <w:jc w:val="center"/>
        <w:outlineLvl w:val="0"/>
        <w:rPr>
          <w:rFonts w:hint="eastAsia" w:asciiTheme="minorEastAsia" w:hAnsiTheme="minorEastAsia" w:eastAsiaTheme="minorEastAsia"/>
          <w:b/>
          <w:sz w:val="28"/>
          <w:highlight w:val="none"/>
        </w:rPr>
      </w:pPr>
      <w:bookmarkStart w:id="18" w:name="_Toc31935"/>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w:t>
      </w:r>
      <w:r>
        <w:rPr>
          <w:rFonts w:asciiTheme="minorEastAsia" w:hAnsiTheme="minorEastAsia" w:eastAsiaTheme="minorEastAsia"/>
          <w:b/>
          <w:sz w:val="28"/>
          <w:highlight w:val="none"/>
        </w:rPr>
        <w:t>投标人须知</w:t>
      </w:r>
      <w:bookmarkEnd w:id="18"/>
    </w:p>
    <w:p w14:paraId="1C2B44DB">
      <w:pPr>
        <w:spacing w:line="360" w:lineRule="auto"/>
        <w:jc w:val="center"/>
        <w:outlineLvl w:val="1"/>
        <w:rPr>
          <w:rFonts w:hint="eastAsia" w:asciiTheme="minorEastAsia" w:hAnsiTheme="minorEastAsia" w:eastAsiaTheme="minorEastAsia"/>
          <w:b/>
          <w:sz w:val="24"/>
          <w:highlight w:val="none"/>
        </w:rPr>
      </w:pPr>
      <w:bookmarkStart w:id="19" w:name="_Toc7178"/>
      <w:bookmarkStart w:id="20" w:name="_Toc3114"/>
      <w:r>
        <w:rPr>
          <w:rFonts w:hint="eastAsia" w:asciiTheme="minorEastAsia" w:hAnsiTheme="minorEastAsia" w:eastAsiaTheme="minorEastAsia"/>
          <w:b/>
          <w:sz w:val="24"/>
          <w:highlight w:val="none"/>
        </w:rPr>
        <w:t>一、</w:t>
      </w:r>
      <w:r>
        <w:rPr>
          <w:rFonts w:asciiTheme="minorEastAsia" w:hAnsiTheme="minorEastAsia" w:eastAsiaTheme="minorEastAsia"/>
          <w:b/>
          <w:sz w:val="24"/>
          <w:highlight w:val="none"/>
        </w:rPr>
        <w:t>投标人须知前附表</w:t>
      </w:r>
      <w:bookmarkEnd w:id="19"/>
      <w:bookmarkEnd w:id="20"/>
    </w:p>
    <w:p w14:paraId="13C5CDE9">
      <w:pPr>
        <w:spacing w:line="360" w:lineRule="auto"/>
        <w:ind w:firstLine="435"/>
        <w:rPr>
          <w:rFonts w:hint="eastAsia" w:ascii="宋体" w:hAnsi="宋体" w:eastAsia="宋体"/>
          <w:sz w:val="24"/>
          <w:szCs w:val="18"/>
          <w:highlight w:val="none"/>
        </w:rPr>
      </w:pPr>
      <w:r>
        <w:rPr>
          <w:rFonts w:hint="eastAsia" w:ascii="宋体" w:hAnsi="宋体" w:eastAsia="宋体"/>
          <w:b/>
          <w:bCs/>
          <w:sz w:val="24"/>
          <w:szCs w:val="18"/>
          <w:highlight w:val="none"/>
        </w:rPr>
        <w:t>注：</w:t>
      </w:r>
      <w:r>
        <w:rPr>
          <w:rFonts w:hint="eastAsia" w:ascii="宋体" w:hAnsi="宋体" w:eastAsia="宋体"/>
          <w:sz w:val="24"/>
          <w:szCs w:val="18"/>
          <w:highlight w:val="none"/>
        </w:rPr>
        <w:t>本表是本项目的具体要求，是对投标人须知的具体补充和修改，如有不一致，以本表为准。</w:t>
      </w:r>
    </w:p>
    <w:tbl>
      <w:tblPr>
        <w:tblStyle w:val="23"/>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2"/>
              <w:widowControl w:val="0"/>
              <w:spacing w:before="0" w:beforeAutospacing="0" w:after="0" w:afterAutospacing="0"/>
              <w:rPr>
                <w:rFonts w:hint="eastAsia" w:ascii="宋体" w:hAnsi="宋体" w:eastAsia="宋体"/>
                <w:bCs w:val="0"/>
                <w:kern w:val="2"/>
                <w:sz w:val="24"/>
                <w:szCs w:val="20"/>
                <w:highlight w:val="none"/>
              </w:rPr>
            </w:pPr>
            <w:r>
              <w:rPr>
                <w:rFonts w:hint="eastAsia" w:ascii="宋体" w:hAnsi="宋体" w:eastAsia="宋体"/>
                <w:bCs w:val="0"/>
                <w:kern w:val="2"/>
                <w:sz w:val="24"/>
                <w:szCs w:val="20"/>
                <w:highlight w:val="none"/>
              </w:rPr>
              <w:t>条款号</w:t>
            </w:r>
          </w:p>
        </w:tc>
        <w:tc>
          <w:tcPr>
            <w:tcW w:w="1174" w:type="pct"/>
            <w:vAlign w:val="center"/>
          </w:tcPr>
          <w:p w14:paraId="6B4D4B7D">
            <w:pPr>
              <w:pStyle w:val="32"/>
              <w:widowControl w:val="0"/>
              <w:spacing w:before="0" w:beforeAutospacing="0" w:after="0" w:afterAutospacing="0"/>
              <w:rPr>
                <w:rFonts w:hint="eastAsia" w:ascii="宋体" w:hAnsi="宋体" w:eastAsia="宋体"/>
                <w:bCs w:val="0"/>
                <w:kern w:val="2"/>
                <w:sz w:val="24"/>
                <w:szCs w:val="20"/>
                <w:highlight w:val="none"/>
              </w:rPr>
            </w:pPr>
            <w:r>
              <w:rPr>
                <w:rFonts w:hint="eastAsia" w:ascii="宋体" w:hAnsi="宋体" w:eastAsia="宋体"/>
                <w:bCs w:val="0"/>
                <w:kern w:val="2"/>
                <w:sz w:val="24"/>
                <w:szCs w:val="20"/>
                <w:highlight w:val="none"/>
              </w:rPr>
              <w:t>条款名称</w:t>
            </w:r>
          </w:p>
        </w:tc>
        <w:tc>
          <w:tcPr>
            <w:tcW w:w="3244" w:type="pct"/>
            <w:vAlign w:val="center"/>
          </w:tcPr>
          <w:p w14:paraId="467D9BEB">
            <w:pPr>
              <w:pStyle w:val="32"/>
              <w:widowControl w:val="0"/>
              <w:spacing w:before="0" w:beforeAutospacing="0" w:after="0" w:afterAutospacing="0"/>
              <w:rPr>
                <w:rFonts w:hint="eastAsia" w:ascii="宋体" w:hAnsi="宋体" w:eastAsia="宋体"/>
                <w:bCs w:val="0"/>
                <w:kern w:val="2"/>
                <w:sz w:val="24"/>
                <w:szCs w:val="20"/>
                <w:highlight w:val="none"/>
              </w:rPr>
            </w:pPr>
            <w:r>
              <w:rPr>
                <w:rFonts w:hint="eastAsia" w:ascii="宋体" w:hAnsi="宋体" w:eastAsia="宋体"/>
                <w:bCs w:val="0"/>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1174" w:type="pct"/>
            <w:vAlign w:val="center"/>
          </w:tcPr>
          <w:p w14:paraId="2B65B3B9">
            <w:pPr>
              <w:pStyle w:val="32"/>
              <w:widowControl w:val="0"/>
              <w:spacing w:before="0" w:beforeAutospacing="0" w:after="0" w:afterAutospacing="0" w:line="360" w:lineRule="auto"/>
              <w:jc w:val="left"/>
              <w:rPr>
                <w:rFonts w:hint="eastAsia" w:ascii="宋体" w:hAnsi="宋体" w:eastAsia="宋体"/>
                <w:b w:val="0"/>
                <w:sz w:val="24"/>
                <w:highlight w:val="none"/>
              </w:rPr>
            </w:pPr>
            <w:r>
              <w:rPr>
                <w:rFonts w:hint="eastAsia" w:ascii="宋体" w:hAnsi="宋体" w:eastAsia="宋体"/>
                <w:b w:val="0"/>
                <w:sz w:val="24"/>
                <w:highlight w:val="none"/>
              </w:rPr>
              <w:t>现场考察或标前答疑会</w:t>
            </w:r>
          </w:p>
        </w:tc>
        <w:tc>
          <w:tcPr>
            <w:tcW w:w="3244" w:type="pct"/>
            <w:vAlign w:val="center"/>
          </w:tcPr>
          <w:p w14:paraId="1B94A396">
            <w:pPr>
              <w:spacing w:line="360" w:lineRule="auto"/>
              <w:rPr>
                <w:rFonts w:hint="eastAsia" w:ascii="宋体" w:hAnsi="宋体" w:eastAsia="宋体"/>
                <w:sz w:val="24"/>
                <w:highlight w:val="none"/>
              </w:rPr>
            </w:pPr>
            <w:r>
              <w:rPr>
                <w:rFonts w:hint="eastAsia" w:ascii="宋体" w:hAnsi="宋体" w:eastAsia="宋体"/>
                <w:bCs/>
                <w:sz w:val="24"/>
                <w:szCs w:val="24"/>
                <w:highlight w:val="none"/>
              </w:rPr>
              <w:t>☑</w:t>
            </w:r>
            <w:r>
              <w:rPr>
                <w:rFonts w:hint="eastAsia" w:ascii="宋体" w:hAnsi="宋体" w:eastAsia="宋体"/>
                <w:sz w:val="24"/>
                <w:highlight w:val="none"/>
              </w:rPr>
              <w:t>不组织或不召开</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6</w:t>
            </w:r>
            <w:r>
              <w:rPr>
                <w:rFonts w:ascii="宋体" w:hAnsi="宋体" w:eastAsia="宋体"/>
                <w:bCs/>
                <w:kern w:val="2"/>
                <w:highlight w:val="none"/>
              </w:rPr>
              <w:t>.1</w:t>
            </w:r>
          </w:p>
        </w:tc>
        <w:tc>
          <w:tcPr>
            <w:tcW w:w="1174" w:type="pct"/>
            <w:vAlign w:val="center"/>
          </w:tcPr>
          <w:p w14:paraId="6A4467E4">
            <w:pPr>
              <w:pStyle w:val="32"/>
              <w:widowControl w:val="0"/>
              <w:spacing w:before="0" w:beforeAutospacing="0" w:after="0" w:afterAutospacing="0"/>
              <w:jc w:val="left"/>
              <w:rPr>
                <w:rFonts w:hint="eastAsia" w:ascii="宋体" w:hAnsi="宋体" w:eastAsia="宋体"/>
                <w:b w:val="0"/>
                <w:sz w:val="24"/>
                <w:highlight w:val="none"/>
              </w:rPr>
            </w:pPr>
            <w:r>
              <w:rPr>
                <w:rFonts w:hint="eastAsia" w:ascii="宋体" w:hAnsi="宋体" w:eastAsia="宋体"/>
                <w:b w:val="0"/>
                <w:sz w:val="24"/>
                <w:highlight w:val="none"/>
              </w:rPr>
              <w:t>网上询问截止时间</w:t>
            </w:r>
          </w:p>
        </w:tc>
        <w:tc>
          <w:tcPr>
            <w:tcW w:w="3244" w:type="pct"/>
            <w:vAlign w:val="center"/>
          </w:tcPr>
          <w:p w14:paraId="06B28AA9">
            <w:pPr>
              <w:pStyle w:val="32"/>
              <w:widowControl w:val="0"/>
              <w:spacing w:before="0" w:beforeAutospacing="0" w:after="0" w:afterAutospacing="0"/>
              <w:jc w:val="both"/>
              <w:rPr>
                <w:rFonts w:hint="eastAsia" w:ascii="宋体" w:hAnsi="宋体" w:eastAsia="宋体"/>
                <w:b w:val="0"/>
                <w:sz w:val="24"/>
                <w:highlight w:val="none"/>
              </w:rPr>
            </w:pPr>
            <w:r>
              <w:rPr>
                <w:rFonts w:hint="eastAsia" w:ascii="宋体" w:hAnsi="宋体" w:eastAsia="宋体"/>
                <w:b w:val="0"/>
                <w:sz w:val="24"/>
                <w:highlight w:val="none"/>
                <w:u w:val="single"/>
              </w:rPr>
              <w:t>2026</w:t>
            </w:r>
            <w:r>
              <w:rPr>
                <w:rFonts w:ascii="宋体" w:hAnsi="宋体" w:eastAsia="宋体"/>
                <w:b w:val="0"/>
                <w:sz w:val="24"/>
                <w:highlight w:val="none"/>
              </w:rPr>
              <w:t>年</w:t>
            </w:r>
            <w:r>
              <w:rPr>
                <w:rFonts w:hint="eastAsia" w:ascii="宋体" w:hAnsi="宋体" w:eastAsia="宋体"/>
                <w:b w:val="0"/>
                <w:sz w:val="24"/>
                <w:highlight w:val="none"/>
                <w:u w:val="single"/>
                <w:lang w:val="en-US" w:eastAsia="zh-CN"/>
              </w:rPr>
              <w:t>08</w:t>
            </w:r>
            <w:r>
              <w:rPr>
                <w:rFonts w:ascii="宋体" w:hAnsi="宋体" w:eastAsia="宋体"/>
                <w:b w:val="0"/>
                <w:sz w:val="24"/>
                <w:highlight w:val="none"/>
              </w:rPr>
              <w:t>月</w:t>
            </w:r>
            <w:r>
              <w:rPr>
                <w:rFonts w:hint="eastAsia" w:ascii="宋体" w:hAnsi="宋体" w:eastAsia="宋体"/>
                <w:b w:val="0"/>
                <w:sz w:val="24"/>
                <w:highlight w:val="none"/>
                <w:u w:val="single"/>
                <w:lang w:val="en-US" w:eastAsia="zh-CN"/>
              </w:rPr>
              <w:t>17</w:t>
            </w:r>
            <w:r>
              <w:rPr>
                <w:rFonts w:ascii="宋体" w:hAnsi="宋体" w:eastAsia="宋体"/>
                <w:b w:val="0"/>
                <w:sz w:val="24"/>
                <w:highlight w:val="none"/>
              </w:rPr>
              <w:t>日</w:t>
            </w:r>
            <w:r>
              <w:rPr>
                <w:rFonts w:hint="eastAsia" w:ascii="宋体" w:hAnsi="宋体" w:eastAsia="宋体"/>
                <w:b w:val="0"/>
                <w:sz w:val="24"/>
                <w:highlight w:val="none"/>
                <w:u w:val="single"/>
                <w:lang w:val="en-US" w:eastAsia="zh-CN"/>
              </w:rPr>
              <w:t>17</w:t>
            </w:r>
            <w:r>
              <w:rPr>
                <w:rFonts w:ascii="宋体" w:hAnsi="宋体" w:eastAsia="宋体"/>
                <w:b w:val="0"/>
                <w:sz w:val="24"/>
                <w:highlight w:val="none"/>
              </w:rPr>
              <w:t>时</w:t>
            </w:r>
            <w:r>
              <w:rPr>
                <w:rFonts w:hint="eastAsia" w:ascii="宋体" w:hAnsi="宋体" w:eastAsia="宋体"/>
                <w:b w:val="0"/>
                <w:sz w:val="24"/>
                <w:highlight w:val="none"/>
                <w:u w:val="single"/>
              </w:rPr>
              <w:t>00</w:t>
            </w:r>
            <w:r>
              <w:rPr>
                <w:rFonts w:hint="eastAsia" w:ascii="宋体" w:hAnsi="宋体" w:eastAsia="宋体"/>
                <w:b w:val="0"/>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7</w:t>
            </w:r>
            <w:r>
              <w:rPr>
                <w:rFonts w:ascii="宋体" w:hAnsi="宋体" w:eastAsia="宋体"/>
                <w:bCs/>
                <w:kern w:val="2"/>
                <w:highlight w:val="none"/>
              </w:rPr>
              <w:t>.1</w:t>
            </w:r>
          </w:p>
        </w:tc>
        <w:tc>
          <w:tcPr>
            <w:tcW w:w="1174" w:type="pct"/>
            <w:vAlign w:val="center"/>
          </w:tcPr>
          <w:p w14:paraId="7D418D49">
            <w:pPr>
              <w:pStyle w:val="32"/>
              <w:widowControl w:val="0"/>
              <w:spacing w:before="0" w:beforeAutospacing="0" w:after="0" w:afterAutospacing="0"/>
              <w:jc w:val="left"/>
              <w:rPr>
                <w:rFonts w:hint="eastAsia" w:ascii="宋体" w:hAnsi="宋体" w:eastAsia="宋体"/>
                <w:b w:val="0"/>
                <w:sz w:val="24"/>
                <w:highlight w:val="none"/>
              </w:rPr>
            </w:pPr>
            <w:r>
              <w:rPr>
                <w:rFonts w:hint="eastAsia" w:ascii="宋体" w:hAnsi="宋体" w:eastAsia="宋体"/>
                <w:b w:val="0"/>
                <w:sz w:val="24"/>
                <w:highlight w:val="none"/>
              </w:rPr>
              <w:t>包别划分</w:t>
            </w:r>
          </w:p>
        </w:tc>
        <w:tc>
          <w:tcPr>
            <w:tcW w:w="3244" w:type="pct"/>
            <w:vAlign w:val="center"/>
          </w:tcPr>
          <w:p w14:paraId="7D8B005F">
            <w:pPr>
              <w:pStyle w:val="32"/>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bCs w:val="0"/>
                <w:sz w:val="24"/>
                <w:szCs w:val="24"/>
                <w:highlight w:val="none"/>
              </w:rPr>
              <w:t>☑</w:t>
            </w:r>
            <w:r>
              <w:rPr>
                <w:rFonts w:ascii="宋体" w:hAnsi="宋体" w:eastAsia="宋体"/>
                <w:b w:val="0"/>
                <w:sz w:val="24"/>
                <w:highlight w:val="none"/>
              </w:rPr>
              <w:t xml:space="preserve">不分包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10</w:t>
            </w:r>
            <w:r>
              <w:rPr>
                <w:rFonts w:ascii="宋体" w:hAnsi="宋体" w:eastAsia="宋体"/>
                <w:bCs/>
                <w:kern w:val="2"/>
                <w:highlight w:val="none"/>
              </w:rPr>
              <w:t>.1</w:t>
            </w:r>
          </w:p>
        </w:tc>
        <w:tc>
          <w:tcPr>
            <w:tcW w:w="1174" w:type="pct"/>
            <w:vAlign w:val="center"/>
          </w:tcPr>
          <w:p w14:paraId="65E9DB8A">
            <w:pPr>
              <w:pStyle w:val="32"/>
              <w:widowControl w:val="0"/>
              <w:spacing w:before="0" w:beforeAutospacing="0" w:after="0" w:afterAutospacing="0" w:line="360" w:lineRule="auto"/>
              <w:jc w:val="left"/>
              <w:rPr>
                <w:rFonts w:hint="eastAsia" w:ascii="宋体" w:hAnsi="宋体" w:eastAsia="宋体"/>
                <w:b w:val="0"/>
                <w:sz w:val="24"/>
                <w:highlight w:val="none"/>
              </w:rPr>
            </w:pPr>
            <w:r>
              <w:rPr>
                <w:rFonts w:hint="eastAsia" w:ascii="宋体" w:hAnsi="宋体" w:eastAsia="宋体"/>
                <w:b w:val="0"/>
                <w:sz w:val="24"/>
                <w:highlight w:val="none"/>
              </w:rPr>
              <w:t>投标保证金</w:t>
            </w:r>
          </w:p>
        </w:tc>
        <w:tc>
          <w:tcPr>
            <w:tcW w:w="3244" w:type="pct"/>
            <w:vAlign w:val="center"/>
          </w:tcPr>
          <w:p w14:paraId="722B02DC">
            <w:pPr>
              <w:spacing w:line="360" w:lineRule="auto"/>
              <w:rPr>
                <w:rFonts w:hint="eastAsia"/>
                <w:highlight w:val="none"/>
              </w:rPr>
            </w:pPr>
            <w:r>
              <w:rPr>
                <w:rFonts w:hint="eastAsia" w:ascii="宋体" w:hAnsi="宋体" w:eastAsia="宋体"/>
                <w:bCs/>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11</w:t>
            </w:r>
            <w:r>
              <w:rPr>
                <w:rFonts w:ascii="宋体" w:hAnsi="宋体" w:eastAsia="宋体"/>
                <w:bCs/>
                <w:kern w:val="2"/>
                <w:highlight w:val="none"/>
              </w:rPr>
              <w:t>.1</w:t>
            </w:r>
          </w:p>
        </w:tc>
        <w:tc>
          <w:tcPr>
            <w:tcW w:w="1174" w:type="pct"/>
            <w:vAlign w:val="center"/>
          </w:tcPr>
          <w:p w14:paraId="49DD7E96">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投标有效期</w:t>
            </w:r>
          </w:p>
        </w:tc>
        <w:tc>
          <w:tcPr>
            <w:tcW w:w="3244" w:type="pct"/>
            <w:vAlign w:val="center"/>
          </w:tcPr>
          <w:p w14:paraId="4DC007A3">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90</w:t>
            </w:r>
            <w:r>
              <w:rPr>
                <w:rFonts w:hint="eastAsia" w:ascii="宋体" w:hAnsi="宋体" w:eastAsia="宋体"/>
                <w:b w:val="0"/>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13</w:t>
            </w:r>
            <w:r>
              <w:rPr>
                <w:rFonts w:ascii="宋体" w:hAnsi="宋体" w:eastAsia="宋体"/>
                <w:bCs/>
                <w:kern w:val="2"/>
                <w:highlight w:val="none"/>
              </w:rPr>
              <w:t>.</w:t>
            </w:r>
            <w:r>
              <w:rPr>
                <w:rFonts w:hint="eastAsia" w:ascii="宋体" w:hAnsi="宋体" w:eastAsia="宋体"/>
                <w:bCs/>
                <w:kern w:val="2"/>
                <w:highlight w:val="none"/>
              </w:rPr>
              <w:t>1</w:t>
            </w:r>
          </w:p>
        </w:tc>
        <w:tc>
          <w:tcPr>
            <w:tcW w:w="1174" w:type="pct"/>
            <w:vAlign w:val="center"/>
          </w:tcPr>
          <w:p w14:paraId="65AB8947">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投标文件解密时间</w:t>
            </w:r>
          </w:p>
        </w:tc>
        <w:tc>
          <w:tcPr>
            <w:tcW w:w="3244" w:type="pct"/>
            <w:vAlign w:val="center"/>
          </w:tcPr>
          <w:p w14:paraId="6280D24C">
            <w:pPr>
              <w:pStyle w:val="32"/>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rPr>
              <w:t>投标截止时间后</w:t>
            </w:r>
            <w:r>
              <w:rPr>
                <w:rFonts w:hint="eastAsia" w:ascii="宋体" w:hAnsi="宋体" w:eastAsia="宋体"/>
                <w:b w:val="0"/>
                <w:sz w:val="24"/>
                <w:highlight w:val="none"/>
                <w:u w:val="single"/>
              </w:rPr>
              <w:t>60</w:t>
            </w:r>
            <w:r>
              <w:rPr>
                <w:rFonts w:hint="eastAsia" w:ascii="宋体" w:hAnsi="宋体" w:eastAsia="宋体"/>
                <w:b w:val="0"/>
                <w:sz w:val="24"/>
                <w:highlight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14.1</w:t>
            </w:r>
          </w:p>
        </w:tc>
        <w:tc>
          <w:tcPr>
            <w:tcW w:w="1174" w:type="pct"/>
            <w:vAlign w:val="center"/>
          </w:tcPr>
          <w:p w14:paraId="096C4419">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资格审查</w:t>
            </w:r>
          </w:p>
        </w:tc>
        <w:tc>
          <w:tcPr>
            <w:tcW w:w="3244" w:type="pct"/>
            <w:vAlign w:val="center"/>
          </w:tcPr>
          <w:p w14:paraId="7B7A520C">
            <w:pPr>
              <w:pStyle w:val="32"/>
              <w:widowControl w:val="0"/>
              <w:spacing w:before="0" w:beforeAutospacing="0" w:after="0" w:afterAutospacing="0" w:line="360" w:lineRule="auto"/>
              <w:jc w:val="both"/>
              <w:rPr>
                <w:rFonts w:hint="eastAsia" w:ascii="宋体" w:hAnsi="宋体" w:eastAsia="宋体"/>
                <w:b w:val="0"/>
                <w:bCs w:val="0"/>
                <w:sz w:val="24"/>
                <w:highlight w:val="none"/>
              </w:rPr>
            </w:pPr>
            <w:r>
              <w:rPr>
                <w:rFonts w:ascii="宋体" w:hAnsi="宋体" w:eastAsia="宋体"/>
                <w:b w:val="0"/>
                <w:bCs w:val="0"/>
                <w:sz w:val="24"/>
                <w:szCs w:val="24"/>
                <w:highlight w:val="none"/>
              </w:rPr>
              <w:t>□</w:t>
            </w:r>
            <w:r>
              <w:rPr>
                <w:rFonts w:hint="eastAsia" w:ascii="宋体" w:hAnsi="宋体" w:eastAsia="宋体"/>
                <w:b w:val="0"/>
                <w:bCs w:val="0"/>
                <w:sz w:val="24"/>
                <w:highlight w:val="none"/>
              </w:rPr>
              <w:t>采购人审查</w:t>
            </w:r>
          </w:p>
          <w:p w14:paraId="0769FA36">
            <w:pPr>
              <w:pStyle w:val="32"/>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bCs w:val="0"/>
                <w:sz w:val="24"/>
                <w:szCs w:val="24"/>
                <w:highlight w:val="none"/>
              </w:rPr>
              <w:t>☑</w:t>
            </w:r>
            <w:r>
              <w:rPr>
                <w:rFonts w:hint="eastAsia" w:ascii="宋体" w:hAnsi="宋体" w:eastAsia="宋体"/>
                <w:b w:val="0"/>
                <w:bCs w:val="0"/>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17</w:t>
            </w:r>
            <w:r>
              <w:rPr>
                <w:rFonts w:ascii="宋体" w:hAnsi="宋体" w:eastAsia="宋体"/>
                <w:bCs/>
                <w:kern w:val="2"/>
                <w:highlight w:val="none"/>
              </w:rPr>
              <w:t>.2</w:t>
            </w:r>
          </w:p>
        </w:tc>
        <w:tc>
          <w:tcPr>
            <w:tcW w:w="1174" w:type="pct"/>
            <w:vAlign w:val="center"/>
          </w:tcPr>
          <w:p w14:paraId="14361BC6">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评标方法</w:t>
            </w:r>
          </w:p>
        </w:tc>
        <w:tc>
          <w:tcPr>
            <w:tcW w:w="3244" w:type="pct"/>
            <w:vAlign w:val="center"/>
          </w:tcPr>
          <w:p w14:paraId="3DCDCAA6">
            <w:pPr>
              <w:pStyle w:val="32"/>
              <w:widowControl w:val="0"/>
              <w:spacing w:before="0" w:beforeAutospacing="0" w:after="0" w:afterAutospacing="0" w:line="360" w:lineRule="auto"/>
              <w:jc w:val="both"/>
              <w:rPr>
                <w:rFonts w:hint="eastAsia" w:ascii="宋体" w:hAnsi="宋体" w:eastAsia="宋体"/>
                <w:b w:val="0"/>
                <w:sz w:val="24"/>
                <w:highlight w:val="none"/>
              </w:rPr>
            </w:pPr>
            <w:r>
              <w:rPr>
                <w:rFonts w:ascii="宋体" w:hAnsi="宋体" w:eastAsia="宋体"/>
                <w:b w:val="0"/>
                <w:bCs w:val="0"/>
                <w:sz w:val="24"/>
                <w:szCs w:val="24"/>
                <w:highlight w:val="none"/>
              </w:rPr>
              <w:t>□</w:t>
            </w:r>
            <w:r>
              <w:rPr>
                <w:rFonts w:hint="eastAsia" w:ascii="宋体" w:hAnsi="宋体" w:eastAsia="宋体"/>
                <w:b w:val="0"/>
                <w:sz w:val="24"/>
                <w:highlight w:val="none"/>
              </w:rPr>
              <w:t>最低评标价法</w:t>
            </w:r>
          </w:p>
          <w:p w14:paraId="30D5F750">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bCs w:val="0"/>
                <w:sz w:val="24"/>
                <w:szCs w:val="24"/>
                <w:highlight w:val="none"/>
              </w:rPr>
              <w:t>☑</w:t>
            </w:r>
            <w:r>
              <w:rPr>
                <w:rFonts w:hint="eastAsia" w:ascii="宋体" w:hAnsi="宋体" w:eastAsia="宋体"/>
                <w:b w:val="0"/>
                <w:sz w:val="24"/>
                <w:highlight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17</w:t>
            </w:r>
            <w:r>
              <w:rPr>
                <w:rFonts w:ascii="宋体" w:hAnsi="宋体" w:eastAsia="宋体"/>
                <w:bCs/>
                <w:kern w:val="2"/>
                <w:highlight w:val="none"/>
              </w:rPr>
              <w:t>.3</w:t>
            </w:r>
          </w:p>
        </w:tc>
        <w:tc>
          <w:tcPr>
            <w:tcW w:w="1174" w:type="pct"/>
            <w:vAlign w:val="center"/>
          </w:tcPr>
          <w:p w14:paraId="7A48F42F">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报价扣除</w:t>
            </w:r>
          </w:p>
          <w:p w14:paraId="24282B9F">
            <w:pPr>
              <w:pStyle w:val="32"/>
              <w:widowControl w:val="0"/>
              <w:spacing w:before="0" w:beforeAutospacing="0" w:after="0" w:afterAutospacing="0" w:line="360" w:lineRule="auto"/>
              <w:jc w:val="both"/>
              <w:rPr>
                <w:rFonts w:hint="eastAsia" w:ascii="宋体" w:hAnsi="宋体" w:eastAsia="宋体"/>
                <w:b w:val="0"/>
                <w:i/>
                <w:sz w:val="24"/>
                <w:highlight w:val="none"/>
              </w:rPr>
            </w:pPr>
            <w:r>
              <w:rPr>
                <w:rFonts w:hint="eastAsia" w:ascii="宋体" w:hAnsi="宋体" w:eastAsia="宋体"/>
                <w:b w:val="0"/>
                <w:i/>
                <w:sz w:val="24"/>
                <w:highlight w:val="none"/>
              </w:rPr>
              <w:t>（非专门面向中小企业采购项目适用）</w:t>
            </w:r>
          </w:p>
        </w:tc>
        <w:tc>
          <w:tcPr>
            <w:tcW w:w="3244" w:type="pct"/>
            <w:vAlign w:val="center"/>
          </w:tcPr>
          <w:p w14:paraId="41948DD5">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10%</w:t>
            </w:r>
            <w:r>
              <w:rPr>
                <w:rFonts w:hint="eastAsia" w:ascii="宋体" w:hAnsi="宋体" w:eastAsia="宋体"/>
                <w:b w:val="0"/>
                <w:sz w:val="24"/>
                <w:highlight w:val="none"/>
              </w:rPr>
              <w:t>。</w:t>
            </w:r>
          </w:p>
          <w:p w14:paraId="698FF84C">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（2）监狱企业价格扣除：同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p w14:paraId="7FDE3FD5">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（3）残疾人福利性单位价格扣除：同</w:t>
            </w:r>
            <w:r>
              <w:rPr>
                <w:rFonts w:ascii="宋体" w:hAnsi="宋体" w:eastAsia="宋体"/>
                <w:b w:val="0"/>
                <w:sz w:val="24"/>
                <w:highlight w:val="none"/>
              </w:rPr>
              <w:t>小型和微型企业</w:t>
            </w:r>
            <w:r>
              <w:rPr>
                <w:rFonts w:hint="eastAsia" w:ascii="宋体" w:hAnsi="宋体" w:eastAsia="宋体"/>
                <w:b w:val="0"/>
                <w:sz w:val="24"/>
                <w:highlight w:val="none"/>
              </w:rPr>
              <w:t>。</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2B97303">
            <w:pPr>
              <w:pStyle w:val="33"/>
              <w:pBdr>
                <w:bottom w:val="none" w:color="auto" w:sz="0" w:space="0"/>
              </w:pBdr>
              <w:tabs>
                <w:tab w:val="clear" w:pos="4153"/>
                <w:tab w:val="clear" w:pos="8306"/>
              </w:tabs>
              <w:adjustRightInd/>
              <w:spacing w:line="360" w:lineRule="auto"/>
              <w:textAlignment w:val="auto"/>
              <w:rPr>
                <w:rFonts w:hint="eastAsia" w:ascii="宋体" w:hAnsi="宋体" w:eastAsia="宋体"/>
                <w:bCs/>
                <w:kern w:val="2"/>
                <w:highlight w:val="none"/>
              </w:rPr>
            </w:pPr>
            <w:r>
              <w:rPr>
                <w:rFonts w:hint="eastAsia" w:ascii="宋体" w:hAnsi="宋体" w:eastAsia="宋体"/>
                <w:bCs/>
                <w:kern w:val="2"/>
                <w:highlight w:val="none"/>
              </w:rPr>
              <w:t>17.4</w:t>
            </w:r>
          </w:p>
        </w:tc>
        <w:tc>
          <w:tcPr>
            <w:tcW w:w="1174" w:type="pct"/>
            <w:vAlign w:val="center"/>
          </w:tcPr>
          <w:p w14:paraId="0526B8E0">
            <w:pPr>
              <w:spacing w:line="360" w:lineRule="auto"/>
              <w:rPr>
                <w:rFonts w:hint="eastAsia" w:ascii="宋体" w:hAnsi="宋体" w:eastAsia="宋体"/>
                <w:i/>
                <w:sz w:val="24"/>
                <w:highlight w:val="none"/>
              </w:rPr>
            </w:pPr>
            <w:r>
              <w:rPr>
                <w:rFonts w:hint="eastAsia" w:ascii="宋体" w:hAnsi="宋体" w:eastAsia="宋体"/>
                <w:sz w:val="24"/>
                <w:highlight w:val="none"/>
              </w:rPr>
              <w:t>本国产品价格扣除</w:t>
            </w:r>
            <w:r>
              <w:rPr>
                <w:rFonts w:hint="eastAsia" w:ascii="宋体" w:hAnsi="宋体" w:eastAsia="宋体"/>
                <w:bCs/>
                <w:kern w:val="0"/>
                <w:sz w:val="24"/>
                <w:szCs w:val="28"/>
                <w:highlight w:val="none"/>
              </w:rPr>
              <w:t>（适用于既有本国产品又有非本国产品参与竞争的货物项目）</w:t>
            </w:r>
          </w:p>
        </w:tc>
        <w:tc>
          <w:tcPr>
            <w:tcW w:w="3244" w:type="pct"/>
            <w:vAlign w:val="center"/>
          </w:tcPr>
          <w:p w14:paraId="08D09935">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（1）项目或者采购包中采购内容为单一产品的，既有本国产品又有非本国产品参与竞争的，对本国产品给予价格扣除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p w14:paraId="4C6E1350">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（2）项目或者采购包中含有多种产品的，符合本国产品标准的产品成本之和占该投标人提供的全部产品成本之和的比例≥80%，所有产品价格扣除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21</w:t>
            </w:r>
            <w:r>
              <w:rPr>
                <w:rFonts w:ascii="宋体" w:hAnsi="宋体" w:eastAsia="宋体"/>
                <w:bCs/>
                <w:kern w:val="2"/>
                <w:highlight w:val="none"/>
              </w:rPr>
              <w:t>.</w:t>
            </w:r>
            <w:r>
              <w:rPr>
                <w:rFonts w:hint="eastAsia" w:ascii="宋体" w:hAnsi="宋体" w:eastAsia="宋体"/>
                <w:bCs/>
                <w:kern w:val="2"/>
                <w:highlight w:val="none"/>
              </w:rPr>
              <w:t>1</w:t>
            </w:r>
          </w:p>
        </w:tc>
        <w:tc>
          <w:tcPr>
            <w:tcW w:w="1174" w:type="pct"/>
            <w:vAlign w:val="center"/>
          </w:tcPr>
          <w:p w14:paraId="6422F33F">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评标委员会推荐</w:t>
            </w:r>
            <w:r>
              <w:rPr>
                <w:rFonts w:ascii="宋体" w:hAnsi="宋体" w:eastAsia="宋体"/>
                <w:b w:val="0"/>
                <w:sz w:val="24"/>
                <w:highlight w:val="none"/>
              </w:rPr>
              <w:t>中标候选</w:t>
            </w:r>
            <w:r>
              <w:rPr>
                <w:rFonts w:hint="eastAsia" w:ascii="宋体" w:hAnsi="宋体" w:eastAsia="宋体"/>
                <w:b w:val="0"/>
                <w:sz w:val="24"/>
                <w:highlight w:val="none"/>
              </w:rPr>
              <w:t>人的</w:t>
            </w:r>
            <w:r>
              <w:rPr>
                <w:rFonts w:ascii="宋体" w:hAnsi="宋体" w:eastAsia="宋体"/>
                <w:b w:val="0"/>
                <w:sz w:val="24"/>
                <w:highlight w:val="none"/>
              </w:rPr>
              <w:t>数量</w:t>
            </w:r>
          </w:p>
        </w:tc>
        <w:tc>
          <w:tcPr>
            <w:tcW w:w="3244" w:type="pct"/>
            <w:vAlign w:val="center"/>
          </w:tcPr>
          <w:p w14:paraId="5289A58C">
            <w:pPr>
              <w:pStyle w:val="32"/>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3家</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21</w:t>
            </w:r>
            <w:r>
              <w:rPr>
                <w:rFonts w:ascii="宋体" w:hAnsi="宋体" w:eastAsia="宋体"/>
                <w:bCs/>
                <w:kern w:val="2"/>
                <w:highlight w:val="none"/>
              </w:rPr>
              <w:t>.</w:t>
            </w:r>
            <w:r>
              <w:rPr>
                <w:rFonts w:hint="eastAsia" w:ascii="宋体" w:hAnsi="宋体" w:eastAsia="宋体"/>
                <w:bCs/>
                <w:kern w:val="2"/>
                <w:highlight w:val="none"/>
              </w:rPr>
              <w:t>2</w:t>
            </w:r>
          </w:p>
        </w:tc>
        <w:tc>
          <w:tcPr>
            <w:tcW w:w="1174" w:type="pct"/>
            <w:vAlign w:val="center"/>
          </w:tcPr>
          <w:p w14:paraId="4140DBC8">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确定中标人</w:t>
            </w:r>
          </w:p>
        </w:tc>
        <w:tc>
          <w:tcPr>
            <w:tcW w:w="3244" w:type="pct"/>
            <w:vAlign w:val="center"/>
          </w:tcPr>
          <w:p w14:paraId="2F273207">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Theme="minorEastAsia" w:hAnsiTheme="minorEastAsia" w:eastAsiaTheme="minorEastAsia"/>
                <w:b w:val="0"/>
                <w:bCs w:val="0"/>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ascii="宋体" w:hAnsi="宋体" w:eastAsia="宋体"/>
                <w:bCs/>
                <w:kern w:val="2"/>
                <w:highlight w:val="none"/>
              </w:rPr>
              <w:t>2</w:t>
            </w:r>
            <w:r>
              <w:rPr>
                <w:rFonts w:hint="eastAsia" w:ascii="宋体" w:hAnsi="宋体" w:eastAsia="宋体"/>
                <w:bCs/>
                <w:kern w:val="2"/>
                <w:highlight w:val="none"/>
              </w:rPr>
              <w:t>3</w:t>
            </w:r>
            <w:r>
              <w:rPr>
                <w:rFonts w:ascii="宋体" w:hAnsi="宋体" w:eastAsia="宋体"/>
                <w:bCs/>
                <w:kern w:val="2"/>
                <w:highlight w:val="none"/>
              </w:rPr>
              <w:t>.3</w:t>
            </w:r>
          </w:p>
        </w:tc>
        <w:tc>
          <w:tcPr>
            <w:tcW w:w="1174" w:type="pct"/>
            <w:vAlign w:val="center"/>
          </w:tcPr>
          <w:p w14:paraId="4F1035C0">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随中标结果公告同时公告的内容</w:t>
            </w:r>
          </w:p>
        </w:tc>
        <w:tc>
          <w:tcPr>
            <w:tcW w:w="3244" w:type="pct"/>
            <w:vAlign w:val="center"/>
          </w:tcPr>
          <w:p w14:paraId="3BF38972">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（1）中小企业声明函；（如有）</w:t>
            </w:r>
          </w:p>
          <w:p w14:paraId="5F190F5E">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（2）残疾人福利性单位声明函；（如有）</w:t>
            </w:r>
          </w:p>
          <w:p w14:paraId="0DA20B79">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（3）中标（成交）供应商的评审总得分（适用综合评分法）</w:t>
            </w:r>
          </w:p>
          <w:p w14:paraId="3A99AF53">
            <w:pPr>
              <w:pStyle w:val="32"/>
              <w:widowControl w:val="0"/>
              <w:spacing w:before="0" w:beforeAutospacing="0" w:after="0" w:afterAutospacing="0" w:line="360" w:lineRule="auto"/>
              <w:jc w:val="both"/>
              <w:rPr>
                <w:rFonts w:hint="eastAsia" w:ascii="宋体" w:hAnsi="宋体" w:eastAsia="宋体"/>
                <w:b w:val="0"/>
                <w:bCs w:val="0"/>
                <w:sz w:val="24"/>
                <w:szCs w:val="24"/>
                <w:highlight w:val="none"/>
              </w:rPr>
            </w:pPr>
            <w:r>
              <w:rPr>
                <w:rFonts w:hint="eastAsia" w:ascii="宋体" w:hAnsi="宋体" w:eastAsia="宋体"/>
                <w:b w:val="0"/>
                <w:sz w:val="24"/>
                <w:highlight w:val="none"/>
              </w:rPr>
              <w:t>（4）符合本国产品标准的声明函；（如有）</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24</w:t>
            </w:r>
            <w:r>
              <w:rPr>
                <w:rFonts w:ascii="宋体" w:hAnsi="宋体" w:eastAsia="宋体"/>
                <w:bCs/>
                <w:kern w:val="2"/>
                <w:highlight w:val="none"/>
              </w:rPr>
              <w:t>.1</w:t>
            </w:r>
          </w:p>
        </w:tc>
        <w:tc>
          <w:tcPr>
            <w:tcW w:w="1174" w:type="pct"/>
            <w:vAlign w:val="center"/>
          </w:tcPr>
          <w:p w14:paraId="2999B215">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中标通知书发出的形式</w:t>
            </w:r>
          </w:p>
        </w:tc>
        <w:tc>
          <w:tcPr>
            <w:tcW w:w="3244" w:type="pct"/>
            <w:vAlign w:val="center"/>
          </w:tcPr>
          <w:p w14:paraId="331BFCC4">
            <w:pPr>
              <w:pStyle w:val="32"/>
              <w:widowControl w:val="0"/>
              <w:spacing w:before="0" w:beforeAutospacing="0" w:after="0" w:afterAutospacing="0" w:line="360" w:lineRule="auto"/>
              <w:jc w:val="both"/>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 xml:space="preserve">□书面 </w:t>
            </w:r>
            <w:r>
              <w:rPr>
                <w:rFonts w:ascii="宋体" w:hAnsi="宋体" w:eastAsia="宋体"/>
                <w:b w:val="0"/>
                <w:bCs w:val="0"/>
                <w:sz w:val="24"/>
                <w:szCs w:val="24"/>
                <w:highlight w:val="none"/>
              </w:rPr>
              <w:t xml:space="preserve">    </w:t>
            </w:r>
            <w:r>
              <w:rPr>
                <w:rFonts w:hint="eastAsia" w:ascii="宋体" w:hAnsi="宋体" w:eastAsia="宋体"/>
                <w:b w:val="0"/>
                <w:bCs w:val="0"/>
                <w:sz w:val="24"/>
                <w:szCs w:val="24"/>
                <w:highlight w:val="none"/>
              </w:rPr>
              <w:sym w:font="Wingdings" w:char="00FE"/>
            </w:r>
            <w:r>
              <w:rPr>
                <w:rFonts w:hint="eastAsia" w:ascii="宋体" w:hAnsi="宋体" w:eastAsia="宋体"/>
                <w:b w:val="0"/>
                <w:bCs w:val="0"/>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25</w:t>
            </w:r>
            <w:r>
              <w:rPr>
                <w:rFonts w:ascii="宋体" w:hAnsi="宋体" w:eastAsia="宋体"/>
                <w:bCs/>
                <w:kern w:val="2"/>
                <w:highlight w:val="none"/>
              </w:rPr>
              <w:t>.1</w:t>
            </w:r>
          </w:p>
        </w:tc>
        <w:tc>
          <w:tcPr>
            <w:tcW w:w="1174" w:type="pct"/>
            <w:vAlign w:val="center"/>
          </w:tcPr>
          <w:p w14:paraId="66EEB43F">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告知招标结果的形式</w:t>
            </w:r>
          </w:p>
        </w:tc>
        <w:tc>
          <w:tcPr>
            <w:tcW w:w="3244" w:type="pct"/>
            <w:vAlign w:val="center"/>
          </w:tcPr>
          <w:p w14:paraId="661F44BA">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kern w:val="0"/>
                <w:sz w:val="24"/>
                <w:szCs w:val="24"/>
                <w:highlight w:val="none"/>
              </w:rPr>
              <w:sym w:font="Wingdings" w:char="00FE"/>
            </w:r>
            <w:r>
              <w:rPr>
                <w:rFonts w:hint="eastAsia" w:asciiTheme="minorEastAsia" w:hAnsiTheme="minorEastAsia" w:eastAsiaTheme="minorEastAsia"/>
                <w:kern w:val="0"/>
                <w:sz w:val="24"/>
                <w:szCs w:val="24"/>
                <w:highlight w:val="none"/>
              </w:rPr>
              <w:t>投标人自行登录电子</w:t>
            </w:r>
            <w:r>
              <w:rPr>
                <w:rFonts w:hint="eastAsia" w:ascii="宋体" w:hAnsi="宋体" w:eastAsia="宋体" w:cs="宋体"/>
                <w:sz w:val="24"/>
                <w:szCs w:val="24"/>
                <w:highlight w:val="none"/>
              </w:rPr>
              <w:t>交易</w:t>
            </w:r>
            <w:r>
              <w:rPr>
                <w:rFonts w:hint="eastAsia" w:asciiTheme="minorEastAsia" w:hAnsiTheme="minorEastAsia" w:eastAsiaTheme="minorEastAsia"/>
                <w:kern w:val="0"/>
                <w:sz w:val="24"/>
                <w:szCs w:val="24"/>
                <w:highlight w:val="none"/>
              </w:rPr>
              <w:t>系统查看</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26</w:t>
            </w:r>
            <w:r>
              <w:rPr>
                <w:rFonts w:ascii="宋体" w:hAnsi="宋体" w:eastAsia="宋体"/>
                <w:bCs/>
                <w:kern w:val="2"/>
                <w:highlight w:val="none"/>
              </w:rPr>
              <w:t>.1</w:t>
            </w:r>
          </w:p>
        </w:tc>
        <w:tc>
          <w:tcPr>
            <w:tcW w:w="1174" w:type="pct"/>
            <w:vAlign w:val="center"/>
          </w:tcPr>
          <w:p w14:paraId="0EDB3267">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履约保证金</w:t>
            </w:r>
          </w:p>
        </w:tc>
        <w:tc>
          <w:tcPr>
            <w:tcW w:w="3244" w:type="pct"/>
          </w:tcPr>
          <w:p w14:paraId="1FEF7071">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（1）金额：</w:t>
            </w:r>
          </w:p>
          <w:p w14:paraId="169F9B66">
            <w:pPr>
              <w:spacing w:line="360" w:lineRule="auto"/>
              <w:rPr>
                <w:rFonts w:hint="eastAsia"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免收</w:t>
            </w:r>
          </w:p>
          <w:p w14:paraId="48219FDB">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☑合同价的</w:t>
            </w:r>
            <w:r>
              <w:rPr>
                <w:rFonts w:hint="eastAsia" w:ascii="宋体" w:hAnsi="宋体" w:eastAsia="宋体"/>
                <w:bCs/>
                <w:kern w:val="0"/>
                <w:sz w:val="24"/>
                <w:szCs w:val="28"/>
                <w:highlight w:val="none"/>
                <w:u w:val="single"/>
              </w:rPr>
              <w:t>2.5</w:t>
            </w:r>
            <w:r>
              <w:rPr>
                <w:rFonts w:ascii="宋体" w:hAnsi="宋体" w:eastAsia="宋体"/>
                <w:bCs/>
                <w:kern w:val="0"/>
                <w:sz w:val="24"/>
                <w:szCs w:val="28"/>
                <w:highlight w:val="none"/>
              </w:rPr>
              <w:t>%</w:t>
            </w:r>
          </w:p>
          <w:p w14:paraId="4927A143">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（2）支付方式：</w:t>
            </w:r>
          </w:p>
          <w:p w14:paraId="4C085E0F">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sym w:font="Wingdings" w:char="00FE"/>
            </w:r>
            <w:r>
              <w:rPr>
                <w:rFonts w:ascii="宋体" w:hAnsi="宋体" w:eastAsia="宋体"/>
                <w:bCs/>
                <w:kern w:val="0"/>
                <w:sz w:val="24"/>
                <w:szCs w:val="28"/>
                <w:highlight w:val="none"/>
              </w:rPr>
              <w:t>转账/电汇</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FE"/>
            </w:r>
            <w:r>
              <w:rPr>
                <w:rFonts w:ascii="宋体" w:hAnsi="宋体" w:eastAsia="宋体"/>
                <w:bCs/>
                <w:kern w:val="0"/>
                <w:sz w:val="24"/>
                <w:szCs w:val="28"/>
                <w:highlight w:val="none"/>
              </w:rPr>
              <w:t xml:space="preserve">支票 </w:t>
            </w:r>
            <w:r>
              <w:rPr>
                <w:rFonts w:hint="eastAsia" w:ascii="宋体" w:hAnsi="宋体" w:eastAsia="宋体"/>
                <w:bCs/>
                <w:kern w:val="0"/>
                <w:sz w:val="24"/>
                <w:szCs w:val="28"/>
                <w:highlight w:val="none"/>
              </w:rPr>
              <w:sym w:font="Wingdings" w:char="00FE"/>
            </w:r>
            <w:r>
              <w:rPr>
                <w:rFonts w:ascii="宋体" w:hAnsi="宋体" w:eastAsia="宋体"/>
                <w:bCs/>
                <w:kern w:val="0"/>
                <w:sz w:val="24"/>
                <w:szCs w:val="28"/>
                <w:highlight w:val="none"/>
              </w:rPr>
              <w:t>汇票</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FE"/>
            </w:r>
            <w:r>
              <w:rPr>
                <w:rFonts w:hint="eastAsia" w:ascii="宋体" w:hAnsi="宋体" w:eastAsia="宋体"/>
                <w:bCs/>
                <w:kern w:val="0"/>
                <w:sz w:val="24"/>
                <w:szCs w:val="28"/>
                <w:highlight w:val="none"/>
              </w:rPr>
              <w:t xml:space="preserve">本票 </w:t>
            </w:r>
            <w:r>
              <w:rPr>
                <w:rFonts w:hint="eastAsia" w:ascii="宋体" w:hAnsi="宋体" w:eastAsia="宋体"/>
                <w:bCs/>
                <w:kern w:val="0"/>
                <w:sz w:val="24"/>
                <w:szCs w:val="28"/>
                <w:highlight w:val="none"/>
              </w:rPr>
              <w:sym w:font="Wingdings" w:char="00FE"/>
            </w:r>
            <w:r>
              <w:rPr>
                <w:rFonts w:ascii="宋体" w:hAnsi="宋体" w:eastAsia="宋体"/>
                <w:bCs/>
                <w:kern w:val="0"/>
                <w:sz w:val="24"/>
                <w:szCs w:val="28"/>
                <w:highlight w:val="none"/>
              </w:rPr>
              <w:t>保</w:t>
            </w:r>
            <w:r>
              <w:rPr>
                <w:rFonts w:hint="eastAsia" w:ascii="宋体" w:hAnsi="宋体" w:eastAsia="宋体"/>
                <w:bCs/>
                <w:kern w:val="0"/>
                <w:sz w:val="24"/>
                <w:szCs w:val="28"/>
                <w:highlight w:val="none"/>
              </w:rPr>
              <w:t xml:space="preserve">险 </w:t>
            </w:r>
            <w:r>
              <w:rPr>
                <w:rFonts w:hint="eastAsia" w:ascii="宋体" w:hAnsi="宋体" w:eastAsia="宋体"/>
                <w:bCs/>
                <w:kern w:val="0"/>
                <w:sz w:val="24"/>
                <w:szCs w:val="28"/>
                <w:highlight w:val="none"/>
              </w:rPr>
              <w:sym w:font="Wingdings" w:char="00FE"/>
            </w:r>
            <w:r>
              <w:rPr>
                <w:rFonts w:hint="eastAsia" w:ascii="宋体" w:hAnsi="宋体" w:eastAsia="宋体"/>
                <w:bCs/>
                <w:kern w:val="0"/>
                <w:sz w:val="24"/>
                <w:szCs w:val="28"/>
                <w:highlight w:val="none"/>
              </w:rPr>
              <w:t>保</w:t>
            </w:r>
            <w:r>
              <w:rPr>
                <w:rFonts w:ascii="宋体" w:hAnsi="宋体" w:eastAsia="宋体"/>
                <w:bCs/>
                <w:kern w:val="0"/>
                <w:sz w:val="24"/>
                <w:szCs w:val="28"/>
                <w:highlight w:val="none"/>
              </w:rPr>
              <w:t>函</w:t>
            </w:r>
          </w:p>
          <w:p w14:paraId="1EF6E8F6">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（3）收取单位：</w:t>
            </w:r>
            <w:r>
              <w:rPr>
                <w:rFonts w:hint="eastAsia" w:ascii="宋体" w:hAnsi="宋体" w:eastAsia="宋体"/>
                <w:bCs/>
                <w:kern w:val="0"/>
                <w:sz w:val="24"/>
                <w:szCs w:val="28"/>
                <w:highlight w:val="none"/>
                <w:u w:val="single"/>
              </w:rPr>
              <w:t>安徽职业技术大学</w:t>
            </w:r>
            <w:r>
              <w:rPr>
                <w:rFonts w:hint="eastAsia" w:ascii="宋体" w:hAnsi="宋体" w:eastAsia="宋体"/>
                <w:bCs/>
                <w:kern w:val="0"/>
                <w:sz w:val="24"/>
                <w:szCs w:val="28"/>
                <w:highlight w:val="none"/>
              </w:rPr>
              <w:t xml:space="preserve">              </w:t>
            </w:r>
          </w:p>
          <w:p w14:paraId="44A14F0B">
            <w:pPr>
              <w:spacing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（4）收取账号：</w:t>
            </w:r>
            <w:r>
              <w:rPr>
                <w:rFonts w:hint="eastAsia" w:ascii="宋体" w:hAnsi="宋体" w:eastAsia="宋体"/>
                <w:bCs/>
                <w:kern w:val="0"/>
                <w:sz w:val="24"/>
                <w:szCs w:val="28"/>
                <w:highlight w:val="none"/>
                <w:u w:val="single"/>
              </w:rPr>
              <w:t>中标后提供</w:t>
            </w:r>
          </w:p>
          <w:p w14:paraId="2626978E">
            <w:pPr>
              <w:spacing w:line="360" w:lineRule="auto"/>
              <w:rPr>
                <w:rFonts w:hint="eastAsia" w:ascii="宋体" w:hAnsi="宋体" w:eastAsia="宋体"/>
                <w:sz w:val="24"/>
                <w:highlight w:val="none"/>
              </w:rPr>
            </w:pPr>
            <w:r>
              <w:rPr>
                <w:rFonts w:hint="eastAsia" w:ascii="宋体" w:hAnsi="宋体" w:eastAsia="宋体"/>
                <w:bCs/>
                <w:kern w:val="0"/>
                <w:sz w:val="24"/>
                <w:szCs w:val="28"/>
                <w:highlight w:val="none"/>
              </w:rPr>
              <w:t>（5）</w:t>
            </w:r>
            <w:r>
              <w:rPr>
                <w:rFonts w:hint="eastAsia" w:ascii="宋体" w:hAnsi="宋体" w:eastAsia="宋体"/>
                <w:sz w:val="24"/>
                <w:highlight w:val="none"/>
              </w:rPr>
              <w:t>退还时间：</w:t>
            </w:r>
            <w:r>
              <w:rPr>
                <w:rFonts w:hint="eastAsia" w:ascii="宋体" w:hAnsi="宋体" w:eastAsia="宋体"/>
                <w:bCs/>
                <w:kern w:val="0"/>
                <w:sz w:val="24"/>
                <w:szCs w:val="28"/>
                <w:highlight w:val="none"/>
                <w:u w:val="single"/>
              </w:rPr>
              <w:t>验收合格后退还</w:t>
            </w:r>
          </w:p>
          <w:p w14:paraId="56DFA4AA">
            <w:pPr>
              <w:spacing w:line="360" w:lineRule="auto"/>
              <w:rPr>
                <w:rFonts w:hint="eastAsia" w:ascii="宋体" w:hAnsi="宋体" w:eastAsia="宋体"/>
                <w:b/>
                <w:bCs/>
                <w:kern w:val="0"/>
                <w:sz w:val="24"/>
                <w:szCs w:val="24"/>
                <w:highlight w:val="none"/>
              </w:rPr>
            </w:pPr>
            <w:r>
              <w:rPr>
                <w:rFonts w:hint="eastAsia" w:ascii="宋体" w:hAnsi="宋体" w:eastAsia="宋体"/>
                <w:b/>
                <w:bCs/>
                <w:kern w:val="0"/>
                <w:sz w:val="24"/>
                <w:szCs w:val="24"/>
                <w:highlight w:val="none"/>
              </w:rPr>
              <w:t>注意事项：</w:t>
            </w:r>
          </w:p>
          <w:p w14:paraId="5B830159">
            <w:pPr>
              <w:spacing w:line="360" w:lineRule="auto"/>
              <w:rPr>
                <w:rFonts w:hint="eastAsia" w:ascii="宋体" w:hAnsi="宋体" w:eastAsia="宋体"/>
                <w:b/>
                <w:bCs/>
                <w:kern w:val="0"/>
                <w:sz w:val="24"/>
                <w:szCs w:val="24"/>
                <w:highlight w:val="none"/>
              </w:rPr>
            </w:pPr>
            <w:r>
              <w:rPr>
                <w:rFonts w:hint="eastAsia" w:ascii="宋体" w:hAnsi="宋体" w:eastAsia="宋体"/>
                <w:b/>
                <w:bCs/>
                <w:kern w:val="0"/>
                <w:sz w:val="24"/>
                <w:szCs w:val="24"/>
                <w:highlight w:val="none"/>
              </w:rPr>
              <w:t>（1）以上各类机构出具的以担保函、保证保险承担责任的方式均须满足无条件见索即付条件。</w:t>
            </w:r>
          </w:p>
          <w:p w14:paraId="0DF45511">
            <w:pPr>
              <w:spacing w:line="360" w:lineRule="auto"/>
              <w:rPr>
                <w:rFonts w:hint="eastAsia" w:ascii="宋体" w:hAnsi="宋体" w:eastAsia="宋体"/>
                <w:b/>
                <w:bCs/>
                <w:kern w:val="0"/>
                <w:sz w:val="24"/>
                <w:szCs w:val="24"/>
                <w:highlight w:val="none"/>
              </w:rPr>
            </w:pPr>
            <w:r>
              <w:rPr>
                <w:rFonts w:hint="eastAsia" w:ascii="宋体" w:hAnsi="宋体" w:eastAsia="宋体"/>
                <w:b/>
                <w:bCs/>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27</w:t>
            </w:r>
            <w:r>
              <w:rPr>
                <w:rFonts w:ascii="宋体" w:hAnsi="宋体" w:eastAsia="宋体"/>
                <w:bCs/>
                <w:kern w:val="2"/>
                <w:highlight w:val="none"/>
              </w:rPr>
              <w:t>.1</w:t>
            </w:r>
          </w:p>
        </w:tc>
        <w:tc>
          <w:tcPr>
            <w:tcW w:w="1174" w:type="pct"/>
            <w:vAlign w:val="center"/>
          </w:tcPr>
          <w:p w14:paraId="1919AE48">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签订合同和合同公告时间</w:t>
            </w:r>
          </w:p>
        </w:tc>
        <w:tc>
          <w:tcPr>
            <w:tcW w:w="3244" w:type="pct"/>
          </w:tcPr>
          <w:p w14:paraId="75CA5ABA">
            <w:pPr>
              <w:pStyle w:val="19"/>
              <w:widowControl/>
              <w:spacing w:before="0" w:beforeAutospacing="0" w:after="0" w:afterAutospacing="0" w:line="360" w:lineRule="auto"/>
              <w:rPr>
                <w:rFonts w:hint="eastAsia" w:ascii="宋体" w:hAnsi="宋体" w:eastAsia="宋体" w:cs="宋体"/>
                <w:szCs w:val="24"/>
                <w:highlight w:val="none"/>
              </w:rPr>
            </w:pPr>
            <w:r>
              <w:rPr>
                <w:rFonts w:hint="eastAsia" w:ascii="宋体" w:hAnsi="宋体" w:eastAsia="宋体" w:cs="宋体"/>
                <w:szCs w:val="24"/>
                <w:highlight w:val="none"/>
              </w:rPr>
              <w:t>（1）采购人与中标人应当自发出中标通知书之日起7个工作日内签订合同，采购合同签订之日起2个工作日内完成政府采购合同公开。</w:t>
            </w:r>
          </w:p>
          <w:p w14:paraId="3398A2F7">
            <w:pPr>
              <w:pStyle w:val="19"/>
              <w:widowControl/>
              <w:spacing w:before="0" w:beforeAutospacing="0" w:after="0" w:afterAutospacing="0" w:line="360" w:lineRule="auto"/>
              <w:rPr>
                <w:rFonts w:hint="eastAsia" w:ascii="宋体" w:hAnsi="宋体" w:eastAsia="宋体"/>
                <w:b/>
                <w:bCs/>
                <w:szCs w:val="24"/>
                <w:highlight w:val="none"/>
              </w:rPr>
            </w:pPr>
            <w:r>
              <w:rPr>
                <w:rFonts w:hint="eastAsia" w:ascii="宋体" w:hAnsi="宋体" w:eastAsia="宋体" w:cs="宋体"/>
                <w:szCs w:val="24"/>
                <w:highlight w:val="none"/>
              </w:rPr>
              <w:t>（2）采购人与中标人</w:t>
            </w:r>
            <w:r>
              <w:rPr>
                <w:rFonts w:ascii="宋体" w:hAnsi="宋体" w:eastAsia="宋体" w:cs="宋体"/>
                <w:szCs w:val="24"/>
                <w:highlight w:val="none"/>
              </w:rPr>
              <w:t>不得擅自变更合同，依照政府采购法确需变更政府采购合同内容的，采购人应当自合同变更之日起2个工作日内</w:t>
            </w:r>
            <w:r>
              <w:rPr>
                <w:rFonts w:hint="eastAsia" w:ascii="宋体" w:hAnsi="宋体" w:eastAsia="宋体" w:cs="宋体"/>
                <w:szCs w:val="24"/>
                <w:highlight w:val="none"/>
              </w:rPr>
              <w:t>在安徽省政府采购网</w:t>
            </w:r>
            <w:r>
              <w:rPr>
                <w:rFonts w:ascii="宋体" w:hAnsi="宋体" w:eastAsia="宋体" w:cs="宋体"/>
                <w:szCs w:val="24"/>
                <w:highlight w:val="none"/>
              </w:rPr>
              <w:t>发布政府采购合同变更公告</w:t>
            </w:r>
            <w:r>
              <w:rPr>
                <w:rFonts w:hint="eastAsia" w:ascii="宋体" w:hAnsi="宋体" w:eastAsia="宋体" w:cs="宋体"/>
                <w:szCs w:val="24"/>
                <w:highlight w:val="none"/>
              </w:rPr>
              <w:t>，</w:t>
            </w:r>
            <w:r>
              <w:rPr>
                <w:rFonts w:ascii="宋体" w:hAnsi="宋体" w:eastAsia="宋体" w:cs="宋体"/>
                <w:szCs w:val="24"/>
                <w:highlight w:val="none"/>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28</w:t>
            </w:r>
            <w:r>
              <w:rPr>
                <w:rFonts w:ascii="宋体" w:hAnsi="宋体" w:eastAsia="宋体"/>
                <w:bCs/>
                <w:kern w:val="2"/>
                <w:highlight w:val="none"/>
              </w:rPr>
              <w:t>.1</w:t>
            </w:r>
          </w:p>
        </w:tc>
        <w:tc>
          <w:tcPr>
            <w:tcW w:w="1174" w:type="pct"/>
            <w:vAlign w:val="center"/>
          </w:tcPr>
          <w:p w14:paraId="1A987307">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代理费用</w:t>
            </w:r>
          </w:p>
        </w:tc>
        <w:tc>
          <w:tcPr>
            <w:tcW w:w="3244" w:type="pct"/>
            <w:vAlign w:val="center"/>
          </w:tcPr>
          <w:p w14:paraId="6A116EFE">
            <w:pPr>
              <w:spacing w:before="39" w:line="360" w:lineRule="auto"/>
              <w:rPr>
                <w:rFonts w:hint="eastAsia"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FE"/>
            </w:r>
            <w:r>
              <w:rPr>
                <w:rFonts w:ascii="宋体" w:hAnsi="宋体" w:eastAsia="宋体" w:cs="宋体"/>
                <w:spacing w:val="14"/>
                <w:sz w:val="24"/>
                <w:szCs w:val="24"/>
                <w:highlight w:val="none"/>
              </w:rPr>
              <w:t>中标人</w:t>
            </w:r>
          </w:p>
          <w:p w14:paraId="0DE6A3B7">
            <w:pPr>
              <w:spacing w:before="24" w:line="360" w:lineRule="auto"/>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bCs/>
                <w:sz w:val="24"/>
                <w:szCs w:val="24"/>
                <w:highlight w:val="none"/>
              </w:rPr>
              <w:t>☑转账/电汇</w:t>
            </w:r>
          </w:p>
          <w:p w14:paraId="50CEC323">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（3）</w:t>
            </w:r>
            <w:r>
              <w:rPr>
                <w:rFonts w:ascii="宋体" w:hAnsi="宋体" w:eastAsia="宋体"/>
                <w:b w:val="0"/>
                <w:sz w:val="24"/>
                <w:highlight w:val="none"/>
              </w:rPr>
              <w:t>收费标准：</w:t>
            </w:r>
            <w:r>
              <w:rPr>
                <w:rFonts w:hint="eastAsia" w:ascii="宋体" w:hAnsi="宋体" w:eastAsia="宋体"/>
                <w:bCs w:val="0"/>
                <w:sz w:val="24"/>
                <w:highlight w:val="none"/>
              </w:rPr>
              <w:t>参照合肥市物价局（合价服[2009]216号）文件规定的“货物类”标准的80%收取，不足3500元的，按3500元收取。</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31</w:t>
            </w:r>
            <w:r>
              <w:rPr>
                <w:rFonts w:ascii="宋体" w:hAnsi="宋体" w:eastAsia="宋体"/>
                <w:bCs/>
                <w:kern w:val="2"/>
                <w:highlight w:val="none"/>
              </w:rPr>
              <w:t>.</w:t>
            </w:r>
            <w:r>
              <w:rPr>
                <w:rFonts w:hint="eastAsia" w:ascii="宋体" w:hAnsi="宋体" w:eastAsia="宋体"/>
                <w:bCs/>
                <w:kern w:val="2"/>
                <w:highlight w:val="none"/>
              </w:rPr>
              <w:t>3</w:t>
            </w:r>
          </w:p>
        </w:tc>
        <w:tc>
          <w:tcPr>
            <w:tcW w:w="1174" w:type="pct"/>
            <w:vAlign w:val="center"/>
          </w:tcPr>
          <w:p w14:paraId="56604392">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质疑函递交方式、接收部门、联系电话和通讯地址</w:t>
            </w:r>
          </w:p>
        </w:tc>
        <w:tc>
          <w:tcPr>
            <w:tcW w:w="3244" w:type="pct"/>
            <w:vAlign w:val="center"/>
          </w:tcPr>
          <w:p w14:paraId="33C20E59">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递交方式：书面形式</w:t>
            </w:r>
          </w:p>
          <w:p w14:paraId="3E79228E">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接收部门：安徽中技工程咨询有限公司</w:t>
            </w:r>
          </w:p>
          <w:p w14:paraId="0AE196BB">
            <w:pPr>
              <w:pStyle w:val="32"/>
              <w:widowControl w:val="0"/>
              <w:spacing w:before="0" w:beforeAutospacing="0" w:after="0" w:afterAutospacing="0" w:line="360" w:lineRule="auto"/>
              <w:jc w:val="both"/>
              <w:rPr>
                <w:rFonts w:hint="eastAsia" w:ascii="宋体" w:hAnsi="宋体" w:eastAsia="宋体"/>
                <w:b w:val="0"/>
                <w:bCs w:val="0"/>
                <w:sz w:val="24"/>
                <w:szCs w:val="18"/>
                <w:highlight w:val="none"/>
              </w:rPr>
            </w:pPr>
            <w:r>
              <w:rPr>
                <w:rFonts w:ascii="宋体" w:hAnsi="宋体" w:eastAsia="宋体"/>
                <w:b w:val="0"/>
                <w:sz w:val="24"/>
                <w:highlight w:val="none"/>
              </w:rPr>
              <w:t>联系电话：</w:t>
            </w:r>
            <w:r>
              <w:rPr>
                <w:rFonts w:hint="eastAsia" w:ascii="宋体" w:hAnsi="宋体" w:eastAsia="宋体"/>
                <w:b w:val="0"/>
                <w:sz w:val="24"/>
                <w:highlight w:val="none"/>
              </w:rPr>
              <w:t>0551－65149581-658、656，15956962711、18755110804</w:t>
            </w:r>
          </w:p>
          <w:p w14:paraId="454D68B2">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通讯地址：</w:t>
            </w:r>
            <w:r>
              <w:rPr>
                <w:rFonts w:hint="eastAsia" w:ascii="宋体" w:hAnsi="宋体" w:eastAsia="宋体"/>
                <w:b w:val="0"/>
                <w:bCs w:val="0"/>
                <w:sz w:val="24"/>
                <w:highlight w:val="none"/>
              </w:rPr>
              <w:t>安徽省合肥市合作化南路27号</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32</w:t>
            </w:r>
          </w:p>
        </w:tc>
        <w:tc>
          <w:tcPr>
            <w:tcW w:w="1174" w:type="pct"/>
            <w:vAlign w:val="center"/>
          </w:tcPr>
          <w:p w14:paraId="746E8AD2">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其他内容</w:t>
            </w:r>
          </w:p>
        </w:tc>
        <w:tc>
          <w:tcPr>
            <w:tcW w:w="3244" w:type="pct"/>
            <w:vAlign w:val="center"/>
          </w:tcPr>
          <w:p w14:paraId="23ADAA09">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1、解释权：</w:t>
            </w:r>
          </w:p>
          <w:p w14:paraId="4EFA7751">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构成本招标文件的各个组成文件应互为解释，互为说明；</w:t>
            </w:r>
          </w:p>
          <w:p w14:paraId="6B2FF781">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14:paraId="07D71DD1">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除招标文件中有特别规定外，仅适用于招标投标阶段的规定，按招标公告、</w:t>
            </w:r>
            <w:r>
              <w:rPr>
                <w:rFonts w:hint="eastAsia" w:asciiTheme="minorEastAsia" w:hAnsiTheme="minorEastAsia" w:eastAsiaTheme="minorEastAsia"/>
                <w:bCs/>
                <w:sz w:val="24"/>
                <w:szCs w:val="24"/>
                <w:highlight w:val="none"/>
              </w:rPr>
              <w:t>投标邀请、</w:t>
            </w:r>
            <w:r>
              <w:rPr>
                <w:rFonts w:asciiTheme="minorEastAsia" w:hAnsiTheme="minorEastAsia" w:eastAsiaTheme="minorEastAsia"/>
                <w:bCs/>
                <w:sz w:val="24"/>
                <w:szCs w:val="24"/>
                <w:highlight w:val="none"/>
              </w:rPr>
              <w:t>投标人须知、评标</w:t>
            </w:r>
            <w:r>
              <w:rPr>
                <w:rFonts w:hint="eastAsia" w:asciiTheme="minorEastAsia" w:hAnsiTheme="minorEastAsia" w:eastAsiaTheme="minorEastAsia"/>
                <w:bCs/>
                <w:sz w:val="24"/>
                <w:szCs w:val="24"/>
                <w:highlight w:val="none"/>
              </w:rPr>
              <w:t>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、投标文件格式的先后顺序解释；</w:t>
            </w:r>
          </w:p>
          <w:p w14:paraId="6FE872C5">
            <w:pPr>
              <w:pStyle w:val="32"/>
              <w:widowControl w:val="0"/>
              <w:spacing w:before="0" w:beforeAutospacing="0" w:after="0" w:afterAutospacing="0" w:line="360" w:lineRule="auto"/>
              <w:jc w:val="both"/>
              <w:rPr>
                <w:rFonts w:hint="eastAsia"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（5）</w:t>
            </w:r>
            <w:r>
              <w:rPr>
                <w:rFonts w:asciiTheme="minorEastAsia" w:hAnsiTheme="minorEastAsia" w:eastAsiaTheme="minorEastAsia"/>
                <w:b w:val="0"/>
                <w:kern w:val="2"/>
                <w:sz w:val="24"/>
                <w:szCs w:val="24"/>
                <w:highlight w:val="none"/>
              </w:rPr>
              <w:t>按本款前述规定仍不能形成结论的，由</w:t>
            </w:r>
            <w:r>
              <w:rPr>
                <w:rFonts w:hint="eastAsia" w:asciiTheme="minorEastAsia" w:hAnsiTheme="minorEastAsia" w:eastAsiaTheme="minorEastAsia"/>
                <w:b w:val="0"/>
                <w:kern w:val="2"/>
                <w:sz w:val="24"/>
                <w:szCs w:val="24"/>
                <w:highlight w:val="none"/>
              </w:rPr>
              <w:t>采购</w:t>
            </w:r>
            <w:r>
              <w:rPr>
                <w:rFonts w:asciiTheme="minorEastAsia" w:hAnsiTheme="minorEastAsia" w:eastAsiaTheme="minorEastAsia"/>
                <w:b w:val="0"/>
                <w:kern w:val="2"/>
                <w:sz w:val="24"/>
                <w:szCs w:val="24"/>
                <w:highlight w:val="none"/>
              </w:rPr>
              <w:t>人负责解释。</w:t>
            </w:r>
          </w:p>
          <w:p w14:paraId="2BEEF0F0">
            <w:pPr>
              <w:spacing w:line="360" w:lineRule="auto"/>
              <w:rPr>
                <w:rFonts w:hint="eastAsia"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2、“政采贷”融资指引：有融资需求的</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Theme="minorEastAsia" w:hAnsiTheme="minorEastAsia" w:eastAsiaTheme="minorEastAsia"/>
                <w:bCs/>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Theme="minorEastAsia" w:hAnsiTheme="minorEastAsia" w:eastAsiaTheme="minorEastAsia"/>
                <w:bCs/>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sz w:val="24"/>
                <w:szCs w:val="24"/>
                <w:highlight w:val="none"/>
              </w:rPr>
              <w:t>中</w:t>
            </w:r>
            <w:r>
              <w:rPr>
                <w:rFonts w:ascii="宋体" w:hAnsi="宋体" w:eastAsia="宋体" w:cs="宋体"/>
                <w:sz w:val="24"/>
                <w:szCs w:val="24"/>
                <w:highlight w:val="none"/>
              </w:rPr>
              <w:t>标人</w:t>
            </w:r>
            <w:r>
              <w:rPr>
                <w:rFonts w:hint="eastAsia" w:asciiTheme="minorEastAsia" w:hAnsiTheme="minorEastAsia" w:eastAsiaTheme="minorEastAsia"/>
                <w:bCs/>
                <w:sz w:val="24"/>
                <w:szCs w:val="24"/>
                <w:highlight w:val="none"/>
              </w:rPr>
              <w:t>融资申请信息推送第三方平台、意向金融机构。</w:t>
            </w:r>
          </w:p>
          <w:p w14:paraId="29A2ACE7">
            <w:pPr>
              <w:pStyle w:val="32"/>
              <w:widowControl w:val="0"/>
              <w:spacing w:before="0" w:beforeAutospacing="0" w:after="0" w:afterAutospacing="0" w:line="360" w:lineRule="auto"/>
              <w:jc w:val="both"/>
              <w:rPr>
                <w:rFonts w:hint="eastAsia"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3、电子保函指引：中标人可访问安徽省政府采购网“融资/保函”栏目，申请办理电子保函（包括：履约保函、预付款保函）。</w:t>
            </w:r>
          </w:p>
        </w:tc>
      </w:tr>
    </w:tbl>
    <w:p w14:paraId="5DC4CF9D">
      <w:pPr>
        <w:spacing w:line="360" w:lineRule="auto"/>
        <w:jc w:val="center"/>
        <w:outlineLvl w:val="1"/>
        <w:rPr>
          <w:rFonts w:hint="eastAsia" w:asciiTheme="minorEastAsia" w:hAnsiTheme="minorEastAsia" w:eastAsiaTheme="minorEastAsia"/>
          <w:b/>
          <w:sz w:val="24"/>
          <w:highlight w:val="none"/>
        </w:rPr>
      </w:pPr>
      <w:r>
        <w:rPr>
          <w:rFonts w:asciiTheme="minorEastAsia" w:hAnsiTheme="minorEastAsia" w:eastAsiaTheme="minorEastAsia"/>
          <w:b/>
          <w:sz w:val="28"/>
          <w:highlight w:val="none"/>
        </w:rPr>
        <w:br w:type="page"/>
      </w:r>
      <w:bookmarkStart w:id="21" w:name="_Toc14880"/>
      <w:bookmarkStart w:id="22" w:name="_Toc24882"/>
      <w:r>
        <w:rPr>
          <w:rFonts w:hint="eastAsia" w:asciiTheme="minorEastAsia" w:hAnsiTheme="minorEastAsia" w:eastAsiaTheme="minorEastAsia"/>
          <w:b/>
          <w:sz w:val="24"/>
          <w:szCs w:val="24"/>
          <w:highlight w:val="none"/>
        </w:rPr>
        <w:t>二、</w:t>
      </w:r>
      <w:r>
        <w:rPr>
          <w:rFonts w:asciiTheme="minorEastAsia" w:hAnsiTheme="minorEastAsia" w:eastAsiaTheme="minorEastAsia"/>
          <w:b/>
          <w:sz w:val="24"/>
          <w:szCs w:val="24"/>
          <w:highlight w:val="none"/>
        </w:rPr>
        <w:t>投标人须知</w:t>
      </w:r>
      <w:r>
        <w:rPr>
          <w:rFonts w:hint="eastAsia" w:asciiTheme="minorEastAsia" w:hAnsiTheme="minorEastAsia" w:eastAsiaTheme="minorEastAsia"/>
          <w:b/>
          <w:sz w:val="24"/>
          <w:szCs w:val="24"/>
          <w:highlight w:val="none"/>
        </w:rPr>
        <w:t>正文</w:t>
      </w:r>
      <w:bookmarkEnd w:id="21"/>
      <w:bookmarkEnd w:id="22"/>
    </w:p>
    <w:p w14:paraId="1BF44B3B">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1.采购人、采购代理机构及投标人</w:t>
      </w:r>
    </w:p>
    <w:p w14:paraId="6447FD29">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.1采购人：是指依法开展政府采购活动的国家机关、事业单位、团体组织。</w:t>
      </w:r>
    </w:p>
    <w:p w14:paraId="45B9DC96">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.2采购代理机构：是指集中采购机构或从事采购代理业务的社会中介机构。</w:t>
      </w:r>
    </w:p>
    <w:p w14:paraId="5422A997">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.3政府采购监督管理部门：</w:t>
      </w:r>
      <w:r>
        <w:rPr>
          <w:rFonts w:hint="eastAsia" w:ascii="宋体" w:hAnsi="宋体" w:eastAsia="宋体"/>
          <w:sz w:val="24"/>
          <w:highlight w:val="none"/>
        </w:rPr>
        <w:t>各级人民政府指定的有关部门依法履行与政府采购活动有关的监督管理职责。</w:t>
      </w:r>
    </w:p>
    <w:p w14:paraId="174AD00D">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.4投标人：是指向采购人提供货物、工程或者服务的法人、</w:t>
      </w:r>
      <w:r>
        <w:rPr>
          <w:rFonts w:hint="eastAsia" w:ascii="宋体" w:hAnsi="宋体" w:eastAsia="宋体"/>
          <w:sz w:val="24"/>
          <w:highlight w:val="none"/>
        </w:rPr>
        <w:t>其他</w:t>
      </w:r>
      <w:r>
        <w:rPr>
          <w:rFonts w:ascii="宋体" w:hAnsi="宋体" w:eastAsia="宋体"/>
          <w:sz w:val="24"/>
          <w:highlight w:val="none"/>
        </w:rPr>
        <w:t>组织或者自然人。</w:t>
      </w:r>
      <w:r>
        <w:rPr>
          <w:rFonts w:hint="eastAsia" w:ascii="宋体" w:hAnsi="宋体" w:eastAsia="宋体"/>
          <w:sz w:val="24"/>
          <w:highlight w:val="none"/>
        </w:rPr>
        <w:t>分支机构不得参加政府采购活动，但银行、保险、石油石化、电力、电信等特殊行业除外。</w:t>
      </w:r>
      <w:r>
        <w:rPr>
          <w:rFonts w:ascii="宋体" w:hAnsi="宋体" w:eastAsia="宋体"/>
          <w:sz w:val="24"/>
          <w:highlight w:val="none"/>
        </w:rPr>
        <w:t>本项目的投标人须满足以下条件：</w:t>
      </w:r>
    </w:p>
    <w:p w14:paraId="7EB5FA6F">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1</w:t>
      </w:r>
      <w:r>
        <w:rPr>
          <w:rFonts w:ascii="宋体" w:hAnsi="宋体" w:eastAsia="宋体"/>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2</w:t>
      </w:r>
      <w:r>
        <w:rPr>
          <w:rFonts w:ascii="宋体" w:hAnsi="宋体" w:eastAsia="宋体"/>
          <w:sz w:val="24"/>
          <w:highlight w:val="none"/>
        </w:rPr>
        <w:t>以采购代理机构认可的方式获得了本项目的招标文件。</w:t>
      </w:r>
    </w:p>
    <w:p w14:paraId="348DA657">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4.</w:t>
      </w:r>
      <w:r>
        <w:rPr>
          <w:rFonts w:hint="eastAsia" w:ascii="宋体" w:hAnsi="宋体" w:eastAsia="宋体"/>
          <w:sz w:val="24"/>
          <w:highlight w:val="none"/>
        </w:rPr>
        <w:t>3</w:t>
      </w:r>
      <w:r>
        <w:rPr>
          <w:rFonts w:ascii="宋体" w:hAnsi="宋体" w:eastAsia="宋体"/>
          <w:sz w:val="24"/>
          <w:highlight w:val="none"/>
        </w:rPr>
        <w:t>若</w:t>
      </w:r>
      <w:r>
        <w:rPr>
          <w:rFonts w:hint="eastAsia" w:ascii="宋体" w:hAnsi="宋体" w:eastAsia="宋体"/>
          <w:sz w:val="24"/>
          <w:highlight w:val="none"/>
        </w:rPr>
        <w:t>采购需求</w:t>
      </w:r>
      <w:r>
        <w:rPr>
          <w:rFonts w:ascii="宋体" w:hAnsi="宋体" w:eastAsia="宋体"/>
          <w:sz w:val="24"/>
          <w:highlight w:val="none"/>
        </w:rPr>
        <w:t>中写明允许采购进口产品，投标人应保证所投产品可履行合法报通关手续进入中国关境内。</w:t>
      </w:r>
    </w:p>
    <w:p w14:paraId="59D57FEE">
      <w:pPr>
        <w:spacing w:line="360" w:lineRule="auto"/>
        <w:ind w:firstLine="435"/>
        <w:rPr>
          <w:rFonts w:hint="eastAsia" w:ascii="宋体" w:hAnsi="宋体" w:eastAsia="宋体"/>
          <w:sz w:val="24"/>
          <w:highlight w:val="none"/>
        </w:rPr>
      </w:pPr>
      <w:r>
        <w:rPr>
          <w:rFonts w:hint="eastAsia" w:ascii="宋体" w:hAnsi="宋体" w:eastAsia="宋体"/>
          <w:sz w:val="24"/>
          <w:highlight w:val="none"/>
        </w:rPr>
        <w:t>若采购需求中未写明允许采购进口产品，如投标人所投产品为进口产品，其投标将被认定为</w:t>
      </w:r>
      <w:r>
        <w:rPr>
          <w:rFonts w:hint="eastAsia" w:ascii="宋体" w:hAnsi="宋体" w:eastAsia="宋体"/>
          <w:b/>
          <w:sz w:val="24"/>
          <w:highlight w:val="none"/>
        </w:rPr>
        <w:t>投标无效</w:t>
      </w:r>
      <w:r>
        <w:rPr>
          <w:rFonts w:hint="eastAsia" w:ascii="宋体" w:hAnsi="宋体" w:eastAsia="宋体"/>
          <w:sz w:val="24"/>
          <w:highlight w:val="none"/>
        </w:rPr>
        <w:t>。</w:t>
      </w:r>
    </w:p>
    <w:p w14:paraId="7543ADCC">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w:t>
      </w:r>
      <w:r>
        <w:rPr>
          <w:rFonts w:hint="eastAsia" w:ascii="宋体" w:hAnsi="宋体" w:eastAsia="宋体"/>
          <w:sz w:val="24"/>
          <w:highlight w:val="none"/>
        </w:rPr>
        <w:t>若招标公告</w:t>
      </w:r>
      <w:r>
        <w:rPr>
          <w:rFonts w:ascii="宋体" w:hAnsi="宋体" w:eastAsia="宋体"/>
          <w:sz w:val="24"/>
          <w:highlight w:val="none"/>
        </w:rPr>
        <w:t>中允许联合体投标，对联合体规定如下：</w:t>
      </w:r>
    </w:p>
    <w:p w14:paraId="48AB86BF">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5.1两个以上供应商可以组成一个投标联合体，以一个投标人的身份投标。联合体投标的，</w:t>
      </w:r>
      <w:r>
        <w:rPr>
          <w:rFonts w:hint="eastAsia" w:ascii="宋体" w:hAnsi="宋体" w:eastAsia="宋体"/>
          <w:sz w:val="24"/>
          <w:highlight w:val="none"/>
        </w:rPr>
        <w:t>招标文件获取</w:t>
      </w:r>
      <w:r>
        <w:rPr>
          <w:rFonts w:ascii="宋体" w:hAnsi="宋体" w:eastAsia="宋体"/>
          <w:sz w:val="24"/>
          <w:highlight w:val="none"/>
        </w:rPr>
        <w:t>手续由联合体</w:t>
      </w:r>
      <w:r>
        <w:rPr>
          <w:rFonts w:hint="eastAsia" w:ascii="宋体" w:hAnsi="宋体" w:eastAsia="宋体"/>
          <w:sz w:val="24"/>
          <w:highlight w:val="none"/>
        </w:rPr>
        <w:t>中</w:t>
      </w:r>
      <w:r>
        <w:rPr>
          <w:rFonts w:ascii="宋体" w:hAnsi="宋体" w:eastAsia="宋体"/>
          <w:sz w:val="24"/>
          <w:highlight w:val="none"/>
        </w:rPr>
        <w:t>任</w:t>
      </w:r>
      <w:r>
        <w:rPr>
          <w:rFonts w:hint="eastAsia" w:ascii="宋体" w:hAnsi="宋体" w:eastAsia="宋体"/>
          <w:sz w:val="24"/>
          <w:highlight w:val="none"/>
        </w:rPr>
        <w:t>一成员单位</w:t>
      </w:r>
      <w:r>
        <w:rPr>
          <w:rFonts w:ascii="宋体" w:hAnsi="宋体" w:eastAsia="宋体"/>
          <w:sz w:val="24"/>
          <w:highlight w:val="none"/>
        </w:rPr>
        <w:t>办理均可。</w:t>
      </w:r>
    </w:p>
    <w:p w14:paraId="0D5552E9">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5.2联合体各方均应符合《中华人民共和国政府采购法》第二十二条规定的条件。</w:t>
      </w:r>
    </w:p>
    <w:p w14:paraId="3AC83EF1">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5.3采购人根据采购项目对投标人的特殊要求，联合体中至少应当有一方符合相关规定。</w:t>
      </w:r>
    </w:p>
    <w:p w14:paraId="6CBBC589">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5.4联合体各方应签订</w:t>
      </w:r>
      <w:r>
        <w:rPr>
          <w:rFonts w:hint="eastAsia" w:ascii="宋体" w:hAnsi="宋体" w:eastAsia="宋体"/>
          <w:sz w:val="24"/>
          <w:highlight w:val="none"/>
        </w:rPr>
        <w:t>联合协议</w:t>
      </w:r>
      <w:r>
        <w:rPr>
          <w:rFonts w:ascii="宋体" w:hAnsi="宋体" w:eastAsia="宋体"/>
          <w:sz w:val="24"/>
          <w:highlight w:val="none"/>
        </w:rPr>
        <w:t>，明确约定联合体各方承担的工作和相应的责任，并将</w:t>
      </w:r>
      <w:r>
        <w:rPr>
          <w:rFonts w:hint="eastAsia" w:ascii="宋体" w:hAnsi="宋体" w:eastAsia="宋体"/>
          <w:sz w:val="24"/>
          <w:highlight w:val="none"/>
        </w:rPr>
        <w:t>联合协议</w:t>
      </w:r>
      <w:r>
        <w:rPr>
          <w:rFonts w:ascii="宋体" w:hAnsi="宋体" w:eastAsia="宋体"/>
          <w:sz w:val="24"/>
          <w:highlight w:val="none"/>
        </w:rPr>
        <w:t>作为投标文件</w:t>
      </w:r>
      <w:r>
        <w:rPr>
          <w:rFonts w:hint="eastAsia" w:ascii="宋体" w:hAnsi="宋体" w:eastAsia="宋体"/>
          <w:sz w:val="24"/>
          <w:highlight w:val="none"/>
        </w:rPr>
        <w:t>的</w:t>
      </w:r>
      <w:r>
        <w:rPr>
          <w:rFonts w:ascii="宋体" w:hAnsi="宋体" w:eastAsia="宋体"/>
          <w:sz w:val="24"/>
          <w:highlight w:val="none"/>
        </w:rPr>
        <w:t>一部分提交。</w:t>
      </w:r>
    </w:p>
    <w:p w14:paraId="44326D0B">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5.5大中型企业、其他自然人、法人或者非法人组织与小型、微型企业组成联合体共同参加投标，</w:t>
      </w:r>
      <w:r>
        <w:rPr>
          <w:rFonts w:hint="eastAsia" w:ascii="宋体" w:hAnsi="宋体" w:eastAsia="宋体"/>
          <w:sz w:val="24"/>
          <w:highlight w:val="none"/>
        </w:rPr>
        <w:t>联合协议中</w:t>
      </w:r>
      <w:r>
        <w:rPr>
          <w:rFonts w:ascii="宋体" w:hAnsi="宋体" w:eastAsia="宋体"/>
          <w:sz w:val="24"/>
          <w:highlight w:val="none"/>
        </w:rPr>
        <w:t>应写明小型、微型企业的协议合同金额占到</w:t>
      </w:r>
      <w:r>
        <w:rPr>
          <w:rFonts w:hint="eastAsia" w:ascii="宋体" w:hAnsi="宋体" w:eastAsia="宋体"/>
          <w:sz w:val="24"/>
          <w:highlight w:val="none"/>
        </w:rPr>
        <w:t>联合协议</w:t>
      </w:r>
      <w:r>
        <w:rPr>
          <w:rFonts w:ascii="宋体" w:hAnsi="宋体" w:eastAsia="宋体"/>
          <w:sz w:val="24"/>
          <w:highlight w:val="none"/>
        </w:rPr>
        <w:t>投标总金额的比例。</w:t>
      </w:r>
    </w:p>
    <w:p w14:paraId="65024E85">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5.6</w:t>
      </w:r>
      <w:r>
        <w:rPr>
          <w:rFonts w:hint="eastAsia" w:ascii="宋体" w:hAnsi="宋体" w:eastAsia="宋体"/>
          <w:sz w:val="24"/>
          <w:highlight w:val="none"/>
        </w:rPr>
        <w:t>联合体中有同类资质的供应商按照联合体分工承担相同工作的，</w:t>
      </w:r>
      <w:r>
        <w:rPr>
          <w:rFonts w:ascii="宋体" w:hAnsi="宋体" w:eastAsia="宋体"/>
          <w:sz w:val="24"/>
          <w:highlight w:val="none"/>
        </w:rPr>
        <w:t>应当按照</w:t>
      </w:r>
      <w:r>
        <w:rPr>
          <w:rFonts w:hint="eastAsia" w:ascii="宋体" w:hAnsi="宋体" w:eastAsia="宋体"/>
          <w:sz w:val="24"/>
          <w:highlight w:val="none"/>
        </w:rPr>
        <w:t>资质等级较低的供应商确定资质等级。</w:t>
      </w:r>
    </w:p>
    <w:p w14:paraId="3F3C4914">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sz w:val="24"/>
          <w:highlight w:val="none"/>
        </w:rPr>
        <w:t>投标无效</w:t>
      </w:r>
      <w:r>
        <w:rPr>
          <w:rFonts w:ascii="宋体" w:hAnsi="宋体" w:eastAsia="宋体"/>
          <w:sz w:val="24"/>
          <w:highlight w:val="none"/>
        </w:rPr>
        <w:t>。</w:t>
      </w:r>
    </w:p>
    <w:p w14:paraId="66A5B6E4">
      <w:pPr>
        <w:spacing w:line="360" w:lineRule="auto"/>
        <w:ind w:firstLine="435"/>
        <w:rPr>
          <w:rFonts w:hint="eastAsia"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5.8对联合体投标的其他资格要求见</w:t>
      </w:r>
      <w:r>
        <w:rPr>
          <w:rFonts w:hint="eastAsia" w:ascii="宋体" w:hAnsi="宋体" w:eastAsia="宋体"/>
          <w:sz w:val="24"/>
          <w:highlight w:val="none"/>
        </w:rPr>
        <w:t>申请人的资格要求</w:t>
      </w:r>
      <w:r>
        <w:rPr>
          <w:rFonts w:ascii="宋体" w:hAnsi="宋体" w:eastAsia="宋体"/>
          <w:sz w:val="24"/>
          <w:highlight w:val="none"/>
        </w:rPr>
        <w:t>。</w:t>
      </w:r>
    </w:p>
    <w:p w14:paraId="3AF83CAD">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2.资金落实情况</w:t>
      </w:r>
    </w:p>
    <w:p w14:paraId="21683B0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本</w:t>
      </w:r>
      <w:r>
        <w:rPr>
          <w:rFonts w:hint="eastAsia" w:ascii="宋体" w:hAnsi="宋体" w:eastAsia="宋体"/>
          <w:sz w:val="24"/>
          <w:highlight w:val="none"/>
        </w:rPr>
        <w:t>项目</w:t>
      </w:r>
      <w:r>
        <w:rPr>
          <w:rFonts w:hint="eastAsia" w:asciiTheme="minorEastAsia" w:hAnsiTheme="minorEastAsia" w:eastAsiaTheme="minorEastAsia"/>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3.投标费用</w:t>
      </w:r>
    </w:p>
    <w:p w14:paraId="70F1B947">
      <w:pPr>
        <w:spacing w:line="360" w:lineRule="auto"/>
        <w:ind w:firstLine="435"/>
        <w:rPr>
          <w:rFonts w:hint="eastAsia" w:ascii="宋体" w:hAnsi="宋体" w:eastAsia="宋体"/>
          <w:sz w:val="24"/>
          <w:highlight w:val="none"/>
        </w:rPr>
      </w:pPr>
      <w:r>
        <w:rPr>
          <w:rFonts w:hint="eastAsia" w:ascii="宋体" w:hAnsi="宋体" w:eastAsia="宋体"/>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4.适用法律</w:t>
      </w:r>
    </w:p>
    <w:p w14:paraId="3CBE5DC4">
      <w:pPr>
        <w:spacing w:line="360" w:lineRule="auto"/>
        <w:ind w:firstLine="435"/>
        <w:rPr>
          <w:rFonts w:hint="eastAsia" w:asciiTheme="minorEastAsia" w:hAnsiTheme="minorEastAsia" w:eastAsiaTheme="minorEastAsia"/>
          <w:b/>
          <w:sz w:val="24"/>
          <w:highlight w:val="none"/>
        </w:rPr>
      </w:pPr>
      <w:r>
        <w:rPr>
          <w:rFonts w:hint="eastAsia" w:ascii="宋体" w:hAnsi="宋体" w:eastAsia="宋体"/>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5.招标文件构成</w:t>
      </w:r>
    </w:p>
    <w:p w14:paraId="0778BD52">
      <w:pPr>
        <w:spacing w:line="360" w:lineRule="auto"/>
        <w:ind w:firstLine="435"/>
        <w:rPr>
          <w:rFonts w:hint="eastAsia" w:ascii="宋体" w:hAnsi="宋体" w:eastAsia="宋体"/>
          <w:sz w:val="24"/>
          <w:highlight w:val="none"/>
        </w:rPr>
      </w:pPr>
      <w:r>
        <w:rPr>
          <w:rFonts w:hint="eastAsia" w:ascii="宋体" w:hAnsi="宋体" w:eastAsia="宋体"/>
          <w:sz w:val="24"/>
          <w:highlight w:val="none"/>
        </w:rPr>
        <w:t>5.1招标文件包括下列内容：</w:t>
      </w:r>
    </w:p>
    <w:p w14:paraId="4BA1FAD3">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第一章</w:t>
      </w:r>
      <w:r>
        <w:rPr>
          <w:rFonts w:asciiTheme="minorEastAsia" w:hAnsiTheme="minorEastAsia" w:eastAsiaTheme="minorEastAsia"/>
          <w:sz w:val="24"/>
          <w:highlight w:val="none"/>
        </w:rPr>
        <w:t xml:space="preserve">  投标邀请</w:t>
      </w:r>
    </w:p>
    <w:p w14:paraId="5DE63B80">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第二章</w:t>
      </w:r>
      <w:r>
        <w:rPr>
          <w:rFonts w:asciiTheme="minorEastAsia" w:hAnsiTheme="minorEastAsia" w:eastAsiaTheme="minorEastAsia"/>
          <w:sz w:val="24"/>
          <w:highlight w:val="none"/>
        </w:rPr>
        <w:t xml:space="preserve">  投标人须知</w:t>
      </w:r>
    </w:p>
    <w:p w14:paraId="6F799221">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第三章</w:t>
      </w:r>
      <w:r>
        <w:rPr>
          <w:rFonts w:asciiTheme="minorEastAsia" w:hAnsiTheme="minorEastAsia" w:eastAsiaTheme="minorEastAsia"/>
          <w:sz w:val="24"/>
          <w:highlight w:val="none"/>
        </w:rPr>
        <w:t xml:space="preserve">  采购需求</w:t>
      </w:r>
    </w:p>
    <w:p w14:paraId="1038F698">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第四章</w:t>
      </w:r>
      <w:r>
        <w:rPr>
          <w:rFonts w:asciiTheme="minorEastAsia" w:hAnsiTheme="minorEastAsia" w:eastAsiaTheme="minorEastAsia"/>
          <w:sz w:val="24"/>
          <w:highlight w:val="none"/>
        </w:rPr>
        <w:t xml:space="preserve">  评标</w:t>
      </w:r>
      <w:r>
        <w:rPr>
          <w:rFonts w:hint="eastAsia" w:asciiTheme="minorEastAsia" w:hAnsiTheme="minorEastAsia" w:eastAsiaTheme="minorEastAsia"/>
          <w:sz w:val="24"/>
          <w:highlight w:val="none"/>
        </w:rPr>
        <w:t>方法</w:t>
      </w:r>
      <w:r>
        <w:rPr>
          <w:rFonts w:asciiTheme="minorEastAsia" w:hAnsiTheme="minorEastAsia" w:eastAsiaTheme="minorEastAsia"/>
          <w:sz w:val="24"/>
          <w:highlight w:val="none"/>
        </w:rPr>
        <w:t>和标准</w:t>
      </w:r>
    </w:p>
    <w:p w14:paraId="01F50D0F">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第五章</w:t>
      </w:r>
      <w:r>
        <w:rPr>
          <w:rFonts w:asciiTheme="minorEastAsia" w:hAnsiTheme="minorEastAsia" w:eastAsiaTheme="minorEastAsia"/>
          <w:sz w:val="24"/>
          <w:highlight w:val="none"/>
        </w:rPr>
        <w:t xml:space="preserve">  政府采购合同</w:t>
      </w:r>
    </w:p>
    <w:p w14:paraId="0AE12362">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第六章</w:t>
      </w:r>
      <w:r>
        <w:rPr>
          <w:rFonts w:asciiTheme="minorEastAsia" w:hAnsiTheme="minorEastAsia" w:eastAsiaTheme="minorEastAsia"/>
          <w:sz w:val="24"/>
          <w:highlight w:val="none"/>
        </w:rPr>
        <w:t xml:space="preserve">  投标文件格式</w:t>
      </w:r>
    </w:p>
    <w:p w14:paraId="626B4731">
      <w:pPr>
        <w:spacing w:line="360" w:lineRule="auto"/>
        <w:ind w:firstLine="840" w:firstLineChars="350"/>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第七章</w:t>
      </w:r>
      <w:r>
        <w:rPr>
          <w:rFonts w:asciiTheme="minorEastAsia" w:hAnsiTheme="minorEastAsia" w:eastAsiaTheme="minorEastAsia"/>
          <w:sz w:val="24"/>
          <w:highlight w:val="none"/>
        </w:rPr>
        <w:t xml:space="preserve">  政府采购</w:t>
      </w:r>
      <w:r>
        <w:rPr>
          <w:rFonts w:hint="eastAsia" w:asciiTheme="minorEastAsia" w:hAnsiTheme="minorEastAsia" w:eastAsiaTheme="minorEastAsia"/>
          <w:sz w:val="24"/>
          <w:highlight w:val="none"/>
        </w:rPr>
        <w:t>询问函和</w:t>
      </w:r>
      <w:r>
        <w:rPr>
          <w:rFonts w:asciiTheme="minorEastAsia" w:hAnsiTheme="minorEastAsia" w:eastAsiaTheme="minorEastAsia"/>
          <w:sz w:val="24"/>
          <w:highlight w:val="none"/>
        </w:rPr>
        <w:t>质疑函范本</w:t>
      </w:r>
    </w:p>
    <w:p w14:paraId="6F1B6A6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现场</w:t>
      </w:r>
      <w:r>
        <w:rPr>
          <w:rFonts w:hint="eastAsia" w:asciiTheme="minorEastAsia" w:hAnsiTheme="minorEastAsia" w:eastAsiaTheme="minorEastAsia"/>
          <w:sz w:val="24"/>
          <w:highlight w:val="none"/>
        </w:rPr>
        <w:t>考察（标前答疑会）</w:t>
      </w:r>
      <w:r>
        <w:rPr>
          <w:rFonts w:asciiTheme="minorEastAsia" w:hAnsiTheme="minorEastAsia" w:eastAsiaTheme="minorEastAsia"/>
          <w:sz w:val="24"/>
          <w:highlight w:val="none"/>
        </w:rPr>
        <w:t>及相关事项见</w:t>
      </w:r>
      <w:r>
        <w:rPr>
          <w:rFonts w:asciiTheme="minorEastAsia" w:hAnsiTheme="minorEastAsia" w:eastAsiaTheme="minorEastAsia"/>
          <w:sz w:val="24"/>
          <w:highlight w:val="none"/>
          <w:u w:val="single"/>
        </w:rPr>
        <w:t>投标</w:t>
      </w:r>
      <w:r>
        <w:rPr>
          <w:rFonts w:hint="eastAsia" w:asciiTheme="minorEastAsia" w:hAnsiTheme="minorEastAsia" w:eastAsiaTheme="minorEastAsia"/>
          <w:sz w:val="24"/>
          <w:highlight w:val="none"/>
          <w:u w:val="single"/>
        </w:rPr>
        <w:t>人</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w:t>
      </w:r>
    </w:p>
    <w:p w14:paraId="22F13DC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如需提供样品，对样品相关要求见</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，对样品的评审方法及评审标准见招标文件第</w:t>
      </w:r>
      <w:r>
        <w:rPr>
          <w:rFonts w:hint="eastAsia" w:asciiTheme="minorEastAsia" w:hAnsiTheme="minorEastAsia" w:eastAsiaTheme="minorEastAsia"/>
          <w:sz w:val="24"/>
          <w:highlight w:val="none"/>
        </w:rPr>
        <w:t>四</w:t>
      </w:r>
      <w:r>
        <w:rPr>
          <w:rFonts w:asciiTheme="minorEastAsia" w:hAnsiTheme="minorEastAsia" w:eastAsiaTheme="minorEastAsia"/>
          <w:sz w:val="24"/>
          <w:highlight w:val="none"/>
        </w:rPr>
        <w:t>章。</w:t>
      </w:r>
    </w:p>
    <w:p w14:paraId="0E44888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6.招标文件的澄清与修改</w:t>
      </w:r>
    </w:p>
    <w:p w14:paraId="6466F50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投标人如对招标文件内容有疑问，必须在</w:t>
      </w:r>
      <w:r>
        <w:rPr>
          <w:rFonts w:ascii="宋体" w:hAnsi="宋体" w:eastAsia="宋体"/>
          <w:sz w:val="24"/>
          <w:highlight w:val="none"/>
          <w:u w:val="single"/>
        </w:rPr>
        <w:t>投标人须知前附表</w:t>
      </w:r>
      <w:r>
        <w:rPr>
          <w:rFonts w:asciiTheme="minorEastAsia" w:hAnsiTheme="minorEastAsia" w:eastAsiaTheme="minorEastAsia"/>
          <w:sz w:val="24"/>
          <w:highlight w:val="none"/>
        </w:rPr>
        <w:t>规定的</w:t>
      </w:r>
      <w:r>
        <w:rPr>
          <w:rFonts w:hint="eastAsia" w:asciiTheme="minorEastAsia" w:hAnsiTheme="minorEastAsia" w:eastAsiaTheme="minorEastAsia"/>
          <w:sz w:val="24"/>
          <w:highlight w:val="none"/>
        </w:rPr>
        <w:t>网上询问</w:t>
      </w:r>
      <w:r>
        <w:rPr>
          <w:rFonts w:asciiTheme="minorEastAsia" w:hAnsiTheme="minorEastAsia" w:eastAsiaTheme="minorEastAsia"/>
          <w:sz w:val="24"/>
          <w:highlight w:val="none"/>
        </w:rPr>
        <w:t>截止时间前以网上提问形式</w:t>
      </w:r>
      <w:r>
        <w:rPr>
          <w:rFonts w:hint="eastAsia" w:asciiTheme="minorEastAsia" w:hAnsiTheme="minorEastAsia" w:eastAsiaTheme="minorEastAsia"/>
          <w:sz w:val="24"/>
          <w:highlight w:val="none"/>
        </w:rPr>
        <w:t>（电子交易系统）</w:t>
      </w:r>
      <w:r>
        <w:rPr>
          <w:rFonts w:asciiTheme="minorEastAsia" w:hAnsiTheme="minorEastAsia" w:eastAsiaTheme="minorEastAsia"/>
          <w:sz w:val="24"/>
          <w:highlight w:val="none"/>
        </w:rPr>
        <w:t>提交给采购代理机构。</w:t>
      </w:r>
    </w:p>
    <w:p w14:paraId="593F48F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2采购人可主动地或在答复投标人提出的询问时对招标文件进行澄清与修改。</w:t>
      </w:r>
      <w:r>
        <w:rPr>
          <w:rFonts w:asciiTheme="minorEastAsia" w:hAnsiTheme="minorEastAsia" w:eastAsiaTheme="minorEastAsia"/>
          <w:sz w:val="24"/>
          <w:highlight w:val="none"/>
        </w:rPr>
        <w:t>采购代理机构将</w:t>
      </w:r>
      <w:r>
        <w:rPr>
          <w:rFonts w:hint="eastAsia" w:asciiTheme="minorEastAsia" w:hAnsiTheme="minorEastAsia" w:eastAsiaTheme="minorEastAsia"/>
          <w:sz w:val="24"/>
          <w:highlight w:val="none"/>
        </w:rPr>
        <w:t>在安徽省政府采购网以发布更正公告的方式</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澄清或修改招标文件，更正公告的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作</w:t>
      </w:r>
      <w:r>
        <w:rPr>
          <w:rFonts w:asciiTheme="minorEastAsia" w:hAnsiTheme="minorEastAsia" w:eastAsiaTheme="minorEastAsia"/>
          <w:sz w:val="24"/>
          <w:highlight w:val="none"/>
        </w:rPr>
        <w:t>为招标文件</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组成部分，对投标人起约束作用</w:t>
      </w:r>
      <w:r>
        <w:rPr>
          <w:rFonts w:hint="eastAsia" w:asciiTheme="minorEastAsia" w:hAnsiTheme="minorEastAsia" w:eastAsiaTheme="minorEastAsia"/>
          <w:sz w:val="24"/>
          <w:highlight w:val="none"/>
        </w:rPr>
        <w:t>。投标人应主动上网查询。采购代理机构不承担投标人未及时关注相关信息引发的相关责任。</w:t>
      </w:r>
    </w:p>
    <w:p w14:paraId="2064E36B">
      <w:pPr>
        <w:spacing w:line="360" w:lineRule="auto"/>
        <w:ind w:firstLine="435"/>
        <w:rPr>
          <w:rFonts w:hint="eastAsia" w:ascii="宋体" w:hAnsi="宋体" w:eastAsia="宋体"/>
          <w:sz w:val="24"/>
          <w:highlight w:val="none"/>
        </w:rPr>
      </w:pPr>
      <w:r>
        <w:rPr>
          <w:rFonts w:hint="eastAsia" w:ascii="宋体" w:hAnsi="宋体" w:eastAsia="宋体"/>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hint="eastAsia" w:asciiTheme="minorEastAsia" w:hAnsiTheme="minorEastAsia" w:eastAsiaTheme="minorEastAsia"/>
          <w:i/>
          <w:iCs/>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对于</w:t>
      </w:r>
      <w:r>
        <w:rPr>
          <w:rFonts w:ascii="宋体" w:hAnsi="宋体" w:eastAsia="宋体"/>
          <w:sz w:val="24"/>
          <w:highlight w:val="none"/>
        </w:rPr>
        <w:t>没有</w:t>
      </w:r>
      <w:r>
        <w:rPr>
          <w:rFonts w:asciiTheme="minorEastAsia" w:hAnsiTheme="minorEastAsia" w:eastAsiaTheme="minorEastAsia"/>
          <w:sz w:val="24"/>
          <w:highlight w:val="none"/>
        </w:rPr>
        <w:t>提出</w:t>
      </w:r>
      <w:r>
        <w:rPr>
          <w:rFonts w:hint="eastAsia" w:asciiTheme="minorEastAsia" w:hAnsiTheme="minorEastAsia" w:eastAsiaTheme="minorEastAsia"/>
          <w:sz w:val="24"/>
          <w:highlight w:val="none"/>
        </w:rPr>
        <w:t>疑问</w:t>
      </w:r>
      <w:r>
        <w:rPr>
          <w:rFonts w:asciiTheme="minorEastAsia" w:hAnsiTheme="minorEastAsia" w:eastAsiaTheme="minorEastAsia"/>
          <w:sz w:val="24"/>
          <w:highlight w:val="none"/>
        </w:rPr>
        <w:t>又参与了</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项目投标的</w:t>
      </w:r>
      <w:r>
        <w:rPr>
          <w:rFonts w:hint="eastAsia" w:asciiTheme="minorEastAsia" w:hAnsiTheme="minorEastAsia" w:eastAsiaTheme="minorEastAsia"/>
          <w:sz w:val="24"/>
          <w:highlight w:val="none"/>
        </w:rPr>
        <w:t>投标人</w:t>
      </w:r>
      <w:r>
        <w:rPr>
          <w:rFonts w:asciiTheme="minorEastAsia" w:hAnsiTheme="minorEastAsia" w:eastAsiaTheme="minorEastAsia"/>
          <w:sz w:val="24"/>
          <w:highlight w:val="none"/>
        </w:rPr>
        <w:t>将被视为完全认同</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招标文件（含</w:t>
      </w:r>
      <w:r>
        <w:rPr>
          <w:rFonts w:hint="eastAsia" w:asciiTheme="minorEastAsia" w:hAnsiTheme="minorEastAsia" w:eastAsiaTheme="minorEastAsia"/>
          <w:sz w:val="24"/>
          <w:highlight w:val="none"/>
        </w:rPr>
        <w:t>更正公告的</w:t>
      </w:r>
      <w:r>
        <w:rPr>
          <w:rFonts w:asciiTheme="minorEastAsia" w:hAnsiTheme="minorEastAsia" w:eastAsiaTheme="minorEastAsia"/>
          <w:sz w:val="24"/>
          <w:highlight w:val="none"/>
        </w:rPr>
        <w:t>内容）</w:t>
      </w:r>
      <w:r>
        <w:rPr>
          <w:rFonts w:hint="eastAsia" w:asciiTheme="minorEastAsia" w:hAnsiTheme="minorEastAsia" w:eastAsiaTheme="minorEastAsia"/>
          <w:i/>
          <w:sz w:val="24"/>
          <w:highlight w:val="none"/>
        </w:rPr>
        <w:t>。</w:t>
      </w:r>
    </w:p>
    <w:p w14:paraId="22EC0309">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7.投标范围及投标文件中标准和计量单位的使用</w:t>
      </w:r>
    </w:p>
    <w:p w14:paraId="681763A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.1</w:t>
      </w:r>
      <w:r>
        <w:rPr>
          <w:rFonts w:ascii="宋体" w:hAnsi="宋体" w:eastAsia="宋体"/>
          <w:sz w:val="24"/>
          <w:highlight w:val="none"/>
        </w:rPr>
        <w:t>项目</w:t>
      </w:r>
      <w:r>
        <w:rPr>
          <w:rFonts w:asciiTheme="minorEastAsia" w:hAnsiTheme="minorEastAsia" w:eastAsiaTheme="minorEastAsia"/>
          <w:sz w:val="24"/>
          <w:highlight w:val="none"/>
        </w:rPr>
        <w:t>有分包的，投标人可对招标文件其中某一个或几个分包进行投标，除非在</w:t>
      </w:r>
      <w:r>
        <w:rPr>
          <w:rFonts w:asciiTheme="minorEastAsia" w:hAnsiTheme="minorEastAsia" w:eastAsiaTheme="minorEastAsia"/>
          <w:sz w:val="24"/>
          <w:highlight w:val="none"/>
          <w:u w:val="single"/>
        </w:rPr>
        <w:t>投标人须知前附表</w:t>
      </w:r>
      <w:r>
        <w:rPr>
          <w:rFonts w:asciiTheme="minorEastAsia" w:hAnsiTheme="minorEastAsia" w:eastAsiaTheme="minorEastAsia"/>
          <w:sz w:val="24"/>
          <w:highlight w:val="none"/>
        </w:rPr>
        <w:t>中另有规定。</w:t>
      </w:r>
    </w:p>
    <w:p w14:paraId="5A35AAF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.2投标人应当对所投分包招标文件中“</w:t>
      </w:r>
      <w:r>
        <w:rPr>
          <w:rFonts w:hint="eastAsia" w:asciiTheme="minorEastAsia" w:hAnsiTheme="minorEastAsia" w:eastAsiaTheme="minorEastAsia"/>
          <w:sz w:val="24"/>
          <w:highlight w:val="none"/>
        </w:rPr>
        <w:t>采购</w:t>
      </w:r>
      <w:r>
        <w:rPr>
          <w:rFonts w:asciiTheme="minorEastAsia" w:hAnsiTheme="minorEastAsia" w:eastAsiaTheme="minorEastAsia"/>
          <w:sz w:val="24"/>
          <w:highlight w:val="none"/>
        </w:rPr>
        <w:t>需求”所列的所有内容进行投标，如仅响应</w:t>
      </w:r>
      <w:r>
        <w:rPr>
          <w:rFonts w:hint="eastAsia" w:asciiTheme="minorEastAsia" w:hAnsiTheme="minorEastAsia" w:eastAsiaTheme="minorEastAsia"/>
          <w:sz w:val="24"/>
          <w:highlight w:val="none"/>
        </w:rPr>
        <w:t>所投包别</w:t>
      </w:r>
      <w:r>
        <w:rPr>
          <w:rFonts w:asciiTheme="minorEastAsia" w:hAnsiTheme="minorEastAsia" w:eastAsiaTheme="minorEastAsia"/>
          <w:sz w:val="24"/>
          <w:highlight w:val="none"/>
        </w:rPr>
        <w:t>中的部分内容，其</w:t>
      </w:r>
      <w:r>
        <w:rPr>
          <w:rFonts w:hint="eastAsia" w:asciiTheme="minorEastAsia" w:hAnsiTheme="minorEastAsia" w:eastAsiaTheme="minorEastAsia"/>
          <w:sz w:val="24"/>
          <w:highlight w:val="none"/>
        </w:rPr>
        <w:t>所投包别的</w:t>
      </w:r>
      <w:r>
        <w:rPr>
          <w:rFonts w:asciiTheme="minorEastAsia" w:hAnsiTheme="minorEastAsia" w:eastAsiaTheme="minorEastAsia"/>
          <w:sz w:val="24"/>
          <w:highlight w:val="none"/>
        </w:rPr>
        <w:t>投标将被认定为</w:t>
      </w:r>
      <w:r>
        <w:rPr>
          <w:rFonts w:asciiTheme="minorEastAsia" w:hAnsiTheme="minorEastAsia" w:eastAsiaTheme="minorEastAsia"/>
          <w:b/>
          <w:sz w:val="24"/>
          <w:highlight w:val="none"/>
        </w:rPr>
        <w:t>投标无效</w:t>
      </w:r>
      <w:r>
        <w:rPr>
          <w:rFonts w:asciiTheme="minorEastAsia" w:hAnsiTheme="minorEastAsia" w:eastAsiaTheme="minorEastAsia"/>
          <w:sz w:val="24"/>
          <w:highlight w:val="none"/>
        </w:rPr>
        <w:t>。</w:t>
      </w:r>
    </w:p>
    <w:p w14:paraId="49E23BA5">
      <w:pPr>
        <w:spacing w:line="360" w:lineRule="auto"/>
        <w:ind w:firstLine="435"/>
        <w:rPr>
          <w:rFonts w:hint="eastAsia" w:asciiTheme="minorEastAsia" w:hAnsiTheme="minorEastAsia" w:eastAsiaTheme="minorEastAsia"/>
          <w:sz w:val="24"/>
          <w:highlight w:val="none"/>
        </w:rPr>
      </w:pPr>
      <w:bookmarkStart w:id="23" w:name="_Hlk16458980"/>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.3无论招标文件中是否要求，</w:t>
      </w:r>
      <w:r>
        <w:rPr>
          <w:rFonts w:hint="eastAsia" w:asciiTheme="minorEastAsia" w:hAnsiTheme="minorEastAsia" w:eastAsiaTheme="minorEastAsia"/>
          <w:sz w:val="24"/>
          <w:highlight w:val="none"/>
        </w:rPr>
        <w:t>投标人所投货物及伴随的服务和工程均应符合国家强制性标准。</w:t>
      </w:r>
    </w:p>
    <w:bookmarkEnd w:id="23"/>
    <w:p w14:paraId="2CE9092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投标人与采购</w:t>
      </w:r>
      <w:r>
        <w:rPr>
          <w:rFonts w:hint="eastAsia" w:asciiTheme="minorEastAsia" w:hAnsiTheme="minorEastAsia" w:eastAsiaTheme="minorEastAsia"/>
          <w:sz w:val="24"/>
          <w:highlight w:val="none"/>
        </w:rPr>
        <w:t>代理</w:t>
      </w:r>
      <w:r>
        <w:rPr>
          <w:rFonts w:asciiTheme="minorEastAsia" w:hAnsiTheme="minorEastAsia" w:eastAsiaTheme="minorEastAsia"/>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除</w:t>
      </w:r>
      <w:r>
        <w:rPr>
          <w:rFonts w:ascii="宋体" w:hAnsi="宋体" w:eastAsia="宋体"/>
          <w:sz w:val="24"/>
          <w:highlight w:val="none"/>
        </w:rPr>
        <w:t>招标文件</w:t>
      </w:r>
      <w:r>
        <w:rPr>
          <w:rFonts w:asciiTheme="minorEastAsia" w:hAnsiTheme="minorEastAsia" w:eastAsiaTheme="minorEastAsia"/>
          <w:sz w:val="24"/>
          <w:highlight w:val="none"/>
        </w:rPr>
        <w:t>中有特殊要求外，投标文件中所使用的计量单位，应采用中华人民共和国法定计量单位。</w:t>
      </w:r>
    </w:p>
    <w:p w14:paraId="3F5AC4E0">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投标文件构成</w:t>
      </w:r>
    </w:p>
    <w:p w14:paraId="25B2925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.1</w:t>
      </w:r>
      <w:r>
        <w:rPr>
          <w:rFonts w:ascii="宋体" w:hAnsi="宋体" w:eastAsia="宋体"/>
          <w:sz w:val="24"/>
          <w:highlight w:val="none"/>
        </w:rPr>
        <w:t>投标人</w:t>
      </w:r>
      <w:r>
        <w:rPr>
          <w:rFonts w:asciiTheme="minorEastAsia" w:hAnsiTheme="minorEastAsia" w:eastAsiaTheme="minorEastAsia"/>
          <w:sz w:val="24"/>
          <w:highlight w:val="none"/>
        </w:rPr>
        <w:t>应完整地按招标文件提供的投标文件格式及要求</w:t>
      </w:r>
      <w:r>
        <w:rPr>
          <w:rFonts w:hint="eastAsia" w:asciiTheme="minorEastAsia" w:hAnsiTheme="minorEastAsia" w:eastAsiaTheme="minorEastAsia"/>
          <w:sz w:val="24"/>
          <w:highlight w:val="none"/>
        </w:rPr>
        <w:t>编</w:t>
      </w:r>
      <w:r>
        <w:rPr>
          <w:rFonts w:asciiTheme="minorEastAsia" w:hAnsiTheme="minorEastAsia" w:eastAsiaTheme="minorEastAsia"/>
          <w:sz w:val="24"/>
          <w:highlight w:val="none"/>
        </w:rPr>
        <w:t>写投标文件，</w:t>
      </w:r>
      <w:r>
        <w:rPr>
          <w:rFonts w:hint="eastAsia" w:asciiTheme="minorEastAsia" w:hAnsiTheme="minorEastAsia" w:eastAsiaTheme="minorEastAsia"/>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8.2</w:t>
      </w:r>
      <w:r>
        <w:rPr>
          <w:rFonts w:ascii="宋体" w:hAnsi="宋体" w:eastAsia="宋体"/>
          <w:sz w:val="24"/>
          <w:highlight w:val="none"/>
        </w:rPr>
        <w:t>投标人</w:t>
      </w:r>
      <w:r>
        <w:rPr>
          <w:rFonts w:asciiTheme="minorEastAsia" w:hAnsiTheme="minorEastAsia" w:eastAsiaTheme="minorEastAsia"/>
          <w:sz w:val="24"/>
          <w:highlight w:val="none"/>
        </w:rPr>
        <w:t>应提交</w:t>
      </w:r>
      <w:r>
        <w:rPr>
          <w:rFonts w:hint="eastAsia" w:asciiTheme="minorEastAsia" w:hAnsiTheme="minorEastAsia" w:eastAsiaTheme="minorEastAsia"/>
          <w:sz w:val="24"/>
          <w:highlight w:val="none"/>
        </w:rPr>
        <w:t>招标文件要求的</w:t>
      </w:r>
      <w:r>
        <w:rPr>
          <w:rFonts w:asciiTheme="minorEastAsia" w:hAnsiTheme="minorEastAsia" w:eastAsiaTheme="minorEastAsia"/>
          <w:sz w:val="24"/>
          <w:highlight w:val="none"/>
        </w:rPr>
        <w:t>证明文件，证明其投标内容符合招标文件规定</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该证明文件是投标文件的一部分</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证明文件</w:t>
      </w:r>
      <w:r>
        <w:rPr>
          <w:rFonts w:hint="eastAsia" w:asciiTheme="minorEastAsia" w:hAnsiTheme="minorEastAsia" w:eastAsiaTheme="minorEastAsia"/>
          <w:sz w:val="24"/>
          <w:highlight w:val="none"/>
        </w:rPr>
        <w:t>形式</w:t>
      </w:r>
      <w:r>
        <w:rPr>
          <w:rFonts w:asciiTheme="minorEastAsia" w:hAnsiTheme="minorEastAsia" w:eastAsiaTheme="minorEastAsia"/>
          <w:sz w:val="24"/>
          <w:highlight w:val="none"/>
        </w:rPr>
        <w:t>可以是文字资料、图纸和数据</w:t>
      </w:r>
      <w:bookmarkStart w:id="24" w:name="_Hlk11703583"/>
      <w:r>
        <w:rPr>
          <w:rFonts w:hint="eastAsia" w:asciiTheme="minorEastAsia" w:hAnsiTheme="minorEastAsia" w:eastAsiaTheme="minorEastAsia"/>
          <w:sz w:val="24"/>
          <w:highlight w:val="none"/>
        </w:rPr>
        <w:t>等。</w:t>
      </w:r>
    </w:p>
    <w:bookmarkEnd w:id="24"/>
    <w:p w14:paraId="3482246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8.3</w:t>
      </w:r>
      <w:r>
        <w:rPr>
          <w:rFonts w:asciiTheme="minorEastAsia" w:hAnsiTheme="minorEastAsia" w:eastAsiaTheme="minorEastAsia"/>
          <w:sz w:val="24"/>
          <w:highlight w:val="none"/>
        </w:rPr>
        <w:t>为保证</w:t>
      </w:r>
      <w:r>
        <w:rPr>
          <w:rFonts w:ascii="宋体" w:hAnsi="宋体" w:eastAsia="宋体"/>
          <w:sz w:val="24"/>
          <w:highlight w:val="none"/>
        </w:rPr>
        <w:t>公平</w:t>
      </w:r>
      <w:r>
        <w:rPr>
          <w:rFonts w:asciiTheme="minorEastAsia" w:hAnsiTheme="minorEastAsia" w:eastAsiaTheme="minorEastAsia"/>
          <w:sz w:val="24"/>
          <w:highlight w:val="none"/>
        </w:rPr>
        <w:t>公正，除非另有规定或说明，投标人对同一项目投标时，不得同时提供</w:t>
      </w:r>
      <w:r>
        <w:rPr>
          <w:rFonts w:hint="eastAsia" w:asciiTheme="minorEastAsia" w:hAnsiTheme="minorEastAsia" w:eastAsiaTheme="minorEastAsia"/>
          <w:sz w:val="24"/>
          <w:highlight w:val="none"/>
        </w:rPr>
        <w:t>备选</w:t>
      </w:r>
      <w:r>
        <w:rPr>
          <w:rFonts w:asciiTheme="minorEastAsia" w:hAnsiTheme="minorEastAsia" w:eastAsiaTheme="minorEastAsia"/>
          <w:sz w:val="24"/>
          <w:highlight w:val="none"/>
        </w:rPr>
        <w:t>投标方案。</w:t>
      </w:r>
    </w:p>
    <w:p w14:paraId="7B3C4DA9">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投标报价</w:t>
      </w:r>
    </w:p>
    <w:p w14:paraId="2380048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.1投标人的报价应当包括满足本次招标全部采购需求</w:t>
      </w:r>
      <w:r>
        <w:rPr>
          <w:rFonts w:hint="eastAsia" w:asciiTheme="minorEastAsia" w:hAnsiTheme="minorEastAsia" w:eastAsiaTheme="minorEastAsia"/>
          <w:sz w:val="24"/>
          <w:highlight w:val="none"/>
        </w:rPr>
        <w:t>。除招标文件另有规定外，所有投标均应以人民币报价。投标人的投标报价应遵守《中华人民共和国价格法》。</w:t>
      </w:r>
    </w:p>
    <w:p w14:paraId="08F5879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.2投标人报价超过招标文件规定的预算金额或者分项、分包最高限价，其投标将被认定为</w:t>
      </w:r>
      <w:r>
        <w:rPr>
          <w:rFonts w:asciiTheme="minorEastAsia" w:hAnsiTheme="minorEastAsia" w:eastAsiaTheme="minorEastAsia"/>
          <w:b/>
          <w:bCs/>
          <w:sz w:val="24"/>
          <w:highlight w:val="none"/>
        </w:rPr>
        <w:t>投标无效</w:t>
      </w:r>
      <w:r>
        <w:rPr>
          <w:rFonts w:asciiTheme="minorEastAsia" w:hAnsiTheme="minorEastAsia" w:eastAsiaTheme="minorEastAsia"/>
          <w:sz w:val="24"/>
          <w:highlight w:val="none"/>
        </w:rPr>
        <w:t>。</w:t>
      </w:r>
    </w:p>
    <w:p w14:paraId="1FF7AA1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3投标报价</w:t>
      </w:r>
      <w:r>
        <w:rPr>
          <w:rFonts w:asciiTheme="minorEastAsia" w:hAnsiTheme="minorEastAsia" w:eastAsiaTheme="minorEastAsia"/>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sz w:val="24"/>
          <w:highlight w:val="none"/>
        </w:rPr>
        <w:t>投标无效</w:t>
      </w:r>
      <w:r>
        <w:rPr>
          <w:rFonts w:asciiTheme="minorEastAsia" w:hAnsiTheme="minorEastAsia" w:eastAsiaTheme="minorEastAsia"/>
          <w:sz w:val="24"/>
          <w:highlight w:val="none"/>
        </w:rPr>
        <w:t>。</w:t>
      </w:r>
    </w:p>
    <w:p w14:paraId="0323B79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采购人不接受具有附加条件的报价。</w:t>
      </w:r>
    </w:p>
    <w:p w14:paraId="4436AE6B">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投标保证金</w:t>
      </w:r>
    </w:p>
    <w:p w14:paraId="2B006C8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10.1本项目不收取投标保证金。</w:t>
      </w:r>
    </w:p>
    <w:p w14:paraId="0405A4D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投标有效期</w:t>
      </w:r>
    </w:p>
    <w:p w14:paraId="52B8EBE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11.1投标有效期为从投标截止之日算起的日历天数，投标有效期详见</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w:t>
      </w:r>
    </w:p>
    <w:p w14:paraId="473D222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sz w:val="24"/>
          <w:highlight w:val="none"/>
        </w:rPr>
        <w:t>投标无效</w:t>
      </w:r>
      <w:r>
        <w:rPr>
          <w:rFonts w:hint="eastAsia" w:asciiTheme="minorEastAsia" w:hAnsiTheme="minorEastAsia" w:eastAsiaTheme="minorEastAsia"/>
          <w:sz w:val="24"/>
          <w:highlight w:val="none"/>
        </w:rPr>
        <w:t>。</w:t>
      </w:r>
    </w:p>
    <w:p w14:paraId="24BC8B80">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投标文件的递交、修改与撤回</w:t>
      </w:r>
    </w:p>
    <w:p w14:paraId="458F10A0">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2.1投标人应当在招标公告规定的投标截止时间前</w:t>
      </w:r>
      <w:r>
        <w:rPr>
          <w:rFonts w:asciiTheme="minorEastAsia" w:hAnsiTheme="minorEastAsia" w:eastAsiaTheme="minorEastAsia"/>
          <w:sz w:val="24"/>
          <w:highlight w:val="none"/>
        </w:rPr>
        <w:t>，将加密的投标文件</w:t>
      </w:r>
      <w:r>
        <w:rPr>
          <w:rFonts w:hint="eastAsia" w:asciiTheme="minorEastAsia" w:hAnsiTheme="minorEastAsia" w:eastAsiaTheme="minorEastAsia"/>
          <w:sz w:val="24"/>
          <w:highlight w:val="none"/>
        </w:rPr>
        <w:t>在电子交易系统</w:t>
      </w:r>
      <w:r>
        <w:rPr>
          <w:rFonts w:asciiTheme="minorEastAsia" w:hAnsiTheme="minorEastAsia" w:eastAsiaTheme="minorEastAsia"/>
          <w:sz w:val="24"/>
          <w:highlight w:val="none"/>
        </w:rPr>
        <w:t>上传。</w:t>
      </w:r>
    </w:p>
    <w:p w14:paraId="3B85D6BC">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开标</w:t>
      </w:r>
    </w:p>
    <w:p w14:paraId="3BF0DE5E">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开标时，</w:t>
      </w:r>
      <w:r>
        <w:rPr>
          <w:rFonts w:ascii="宋体" w:hAnsi="宋体" w:eastAsia="宋体" w:cs="宋体"/>
          <w:sz w:val="24"/>
          <w:szCs w:val="24"/>
          <w:highlight w:val="none"/>
        </w:rPr>
        <w:t>各投标人应在</w:t>
      </w:r>
      <w:r>
        <w:rPr>
          <w:rFonts w:ascii="宋体" w:hAnsi="宋体" w:eastAsia="宋体" w:cs="宋体"/>
          <w:sz w:val="24"/>
          <w:szCs w:val="24"/>
          <w:highlight w:val="none"/>
          <w:u w:val="single"/>
        </w:rPr>
        <w:t>投标人须知前附表</w:t>
      </w:r>
      <w:r>
        <w:rPr>
          <w:rFonts w:ascii="宋体" w:hAnsi="宋体" w:eastAsia="宋体" w:cs="宋体"/>
          <w:sz w:val="24"/>
          <w:szCs w:val="24"/>
          <w:highlight w:val="none"/>
        </w:rPr>
        <w:t>规定的解密时间前</w:t>
      </w:r>
      <w:r>
        <w:rPr>
          <w:rFonts w:asciiTheme="minorEastAsia" w:hAnsiTheme="minorEastAsia" w:eastAsiaTheme="minorEastAsia"/>
          <w:sz w:val="24"/>
          <w:highlight w:val="none"/>
        </w:rPr>
        <w:t>对</w:t>
      </w:r>
      <w:r>
        <w:rPr>
          <w:rFonts w:hint="eastAsia" w:ascii="宋体" w:hAnsi="宋体" w:eastAsia="宋体" w:cs="宋体"/>
          <w:sz w:val="24"/>
          <w:szCs w:val="24"/>
          <w:highlight w:val="none"/>
        </w:rPr>
        <w:t>其</w:t>
      </w:r>
      <w:r>
        <w:rPr>
          <w:rFonts w:asciiTheme="minorEastAsia" w:hAnsiTheme="minorEastAsia" w:eastAsiaTheme="minorEastAsia"/>
          <w:sz w:val="24"/>
          <w:highlight w:val="none"/>
        </w:rPr>
        <w:t>投标文件</w:t>
      </w:r>
      <w:r>
        <w:rPr>
          <w:rFonts w:hint="eastAsia" w:asciiTheme="minorEastAsia" w:hAnsiTheme="minorEastAsia" w:eastAsiaTheme="minorEastAsia"/>
          <w:sz w:val="24"/>
          <w:highlight w:val="none"/>
        </w:rPr>
        <w:t>进行</w:t>
      </w:r>
      <w:r>
        <w:rPr>
          <w:rFonts w:asciiTheme="minorEastAsia" w:hAnsiTheme="minorEastAsia" w:eastAsiaTheme="minorEastAsia"/>
          <w:sz w:val="24"/>
          <w:highlight w:val="none"/>
        </w:rPr>
        <w:t>解密。</w:t>
      </w:r>
    </w:p>
    <w:p w14:paraId="78BC477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开标时，采购代理机构将通过网上开标系统公布</w:t>
      </w:r>
      <w:r>
        <w:rPr>
          <w:rFonts w:hint="eastAsia" w:asciiTheme="minorEastAsia" w:hAnsiTheme="minorEastAsia" w:eastAsiaTheme="minorEastAsia"/>
          <w:sz w:val="24"/>
          <w:highlight w:val="none"/>
        </w:rPr>
        <w:t>开标结果，公布内容包括投标人名称、投标价格及招标文件规定的内容。</w:t>
      </w:r>
    </w:p>
    <w:p w14:paraId="680C78F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13.3采购人或采购代理机构将对开标过程进行记录，由参加开标的各投标人代表和相关工作人员签字确认，并存档备查。</w:t>
      </w:r>
    </w:p>
    <w:p w14:paraId="2E08B26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投标人未派代表参加开标的，视同投标人认可开标结果。</w:t>
      </w:r>
    </w:p>
    <w:p w14:paraId="3C118CB9">
      <w:pPr>
        <w:spacing w:line="360" w:lineRule="auto"/>
        <w:ind w:firstLine="435"/>
        <w:rPr>
          <w:rFonts w:hint="eastAsia" w:asciiTheme="minorEastAsia" w:hAnsiTheme="minorEastAsia" w:eastAsiaTheme="minorEastAsia"/>
          <w:sz w:val="28"/>
          <w:highlight w:val="none"/>
        </w:rPr>
      </w:pPr>
      <w:r>
        <w:rPr>
          <w:rFonts w:hint="eastAsia" w:asciiTheme="minorEastAsia" w:hAnsiTheme="minorEastAsia" w:eastAsiaTheme="minorEastAsia"/>
          <w:sz w:val="24"/>
          <w:highlight w:val="none"/>
        </w:rPr>
        <w:t>13.4投标人代表对开标过程和开标记录有疑义，以及认为采购人、采购代理机构相关工作人员有需要回避的情形的，应当场提出询问或者回避申请。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资格审查及组建评标委员会</w:t>
      </w:r>
    </w:p>
    <w:p w14:paraId="7B96823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14.1采购人或采购代理机构依据法律法规和招标文件中规定的内</w:t>
      </w:r>
      <w:r>
        <w:rPr>
          <w:rFonts w:asciiTheme="minorEastAsia" w:hAnsiTheme="minorEastAsia" w:eastAsiaTheme="minorEastAsia"/>
          <w:sz w:val="24"/>
          <w:highlight w:val="none"/>
        </w:rPr>
        <w:t>容</w:t>
      </w:r>
      <w:r>
        <w:rPr>
          <w:rFonts w:hint="eastAsia" w:asciiTheme="minorEastAsia" w:hAnsiTheme="minorEastAsia" w:eastAsiaTheme="minorEastAsia"/>
          <w:sz w:val="24"/>
          <w:highlight w:val="none"/>
        </w:rPr>
        <w:t>，对投标人资格进行审查，未</w:t>
      </w:r>
      <w:r>
        <w:rPr>
          <w:rFonts w:asciiTheme="minorEastAsia" w:hAnsiTheme="minorEastAsia" w:eastAsiaTheme="minorEastAsia"/>
          <w:sz w:val="24"/>
          <w:highlight w:val="none"/>
        </w:rPr>
        <w:t>通过资格审查的投标人</w:t>
      </w:r>
      <w:r>
        <w:rPr>
          <w:rFonts w:hint="eastAsia" w:asciiTheme="minorEastAsia" w:hAnsiTheme="minorEastAsia" w:eastAsiaTheme="minorEastAsia"/>
          <w:sz w:val="24"/>
          <w:highlight w:val="none"/>
        </w:rPr>
        <w:t>不</w:t>
      </w:r>
      <w:r>
        <w:rPr>
          <w:rFonts w:asciiTheme="minorEastAsia" w:hAnsiTheme="minorEastAsia" w:eastAsiaTheme="minorEastAsia"/>
          <w:sz w:val="24"/>
          <w:highlight w:val="none"/>
        </w:rPr>
        <w:t>进入评标</w:t>
      </w:r>
      <w:r>
        <w:rPr>
          <w:rFonts w:hint="eastAsia" w:asciiTheme="minorEastAsia" w:hAnsiTheme="minorEastAsia" w:eastAsiaTheme="minorEastAsia"/>
          <w:sz w:val="24"/>
          <w:highlight w:val="none"/>
        </w:rPr>
        <w:t>。</w:t>
      </w:r>
    </w:p>
    <w:p w14:paraId="772527BE">
      <w:pPr>
        <w:spacing w:line="360" w:lineRule="auto"/>
        <w:ind w:firstLine="435"/>
        <w:rPr>
          <w:rFonts w:hint="eastAsia" w:ascii="宋体" w:hAnsi="宋体" w:eastAsia="宋体" w:cs="宋体"/>
          <w:sz w:val="24"/>
          <w:szCs w:val="24"/>
          <w:highlight w:val="none"/>
        </w:rPr>
      </w:pPr>
      <w:bookmarkStart w:id="25" w:name="_Hlk24663244"/>
      <w:r>
        <w:rPr>
          <w:rFonts w:hint="eastAsia" w:ascii="宋体" w:hAnsi="宋体" w:eastAsia="宋体" w:cs="宋体"/>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sz w:val="24"/>
          <w:szCs w:val="24"/>
          <w:highlight w:val="none"/>
        </w:rPr>
        <w:t>投标无效</w:t>
      </w:r>
      <w:r>
        <w:rPr>
          <w:rFonts w:hint="eastAsia" w:ascii="宋体" w:hAnsi="宋体" w:eastAsia="宋体" w:cs="宋体"/>
          <w:sz w:val="24"/>
          <w:szCs w:val="24"/>
          <w:highlight w:val="none"/>
        </w:rPr>
        <w:t>。</w:t>
      </w:r>
    </w:p>
    <w:p w14:paraId="15CDAB1E">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以联合体形式参加投标的，联合体成员存在以上不良信用记录的，联合体投标将被认定为</w:t>
      </w:r>
      <w:r>
        <w:rPr>
          <w:rFonts w:hint="eastAsia" w:ascii="宋体" w:hAnsi="宋体" w:eastAsia="宋体" w:cs="宋体"/>
          <w:b/>
          <w:sz w:val="24"/>
          <w:szCs w:val="24"/>
          <w:highlight w:val="none"/>
        </w:rPr>
        <w:t>投标无效</w:t>
      </w:r>
      <w:r>
        <w:rPr>
          <w:rFonts w:hint="eastAsia" w:ascii="宋体" w:hAnsi="宋体" w:eastAsia="宋体" w:cs="宋体"/>
          <w:sz w:val="24"/>
          <w:szCs w:val="24"/>
          <w:highlight w:val="none"/>
        </w:rPr>
        <w:t>。</w:t>
      </w:r>
    </w:p>
    <w:p w14:paraId="5793C52B">
      <w:pPr>
        <w:spacing w:line="360" w:lineRule="auto"/>
        <w:ind w:firstLine="435"/>
        <w:rPr>
          <w:rFonts w:hint="eastAsia" w:asciiTheme="minorEastAsia" w:hAnsiTheme="minorEastAsia" w:eastAsiaTheme="minorEastAsia"/>
          <w:sz w:val="24"/>
          <w:highlight w:val="none"/>
        </w:rPr>
      </w:pPr>
      <w:r>
        <w:rPr>
          <w:rFonts w:hint="eastAsia" w:ascii="宋体" w:hAnsi="宋体" w:eastAsia="宋体" w:cs="宋体"/>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32CF1F0F">
      <w:pPr>
        <w:spacing w:line="360" w:lineRule="auto"/>
        <w:ind w:firstLine="435"/>
        <w:rPr>
          <w:rFonts w:hint="eastAsia" w:asciiTheme="minorEastAsia" w:hAnsiTheme="minorEastAsia" w:eastAsiaTheme="minorEastAsia"/>
          <w:b/>
          <w:sz w:val="24"/>
          <w:highlight w:val="none"/>
        </w:rPr>
      </w:pPr>
      <w:r>
        <w:rPr>
          <w:rFonts w:hint="eastAsia" w:asciiTheme="minorEastAsia" w:hAnsiTheme="minorEastAsia" w:eastAsiaTheme="minorEastAsia"/>
          <w:sz w:val="24"/>
          <w:highlight w:val="none"/>
        </w:rPr>
        <w:t>14.3按照</w:t>
      </w:r>
      <w:r>
        <w:rPr>
          <w:rFonts w:hint="eastAsia" w:ascii="宋体" w:hAnsi="宋体" w:eastAsia="宋体"/>
          <w:sz w:val="24"/>
          <w:highlight w:val="none"/>
        </w:rPr>
        <w:t>《</w:t>
      </w:r>
      <w:r>
        <w:rPr>
          <w:rFonts w:ascii="宋体" w:hAnsi="宋体" w:eastAsia="宋体"/>
          <w:sz w:val="24"/>
          <w:highlight w:val="none"/>
        </w:rPr>
        <w:t>中华人民共和国政府采购法》</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《中华人民共和国政府采购</w:t>
      </w:r>
      <w:r>
        <w:rPr>
          <w:rFonts w:hint="eastAsia" w:asciiTheme="minorEastAsia" w:hAnsiTheme="minorEastAsia" w:eastAsiaTheme="minorEastAsia"/>
          <w:sz w:val="24"/>
          <w:highlight w:val="none"/>
        </w:rPr>
        <w:t>法</w:t>
      </w:r>
      <w:r>
        <w:rPr>
          <w:rFonts w:asciiTheme="minorEastAsia" w:hAnsiTheme="minorEastAsia" w:eastAsiaTheme="minorEastAsia"/>
          <w:sz w:val="24"/>
          <w:highlight w:val="none"/>
        </w:rPr>
        <w:t>实施条例》</w:t>
      </w:r>
      <w:r>
        <w:rPr>
          <w:rFonts w:hint="eastAsia" w:asciiTheme="minorEastAsia" w:hAnsiTheme="minorEastAsia" w:eastAsiaTheme="minorEastAsia"/>
          <w:sz w:val="24"/>
          <w:highlight w:val="none"/>
        </w:rPr>
        <w:t>及本项目本级</w:t>
      </w:r>
      <w:r>
        <w:rPr>
          <w:rFonts w:asciiTheme="minorEastAsia" w:hAnsiTheme="minorEastAsia" w:eastAsiaTheme="minorEastAsia"/>
          <w:sz w:val="24"/>
          <w:highlight w:val="none"/>
        </w:rPr>
        <w:t>和上级财政部门</w:t>
      </w:r>
      <w:r>
        <w:rPr>
          <w:rFonts w:hint="eastAsia" w:asciiTheme="minorEastAsia" w:hAnsiTheme="minorEastAsia" w:eastAsiaTheme="minorEastAsia"/>
          <w:sz w:val="24"/>
          <w:highlight w:val="none"/>
        </w:rPr>
        <w:t>、政府采购监督管理部门的有关规定依法组建的</w:t>
      </w:r>
      <w:r>
        <w:rPr>
          <w:rFonts w:asciiTheme="minorEastAsia" w:hAnsiTheme="minorEastAsia" w:eastAsiaTheme="minorEastAsia"/>
          <w:sz w:val="24"/>
          <w:highlight w:val="none"/>
        </w:rPr>
        <w:t>评标委员会</w:t>
      </w:r>
      <w:r>
        <w:rPr>
          <w:rFonts w:hint="eastAsia" w:asciiTheme="minorEastAsia" w:hAnsiTheme="minorEastAsia" w:eastAsiaTheme="minorEastAsia"/>
          <w:sz w:val="24"/>
          <w:highlight w:val="none"/>
        </w:rPr>
        <w:t>，负责本项目评标工作。</w:t>
      </w:r>
    </w:p>
    <w:p w14:paraId="1677CDB9">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投标文件符合性审查与澄清</w:t>
      </w:r>
    </w:p>
    <w:p w14:paraId="355060E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15</w:t>
      </w:r>
      <w:r>
        <w:rPr>
          <w:rFonts w:asciiTheme="minorEastAsia" w:hAnsiTheme="minorEastAsia" w:eastAsiaTheme="minorEastAsia"/>
          <w:sz w:val="24"/>
          <w:highlight w:val="none"/>
        </w:rPr>
        <w:t>.1符合性审查是指依据招标文件的规定，从投标文件的有效性和完整性对招标文件的响应程度</w:t>
      </w:r>
      <w:r>
        <w:rPr>
          <w:rFonts w:ascii="宋体" w:hAnsi="宋体" w:eastAsia="宋体"/>
          <w:sz w:val="24"/>
          <w:highlight w:val="none"/>
        </w:rPr>
        <w:t>进行</w:t>
      </w:r>
      <w:r>
        <w:rPr>
          <w:rFonts w:asciiTheme="minorEastAsia" w:hAnsiTheme="minorEastAsia" w:eastAsiaTheme="minorEastAsia"/>
          <w:sz w:val="24"/>
          <w:highlight w:val="none"/>
        </w:rPr>
        <w:t>审查，以确定是否对招标文件的实质性要求做出响应。</w:t>
      </w:r>
    </w:p>
    <w:p w14:paraId="1ECDC98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15</w:t>
      </w:r>
      <w:r>
        <w:rPr>
          <w:rFonts w:asciiTheme="minorEastAsia" w:hAnsiTheme="minorEastAsia" w:eastAsiaTheme="minorEastAsia"/>
          <w:sz w:val="24"/>
          <w:highlight w:val="none"/>
        </w:rPr>
        <w:t>.2如一个分包内只有一种产品，不同投标人所投产品为同一品牌的，按如下方式处理：</w:t>
      </w:r>
    </w:p>
    <w:p w14:paraId="4B6A6FA2">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.2.1如本项目使用最低评标价法，提供相同品牌产品的不同投标人以其中通过资格审查、符合性审查</w:t>
      </w:r>
      <w:r>
        <w:rPr>
          <w:rFonts w:hint="eastAsia" w:ascii="宋体" w:hAnsi="宋体" w:eastAsia="宋体"/>
          <w:sz w:val="24"/>
          <w:highlight w:val="none"/>
        </w:rPr>
        <w:t>、</w:t>
      </w:r>
      <w:r>
        <w:rPr>
          <w:rFonts w:hint="eastAsia" w:ascii="宋体" w:hAnsi="宋体" w:eastAsia="宋体" w:cs="Times New Roman"/>
          <w:sz w:val="24"/>
          <w:highlight w:val="none"/>
        </w:rPr>
        <w:t>异常低价投标审查</w:t>
      </w:r>
      <w:r>
        <w:rPr>
          <w:rFonts w:ascii="宋体" w:hAnsi="宋体" w:eastAsia="宋体"/>
          <w:sz w:val="24"/>
          <w:highlight w:val="none"/>
        </w:rPr>
        <w:t>且报价最低的参加评标；报价相同的，由采购人或者采购人委托评标委员会按照招标文件中评标</w:t>
      </w:r>
      <w:r>
        <w:rPr>
          <w:rFonts w:hint="eastAsia" w:ascii="宋体" w:hAnsi="宋体" w:eastAsia="宋体"/>
          <w:sz w:val="24"/>
          <w:highlight w:val="none"/>
        </w:rPr>
        <w:t>方</w:t>
      </w:r>
      <w:r>
        <w:rPr>
          <w:rFonts w:ascii="宋体" w:hAnsi="宋体" w:eastAsia="宋体"/>
          <w:sz w:val="24"/>
          <w:highlight w:val="none"/>
        </w:rPr>
        <w:t>法</w:t>
      </w:r>
      <w:r>
        <w:rPr>
          <w:rFonts w:hint="eastAsia" w:ascii="宋体" w:hAnsi="宋体" w:eastAsia="宋体"/>
          <w:sz w:val="24"/>
          <w:highlight w:val="none"/>
        </w:rPr>
        <w:t>和标准</w:t>
      </w:r>
      <w:r>
        <w:rPr>
          <w:rFonts w:ascii="宋体" w:hAnsi="宋体" w:eastAsia="宋体"/>
          <w:sz w:val="24"/>
          <w:highlight w:val="none"/>
        </w:rPr>
        <w:t>规定的方式确定一个参加评标的投标人；未规定的采取随机抽取方式确定，其他投标将被认定为</w:t>
      </w:r>
      <w:r>
        <w:rPr>
          <w:rFonts w:ascii="宋体" w:hAnsi="宋体" w:eastAsia="宋体"/>
          <w:b/>
          <w:sz w:val="24"/>
          <w:highlight w:val="none"/>
        </w:rPr>
        <w:t>投标无效</w:t>
      </w:r>
      <w:r>
        <w:rPr>
          <w:rFonts w:ascii="宋体" w:hAnsi="宋体" w:eastAsia="宋体"/>
          <w:sz w:val="24"/>
          <w:highlight w:val="none"/>
        </w:rPr>
        <w:t>。</w:t>
      </w:r>
    </w:p>
    <w:p w14:paraId="184ED168">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.2.2如本项目使用综合评分法，提供相同品牌产品且通过资格审查、符合性审查</w:t>
      </w:r>
      <w:r>
        <w:rPr>
          <w:rFonts w:hint="eastAsia" w:ascii="宋体" w:hAnsi="宋体" w:eastAsia="宋体"/>
          <w:sz w:val="24"/>
          <w:highlight w:val="none"/>
        </w:rPr>
        <w:t>、</w:t>
      </w:r>
      <w:r>
        <w:rPr>
          <w:rFonts w:hint="eastAsia" w:ascii="宋体" w:hAnsi="宋体" w:eastAsia="宋体" w:cs="Times New Roman"/>
          <w:sz w:val="24"/>
          <w:highlight w:val="none"/>
        </w:rPr>
        <w:t>异常低价投标审查</w:t>
      </w:r>
      <w:r>
        <w:rPr>
          <w:rFonts w:ascii="宋体" w:hAnsi="宋体" w:eastAsia="宋体"/>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highlight w:val="none"/>
        </w:rPr>
        <w:t>方</w:t>
      </w:r>
      <w:r>
        <w:rPr>
          <w:rFonts w:ascii="宋体" w:hAnsi="宋体" w:eastAsia="宋体"/>
          <w:sz w:val="24"/>
          <w:highlight w:val="none"/>
        </w:rPr>
        <w:t>法</w:t>
      </w:r>
      <w:r>
        <w:rPr>
          <w:rFonts w:hint="eastAsia" w:ascii="宋体" w:hAnsi="宋体" w:eastAsia="宋体"/>
          <w:sz w:val="24"/>
          <w:highlight w:val="none"/>
        </w:rPr>
        <w:t>和标准</w:t>
      </w:r>
      <w:r>
        <w:rPr>
          <w:rFonts w:ascii="宋体" w:hAnsi="宋体" w:eastAsia="宋体"/>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15</w:t>
      </w:r>
      <w:r>
        <w:rPr>
          <w:rFonts w:asciiTheme="minorEastAsia" w:hAnsiTheme="minorEastAsia" w:eastAsiaTheme="minorEastAsia"/>
          <w:sz w:val="24"/>
          <w:highlight w:val="none"/>
        </w:rPr>
        <w:t>.3如一个分包内包含多种产品的，采购人或采购代理机构将在</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中载明核心产品，多家投标人提供的核心产品品牌相同的，按第</w:t>
      </w:r>
      <w:r>
        <w:rPr>
          <w:rFonts w:hint="eastAsia" w:asciiTheme="minorEastAsia" w:hAnsiTheme="minorEastAsia" w:eastAsiaTheme="minorEastAsia"/>
          <w:sz w:val="24"/>
          <w:highlight w:val="none"/>
        </w:rPr>
        <w:t>15</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款</w:t>
      </w:r>
      <w:r>
        <w:rPr>
          <w:rFonts w:asciiTheme="minorEastAsia" w:hAnsiTheme="minorEastAsia" w:eastAsiaTheme="minorEastAsia"/>
          <w:sz w:val="24"/>
          <w:highlight w:val="none"/>
        </w:rPr>
        <w:t>规定处理。</w:t>
      </w:r>
    </w:p>
    <w:p w14:paraId="3AC51D05">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w:t>
      </w:r>
      <w:r>
        <w:rPr>
          <w:rFonts w:hint="eastAsia" w:ascii="宋体" w:hAnsi="宋体" w:eastAsia="宋体"/>
          <w:sz w:val="24"/>
          <w:highlight w:val="none"/>
        </w:rPr>
        <w:t>投标文件的澄清</w:t>
      </w:r>
    </w:p>
    <w:p w14:paraId="1B14E300">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.4.1为有助于投标</w:t>
      </w:r>
      <w:r>
        <w:rPr>
          <w:rFonts w:hint="eastAsia" w:ascii="宋体" w:hAnsi="宋体" w:eastAsia="宋体"/>
          <w:sz w:val="24"/>
          <w:highlight w:val="none"/>
        </w:rPr>
        <w:t>文件</w:t>
      </w:r>
      <w:r>
        <w:rPr>
          <w:rFonts w:ascii="宋体" w:hAnsi="宋体" w:eastAsia="宋体"/>
          <w:sz w:val="24"/>
          <w:highlight w:val="none"/>
        </w:rPr>
        <w:t>的审查、评价和比较，在评标期间，评标委员会将以书面</w:t>
      </w:r>
      <w:r>
        <w:rPr>
          <w:rFonts w:hint="eastAsia" w:ascii="宋体" w:hAnsi="宋体" w:eastAsia="宋体"/>
          <w:sz w:val="24"/>
          <w:highlight w:val="none"/>
        </w:rPr>
        <w:t>方式（询标）</w:t>
      </w:r>
      <w:r>
        <w:rPr>
          <w:rFonts w:ascii="宋体" w:hAnsi="宋体" w:eastAsia="宋体"/>
          <w:sz w:val="24"/>
          <w:highlight w:val="none"/>
        </w:rPr>
        <w:t>要求投标人对其投标文件中含义不明确、对同类问题表述不一致或者有明显文字和计算错误的内容</w:t>
      </w:r>
      <w:r>
        <w:rPr>
          <w:rFonts w:hint="eastAsia" w:ascii="宋体" w:hAnsi="宋体" w:eastAsia="宋体"/>
          <w:sz w:val="24"/>
          <w:highlight w:val="none"/>
        </w:rPr>
        <w:t>等</w:t>
      </w:r>
      <w:r>
        <w:rPr>
          <w:rFonts w:ascii="宋体" w:hAnsi="宋体" w:eastAsia="宋体"/>
          <w:sz w:val="24"/>
          <w:highlight w:val="none"/>
        </w:rPr>
        <w:t>作必要的澄清、说明或补正。投标人的澄清、说明或补正应在评标委员会规定的时间内以书面</w:t>
      </w:r>
      <w:r>
        <w:rPr>
          <w:rFonts w:hint="eastAsia" w:ascii="宋体" w:hAnsi="宋体" w:eastAsia="宋体"/>
          <w:sz w:val="24"/>
          <w:highlight w:val="none"/>
        </w:rPr>
        <w:t>方式</w:t>
      </w:r>
      <w:r>
        <w:rPr>
          <w:rFonts w:ascii="宋体" w:hAnsi="宋体" w:eastAsia="宋体"/>
          <w:sz w:val="24"/>
          <w:highlight w:val="none"/>
        </w:rPr>
        <w:t>进行，并不得超出投标文件范围或者改变投标文件的实质性内容。</w:t>
      </w:r>
    </w:p>
    <w:p w14:paraId="13B7E947">
      <w:pPr>
        <w:spacing w:line="360" w:lineRule="auto"/>
        <w:ind w:firstLine="435"/>
        <w:rPr>
          <w:rFonts w:hint="eastAsia" w:ascii="宋体" w:hAnsi="宋体" w:eastAsia="宋体"/>
          <w:sz w:val="24"/>
          <w:highlight w:val="none"/>
        </w:rPr>
      </w:pPr>
      <w:r>
        <w:rPr>
          <w:rFonts w:hint="eastAsia" w:ascii="宋体" w:hAnsi="宋体" w:eastAsia="宋体"/>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15.</w:t>
      </w:r>
      <w:r>
        <w:rPr>
          <w:rFonts w:asciiTheme="minorEastAsia" w:hAnsiTheme="minorEastAsia" w:eastAsiaTheme="minorEastAsia"/>
          <w:sz w:val="24"/>
          <w:highlight w:val="none"/>
        </w:rPr>
        <w:t>4.2</w:t>
      </w:r>
      <w:r>
        <w:rPr>
          <w:rFonts w:hint="eastAsia" w:asciiTheme="minorEastAsia" w:hAnsiTheme="minorEastAsia" w:eastAsiaTheme="minorEastAsia"/>
          <w:sz w:val="24"/>
          <w:highlight w:val="none"/>
        </w:rPr>
        <w:t>投标人的澄清、说明或补正将作为投标文件的一部分。</w:t>
      </w:r>
    </w:p>
    <w:p w14:paraId="20B82998">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hint="eastAsia" w:ascii="宋体" w:hAnsi="宋体" w:eastAsia="宋体"/>
          <w:sz w:val="24"/>
          <w:highlight w:val="none"/>
        </w:rPr>
      </w:pPr>
      <w:r>
        <w:rPr>
          <w:rFonts w:hint="eastAsia" w:ascii="宋体" w:hAnsi="宋体" w:eastAsia="宋体"/>
          <w:sz w:val="24"/>
          <w:highlight w:val="none"/>
        </w:rPr>
        <w:t>15.</w:t>
      </w:r>
      <w:r>
        <w:rPr>
          <w:rFonts w:ascii="宋体" w:hAnsi="宋体" w:eastAsia="宋体"/>
          <w:sz w:val="24"/>
          <w:highlight w:val="none"/>
        </w:rPr>
        <w:t>5投标文件报价出现前后不一致的，按照下列规定修正：</w:t>
      </w:r>
    </w:p>
    <w:p w14:paraId="5A45EFDF">
      <w:pPr>
        <w:spacing w:line="360" w:lineRule="auto"/>
        <w:ind w:firstLine="435"/>
        <w:rPr>
          <w:rFonts w:hint="eastAsia"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1</w:t>
      </w:r>
      <w:r>
        <w:rPr>
          <w:rFonts w:ascii="宋体" w:hAnsi="宋体" w:eastAsia="宋体"/>
          <w:sz w:val="24"/>
          <w:highlight w:val="none"/>
        </w:rPr>
        <w:t>）投标文件中开标一览表内容与投标文件中相应内容不一致的，以开标一览表为准；</w:t>
      </w:r>
    </w:p>
    <w:p w14:paraId="3DD6BC84">
      <w:pPr>
        <w:spacing w:line="360" w:lineRule="auto"/>
        <w:ind w:firstLine="435"/>
        <w:rPr>
          <w:rFonts w:hint="eastAsia"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）大写金额和小写金额不一致的，以大写金额为准；</w:t>
      </w:r>
    </w:p>
    <w:p w14:paraId="0C911C7E">
      <w:pPr>
        <w:spacing w:line="360" w:lineRule="auto"/>
        <w:ind w:firstLine="435"/>
        <w:rPr>
          <w:rFonts w:hint="eastAsia"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3</w:t>
      </w:r>
      <w:r>
        <w:rPr>
          <w:rFonts w:ascii="宋体" w:hAnsi="宋体" w:eastAsia="宋体"/>
          <w:sz w:val="24"/>
          <w:highlight w:val="none"/>
        </w:rPr>
        <w:t>）单价金额小数点或者百分比有明显错位的，以开标一览表的总价为准，并修改单价；</w:t>
      </w:r>
    </w:p>
    <w:p w14:paraId="29D58767">
      <w:pPr>
        <w:spacing w:line="360" w:lineRule="auto"/>
        <w:ind w:firstLine="435"/>
        <w:rPr>
          <w:rFonts w:hint="eastAsia" w:ascii="宋体" w:hAnsi="宋体" w:eastAsia="宋体"/>
          <w:sz w:val="24"/>
          <w:highlight w:val="none"/>
        </w:rPr>
      </w:pPr>
      <w:r>
        <w:rPr>
          <w:rFonts w:ascii="宋体" w:hAnsi="宋体" w:eastAsia="宋体"/>
          <w:sz w:val="24"/>
          <w:highlight w:val="none"/>
        </w:rPr>
        <w:t>（</w:t>
      </w:r>
      <w:r>
        <w:rPr>
          <w:rFonts w:hint="eastAsia" w:ascii="宋体" w:hAnsi="宋体" w:eastAsia="宋体"/>
          <w:sz w:val="24"/>
          <w:highlight w:val="none"/>
        </w:rPr>
        <w:t>4</w:t>
      </w:r>
      <w:r>
        <w:rPr>
          <w:rFonts w:ascii="宋体" w:hAnsi="宋体" w:eastAsia="宋体"/>
          <w:sz w:val="24"/>
          <w:highlight w:val="none"/>
        </w:rPr>
        <w:t>）总价金额与按单价汇总金额不一致的，以单价金额计算结果为准。</w:t>
      </w:r>
    </w:p>
    <w:p w14:paraId="1FB71949">
      <w:pPr>
        <w:spacing w:line="360" w:lineRule="auto"/>
        <w:ind w:firstLine="435"/>
        <w:rPr>
          <w:rFonts w:hint="eastAsia" w:ascii="宋体" w:hAnsi="宋体" w:eastAsia="宋体"/>
          <w:sz w:val="24"/>
          <w:highlight w:val="none"/>
        </w:rPr>
      </w:pPr>
      <w:r>
        <w:rPr>
          <w:rFonts w:ascii="宋体" w:hAnsi="宋体" w:eastAsia="宋体"/>
          <w:sz w:val="24"/>
          <w:highlight w:val="none"/>
        </w:rPr>
        <w:t>同时出现两种以上不一致的，按照前款规定的顺序修正。修正后的报价按照第</w:t>
      </w:r>
      <w:r>
        <w:rPr>
          <w:rFonts w:hint="eastAsia" w:ascii="宋体" w:hAnsi="宋体" w:eastAsia="宋体"/>
          <w:sz w:val="24"/>
          <w:highlight w:val="none"/>
        </w:rPr>
        <w:t>15.</w:t>
      </w:r>
      <w:r>
        <w:rPr>
          <w:rFonts w:ascii="宋体" w:hAnsi="宋体" w:eastAsia="宋体"/>
          <w:sz w:val="24"/>
          <w:highlight w:val="none"/>
        </w:rPr>
        <w:t>4条的规定经投标人确认后产生约束力，投标人不确认的，其投标将被认定为</w:t>
      </w:r>
      <w:r>
        <w:rPr>
          <w:rFonts w:ascii="宋体" w:hAnsi="宋体" w:eastAsia="宋体"/>
          <w:b/>
          <w:sz w:val="24"/>
          <w:highlight w:val="none"/>
        </w:rPr>
        <w:t>投标无效</w:t>
      </w:r>
      <w:r>
        <w:rPr>
          <w:rFonts w:ascii="宋体" w:hAnsi="宋体" w:eastAsia="宋体"/>
          <w:sz w:val="24"/>
          <w:highlight w:val="none"/>
        </w:rPr>
        <w:t>。</w:t>
      </w:r>
    </w:p>
    <w:p w14:paraId="45727384">
      <w:pPr>
        <w:spacing w:line="360" w:lineRule="auto"/>
        <w:ind w:firstLine="435"/>
        <w:rPr>
          <w:rFonts w:hint="eastAsia" w:asciiTheme="minorEastAsia" w:hAnsiTheme="minorEastAsia" w:eastAsiaTheme="minorEastAsia"/>
          <w:b/>
          <w:sz w:val="24"/>
          <w:highlight w:val="none"/>
        </w:rPr>
      </w:pPr>
      <w:r>
        <w:rPr>
          <w:rFonts w:hint="eastAsia" w:asciiTheme="minorEastAsia" w:hAnsiTheme="minorEastAsia" w:eastAsiaTheme="minorEastAsia"/>
          <w:sz w:val="24"/>
          <w:highlight w:val="none"/>
        </w:rPr>
        <w:t>对不同文字文本投标文件的解释发生异议的，以中文文本为准。</w:t>
      </w:r>
    </w:p>
    <w:p w14:paraId="7CAFD645">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16.投标无效</w:t>
      </w:r>
    </w:p>
    <w:p w14:paraId="0B4310A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1根据本</w:t>
      </w:r>
      <w:r>
        <w:rPr>
          <w:rFonts w:hint="eastAsia" w:asciiTheme="minorEastAsia" w:hAnsiTheme="minorEastAsia" w:eastAsiaTheme="minorEastAsia"/>
          <w:sz w:val="24"/>
          <w:highlight w:val="none"/>
        </w:rPr>
        <w:t>招标文件</w:t>
      </w:r>
      <w:r>
        <w:rPr>
          <w:rFonts w:asciiTheme="minorEastAsia" w:hAnsiTheme="minorEastAsia" w:eastAsiaTheme="minorEastAsia"/>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评标委员会决定投标的响应性只根据招标文件要求和投标文件内容。</w:t>
      </w:r>
    </w:p>
    <w:p w14:paraId="15BA0AD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2如发现下列情况之一的，其投标将被认定为</w:t>
      </w:r>
      <w:r>
        <w:rPr>
          <w:rFonts w:asciiTheme="minorEastAsia" w:hAnsiTheme="minorEastAsia" w:eastAsiaTheme="minorEastAsia"/>
          <w:b/>
          <w:sz w:val="24"/>
          <w:highlight w:val="none"/>
        </w:rPr>
        <w:t>投标无效</w:t>
      </w:r>
      <w:r>
        <w:rPr>
          <w:rFonts w:asciiTheme="minorEastAsia" w:hAnsiTheme="minorEastAsia" w:eastAsiaTheme="minorEastAsia"/>
          <w:sz w:val="24"/>
          <w:highlight w:val="none"/>
        </w:rPr>
        <w:t>：</w:t>
      </w:r>
    </w:p>
    <w:p w14:paraId="6632826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1）投标文件未按照招标文件规定要求签署、盖章的；</w:t>
      </w:r>
    </w:p>
    <w:p w14:paraId="27075D2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2）不具备招标文件中规定的资格要求的；</w:t>
      </w:r>
    </w:p>
    <w:p w14:paraId="59C0C8A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3）报价超过招标文件中规定的预算金额或者最高限价的；</w:t>
      </w:r>
    </w:p>
    <w:p w14:paraId="4BEDABAD">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4）投标文件含有采购人不能接受的附加条件的；</w:t>
      </w:r>
    </w:p>
    <w:p w14:paraId="755B073D">
      <w:pPr>
        <w:spacing w:line="360" w:lineRule="auto"/>
        <w:ind w:firstLine="435"/>
        <w:rPr>
          <w:rFonts w:hint="eastAsia" w:ascii="宋体" w:hAnsi="宋体" w:eastAsia="宋体"/>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5）法律、法规和招标文件规定的其他无效情形。</w:t>
      </w:r>
    </w:p>
    <w:p w14:paraId="7B4BAE0D">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17.比较与评价</w:t>
      </w:r>
    </w:p>
    <w:p w14:paraId="2684790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17.1经符合性审查合格</w:t>
      </w:r>
      <w:r>
        <w:rPr>
          <w:rFonts w:hint="eastAsia" w:ascii="宋体" w:hAnsi="宋体" w:eastAsia="宋体" w:cs="Times New Roman"/>
          <w:sz w:val="24"/>
          <w:highlight w:val="none"/>
        </w:rPr>
        <w:t>并通过异常低价投标审查</w:t>
      </w:r>
      <w:r>
        <w:rPr>
          <w:rFonts w:hint="eastAsia" w:asciiTheme="minorEastAsia" w:hAnsiTheme="minorEastAsia" w:eastAsiaTheme="minorEastAsia"/>
          <w:sz w:val="24"/>
          <w:highlight w:val="none"/>
        </w:rPr>
        <w:t>的投标文件，评标委员会将根据招标文件确定的评标方法和标准，对其投标文件作进一步的比较与评价。</w:t>
      </w:r>
    </w:p>
    <w:p w14:paraId="656220C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17.2评标严格按照</w:t>
      </w:r>
      <w:r>
        <w:rPr>
          <w:rFonts w:hint="eastAsia" w:ascii="宋体" w:hAnsi="宋体" w:eastAsia="宋体"/>
          <w:sz w:val="24"/>
          <w:highlight w:val="none"/>
        </w:rPr>
        <w:t>招标文件</w:t>
      </w:r>
      <w:r>
        <w:rPr>
          <w:rFonts w:hint="eastAsia" w:asciiTheme="minorEastAsia" w:hAnsiTheme="minorEastAsia" w:eastAsiaTheme="minorEastAsia"/>
          <w:sz w:val="24"/>
          <w:highlight w:val="none"/>
        </w:rPr>
        <w:t>的要求和条件进行。根据实际情况，在</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中规定采用下列一种评标方法，详细评标方法和标准见招标文件第四章：</w:t>
      </w:r>
    </w:p>
    <w:p w14:paraId="7DA9149C">
      <w:pPr>
        <w:spacing w:line="360" w:lineRule="auto"/>
        <w:ind w:firstLine="435"/>
        <w:rPr>
          <w:rFonts w:hint="eastAsia" w:ascii="宋体" w:hAnsi="宋体" w:eastAsia="宋体"/>
          <w:sz w:val="24"/>
          <w:highlight w:val="none"/>
        </w:rPr>
      </w:pPr>
      <w:r>
        <w:rPr>
          <w:rFonts w:hint="eastAsia" w:asciiTheme="minorEastAsia" w:hAnsiTheme="minorEastAsia" w:eastAsiaTheme="minorEastAsia"/>
          <w:sz w:val="24"/>
          <w:highlight w:val="none"/>
        </w:rPr>
        <w:t>（</w:t>
      </w:r>
      <w:r>
        <w:rPr>
          <w:rFonts w:hint="eastAsia" w:ascii="宋体" w:hAnsi="宋体" w:eastAsia="宋体"/>
          <w:sz w:val="24"/>
          <w:highlight w:val="none"/>
        </w:rPr>
        <w:t>1）最低评标价法，是指</w:t>
      </w:r>
      <w:r>
        <w:rPr>
          <w:rFonts w:ascii="宋体" w:hAnsi="宋体" w:eastAsia="宋体"/>
          <w:sz w:val="24"/>
          <w:highlight w:val="none"/>
        </w:rPr>
        <w:t>投标文件满足招标文件全部实质性要求</w:t>
      </w:r>
      <w:r>
        <w:rPr>
          <w:rFonts w:hint="eastAsia" w:ascii="宋体" w:hAnsi="宋体" w:eastAsia="宋体"/>
          <w:sz w:val="24"/>
          <w:highlight w:val="none"/>
        </w:rPr>
        <w:t>，</w:t>
      </w:r>
      <w:r>
        <w:rPr>
          <w:rFonts w:ascii="宋体" w:hAnsi="宋体" w:eastAsia="宋体"/>
          <w:sz w:val="24"/>
          <w:highlight w:val="none"/>
        </w:rPr>
        <w:t>且投标报价最低的</w:t>
      </w:r>
      <w:r>
        <w:rPr>
          <w:rFonts w:hint="eastAsia" w:ascii="宋体" w:hAnsi="宋体" w:eastAsia="宋体"/>
          <w:sz w:val="24"/>
          <w:highlight w:val="none"/>
        </w:rPr>
        <w:t>投标人</w:t>
      </w:r>
      <w:r>
        <w:rPr>
          <w:rFonts w:ascii="宋体" w:hAnsi="宋体" w:eastAsia="宋体"/>
          <w:sz w:val="24"/>
          <w:highlight w:val="none"/>
        </w:rPr>
        <w:t>为中标</w:t>
      </w:r>
      <w:r>
        <w:rPr>
          <w:rFonts w:hint="eastAsia" w:ascii="宋体" w:hAnsi="宋体" w:eastAsia="宋体"/>
          <w:sz w:val="24"/>
          <w:highlight w:val="none"/>
        </w:rPr>
        <w:t>候选</w:t>
      </w:r>
      <w:r>
        <w:rPr>
          <w:rFonts w:ascii="宋体" w:hAnsi="宋体" w:eastAsia="宋体"/>
          <w:sz w:val="24"/>
          <w:highlight w:val="none"/>
        </w:rPr>
        <w:t>人的评标方法</w:t>
      </w:r>
      <w:r>
        <w:rPr>
          <w:rFonts w:hint="eastAsia" w:ascii="宋体" w:hAnsi="宋体" w:eastAsia="宋体"/>
          <w:sz w:val="24"/>
          <w:highlight w:val="none"/>
        </w:rPr>
        <w:t>。</w:t>
      </w:r>
    </w:p>
    <w:p w14:paraId="217638CB">
      <w:pPr>
        <w:spacing w:line="360" w:lineRule="auto"/>
        <w:ind w:firstLine="435"/>
        <w:rPr>
          <w:rFonts w:hint="eastAsia" w:ascii="宋体" w:hAnsi="宋体" w:eastAsia="宋体"/>
          <w:sz w:val="24"/>
          <w:highlight w:val="none"/>
        </w:rPr>
      </w:pPr>
      <w:r>
        <w:rPr>
          <w:rFonts w:hint="eastAsia" w:ascii="宋体" w:hAnsi="宋体" w:eastAsia="宋体"/>
          <w:sz w:val="24"/>
          <w:highlight w:val="none"/>
        </w:rPr>
        <w:t>（2）综合评分法，是</w:t>
      </w:r>
      <w:r>
        <w:rPr>
          <w:rFonts w:ascii="宋体" w:hAnsi="宋体" w:eastAsia="宋体"/>
          <w:sz w:val="24"/>
          <w:highlight w:val="none"/>
        </w:rPr>
        <w:t>指投标文件满足招标</w:t>
      </w:r>
      <w:r>
        <w:rPr>
          <w:rFonts w:hint="eastAsia" w:ascii="宋体" w:hAnsi="宋体" w:eastAsia="宋体"/>
          <w:sz w:val="24"/>
          <w:highlight w:val="none"/>
        </w:rPr>
        <w:t>文件</w:t>
      </w:r>
      <w:r>
        <w:rPr>
          <w:rFonts w:ascii="宋体" w:hAnsi="宋体" w:eastAsia="宋体"/>
          <w:sz w:val="24"/>
          <w:highlight w:val="none"/>
        </w:rPr>
        <w:t>全部实质性要求</w:t>
      </w:r>
      <w:r>
        <w:rPr>
          <w:rFonts w:hint="eastAsia" w:ascii="宋体" w:hAnsi="宋体" w:eastAsia="宋体"/>
          <w:sz w:val="24"/>
          <w:highlight w:val="none"/>
        </w:rPr>
        <w:t>，</w:t>
      </w:r>
      <w:r>
        <w:rPr>
          <w:rFonts w:ascii="宋体" w:hAnsi="宋体" w:eastAsia="宋体"/>
          <w:sz w:val="24"/>
          <w:highlight w:val="none"/>
        </w:rPr>
        <w:t>且按照评审因素的</w:t>
      </w:r>
      <w:r>
        <w:rPr>
          <w:rFonts w:hint="eastAsia" w:ascii="宋体" w:hAnsi="宋体" w:eastAsia="宋体"/>
          <w:sz w:val="24"/>
          <w:highlight w:val="none"/>
        </w:rPr>
        <w:t>量化</w:t>
      </w:r>
      <w:r>
        <w:rPr>
          <w:rFonts w:ascii="宋体" w:hAnsi="宋体" w:eastAsia="宋体"/>
          <w:sz w:val="24"/>
          <w:highlight w:val="none"/>
        </w:rPr>
        <w:t>指标评审得分最高的</w:t>
      </w:r>
      <w:r>
        <w:rPr>
          <w:rFonts w:hint="eastAsia" w:ascii="宋体" w:hAnsi="宋体" w:eastAsia="宋体"/>
          <w:sz w:val="24"/>
          <w:highlight w:val="none"/>
        </w:rPr>
        <w:t>投标人</w:t>
      </w:r>
      <w:r>
        <w:rPr>
          <w:rFonts w:ascii="宋体" w:hAnsi="宋体" w:eastAsia="宋体"/>
          <w:sz w:val="24"/>
          <w:highlight w:val="none"/>
        </w:rPr>
        <w:t>为中标候选人的评标方法。</w:t>
      </w:r>
    </w:p>
    <w:p w14:paraId="7F8A2195">
      <w:pPr>
        <w:spacing w:line="360" w:lineRule="auto"/>
        <w:ind w:firstLine="435"/>
        <w:rPr>
          <w:rFonts w:hint="eastAsia" w:ascii="宋体" w:hAnsi="宋体" w:eastAsia="宋体"/>
          <w:sz w:val="24"/>
          <w:highlight w:val="none"/>
        </w:rPr>
      </w:pPr>
      <w:r>
        <w:rPr>
          <w:rFonts w:hint="eastAsia" w:ascii="宋体" w:hAnsi="宋体" w:eastAsia="宋体"/>
          <w:sz w:val="24"/>
          <w:highlight w:val="none"/>
        </w:rPr>
        <w:t>17.</w:t>
      </w:r>
      <w:r>
        <w:rPr>
          <w:rFonts w:ascii="宋体" w:hAnsi="宋体" w:eastAsia="宋体"/>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sz w:val="24"/>
          <w:highlight w:val="none"/>
          <w:u w:val="single"/>
        </w:rPr>
        <w:t>投标人须知前附表</w:t>
      </w:r>
      <w:r>
        <w:rPr>
          <w:rFonts w:ascii="宋体" w:hAnsi="宋体" w:eastAsia="宋体"/>
          <w:sz w:val="24"/>
          <w:highlight w:val="none"/>
        </w:rPr>
        <w:t>中规定的标准扣除后的价格参与评审。对于同时属于小微企</w:t>
      </w:r>
      <w:r>
        <w:rPr>
          <w:rFonts w:hint="eastAsia" w:ascii="宋体" w:hAnsi="宋体" w:eastAsia="宋体"/>
          <w:sz w:val="24"/>
          <w:highlight w:val="none"/>
        </w:rPr>
        <w:t>业、监狱企业或残疾人福利性单位的，不重复进行投标报价扣除。</w:t>
      </w:r>
    </w:p>
    <w:p w14:paraId="405BDA3E">
      <w:pPr>
        <w:spacing w:line="360" w:lineRule="auto"/>
        <w:ind w:firstLine="435"/>
        <w:rPr>
          <w:rFonts w:hint="eastAsia" w:ascii="宋体" w:hAnsi="宋体" w:eastAsia="宋体"/>
          <w:sz w:val="24"/>
          <w:highlight w:val="none"/>
        </w:rPr>
      </w:pPr>
      <w:r>
        <w:rPr>
          <w:rFonts w:hint="eastAsia" w:ascii="宋体" w:hAnsi="宋体" w:eastAsia="宋体"/>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highlight w:val="none"/>
        </w:rPr>
        <w:t>30%以上的，可给予联合体或者大中型企业的投标报价按照</w:t>
      </w:r>
      <w:r>
        <w:rPr>
          <w:rFonts w:ascii="宋体" w:hAnsi="宋体" w:eastAsia="宋体"/>
          <w:sz w:val="24"/>
          <w:highlight w:val="none"/>
          <w:u w:val="single"/>
        </w:rPr>
        <w:t>投标人须知前附表</w:t>
      </w:r>
      <w:r>
        <w:rPr>
          <w:rFonts w:ascii="宋体" w:hAnsi="宋体" w:eastAsia="宋体"/>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sz w:val="24"/>
          <w:highlight w:val="none"/>
        </w:rPr>
      </w:pPr>
      <w:r>
        <w:rPr>
          <w:rFonts w:hint="eastAsia" w:ascii="宋体" w:hAnsi="宋体" w:eastAsia="宋体"/>
          <w:sz w:val="24"/>
          <w:highlight w:val="none"/>
        </w:rPr>
        <w:t>以联合体形式参加政府采购活动，联合体各方均为中小企业的，联合体视同中小企业。其中，联合体各方均为小微企业的，联合体视同小微企业。</w:t>
      </w:r>
    </w:p>
    <w:p w14:paraId="220EF5B1">
      <w:pPr>
        <w:pStyle w:val="32"/>
        <w:widowControl w:val="0"/>
        <w:spacing w:before="0" w:beforeAutospacing="0" w:after="0" w:afterAutospacing="0" w:line="360" w:lineRule="auto"/>
        <w:ind w:firstLine="480" w:firstLineChars="20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2"/>
        <w:widowControl w:val="0"/>
        <w:spacing w:before="0" w:beforeAutospacing="0" w:after="0" w:afterAutospacing="0" w:line="360" w:lineRule="auto"/>
        <w:ind w:firstLine="480" w:firstLineChars="20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2"/>
        <w:widowControl w:val="0"/>
        <w:spacing w:before="0" w:beforeAutospacing="0" w:after="0" w:afterAutospacing="0" w:line="360" w:lineRule="auto"/>
        <w:ind w:firstLine="240" w:firstLineChars="10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2"/>
        <w:widowControl w:val="0"/>
        <w:spacing w:before="0" w:beforeAutospacing="0" w:after="0" w:afterAutospacing="0" w:line="360" w:lineRule="auto"/>
        <w:ind w:firstLine="240" w:firstLineChars="100"/>
        <w:jc w:val="both"/>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废标、重新招标与变更采购方式</w:t>
      </w:r>
    </w:p>
    <w:p w14:paraId="06E0650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18.1出现下列情形之一，将导致项目废标：</w:t>
      </w:r>
    </w:p>
    <w:p w14:paraId="2A56F4AA">
      <w:pPr>
        <w:spacing w:line="360" w:lineRule="auto"/>
        <w:ind w:firstLine="435"/>
        <w:rPr>
          <w:rFonts w:hint="eastAsia" w:ascii="宋体" w:hAnsi="宋体" w:eastAsia="宋体"/>
          <w:sz w:val="24"/>
          <w:highlight w:val="none"/>
        </w:rPr>
      </w:pPr>
      <w:r>
        <w:rPr>
          <w:rFonts w:hint="eastAsia" w:asciiTheme="minorEastAsia" w:hAnsiTheme="minorEastAsia" w:eastAsiaTheme="minorEastAsia"/>
          <w:sz w:val="24"/>
          <w:highlight w:val="none"/>
        </w:rPr>
        <w:t>（</w:t>
      </w:r>
      <w:r>
        <w:rPr>
          <w:rFonts w:hint="eastAsia" w:ascii="宋体" w:hAnsi="宋体" w:eastAsia="宋体"/>
          <w:sz w:val="24"/>
          <w:highlight w:val="none"/>
        </w:rPr>
        <w:t>1）符合专业条件的供应商或者对招标文件做实质性响应的供应商不足规定数量的；</w:t>
      </w:r>
    </w:p>
    <w:p w14:paraId="1EDF639B">
      <w:pPr>
        <w:spacing w:line="360" w:lineRule="auto"/>
        <w:ind w:firstLine="435"/>
        <w:rPr>
          <w:rFonts w:hint="eastAsia" w:ascii="宋体" w:hAnsi="宋体" w:eastAsia="宋体"/>
          <w:sz w:val="24"/>
          <w:highlight w:val="none"/>
        </w:rPr>
      </w:pPr>
      <w:r>
        <w:rPr>
          <w:rFonts w:hint="eastAsia" w:ascii="宋体" w:hAnsi="宋体" w:eastAsia="宋体"/>
          <w:sz w:val="24"/>
          <w:highlight w:val="none"/>
        </w:rPr>
        <w:t>（2）出现影响采购公正的违法、违规行为的；</w:t>
      </w:r>
    </w:p>
    <w:p w14:paraId="500D3098">
      <w:pPr>
        <w:spacing w:line="360" w:lineRule="auto"/>
        <w:ind w:firstLine="435"/>
        <w:rPr>
          <w:rFonts w:hint="eastAsia" w:ascii="宋体" w:hAnsi="宋体" w:eastAsia="宋体"/>
          <w:sz w:val="24"/>
          <w:highlight w:val="none"/>
        </w:rPr>
      </w:pPr>
      <w:r>
        <w:rPr>
          <w:rFonts w:hint="eastAsia" w:ascii="宋体" w:hAnsi="宋体" w:eastAsia="宋体"/>
          <w:sz w:val="24"/>
          <w:highlight w:val="none"/>
        </w:rPr>
        <w:t>（3）投标人的报价均超过了采购预算，采购人不能支付的；</w:t>
      </w:r>
    </w:p>
    <w:p w14:paraId="58EB54CA">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（4）因重大变故，采购任务取消的。</w:t>
      </w:r>
    </w:p>
    <w:p w14:paraId="1962E13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18.2公开招标数额标准以上的采购项目，投标截止后投标人不足</w:t>
      </w:r>
      <w:r>
        <w:rPr>
          <w:rFonts w:asciiTheme="minorEastAsia" w:hAnsiTheme="minorEastAsia" w:eastAsiaTheme="minorEastAsia"/>
          <w:sz w:val="24"/>
          <w:highlight w:val="none"/>
        </w:rPr>
        <w:t>3家或者通过</w:t>
      </w:r>
      <w:r>
        <w:rPr>
          <w:rFonts w:hint="eastAsia" w:asciiTheme="minorEastAsia" w:hAnsiTheme="minorEastAsia" w:eastAsiaTheme="minorEastAsia"/>
          <w:sz w:val="24"/>
          <w:highlight w:val="none"/>
        </w:rPr>
        <w:t>资格审查或符合性审查</w:t>
      </w:r>
      <w:r>
        <w:rPr>
          <w:rFonts w:hint="eastAsia" w:ascii="宋体" w:hAnsi="宋体" w:eastAsia="宋体" w:cs="Times New Roman"/>
          <w:sz w:val="24"/>
          <w:highlight w:val="none"/>
        </w:rPr>
        <w:t>或异常低价投标审查</w:t>
      </w:r>
      <w:r>
        <w:rPr>
          <w:rFonts w:hint="eastAsia" w:asciiTheme="minorEastAsia" w:hAnsiTheme="minorEastAsia" w:eastAsiaTheme="minorEastAsia"/>
          <w:sz w:val="24"/>
          <w:highlight w:val="none"/>
        </w:rPr>
        <w:t>的投标人不足</w:t>
      </w:r>
      <w:r>
        <w:rPr>
          <w:rFonts w:asciiTheme="minorEastAsia" w:hAnsiTheme="minorEastAsia" w:eastAsiaTheme="minorEastAsia"/>
          <w:sz w:val="24"/>
          <w:highlight w:val="none"/>
        </w:rPr>
        <w:t>3家的，除采购任务取消情形外，按照以下方式处理：</w:t>
      </w:r>
    </w:p>
    <w:p w14:paraId="57C254C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（1）招标文件存在不合理条款或者招标程序不符合规定的，采购人、采购代理机构改正后依法重新招标；</w:t>
      </w:r>
    </w:p>
    <w:p w14:paraId="3A7D17E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（2）招标文件没有不合理条款、招标程序符合规定，需要采用其他采购方式采购的，采购人应当依法报</w:t>
      </w:r>
      <w:r>
        <w:rPr>
          <w:rFonts w:hint="eastAsia" w:ascii="宋体" w:hAnsi="宋体" w:eastAsia="宋体" w:cs="宋体"/>
          <w:color w:val="000000"/>
          <w:sz w:val="24"/>
          <w:szCs w:val="24"/>
          <w:highlight w:val="none"/>
        </w:rPr>
        <w:t>政府采购监督管理部门</w:t>
      </w:r>
      <w:r>
        <w:rPr>
          <w:rFonts w:hint="eastAsia" w:asciiTheme="minorEastAsia" w:hAnsiTheme="minorEastAsia" w:eastAsiaTheme="minorEastAsia"/>
          <w:sz w:val="24"/>
          <w:highlight w:val="none"/>
        </w:rPr>
        <w:t>批准。</w:t>
      </w:r>
    </w:p>
    <w:p w14:paraId="2248A9B5">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19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保密要求</w:t>
      </w:r>
    </w:p>
    <w:p w14:paraId="487A3EE0">
      <w:pPr>
        <w:spacing w:line="360" w:lineRule="auto"/>
        <w:ind w:firstLine="435"/>
        <w:rPr>
          <w:rFonts w:hint="eastAsia" w:ascii="宋体" w:hAnsi="宋体" w:eastAsia="宋体"/>
          <w:sz w:val="24"/>
          <w:highlight w:val="none"/>
        </w:rPr>
      </w:pPr>
      <w:r>
        <w:rPr>
          <w:rFonts w:hint="eastAsia" w:ascii="宋体" w:hAnsi="宋体" w:eastAsia="宋体"/>
          <w:sz w:val="24"/>
          <w:highlight w:val="none"/>
        </w:rPr>
        <w:t>19.1评标将在严格保密的情况下进行。</w:t>
      </w:r>
    </w:p>
    <w:p w14:paraId="2B9163E1">
      <w:pPr>
        <w:spacing w:line="360" w:lineRule="auto"/>
        <w:ind w:firstLine="435"/>
        <w:rPr>
          <w:rFonts w:hint="eastAsia" w:ascii="宋体" w:hAnsi="宋体" w:eastAsia="宋体"/>
          <w:sz w:val="24"/>
          <w:highlight w:val="none"/>
        </w:rPr>
      </w:pPr>
      <w:r>
        <w:rPr>
          <w:rFonts w:hint="eastAsia" w:ascii="宋体" w:hAnsi="宋体" w:eastAsia="宋体"/>
          <w:sz w:val="24"/>
          <w:highlight w:val="none"/>
        </w:rPr>
        <w:t>19.2有关人员</w:t>
      </w:r>
      <w:r>
        <w:rPr>
          <w:rFonts w:ascii="宋体" w:hAnsi="宋体" w:eastAsia="宋体"/>
          <w:sz w:val="24"/>
          <w:highlight w:val="none"/>
        </w:rPr>
        <w:t>应当</w:t>
      </w:r>
      <w:r>
        <w:rPr>
          <w:rFonts w:hint="eastAsia" w:ascii="宋体" w:hAnsi="宋体" w:eastAsia="宋体"/>
          <w:sz w:val="24"/>
          <w:highlight w:val="none"/>
        </w:rPr>
        <w:t>遵</w:t>
      </w:r>
      <w:r>
        <w:rPr>
          <w:rFonts w:ascii="宋体" w:hAnsi="宋体" w:eastAsia="宋体"/>
          <w:sz w:val="24"/>
          <w:highlight w:val="none"/>
        </w:rPr>
        <w:t>守评</w:t>
      </w:r>
      <w:r>
        <w:rPr>
          <w:rFonts w:hint="eastAsia" w:ascii="宋体" w:hAnsi="宋体" w:eastAsia="宋体"/>
          <w:sz w:val="24"/>
          <w:highlight w:val="none"/>
        </w:rPr>
        <w:t>标</w:t>
      </w:r>
      <w:r>
        <w:rPr>
          <w:rFonts w:ascii="宋体" w:hAnsi="宋体" w:eastAsia="宋体"/>
          <w:sz w:val="24"/>
          <w:highlight w:val="none"/>
        </w:rPr>
        <w:t>工作纪律，不得</w:t>
      </w:r>
      <w:r>
        <w:rPr>
          <w:rFonts w:hint="eastAsia" w:ascii="宋体" w:hAnsi="宋体" w:eastAsia="宋体"/>
          <w:sz w:val="24"/>
          <w:highlight w:val="none"/>
        </w:rPr>
        <w:t>泄露</w:t>
      </w:r>
      <w:r>
        <w:rPr>
          <w:rFonts w:ascii="宋体" w:hAnsi="宋体" w:eastAsia="宋体"/>
          <w:sz w:val="24"/>
          <w:highlight w:val="none"/>
        </w:rPr>
        <w:t>评</w:t>
      </w:r>
      <w:r>
        <w:rPr>
          <w:rFonts w:hint="eastAsia" w:ascii="宋体" w:hAnsi="宋体" w:eastAsia="宋体"/>
          <w:sz w:val="24"/>
          <w:highlight w:val="none"/>
        </w:rPr>
        <w:t>标文件</w:t>
      </w:r>
      <w:r>
        <w:rPr>
          <w:rFonts w:ascii="宋体" w:hAnsi="宋体" w:eastAsia="宋体"/>
          <w:sz w:val="24"/>
          <w:highlight w:val="none"/>
        </w:rPr>
        <w:t>、评</w:t>
      </w:r>
      <w:r>
        <w:rPr>
          <w:rFonts w:hint="eastAsia" w:ascii="宋体" w:hAnsi="宋体" w:eastAsia="宋体"/>
          <w:sz w:val="24"/>
          <w:highlight w:val="none"/>
        </w:rPr>
        <w:t>标</w:t>
      </w:r>
      <w:r>
        <w:rPr>
          <w:rFonts w:ascii="宋体" w:hAnsi="宋体" w:eastAsia="宋体"/>
          <w:sz w:val="24"/>
          <w:highlight w:val="none"/>
        </w:rPr>
        <w:t>情况和评</w:t>
      </w:r>
      <w:r>
        <w:rPr>
          <w:rFonts w:hint="eastAsia" w:ascii="宋体" w:hAnsi="宋体" w:eastAsia="宋体"/>
          <w:sz w:val="24"/>
          <w:highlight w:val="none"/>
        </w:rPr>
        <w:t>标</w:t>
      </w:r>
      <w:r>
        <w:rPr>
          <w:rFonts w:ascii="宋体" w:hAnsi="宋体" w:eastAsia="宋体"/>
          <w:sz w:val="24"/>
          <w:highlight w:val="none"/>
        </w:rPr>
        <w:t>中获悉的</w:t>
      </w:r>
      <w:r>
        <w:rPr>
          <w:rFonts w:hint="eastAsia" w:ascii="宋体" w:hAnsi="宋体" w:eastAsia="宋体"/>
          <w:sz w:val="24"/>
          <w:highlight w:val="none"/>
        </w:rPr>
        <w:t>国家秘密、</w:t>
      </w:r>
      <w:r>
        <w:rPr>
          <w:rFonts w:ascii="宋体" w:hAnsi="宋体" w:eastAsia="宋体"/>
          <w:sz w:val="24"/>
          <w:highlight w:val="none"/>
        </w:rPr>
        <w:t>商业秘密。</w:t>
      </w:r>
    </w:p>
    <w:p w14:paraId="20F65F27">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中标候选人的确定原则及标准</w:t>
      </w:r>
    </w:p>
    <w:p w14:paraId="64DA52B1">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0</w:t>
      </w:r>
      <w:r>
        <w:rPr>
          <w:rFonts w:asciiTheme="minorEastAsia" w:hAnsiTheme="minorEastAsia" w:eastAsiaTheme="minorEastAsia"/>
          <w:sz w:val="24"/>
          <w:highlight w:val="none"/>
        </w:rPr>
        <w:t>.1评</w:t>
      </w:r>
      <w:r>
        <w:rPr>
          <w:rFonts w:hint="eastAsia" w:asciiTheme="minorEastAsia" w:hAnsiTheme="minorEastAsia" w:eastAsiaTheme="minorEastAsia"/>
          <w:sz w:val="24"/>
          <w:highlight w:val="none"/>
        </w:rPr>
        <w:t>标</w:t>
      </w:r>
      <w:r>
        <w:rPr>
          <w:rFonts w:asciiTheme="minorEastAsia" w:hAnsiTheme="minorEastAsia" w:eastAsiaTheme="minorEastAsia"/>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sz w:val="24"/>
          <w:highlight w:val="none"/>
        </w:rPr>
        <w:t>，确定中标候选人</w:t>
      </w:r>
      <w:r>
        <w:rPr>
          <w:rFonts w:asciiTheme="minorEastAsia" w:hAnsiTheme="minorEastAsia" w:eastAsiaTheme="minorEastAsia"/>
          <w:sz w:val="24"/>
          <w:highlight w:val="none"/>
        </w:rPr>
        <w:t>：</w:t>
      </w:r>
    </w:p>
    <w:p w14:paraId="291D26D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sz w:val="24"/>
          <w:highlight w:val="none"/>
        </w:rPr>
        <w:t>，则所投产品为节能产品、环境标志产品、不发达地区或少数民族地区产品者优先；若</w:t>
      </w:r>
      <w:r>
        <w:rPr>
          <w:rFonts w:asciiTheme="minorEastAsia" w:hAnsiTheme="minorEastAsia" w:eastAsiaTheme="minorEastAsia"/>
          <w:sz w:val="24"/>
          <w:highlight w:val="none"/>
        </w:rPr>
        <w:t>得分与投标报价均相同</w:t>
      </w:r>
      <w:r>
        <w:rPr>
          <w:rFonts w:hint="eastAsia" w:asciiTheme="minorEastAsia" w:hAnsiTheme="minorEastAsia" w:eastAsiaTheme="minorEastAsia"/>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确定中标候选人和中标人</w:t>
      </w:r>
    </w:p>
    <w:p w14:paraId="44B7C341">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.1评标委员会将根据评标标准，按</w:t>
      </w:r>
      <w:r>
        <w:rPr>
          <w:rFonts w:asciiTheme="minorEastAsia" w:hAnsiTheme="minorEastAsia" w:eastAsiaTheme="minorEastAsia"/>
          <w:sz w:val="24"/>
          <w:highlight w:val="none"/>
          <w:u w:val="single"/>
        </w:rPr>
        <w:t>投标</w:t>
      </w:r>
      <w:r>
        <w:rPr>
          <w:rFonts w:hint="eastAsia" w:asciiTheme="minorEastAsia" w:hAnsiTheme="minorEastAsia" w:eastAsiaTheme="minorEastAsia"/>
          <w:sz w:val="24"/>
          <w:highlight w:val="none"/>
          <w:u w:val="single"/>
        </w:rPr>
        <w:t>人</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中规定数量推荐中标候选人。</w:t>
      </w:r>
    </w:p>
    <w:p w14:paraId="363C65E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21.2按</w:t>
      </w:r>
      <w:r>
        <w:rPr>
          <w:rFonts w:asciiTheme="minorEastAsia" w:hAnsiTheme="minorEastAsia" w:eastAsiaTheme="minorEastAsia"/>
          <w:sz w:val="24"/>
          <w:highlight w:val="none"/>
          <w:u w:val="single"/>
        </w:rPr>
        <w:t>投标</w:t>
      </w:r>
      <w:r>
        <w:rPr>
          <w:rFonts w:hint="eastAsia" w:asciiTheme="minorEastAsia" w:hAnsiTheme="minorEastAsia" w:eastAsiaTheme="minorEastAsia"/>
          <w:sz w:val="24"/>
          <w:highlight w:val="none"/>
          <w:u w:val="single"/>
        </w:rPr>
        <w:t>人</w:t>
      </w:r>
      <w:r>
        <w:rPr>
          <w:rFonts w:asciiTheme="minorEastAsia" w:hAnsiTheme="minorEastAsia" w:eastAsiaTheme="minorEastAsia"/>
          <w:sz w:val="24"/>
          <w:highlight w:val="none"/>
          <w:u w:val="single"/>
        </w:rPr>
        <w:t>须知前附表</w:t>
      </w:r>
      <w:r>
        <w:rPr>
          <w:rFonts w:hint="eastAsia" w:asciiTheme="minorEastAsia" w:hAnsiTheme="minorEastAsia" w:eastAsiaTheme="minorEastAsia"/>
          <w:sz w:val="24"/>
          <w:highlight w:val="none"/>
        </w:rPr>
        <w:t>中规定，</w:t>
      </w:r>
      <w:r>
        <w:rPr>
          <w:rFonts w:asciiTheme="minorEastAsia" w:hAnsiTheme="minorEastAsia" w:eastAsiaTheme="minorEastAsia"/>
          <w:sz w:val="24"/>
          <w:highlight w:val="none"/>
        </w:rPr>
        <w:t>由评标委员会或采购人确定中标人。</w:t>
      </w:r>
    </w:p>
    <w:p w14:paraId="3147137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编写评标报告</w:t>
      </w:r>
    </w:p>
    <w:p w14:paraId="4A55E31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中标结果公告</w:t>
      </w:r>
    </w:p>
    <w:p w14:paraId="064D10D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23</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除</w:t>
      </w:r>
      <w:r>
        <w:rPr>
          <w:rFonts w:asciiTheme="minorEastAsia" w:hAnsiTheme="minorEastAsia" w:eastAsiaTheme="minorEastAsia"/>
          <w:sz w:val="24"/>
          <w:highlight w:val="none"/>
          <w:u w:val="single"/>
        </w:rPr>
        <w:t>投标</w:t>
      </w:r>
      <w:r>
        <w:rPr>
          <w:rFonts w:hint="eastAsia" w:asciiTheme="minorEastAsia" w:hAnsiTheme="minorEastAsia" w:eastAsiaTheme="minorEastAsia"/>
          <w:sz w:val="24"/>
          <w:highlight w:val="none"/>
          <w:u w:val="single"/>
        </w:rPr>
        <w:t>人</w:t>
      </w:r>
      <w:r>
        <w:rPr>
          <w:rFonts w:asciiTheme="minorEastAsia" w:hAnsiTheme="minorEastAsia" w:eastAsiaTheme="minorEastAsia"/>
          <w:sz w:val="24"/>
          <w:highlight w:val="none"/>
          <w:u w:val="single"/>
        </w:rPr>
        <w:t>须知前附表</w:t>
      </w:r>
      <w:r>
        <w:rPr>
          <w:rFonts w:asciiTheme="minorEastAsia" w:hAnsiTheme="minorEastAsia" w:eastAsiaTheme="minorEastAsia"/>
          <w:sz w:val="24"/>
          <w:highlight w:val="none"/>
        </w:rPr>
        <w:t>规定由评标委员会直接确定中标</w:t>
      </w:r>
      <w:r>
        <w:rPr>
          <w:rFonts w:hint="eastAsia" w:asciiTheme="minorEastAsia" w:hAnsiTheme="minorEastAsia" w:eastAsiaTheme="minorEastAsia"/>
          <w:sz w:val="24"/>
          <w:highlight w:val="none"/>
        </w:rPr>
        <w:t>人外，</w:t>
      </w:r>
      <w:r>
        <w:rPr>
          <w:rFonts w:asciiTheme="minorEastAsia" w:hAnsiTheme="minorEastAsia" w:eastAsiaTheme="minorEastAsia"/>
          <w:sz w:val="24"/>
          <w:highlight w:val="none"/>
        </w:rPr>
        <w:t>在评标结束后2个工作日内</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采购代理机构将评标报告送采购人。采购人应当自收到评标报告之日起</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hint="eastAsia" w:ascii="宋体" w:hAnsi="宋体" w:eastAsia="宋体"/>
          <w:sz w:val="24"/>
          <w:szCs w:val="18"/>
          <w:highlight w:val="none"/>
        </w:rPr>
      </w:pPr>
      <w:r>
        <w:rPr>
          <w:rFonts w:hint="eastAsia" w:asciiTheme="minorEastAsia" w:hAnsiTheme="minorEastAsia" w:eastAsiaTheme="minorEastAsia"/>
          <w:sz w:val="24"/>
          <w:highlight w:val="none"/>
        </w:rPr>
        <w:t>23</w:t>
      </w:r>
      <w:r>
        <w:rPr>
          <w:rFonts w:asciiTheme="minorEastAsia" w:hAnsiTheme="minorEastAsia" w:eastAsiaTheme="minorEastAsia"/>
          <w:sz w:val="24"/>
          <w:highlight w:val="none"/>
        </w:rPr>
        <w:t>.2</w:t>
      </w:r>
      <w:r>
        <w:rPr>
          <w:rFonts w:hint="eastAsia" w:ascii="宋体" w:hAnsi="宋体" w:eastAsia="宋体"/>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23.3</w:t>
      </w:r>
      <w:r>
        <w:rPr>
          <w:rFonts w:asciiTheme="minorEastAsia" w:hAnsiTheme="minorEastAsia" w:eastAsiaTheme="minorEastAsia"/>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sz w:val="24"/>
          <w:highlight w:val="none"/>
          <w:u w:val="single"/>
        </w:rPr>
        <w:t>投标人须知前附表</w:t>
      </w:r>
      <w:r>
        <w:rPr>
          <w:rFonts w:asciiTheme="minorEastAsia" w:hAnsiTheme="minorEastAsia" w:eastAsiaTheme="minorEastAsia"/>
          <w:sz w:val="24"/>
          <w:highlight w:val="none"/>
        </w:rPr>
        <w:t>中约定进行公告的内容。中标公告期限为1个工作日。</w:t>
      </w:r>
    </w:p>
    <w:p w14:paraId="7C121063">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中标通知书</w:t>
      </w:r>
    </w:p>
    <w:p w14:paraId="52DE7CD3">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.1采购代理机构</w:t>
      </w:r>
      <w:r>
        <w:rPr>
          <w:rFonts w:ascii="宋体" w:hAnsi="宋体" w:eastAsia="宋体"/>
          <w:sz w:val="24"/>
          <w:highlight w:val="none"/>
        </w:rPr>
        <w:t>发布</w:t>
      </w:r>
      <w:r>
        <w:rPr>
          <w:rFonts w:asciiTheme="minorEastAsia" w:hAnsiTheme="minorEastAsia" w:eastAsiaTheme="minorEastAsia"/>
          <w:sz w:val="24"/>
          <w:highlight w:val="none"/>
        </w:rPr>
        <w:t>中标结果公告</w:t>
      </w:r>
      <w:r>
        <w:rPr>
          <w:rFonts w:hint="eastAsia" w:asciiTheme="minorEastAsia" w:hAnsiTheme="minorEastAsia" w:eastAsiaTheme="minorEastAsia"/>
          <w:iCs/>
          <w:sz w:val="24"/>
          <w:highlight w:val="none"/>
        </w:rPr>
        <w:t>的</w:t>
      </w:r>
      <w:r>
        <w:rPr>
          <w:rFonts w:asciiTheme="minorEastAsia" w:hAnsiTheme="minorEastAsia" w:eastAsiaTheme="minorEastAsia"/>
          <w:sz w:val="24"/>
          <w:highlight w:val="none"/>
        </w:rPr>
        <w:t>同时以</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形式向中标人发出中标通知书。</w:t>
      </w:r>
    </w:p>
    <w:p w14:paraId="3A9F6F22">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.2中标通知书对采购人和中标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具有同等法律效力。中标通知书发出以后，采购人改变中标结果或者中标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放弃中标，应当承担相应的法律责任。</w:t>
      </w:r>
    </w:p>
    <w:p w14:paraId="33F4987E">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.3中标通知书是</w:t>
      </w:r>
      <w:r>
        <w:rPr>
          <w:rFonts w:ascii="宋体" w:hAnsi="宋体" w:eastAsia="宋体"/>
          <w:sz w:val="24"/>
          <w:highlight w:val="none"/>
        </w:rPr>
        <w:t>合同</w:t>
      </w:r>
      <w:r>
        <w:rPr>
          <w:rFonts w:asciiTheme="minorEastAsia" w:hAnsiTheme="minorEastAsia" w:eastAsiaTheme="minorEastAsia"/>
          <w:sz w:val="24"/>
          <w:highlight w:val="none"/>
        </w:rPr>
        <w:t>的组成部分。</w:t>
      </w:r>
    </w:p>
    <w:p w14:paraId="1CC14990">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告知招标结果</w:t>
      </w:r>
    </w:p>
    <w:p w14:paraId="1E4AE37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25</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在公告</w:t>
      </w:r>
      <w:r>
        <w:rPr>
          <w:rFonts w:asciiTheme="minorEastAsia" w:hAnsiTheme="minorEastAsia" w:eastAsiaTheme="minorEastAsia"/>
          <w:sz w:val="24"/>
          <w:highlight w:val="none"/>
        </w:rPr>
        <w:t>中标结果的同时，采购代理机构同时以</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w:t>
      </w:r>
      <w:r>
        <w:rPr>
          <w:rFonts w:hint="eastAsia" w:asciiTheme="minorEastAsia" w:hAnsiTheme="minorEastAsia" w:eastAsiaTheme="minorEastAsia"/>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履约保证金</w:t>
      </w:r>
    </w:p>
    <w:p w14:paraId="60A18F8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26.1中标人应按照</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规定缴纳履约保证金。</w:t>
      </w:r>
    </w:p>
    <w:p w14:paraId="55F6B442">
      <w:pPr>
        <w:spacing w:line="360" w:lineRule="auto"/>
        <w:ind w:firstLine="435"/>
        <w:rPr>
          <w:rFonts w:hint="eastAsia" w:asciiTheme="minorEastAsia" w:hAnsiTheme="minorEastAsia" w:eastAsiaTheme="minorEastAsia"/>
          <w:b/>
          <w:sz w:val="24"/>
          <w:highlight w:val="none"/>
        </w:rPr>
      </w:pPr>
      <w:r>
        <w:rPr>
          <w:rFonts w:hint="eastAsia" w:asciiTheme="minorEastAsia" w:hAnsiTheme="minorEastAsia" w:eastAsiaTheme="minorEastAsia"/>
          <w:sz w:val="24"/>
          <w:highlight w:val="none"/>
        </w:rPr>
        <w:t>26.</w:t>
      </w:r>
      <w:r>
        <w:rPr>
          <w:rFonts w:asciiTheme="minorEastAsia" w:hAnsiTheme="minorEastAsia" w:eastAsiaTheme="minorEastAsia"/>
          <w:sz w:val="24"/>
          <w:highlight w:val="none"/>
        </w:rPr>
        <w:t>2</w:t>
      </w:r>
      <w:r>
        <w:rPr>
          <w:rFonts w:hint="eastAsia" w:ascii="宋体" w:hAnsi="宋体" w:eastAsia="宋体"/>
          <w:sz w:val="24"/>
          <w:highlight w:val="none"/>
        </w:rPr>
        <w:t>如果</w:t>
      </w:r>
      <w:r>
        <w:rPr>
          <w:rFonts w:hint="eastAsia" w:asciiTheme="minorEastAsia" w:hAnsiTheme="minorEastAsia" w:eastAsiaTheme="minorEastAsia"/>
          <w:sz w:val="24"/>
          <w:highlight w:val="none"/>
        </w:rPr>
        <w:t>中标人没有按照上述履约保证金的规定执行，将视为放弃中标资格。在此情况下，采购人可</w:t>
      </w:r>
      <w:r>
        <w:rPr>
          <w:rFonts w:asciiTheme="minorEastAsia" w:hAnsiTheme="minorEastAsia" w:eastAsiaTheme="minorEastAsia"/>
          <w:sz w:val="24"/>
          <w:highlight w:val="none"/>
        </w:rPr>
        <w:t>确定下一</w:t>
      </w:r>
      <w:r>
        <w:rPr>
          <w:rFonts w:hint="eastAsia" w:ascii="宋体" w:hAnsi="宋体" w:eastAsia="宋体"/>
          <w:sz w:val="24"/>
          <w:highlight w:val="none"/>
        </w:rPr>
        <w:t>中标</w:t>
      </w:r>
      <w:r>
        <w:rPr>
          <w:rFonts w:hint="eastAsia" w:asciiTheme="minorEastAsia" w:hAnsiTheme="minorEastAsia" w:eastAsiaTheme="minorEastAsia"/>
          <w:sz w:val="24"/>
          <w:highlight w:val="none"/>
        </w:rPr>
        <w:t>候选</w:t>
      </w:r>
      <w:r>
        <w:rPr>
          <w:rFonts w:asciiTheme="minorEastAsia" w:hAnsiTheme="minorEastAsia" w:eastAsiaTheme="minorEastAsia"/>
          <w:sz w:val="24"/>
          <w:highlight w:val="none"/>
        </w:rPr>
        <w:t>人为中标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，也可以重新开展采购活动。</w:t>
      </w:r>
    </w:p>
    <w:p w14:paraId="38D95CA1">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签订合同</w:t>
      </w:r>
    </w:p>
    <w:p w14:paraId="5383EA19">
      <w:pPr>
        <w:spacing w:line="360" w:lineRule="auto"/>
        <w:ind w:firstLine="435"/>
        <w:rPr>
          <w:rFonts w:hint="eastAsia" w:ascii="宋体" w:hAnsi="宋体" w:eastAsia="宋体"/>
          <w:sz w:val="24"/>
          <w:highlight w:val="none"/>
        </w:rPr>
      </w:pPr>
      <w:r>
        <w:rPr>
          <w:rFonts w:hint="eastAsia" w:ascii="宋体" w:hAnsi="宋体" w:eastAsia="宋体"/>
          <w:sz w:val="24"/>
          <w:highlight w:val="none"/>
        </w:rPr>
        <w:t>27.1</w:t>
      </w:r>
      <w:r>
        <w:rPr>
          <w:rFonts w:hint="eastAsia" w:ascii="宋体" w:hAnsi="宋体" w:eastAsia="宋体" w:cs="宋体"/>
          <w:sz w:val="24"/>
          <w:szCs w:val="24"/>
          <w:highlight w:val="none"/>
        </w:rPr>
        <w:t>采购人与中标人应当按照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规定的时间内完成政府采购合同签订及合同公告。</w:t>
      </w:r>
    </w:p>
    <w:p w14:paraId="60CF4809">
      <w:pPr>
        <w:spacing w:line="360" w:lineRule="auto"/>
        <w:ind w:firstLine="435"/>
        <w:rPr>
          <w:rFonts w:hint="eastAsia" w:ascii="宋体" w:hAnsi="宋体" w:eastAsia="宋体"/>
          <w:sz w:val="24"/>
          <w:highlight w:val="none"/>
        </w:rPr>
      </w:pPr>
      <w:r>
        <w:rPr>
          <w:rFonts w:hint="eastAsia" w:ascii="宋体" w:hAnsi="宋体" w:eastAsia="宋体"/>
          <w:sz w:val="24"/>
          <w:highlight w:val="none"/>
        </w:rPr>
        <w:t>27.2招标文件、中标人的投标文件及其澄清文件等，均为签订合同的依据。</w:t>
      </w:r>
    </w:p>
    <w:p w14:paraId="42162315">
      <w:pPr>
        <w:spacing w:line="360" w:lineRule="auto"/>
        <w:ind w:firstLine="435"/>
        <w:rPr>
          <w:rFonts w:hint="eastAsia" w:ascii="宋体" w:hAnsi="宋体" w:eastAsia="宋体"/>
          <w:sz w:val="24"/>
          <w:highlight w:val="none"/>
        </w:rPr>
      </w:pPr>
      <w:r>
        <w:rPr>
          <w:rFonts w:hint="eastAsia" w:ascii="宋体" w:hAnsi="宋体" w:eastAsia="宋体"/>
          <w:sz w:val="24"/>
          <w:highlight w:val="none"/>
        </w:rPr>
        <w:t>27.3中</w:t>
      </w:r>
      <w:r>
        <w:rPr>
          <w:rFonts w:ascii="宋体" w:hAnsi="宋体" w:eastAsia="宋体"/>
          <w:sz w:val="24"/>
          <w:highlight w:val="none"/>
        </w:rPr>
        <w:t>标</w:t>
      </w:r>
      <w:r>
        <w:rPr>
          <w:rFonts w:hint="eastAsia" w:ascii="宋体" w:hAnsi="宋体" w:eastAsia="宋体"/>
          <w:sz w:val="24"/>
          <w:highlight w:val="none"/>
        </w:rPr>
        <w:t>人</w:t>
      </w:r>
      <w:r>
        <w:rPr>
          <w:rFonts w:ascii="宋体" w:hAnsi="宋体" w:eastAsia="宋体"/>
          <w:sz w:val="24"/>
          <w:highlight w:val="none"/>
        </w:rPr>
        <w:t>拒绝与采购人签订合同的，采购人可以按照评审报告推荐的中标候选人</w:t>
      </w:r>
      <w:r>
        <w:rPr>
          <w:rFonts w:hint="eastAsia" w:ascii="宋体" w:hAnsi="宋体" w:eastAsia="宋体"/>
          <w:sz w:val="24"/>
          <w:highlight w:val="none"/>
        </w:rPr>
        <w:t>名单</w:t>
      </w:r>
      <w:r>
        <w:rPr>
          <w:rFonts w:ascii="宋体" w:hAnsi="宋体" w:eastAsia="宋体"/>
          <w:sz w:val="24"/>
          <w:highlight w:val="none"/>
        </w:rPr>
        <w:t>排序</w:t>
      </w:r>
      <w:r>
        <w:rPr>
          <w:rFonts w:hint="eastAsia" w:ascii="宋体" w:hAnsi="宋体" w:eastAsia="宋体"/>
          <w:sz w:val="24"/>
          <w:highlight w:val="none"/>
        </w:rPr>
        <w:t>，</w:t>
      </w:r>
      <w:r>
        <w:rPr>
          <w:rFonts w:ascii="宋体" w:hAnsi="宋体" w:eastAsia="宋体"/>
          <w:sz w:val="24"/>
          <w:highlight w:val="none"/>
        </w:rPr>
        <w:t>确定下一</w:t>
      </w:r>
      <w:r>
        <w:rPr>
          <w:rFonts w:hint="eastAsia" w:ascii="宋体" w:hAnsi="宋体" w:eastAsia="宋体"/>
          <w:sz w:val="24"/>
          <w:highlight w:val="none"/>
        </w:rPr>
        <w:t>中标候选</w:t>
      </w:r>
      <w:r>
        <w:rPr>
          <w:rFonts w:ascii="宋体" w:hAnsi="宋体" w:eastAsia="宋体"/>
          <w:sz w:val="24"/>
          <w:highlight w:val="none"/>
        </w:rPr>
        <w:t>人为中标</w:t>
      </w:r>
      <w:r>
        <w:rPr>
          <w:rFonts w:hint="eastAsia" w:ascii="宋体" w:hAnsi="宋体" w:eastAsia="宋体"/>
          <w:sz w:val="24"/>
          <w:highlight w:val="none"/>
        </w:rPr>
        <w:t>人</w:t>
      </w:r>
      <w:r>
        <w:rPr>
          <w:rFonts w:ascii="宋体" w:hAnsi="宋体" w:eastAsia="宋体"/>
          <w:sz w:val="24"/>
          <w:highlight w:val="none"/>
        </w:rPr>
        <w:t>，也可以重新开展政府采购活动。</w:t>
      </w:r>
    </w:p>
    <w:p w14:paraId="65C36CF8">
      <w:pPr>
        <w:spacing w:line="360" w:lineRule="auto"/>
        <w:ind w:firstLine="435"/>
        <w:rPr>
          <w:rFonts w:hint="eastAsia" w:ascii="宋体" w:hAnsi="宋体" w:eastAsia="宋体"/>
          <w:sz w:val="24"/>
          <w:highlight w:val="none"/>
        </w:rPr>
      </w:pPr>
      <w:r>
        <w:rPr>
          <w:rFonts w:hint="eastAsia" w:ascii="宋体" w:hAnsi="宋体" w:eastAsia="宋体"/>
          <w:sz w:val="24"/>
          <w:highlight w:val="none"/>
        </w:rPr>
        <w:t>27.4依据《政府采购促进中小企业发展管理办法》（财库〔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28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代理费用</w:t>
      </w:r>
    </w:p>
    <w:p w14:paraId="25476495">
      <w:pPr>
        <w:spacing w:line="360" w:lineRule="auto"/>
        <w:ind w:firstLine="435"/>
        <w:rPr>
          <w:rFonts w:hint="eastAsia" w:ascii="宋体" w:hAnsi="宋体" w:eastAsia="宋体"/>
          <w:sz w:val="24"/>
          <w:highlight w:val="none"/>
        </w:rPr>
      </w:pPr>
      <w:r>
        <w:rPr>
          <w:rFonts w:hint="eastAsia" w:ascii="宋体" w:hAnsi="宋体" w:eastAsia="宋体"/>
          <w:sz w:val="24"/>
          <w:highlight w:val="none"/>
        </w:rPr>
        <w:t>28</w:t>
      </w:r>
      <w:r>
        <w:rPr>
          <w:rFonts w:ascii="宋体" w:hAnsi="宋体" w:eastAsia="宋体"/>
          <w:sz w:val="24"/>
          <w:highlight w:val="none"/>
        </w:rPr>
        <w:t>.1</w:t>
      </w:r>
      <w:r>
        <w:rPr>
          <w:rFonts w:hint="eastAsia" w:ascii="宋体" w:hAnsi="宋体" w:eastAsia="宋体"/>
          <w:sz w:val="24"/>
          <w:highlight w:val="none"/>
        </w:rPr>
        <w:t>本项目代理费用的收取按</w:t>
      </w:r>
      <w:r>
        <w:rPr>
          <w:rFonts w:hint="eastAsia" w:asciiTheme="minorEastAsia" w:hAnsiTheme="minorEastAsia" w:eastAsiaTheme="minorEastAsia"/>
          <w:sz w:val="24"/>
          <w:highlight w:val="none"/>
          <w:u w:val="single"/>
        </w:rPr>
        <w:t>投标人须知前附表的</w:t>
      </w:r>
      <w:r>
        <w:rPr>
          <w:rFonts w:hint="eastAsia" w:ascii="宋体" w:hAnsi="宋体" w:eastAsia="宋体"/>
          <w:sz w:val="24"/>
          <w:highlight w:val="none"/>
        </w:rPr>
        <w:t>规定执行</w:t>
      </w:r>
      <w:r>
        <w:rPr>
          <w:rFonts w:hint="eastAsia" w:asciiTheme="minorEastAsia" w:hAnsiTheme="minorEastAsia" w:eastAsiaTheme="minorEastAsia"/>
          <w:sz w:val="24"/>
          <w:highlight w:val="none"/>
        </w:rPr>
        <w:t>。</w:t>
      </w:r>
    </w:p>
    <w:p w14:paraId="7926190C">
      <w:pPr>
        <w:spacing w:line="360" w:lineRule="auto"/>
        <w:ind w:firstLine="437"/>
        <w:outlineLvl w:val="2"/>
        <w:rPr>
          <w:rFonts w:hint="eastAsia" w:asciiTheme="minorEastAsia" w:hAnsiTheme="minorEastAsia" w:eastAsiaTheme="minorEastAsia"/>
          <w:b/>
          <w:sz w:val="24"/>
          <w:highlight w:val="none"/>
        </w:rPr>
      </w:pPr>
      <w:bookmarkStart w:id="26" w:name="_Toc518923100"/>
      <w:bookmarkStart w:id="27" w:name="_Toc2583661"/>
      <w:r>
        <w:rPr>
          <w:rFonts w:hint="eastAsia" w:asciiTheme="minorEastAsia" w:hAnsiTheme="minorEastAsia" w:eastAsiaTheme="minorEastAsia"/>
          <w:b/>
          <w:sz w:val="24"/>
          <w:highlight w:val="none"/>
        </w:rPr>
        <w:t>29.廉洁自律</w:t>
      </w:r>
      <w:r>
        <w:rPr>
          <w:rFonts w:asciiTheme="minorEastAsia" w:hAnsiTheme="minorEastAsia" w:eastAsiaTheme="minorEastAsia"/>
          <w:b/>
          <w:sz w:val="24"/>
          <w:highlight w:val="none"/>
        </w:rPr>
        <w:t>规定</w:t>
      </w:r>
      <w:bookmarkEnd w:id="26"/>
      <w:bookmarkEnd w:id="27"/>
    </w:p>
    <w:p w14:paraId="18C4DC00">
      <w:pPr>
        <w:spacing w:line="360" w:lineRule="auto"/>
        <w:ind w:firstLine="435"/>
        <w:rPr>
          <w:rFonts w:hint="eastAsia" w:ascii="宋体" w:hAnsi="宋体" w:eastAsia="宋体"/>
          <w:sz w:val="24"/>
          <w:highlight w:val="none"/>
        </w:rPr>
      </w:pPr>
      <w:r>
        <w:rPr>
          <w:rFonts w:hint="eastAsia" w:ascii="宋体" w:hAnsi="宋体" w:eastAsia="宋体"/>
          <w:sz w:val="24"/>
          <w:highlight w:val="none"/>
        </w:rPr>
        <w:t>29.1采购代理机构</w:t>
      </w:r>
      <w:r>
        <w:rPr>
          <w:rFonts w:ascii="宋体" w:hAnsi="宋体" w:eastAsia="宋体"/>
          <w:sz w:val="24"/>
          <w:highlight w:val="none"/>
        </w:rPr>
        <w:t>工作人员</w:t>
      </w:r>
      <w:r>
        <w:rPr>
          <w:rFonts w:hint="eastAsia" w:ascii="宋体" w:hAnsi="宋体" w:eastAsia="宋体"/>
          <w:sz w:val="24"/>
          <w:highlight w:val="none"/>
        </w:rPr>
        <w:t>不得以不正当手段获取政府采购代理业务，不得与采购人、供应商恶意串通。</w:t>
      </w:r>
    </w:p>
    <w:p w14:paraId="0322836E">
      <w:pPr>
        <w:spacing w:line="360" w:lineRule="auto"/>
        <w:ind w:firstLine="435"/>
        <w:rPr>
          <w:rFonts w:hint="eastAsia" w:ascii="宋体" w:hAnsi="宋体" w:eastAsia="宋体"/>
          <w:sz w:val="24"/>
          <w:highlight w:val="none"/>
        </w:rPr>
      </w:pPr>
      <w:r>
        <w:rPr>
          <w:rFonts w:hint="eastAsia" w:ascii="宋体" w:hAnsi="宋体" w:eastAsia="宋体"/>
          <w:sz w:val="24"/>
          <w:highlight w:val="none"/>
        </w:rPr>
        <w:t>29.</w:t>
      </w:r>
      <w:r>
        <w:rPr>
          <w:rFonts w:ascii="宋体" w:hAnsi="宋体" w:eastAsia="宋体"/>
          <w:sz w:val="24"/>
          <w:highlight w:val="none"/>
        </w:rPr>
        <w:t>2</w:t>
      </w:r>
      <w:r>
        <w:rPr>
          <w:rFonts w:hint="eastAsia" w:ascii="宋体" w:hAnsi="宋体" w:eastAsia="宋体"/>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hint="eastAsia" w:asciiTheme="minorEastAsia" w:hAnsiTheme="minorEastAsia" w:eastAsiaTheme="minorEastAsia"/>
          <w:b/>
          <w:sz w:val="24"/>
          <w:highlight w:val="none"/>
        </w:rPr>
      </w:pPr>
      <w:bookmarkStart w:id="28" w:name="_Toc2583662"/>
      <w:bookmarkStart w:id="29" w:name="_Toc518923101"/>
      <w:r>
        <w:rPr>
          <w:rFonts w:hint="eastAsia" w:asciiTheme="minorEastAsia" w:hAnsiTheme="minorEastAsia" w:eastAsiaTheme="minorEastAsia"/>
          <w:b/>
          <w:sz w:val="24"/>
          <w:highlight w:val="none"/>
        </w:rPr>
        <w:t>30.人员回避</w:t>
      </w:r>
      <w:bookmarkEnd w:id="28"/>
      <w:bookmarkEnd w:id="29"/>
    </w:p>
    <w:p w14:paraId="0B1192DE">
      <w:pPr>
        <w:spacing w:line="360" w:lineRule="auto"/>
        <w:ind w:firstLine="435"/>
        <w:rPr>
          <w:rFonts w:hint="eastAsia" w:ascii="仿宋_GB2312" w:hAnsi="宋体" w:eastAsia="仿宋_GB2312"/>
          <w:sz w:val="24"/>
          <w:highlight w:val="none"/>
        </w:rPr>
      </w:pPr>
      <w:r>
        <w:rPr>
          <w:rFonts w:hint="eastAsia" w:ascii="宋体" w:hAnsi="宋体" w:eastAsia="宋体"/>
          <w:sz w:val="24"/>
          <w:highlight w:val="none"/>
        </w:rPr>
        <w:t>投标人</w:t>
      </w:r>
      <w:r>
        <w:rPr>
          <w:rFonts w:ascii="宋体" w:hAnsi="宋体" w:eastAsia="宋体"/>
          <w:sz w:val="24"/>
          <w:highlight w:val="none"/>
        </w:rPr>
        <w:t>认为采购人员</w:t>
      </w:r>
      <w:r>
        <w:rPr>
          <w:rFonts w:hint="eastAsia" w:ascii="宋体" w:hAnsi="宋体" w:eastAsia="宋体"/>
          <w:sz w:val="24"/>
          <w:highlight w:val="none"/>
        </w:rPr>
        <w:t>及其</w:t>
      </w:r>
      <w:r>
        <w:rPr>
          <w:rFonts w:ascii="宋体" w:hAnsi="宋体" w:eastAsia="宋体"/>
          <w:sz w:val="24"/>
          <w:highlight w:val="none"/>
        </w:rPr>
        <w:t>相关人员有</w:t>
      </w:r>
      <w:r>
        <w:rPr>
          <w:rFonts w:hint="eastAsia" w:ascii="宋体" w:hAnsi="宋体" w:eastAsia="宋体"/>
          <w:sz w:val="24"/>
          <w:highlight w:val="none"/>
        </w:rPr>
        <w:t>法律</w:t>
      </w:r>
      <w:r>
        <w:rPr>
          <w:rFonts w:ascii="宋体" w:hAnsi="宋体" w:eastAsia="宋体"/>
          <w:sz w:val="24"/>
          <w:highlight w:val="none"/>
        </w:rPr>
        <w:t>法规所列与其他供应商</w:t>
      </w:r>
      <w:r>
        <w:rPr>
          <w:rFonts w:hint="eastAsia" w:ascii="宋体" w:hAnsi="宋体" w:eastAsia="宋体"/>
          <w:sz w:val="24"/>
          <w:highlight w:val="none"/>
        </w:rPr>
        <w:t>有</w:t>
      </w:r>
      <w:r>
        <w:rPr>
          <w:rFonts w:ascii="宋体" w:hAnsi="宋体" w:eastAsia="宋体"/>
          <w:sz w:val="24"/>
          <w:highlight w:val="none"/>
        </w:rPr>
        <w:t>利害关系的，可以向</w:t>
      </w:r>
      <w:r>
        <w:rPr>
          <w:rFonts w:hint="eastAsia" w:ascii="宋体" w:hAnsi="宋体" w:eastAsia="宋体"/>
          <w:sz w:val="24"/>
          <w:highlight w:val="none"/>
        </w:rPr>
        <w:t>采购人或</w:t>
      </w:r>
      <w:r>
        <w:rPr>
          <w:rFonts w:ascii="宋体" w:hAnsi="宋体" w:eastAsia="宋体"/>
          <w:sz w:val="24"/>
          <w:highlight w:val="none"/>
        </w:rPr>
        <w:t>采购代理机构书面提出回避申请，并说明理由。</w:t>
      </w:r>
    </w:p>
    <w:p w14:paraId="471F1918">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31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质疑的提出与接收</w:t>
      </w:r>
    </w:p>
    <w:p w14:paraId="6DF97768">
      <w:pPr>
        <w:spacing w:line="360" w:lineRule="auto"/>
        <w:ind w:firstLine="435"/>
        <w:rPr>
          <w:rFonts w:hint="eastAsia" w:ascii="宋体" w:hAnsi="宋体" w:eastAsia="宋体"/>
          <w:sz w:val="24"/>
          <w:highlight w:val="none"/>
        </w:rPr>
      </w:pPr>
      <w:r>
        <w:rPr>
          <w:rFonts w:hint="eastAsia" w:ascii="宋体" w:hAnsi="宋体" w:eastAsia="宋体"/>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hint="eastAsia" w:ascii="宋体" w:hAnsi="宋体" w:eastAsia="宋体"/>
          <w:sz w:val="24"/>
          <w:highlight w:val="none"/>
        </w:rPr>
      </w:pPr>
      <w:r>
        <w:rPr>
          <w:rFonts w:hint="eastAsia" w:ascii="宋体" w:hAnsi="宋体" w:eastAsia="宋体"/>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sz w:val="24"/>
          <w:highlight w:val="none"/>
        </w:rPr>
      </w:pPr>
      <w:r>
        <w:rPr>
          <w:rFonts w:hint="eastAsia" w:ascii="宋体" w:hAnsi="宋体" w:eastAsia="宋体"/>
          <w:sz w:val="24"/>
          <w:highlight w:val="none"/>
        </w:rPr>
        <w:t>31.3采购代理机构质疑函接收部门、联系电话和通讯地址，见</w:t>
      </w:r>
      <w:r>
        <w:rPr>
          <w:rFonts w:hint="eastAsia" w:ascii="宋体" w:hAnsi="宋体" w:eastAsia="宋体"/>
          <w:sz w:val="24"/>
          <w:highlight w:val="none"/>
          <w:u w:val="single"/>
        </w:rPr>
        <w:t>投标人须知前附表</w:t>
      </w:r>
      <w:r>
        <w:rPr>
          <w:rFonts w:hint="eastAsia" w:ascii="宋体" w:hAnsi="宋体" w:eastAsia="宋体"/>
          <w:sz w:val="24"/>
          <w:highlight w:val="none"/>
        </w:rPr>
        <w:t>。</w:t>
      </w:r>
    </w:p>
    <w:p w14:paraId="6CCC8C47">
      <w:pPr>
        <w:spacing w:line="360" w:lineRule="auto"/>
        <w:ind w:firstLine="435"/>
        <w:rPr>
          <w:rFonts w:hint="eastAsia" w:ascii="宋体" w:hAnsi="宋体" w:eastAsia="宋体"/>
          <w:sz w:val="24"/>
          <w:highlight w:val="none"/>
        </w:rPr>
      </w:pPr>
      <w:r>
        <w:rPr>
          <w:rFonts w:hint="eastAsia" w:ascii="宋体" w:hAnsi="宋体" w:eastAsia="宋体"/>
          <w:sz w:val="24"/>
          <w:highlight w:val="none"/>
        </w:rPr>
        <w:t>注：上述条款中所要求的书面形式包含通过电子交易系统递交方式。</w:t>
      </w:r>
    </w:p>
    <w:p w14:paraId="2258F860">
      <w:pPr>
        <w:spacing w:line="360" w:lineRule="auto"/>
        <w:ind w:firstLine="437"/>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32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需要补充的其他内容</w:t>
      </w:r>
    </w:p>
    <w:p w14:paraId="14323931">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需要补充的其他内容，见</w:t>
      </w:r>
      <w:r>
        <w:rPr>
          <w:rFonts w:hint="eastAsia" w:asciiTheme="minorEastAsia" w:hAnsiTheme="minorEastAsia" w:eastAsiaTheme="minorEastAsia"/>
          <w:sz w:val="24"/>
          <w:highlight w:val="none"/>
          <w:u w:val="single"/>
        </w:rPr>
        <w:t>投标人须知前附表</w:t>
      </w:r>
      <w:r>
        <w:rPr>
          <w:rFonts w:hint="eastAsia" w:asciiTheme="minorEastAsia" w:hAnsiTheme="minorEastAsia" w:eastAsiaTheme="minorEastAsia"/>
          <w:sz w:val="24"/>
          <w:highlight w:val="none"/>
        </w:rPr>
        <w:t>。</w:t>
      </w:r>
    </w:p>
    <w:p w14:paraId="7084582A">
      <w:pPr>
        <w:widowControl/>
        <w:jc w:val="left"/>
        <w:rPr>
          <w:rFonts w:hint="eastAsia" w:asciiTheme="minorEastAsia" w:hAnsiTheme="minorEastAsia" w:eastAsiaTheme="minorEastAsia"/>
          <w:b/>
          <w:sz w:val="28"/>
          <w:highlight w:val="none"/>
        </w:rPr>
      </w:pPr>
      <w:r>
        <w:rPr>
          <w:rFonts w:asciiTheme="minorEastAsia" w:hAnsiTheme="minorEastAsia" w:eastAsiaTheme="minorEastAsia"/>
          <w:sz w:val="24"/>
          <w:highlight w:val="none"/>
        </w:rPr>
        <w:br w:type="page"/>
      </w:r>
    </w:p>
    <w:p w14:paraId="46B29A95">
      <w:pPr>
        <w:spacing w:line="360" w:lineRule="auto"/>
        <w:jc w:val="center"/>
        <w:outlineLvl w:val="0"/>
        <w:rPr>
          <w:rFonts w:hint="eastAsia" w:asciiTheme="minorEastAsia" w:hAnsiTheme="minorEastAsia" w:eastAsiaTheme="minorEastAsia"/>
          <w:b/>
          <w:sz w:val="28"/>
          <w:highlight w:val="none"/>
        </w:rPr>
      </w:pPr>
      <w:bookmarkStart w:id="30" w:name="_Toc10891"/>
      <w:r>
        <w:rPr>
          <w:rFonts w:hint="eastAsia" w:asciiTheme="minorEastAsia" w:hAnsiTheme="minorEastAsia" w:eastAsiaTheme="minorEastAsia"/>
          <w:b/>
          <w:sz w:val="28"/>
          <w:highlight w:val="none"/>
        </w:rPr>
        <w:t>第三章  采购需求</w:t>
      </w:r>
      <w:bookmarkEnd w:id="30"/>
    </w:p>
    <w:p w14:paraId="0D9E3639">
      <w:pPr>
        <w:spacing w:line="360" w:lineRule="auto"/>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14:paraId="648A9894">
      <w:pPr>
        <w:spacing w:line="360" w:lineRule="auto"/>
        <w:ind w:firstLine="435"/>
        <w:rPr>
          <w:rFonts w:hint="eastAsia" w:ascii="宋体" w:hAnsi="宋体" w:eastAsia="宋体"/>
          <w:sz w:val="24"/>
          <w:szCs w:val="18"/>
          <w:highlight w:val="none"/>
        </w:rPr>
      </w:pPr>
      <w:r>
        <w:rPr>
          <w:rFonts w:hint="eastAsia" w:asciiTheme="minorEastAsia" w:hAnsiTheme="minorEastAsia" w:eastAsiaTheme="minorEastAsia"/>
          <w:sz w:val="24"/>
          <w:highlight w:val="none"/>
        </w:rPr>
        <w:t>1.</w:t>
      </w:r>
      <w:r>
        <w:rPr>
          <w:rFonts w:ascii="宋体" w:hAnsi="宋体" w:eastAsia="宋体"/>
          <w:sz w:val="24"/>
          <w:szCs w:val="18"/>
          <w:highlight w:val="none"/>
        </w:rPr>
        <w:t>根据《</w:t>
      </w:r>
      <w:r>
        <w:rPr>
          <w:rFonts w:hint="eastAsia" w:ascii="宋体" w:hAnsi="宋体" w:eastAsia="宋体"/>
          <w:sz w:val="24"/>
          <w:szCs w:val="18"/>
          <w:highlight w:val="none"/>
        </w:rPr>
        <w:t>政府采购进口产品管理办法</w:t>
      </w:r>
      <w:r>
        <w:rPr>
          <w:rFonts w:ascii="宋体" w:hAnsi="宋体" w:eastAsia="宋体"/>
          <w:sz w:val="24"/>
          <w:szCs w:val="18"/>
          <w:highlight w:val="none"/>
        </w:rPr>
        <w:t>》及政府采购管理部门的相关规定，下列采购需求中</w:t>
      </w:r>
      <w:r>
        <w:rPr>
          <w:rFonts w:hint="eastAsia" w:ascii="宋体" w:hAnsi="宋体" w:eastAsia="宋体"/>
          <w:sz w:val="24"/>
          <w:szCs w:val="18"/>
          <w:highlight w:val="none"/>
        </w:rPr>
        <w:t>标注进口产品的货物均</w:t>
      </w:r>
      <w:r>
        <w:rPr>
          <w:rFonts w:ascii="宋体" w:hAnsi="宋体" w:eastAsia="宋体"/>
          <w:sz w:val="24"/>
          <w:szCs w:val="18"/>
          <w:highlight w:val="none"/>
        </w:rPr>
        <w:t>已履行相关论证手续，经核准采购进口</w:t>
      </w:r>
      <w:r>
        <w:rPr>
          <w:rFonts w:hint="eastAsia" w:ascii="宋体" w:hAnsi="宋体" w:eastAsia="宋体"/>
          <w:sz w:val="24"/>
          <w:szCs w:val="18"/>
          <w:highlight w:val="none"/>
        </w:rPr>
        <w:t>产品</w:t>
      </w:r>
      <w:r>
        <w:rPr>
          <w:rFonts w:ascii="宋体" w:hAnsi="宋体" w:eastAsia="宋体"/>
          <w:sz w:val="24"/>
          <w:szCs w:val="18"/>
          <w:highlight w:val="none"/>
        </w:rPr>
        <w:t>，但不限制满足招标文件要求的国内产品参与竞争</w:t>
      </w:r>
      <w:r>
        <w:rPr>
          <w:rFonts w:hint="eastAsia" w:ascii="宋体" w:hAnsi="宋体" w:eastAsia="宋体"/>
          <w:sz w:val="24"/>
          <w:szCs w:val="18"/>
          <w:highlight w:val="none"/>
        </w:rPr>
        <w:t>。未标注进口产品的货物均</w:t>
      </w:r>
      <w:r>
        <w:rPr>
          <w:rFonts w:ascii="宋体" w:hAnsi="宋体" w:eastAsia="宋体"/>
          <w:sz w:val="24"/>
          <w:szCs w:val="18"/>
          <w:highlight w:val="none"/>
        </w:rPr>
        <w:t>为拒绝采购进口产品</w:t>
      </w:r>
      <w:r>
        <w:rPr>
          <w:rFonts w:hint="eastAsia" w:ascii="宋体" w:hAnsi="宋体" w:eastAsia="宋体"/>
          <w:sz w:val="24"/>
          <w:szCs w:val="18"/>
          <w:highlight w:val="none"/>
        </w:rPr>
        <w:t>。</w:t>
      </w:r>
    </w:p>
    <w:p w14:paraId="3D19009F">
      <w:pPr>
        <w:spacing w:line="360" w:lineRule="auto"/>
        <w:ind w:firstLine="435"/>
        <w:rPr>
          <w:rFonts w:hint="eastAsia" w:ascii="宋体" w:hAnsi="宋体" w:eastAsia="宋体"/>
          <w:sz w:val="24"/>
          <w:szCs w:val="18"/>
          <w:highlight w:val="none"/>
        </w:rPr>
      </w:pPr>
      <w:r>
        <w:rPr>
          <w:rFonts w:hint="eastAsia" w:ascii="宋体" w:hAnsi="宋体" w:eastAsia="宋体"/>
          <w:sz w:val="24"/>
          <w:szCs w:val="18"/>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14:paraId="471EC60B">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highlight w:val="none"/>
        </w:rPr>
      </w:pPr>
      <w:r>
        <w:rPr>
          <w:rFonts w:hint="eastAsia" w:ascii="宋体" w:hAnsi="宋体" w:eastAsia="宋体" w:cs="宋体"/>
          <w:sz w:val="24"/>
          <w:szCs w:val="24"/>
          <w:highlight w:val="none"/>
        </w:rPr>
        <w:t>3.</w:t>
      </w:r>
      <w:r>
        <w:rPr>
          <w:rFonts w:hint="eastAsia" w:ascii="宋体" w:hAnsi="宋体" w:eastAsia="宋体"/>
          <w:sz w:val="24"/>
          <w:szCs w:val="18"/>
          <w:highlight w:val="none"/>
        </w:rPr>
        <w:t>如采购人允许采用分包方式履行合同的，应当明确可以分包履行的相关内容。</w:t>
      </w:r>
    </w:p>
    <w:p w14:paraId="30B0ED33">
      <w:pPr>
        <w:spacing w:line="360" w:lineRule="auto"/>
        <w:ind w:firstLine="437"/>
        <w:outlineLvl w:val="1"/>
        <w:rPr>
          <w:rFonts w:hint="eastAsia" w:ascii="宋体" w:hAnsi="宋体" w:eastAsia="宋体"/>
          <w:b/>
          <w:sz w:val="24"/>
          <w:szCs w:val="18"/>
          <w:highlight w:val="none"/>
        </w:rPr>
      </w:pPr>
      <w:bookmarkStart w:id="31" w:name="_Toc32151"/>
      <w:bookmarkStart w:id="32" w:name="_Toc2554"/>
      <w:r>
        <w:rPr>
          <w:rFonts w:hint="eastAsia" w:ascii="宋体" w:hAnsi="宋体" w:eastAsia="宋体"/>
          <w:b/>
          <w:sz w:val="24"/>
          <w:szCs w:val="18"/>
          <w:highlight w:val="none"/>
        </w:rPr>
        <w:t>一、采购需求前附表</w:t>
      </w:r>
      <w:bookmarkEnd w:id="31"/>
      <w:bookmarkEnd w:id="32"/>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33"/>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1192" w:type="pct"/>
            <w:vAlign w:val="center"/>
          </w:tcPr>
          <w:p w14:paraId="200C6B67">
            <w:pPr>
              <w:pStyle w:val="32"/>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3217" w:type="pct"/>
            <w:vAlign w:val="center"/>
          </w:tcPr>
          <w:p w14:paraId="1E08E055">
            <w:pPr>
              <w:pStyle w:val="32"/>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1192" w:type="pct"/>
            <w:vAlign w:val="center"/>
          </w:tcPr>
          <w:p w14:paraId="7EA999D1">
            <w:pPr>
              <w:pStyle w:val="32"/>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3217" w:type="pct"/>
            <w:vAlign w:val="center"/>
          </w:tcPr>
          <w:p w14:paraId="62B8C4E7">
            <w:pPr>
              <w:pStyle w:val="32"/>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验收合格后一次性支付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1192" w:type="pct"/>
            <w:vAlign w:val="center"/>
          </w:tcPr>
          <w:p w14:paraId="400801A7">
            <w:pPr>
              <w:pStyle w:val="32"/>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484" w:type="dxa"/>
            <w:vAlign w:val="center"/>
          </w:tcPr>
          <w:p w14:paraId="008E1630">
            <w:pPr>
              <w:autoSpaceDE w:val="0"/>
              <w:autoSpaceDN w:val="0"/>
              <w:adjustRightInd w:val="0"/>
              <w:spacing w:line="360" w:lineRule="auto"/>
              <w:jc w:val="left"/>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安徽职业技术大学智能制造学院，采购人指定地点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1192" w:type="pct"/>
            <w:vAlign w:val="center"/>
          </w:tcPr>
          <w:p w14:paraId="28D0729D">
            <w:pPr>
              <w:pStyle w:val="32"/>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484" w:type="dxa"/>
            <w:vAlign w:val="center"/>
          </w:tcPr>
          <w:p w14:paraId="64A45A16">
            <w:pPr>
              <w:autoSpaceDE w:val="0"/>
              <w:autoSpaceDN w:val="0"/>
              <w:adjustRightInd w:val="0"/>
              <w:spacing w:line="360" w:lineRule="auto"/>
              <w:jc w:val="left"/>
              <w:rPr>
                <w:rFonts w:hint="eastAsia" w:ascii="宋体" w:hAnsi="宋体" w:eastAsia="宋体"/>
                <w:bCs/>
                <w:kern w:val="0"/>
                <w:sz w:val="24"/>
                <w:szCs w:val="28"/>
                <w:highlight w:val="none"/>
              </w:rPr>
            </w:pPr>
            <w:r>
              <w:rPr>
                <w:rFonts w:hint="eastAsia" w:ascii="宋体" w:hAnsi="宋体" w:eastAsia="宋体"/>
                <w:bCs/>
                <w:kern w:val="0"/>
                <w:sz w:val="24"/>
                <w:szCs w:val="28"/>
                <w:highlight w:val="none"/>
              </w:rPr>
              <w:t>自合同签订之日起45天内完成设备安装、调试</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1192" w:type="pct"/>
            <w:vAlign w:val="center"/>
          </w:tcPr>
          <w:p w14:paraId="6BA5A37C">
            <w:pPr>
              <w:pStyle w:val="32"/>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3217" w:type="pct"/>
            <w:vAlign w:val="center"/>
          </w:tcPr>
          <w:p w14:paraId="0D94A51E">
            <w:pPr>
              <w:pStyle w:val="32"/>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验收合格之日起整机质保2年</w:t>
            </w:r>
          </w:p>
        </w:tc>
      </w:tr>
    </w:tbl>
    <w:p w14:paraId="3E806DB2">
      <w:pPr>
        <w:spacing w:line="360" w:lineRule="auto"/>
        <w:ind w:firstLine="437"/>
        <w:outlineLvl w:val="1"/>
        <w:rPr>
          <w:rFonts w:hint="eastAsia" w:ascii="宋体" w:hAnsi="宋体" w:eastAsia="宋体"/>
          <w:b/>
          <w:bCs/>
          <w:sz w:val="24"/>
          <w:szCs w:val="18"/>
          <w:highlight w:val="none"/>
        </w:rPr>
      </w:pPr>
      <w:bookmarkStart w:id="33" w:name="_Toc5944"/>
      <w:bookmarkStart w:id="34" w:name="_Toc7671"/>
      <w:r>
        <w:rPr>
          <w:rFonts w:hint="eastAsia" w:ascii="宋体" w:hAnsi="宋体" w:eastAsia="宋体"/>
          <w:b/>
          <w:bCs/>
          <w:sz w:val="24"/>
          <w:szCs w:val="18"/>
          <w:highlight w:val="none"/>
        </w:rPr>
        <w:t>二、</w:t>
      </w:r>
      <w:bookmarkEnd w:id="33"/>
      <w:bookmarkEnd w:id="34"/>
      <w:r>
        <w:rPr>
          <w:rFonts w:hint="eastAsia" w:ascii="宋体" w:hAnsi="宋体" w:eastAsia="宋体"/>
          <w:b/>
          <w:sz w:val="24"/>
          <w:szCs w:val="18"/>
          <w:highlight w:val="none"/>
        </w:rPr>
        <w:t>技术需求</w:t>
      </w:r>
    </w:p>
    <w:p w14:paraId="18B94646">
      <w:pPr>
        <w:ind w:firstLine="241" w:firstLineChars="100"/>
        <w:outlineLvl w:val="1"/>
        <w:rPr>
          <w:rFonts w:hint="eastAsia" w:ascii="宋体" w:hAnsi="宋体" w:eastAsia="宋体"/>
          <w:b/>
          <w:sz w:val="24"/>
          <w:szCs w:val="18"/>
          <w:highlight w:val="none"/>
        </w:rPr>
      </w:pPr>
      <w:bookmarkStart w:id="35" w:name="_Toc4843"/>
      <w:bookmarkStart w:id="36" w:name="_Toc7421"/>
      <w:r>
        <w:rPr>
          <w:rFonts w:hint="eastAsia" w:ascii="宋体" w:hAnsi="宋体" w:eastAsia="宋体"/>
          <w:b/>
          <w:sz w:val="24"/>
          <w:szCs w:val="18"/>
          <w:highlight w:val="none"/>
        </w:rPr>
        <w:t>（一）货物指标重要性表述</w:t>
      </w:r>
    </w:p>
    <w:tbl>
      <w:tblPr>
        <w:tblStyle w:val="23"/>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1406"/>
        <w:gridCol w:w="5648"/>
      </w:tblGrid>
      <w:tr w14:paraId="2E46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C7ACA36">
            <w:pPr>
              <w:spacing w:line="360" w:lineRule="auto"/>
              <w:jc w:val="center"/>
              <w:rPr>
                <w:rFonts w:hint="eastAsia" w:ascii="宋体" w:hAnsi="宋体" w:eastAsia="宋体" w:cs="宋体"/>
                <w:bCs/>
                <w:sz w:val="24"/>
                <w:szCs w:val="18"/>
                <w:highlight w:val="none"/>
              </w:rPr>
            </w:pPr>
            <w:r>
              <w:rPr>
                <w:rFonts w:hint="eastAsia" w:ascii="宋体" w:hAnsi="宋体" w:eastAsia="宋体" w:cs="宋体"/>
                <w:bCs/>
                <w:sz w:val="24"/>
                <w:szCs w:val="18"/>
                <w:highlight w:val="none"/>
              </w:rPr>
              <w:t>标识重要性</w:t>
            </w:r>
          </w:p>
        </w:tc>
        <w:tc>
          <w:tcPr>
            <w:tcW w:w="1406" w:type="dxa"/>
            <w:vAlign w:val="center"/>
          </w:tcPr>
          <w:p w14:paraId="439F6A42">
            <w:pPr>
              <w:spacing w:line="360" w:lineRule="auto"/>
              <w:jc w:val="center"/>
              <w:rPr>
                <w:rFonts w:hint="eastAsia" w:ascii="宋体" w:hAnsi="宋体" w:eastAsia="宋体" w:cs="宋体"/>
                <w:bCs/>
                <w:sz w:val="24"/>
                <w:szCs w:val="18"/>
                <w:highlight w:val="none"/>
              </w:rPr>
            </w:pPr>
            <w:r>
              <w:rPr>
                <w:rFonts w:hint="eastAsia" w:ascii="宋体" w:hAnsi="宋体" w:eastAsia="宋体" w:cs="宋体"/>
                <w:bCs/>
                <w:sz w:val="24"/>
                <w:szCs w:val="18"/>
                <w:highlight w:val="none"/>
              </w:rPr>
              <w:t>标识符号</w:t>
            </w:r>
          </w:p>
        </w:tc>
        <w:tc>
          <w:tcPr>
            <w:tcW w:w="5648" w:type="dxa"/>
            <w:vAlign w:val="center"/>
          </w:tcPr>
          <w:p w14:paraId="3E9D73B4">
            <w:pPr>
              <w:spacing w:line="360" w:lineRule="auto"/>
              <w:jc w:val="center"/>
              <w:rPr>
                <w:rFonts w:hint="eastAsia" w:ascii="宋体" w:hAnsi="宋体" w:eastAsia="宋体" w:cs="宋体"/>
                <w:bCs/>
                <w:sz w:val="24"/>
                <w:szCs w:val="18"/>
                <w:highlight w:val="none"/>
              </w:rPr>
            </w:pPr>
            <w:r>
              <w:rPr>
                <w:rFonts w:hint="eastAsia" w:ascii="宋体" w:hAnsi="宋体" w:eastAsia="宋体" w:cs="宋体"/>
                <w:bCs/>
                <w:sz w:val="24"/>
                <w:szCs w:val="18"/>
                <w:highlight w:val="none"/>
              </w:rPr>
              <w:t>代表意思</w:t>
            </w:r>
          </w:p>
        </w:tc>
      </w:tr>
      <w:tr w14:paraId="2BC5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6CE277DF">
            <w:pPr>
              <w:spacing w:line="360" w:lineRule="auto"/>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关键性指标项</w:t>
            </w:r>
          </w:p>
        </w:tc>
        <w:tc>
          <w:tcPr>
            <w:tcW w:w="1406" w:type="dxa"/>
            <w:vAlign w:val="center"/>
          </w:tcPr>
          <w:p w14:paraId="30402496">
            <w:pPr>
              <w:spacing w:line="360" w:lineRule="auto"/>
              <w:jc w:val="center"/>
              <w:rPr>
                <w:rFonts w:hint="eastAsia" w:ascii="宋体" w:hAnsi="宋体" w:eastAsia="宋体" w:cs="宋体"/>
                <w:bCs/>
                <w:sz w:val="24"/>
                <w:szCs w:val="18"/>
                <w:highlight w:val="none"/>
              </w:rPr>
            </w:pPr>
            <w:r>
              <w:rPr>
                <w:rFonts w:hint="eastAsia" w:ascii="宋体" w:hAnsi="宋体" w:eastAsia="宋体" w:cs="宋体"/>
                <w:sz w:val="24"/>
                <w:szCs w:val="18"/>
                <w:highlight w:val="none"/>
              </w:rPr>
              <w:t>★</w:t>
            </w:r>
          </w:p>
        </w:tc>
        <w:tc>
          <w:tcPr>
            <w:tcW w:w="5648" w:type="dxa"/>
            <w:vAlign w:val="center"/>
          </w:tcPr>
          <w:p w14:paraId="1AD3689D">
            <w:pPr>
              <w:spacing w:line="360" w:lineRule="auto"/>
              <w:jc w:val="center"/>
              <w:rPr>
                <w:rFonts w:hint="eastAsia" w:ascii="宋体" w:hAnsi="宋体" w:eastAsia="宋体" w:cs="宋体"/>
                <w:bCs/>
                <w:sz w:val="24"/>
                <w:szCs w:val="18"/>
                <w:highlight w:val="none"/>
              </w:rPr>
            </w:pPr>
            <w:r>
              <w:rPr>
                <w:rFonts w:hint="eastAsia" w:ascii="宋体" w:hAnsi="宋体" w:eastAsia="宋体" w:cs="宋体"/>
                <w:sz w:val="24"/>
                <w:szCs w:val="18"/>
                <w:highlight w:val="none"/>
              </w:rPr>
              <w:t>不满足该指标项将导致投标被拒绝</w:t>
            </w:r>
          </w:p>
        </w:tc>
      </w:tr>
      <w:tr w14:paraId="09D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B237C84">
            <w:pPr>
              <w:spacing w:line="360" w:lineRule="auto"/>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重要指标项</w:t>
            </w:r>
          </w:p>
        </w:tc>
        <w:tc>
          <w:tcPr>
            <w:tcW w:w="1406" w:type="dxa"/>
            <w:vAlign w:val="center"/>
          </w:tcPr>
          <w:p w14:paraId="1874797A">
            <w:pPr>
              <w:spacing w:line="360" w:lineRule="auto"/>
              <w:jc w:val="center"/>
              <w:rPr>
                <w:rFonts w:hint="eastAsia" w:ascii="宋体" w:hAnsi="宋体" w:eastAsia="宋体" w:cs="宋体"/>
                <w:bCs/>
                <w:sz w:val="24"/>
                <w:szCs w:val="18"/>
                <w:highlight w:val="none"/>
              </w:rPr>
            </w:pPr>
            <w:r>
              <w:rPr>
                <w:rFonts w:hint="eastAsia" w:ascii="宋体" w:hAnsi="宋体" w:eastAsia="宋体" w:cs="宋体"/>
                <w:sz w:val="24"/>
                <w:szCs w:val="18"/>
                <w:highlight w:val="none"/>
              </w:rPr>
              <w:t>■</w:t>
            </w:r>
          </w:p>
        </w:tc>
        <w:tc>
          <w:tcPr>
            <w:tcW w:w="5648" w:type="dxa"/>
            <w:vAlign w:val="center"/>
          </w:tcPr>
          <w:p w14:paraId="7B226886">
            <w:pPr>
              <w:spacing w:line="360" w:lineRule="auto"/>
              <w:jc w:val="center"/>
              <w:rPr>
                <w:rFonts w:hint="eastAsia" w:ascii="宋体" w:hAnsi="宋体" w:eastAsia="宋体" w:cs="宋体"/>
                <w:bCs/>
                <w:sz w:val="24"/>
                <w:szCs w:val="18"/>
                <w:highlight w:val="none"/>
              </w:rPr>
            </w:pPr>
            <w:r>
              <w:rPr>
                <w:rFonts w:hint="eastAsia" w:ascii="宋体" w:hAnsi="宋体" w:eastAsia="宋体" w:cs="宋体"/>
                <w:sz w:val="24"/>
                <w:szCs w:val="24"/>
                <w:highlight w:val="none"/>
              </w:rPr>
              <w:t>评分项，每满足一项得2.5分</w:t>
            </w:r>
          </w:p>
        </w:tc>
      </w:tr>
      <w:tr w14:paraId="4786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7CA23034">
            <w:pPr>
              <w:spacing w:line="360" w:lineRule="auto"/>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无标识项</w:t>
            </w:r>
          </w:p>
        </w:tc>
        <w:tc>
          <w:tcPr>
            <w:tcW w:w="1406" w:type="dxa"/>
            <w:vAlign w:val="center"/>
          </w:tcPr>
          <w:p w14:paraId="0FB787C9">
            <w:pPr>
              <w:spacing w:line="360" w:lineRule="auto"/>
              <w:jc w:val="center"/>
              <w:rPr>
                <w:rFonts w:hint="eastAsia" w:ascii="宋体" w:hAnsi="宋体" w:eastAsia="宋体" w:cs="宋体"/>
                <w:bCs/>
                <w:sz w:val="24"/>
                <w:szCs w:val="18"/>
                <w:highlight w:val="none"/>
              </w:rPr>
            </w:pPr>
          </w:p>
        </w:tc>
        <w:tc>
          <w:tcPr>
            <w:tcW w:w="5648" w:type="dxa"/>
            <w:vAlign w:val="center"/>
          </w:tcPr>
          <w:p w14:paraId="7EA14BA1">
            <w:pPr>
              <w:spacing w:line="360" w:lineRule="auto"/>
              <w:jc w:val="center"/>
              <w:rPr>
                <w:rFonts w:hint="eastAsia" w:ascii="宋体" w:hAnsi="宋体" w:eastAsia="宋体" w:cs="宋体"/>
                <w:bCs/>
                <w:sz w:val="24"/>
                <w:szCs w:val="18"/>
                <w:highlight w:val="none"/>
              </w:rPr>
            </w:pPr>
            <w:r>
              <w:rPr>
                <w:rFonts w:hint="eastAsia" w:ascii="宋体" w:hAnsi="宋体" w:eastAsia="宋体" w:cs="宋体"/>
                <w:sz w:val="24"/>
                <w:szCs w:val="24"/>
                <w:highlight w:val="none"/>
              </w:rPr>
              <w:t>5项及以上</w:t>
            </w:r>
            <w:r>
              <w:rPr>
                <w:rFonts w:ascii="宋体" w:hAnsi="宋体" w:eastAsia="宋体" w:cs="宋体"/>
                <w:snapToGrid w:val="0"/>
                <w:color w:val="000000"/>
                <w:spacing w:val="-1"/>
                <w:kern w:val="0"/>
                <w:sz w:val="24"/>
                <w:szCs w:val="24"/>
                <w:highlight w:val="none"/>
              </w:rPr>
              <w:t>未响应或负偏离</w:t>
            </w:r>
            <w:r>
              <w:rPr>
                <w:rFonts w:hint="eastAsia" w:ascii="宋体" w:hAnsi="宋体" w:eastAsia="宋体" w:cs="宋体"/>
                <w:sz w:val="24"/>
                <w:szCs w:val="24"/>
                <w:highlight w:val="none"/>
              </w:rPr>
              <w:t>的视为无效投标</w:t>
            </w:r>
          </w:p>
        </w:tc>
      </w:tr>
    </w:tbl>
    <w:p w14:paraId="0B5CB1B8">
      <w:pPr>
        <w:rPr>
          <w:rFonts w:hint="eastAsia" w:ascii="宋体" w:hAnsi="宋体" w:eastAsia="宋体" w:cs="宋体"/>
          <w:b/>
          <w:bCs/>
          <w:sz w:val="24"/>
          <w:szCs w:val="24"/>
          <w:highlight w:val="none"/>
        </w:rPr>
      </w:pPr>
    </w:p>
    <w:p w14:paraId="05306F98">
      <w:pPr>
        <w:outlineLvl w:val="1"/>
        <w:rPr>
          <w:rFonts w:hint="eastAsia" w:ascii="宋体" w:hAnsi="宋体" w:eastAsia="宋体" w:cs="宋体"/>
          <w:sz w:val="24"/>
          <w:szCs w:val="24"/>
          <w:highlight w:val="none"/>
        </w:rPr>
      </w:pPr>
      <w:r>
        <w:rPr>
          <w:rFonts w:hint="eastAsia" w:ascii="宋体" w:hAnsi="宋体" w:eastAsia="宋体" w:cs="宋体"/>
          <w:b/>
          <w:bCs/>
          <w:sz w:val="24"/>
          <w:szCs w:val="24"/>
          <w:highlight w:val="none"/>
        </w:rPr>
        <w:t>（二）货物指标要求</w:t>
      </w:r>
    </w:p>
    <w:tbl>
      <w:tblPr>
        <w:tblStyle w:val="23"/>
        <w:tblW w:w="55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8170"/>
        <w:gridCol w:w="696"/>
        <w:gridCol w:w="456"/>
        <w:gridCol w:w="456"/>
      </w:tblGrid>
      <w:tr w14:paraId="531A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pct"/>
            <w:vAlign w:val="center"/>
          </w:tcPr>
          <w:p w14:paraId="29EC938F">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序号</w:t>
            </w:r>
          </w:p>
        </w:tc>
        <w:tc>
          <w:tcPr>
            <w:tcW w:w="515" w:type="pct"/>
            <w:vAlign w:val="center"/>
          </w:tcPr>
          <w:p w14:paraId="47432142">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货物</w:t>
            </w:r>
          </w:p>
          <w:p w14:paraId="7E78E211">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名称</w:t>
            </w:r>
          </w:p>
        </w:tc>
        <w:tc>
          <w:tcPr>
            <w:tcW w:w="2714" w:type="pct"/>
            <w:vAlign w:val="center"/>
          </w:tcPr>
          <w:p w14:paraId="62B5AE4E">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技术参数及要求</w:t>
            </w:r>
          </w:p>
        </w:tc>
        <w:tc>
          <w:tcPr>
            <w:tcW w:w="557" w:type="pct"/>
            <w:vAlign w:val="center"/>
          </w:tcPr>
          <w:p w14:paraId="740E8F16">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数量</w:t>
            </w:r>
          </w:p>
          <w:p w14:paraId="33DE8E50">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（单位）</w:t>
            </w:r>
          </w:p>
        </w:tc>
        <w:tc>
          <w:tcPr>
            <w:tcW w:w="417" w:type="pct"/>
            <w:vAlign w:val="center"/>
          </w:tcPr>
          <w:p w14:paraId="15C09599">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所属行业</w:t>
            </w:r>
          </w:p>
        </w:tc>
        <w:tc>
          <w:tcPr>
            <w:tcW w:w="397" w:type="pct"/>
            <w:vAlign w:val="center"/>
          </w:tcPr>
          <w:p w14:paraId="6EC374CA">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备注</w:t>
            </w:r>
          </w:p>
        </w:tc>
      </w:tr>
      <w:tr w14:paraId="79ED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98" w:type="pct"/>
            <w:vAlign w:val="center"/>
          </w:tcPr>
          <w:p w14:paraId="17EA2613">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515" w:type="pct"/>
            <w:vAlign w:val="center"/>
          </w:tcPr>
          <w:p w14:paraId="1F7537E5">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sz w:val="24"/>
                <w:szCs w:val="24"/>
                <w:highlight w:val="none"/>
              </w:rPr>
              <w:t>工业网络智能控制与维护系统</w:t>
            </w:r>
          </w:p>
        </w:tc>
        <w:tc>
          <w:tcPr>
            <w:tcW w:w="2714" w:type="pct"/>
            <w:vAlign w:val="center"/>
          </w:tcPr>
          <w:p w14:paraId="294D8D9B">
            <w:pPr>
              <w:pStyle w:val="3"/>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kern w:val="0"/>
                <w:sz w:val="24"/>
                <w:highlight w:val="none"/>
              </w:rPr>
              <w:t>一、工业互联网应用平台单元</w:t>
            </w:r>
          </w:p>
          <w:p w14:paraId="4874D188">
            <w:pPr>
              <w:pStyle w:val="3"/>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（一）、技术参数</w:t>
            </w:r>
          </w:p>
          <w:p w14:paraId="5FDDF04E">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工作电源：单相三线 AC 220 V±5% 50Hz；</w:t>
            </w:r>
          </w:p>
          <w:p w14:paraId="10E861C6">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设备尺寸：</w:t>
            </w:r>
            <w:bookmarkStart w:id="37" w:name="OLE_LINK6"/>
            <w:r>
              <w:rPr>
                <w:rFonts w:hint="eastAsia" w:asciiTheme="minorEastAsia" w:hAnsiTheme="minorEastAsia" w:eastAsiaTheme="minorEastAsia" w:cstheme="minorEastAsia"/>
                <w:color w:val="000000"/>
                <w:sz w:val="24"/>
                <w:highlight w:val="none"/>
              </w:rPr>
              <w:t>≥</w:t>
            </w:r>
            <w:bookmarkEnd w:id="37"/>
            <w:r>
              <w:rPr>
                <w:rFonts w:hint="eastAsia" w:asciiTheme="minorEastAsia" w:hAnsiTheme="minorEastAsia" w:eastAsiaTheme="minorEastAsia" w:cstheme="minorEastAsia"/>
                <w:color w:val="000000"/>
                <w:sz w:val="24"/>
                <w:highlight w:val="none"/>
              </w:rPr>
              <w:t>L3200mm×W1300mm×H1900mm；</w:t>
            </w:r>
          </w:p>
          <w:p w14:paraId="71F789FB">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额定功耗：≥3.5kW；</w:t>
            </w:r>
          </w:p>
          <w:p w14:paraId="7083D07D">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设备重量：≥360kg；</w:t>
            </w:r>
          </w:p>
          <w:p w14:paraId="62816D60">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安全保护措施：具有急停按钮，漏电保护，过压过电流保护，过热保护，接地保护。</w:t>
            </w:r>
          </w:p>
          <w:p w14:paraId="27788A80">
            <w:pPr>
              <w:pStyle w:val="3"/>
              <w:numPr>
                <w:ilvl w:val="0"/>
                <w:numId w:val="1"/>
              </w:numPr>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配套工业互联网编程终端功能要求包含但不限于编程写代码、数据分析、数据存储、文件拷贝 / 删除、文件管理、文件夹整理、协助现场设备调试、程序上传 / 下载、组态画面编辑、界面布局调整。</w:t>
            </w:r>
          </w:p>
          <w:p w14:paraId="460F228D">
            <w:pPr>
              <w:pStyle w:val="3"/>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（二）配置</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696"/>
              <w:gridCol w:w="6336"/>
            </w:tblGrid>
            <w:tr w14:paraId="23DD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tcPr>
                <w:p w14:paraId="6BDBA00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序号</w:t>
                  </w:r>
                </w:p>
              </w:tc>
              <w:tc>
                <w:tcPr>
                  <w:tcW w:w="287" w:type="pct"/>
                </w:tcPr>
                <w:p w14:paraId="4D57C77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名称</w:t>
                  </w:r>
                </w:p>
              </w:tc>
              <w:tc>
                <w:tcPr>
                  <w:tcW w:w="4426" w:type="pct"/>
                  <w:gridSpan w:val="2"/>
                </w:tcPr>
                <w:p w14:paraId="64FEFDA5">
                  <w:pPr>
                    <w:pStyle w:val="3"/>
                    <w:widowControl/>
                    <w:adjustRightInd w:val="0"/>
                    <w:snapToGrid w:val="0"/>
                    <w:ind w:firstLine="0"/>
                    <w:jc w:val="center"/>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主要技术指标</w:t>
                  </w:r>
                </w:p>
              </w:tc>
            </w:tr>
            <w:tr w14:paraId="66D7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tcPr>
                <w:p w14:paraId="340553D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w:t>
                  </w:r>
                </w:p>
              </w:tc>
              <w:tc>
                <w:tcPr>
                  <w:tcW w:w="287" w:type="pct"/>
                </w:tcPr>
                <w:p w14:paraId="5C95BEF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工作台</w:t>
                  </w:r>
                </w:p>
              </w:tc>
              <w:tc>
                <w:tcPr>
                  <w:tcW w:w="4426" w:type="pct"/>
                  <w:gridSpan w:val="2"/>
                </w:tcPr>
                <w:p w14:paraId="7EDCA8A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1、工作台外形尺寸≥长800mm宽1300mm高1900mm，带有≥4个福马轮壳；工作台≥4个角采用R型铝型材设计，铝型材壁厚≥2.0mm，长度≥1700mm ≥2根，长度≥570mm，≥ 2根；工作台底座采用钢板焊接而成，外形尺寸≥800mm*1300mm*80mm；工作台前后都设计有门，后门采用钣金结构尺寸≥640mm*610mm*20mm,钣金厚度≥1.5mm，前门采用钣金和有机玻璃机构尺寸≥640mm*610mm*20mm,钣金厚度≥1.5mm，有机玻璃尺寸≥80mm*80mm*15mm,门上装有拉手；工作台左右侧板采用钣金结构，为固定安装形式，外形尺寸≥1180mm*710mm*40mm,钣金厚度≥1.5mm。工作台采用≥6层设计，分别是电气层、鼠标键盘层、控制系统层、控制对象层、可视化层、照明层；工作台采用钣金和铝合金结构，台子整体色调以白色为主，蓝色为配色；电气层用于安装空气开关、电源及保护、插座、开关电源等，采用网孔板设计外形尺寸≥630mm*440mm*40mm，钣金厚度≥1.5mm；鼠标键盘层用于鼠标和键盘的操作平台，采用钣金设计外形尺寸≥550mmx320mm；控制系统层用于安装可编程控制器等器件，采用钣金设计外形尺寸≥720mm*420mm*220mm，钣金厚度≥1.5mm；控制对象层用于安装各种不同机械部件，采用工业铝型材拼接而成，铝型材壁厚≥3.5mm，有效面积≥720mm*960mm；可视化层用于安装液晶显示器，安装支架尺寸≥720mm*200mm*1.5mm；外形尺寸≥640mm*100mm*40mm。</w:t>
                  </w:r>
                </w:p>
                <w:p w14:paraId="0F255B7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■2、设有LED照明系统，照明灯采用专用C字型铝合金型材设计，表面采用喷砂氧化工艺处理；截面规格≥100*100mm±10%，壁厚≥1mm；前部设有漫反射板（透光板），厚度≥1mm，安装角度（照射角度）为45度。（</w:t>
                  </w:r>
                  <w:r>
                    <w:rPr>
                      <w:rFonts w:hint="eastAsia" w:asciiTheme="minorEastAsia" w:hAnsiTheme="minorEastAsia" w:eastAsiaTheme="minorEastAsia" w:cstheme="minorEastAsia"/>
                      <w:b/>
                      <w:bCs/>
                      <w:color w:val="000000"/>
                      <w:sz w:val="24"/>
                      <w:highlight w:val="none"/>
                    </w:rPr>
                    <w:t xml:space="preserve">投标文件中提供由具备相应检验检测能力的检验检测机构出具的检测报告扫描件） </w:t>
                  </w:r>
                </w:p>
              </w:tc>
            </w:tr>
            <w:tr w14:paraId="3B10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restart"/>
                </w:tcPr>
                <w:p w14:paraId="07AB744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w:t>
                  </w:r>
                </w:p>
              </w:tc>
              <w:tc>
                <w:tcPr>
                  <w:tcW w:w="287" w:type="pct"/>
                  <w:vMerge w:val="restart"/>
                </w:tcPr>
                <w:p w14:paraId="157F3C7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数据管理单元</w:t>
                  </w:r>
                </w:p>
              </w:tc>
              <w:tc>
                <w:tcPr>
                  <w:tcW w:w="438" w:type="pct"/>
                </w:tcPr>
                <w:p w14:paraId="7350763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数据中心PLC</w:t>
                  </w:r>
                </w:p>
              </w:tc>
              <w:tc>
                <w:tcPr>
                  <w:tcW w:w="3988" w:type="pct"/>
                </w:tcPr>
                <w:p w14:paraId="2DC7D68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具有工作存储器的中央处理单元≥150 KB用于程序，1Mb用于数据。接口:PROFINET IRT 2端口开关，60ns位性能，配套4Mb 存储卡</w:t>
                  </w:r>
                </w:p>
                <w:p w14:paraId="0ED19B9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r>
            <w:tr w14:paraId="2EB3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3D13364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4C3A8D2">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DC8892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数据中心触摸屏</w:t>
                  </w:r>
                </w:p>
              </w:tc>
              <w:tc>
                <w:tcPr>
                  <w:tcW w:w="3988" w:type="pct"/>
                </w:tcPr>
                <w:p w14:paraId="4503DF12">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≥7英寸 TFT 显示屏，≥800* 480 像素，64K 色；按键和触摸操作，≥8 个功能键；≥1个 PROFINET接口，≥1个  USB口</w:t>
                  </w:r>
                </w:p>
              </w:tc>
            </w:tr>
            <w:tr w14:paraId="2F9C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C962626">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B7BD08A">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344F22E4">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云平台模块</w:t>
                  </w:r>
                </w:p>
              </w:tc>
              <w:tc>
                <w:tcPr>
                  <w:tcW w:w="3988" w:type="pct"/>
                </w:tcPr>
                <w:p w14:paraId="4194853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硬件：工控机支持千兆以太网，灵活的网络应用环境，牢固耐用、抗震动抗破坏能力强、可靠度高。内存≥8G，存储≥128G。外部 I/O含：≥4路千兆网卡控制器、4路USB3.0、1路RS-232/422/485、≥4只LED状态灯（PWR\SATA\USER1\USER2）、≥1路RESET按键，最大分辨率可达 1920x1200 @60Hz。供电电源24VDC；功耗：60W；尺寸：</w:t>
                  </w:r>
                  <w:bookmarkStart w:id="38" w:name="OLE_LINK1"/>
                  <w:r>
                    <w:rPr>
                      <w:rFonts w:hint="eastAsia" w:asciiTheme="minorEastAsia" w:hAnsiTheme="minorEastAsia" w:eastAsiaTheme="minorEastAsia" w:cstheme="minorEastAsia"/>
                      <w:color w:val="000000"/>
                      <w:sz w:val="24"/>
                      <w:highlight w:val="none"/>
                    </w:rPr>
                    <w:t>≥</w:t>
                  </w:r>
                  <w:bookmarkEnd w:id="38"/>
                  <w:r>
                    <w:rPr>
                      <w:rFonts w:hint="eastAsia" w:asciiTheme="minorEastAsia" w:hAnsiTheme="minorEastAsia" w:eastAsiaTheme="minorEastAsia" w:cstheme="minorEastAsia"/>
                      <w:color w:val="000000"/>
                      <w:sz w:val="24"/>
                      <w:highlight w:val="none"/>
                    </w:rPr>
                    <w:t>236 * 165 *65.5mm（长 * 宽 * 高）；重量：≥2.0kg；工作温度：0-60℃ 相对湿度：10~95%；防护等级：IP30。</w:t>
                  </w:r>
                </w:p>
                <w:p w14:paraId="09C3B1C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液晶显示器≥31.5寸。配套HDMI转DVI连接线、鼠标键盘等。</w:t>
                  </w:r>
                </w:p>
                <w:p w14:paraId="191188E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云平台模块采用本地化部署面向远程数据采集的行业应用平台，系统采用 BS 架构涵盖功能包括设备接入、设备管理、数据存储、数据展示、数据分析、用户管理、维保工单、配方管理等部分。平台免编程，免安装软件、无需专业技能、可快速便捷实现产品与系统的联接，打造专属物联平台。实现对设备的远程数据监测、参数设置和功能控制。设备间更紧密的组合联动（多台 PLC 构成的设备系统的集中监控）。平台应用场合设备故障远程诊断，实时监控。软件界面包含首页（地图、信息栏、增长率统计、最新报警、最新维保、平台设备型号对比），项目（项目菜单分块显示所有项目，项目块底部条形呈绿色表示该项目有设备在线，灰色表示该项目无设备在线，鼠标移动至条形可查看该项目下具体的在线设备和不在线设备名称以及是否有通讯故障），配置（配置菜单分块显示所有项目。点击添加项目，录入项目名称，可选择定位，点击保存即可完成添加。项目支持导入、导出、删除、编辑，方便操作。项目配置具体分为≥ 6 个配置模块：设备配置、项目组态配置、报警源配置、设备状态统计、条件赋值、报表），组态大屏（包含大屏配置、大屏查看），数据分析（历史数据功能块，可按照自主选定的时间段，查询数据采集配置中配置的采集任务，支持以表格、折线图、柱状图三种类型显示。表格可导出成 Excel。设备在线状态统计是记录网关下所监控的设备的运行状态，运行状态可以根据配置中设备状态统计配置中配置的模板进行过统计。支持阶梯图查看状态切换时间点，饼状图查看各状态时常对比。报表数据，云端报表数据点对应 PLC 中的报表数据寄存器，PLC 中寄存器数据一直累加，云端每天0 点自动进行计算，生成每天的产量并记录。可以按日、月、年查看报表，支持表格、折线图、饼状图、柱状图四种方式显示。 需要统计的数据点，在项目配置→ 报表中进行配置），报警（报警功能栏中，会将项目中配置好的报警源设置中的报警任务触发时进行统计），维保（用户可以在此处报修，可以派单，派单后维修人员可以在我的工单接单，并且选择完成工单。 用户可以根据出厂时间制定维保计划，到期后，可以进行派单，并且维修人员可以在 APP 上处理工单。在【工单管理】可以查看工单详情，包括工单信息、流程、报告等），配方（云平台配方功能，支持源数据存储数据库，数据储存量远超触摸屏，灵活筛选自动下发），用户及授权，分期管理，日志等。</w:t>
                  </w:r>
                </w:p>
              </w:tc>
            </w:tr>
            <w:tr w14:paraId="42E8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6673F9EC">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905647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4C955677">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网络及采集模块</w:t>
                  </w:r>
                </w:p>
              </w:tc>
              <w:tc>
                <w:tcPr>
                  <w:tcW w:w="3988" w:type="pct"/>
                </w:tcPr>
                <w:p w14:paraId="0069009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交换机*1：≥8口千兆工业交换机。</w:t>
                  </w:r>
                </w:p>
                <w:p w14:paraId="55FC63F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串口服务器*1：≥4串口转以太网网口模块。</w:t>
                  </w:r>
                </w:p>
                <w:p w14:paraId="39804DA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数据采集网关*1：，主频 ≥300MHz，内存 ≥128M DDR，≥16M FLASH， 支持 WIFI 和以太网接入网络，支持 ≥2路10M/100M自适应端口，支持RS232/RS485/RS422端口，具有看门狗管理，支持数据采集、PLC 远程上下载程序、断网续传和交换机功能。</w:t>
                  </w:r>
                </w:p>
              </w:tc>
            </w:tr>
            <w:tr w14:paraId="10AF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10B1BD8">
                  <w:pPr>
                    <w:pStyle w:val="3"/>
                    <w:widowControl/>
                    <w:adjustRightInd w:val="0"/>
                    <w:snapToGrid w:val="0"/>
                    <w:ind w:firstLine="0"/>
                    <w:rPr>
                      <w:rFonts w:hint="eastAsia" w:asciiTheme="minorEastAsia" w:hAnsiTheme="minorEastAsia" w:eastAsiaTheme="minorEastAsia" w:cstheme="minorEastAsia"/>
                      <w:color w:val="000000"/>
                      <w:sz w:val="24"/>
                      <w:highlight w:val="none"/>
                    </w:rPr>
                  </w:pPr>
                  <w:bookmarkStart w:id="39" w:name="_Hlk229738541"/>
                </w:p>
              </w:tc>
              <w:tc>
                <w:tcPr>
                  <w:tcW w:w="287" w:type="pct"/>
                  <w:vMerge w:val="continue"/>
                </w:tcPr>
                <w:p w14:paraId="21614641">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5C6595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工业物联网管理与安全模块</w:t>
                  </w:r>
                </w:p>
              </w:tc>
              <w:tc>
                <w:tcPr>
                  <w:tcW w:w="3988" w:type="pct"/>
                </w:tcPr>
                <w:p w14:paraId="0195E32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环网三层网管交换机*3：</w:t>
                  </w:r>
                </w:p>
                <w:p w14:paraId="7CA15315">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提供≥8个10/100/1000M自适应RJ45 端口和≥2个千兆SFP端口；电压输入：12/24/48 VDC (9.6~ 60 VDC)，支持反接保护；IP30防护；提供三层管理、云管理功能，适应各类复杂网络环境；三路电源输入，冗余备份；</w:t>
                  </w:r>
                </w:p>
                <w:p w14:paraId="08E8ECB2">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协议标准：兼容Modbus TCP、Ethernet/IP、Profinet等协议，可实现透明数据传输；</w:t>
                  </w:r>
                </w:p>
                <w:p w14:paraId="341240C8">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路由功能：支持RIP、支持静态路由、支持ARP代理；</w:t>
                  </w:r>
                </w:p>
                <w:p w14:paraId="0A667F0D">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安全特性：支持基于时间段的L2~L4包过滤、支持基于流的限速、目的端口重定向、QoS重标记、支持基于端口、VLAN下发Policy；</w:t>
                  </w:r>
                </w:p>
                <w:p w14:paraId="10187703">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访问控制：支持基于时间段的L2~L4包过滤、支持基于流的限速、目的端口重定向、QoS重标记、支持基于端口、VLAN下发Policy；</w:t>
                  </w:r>
                </w:p>
                <w:p w14:paraId="4180D9C2">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地址表：MAC地址显示/查询、MAC地址过滤，静态MAC地址设置、动态MAC地址管理，支持IVL；</w:t>
                  </w:r>
                </w:p>
                <w:p w14:paraId="033AD096">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端口管理：端口汇聚、端口监控、端口限速，风暴抑制；</w:t>
                  </w:r>
                </w:p>
                <w:p w14:paraId="1A3AAFFA">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生成树：STP (802.1d)、RSTP (802.1w)、MSTP (802.1s)，生成树安全；</w:t>
                  </w:r>
                </w:p>
                <w:p w14:paraId="58013E4E">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组播管理：IGMP V1/V2/V3，组播地址管理、组播VLAN、组播路由端口、静态组播地址，未知组播丢弃、组播过滤、Fast Leave；</w:t>
                  </w:r>
                </w:p>
                <w:p w14:paraId="1A898A37">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QoS：≥8个端口队列，支持基于端口、802.1P及DSCP/ToS的优先级，支持Equ、SP、WRR、SP+WRR四种优先级调度模式；</w:t>
                  </w:r>
                </w:p>
                <w:p w14:paraId="02B1B8A4">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DHCP：DHCP Server、DHCP中继，DHCP Snooping、DHCP 攻击防护、Option82；</w:t>
                  </w:r>
                </w:p>
                <w:p w14:paraId="78F9B12E">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系统维护：支持配置导入导出和系统时间设置，环回检测、线缆检测、Ping、Tracert检测，显示/过滤系统日志、日志服务器；</w:t>
                  </w:r>
                </w:p>
                <w:p w14:paraId="10F302F7">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系统管理：支持基于HTTP、SSL(v2/v3/TLSv1)的Web管理，支持SNMP V1/V2/V3，</w:t>
                  </w:r>
                  <w:r>
                    <w:rPr>
                      <w:rFonts w:asciiTheme="minorEastAsia" w:hAnsiTheme="minorEastAsia" w:eastAsiaTheme="minorEastAsia" w:cstheme="minorEastAsia"/>
                      <w:color w:val="000000"/>
                      <w:sz w:val="24"/>
                      <w:highlight w:val="none"/>
                    </w:rPr>
                    <w:t>兼容标准公有 MIB</w:t>
                  </w:r>
                  <w:r>
                    <w:rPr>
                      <w:rFonts w:hint="eastAsia" w:asciiTheme="minorEastAsia" w:hAnsiTheme="minorEastAsia" w:eastAsiaTheme="minorEastAsia" w:cstheme="minorEastAsia"/>
                      <w:color w:val="000000"/>
                      <w:sz w:val="24"/>
                      <w:highlight w:val="none"/>
                    </w:rPr>
                    <w:t>。</w:t>
                  </w:r>
                </w:p>
                <w:p w14:paraId="53979E0E">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安全管理 ：支持基于端口、MAC、IP地址的安全管理；</w:t>
                  </w:r>
                </w:p>
                <w:p w14:paraId="2AC76012">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环网：支持ERPS环网协议、支持RPL配置。</w:t>
                  </w:r>
                </w:p>
                <w:p w14:paraId="5B7370EA">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p>
                <w:p w14:paraId="7D97B460">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工业防火墙*1：</w:t>
                  </w:r>
                </w:p>
                <w:p w14:paraId="75A6A2E1">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多核≥64位网络专用处理器，≥2GB DDRIV高速内存、≥5个千兆RJ45端口；支持配置安全策略、审计策略、带宽策略、NAT策略等；支持丰富的策略对象（安全区域、地址、应用、黑白名单、安全配置文件、入侵防御、审计配置文件等）；支持丰富的网络功能，静态路由、策略路由、智能均衡、VPN（IPSec/PPTP/L2TP VPN）、DDNS等；多管理员角色，精细化权限管理；支持首包应用识别，提升应用识别性能。</w:t>
                  </w:r>
                </w:p>
                <w:p w14:paraId="6A5C04A1">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端口：≥5个10/100/1000M RJ45端口、≥1个USB存储口、≥1个Console端口、≥1个Micro SD卡槽；处理器：多核64位ARM网络专用处理器；内存：≥DDRIV 2GB；存储≥：128MB NOR+8GB eMMC；</w:t>
                  </w:r>
                </w:p>
                <w:p w14:paraId="7849D9B6">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软件功能：策略配置 。安全策略、审计策略。检测策略（加密流量检测）。带宽策略（带宽控制、连接数限制、连接数监控）。NAT策略（NAPT、一对一NAT、虚拟服务器、NAT-DMZ、UPnP）。ALG策略（FTP ALG、H.323 ALG、PPTP ALG、SIP ALG）；</w:t>
                  </w:r>
                </w:p>
                <w:p w14:paraId="71929DB6">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策略对象：安全区域、地址、用户、服务、网站、应用、黑白名单、入侵防御。安全配置文件（URL过滤、文件过滤、应用行为控制、邮件内容过滤、反病毒）。审计配置文件（HTTP行为审计、FTP行为审计、邮件审计、IM审计）；</w:t>
                  </w:r>
                </w:p>
                <w:p w14:paraId="14F27CAA">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攻击防护：支持ARP防护，如ARP欺骗、ARP攻击。支持多种常见的攻击防护，如DDoS攻击、网络扫描、可疑包攻击。支持MAC地址过滤，阻断非法主机的接入；</w:t>
                  </w:r>
                </w:p>
                <w:p w14:paraId="52E26020">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网络功能：静态路由、策略路由。智能均衡。VPN（IPSec/PPTP/L2TP VPN）。动态DNS；</w:t>
                  </w:r>
                </w:p>
                <w:p w14:paraId="388685F4">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系统管理：支持中文Web网管、远程管理。支持多种管理角色。支持配置备份与导入。支持系统软件升级。支持多种日志、报表、诊断中心、面板状态。支持CLI管理、license管理及硬盘管理。支持特征库升级。</w:t>
                  </w:r>
                </w:p>
                <w:p w14:paraId="40F02469">
                  <w:pPr>
                    <w:widowControl/>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交换机*1</w:t>
                  </w:r>
                </w:p>
                <w:p w14:paraId="454CEFAB">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端口规格：≥48个千兆网口，端口数量满足教室40台电脑终端接入，预留冗余端口，方便后期扩容。</w:t>
                  </w:r>
                </w:p>
                <w:p w14:paraId="235B53DB">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性能参数：交换容量≥48Gbps，包转发率≥35Mpps，支持31台设备满负载同时在线传输，无端口阻塞。</w:t>
                  </w:r>
                </w:p>
                <w:p w14:paraId="35361569">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功能特性：支持DHCP Snooping、端口限速、VLAN划分、风暴抑制，可实现机房网络独立分区，规避校园网网络冲突。</w:t>
                  </w:r>
                </w:p>
                <w:p w14:paraId="6FA87C76">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稳定性：支持7×24小时不间断运行，适配机房全天教学使用，具备断电保护、端口自动识别功能。</w:t>
                  </w:r>
                </w:p>
                <w:p w14:paraId="5AAABBBC">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 xml:space="preserve"> 兼容性：支持主流校园网协议，可无缝对接学校核心路由器、防火墙设备。</w:t>
                  </w:r>
                </w:p>
                <w:p w14:paraId="5EDA884E">
                  <w:pPr>
                    <w:pStyle w:val="3"/>
                    <w:widowControl/>
                    <w:numPr>
                      <w:ilvl w:val="0"/>
                      <w:numId w:val="2"/>
                    </w:numPr>
                    <w:adjustRightInd w:val="0"/>
                    <w:snapToGrid w:val="0"/>
                    <w:ind w:left="0"/>
                    <w:rPr>
                      <w:rFonts w:hint="eastAsia" w:asciiTheme="minorEastAsia" w:hAnsiTheme="minorEastAsia" w:eastAsiaTheme="minorEastAsia" w:cstheme="minorEastAsia"/>
                      <w:color w:val="000000"/>
                      <w:sz w:val="24"/>
                      <w:highlight w:val="none"/>
                    </w:rPr>
                  </w:pPr>
                </w:p>
                <w:p w14:paraId="3D729FF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无线接入点*1：</w:t>
                  </w:r>
                </w:p>
                <w:p w14:paraId="55540F9B">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工业级无线AP接入点，冗余双路直流供电，以及标准PoE供电；IEC/EN 61000-4高标准工业级防护设计，适应恶劣环境；2.4GHz和5GHz双频段可选射频，无线速率可达300Mbps；支持设备工作为AP或Client两种模式，应用灵活；增强漫游技术，Client模式设备可快速漫游至信号更优的AP；</w:t>
                  </w:r>
                </w:p>
                <w:p w14:paraId="068CF1C9">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结构：IP30防护等级，支持三防漆涂层保护；</w:t>
                  </w:r>
                </w:p>
                <w:p w14:paraId="570E8B77">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无线：支持2.4GHz频段：300Mbps、5GHz频段：300Mbps，双频段选一；</w:t>
                  </w:r>
                </w:p>
                <w:p w14:paraId="7DECA91D">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端口：≥1 个10/100/1000Mbps RJ45端口（支持IEEE 802.3af PoE供电），≥1个RS-232 Console管理接口，2对直流端子供电接口（V1+,V1-,V2+,V2-），2个RP-SMA天线接口，1个接地口；</w:t>
                  </w:r>
                </w:p>
                <w:p w14:paraId="5C2650D6">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最大发射功率：2.4G：26dBm、5G：26dBm；</w:t>
                  </w:r>
                </w:p>
                <w:p w14:paraId="46F623C9">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电源：IEEE 802.3af标准PoE供电、12-48 VDC冗余直流供电，支持反接保护；</w:t>
                  </w:r>
                </w:p>
                <w:p w14:paraId="726ABA17">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管理方式：Web页面自管理（AP/Client）、无线控制器（AC）集中管理（AP）、商用网络云平台集中管理（AP/Client）；</w:t>
                  </w:r>
                </w:p>
                <w:p w14:paraId="508C4D2C">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无线功能 ：工作模式：AP/Client（AP模式提供无线覆盖，Client模式接入无线网络）。SID广播：支持。SSID数量：8（2.4GHz）+8（5GHz）。网络类型：访客网络、员工网络。无线加密：WPA、WPA2、WPA-PSK、WPA2-PSK。用户隔离：无线网络间隔离、AP内部隔离。无线MAC地址过滤：支持白名单(50)。VLAN设置：支持SSID和Tag VLAN绑定。发射功率设置：支持1dBm线性调节。支持WDS功能。支持无线客户端数量限制。QoS：WMM。支持踢除弱信号设备、禁止弱信号设备接入。增强漫游：Client模式支持。支持快速设置向导；</w:t>
                  </w:r>
                </w:p>
                <w:p w14:paraId="13B44E47">
                  <w:pPr>
                    <w:pStyle w:val="3"/>
                    <w:widowControl/>
                    <w:numPr>
                      <w:ilvl w:val="0"/>
                      <w:numId w:val="3"/>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系统管理：设备管理：全中文WEB管理。支持系统日志、恢复出厂设置、备份配置、导入配置、软件升级、Ping看门狗。</w:t>
                  </w:r>
                </w:p>
              </w:tc>
            </w:tr>
            <w:bookmarkEnd w:id="39"/>
            <w:tr w14:paraId="5673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B24BC9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2EA1F01">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94268E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LoRa数传终端</w:t>
                  </w:r>
                </w:p>
              </w:tc>
              <w:tc>
                <w:tcPr>
                  <w:tcW w:w="3988" w:type="pct"/>
                </w:tcPr>
                <w:p w14:paraId="6A3DAD4D">
                  <w:pPr>
                    <w:pStyle w:val="3"/>
                    <w:widowControl/>
                    <w:numPr>
                      <w:ilvl w:val="0"/>
                      <w:numId w:val="4"/>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支持  RS232/485 接口，支持定点发送模式，数据重传机制，数据加密传输，≥8000 米传输距离、硬件看门狗，永不死机， ESD 保护、电源防浪涌。</w:t>
                  </w:r>
                </w:p>
              </w:tc>
            </w:tr>
            <w:tr w14:paraId="458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9E33195">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4D89FE7">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793DB46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检测模块</w:t>
                  </w:r>
                </w:p>
              </w:tc>
              <w:tc>
                <w:tcPr>
                  <w:tcW w:w="3988" w:type="pct"/>
                </w:tcPr>
                <w:p w14:paraId="07CE8D37">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智能电表*1：</w:t>
                  </w:r>
                </w:p>
                <w:p w14:paraId="1A3FD914">
                  <w:pPr>
                    <w:pStyle w:val="3"/>
                    <w:widowControl/>
                    <w:numPr>
                      <w:ilvl w:val="0"/>
                      <w:numId w:val="5"/>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电能采集模块用于采集设备的电压、电流、瞬时总有功功率、瞬时总无功功率、瞬时总视在功率、电网频率等数据给云平台上。计度范围 ：0～999999 kWh（显示只有 6 位，小数点自动移位）。显示方式 ：LCD显示 。通信规约：DL/T 645-2007《多功能电能表通信协议》(默认) Modbus-RTU 协议。直接接入式百分数误差极限（%） ：≥±1.0 。 通讯功能：仪表采用 RS485 通信方式。输出功能：电能表的电能脉冲输出接口为无源光电隔离型输出，输出脉冲波形为≥ 80±16ms方波。</w:t>
                  </w:r>
                </w:p>
                <w:p w14:paraId="7FB8C67E">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温湿度采集传感器*1：</w:t>
                  </w:r>
                </w:p>
                <w:p w14:paraId="77BFCF07">
                  <w:pPr>
                    <w:pStyle w:val="3"/>
                    <w:widowControl/>
                    <w:numPr>
                      <w:ilvl w:val="0"/>
                      <w:numId w:val="6"/>
                    </w:numPr>
                    <w:adjustRightInd w:val="0"/>
                    <w:snapToGrid w:val="0"/>
                    <w:ind w:left="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 xml:space="preserve">供电电源：12V-24VDC；输出信号：RS485；温度测量范围：-20°C至80°C；温度测量精度：±0.2°C； </w:t>
                  </w:r>
                </w:p>
                <w:p w14:paraId="14742F2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r>
            <w:tr w14:paraId="25B1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DDDF358">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14D387BD">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55106EC2">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移动终端</w:t>
                  </w:r>
                </w:p>
              </w:tc>
              <w:tc>
                <w:tcPr>
                  <w:tcW w:w="3988" w:type="pct"/>
                </w:tcPr>
                <w:p w14:paraId="708C4A3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主要为工业数据可视化 app 应用，配置如下：</w:t>
                  </w:r>
                </w:p>
                <w:p w14:paraId="30D55AF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1）网络类型：wifi。</w:t>
                  </w:r>
                </w:p>
                <w:p w14:paraId="7D11217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2）内存：≥4GB。</w:t>
                  </w:r>
                </w:p>
                <w:p w14:paraId="75CA307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3）存储容量：≥32GB。</w:t>
                  </w:r>
                </w:p>
                <w:p w14:paraId="2532AC9E">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4）分辨率：≥1600*2560。</w:t>
                  </w:r>
                </w:p>
                <w:p w14:paraId="668B8E6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5）屏幕尺寸≥7.1英寸。</w:t>
                  </w:r>
                </w:p>
                <w:p w14:paraId="23132D2A">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r>
            <w:tr w14:paraId="185C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restart"/>
                </w:tcPr>
                <w:p w14:paraId="273E924E">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w:t>
                  </w:r>
                </w:p>
              </w:tc>
              <w:tc>
                <w:tcPr>
                  <w:tcW w:w="287" w:type="pct"/>
                  <w:vMerge w:val="restart"/>
                </w:tcPr>
                <w:p w14:paraId="537FF55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自动供料单元</w:t>
                  </w:r>
                </w:p>
              </w:tc>
              <w:tc>
                <w:tcPr>
                  <w:tcW w:w="438" w:type="pct"/>
                </w:tcPr>
                <w:p w14:paraId="5458BBF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PLC</w:t>
                  </w:r>
                </w:p>
              </w:tc>
              <w:tc>
                <w:tcPr>
                  <w:tcW w:w="3988" w:type="pct"/>
                </w:tcPr>
                <w:p w14:paraId="4A791C95">
                  <w:pPr>
                    <w:pStyle w:val="3"/>
                    <w:widowControl/>
                    <w:numPr>
                      <w:ilvl w:val="0"/>
                      <w:numId w:val="7"/>
                    </w:numPr>
                    <w:adjustRightInd w:val="0"/>
                    <w:snapToGrid w:val="0"/>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≥125 KB 工作存储器；</w:t>
                  </w:r>
                </w:p>
                <w:p w14:paraId="1B479D5E">
                  <w:pPr>
                    <w:pStyle w:val="3"/>
                    <w:widowControl/>
                    <w:numPr>
                      <w:ilvl w:val="0"/>
                      <w:numId w:val="7"/>
                    </w:numPr>
                    <w:adjustRightInd w:val="0"/>
                    <w:snapToGrid w:val="0"/>
                    <w:ind w:left="0"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24VDC 电源，板载 DI14 * 24VDC 漏型/源型，板载 DQ10*24VDC、AI2 和 AQ2；板载≥ 6 个高速计数器和 4 路脉冲输出；信号板扩展板载式 I/O；至少支持 3 个可进行串行通信的通信模块；至少支持 8 个可用于 I/O 扩展的信号模块；PROFINET IO 控制器，双端口，智能设备，TCP/IP 传输协议，开放式用户安全通信，S7 通信，Web 服务器，OPC UA：服务器 DA</w:t>
                  </w:r>
                </w:p>
              </w:tc>
            </w:tr>
            <w:tr w14:paraId="3448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F4231E2">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9214944">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5EEFF62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IO模块</w:t>
                  </w:r>
                </w:p>
              </w:tc>
              <w:tc>
                <w:tcPr>
                  <w:tcW w:w="3988" w:type="pct"/>
                </w:tcPr>
                <w:p w14:paraId="2231AEB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1）I16/DQ16 X 继电器输出模块</w:t>
                  </w:r>
                </w:p>
              </w:tc>
            </w:tr>
            <w:tr w14:paraId="51DD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6924B4D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14D2EF0">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21B541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通讯模块</w:t>
                  </w:r>
                </w:p>
              </w:tc>
              <w:tc>
                <w:tcPr>
                  <w:tcW w:w="3988" w:type="pct"/>
                </w:tcPr>
                <w:p w14:paraId="2431531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1）至少包含通讯模块</w:t>
                  </w:r>
                </w:p>
              </w:tc>
            </w:tr>
            <w:tr w14:paraId="703C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4BD243E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8D8B719">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756BA06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触摸屏</w:t>
                  </w:r>
                </w:p>
              </w:tc>
              <w:tc>
                <w:tcPr>
                  <w:tcW w:w="3988" w:type="pct"/>
                </w:tcPr>
                <w:p w14:paraId="4056783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1）≥7</w:t>
                  </w:r>
                  <w:r>
                    <w:rPr>
                      <w:rStyle w:val="29"/>
                      <w:rFonts w:hint="eastAsia" w:asciiTheme="minorEastAsia" w:hAnsiTheme="minorEastAsia" w:eastAsiaTheme="minorEastAsia" w:cstheme="minorEastAsia"/>
                      <w:color w:val="000000"/>
                      <w:sz w:val="24"/>
                      <w:szCs w:val="24"/>
                      <w:highlight w:val="none"/>
                    </w:rPr>
                    <w:t xml:space="preserve"> </w:t>
                  </w:r>
                  <w:r>
                    <w:rPr>
                      <w:rFonts w:hint="eastAsia" w:asciiTheme="minorEastAsia" w:hAnsiTheme="minorEastAsia" w:eastAsiaTheme="minorEastAsia" w:cstheme="minorEastAsia"/>
                      <w:color w:val="000000"/>
                      <w:sz w:val="24"/>
                      <w:highlight w:val="none"/>
                    </w:rPr>
                    <w:t>英寸 TFT 显示屏，≥800* 480 像素，≥64K 色；按键和触摸操作，≥8 个功能键；≥1个PROFINET口，≥1个 USB口</w:t>
                  </w:r>
                </w:p>
              </w:tc>
            </w:tr>
            <w:tr w14:paraId="6F85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1D0E2A76">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0020579">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778FE62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网络模块</w:t>
                  </w:r>
                </w:p>
              </w:tc>
              <w:tc>
                <w:tcPr>
                  <w:tcW w:w="3988" w:type="pct"/>
                </w:tcPr>
                <w:p w14:paraId="4E0E383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1）交换机*1：≥8口千兆工业交换机  导轨款。</w:t>
                  </w:r>
                </w:p>
              </w:tc>
            </w:tr>
            <w:tr w14:paraId="3F48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84FA57A">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97E64A2">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16F2D9B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压缩空气正压检测</w:t>
                  </w:r>
                </w:p>
              </w:tc>
              <w:tc>
                <w:tcPr>
                  <w:tcW w:w="3988" w:type="pct"/>
                </w:tcPr>
                <w:p w14:paraId="42B2E46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1）采集压缩空气当前压力值、云平台上。</w:t>
                  </w:r>
                </w:p>
                <w:p w14:paraId="5ED9F3C2">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供电电压：DC 12-24V；低压型高精度RS485通讯数显气压真空压力表；高压型高精度RS485通讯数显气压真空压力表。</w:t>
                  </w:r>
                </w:p>
              </w:tc>
            </w:tr>
            <w:tr w14:paraId="0FB0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451F1938">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09AB459">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AA5657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自动供料装置</w:t>
                  </w:r>
                </w:p>
              </w:tc>
              <w:tc>
                <w:tcPr>
                  <w:tcW w:w="3988" w:type="pct"/>
                </w:tcPr>
                <w:p w14:paraId="6C8FEFD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1）自动供料装置由气缸、料仓、料仓检测传感器、电磁阀等组成。包含瓶身供料、金属料供料、塑料料供料，至少 3台供料机构组成。</w:t>
                  </w:r>
                </w:p>
                <w:p w14:paraId="71B2DDFF">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r>
            <w:tr w14:paraId="76DD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277C5A1">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3F9709C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794A2C9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复合型机械手</w:t>
                  </w:r>
                </w:p>
              </w:tc>
              <w:tc>
                <w:tcPr>
                  <w:tcW w:w="3988" w:type="pct"/>
                </w:tcPr>
                <w:p w14:paraId="3908371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1）由步进、伺服、气动驱动的复合型机械手，用于瓶身拾取放置、金属料及塑料料拾取装配应用。</w:t>
                  </w:r>
                </w:p>
                <w:p w14:paraId="1022233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 xml:space="preserve">伺服驱动器支持 PROFINET 通信方式，输入电压为交流200-240V、伺服电机≥0.4Kw，额定转速≥3000r/min </w:t>
                  </w:r>
                  <w:bookmarkStart w:id="40" w:name="OLE_LINK10"/>
                  <w:r>
                    <w:rPr>
                      <w:rFonts w:hint="eastAsia" w:asciiTheme="minorEastAsia" w:hAnsiTheme="minorEastAsia" w:eastAsiaTheme="minorEastAsia" w:cstheme="minorEastAsia"/>
                      <w:color w:val="000000"/>
                      <w:sz w:val="24"/>
                      <w:highlight w:val="none"/>
                    </w:rPr>
                    <w:t>转矩≥</w:t>
                  </w:r>
                  <w:bookmarkEnd w:id="40"/>
                  <w:r>
                    <w:rPr>
                      <w:rFonts w:hint="eastAsia" w:asciiTheme="minorEastAsia" w:hAnsiTheme="minorEastAsia" w:eastAsiaTheme="minorEastAsia" w:cstheme="minorEastAsia"/>
                      <w:color w:val="000000"/>
                      <w:sz w:val="24"/>
                      <w:highlight w:val="none"/>
                    </w:rPr>
                    <w:t>0.32Nm；</w:t>
                  </w:r>
                </w:p>
              </w:tc>
            </w:tr>
            <w:tr w14:paraId="3F79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2638585">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370D39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26A8513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变频输送线</w:t>
                  </w:r>
                </w:p>
              </w:tc>
              <w:tc>
                <w:tcPr>
                  <w:tcW w:w="3988" w:type="pct"/>
                </w:tcPr>
                <w:p w14:paraId="27A5E814">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变频输送线，用于衔接各单元间的物料输送。线体机构采用平皮带，同步轮及工业铝型材等搭建，采用与PLC同品牌的变频器驱动。线体装有挡停机构由气缸控制。用于与各单元的功能模块配合对输送线上的物料进行挡停/放行动作。</w:t>
                  </w:r>
                </w:p>
                <w:p w14:paraId="2B41A58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 xml:space="preserve">变频器单相200V等级为通用高性能电流矢量变频器，主要用于控制和调节三相交流异步电机的速度和转矩；载波频率：0.8kHz - 11kHz可根据负载特性，自动调整载波频率；控制方式：V/F控制和SVC控制；；手动转矩提升0.1% - 30.0%；输入端子：≥4个数字输入端子，其中≥1个支持最高20KHz的高速脉冲输入≥1个模拟量输入端子，支持 0 - 10V或0 - 20mA输入；输出端子：≥1个继电器输出端子，≥1个模拟输出端子 </w:t>
                  </w:r>
                </w:p>
              </w:tc>
            </w:tr>
            <w:tr w14:paraId="5034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9B5EF31">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73AD2B99">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3703EF07">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数字孪生系统</w:t>
                  </w:r>
                </w:p>
              </w:tc>
              <w:tc>
                <w:tcPr>
                  <w:tcW w:w="3988" w:type="pct"/>
                </w:tcPr>
                <w:p w14:paraId="63A499DE">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与设备生产线实物尺寸一比一的数字孪生模型，能实现工业网络与生产线的虚拟仿真、虚实联动功能。</w:t>
                  </w:r>
                </w:p>
                <w:p w14:paraId="7544F6E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功能要求如下：</w:t>
                  </w:r>
                </w:p>
                <w:p w14:paraId="56838E5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1.数字孪生单元平台基本功能</w:t>
                  </w:r>
                </w:p>
                <w:p w14:paraId="713E9CC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(1)提供≥200种的智能制造工作单元和设备资源，支持智能产线中各种主流设备的仿真与虚拟调试，包括PLC、机器人、传感器、变位机、导轨等，可实现规划与设计车间布局，自由调整；</w:t>
                  </w:r>
                </w:p>
                <w:p w14:paraId="4EE7D96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可以直接从云端设备库中选择机器人、物流等设备模块进行仿真调试，选择过程中支持搜索、筛选和排序，并推荐相似参数的模块设备，组成与实际设备一致的3D数字模型，自定义模块属性，生成与实际设备一致的业务路径；</w:t>
                  </w:r>
                </w:p>
                <w:p w14:paraId="008767E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(3)支持定义自动上料点，通过时间和信号的控制方式模拟物料重复生成和消失的过程；</w:t>
                  </w:r>
                </w:p>
                <w:p w14:paraId="4788E7D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(4)软件提供了≥100台以上品牌、多种不同型号的工业机器人进行场景搭建、轨迹规划、运动仿真和程序代码生成等操作（参考品牌ABB、KUKA、Staubli、珞石、遨博等）；</w:t>
                  </w:r>
                </w:p>
                <w:p w14:paraId="1C47ED0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(5)支持机器人在线查找。可以直接从云端机器人库中选择机器人进行离线编程，选择过程中支持搜索、筛选和排序，并推荐相似参数的机器人供用户选择；</w:t>
                  </w:r>
                </w:p>
                <w:p w14:paraId="3265883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(6)支持模型参数化功能，支持模组机器人、输送线、工作台、框架、底座、货架等100个以上的参数化模型，参数化包括长宽高、型号、朝向、负载、结构、电机型号等内容；</w:t>
                  </w:r>
                </w:p>
                <w:p w14:paraId="4C5E4B16">
                  <w:pPr>
                    <w:pStyle w:val="3"/>
                    <w:widowControl/>
                    <w:adjustRightInd w:val="0"/>
                    <w:snapToGrid w:val="0"/>
                    <w:ind w:firstLine="0"/>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Cs/>
                      <w:color w:val="000000"/>
                      <w:sz w:val="24"/>
                      <w:highlight w:val="none"/>
                    </w:rPr>
                    <w:t>(7)支持 RFID仿真，具有虚拟及实物RFID读卡器、虚拟及实物RFID标签，RFID读卡器能对RFID标签读取与写入操作。。</w:t>
                  </w:r>
                  <w:r>
                    <w:rPr>
                      <w:rFonts w:hint="eastAsia" w:asciiTheme="minorEastAsia" w:hAnsiTheme="minorEastAsia" w:eastAsiaTheme="minorEastAsia" w:cstheme="minorEastAsia"/>
                      <w:b/>
                      <w:color w:val="000000"/>
                      <w:sz w:val="24"/>
                      <w:highlight w:val="none"/>
                    </w:rPr>
                    <w:t>（投标文件中需提供满足上述功能应用的软件界面截图）</w:t>
                  </w:r>
                </w:p>
                <w:p w14:paraId="6773689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(8)支持机器人管线包仿真，可以实现管线包软管仿真；</w:t>
                  </w:r>
                </w:p>
                <w:p w14:paraId="51431DB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(9)包含各种执行机构有气动机械手、传送带、电机等。每个机构的动作与真实机构一样且可以随意编程定义动作的执行顺序。每种动作都可以支持手动操作:伸出，缩回，下降，上升，夹紧，松开等等。</w:t>
                  </w:r>
                </w:p>
                <w:p w14:paraId="5D3CEAD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(10)支持场景设备的自由定义，用户可通过设计的三维模型以及技术参数自由定义机器人、工具、零件、传感器等设备；</w:t>
                  </w:r>
                </w:p>
                <w:p w14:paraId="1B10B4CC">
                  <w:pPr>
                    <w:pStyle w:val="3"/>
                    <w:widowControl/>
                    <w:adjustRightInd w:val="0"/>
                    <w:snapToGrid w:val="0"/>
                    <w:ind w:firstLine="0"/>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bCs/>
                      <w:color w:val="000000"/>
                      <w:sz w:val="24"/>
                      <w:highlight w:val="none"/>
                    </w:rPr>
                    <w:t>(11)支持模型的自动轻量化，可调整轻量化程度，轻量化程度由20%-80%不等；模型经过轻量化处理后，文件大小最多可降低至原文件大小的1/30。</w:t>
                  </w:r>
                </w:p>
                <w:p w14:paraId="154CD1E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(12)具备将客户自定义工作站模型正确导入机器人离线编程软件环境，并与机器人模型协同仿真运行；</w:t>
                  </w:r>
                </w:p>
                <w:p w14:paraId="6C522FE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(13)支持场景设备的自由定义，用户可通过设计的三维模型以及技术参数自由定义机器人、工具、零件、传感器等设备；</w:t>
                  </w:r>
                </w:p>
                <w:p w14:paraId="4988302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(14)可实现KUKA、ABB、FANUC、每种品牌3个以上型号的工业机器人进行模型导入、轨迹规划、运动仿真和控制代码输出，实现离线编程；</w:t>
                  </w:r>
                </w:p>
                <w:p w14:paraId="1D0C920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(15)具有贴图功能，可通过贴图代替或简化离线编程软件虚拟场景中复杂的模型搭建，最大限度减小模型的大小；可极大加快绘图区的刷新帧速率，使绘图区操作响应更加灵敏；</w:t>
                  </w:r>
                </w:p>
                <w:p w14:paraId="5033E71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(16)可自行创建并保存组件形成组件库，支持包含：stp、step、igs、stl、obj、dxf、brep、iges、xyz、pts等10几种标准 CAD 文件格式的文件导入，以及stl格式的模型导出，用户可自己建立独有的模型库；</w:t>
                  </w:r>
                </w:p>
                <w:p w14:paraId="427CFE9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(17)软件具备AI自动识别机器人型号功能，用户上传机器人模型后，可以根据模型自动匹配推荐后台的机器人模型。系统推荐的机器人模型可以不需要任何配置，直接进行示教和编程。</w:t>
                  </w:r>
                </w:p>
                <w:p w14:paraId="4E2CC45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(18)建模功能：提供参数化建模配置工具，支持通过参数化工具进行可视化模型建模，参数化建模不需要编写程序代码，建模后的模型可通过参数调节自动实现模型数量、大小的调整。</w:t>
                  </w:r>
                </w:p>
                <w:p w14:paraId="7F2D19D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(19)二次开发：可以支持系统二次开发：支持二次开发对软件内设备进行运动控制和状态监控，支持C#, Python, Matlab等多种开发平台脚本语言，用户可以通过二次开发平台进行机器人控制器、上位机等功能的开发。</w:t>
                  </w:r>
                </w:p>
                <w:p w14:paraId="3254290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2.调试功能</w:t>
                  </w:r>
                </w:p>
                <w:p w14:paraId="715A453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(1)支持根据生产工艺要求，结合零件点线面特征进行工作路径自动规划，并与其他自动化设备进行仿真验证，自动生成机器人程序，支持ABB、KUKA、Fanuc、安川、史陶比尔等品牌机器人；</w:t>
                  </w:r>
                </w:p>
                <w:p w14:paraId="4DB3097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(2)通过仿真机器人可执行代码，模拟机器人在软件环境中的运动状态，系统支持机器人的关节运动指令、直线运动指令、圆弧运动指令，支持逻辑控制指令（如For\IFELSE\WHILE等）控制机器人运动逻辑；</w:t>
                  </w:r>
                </w:p>
                <w:p w14:paraId="1D7A881E">
                  <w:pPr>
                    <w:pStyle w:val="3"/>
                    <w:widowControl/>
                    <w:adjustRightInd w:val="0"/>
                    <w:snapToGrid w:val="0"/>
                    <w:ind w:firstLine="0"/>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Cs/>
                      <w:color w:val="000000"/>
                      <w:sz w:val="24"/>
                      <w:highlight w:val="none"/>
                    </w:rPr>
                    <w:t>(3)具备专业的后置代码编辑器。后置代码编辑器可以显示代码的行号，数字、注释和指令等关键字以不同颜色显示；函数在编辑过程中有参数提示；函数和注释可折叠隐藏；</w:t>
                  </w:r>
                  <w:r>
                    <w:rPr>
                      <w:rFonts w:hint="eastAsia" w:asciiTheme="minorEastAsia" w:hAnsiTheme="minorEastAsia" w:eastAsiaTheme="minorEastAsia" w:cstheme="minorEastAsia"/>
                      <w:b/>
                      <w:color w:val="000000"/>
                      <w:sz w:val="24"/>
                      <w:highlight w:val="none"/>
                    </w:rPr>
                    <w:t>（投标文件中需提供满足上述功能应用的软件界面截图）</w:t>
                  </w:r>
                </w:p>
                <w:p w14:paraId="51EF791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(4)支持和多种品牌的PLC设备进行信号的联调，包括西门子、三菱、欧姆龙等；</w:t>
                  </w:r>
                </w:p>
                <w:p w14:paraId="6774FB8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(5)支持信号调试面板的显示，软件在虚拟仿真过程中，可通过信号调试面板实时观测相关信号的状态；</w:t>
                  </w:r>
                </w:p>
                <w:p w14:paraId="0CE686F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(6)支持虚拟PLC的调试，用户可通过自行编写Python和SCL 虚拟PLC程序，实现软件中的设备和虚拟PLC之间的信号调试；</w:t>
                  </w:r>
                </w:p>
                <w:p w14:paraId="28381F6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(7)可连接真实PLC设备，支持多种品牌网关的连接，支持OPCUA\MODBUS TCP\S7\MC等协议； </w:t>
                  </w:r>
                </w:p>
                <w:p w14:paraId="3CD04CF6">
                  <w:pPr>
                    <w:pStyle w:val="3"/>
                    <w:widowControl/>
                    <w:adjustRightInd w:val="0"/>
                    <w:snapToGrid w:val="0"/>
                    <w:ind w:firstLine="0"/>
                    <w:rPr>
                      <w:rFonts w:hint="eastAsia" w:asciiTheme="minorEastAsia" w:hAnsiTheme="minorEastAsia" w:eastAsiaTheme="minorEastAsia" w:cstheme="minorEastAsia"/>
                      <w:b/>
                      <w:color w:val="000000"/>
                      <w:sz w:val="24"/>
                      <w:highlight w:val="none"/>
                    </w:rPr>
                  </w:pP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Cs/>
                      <w:color w:val="000000"/>
                      <w:sz w:val="24"/>
                      <w:highlight w:val="none"/>
                    </w:rPr>
                    <w:t>(8)支持轨迹编辑功能，以图形化方式通过拖动参数曲线，来编辑一条轨迹中指定个数的点，达到让整条轨迹光滑过渡的效果；</w:t>
                  </w:r>
                  <w:r>
                    <w:rPr>
                      <w:rFonts w:hint="eastAsia" w:asciiTheme="minorEastAsia" w:hAnsiTheme="minorEastAsia" w:eastAsiaTheme="minorEastAsia" w:cstheme="minorEastAsia"/>
                      <w:b/>
                      <w:color w:val="000000"/>
                      <w:sz w:val="24"/>
                      <w:highlight w:val="none"/>
                    </w:rPr>
                    <w:t>（投标文件中需提供满足上述功能应用的软件界面截图）</w:t>
                  </w:r>
                </w:p>
                <w:p w14:paraId="48769EE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(9)支持与软件内场景元素进行数据交互，获取场景元素信息，如名称、位姿、关节角等数据；</w:t>
                  </w:r>
                </w:p>
                <w:p w14:paraId="3B8EBA6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(10)支持触发软件中的仿真模块，包含整体场景仿真、轨迹组仿真、单轨迹仿真等；支持与软件进行命令交互，触发软件轨迹生成、编译、后置等命令操作； </w:t>
                  </w:r>
                </w:p>
                <w:p w14:paraId="2027AA9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(11)具备将ABB、FANUC等不同品牌机器人编程语言转换为机器人离线编程软件自己定义的语言格式；</w:t>
                  </w:r>
                </w:p>
                <w:p w14:paraId="5DA96F5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(12)对机器人离线编程软件环境中仿真界面的机器人进行轨迹规划，实现离线编程并输出对应品牌的机器人程序；</w:t>
                  </w:r>
                </w:p>
                <w:p w14:paraId="2B835F0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(13)应具有机器人碰撞检测功能，可以检测示教过程中发生的碰撞错误；</w:t>
                  </w:r>
                </w:p>
                <w:p w14:paraId="770D81D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(14)支持多种数据类型的读写，如：Bool、Int、Real、Dint、word、Dword等；</w:t>
                  </w:r>
                </w:p>
                <w:p w14:paraId="315F39D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(15)通过装配仿真检查装配过程的合理性，并可生成装配的爆炸图及运动序列动画；</w:t>
                  </w:r>
                </w:p>
                <w:p w14:paraId="4E7374B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(16)提供常用人体姿态库，可以直接调用人体姿态库并直接作用于虚拟人体模型上，快速定义人员在各种工作环境中的姿态</w:t>
                  </w:r>
                </w:p>
                <w:p w14:paraId="42D6DE1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(17)能够实现机器人工位的工艺规划，包括机器人的工位布局，机器人的运动仿真和机器人的离线编程，也能处理完整的机器人生产线和生产区域的规划和仿真；</w:t>
                  </w:r>
                </w:p>
                <w:p w14:paraId="60E6EE2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(18)支持针对生产系统的3D及2D的建模和动态仿真分析，可以计算生产效率、工时节拍产能、设备利用率，可以针对瓶颈生产环节输出优化方案；</w:t>
                  </w:r>
                </w:p>
                <w:p w14:paraId="09D4851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(19)支持机器人 IO 读写操作，可读取机器人输入输出状态。可写入。 支持远程状态监控、关节数据监控，可读取机器人每个关节的角度 数据。也可读取机器人当前的操作模式和电机状态。支持多种任务 选择，可自动切换加工工件。可自动切换机器人抓手工具；</w:t>
                  </w:r>
                </w:p>
                <w:p w14:paraId="4F9ADB2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(20)支持真实示教器编程，也可虚拟示教器编程。同样实现虚拟三维本体运行。</w:t>
                  </w:r>
                </w:p>
                <w:p w14:paraId="4F7E0B4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(21)支持机器人碰撞检测：关节碰撞检测、工具碰撞检测。当发生碰撞后，高亮红色显示碰撞物体，并立即切断机器人电机起到保护作用。支持虚拟边界保护，当运动范围超出预设的范围边界时。预设的边界会高亮红色显示。并立即切断机器人电机起到保护作用。支持连续碰撞保护，或者连续超出边界保护。支持复位操作。支持运动轨迹描绘，可以将机器人运动的轨迹实时记录并生成三维轨迹线条。让学生更直观的分析查看机器人运动的轨迹。支持复位轨迹。支持三维示教点位，可以用虚拟示教器示教，也可用真实示教器示教。支持实训任务的扩展。增加实训加工的工件和工具。支持外部真实环境保护系统。可外接安全门，安全光栅。支持机器人所有的相关指令，直线，圆弧，关节运动等、支持TCP示教，工件坐标系建立等、支持多种模式：数字孪生监控模式、半实物仿真实训模式、虚拟在线调试模式、软件在环模式、硬件在环模式等； </w:t>
                  </w:r>
                </w:p>
                <w:p w14:paraId="0606DFA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(22)PLC程序导出支持程序导出生成功能，特别是针对西门子PLC（可编程逻辑控制器）的工程文件导出。用户可以将配置好的控制逻辑以标准的工程文件形式导出，包括OB（组织块）、FB（函数块）和DB（数据块）等关键组件。这一功能确保了控制程序的结构化和模块化，便于后续的维护和扩展。</w:t>
                  </w:r>
                </w:p>
                <w:p w14:paraId="56E1E12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3.场景搭建及渲染</w:t>
                  </w:r>
                </w:p>
                <w:p w14:paraId="0B7DD38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(1)具备快速搭建智能制造产线的仿真模拟。</w:t>
                  </w:r>
                </w:p>
                <w:p w14:paraId="570EB44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(2)软件支持对工业机器人法兰工具、快换机构、外部工具的自定义，并且支持变位夹具设定多种姿态，如可以将一个变位夹具定义成开、关两种状态；</w:t>
                  </w:r>
                </w:p>
                <w:p w14:paraId="5EF0116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(3)对生成的轨迹可进行分组管理，对不同轨迹组可以实现注释、删除等操作；</w:t>
                  </w:r>
                </w:p>
                <w:p w14:paraId="6B578F7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(4)软件具备输出视频功能，可将绘图区的仿真效果通过参数控制，输出为MP4、avi、mkv等格式的视频文件并保存在本地磁盘；</w:t>
                  </w:r>
                </w:p>
                <w:p w14:paraId="49DE387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(5)支持视向动画，通过对仿真流程不同时间节点添加视图，可实现在仿真过程中自定切换设置的不同视角查看仿真流程；</w:t>
                  </w:r>
                </w:p>
                <w:p w14:paraId="0E4DE3C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(6)可基于 CAD 数据生成机器人加工轨迹，简化轨迹生成过程，提高精度，可利用实体模型、曲面或曲线直接生成机器人加工轨迹；</w:t>
                  </w:r>
                </w:p>
                <w:p w14:paraId="29FD147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(7)支持在仿真环境中进行产线快速布局、场景搭建功能：模型在三个坐标轴方向平移和旋转，可以对设备模型进行点选和框选，软件有透视和正交两种视图模式，支持用户随意切换，且可以在场景中快速进行各个方位的视角定位。模型与模型之间可以按元素和对象快速对齐，支持对象按照模型自身三个坐标轴方向对齐，支持模型按元素按照平行、共面、垂直、共线、同轴、相切、重合、同心等方式进行对齐；</w:t>
                  </w:r>
                </w:p>
                <w:p w14:paraId="0A4B544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(8)支持模型之间按功能定义安装定位，实现动作关联。如机器人末端自动安装端拾器或执行器；</w:t>
                  </w:r>
                </w:p>
                <w:p w14:paraId="761F59A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(9)软件支持多种逻辑指令，能够独立实现设备的运行仿真和生产工艺仿真，如机器人运动仿真，喷涂、焊接的效果仿真；</w:t>
                  </w:r>
                </w:p>
                <w:p w14:paraId="484995F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(10)软件支持虚拟设备的测距功能，能够支持产线规划布局需求；</w:t>
                  </w:r>
                </w:p>
                <w:p w14:paraId="5F884AF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(11)支持开展多种实训项目有智能制造产线搭建、PLC仿真应用、工业机器人上下料流程控制、立库出入库、车床自动加工系统联调、铣床自动加工系统调试、智能产线自动加工系统调试等，能够提供完整的实训指导手册；</w:t>
                  </w:r>
                </w:p>
                <w:p w14:paraId="402F1F0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(12)软件支持运动仿真加速功能，能够实现产线中实时切削仿真加工、机器人运动等装备的加速运动仿真；</w:t>
                  </w:r>
                </w:p>
                <w:p w14:paraId="42CDBCB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(13)在进行机器人实际操作前，可在虚拟机器人单元上进行模拟仿真，避免直接在现实中操作对工业机器人及周围物体造成伤害；</w:t>
                  </w:r>
                </w:p>
                <w:p w14:paraId="0E8AFDA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(14)三维场景具备交互功能，操作者可以实时地进行远近缩放、平移、360旋转等交互操作，方便操作者进行程序的调试，以及最佳视角控制；</w:t>
                  </w:r>
                </w:p>
                <w:p w14:paraId="1D7E1D9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(15)复杂设备配置平台支持高度灵活的混合配置方案，涵盖伺服系统与I/O接口、机器人与I/O接口以及I/O接口之间的多种组合。用户可以根据具体应用场景的需求，自由选择和搭配这些组件。</w:t>
                  </w:r>
                </w:p>
                <w:p w14:paraId="1A628F3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(16)从动机器人支持主从机器人控制功能，允许用户通过一个主控机器人来协调和控制多个从属机器人的动作。这种配置非常适合需要高度同步和协作的复杂任务。用户可以根据具体需求设定主从关系，实现精准的任务分配与执行；</w:t>
                  </w:r>
                </w:p>
                <w:p w14:paraId="6F63C0A4">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(17)点线轨迹编辑平台提供强大的点线轨迹编辑功能，支持焊点投影、公共边提取以及曲线点平滑等操作。用户可以精确地定义和调整工艺点的位置，并通过工艺点投影确保其在三维空间中的准确性。</w:t>
                  </w:r>
                </w:p>
              </w:tc>
            </w:tr>
            <w:tr w14:paraId="7DB0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57CA1E3E">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6529865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92822B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生产数据可视化系统</w:t>
                  </w:r>
                </w:p>
              </w:tc>
              <w:tc>
                <w:tcPr>
                  <w:tcW w:w="3988" w:type="pct"/>
                </w:tcPr>
                <w:p w14:paraId="4644395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1）处理器：Intel i5同等以上处理器、内存：≥ 16GB、硬盘：≥ 500GB 可用空间、显卡：独立显卡≥3个HDMI接口， 显存</w:t>
                  </w:r>
                  <w:bookmarkStart w:id="41" w:name="OLE_LINK2"/>
                  <w:r>
                    <w:rPr>
                      <w:rFonts w:hint="eastAsia" w:asciiTheme="minorEastAsia" w:hAnsiTheme="minorEastAsia" w:eastAsiaTheme="minorEastAsia" w:cstheme="minorEastAsia"/>
                      <w:color w:val="000000"/>
                      <w:sz w:val="24"/>
                      <w:highlight w:val="none"/>
                    </w:rPr>
                    <w:t>≥</w:t>
                  </w:r>
                  <w:bookmarkEnd w:id="41"/>
                  <w:r>
                    <w:rPr>
                      <w:rFonts w:hint="eastAsia" w:asciiTheme="minorEastAsia" w:hAnsiTheme="minorEastAsia" w:eastAsiaTheme="minorEastAsia" w:cstheme="minorEastAsia"/>
                      <w:color w:val="000000"/>
                      <w:sz w:val="24"/>
                      <w:highlight w:val="none"/>
                    </w:rPr>
                    <w:t xml:space="preserve"> 4GB；系统为64 位版本、液晶显示器≥31.5英寸。配套HDMI转DVI连接线、鼠标键盘等。</w:t>
                  </w:r>
                </w:p>
                <w:p w14:paraId="63DE225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2）数据可视化系统：可在生产过程中实时显示当前产品的生产进度、当前电能、气压、环境温湿度、光照数据、设备各装置状态等数据的实时监控画面。</w:t>
                  </w:r>
                </w:p>
              </w:tc>
            </w:tr>
            <w:tr w14:paraId="1085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277A8814">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F4034E6">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3D81EC2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智能扫码器</w:t>
                  </w:r>
                </w:p>
              </w:tc>
              <w:tc>
                <w:tcPr>
                  <w:tcW w:w="3988" w:type="pct"/>
                </w:tcPr>
                <w:p w14:paraId="106DC1B5">
                  <w:pPr>
                    <w:pStyle w:val="3"/>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供电DC24V。支持、Code39码、Code128码、ITF14,ITF25,CodaBar,EAN,UPCA,UPCE等；</w:t>
                  </w:r>
                </w:p>
                <w:p w14:paraId="1A13F99A">
                  <w:pPr>
                    <w:pStyle w:val="3"/>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二维码:QR Code,Data Matrix 等。</w:t>
                  </w:r>
                </w:p>
                <w:p w14:paraId="305B4E44">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通信：以太网通信</w:t>
                  </w:r>
                </w:p>
              </w:tc>
            </w:tr>
            <w:tr w14:paraId="2E82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restart"/>
                </w:tcPr>
                <w:p w14:paraId="6FDEE0D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4</w:t>
                  </w:r>
                </w:p>
              </w:tc>
              <w:tc>
                <w:tcPr>
                  <w:tcW w:w="287" w:type="pct"/>
                  <w:vMerge w:val="restart"/>
                </w:tcPr>
                <w:p w14:paraId="715EFB3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智能分拣单元</w:t>
                  </w:r>
                </w:p>
              </w:tc>
              <w:tc>
                <w:tcPr>
                  <w:tcW w:w="438" w:type="pct"/>
                </w:tcPr>
                <w:p w14:paraId="1BDBDB1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PLC</w:t>
                  </w:r>
                </w:p>
              </w:tc>
              <w:tc>
                <w:tcPr>
                  <w:tcW w:w="3988" w:type="pct"/>
                </w:tcPr>
                <w:p w14:paraId="3C58483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25 KB 工作存储器；≥24VDC 电源，板载 ≥DI14 * 24VDC 漏型/源型，板载 DQ10 x 24VDC、AI2 和 AQ2；板载 6 个高速计数器和 4 路脉冲输出；信号板扩展板载式 I/O；至少 3 个可进行串行通信的通信模块；至少 8 个可用于 I/O 扩展的信号模块；PROFINET IO 控制器，双端口，智能设备，TCP/IP 传输协议，开放式用户安全通信，S7 通信，Web 服务器，OPC UA：服务器 DA</w:t>
                  </w:r>
                </w:p>
              </w:tc>
            </w:tr>
            <w:tr w14:paraId="71B8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363EF514">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5E301486">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E0CD49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变频输送线</w:t>
                  </w:r>
                </w:p>
              </w:tc>
              <w:tc>
                <w:tcPr>
                  <w:tcW w:w="3988" w:type="pct"/>
                </w:tcPr>
                <w:p w14:paraId="3AF837E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输送线，用于衔接各单元间的物料输送。线体机构采用平皮带，同步轮及工业铝型材等搭建，采用与PLC同品牌的变频器驱动。线体装有挡停机构由气缸控制。用于与各单元的功能模块配合对输送线上的物料进行挡停/放行动作。</w:t>
                  </w:r>
                </w:p>
                <w:p w14:paraId="7754A20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变频器单相200V等级为通用高性能电流矢量变频器，主要用于控制和调节三相交流异步 电机的速度和转矩，控制方式：V/F控制和SVC控制。输入端子：≥4个数字输入端子，其中≥1个支持最高20KHz的高速脉冲输入≥1个模拟量输入端子，支持 0 - 10V或0 - 20mA输入；输出端子：≥1个继电器输出端子，≥1个模拟输出端子</w:t>
                  </w:r>
                </w:p>
              </w:tc>
            </w:tr>
            <w:tr w14:paraId="58B2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1D694585">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A8905A5">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CA99F3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罐装模块</w:t>
                  </w:r>
                </w:p>
              </w:tc>
              <w:tc>
                <w:tcPr>
                  <w:tcW w:w="3988" w:type="pct"/>
                </w:tcPr>
                <w:p w14:paraId="6B7B2EA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由2套罐装装置构成，每套均包含放料仓、下料机构、推料气缸、下料光纤检测、电磁阀等。两套罐装装置可根据订单信息分别进行8mm钢珠、10mm钢珠的罐装下料工作。</w:t>
                  </w:r>
                </w:p>
              </w:tc>
            </w:tr>
            <w:tr w14:paraId="6C1E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EE9366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3C39FFB2">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F7952B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智能扫码器</w:t>
                  </w:r>
                </w:p>
              </w:tc>
              <w:tc>
                <w:tcPr>
                  <w:tcW w:w="3988" w:type="pct"/>
                </w:tcPr>
                <w:p w14:paraId="3A3C601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供电DC24V。支持一维码:Code 39,Code 93,Code128,ITF14,ITF25,CodaBar,EAN,UPCA,UPCE等；二维码:QR Code,Data Matrix 等。</w:t>
                  </w:r>
                </w:p>
                <w:p w14:paraId="0FEA6A2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通信：以太网通信</w:t>
                  </w:r>
                </w:p>
              </w:tc>
            </w:tr>
            <w:tr w14:paraId="7DA2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5D6F8011">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11BBEC7">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4570F75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数字化展示看板</w:t>
                  </w:r>
                </w:p>
              </w:tc>
              <w:tc>
                <w:tcPr>
                  <w:tcW w:w="3988" w:type="pct"/>
                </w:tcPr>
                <w:p w14:paraId="54BBBB2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≥31.5寸液晶显示器用于显示设备各装置生产数据实时显示或与设备一比一建模的数字孪生模型。</w:t>
                  </w:r>
                </w:p>
              </w:tc>
            </w:tr>
            <w:tr w14:paraId="5A02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restart"/>
                </w:tcPr>
                <w:p w14:paraId="648C90B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5</w:t>
                  </w:r>
                </w:p>
                <w:p w14:paraId="189941E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br w:type="page"/>
                  </w:r>
                </w:p>
              </w:tc>
              <w:tc>
                <w:tcPr>
                  <w:tcW w:w="287" w:type="pct"/>
                  <w:vMerge w:val="restart"/>
                </w:tcPr>
                <w:p w14:paraId="689149D2">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装配检测单元</w:t>
                  </w:r>
                </w:p>
              </w:tc>
              <w:tc>
                <w:tcPr>
                  <w:tcW w:w="438" w:type="pct"/>
                </w:tcPr>
                <w:p w14:paraId="4C67E62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PLC</w:t>
                  </w:r>
                </w:p>
              </w:tc>
              <w:tc>
                <w:tcPr>
                  <w:tcW w:w="3988" w:type="pct"/>
                </w:tcPr>
                <w:p w14:paraId="5237007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≥125 KB 工作存储器；≥24VDC 电源，板载 ≥DI14 X24VDC 漏型/源型，板载 DQ10 x 24VDC、AI2 和 AQ2；板载 6 个高速计数器和 4 路脉冲输出；信号板扩展板载式 I/O；至少 3 个可进行串行通信的通信模块；至少 8 个可用于 I/O 扩展的信号模块；PROFINET IO 控制器，双端口，智能设备，TCP/IP 传输协议，开放式用户安全通信，S7 通信，Web 服务器，OPC UA：服务器 DA</w:t>
                  </w:r>
                </w:p>
              </w:tc>
            </w:tr>
            <w:tr w14:paraId="6645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B34DD18">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59C341EF">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2A3BC02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网络模块</w:t>
                  </w:r>
                </w:p>
              </w:tc>
              <w:tc>
                <w:tcPr>
                  <w:tcW w:w="3988" w:type="pct"/>
                </w:tcPr>
                <w:p w14:paraId="56CCD12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交换机*1：≥8口千兆工业交换机  导轨款。</w:t>
                  </w:r>
                </w:p>
              </w:tc>
            </w:tr>
            <w:tr w14:paraId="674B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624AA752">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E95FF7A">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126DB19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压缩空气负压检测</w:t>
                  </w:r>
                </w:p>
              </w:tc>
              <w:tc>
                <w:tcPr>
                  <w:tcW w:w="3988" w:type="pct"/>
                </w:tcPr>
                <w:p w14:paraId="12937DC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1)采集吸盘负压当前值等数据上传云平台。</w:t>
                  </w:r>
                </w:p>
                <w:p w14:paraId="5924C85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2）供电电压：DC 12-24V；低压型高精度RS485通讯数显气压真空压力表；高压型高精度RS485通讯数显气压真空压力表。</w:t>
                  </w:r>
                </w:p>
              </w:tc>
            </w:tr>
            <w:tr w14:paraId="541D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6083F8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72965CEE">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8BA4B7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数字化展示看板</w:t>
                  </w:r>
                </w:p>
              </w:tc>
              <w:tc>
                <w:tcPr>
                  <w:tcW w:w="3988" w:type="pct"/>
                </w:tcPr>
                <w:p w14:paraId="1A0D6EE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提供≥31.5寸液晶显示器用于显示设备各装置生产数据实时显示或与设备一比一建模的数字孪生模型。</w:t>
                  </w:r>
                </w:p>
              </w:tc>
            </w:tr>
            <w:tr w14:paraId="4B1B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5F455BF">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313D2A4B">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401DFA3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检测模块</w:t>
                  </w:r>
                </w:p>
              </w:tc>
              <w:tc>
                <w:tcPr>
                  <w:tcW w:w="3988" w:type="pct"/>
                </w:tcPr>
                <w:p w14:paraId="7AB86FB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1)检测模块由机器视觉系统、高度检测、金属料检测、物料颜色检测四种不同检测装置组成。</w:t>
                  </w:r>
                </w:p>
                <w:p w14:paraId="0DC9D53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2)机器视觉系统：含≥500万彩色像素网口面阵相机≥1只、≥8mm，F2.4，1/1.8"，600万分辨率，C接口镜头1只、8GB+120G SSD，支持8路光耦隔离输入，支持≥8路光耦隔离输出，≥4路24V恒压光源接口，</w:t>
                  </w:r>
                  <w:bookmarkStart w:id="42" w:name="OLE_LINK3"/>
                  <w:r>
                    <w:rPr>
                      <w:rFonts w:hint="eastAsia" w:asciiTheme="minorEastAsia" w:hAnsiTheme="minorEastAsia" w:eastAsiaTheme="minorEastAsia" w:cstheme="minorEastAsia"/>
                      <w:color w:val="000000"/>
                      <w:sz w:val="24"/>
                      <w:highlight w:val="none"/>
                    </w:rPr>
                    <w:t>≥</w:t>
                  </w:r>
                  <w:bookmarkEnd w:id="42"/>
                  <w:r>
                    <w:rPr>
                      <w:rFonts w:hint="eastAsia" w:asciiTheme="minorEastAsia" w:hAnsiTheme="minorEastAsia" w:eastAsiaTheme="minorEastAsia" w:cstheme="minorEastAsia"/>
                      <w:color w:val="000000"/>
                      <w:sz w:val="24"/>
                      <w:highlight w:val="none"/>
                    </w:rPr>
                    <w:t>4个千兆网口视觉控制器1套、白色，外径≥90内径≥49，DC24V，</w:t>
                  </w:r>
                  <w:bookmarkStart w:id="43" w:name="OLE_LINK7"/>
                  <w:r>
                    <w:rPr>
                      <w:rFonts w:hint="eastAsia" w:asciiTheme="minorEastAsia" w:hAnsiTheme="minorEastAsia" w:eastAsiaTheme="minorEastAsia" w:cstheme="minorEastAsia"/>
                      <w:color w:val="000000"/>
                      <w:sz w:val="24"/>
                      <w:highlight w:val="none"/>
                    </w:rPr>
                    <w:t>≥</w:t>
                  </w:r>
                  <w:bookmarkEnd w:id="43"/>
                  <w:r>
                    <w:rPr>
                      <w:rFonts w:hint="eastAsia" w:asciiTheme="minorEastAsia" w:hAnsiTheme="minorEastAsia" w:eastAsiaTheme="minorEastAsia" w:cstheme="minorEastAsia"/>
                      <w:color w:val="000000"/>
                      <w:sz w:val="24"/>
                      <w:highlight w:val="none"/>
                    </w:rPr>
                    <w:t>45度LED环形光源1只。</w:t>
                  </w:r>
                </w:p>
                <w:p w14:paraId="48C01A4E">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高度检测：供电：DC24V，行程0-25mm，RS485接口modbus-RTU通讯。</w:t>
                  </w:r>
                </w:p>
              </w:tc>
            </w:tr>
            <w:tr w14:paraId="447E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31F3D07E">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9470A76">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647164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加盖模块</w:t>
                  </w:r>
                </w:p>
              </w:tc>
              <w:tc>
                <w:tcPr>
                  <w:tcW w:w="3988" w:type="pct"/>
                </w:tcPr>
                <w:p w14:paraId="0DA4B38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加盖模块由盖子供给单元、直线机械手单元组成，其功能是根据控制系统信号要求盖子供给单元自动供料，通过直线机械手给瓶体装盖。加盖模块主材材质采用铝合金材料，供盖单元采用气动驱动，加盖机械手采用气动驱动。</w:t>
                  </w:r>
                </w:p>
              </w:tc>
            </w:tr>
            <w:tr w14:paraId="6A31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8C275C0">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773B745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FA3966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称重模块</w:t>
                  </w:r>
                </w:p>
              </w:tc>
              <w:tc>
                <w:tcPr>
                  <w:tcW w:w="3988" w:type="pct"/>
                </w:tcPr>
                <w:p w14:paraId="6352067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称重模块的功能是对已经灌装好的成品进行称重检测，并将数据传输给控制系统。模块支架主体采用铝合金材质。称重传感器 ≥10kg 配数显器 选24V供电，RS485接口，三色灯30MM无蜂鸣器 DC24V。</w:t>
                  </w:r>
                </w:p>
              </w:tc>
            </w:tr>
            <w:tr w14:paraId="42D7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4C76754D">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7715E55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69B845B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拨叉机械手</w:t>
                  </w:r>
                </w:p>
              </w:tc>
              <w:tc>
                <w:tcPr>
                  <w:tcW w:w="3988" w:type="pct"/>
                </w:tcPr>
                <w:p w14:paraId="5B47B8A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1)拨叉机械手，采用气动驱动。通过气缸动作，将输送线上的料瓶抓取至称重单模块。</w:t>
                  </w:r>
                </w:p>
              </w:tc>
            </w:tr>
            <w:tr w14:paraId="10E8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0A18AF2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4437BE6C">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4AEF45C1">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变频输送线</w:t>
                  </w:r>
                </w:p>
              </w:tc>
              <w:tc>
                <w:tcPr>
                  <w:tcW w:w="3988" w:type="pct"/>
                </w:tcPr>
                <w:p w14:paraId="576EDAD4">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输送线，用于衔接各单元间的物料输送。线体机构采用平皮带，同步轮及工业铝型材等搭建，采用与PLC同品牌的变频器驱动。线体装有挡停机构由气缸控制。用于与各单元的功能模块配合对输送线上的物料进行挡停/放行动作。</w:t>
                  </w:r>
                </w:p>
                <w:p w14:paraId="4DB3152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变频器单相200V等级为通用高性能电流矢量变频器，主要用于控制和调节三相交流异步 电机的速度和转矩，控制方式：V/F控制和SVC控制；输入端子：≥4个数字输入端子，其中1个支持最高20KHz的高速脉冲输入≥1个模拟量输入端子，支持 0 - 10V或0 - 20mA输入；输出端子：≥1个继电器输出端子，≥1个模拟输出端子</w:t>
                  </w:r>
                </w:p>
              </w:tc>
            </w:tr>
            <w:tr w14:paraId="32FD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restart"/>
                </w:tcPr>
                <w:p w14:paraId="66B40F8D">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6</w:t>
                  </w:r>
                </w:p>
              </w:tc>
              <w:tc>
                <w:tcPr>
                  <w:tcW w:w="287" w:type="pct"/>
                  <w:vMerge w:val="restart"/>
                </w:tcPr>
                <w:p w14:paraId="4182215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仓储单元</w:t>
                  </w:r>
                </w:p>
              </w:tc>
              <w:tc>
                <w:tcPr>
                  <w:tcW w:w="438" w:type="pct"/>
                </w:tcPr>
                <w:p w14:paraId="011BF56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远程IO模块</w:t>
                  </w:r>
                </w:p>
              </w:tc>
              <w:tc>
                <w:tcPr>
                  <w:tcW w:w="3988" w:type="pct"/>
                </w:tcPr>
                <w:p w14:paraId="701DC40C">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 个 RJ45 接口，24VDC 供电 性能稳定、抗干扰性能强，总线协议：PROFINET 、通用线缆：≥五类双绞线</w:t>
                  </w:r>
                </w:p>
              </w:tc>
            </w:tr>
            <w:tr w14:paraId="36AB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77D5BFB3">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2CB3C817">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174E4A9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智能扫码器</w:t>
                  </w:r>
                </w:p>
              </w:tc>
              <w:tc>
                <w:tcPr>
                  <w:tcW w:w="3988" w:type="pct"/>
                </w:tcPr>
                <w:p w14:paraId="3C331030">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p w14:paraId="6AA2F79F">
                  <w:pPr>
                    <w:pStyle w:val="3"/>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供电D</w:t>
                  </w:r>
                  <w:r>
                    <w:rPr>
                      <w:rFonts w:hint="eastAsia" w:asciiTheme="minorEastAsia" w:hAnsiTheme="minorEastAsia" w:eastAsiaTheme="minorEastAsia" w:cstheme="minorEastAsia"/>
                      <w:color w:val="000000"/>
                      <w:sz w:val="24"/>
                      <w:highlight w:val="none"/>
                      <w:lang w:val="en-US" w:eastAsia="zh-CN"/>
                    </w:rPr>
                    <w:t>C</w:t>
                  </w:r>
                  <w:r>
                    <w:rPr>
                      <w:rFonts w:hint="eastAsia" w:asciiTheme="minorEastAsia" w:hAnsiTheme="minorEastAsia" w:eastAsiaTheme="minorEastAsia" w:cstheme="minorEastAsia"/>
                      <w:color w:val="000000"/>
                      <w:sz w:val="24"/>
                      <w:highlight w:val="none"/>
                    </w:rPr>
                    <w:t>24V。支持一维码:Code 39,Code93,Code128,ITF14,ITF25,CodaBar,EAN,UPCA,UPCE等；二维码:QR Code,Data Matrix 等。</w:t>
                  </w:r>
                </w:p>
                <w:p w14:paraId="6382758D">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r>
            <w:tr w14:paraId="2DB5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6894D6C9">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0BB502E4">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7C6BC27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三轴机械手</w:t>
                  </w:r>
                </w:p>
              </w:tc>
              <w:tc>
                <w:tcPr>
                  <w:tcW w:w="3988" w:type="pct"/>
                </w:tcPr>
                <w:p w14:paraId="311AAD73">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1）主要由伺服电机、气动气缸、气动手爪、检测传感器、缓冲器等组成。X、Y轴由伺服电机驱动，Z轴采用气缸与气动手爪组合。</w:t>
                  </w:r>
                </w:p>
                <w:p w14:paraId="2A8B8D2B">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2）伺服系统与PLC同品牌，PROFINET 通信方式，驱动器单相交流AC220V供电，电机额定输出:≥ 0.4 kW , 额定转速:≥ 3000 r/min。</w:t>
                  </w:r>
                </w:p>
              </w:tc>
            </w:tr>
            <w:tr w14:paraId="4E2B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vMerge w:val="continue"/>
                </w:tcPr>
                <w:p w14:paraId="67C4C9AA">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287" w:type="pct"/>
                  <w:vMerge w:val="continue"/>
                </w:tcPr>
                <w:p w14:paraId="31A1ED37">
                  <w:pPr>
                    <w:pStyle w:val="3"/>
                    <w:widowControl/>
                    <w:adjustRightInd w:val="0"/>
                    <w:snapToGrid w:val="0"/>
                    <w:ind w:firstLine="0"/>
                    <w:rPr>
                      <w:rFonts w:hint="eastAsia" w:asciiTheme="minorEastAsia" w:hAnsiTheme="minorEastAsia" w:eastAsiaTheme="minorEastAsia" w:cstheme="minorEastAsia"/>
                      <w:color w:val="000000"/>
                      <w:sz w:val="24"/>
                      <w:highlight w:val="none"/>
                    </w:rPr>
                  </w:pPr>
                </w:p>
              </w:tc>
              <w:tc>
                <w:tcPr>
                  <w:tcW w:w="438" w:type="pct"/>
                </w:tcPr>
                <w:p w14:paraId="0308004F">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储模块</w:t>
                  </w:r>
                </w:p>
              </w:tc>
              <w:tc>
                <w:tcPr>
                  <w:tcW w:w="3988" w:type="pct"/>
                </w:tcPr>
                <w:p w14:paraId="4519B8D0">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1）用于存放加工完成的工件，库位≥12只且每个库位配有库位有无检测传感器。</w:t>
                  </w:r>
                </w:p>
              </w:tc>
            </w:tr>
            <w:tr w14:paraId="0A08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tcPr>
                <w:p w14:paraId="646EADD6">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7</w:t>
                  </w:r>
                </w:p>
              </w:tc>
              <w:tc>
                <w:tcPr>
                  <w:tcW w:w="287" w:type="pct"/>
                </w:tcPr>
                <w:p w14:paraId="79734738">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bCs/>
                      <w:color w:val="000000"/>
                      <w:sz w:val="24"/>
                      <w:highlight w:val="none"/>
                    </w:rPr>
                    <w:t>其他器件</w:t>
                  </w:r>
                </w:p>
              </w:tc>
              <w:tc>
                <w:tcPr>
                  <w:tcW w:w="4426" w:type="pct"/>
                  <w:gridSpan w:val="2"/>
                </w:tcPr>
                <w:p w14:paraId="0297B05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p>
                <w:p w14:paraId="660FBD5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1、电路所需器件包括断路器、导轨插座、开关电源、继电器、器件导轨等；</w:t>
                  </w:r>
                </w:p>
                <w:p w14:paraId="36A0CB2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2、智能电路诊断系统</w:t>
                  </w:r>
                </w:p>
                <w:p w14:paraId="37DE42F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（1）软件界面包含≥4个区，分别是：二维元件库，三维元件库，二维原理图绘制区，三维器件实训接线区。</w:t>
                  </w:r>
                </w:p>
                <w:p w14:paraId="36B1B0C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（2）三维电气接线</w:t>
                  </w:r>
                </w:p>
                <w:p w14:paraId="49451CA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①界面支持三维透视模式和正交模式针对不同使用场景，视角可以任意放大、缩小、平移、可一键复位初始视角；</w:t>
                  </w:r>
                </w:p>
                <w:p w14:paraId="60A38BA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②绘制电气线路连接可以选择导线的颜色，导线直径等外观参数，三维界面显示对应参数导线颜色粗细等；</w:t>
                  </w:r>
                </w:p>
                <w:p w14:paraId="72C02F4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③软件含走线线槽，导线的方向和路径可以任意规划；</w:t>
                  </w:r>
                </w:p>
                <w:p w14:paraId="10DC1DF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④绘制好的导线可以选中查看两端的接线柱、支持单一删除、一键删除、清除选中；</w:t>
                  </w:r>
                </w:p>
                <w:p w14:paraId="6FB85B0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⑤接线完成后，可以启动运行虚拟通电验证，按下按钮和开关等器件可以观看电机和指示灯等负载的运行效果。电机支持正反转，缺相故障现象；</w:t>
                  </w:r>
                </w:p>
                <w:p w14:paraId="349F325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⑥定时器器件支持虚拟设置时间器件带指针表盘调节旋钮，带通电指示和动作指示，当前时间和设置时间同时显示；</w:t>
                  </w:r>
                </w:p>
                <w:p w14:paraId="67AB157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⑦软件虚拟万用表可进行任意两个接线柱之间的电压测量；</w:t>
                  </w:r>
                </w:p>
                <w:p w14:paraId="6C1B451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⑧启动运行虚拟通电后，每个接线柱都具有电平指示，不同的电平的颜色不一样分别是U,V,W,N对应黄、绿、红、蓝可快速分析线路的电气逻辑是否正确；</w:t>
                  </w:r>
                </w:p>
                <w:p w14:paraId="3966E33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（3）二维原理图绘制</w:t>
                  </w:r>
                </w:p>
                <w:p w14:paraId="0E4D3F0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①绘制完成的实验线路可以保存到本地文件中，也可打开之前保存的实验文件一键快速生成实验导线，可以直接启动运行进行原理仿真和验证；</w:t>
                  </w:r>
                </w:p>
                <w:p w14:paraId="58AA648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②包含鼠标拖动、按键平移、复位元件、全部复位等工具，可对元件库的器件进行任意拖动、平移、90度倍数旋转、也可以对元器件多选，进行四个方向整体平移组成不同的实验电路图；</w:t>
                  </w:r>
                </w:p>
                <w:p w14:paraId="026BCF9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③二维原理图绘制区支持单个选中复位，也支持一键全部复位；</w:t>
                  </w:r>
                </w:p>
                <w:p w14:paraId="298AAB8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④二维导线可以任意绘制、删除、选择颜色；</w:t>
                  </w:r>
                </w:p>
                <w:p w14:paraId="4F20696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Cs/>
                      <w:color w:val="000000"/>
                      <w:sz w:val="24"/>
                      <w:highlight w:val="none"/>
                    </w:rPr>
                    <w:t>（4）线路同步</w:t>
                  </w:r>
                </w:p>
                <w:p w14:paraId="2533441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①二维原理图可以同步生成三维电气控制线路，同步的线路自动按照线槽布局采用最短路径规划到导线相连的接线柱；</w:t>
                  </w:r>
                </w:p>
                <w:p w14:paraId="72C3CC7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②三维电气线路可以同步到二维原理图绘制区中，同步的线路自动按照二维元件的位置采用合适的路径规划；</w:t>
                  </w:r>
                </w:p>
                <w:p w14:paraId="4543637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③启动运行后，二维器件的状态同步展示对应三维器件的状态，每个二维器件都有对应的动画效果；</w:t>
                  </w:r>
                </w:p>
                <w:p w14:paraId="4DABC104">
                  <w:pPr>
                    <w:pStyle w:val="3"/>
                    <w:widowControl/>
                    <w:adjustRightInd w:val="0"/>
                    <w:snapToGrid w:val="0"/>
                    <w:ind w:firstLine="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bCs/>
                      <w:color w:val="000000"/>
                      <w:sz w:val="24"/>
                      <w:highlight w:val="none"/>
                    </w:rPr>
                    <w:t>④二维器件对应的接线柱同步展示电平指示与三维器件实时同步，以便用户从二维原理图的角度快速分析对应的电气逻辑状态。</w:t>
                  </w:r>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
                      <w:bCs/>
                      <w:color w:val="000000"/>
                      <w:sz w:val="24"/>
                      <w:highlight w:val="none"/>
                    </w:rPr>
                    <w:t>投标文件中提供由具备相应检验检测能力的检验检测机构出具的检测报告扫描件）</w:t>
                  </w:r>
                </w:p>
                <w:p w14:paraId="7A4996C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bookmarkStart w:id="44" w:name="OLE_LINK5"/>
                  <w:r>
                    <w:rPr>
                      <w:rFonts w:hint="eastAsia" w:asciiTheme="minorEastAsia" w:hAnsiTheme="minorEastAsia" w:eastAsiaTheme="minorEastAsia" w:cstheme="minorEastAsia"/>
                      <w:color w:val="000000"/>
                      <w:sz w:val="24"/>
                      <w:highlight w:val="none"/>
                    </w:rPr>
                    <w:t>■</w:t>
                  </w:r>
                  <w:bookmarkEnd w:id="44"/>
                  <w:r>
                    <w:rPr>
                      <w:rFonts w:hint="eastAsia" w:asciiTheme="minorEastAsia" w:hAnsiTheme="minorEastAsia" w:eastAsiaTheme="minorEastAsia" w:cstheme="minorEastAsia"/>
                      <w:bCs/>
                      <w:color w:val="000000"/>
                      <w:sz w:val="24"/>
                      <w:highlight w:val="none"/>
                    </w:rPr>
                    <w:t>3、电参数测试仪（整个项目配置1套），满足下述功能：</w:t>
                  </w:r>
                </w:p>
                <w:p w14:paraId="20F1653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（1）显示：液晶显示。</w:t>
                  </w:r>
                </w:p>
                <w:p w14:paraId="4F0E7CE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（2）控制方式：≥7英寸工业触摸屏，电阻式。</w:t>
                  </w:r>
                </w:p>
                <w:p w14:paraId="2811C78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（3）数据存储：≥10组（断电记忆）。</w:t>
                  </w:r>
                </w:p>
                <w:p w14:paraId="230BD21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（4）通讯功能：教师机软件通过无线方式与学生端进行通讯，具有实时数据读取功能。</w:t>
                  </w:r>
                </w:p>
                <w:p w14:paraId="53F1D2F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（5）仪表显示：数模双显（点击自动放大显示）。</w:t>
                  </w:r>
                </w:p>
                <w:p w14:paraId="424818A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（6）自动换档：量程自动切换，具有超量程自动保护功能。</w:t>
                  </w:r>
                </w:p>
                <w:p w14:paraId="40CBE46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（7）测量范围、精度：</w:t>
                  </w:r>
                </w:p>
                <w:p w14:paraId="34E892C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①交流电压表：测量范围0-400V；0.5级精度</w:t>
                  </w:r>
                </w:p>
                <w:p w14:paraId="2278A8F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 xml:space="preserve">②交流电流表：测量范围0-5A；0.5级精度 </w:t>
                  </w:r>
                </w:p>
                <w:p w14:paraId="285CD26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③交流频率表：测量范围40-70Hz；1.0级精度</w:t>
                  </w:r>
                </w:p>
                <w:p w14:paraId="5D63C70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④交流功率表：测量范围0-2000W；1.0级精度</w:t>
                  </w:r>
                </w:p>
                <w:p w14:paraId="556088B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⑤功率因数表：测量范围0-1；1.0级精度</w:t>
                  </w:r>
                </w:p>
                <w:p w14:paraId="57C09C8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⑥直流功率表：测量范围0-200W；1.0级精度</w:t>
                  </w:r>
                </w:p>
                <w:p w14:paraId="41619B6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⑦直流电压表：测量范围0-400V；0.5级精度</w:t>
                  </w:r>
                </w:p>
                <w:p w14:paraId="1DC3A70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⑧直流电流表：测量范围0-5A；0.5级精度</w:t>
                  </w:r>
                </w:p>
                <w:p w14:paraId="0D51F5C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bookmarkStart w:id="45" w:name="OLE_LINK4"/>
                  <w:r>
                    <w:rPr>
                      <w:rFonts w:hint="eastAsia" w:asciiTheme="minorEastAsia" w:hAnsiTheme="minorEastAsia" w:eastAsiaTheme="minorEastAsia" w:cstheme="minorEastAsia"/>
                      <w:color w:val="000000"/>
                      <w:sz w:val="24"/>
                      <w:highlight w:val="none"/>
                    </w:rPr>
                    <w:t>（</w:t>
                  </w:r>
                  <w:r>
                    <w:rPr>
                      <w:rFonts w:hint="eastAsia" w:asciiTheme="minorEastAsia" w:hAnsiTheme="minorEastAsia" w:eastAsiaTheme="minorEastAsia" w:cstheme="minorEastAsia"/>
                      <w:b/>
                      <w:bCs/>
                      <w:color w:val="000000"/>
                      <w:sz w:val="24"/>
                      <w:highlight w:val="none"/>
                    </w:rPr>
                    <w:t>投标文件中提供由具备相应检验检测能力的检验检测机构出具的检测报告扫描件）</w:t>
                  </w:r>
                  <w:bookmarkEnd w:id="45"/>
                </w:p>
              </w:tc>
            </w:tr>
            <w:tr w14:paraId="486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7" w:type="pct"/>
                </w:tcPr>
                <w:p w14:paraId="23339B5D">
                  <w:pPr>
                    <w:pStyle w:val="3"/>
                    <w:widowControl/>
                    <w:adjustRightInd w:val="0"/>
                    <w:snapToGrid w:val="0"/>
                    <w:ind w:firstLine="0"/>
                    <w:rPr>
                      <w:rFonts w:hint="eastAsia" w:asciiTheme="minorEastAsia" w:hAnsiTheme="minorEastAsia" w:eastAsiaTheme="minorEastAsia" w:cstheme="minorEastAsia"/>
                      <w:color w:val="000000"/>
                      <w:sz w:val="24"/>
                      <w:highlight w:val="none"/>
                      <w:lang w:eastAsia="zh-CN"/>
                    </w:rPr>
                  </w:pPr>
                  <w:r>
                    <w:rPr>
                      <w:rFonts w:hint="eastAsia" w:asciiTheme="minorEastAsia" w:hAnsiTheme="minorEastAsia" w:eastAsiaTheme="minorEastAsia" w:cstheme="minorEastAsia"/>
                      <w:color w:val="000000"/>
                      <w:sz w:val="24"/>
                      <w:highlight w:val="none"/>
                      <w:lang w:val="en-US" w:eastAsia="zh-CN"/>
                    </w:rPr>
                    <w:t>8</w:t>
                  </w:r>
                </w:p>
              </w:tc>
              <w:tc>
                <w:tcPr>
                  <w:tcW w:w="287" w:type="pct"/>
                </w:tcPr>
                <w:p w14:paraId="5927E549">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配套教学资源</w:t>
                  </w:r>
                </w:p>
              </w:tc>
              <w:tc>
                <w:tcPr>
                  <w:tcW w:w="4426" w:type="pct"/>
                  <w:gridSpan w:val="2"/>
                </w:tcPr>
                <w:p w14:paraId="5CE4FA15">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配套教学资源包含设备使用手册、实训指导书、源程序、电气图纸等相关教学资源</w:t>
                  </w:r>
                </w:p>
                <w:p w14:paraId="1F28D02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1、AI+可编程控制仿真软件：</w:t>
                  </w:r>
                </w:p>
                <w:p w14:paraId="06A6E7B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1）支持连接PLC编程软件（西门子、三菱、汇川）实时数据读写和监控，可视化连接状态显示，实现虚拟在线调试。</w:t>
                  </w:r>
                </w:p>
                <w:p w14:paraId="12032B4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2）支持虚拟触摸屏人机界面与虚拟PLC的实时通讯调试，虚拟调试好的触摸屏工程文件可以直接下载到真实触摸屏，无需任何修改和调试，即可正常运行。</w:t>
                  </w:r>
                </w:p>
                <w:p w14:paraId="7BF78E3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3）可视化操作界面：可拖拽窗口系统：自由拖动定位、多窗口管理、可设置拖动范围限制；图片查看功能：支持缩放、拖动查看、多图片切换。</w:t>
                  </w:r>
                </w:p>
                <w:p w14:paraId="282F022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4）动画演示：模拟设备运行流程，直观感受设备运行过程，细节动态展示，提升操作。理解设备流程，便于快速写出对应PLC程序。</w:t>
                  </w:r>
                </w:p>
                <w:p w14:paraId="1F32AC1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绘制I/O原理图：每个实验项目所需的IO端口清晰可见，连接状态一目了然，便于操作者快速理解和配置;实时连线状态显示，PLC运行时将IO连接断开，系统随即将对应的输出机构停止运行;双击删除连线，简化操作流程，提升实验效率，确保数据准确性和系统稳定性;连线数据自动保存，方便下次打开时恢复实验环境，减少重复配置时间，提升整体实验流畅度；连接控制接口：一键连接\断开功能，IP地址配置与保存，连接参数动态调整。</w:t>
                  </w:r>
                </w:p>
                <w:p w14:paraId="1130085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6）AI助手：支持多轮对话，理解上下文，提供精准回答；自定义对话模板，灵活应对多样化场景。</w:t>
                  </w:r>
                </w:p>
                <w:p w14:paraId="01A95E5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7）虚拟三维基础实验对象:交通灯控制、电视发射塔、机械手控制、自动装配送料、电机正反转、水塔水位、自动冲压机、自动售货机、自控成型装配、多种液体混合、智能抢答器。投标文件中提供以上对象软件场景截图。</w:t>
                  </w:r>
                </w:p>
                <w:p w14:paraId="0ADDFAB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8）虚拟三维综合实训对象：光机电一体化对象安装有出料转盘、气动三轴机械手、传送带、分拣机构、传感器等组成。完成物料从转盘出料、检测、气动机械手抓取、移动、放置、传送带传送后通过分拣机构进行分拣，模拟自动化实训加工过程；基本配置：不少于出料转盘；传送带；气动三轴机械手，带磁性配套开关接近开关（左右，前后，上下，夹紧松开）；推料气缸；光电传感器；光纤传感器；电容传感器；电感传感器；实训台架；报警指示灯；及3种物料。</w:t>
                  </w:r>
                </w:p>
                <w:p w14:paraId="256CDAB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2、PLC程序诊断智能体</w:t>
                  </w:r>
                </w:p>
                <w:p w14:paraId="28F3BCF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1）本地化部署：支持全流程本地私有化部署。数据、模型与运算全程在本地服务器内闭环处理，断网也可以直接使用</w:t>
                  </w:r>
                </w:p>
                <w:p w14:paraId="59F2089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2）智能 PLC 编程辅助：面向工业现场的 AI 代码生成与优化助手。支持结构化文本 (ST)、梯形图 (LAD) 等工业语言，可根据工艺需求自动生成健壮的 PLC 逻辑代码。具备深度语法纠错与位运算优化能力，能快速实现设备控制、数据采集及运动控制程序的编写，大幅缩短开发周期。</w:t>
                  </w:r>
                </w:p>
                <w:p w14:paraId="0874BB6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3）智能图片识别（PLC 程序段诊断）：支持 PLC 程序图片智能识别与诊断，可自动解析梯形图、功能块图等 PLC 程序段图片内容，通过 AI 算法精准判断程序逻辑、指令格式是否正确，快速识别异常、错误与风险点，输出合规性诊断结果，高效校验 PLC 程序。</w:t>
                  </w:r>
                </w:p>
                <w:p w14:paraId="2D88EB4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3、工业4.0仿真软件</w:t>
                  </w:r>
                </w:p>
                <w:p w14:paraId="509D0F8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（1）虚拟自动化机构、机器人本体等真实本体外形外观一致，按照1:1的比例设计。可实现各个方位各个角度的不同姿态的运动。</w:t>
                  </w:r>
                </w:p>
                <w:p w14:paraId="67C5A98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（2）可以实现单站连接实训，包括不限于半成品仓库站、产品包装站、质量检验站、装配加工站，也支持全站联调。</w:t>
                  </w:r>
                </w:p>
                <w:p w14:paraId="37C1A98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（3）支持机器人所有的相关指令，直线，圆弧，关节运动等。</w:t>
                  </w:r>
                </w:p>
                <w:p w14:paraId="7A3A3A4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（4）支持连接至少包含西门子PLC官方编程软件实时互联互通，实现虚拟在线调试。不需要真实PLC就可以实现程序的在线实时监控、调试、下载、上传等功能。可查看各种寄存器实时数据。</w:t>
                  </w:r>
                </w:p>
                <w:p w14:paraId="605A4CA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w:t>
                  </w:r>
                </w:p>
                <w:p w14:paraId="3AE4E6E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4、Modbus城市数据模拟器</w:t>
                  </w:r>
                </w:p>
                <w:p w14:paraId="4E70C18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Modbus城市数据模拟器可模拟 64×64 网格城市的人口密度动态变化，内置天气、时间、节假日、高峰 / 应急事件等完整环境系统，支持 2D 热力图、3D 城市场景可视化展示；学生可通过 PLC 读取实时模拟数据，开展Modbus通信编程、多变量数据处理、人流调控、应急响应等进阶实训项目，无需大型真实工业设备，即可复现智慧城市、物联网场景下的控制逻辑，大幅丰富PLC实训的教学场景，低成本提升学生的实战编程能力。</w:t>
                  </w:r>
                </w:p>
                <w:p w14:paraId="215F4AE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（1）模拟引擎参数</w:t>
                  </w:r>
                </w:p>
                <w:p w14:paraId="613CEA0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1)城市网格：64×64标准网格，包含住宅、商业、工业、公园、道路五类区域自动生成。</w:t>
                  </w:r>
                </w:p>
                <w:p w14:paraId="0769197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2)时间系统：支持年/月/日/时/分、星期、内置节假日自动识别，可强制节假日模式。</w:t>
                  </w:r>
                </w:p>
                <w:p w14:paraId="64F7F52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3)天气系统：支持晴、多云、阴、小雨、大雨、雷暴6种状态，随季节自动切换，带温度/湿度/降雨/风速模拟。</w:t>
                  </w:r>
                </w:p>
                <w:p w14:paraId="1245617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4)事件系统：自动触发早/晚高峰、暴雨预警、商圈促销、公园集市、交通事故等随机事件，影响人口密度。</w:t>
                  </w:r>
                </w:p>
                <w:p w14:paraId="7792D6C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5)密度计算：支持时间、天气、热岛、随机、节假日、事件6类影响因子实时计算。</w:t>
                  </w:r>
                </w:p>
                <w:p w14:paraId="7B07055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6)子群体：模拟通勤、居家、休闲、工作4类人群比例分布，总和100%。</w:t>
                  </w:r>
                </w:p>
                <w:p w14:paraId="6BB9DD3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（2）可视化展示参数</w:t>
                  </w:r>
                </w:p>
                <w:p w14:paraId="37B8B5C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1)2D热力图：俯视视角，带密度热力色、日夜/降雨图层、事件高亮、流动箭头。</w:t>
                  </w:r>
                </w:p>
                <w:p w14:paraId="24F189B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2)3D城市场景：三维建筑模型，建筑高度映射人口密度，支持鼠标旋转/缩放/平移。</w:t>
                  </w:r>
                </w:p>
                <w:p w14:paraId="5EDD91E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3)数据提示：鼠标点击/悬停可查看网格类型、密度、子群体、影响因子等详情。</w:t>
                  </w:r>
                </w:p>
                <w:p w14:paraId="3B44338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4)趋势图表：实时显示平均密度、温度、降雨、分区密度等统计曲线。</w:t>
                  </w:r>
                </w:p>
                <w:p w14:paraId="42B223C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（3）时间与播放控制参数</w:t>
                  </w:r>
                </w:p>
                <w:p w14:paraId="3B0FAC2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1)播放控制：支持播放/暂停、单步前进、重置、快照保存/加载。</w:t>
                  </w:r>
                </w:p>
                <w:p w14:paraId="6BFCB47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2)模拟倍速：0.5x/1x/2x/4x/8x共5档可调。</w:t>
                  </w:r>
                </w:p>
                <w:p w14:paraId="05F4173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3)时间步长：1~120分钟连续可调，默认10分钟。</w:t>
                  </w:r>
                </w:p>
                <w:p w14:paraId="7EB23BF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4)节假日：内置元旦、春节、清明、劳动、端午、中秋、国庆自动识别。</w:t>
                  </w:r>
                </w:p>
                <w:p w14:paraId="755097D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5、项目化实训教学管理平台</w:t>
                  </w:r>
                </w:p>
                <w:p w14:paraId="4BCB5B4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（一）系统总体功能</w:t>
                  </w:r>
                </w:p>
                <w:p w14:paraId="306302D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项目化实训教学管理平台系统是教学实习管理的管理系统，具体功能如下：</w:t>
                  </w:r>
                </w:p>
                <w:p w14:paraId="4A6D1D8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1）操作权限任意组合：系统可定义每个角色、每个部门、每个人的权限；可对操作菜单、操作按钮等设置权限，把以上权限组合可获得每个人的权限。</w:t>
                  </w:r>
                </w:p>
                <w:p w14:paraId="1FB09BA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可设置权限的菜单有：显示全部任务、项目任务模板、已收藏的任务、收支申请审批、数据备份、个人信息、登录信息、个性设置、角色管理、部门管理、用户管理：</w:t>
                  </w:r>
                </w:p>
                <w:p w14:paraId="2E34C30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可设置权限的按钮有：新增下级、新增同级、删除、编辑、导出、复制、打印、锁定、授权、标记、详细等。</w:t>
                  </w:r>
                </w:p>
                <w:p w14:paraId="6C8BBD4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2）自动形成信息查看权限：上级可以查看下级任务，下级无法查看上级任务。</w:t>
                  </w:r>
                </w:p>
                <w:p w14:paraId="47A9D2C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3）自动形成费用审批流程：下级提交后自动搜索上级负责人（重复跳过）并生成审批请求，审批后继承支付方式和金额。</w:t>
                  </w:r>
                </w:p>
                <w:p w14:paraId="0349BAF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4）自动形成公文审批流程：下级提交后自动搜索上级负责人（重复跳过）并生成审批请求，从审批后的任务记录可看到审批人落款。</w:t>
                  </w:r>
                </w:p>
                <w:p w14:paraId="0438BA44">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5）安排工作时可同时给多人发短信，也可以提前两天自动发短信给当事人。</w:t>
                  </w:r>
                </w:p>
                <w:p w14:paraId="64C5BC7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6）每个人可以设置所属的部门，登录时系统根据本人账号、部门和角色自动匹配不同的编辑界面和详情。</w:t>
                  </w:r>
                </w:p>
                <w:p w14:paraId="4E8D261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
                      <w:bCs/>
                      <w:color w:val="000000"/>
                      <w:kern w:val="0"/>
                      <w:sz w:val="24"/>
                      <w:highlight w:val="none"/>
                    </w:rPr>
                    <w:t>■</w:t>
                  </w:r>
                  <w:r>
                    <w:rPr>
                      <w:rFonts w:hint="eastAsia" w:asciiTheme="minorEastAsia" w:hAnsiTheme="minorEastAsia" w:eastAsiaTheme="minorEastAsia" w:cstheme="minorEastAsia"/>
                      <w:bCs/>
                      <w:color w:val="000000"/>
                      <w:sz w:val="24"/>
                      <w:highlight w:val="none"/>
                    </w:rPr>
                    <w:t>（二）导航菜单</w:t>
                  </w:r>
                </w:p>
                <w:p w14:paraId="360C156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1）项目任务管理（根据不同帐号显示有所不同）</w:t>
                  </w:r>
                </w:p>
                <w:p w14:paraId="6AAFD1C2">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1.1显示全部任务：可显示任务总目录和当前账号任务管理页面。</w:t>
                  </w:r>
                </w:p>
                <w:p w14:paraId="516D282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1.2项目任务模板：可新建、编辑和删除项目的任务模板。</w:t>
                  </w:r>
                </w:p>
                <w:p w14:paraId="1F9B545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1.3已收藏的任务：显示已收藏的任务，方便查看。</w:t>
                  </w:r>
                </w:p>
                <w:p w14:paraId="458B30D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1.4收支申请审批：维修费申请上级审批，可通过、驳回申请和增加备注。</w:t>
                  </w:r>
                </w:p>
                <w:p w14:paraId="28C6023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1.5查看授权任务：可以查看授权的任务。</w:t>
                  </w:r>
                </w:p>
                <w:p w14:paraId="1EAA261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1.6数据备份下载：可以备份、下载和删除系统的数据。</w:t>
                  </w:r>
                </w:p>
                <w:p w14:paraId="411E090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1.7工作指导文件：可新增、编辑和删除工作指导文件。</w:t>
                  </w:r>
                </w:p>
                <w:p w14:paraId="6FF9508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2）个性信息设置（根据不同账号显示有所不同）</w:t>
                  </w:r>
                </w:p>
                <w:p w14:paraId="00140CF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2.1个人信息：显示个人的基本信息，可修改登录密码。</w:t>
                  </w:r>
                </w:p>
                <w:p w14:paraId="6CD9BAA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2.2登录信息：可记录并显示登录系统的IP信息。</w:t>
                  </w:r>
                </w:p>
                <w:p w14:paraId="6923059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2.3个性设置：可以进行表格每页显示记录数设置。</w:t>
                  </w:r>
                </w:p>
                <w:p w14:paraId="5BBD092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3）基础信息管理（根据不同账号显示有所不同）</w:t>
                  </w:r>
                </w:p>
                <w:p w14:paraId="7527C67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3.1角色管理：可增加或修改公司的角色分配，以及角色的权限分配。</w:t>
                  </w:r>
                </w:p>
                <w:p w14:paraId="440FF3E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3.2部门管理：可增加或修改公司的部门，以及部门的权限分配。</w:t>
                  </w:r>
                </w:p>
                <w:p w14:paraId="049E0FA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3.3用户管理：可增加或删除公司的用户，以及用户的权限分配。</w:t>
                  </w:r>
                </w:p>
                <w:p w14:paraId="0D3FBD6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4）系统应用管理（根据不同账号显示有所不同）</w:t>
                  </w:r>
                </w:p>
                <w:p w14:paraId="1C2B85D0">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4.1定义菜单名称：可以自行定义和修改菜单的名称。</w:t>
                  </w:r>
                </w:p>
                <w:p w14:paraId="73954E0A">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4.2定义菜单按钮：可以自行定义和修改菜单的按钮。</w:t>
                  </w:r>
                </w:p>
                <w:p w14:paraId="04BAA48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4.3查看系统设置：查看本系统的相关信息。</w:t>
                  </w:r>
                </w:p>
                <w:p w14:paraId="6ECB681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4.4用户信息名称：可以新增、编辑、删除用户的信息。</w:t>
                  </w:r>
                </w:p>
                <w:p w14:paraId="76422FF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4.5系统登录日志：记录用户登录的是否成功和IP信息。</w:t>
                  </w:r>
                </w:p>
                <w:p w14:paraId="4C02607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4.6结构查询语言：可以自己新建SQL查询语句查相关信息。</w:t>
                  </w:r>
                </w:p>
                <w:p w14:paraId="520E766B">
                  <w:pPr>
                    <w:widowControl/>
                    <w:adjustRightInd w:val="0"/>
                    <w:snapToGrid w:val="0"/>
                    <w:rPr>
                      <w:rFonts w:hint="eastAsia" w:asciiTheme="minorEastAsia" w:hAnsiTheme="minorEastAsia" w:eastAsiaTheme="minorEastAsia" w:cstheme="minorEastAsia"/>
                      <w:b/>
                      <w:bCs/>
                      <w:color w:val="000000"/>
                      <w:kern w:val="0"/>
                      <w:sz w:val="24"/>
                      <w:szCs w:val="24"/>
                      <w:highlight w:val="none"/>
                    </w:rPr>
                  </w:pP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p>
                <w:p w14:paraId="4B04523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（三）任务管理页面</w:t>
                  </w:r>
                </w:p>
                <w:p w14:paraId="23EC501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1）任务管理页面有新建顶级按钮、编辑按钮、详细按钮。导出按钮和隐藏表栏按钮。</w:t>
                  </w:r>
                </w:p>
                <w:p w14:paraId="62FB905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新建顶级：可新建一个顶级任务。</w:t>
                  </w:r>
                </w:p>
                <w:p w14:paraId="7370C7C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编辑：可编辑或修改当前选中的任务。</w:t>
                  </w:r>
                </w:p>
                <w:p w14:paraId="2F948D2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详细：查看当前选中的任务内容。</w:t>
                  </w:r>
                </w:p>
                <w:p w14:paraId="30296CA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导出：可将当前任务管理页面的所有任务出为EXCEL表格。</w:t>
                  </w:r>
                </w:p>
                <w:p w14:paraId="63C8F3D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隐藏表栏：可修改任务管理页面的表栏的隐藏和显示。</w:t>
                  </w:r>
                </w:p>
                <w:p w14:paraId="4329A84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2）在“全文搜索”框内输入需要搜索的内容或相关字眼，按下回车键，系统可自动搜索出带有相关内容或字眼的任务。</w:t>
                  </w:r>
                </w:p>
                <w:p w14:paraId="6979269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3）查询任务下拉菜单可选“本人全部任务”、“本人今天任务”、“本人本周任务”、“本人本年任务”、“本人未读任务”。</w:t>
                  </w:r>
                </w:p>
                <w:p w14:paraId="66C191B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4）高级查询：综合信息查询可以根据不同的查询内容方式进行查询。如项目单号、任务号、责任人、相关文档、工作描述、工作进度、报修人、联系方式、备注说明等。在任意一项输入需要查询任务的相关内容都可以查询到需要查询的任务。</w:t>
                  </w:r>
                </w:p>
                <w:p w14:paraId="4411CAB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5）在任务管理页面点击鼠标右键可显示功能按键：批量增加、新增同级、新增下级、显示同级、显示上级、显示下级、显示下一级、复制任务、阅读标记、编辑任务、删除任务、只删下游、收藏任务、取消收藏、上传文件、下载文件、发送邮件、下级换人、取消操作。</w:t>
                  </w:r>
                </w:p>
                <w:p w14:paraId="22583D5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批量增加：可以按照任务模板批量安排任务给责任人。</w:t>
                  </w:r>
                </w:p>
                <w:p w14:paraId="421D813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新增同级：新增与当前选中任务同属一级的任务。</w:t>
                  </w:r>
                </w:p>
                <w:p w14:paraId="561211C5">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新增下级：新增当前选中任务的下级任务。</w:t>
                  </w:r>
                </w:p>
                <w:p w14:paraId="44BFAC9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显示同级：显示与当前选中任务同属一级的任务。</w:t>
                  </w:r>
                </w:p>
                <w:p w14:paraId="5D98A26B">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显示上级：显示当前选中任务的上级任务。</w:t>
                  </w:r>
                </w:p>
                <w:p w14:paraId="779B156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显示下级：显示当前选中任务的下级任务。</w:t>
                  </w:r>
                </w:p>
                <w:p w14:paraId="196754E9">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显示下一级：显示当前选中任务的下一级任务。</w:t>
                  </w:r>
                </w:p>
                <w:p w14:paraId="448C973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复制任务：可以复制当前选中的任务。</w:t>
                  </w:r>
                </w:p>
                <w:p w14:paraId="36570CB8">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阅读标记：当前选中的任务改为已阅读。</w:t>
                  </w:r>
                </w:p>
                <w:p w14:paraId="7476379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编辑任务：编辑当前选中的任务。</w:t>
                  </w:r>
                </w:p>
                <w:p w14:paraId="2FBDB61D">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删除任务：删除当前选中的任务。</w:t>
                  </w:r>
                </w:p>
                <w:p w14:paraId="61FCD80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只删下游：删除当前选中任务的下游任务。</w:t>
                  </w:r>
                </w:p>
                <w:p w14:paraId="46C88DF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收藏任务：可以收藏当前选中的任务。</w:t>
                  </w:r>
                </w:p>
                <w:p w14:paraId="4F10B6A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取消收藏：取消当前选中的任务收藏。</w:t>
                  </w:r>
                </w:p>
                <w:p w14:paraId="52BFE2FE">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上传文件：可在当前选中的任务中的上传相关文件。</w:t>
                  </w:r>
                </w:p>
                <w:p w14:paraId="0B267F1F">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下载文件：可下载当前选中的任务中的相关文件。</w:t>
                  </w:r>
                </w:p>
                <w:p w14:paraId="3EF681C3">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发送邮件：可将当前选中的任务通过邮件方式发送给任务责任人。</w:t>
                  </w:r>
                </w:p>
                <w:p w14:paraId="51CF2F01">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下级换人：可以将下级任务换成其他责任人。</w:t>
                  </w:r>
                </w:p>
                <w:p w14:paraId="620A497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取消操作：取消右键菜单。</w:t>
                  </w:r>
                </w:p>
                <w:p w14:paraId="5A9CE23C">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（四）任务编辑页面</w:t>
                  </w:r>
                </w:p>
                <w:p w14:paraId="22332006">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1）在任务管理页面中选中一条需要增加下一级的任务按鼠标右键-新增下级，系统弹出任务管理- 编辑界面。在任务管理- 编辑界面中编辑相关任务的内容。</w:t>
                  </w:r>
                </w:p>
                <w:p w14:paraId="1800E7A7">
                  <w:pPr>
                    <w:pStyle w:val="3"/>
                    <w:widowControl/>
                    <w:adjustRightInd w:val="0"/>
                    <w:snapToGrid w:val="0"/>
                    <w:ind w:firstLine="0"/>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color w:val="000000"/>
                      <w:sz w:val="24"/>
                      <w:highlight w:val="none"/>
                    </w:rPr>
                    <w:t>2）在任务管理页面中选中一条需要编辑的任务，点击编辑按钮或按鼠标右键编辑任务按钮系统弹出任务管理- 编辑界面。</w:t>
                  </w:r>
                </w:p>
                <w:p w14:paraId="7A4FE1FA">
                  <w:pPr>
                    <w:pStyle w:val="3"/>
                    <w:widowControl/>
                    <w:adjustRightInd w:val="0"/>
                    <w:snapToGrid w:val="0"/>
                    <w:ind w:firstLine="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6、提供实训指导说明书Word版本、示例程序电子档等。</w:t>
                  </w:r>
                </w:p>
              </w:tc>
            </w:tr>
          </w:tbl>
          <w:p w14:paraId="1D8AF1F9">
            <w:pP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二、</w:t>
            </w:r>
            <w:r>
              <w:rPr>
                <w:rFonts w:hint="eastAsia" w:asciiTheme="minorEastAsia" w:hAnsiTheme="minorEastAsia" w:eastAsiaTheme="minorEastAsia" w:cstheme="minorEastAsia"/>
                <w:color w:val="000000"/>
                <w:kern w:val="0"/>
                <w:sz w:val="24"/>
                <w:szCs w:val="24"/>
                <w:highlight w:val="none"/>
              </w:rPr>
              <w:t>工业互联网设备数据采集仿真系统</w:t>
            </w:r>
          </w:p>
          <w:p w14:paraId="61A6A30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（一）、工业互联网设备数据采集仿真模块</w:t>
            </w:r>
          </w:p>
          <w:p w14:paraId="5DCEFFB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一）总体功能及技术要求</w:t>
            </w:r>
          </w:p>
          <w:p w14:paraId="260EE8D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1、实现及运营方式</w:t>
            </w:r>
          </w:p>
          <w:p w14:paraId="762E094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三维场景搭建与仿真交互运行。提供三维机理模型库，通过拖拽三维模型即可进行场景搭建，运行一个由立库、AGV、输送线、数控机床、工业机器人、机器视觉、成品库等设备构成的机械臂智能制造的工业场景，仿真交互调试运行，并能够通过调整仿真运行倍率，实现工业场景生产线对应的仿真运行速度。</w:t>
            </w:r>
          </w:p>
          <w:p w14:paraId="2BFA035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2、模型库</w:t>
            </w:r>
          </w:p>
          <w:p w14:paraId="7C0C8F0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（1）总体要求</w:t>
            </w:r>
          </w:p>
          <w:p w14:paraId="4A99601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模型库范围：提供包含但不限于机器人类、工装夹具类、加工设备类、产品物料类、输送设备类、检测设备类、外围设备类、环境类模型的综合性模型库，模型总数不少于500个，且覆盖当前工业离散行业的主流技术和设备。</w:t>
            </w:r>
          </w:p>
          <w:p w14:paraId="42B300A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2）模型外观与处理：模型外观设计与实际工业设备保持一致，同时经过轻量化处理技术，以保证模型在维持视觉真实感的同时，能够流畅操作。</w:t>
            </w:r>
          </w:p>
          <w:p w14:paraId="33A31E1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3）动态与交互性：包含动态模型，能够模拟设备在实际工作状态下的动态运动及交互逻辑。</w:t>
            </w:r>
          </w:p>
          <w:p w14:paraId="076DA4B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（2）分类要求：</w:t>
            </w:r>
          </w:p>
          <w:p w14:paraId="19E8C42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1）机器人类：提供机器人模型，覆盖SCARA、六轴、协作机器人等多种类型，以适应不同作业场景。</w:t>
            </w:r>
          </w:p>
          <w:p w14:paraId="0D52A88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2）工装夹具类：涵盖广泛的工装夹具模型，如各类定位装置、气动/电动夹具、真空吸盘夹具等，确保满足不同加工需求的多样化选择。</w:t>
            </w:r>
          </w:p>
          <w:p w14:paraId="701FA28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3）加工设备类：包含各类车床、铣床、CNC加工中心等常见加工设备模型。</w:t>
            </w:r>
          </w:p>
          <w:p w14:paraId="4262DDE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4）产品物料类：提供丰富的产品、原材料、托盘模型。</w:t>
            </w:r>
          </w:p>
          <w:p w14:paraId="0917004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5）输送设备类：包括但不限于AGV、传送带系统、升降机、堆垛机等，支持物流系统设计。</w:t>
            </w:r>
          </w:p>
          <w:p w14:paraId="150A463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6）检测设备类：涵盖视觉检测系统、各类传感器等。</w:t>
            </w:r>
          </w:p>
          <w:p w14:paraId="5C4E525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7）外围设备类：包括安全围栏、指示灯、工作台、操作屏、控制柜等辅助设备模型，以构建完整的工作环境。</w:t>
            </w:r>
          </w:p>
          <w:p w14:paraId="519EE32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8）环境类：提供多样化的工厂环境、实验室环境模型。</w:t>
            </w:r>
          </w:p>
          <w:p w14:paraId="4AC704A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（3）自建模导入与定制化</w:t>
            </w:r>
          </w:p>
          <w:p w14:paraId="2DDFBDA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1）模型导入兼容性：支持用户使用主流3D建模软件创建的模型，通过第三方软件的格式转换与处理后，顺利导入模型库中，拓宽模型库的个性化内容来源。</w:t>
            </w:r>
          </w:p>
          <w:p w14:paraId="7D62F87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2）模型动态化定制：导入的模型可在系统中进行参数配置与数据设定，转化为具有动态功能的三维模型，使用户能够根据特定需求定制专属的动态设备或环境模型，进一步提升模型库的适用性。</w:t>
            </w:r>
          </w:p>
          <w:p w14:paraId="194D7F2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3、场景的自由搭建</w:t>
            </w:r>
          </w:p>
          <w:p w14:paraId="343184E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（1）具备数字孪生场景、教学实验（实训）虚拟场景及3D数字化工厂等的仿真构建能力，为用户提供快速、便捷搭建各种三维场景的解决方案，</w:t>
            </w:r>
          </w:p>
          <w:p w14:paraId="4822FDC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（2）支持拖拉拽的方式完成场地、设备布局，支持设备坐标设置、设备旋转、平移等位置调整功能。</w:t>
            </w:r>
          </w:p>
          <w:p w14:paraId="5645021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4、创建新组件</w:t>
            </w:r>
          </w:p>
          <w:p w14:paraId="1D54789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（1）支持导入CAD模型，并能为模型以可视化的方法创建属性、行为、控制算法以及运动结构，构建成新的组件，使组件具备物理设备的工作机理和处理问题的逻辑能力，并可以将组件在场景搭建中应用。</w:t>
            </w:r>
          </w:p>
          <w:p w14:paraId="6348D93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5、JavaScript脚本编程</w:t>
            </w:r>
          </w:p>
          <w:p w14:paraId="5362D8C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（1）提供js代码编辑器以及编译执行器，用户可以通过js访问仿真环境的上下文以及对应API，可以实现仿真场景内容完整逻辑控制。</w:t>
            </w:r>
          </w:p>
          <w:p w14:paraId="40C9CC7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6、机器人离线编程</w:t>
            </w:r>
          </w:p>
          <w:p w14:paraId="026CEA3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（1）系统提供机器人离线编程编辑器，通过在程序编辑器面板中创建编程语句，拖动机器人的末端执行器即可示教机器人的运动轨迹，</w:t>
            </w:r>
          </w:p>
          <w:p w14:paraId="2FE2353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（2）可通过添加信号及程序指令的方式实现机器人与末端执行器以及物料产品之间的信号控制，并允许仿真中其他元素进行调用并得到机器人的执行响应。</w:t>
            </w:r>
          </w:p>
          <w:p w14:paraId="4741CF6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7、设备数据仿真及采集</w:t>
            </w:r>
          </w:p>
          <w:p w14:paraId="7AB2360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（1）搭建的仿真场景具备运行数据的生成能力，场景内设备运行的数据类型包括但不限于int、boolean等。场景中涉及的设备具备动态实时生成运行数据的能力。。</w:t>
            </w:r>
          </w:p>
          <w:p w14:paraId="4992C13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（2）系统可为每一种类型设备提供精确的数据变量描述，系统要能够允许用户自定义数据生成的规则。</w:t>
            </w:r>
          </w:p>
          <w:p w14:paraId="611E3CC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8、多协议支持</w:t>
            </w:r>
          </w:p>
          <w:p w14:paraId="6BDE101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系统应具备多种数据协议转换能力，支持ModBusTCP、S7、MQTT等主流协议数据的接收与发送。可实现与多种不同品牌的数据网关连接通信，允许网关对仿真内的运行数据进行采集，并支持网关选用不同类型的协议类型进行数据交换。系统可以使用MQTT协议，可以将仿真运行数据提交至任何支持MQTT协议的工业互联网数据平台。</w:t>
            </w:r>
          </w:p>
          <w:p w14:paraId="16C9FED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9、数据连通性</w:t>
            </w:r>
          </w:p>
          <w:p w14:paraId="4C5435E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（1）系统支持与PLC信号的双向更新，通过信号（变量）配对的方式实现数据绑定，并可通过数据接口通信的方式映射到数字孪生中，实现通过PLC程序逻辑来驱动场景设备的运行。</w:t>
            </w:r>
          </w:p>
          <w:p w14:paraId="4492BC2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（二）具体功能及技术要求</w:t>
            </w:r>
          </w:p>
          <w:p w14:paraId="3DB8686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1“基本功能”要求包括但不限于：</w:t>
            </w:r>
          </w:p>
          <w:p w14:paraId="0E0E296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（1）模型操作功能</w:t>
            </w:r>
          </w:p>
          <w:p w14:paraId="537CB39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要求具备模型的移动、调整、对齐、捕捉等功能，快速实现模型的空间位置定义。具体功能技术要求包括但不限于：</w:t>
            </w:r>
          </w:p>
          <w:p w14:paraId="52AE9AA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平移：沿坐标系轴或面的正负方向拖动，定义组件在仿真场景中的坐标值（x、y、z）；</w:t>
            </w:r>
          </w:p>
          <w:p w14:paraId="6BC8B55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旋转：围绕坐标系的一根轴，以顺时针或者逆时针方向旋转，定义组件在仿真场景中的旋转角度（Rx、Ry、Rz）；</w:t>
            </w:r>
          </w:p>
          <w:p w14:paraId="6A63127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交互：可根据各个部件的自由度（DOF）和限位在仿真场景中移动组件的交互部件；</w:t>
            </w:r>
          </w:p>
          <w:p w14:paraId="4DC0232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pnp：移动组件以及将组件与其它组件相连接，如：末端执行器安装至机器人法兰盘上、阻挡装置安装在输送线上等；</w:t>
            </w:r>
          </w:p>
          <w:p w14:paraId="5DA699C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测量：能够测量仿真场景中组件的点、线、面之间的距离、角度。在三维场景中测量出滚筒线上台面到地面及皮带的距离，根据测得的数据值，来设置阻挡气缸的坐标位置，从而实现阻挡气缸的合理安装。</w:t>
            </w:r>
          </w:p>
          <w:p w14:paraId="11D7B80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捕捉：捕捉仿真场景中组件的点、线、面；</w:t>
            </w:r>
          </w:p>
          <w:p w14:paraId="39711A3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对齐：将模型与其他模型或参考物体进行对齐，使它们在空间中具有相同的位置或方向；</w:t>
            </w:r>
          </w:p>
          <w:p w14:paraId="4ECE1B9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（2）场景视图操作功能</w:t>
            </w:r>
          </w:p>
          <w:p w14:paraId="0F82967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要求提供平移、旋转、缩放、视图选择器等交互，控制场景中三维模型的查看。具体功能技术要求包括但不限于：</w:t>
            </w:r>
          </w:p>
          <w:p w14:paraId="1A742DF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平移：平移场景；</w:t>
            </w:r>
          </w:p>
          <w:p w14:paraId="0150EA2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旋转：旋转场景；</w:t>
            </w:r>
          </w:p>
          <w:p w14:paraId="7A8F2AB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缩放：放大缩小场景；</w:t>
            </w:r>
          </w:p>
          <w:p w14:paraId="112BBDC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视图选择器：提供前后左右上视5个视角模式，快速切换到所需视角；</w:t>
            </w:r>
          </w:p>
          <w:p w14:paraId="322F53C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（3）场景文件管理功能</w:t>
            </w:r>
          </w:p>
          <w:p w14:paraId="68E6FF2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要求能够实现场景文件的新建、保存、打开、查找等操作，场景文件包含所有组件的数据，包括其位置、连接，以及属性值等。具体功能技术要求包括但不限于：</w:t>
            </w:r>
          </w:p>
          <w:p w14:paraId="1DADF78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打开场景：打开已有场景；</w:t>
            </w:r>
          </w:p>
          <w:p w14:paraId="47DC36D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保存场景：将当前场景保存至场景库中；</w:t>
            </w:r>
          </w:p>
          <w:p w14:paraId="306CE4A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另存为场景：将当前场景重命名后，保存至场景库中；</w:t>
            </w:r>
          </w:p>
          <w:p w14:paraId="6A17E65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新建场景：清空当前场景，显示一个新的空场景；</w:t>
            </w:r>
          </w:p>
          <w:p w14:paraId="48780D0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查找场景：输入关键字快速筛选场景；</w:t>
            </w:r>
          </w:p>
          <w:p w14:paraId="1ABE98B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（4）信号管理功能</w:t>
            </w:r>
          </w:p>
          <w:p w14:paraId="0926F59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让组件的信号和机器人的输入/输出在仿真场景中能够互相连接。具体功能技术要求包括但不限于：</w:t>
            </w:r>
          </w:p>
          <w:p w14:paraId="68D2705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选择组件：选择具有布尔信号的组件；</w:t>
            </w:r>
          </w:p>
          <w:p w14:paraId="18F558E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选择信号：选择组件下所需连接的信号；</w:t>
            </w:r>
          </w:p>
          <w:p w14:paraId="5F39531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定义连接：将2个组件的信号进行配对；</w:t>
            </w:r>
          </w:p>
          <w:p w14:paraId="35C7F3A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（5）仿真运行模拟功能</w:t>
            </w:r>
          </w:p>
          <w:p w14:paraId="5749125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位于仿真场景上方的模拟控制面板可以控制场景进行工艺过程的运行模拟、暂停、重置等相关操作。具体功能技术要求包括但不限于：</w:t>
            </w:r>
          </w:p>
          <w:p w14:paraId="52602EB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仿真运行：仿真场景执行工艺过程的模拟运行；</w:t>
            </w:r>
          </w:p>
          <w:p w14:paraId="21AB206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仿真暂停：仿真场景停止运行，并保持当前状态；</w:t>
            </w:r>
          </w:p>
          <w:p w14:paraId="5B04114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仿真重置：仿真场景中的运行状态返回至初始状态；</w:t>
            </w:r>
          </w:p>
          <w:p w14:paraId="2291635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仿真运行速度定义：定义模拟运行速度，可加速或减速运行过程；</w:t>
            </w:r>
          </w:p>
          <w:p w14:paraId="3A2E627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运行时间显示：显示模拟运行过程中的时间节拍；</w:t>
            </w:r>
          </w:p>
          <w:p w14:paraId="6AB80DB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（二）“工艺”要求包括但不限于：</w:t>
            </w:r>
          </w:p>
          <w:p w14:paraId="3A2A555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（1）产品编辑器功能</w:t>
            </w:r>
          </w:p>
          <w:p w14:paraId="0BBA4AD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1）流动组管理</w:t>
            </w:r>
          </w:p>
          <w:p w14:paraId="159D173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能够实现定义工艺流程和产品流的分组，可通过多个流动组来管理不同的工艺流程。具体功能技术要求包括但不限于：</w:t>
            </w:r>
          </w:p>
          <w:p w14:paraId="1EFA182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添加流动组：添加一个新的流动组；</w:t>
            </w:r>
          </w:p>
          <w:p w14:paraId="6B7BD69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删除流动组：删除当前选中的流动组；</w:t>
            </w:r>
          </w:p>
          <w:p w14:paraId="30579DD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2）模型管理器</w:t>
            </w:r>
          </w:p>
          <w:p w14:paraId="03CEE6E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应用编辑产品类模型的增删及分类，配置产品/装配体时需关联产品模型。具体功能技术要求包括但不限于：</w:t>
            </w:r>
          </w:p>
          <w:p w14:paraId="6F80024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定义产品模型分组：用于管理产品模型的分类；</w:t>
            </w:r>
          </w:p>
          <w:p w14:paraId="065B90E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导入产品三维模型：从几何元面板中导入所需的产品模型源文件，右下角显示当前导入模型的三维视图；</w:t>
            </w:r>
          </w:p>
          <w:p w14:paraId="044F578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删除产品三维模型：删除当前选中的产品三维模型；</w:t>
            </w:r>
          </w:p>
          <w:p w14:paraId="3ED0483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3）产品/装配配置</w:t>
            </w:r>
          </w:p>
          <w:p w14:paraId="020CE25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创建并管理仿真模拟过程中使用的产品或装配体。具体功能技术要求包括但不限于：</w:t>
            </w:r>
          </w:p>
          <w:p w14:paraId="38687A8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定义产品：编辑产品名称，关联产品模型，与模型管理器中的模型源文件做绑定；</w:t>
            </w:r>
          </w:p>
          <w:p w14:paraId="68B9F9F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 xml:space="preserve">定义装配：在产品中能够创建装配体，装配体由多个子件（装配步骤）构成，能够定义并调整各子件的装配逻辑顺序及位置关系，且装配体的三维模型能够实时呈现； </w:t>
            </w:r>
          </w:p>
          <w:p w14:paraId="07F54BC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定义步骤：定义装配体的步骤，装配步骤代表装配层次结构中一个可以装配或拆卸的逻辑步骤；</w:t>
            </w:r>
          </w:p>
          <w:p w14:paraId="00BE0C5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定义槽位：每个装配步骤包含一个或多个装配槽位，槽位关联产品、定义产品的空间位置；</w:t>
            </w:r>
          </w:p>
          <w:p w14:paraId="4B1CCC8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产品视图：显示当前选中的装配体中各步骤槽位摆放的产品及其空间位置；</w:t>
            </w:r>
          </w:p>
          <w:p w14:paraId="096BC13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（2）工艺编辑器功能</w:t>
            </w:r>
          </w:p>
          <w:p w14:paraId="4D830FB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1）工艺程序管理</w:t>
            </w:r>
          </w:p>
          <w:p w14:paraId="5F980A8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可创建一个或多个工艺程序，定义工艺程序名称，在每个工艺程序下可通过编辑工艺指令来定义运行逻辑。具体功能技术要求包括但不限于：</w:t>
            </w:r>
          </w:p>
          <w:p w14:paraId="16971F2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添加工艺程序：支持同一工艺点创建多个工艺程序；</w:t>
            </w:r>
          </w:p>
          <w:p w14:paraId="6B49611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删除工艺程序：删除当前选中的工艺程序；</w:t>
            </w:r>
          </w:p>
          <w:p w14:paraId="3E68E54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2）工艺指令配置</w:t>
            </w:r>
          </w:p>
          <w:p w14:paraId="5EC8527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采用可视化的方式快速配置每个工艺程序的仿真运行逻辑，指令类型包括工艺流程指令、产品工艺指令、装配工艺指令、流程逻辑控制指令、运动工艺指令、信号工艺指令、程序工艺指令。具体功能技术要求包括但不限于：</w:t>
            </w:r>
          </w:p>
          <w:p w14:paraId="79036BF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接收产品：等待产品流入；</w:t>
            </w:r>
          </w:p>
          <w:p w14:paraId="33D8712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传输产品：等待产品流出，一般与接收产品指令成对应用于不同节点；</w:t>
            </w:r>
          </w:p>
          <w:p w14:paraId="6BA67E9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创建产品：在该节点生成产品；</w:t>
            </w:r>
          </w:p>
          <w:p w14:paraId="3893743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删除产品：将该节点的产品删除；</w:t>
            </w:r>
          </w:p>
          <w:p w14:paraId="749184E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更换产品：更换节点当前产品类型；</w:t>
            </w:r>
          </w:p>
          <w:p w14:paraId="1C68C9F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获取装配：获取装配体的某一步骤，一般与接收产品/传输产品成对应用在同一节点；</w:t>
            </w:r>
          </w:p>
          <w:p w14:paraId="014CACA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开关语句、开关判断：配合使用处理多分支选择；</w:t>
            </w:r>
          </w:p>
          <w:p w14:paraId="0CCED70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如果语句、如果判断、否则判断：配合使用处理不同条件下的工艺运行；</w:t>
            </w:r>
          </w:p>
          <w:p w14:paraId="2F75A12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移动关节：适用于需要关节移动的设备；</w:t>
            </w:r>
          </w:p>
          <w:p w14:paraId="51FABAE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移动设备：空车调用，适用于AGV小车；</w:t>
            </w:r>
          </w:p>
          <w:p w14:paraId="34D2886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产品吸附：将产品/装配固定到某个组件上；</w:t>
            </w:r>
          </w:p>
          <w:p w14:paraId="64D6D21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取消吸附：从某个组件上移除固定的产品/装配；</w:t>
            </w:r>
          </w:p>
          <w:p w14:paraId="241B766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组合：组件间的从属关系定义；</w:t>
            </w:r>
          </w:p>
          <w:p w14:paraId="09FED2D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分离：从已有的从属关系中拆出组件；</w:t>
            </w:r>
          </w:p>
          <w:p w14:paraId="20C748A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发送信号：发送信号指令至其他组件；</w:t>
            </w:r>
          </w:p>
          <w:p w14:paraId="56B5AED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等待信号：等待其他组件的信号反馈；</w:t>
            </w:r>
          </w:p>
          <w:p w14:paraId="5688E60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设置属性：改变组件的属性值；</w:t>
            </w:r>
          </w:p>
          <w:p w14:paraId="1A1DB1B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等待属性：等待组件的属性值发生变化；</w:t>
            </w:r>
          </w:p>
          <w:p w14:paraId="13267F6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延迟：延迟工艺语句的执行；</w:t>
            </w:r>
          </w:p>
          <w:p w14:paraId="2176E66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打印信息：输出信息，可在消息列表中查阅；</w:t>
            </w:r>
          </w:p>
          <w:p w14:paraId="5FC9351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机器人程序：执行机器人的路径程序；</w:t>
            </w:r>
          </w:p>
          <w:p w14:paraId="69CB84B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机器人搬运：执行机器人的搬运程序；</w:t>
            </w:r>
          </w:p>
          <w:p w14:paraId="231A732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3）工艺流程编辑器</w:t>
            </w:r>
          </w:p>
          <w:p w14:paraId="59A9BF7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产品在模拟运行过程中的流动顺序、方向、运输载体等。具体功能技术要求包括但不限于：</w:t>
            </w:r>
          </w:p>
          <w:p w14:paraId="7B81950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连接工艺节点：先后点击工艺节点，形成流程指示线；</w:t>
            </w:r>
          </w:p>
          <w:p w14:paraId="5B3DC5A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选择运输器：支持选择不同类型的运输器实现物流运输；</w:t>
            </w:r>
          </w:p>
          <w:p w14:paraId="107E603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运输器属性配置：设置不同运输器的属性；</w:t>
            </w:r>
          </w:p>
          <w:p w14:paraId="420595E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基于网页版的三维仿真场景，系统提供工艺流程设计等能力，让用户可以根据需要使用节点连线或添加指令的方式快速设计工艺流程。系统支持流程节点间搬运机构的运动规划能力，包括拖动定位机器人的运行轨迹、AGV行走轨迹等。</w:t>
            </w:r>
            <w:r>
              <w:rPr>
                <w:rFonts w:hint="eastAsia" w:asciiTheme="minorEastAsia" w:hAnsiTheme="minorEastAsia" w:eastAsiaTheme="minorEastAsia" w:cstheme="minorEastAsia"/>
                <w:b/>
                <w:bCs/>
                <w:color w:val="000000"/>
                <w:kern w:val="0"/>
                <w:sz w:val="24"/>
                <w:szCs w:val="24"/>
                <w:highlight w:val="none"/>
              </w:rPr>
              <w:t>（投标文件中需提供满足上述功能应用的软件界面截图）</w:t>
            </w:r>
          </w:p>
          <w:p w14:paraId="21ECFFD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（三）“组件建模”要求包括但不限于：</w:t>
            </w:r>
          </w:p>
          <w:p w14:paraId="3882A8E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（1）建模操作功能</w:t>
            </w:r>
          </w:p>
          <w:p w14:paraId="0CDCD86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1）三维模型管理</w:t>
            </w:r>
          </w:p>
          <w:p w14:paraId="3402C79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支持导入外部的三维模型，并保存至模型库中。具体功能技术要求包括但不限于：</w:t>
            </w:r>
          </w:p>
          <w:p w14:paraId="1A310CB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导入新三维模型文件：支持导入模型至仿真场景中，成为新组件；</w:t>
            </w:r>
          </w:p>
          <w:p w14:paraId="0913172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保存三维模型：将组件保存至模型库中；</w:t>
            </w:r>
          </w:p>
          <w:p w14:paraId="21C86B2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2）关节设置</w:t>
            </w:r>
          </w:p>
          <w:p w14:paraId="712AF80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当组件包含可移动部件或者运动结构时，通过配置关节定义其运动机制。每个关节都包含用于定义偏差、轴心点、关节类型以及自由度的属性。具体功能技术要求包括但不限于：</w:t>
            </w:r>
          </w:p>
          <w:p w14:paraId="1C882E9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创建关节：关节表示组件模型的容器，一般为不同运动方式的模型创建对应的关节；</w:t>
            </w:r>
          </w:p>
          <w:p w14:paraId="3692A83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定义关节层级关系：当组件运动包含从属关系时（如：六轴机器人的J1会带动其余各关节移动），需定义关节间的父子关系；</w:t>
            </w:r>
          </w:p>
          <w:p w14:paraId="5EBB500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关联模型与关节：将不同运动方式的模型拖拽至对应关节下；</w:t>
            </w:r>
          </w:p>
          <w:p w14:paraId="7FBD8B4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定义关节类型：关节的运动类型包括：固定、平移、旋转、相对平移、相对旋转；</w:t>
            </w:r>
          </w:p>
          <w:p w14:paraId="68DB93B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定义关节参数：参数包括：运动轴、运动范围、初始值等；</w:t>
            </w:r>
          </w:p>
          <w:p w14:paraId="56DBC13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3）坐标轴设置</w:t>
            </w:r>
          </w:p>
          <w:p w14:paraId="3ECC35D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为组件定义坐标，坐标轴可用于pnp模式的安装点或工艺节点等位置的配置。具体功能技术要求包括但不限于：</w:t>
            </w:r>
          </w:p>
          <w:p w14:paraId="31D11BC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创建坐标轴：在关节下创建坐标轴；</w:t>
            </w:r>
          </w:p>
          <w:p w14:paraId="1F97F78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定义坐标轴位置：拖拽移动轴或在属性面板中输入空间位置数据，修改坐标轴的位置；</w:t>
            </w:r>
          </w:p>
          <w:p w14:paraId="5F8B11B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4）原点设置</w:t>
            </w:r>
          </w:p>
          <w:p w14:paraId="02AEC6D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自定义组件的原点，即中心点。具体功能技术要求包括但不限于：</w:t>
            </w:r>
          </w:p>
          <w:p w14:paraId="1F29CA2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捕捉原点：快速定位到当前组件的原点；</w:t>
            </w:r>
          </w:p>
          <w:p w14:paraId="034C08A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修改模型原点位置：拖拽移动轴或在属性面板中输入空间位置数据，修改模型原点的位置；</w:t>
            </w:r>
          </w:p>
          <w:p w14:paraId="743BD4C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（2）行为管理功能</w:t>
            </w:r>
          </w:p>
          <w:p w14:paraId="1BBD525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1）接口</w:t>
            </w:r>
          </w:p>
          <w:p w14:paraId="0443737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将一个组件中的行为连接至其它组件中的行为。具体功能技术要求包括但不限于：</w:t>
            </w:r>
          </w:p>
          <w:p w14:paraId="574DBEA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一对一：允许组件与另一个组件连接；</w:t>
            </w:r>
          </w:p>
          <w:p w14:paraId="1042587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一对多：允许组件连接一个或者多个组件；</w:t>
            </w:r>
          </w:p>
          <w:p w14:paraId="2FA9C69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2）信号</w:t>
            </w:r>
          </w:p>
          <w:p w14:paraId="6C2D3F1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发送和接收不同类型的信号。具体功能技术要求包括但不限于：</w:t>
            </w:r>
          </w:p>
          <w:p w14:paraId="3B6DB79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布尔信号：发送/接收一个True或者False值；</w:t>
            </w:r>
          </w:p>
          <w:p w14:paraId="60F15C3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整数信号：发送/接收一个整数；</w:t>
            </w:r>
          </w:p>
          <w:p w14:paraId="086706C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布尔地图信号：提供一个I/O空间用于将信号映射至端口，可配置端口数、端口起始值；</w:t>
            </w:r>
          </w:p>
          <w:p w14:paraId="77D2C08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系统具备提供字符串信号、位置信号、角度信号、组件信号的能力；</w:t>
            </w:r>
          </w:p>
          <w:p w14:paraId="7158A40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3）运动</w:t>
            </w:r>
          </w:p>
          <w:p w14:paraId="229416E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具备赋予组件运动控制的能力，能够定义组件的运动属性。具体功能技术要求包括但不限于：</w:t>
            </w:r>
          </w:p>
          <w:p w14:paraId="7E2D273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关节控制器：定义一个运动机构及其配置，包括其驱动关节；</w:t>
            </w:r>
          </w:p>
          <w:p w14:paraId="38BC748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平移控制器：即导轨控制器，定义一个导轨及其配置，包括其关节控制器、xyz对应的关节、法兰节点；</w:t>
            </w:r>
          </w:p>
          <w:p w14:paraId="09D36D5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机器人程序执行器：为机器人程序提供一个逻辑容器和执行器；</w:t>
            </w:r>
          </w:p>
          <w:p w14:paraId="2D352A0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六轴机器人控制器：定义一个六轴机器人及其配置，包括其运动、关节等；</w:t>
            </w:r>
          </w:p>
          <w:p w14:paraId="59BFAE7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六轴机器人运动学：编辑DH值，定义六轴关节型机器人的运动参数；</w:t>
            </w:r>
          </w:p>
          <w:p w14:paraId="1FC64EE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sz w:val="24"/>
                <w:szCs w:val="24"/>
                <w:highlight w:val="none"/>
              </w:rPr>
              <w:t>SCARA</w:t>
            </w:r>
            <w:r>
              <w:rPr>
                <w:rFonts w:hint="eastAsia" w:asciiTheme="minorEastAsia" w:hAnsiTheme="minorEastAsia" w:eastAsiaTheme="minorEastAsia" w:cstheme="minorEastAsia"/>
                <w:color w:val="000000"/>
                <w:kern w:val="0"/>
                <w:sz w:val="24"/>
                <w:szCs w:val="24"/>
                <w:highlight w:val="none"/>
              </w:rPr>
              <w:t>机器人控制器：定义一个</w:t>
            </w:r>
            <w:r>
              <w:rPr>
                <w:rFonts w:hint="eastAsia" w:asciiTheme="minorEastAsia" w:hAnsiTheme="minorEastAsia" w:eastAsiaTheme="minorEastAsia" w:cstheme="minorEastAsia"/>
                <w:sz w:val="24"/>
                <w:szCs w:val="24"/>
                <w:highlight w:val="none"/>
              </w:rPr>
              <w:t>SCARA</w:t>
            </w:r>
            <w:r>
              <w:rPr>
                <w:rFonts w:hint="eastAsia" w:asciiTheme="minorEastAsia" w:hAnsiTheme="minorEastAsia" w:eastAsiaTheme="minorEastAsia" w:cstheme="minorEastAsia"/>
                <w:color w:val="000000"/>
                <w:kern w:val="0"/>
                <w:sz w:val="24"/>
                <w:szCs w:val="24"/>
                <w:highlight w:val="none"/>
              </w:rPr>
              <w:t>型机器人及其配置，包括其运动、关节等；</w:t>
            </w:r>
          </w:p>
          <w:p w14:paraId="65495A1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sz w:val="24"/>
                <w:szCs w:val="24"/>
                <w:highlight w:val="none"/>
              </w:rPr>
              <w:t>SCARA</w:t>
            </w:r>
            <w:r>
              <w:rPr>
                <w:rFonts w:hint="eastAsia" w:asciiTheme="minorEastAsia" w:hAnsiTheme="minorEastAsia" w:eastAsiaTheme="minorEastAsia" w:cstheme="minorEastAsia"/>
                <w:color w:val="000000"/>
                <w:kern w:val="0"/>
                <w:sz w:val="24"/>
                <w:szCs w:val="24"/>
                <w:highlight w:val="none"/>
              </w:rPr>
              <w:t>机器人运动学：编辑DH值，定义</w:t>
            </w:r>
            <w:r>
              <w:rPr>
                <w:rFonts w:hint="eastAsia" w:asciiTheme="minorEastAsia" w:hAnsiTheme="minorEastAsia" w:eastAsiaTheme="minorEastAsia" w:cstheme="minorEastAsia"/>
                <w:sz w:val="24"/>
                <w:szCs w:val="24"/>
                <w:highlight w:val="none"/>
              </w:rPr>
              <w:t>SCARA</w:t>
            </w:r>
            <w:r>
              <w:rPr>
                <w:rFonts w:hint="eastAsia" w:asciiTheme="minorEastAsia" w:hAnsiTheme="minorEastAsia" w:eastAsiaTheme="minorEastAsia" w:cstheme="minorEastAsia"/>
                <w:color w:val="000000"/>
                <w:kern w:val="0"/>
                <w:sz w:val="24"/>
                <w:szCs w:val="24"/>
                <w:highlight w:val="none"/>
              </w:rPr>
              <w:t>型机器人的运动参数；</w:t>
            </w:r>
          </w:p>
          <w:p w14:paraId="36100E1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协作机器人控制器：定义一个协作机器人及其配置，包括其运动、关节等；</w:t>
            </w:r>
          </w:p>
          <w:p w14:paraId="1936C1B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协作机器人运动学：编辑DH值，定义协作机器人的运动参数；</w:t>
            </w:r>
          </w:p>
          <w:p w14:paraId="1C23279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三轴平移机器人控制器：定义一个三轴机器人及其配置，包括其运动、关节、速度等；</w:t>
            </w:r>
          </w:p>
          <w:p w14:paraId="7DD10C8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机器人工具：提供一个充当工具中心点（TCP）的逻辑容器用于添加和编辑用作工具坐标框的坐标框特征；</w:t>
            </w:r>
          </w:p>
          <w:p w14:paraId="5EDA91F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运输控制器：定义一个移动小车及其配置，包括其所控制的小车、停靠点、路径线等；</w:t>
            </w:r>
          </w:p>
          <w:p w14:paraId="3489653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运输设备：为移动小车赋予运输能力，可编辑运行速度、旋转速度，运输到位信号等；</w:t>
            </w:r>
          </w:p>
          <w:p w14:paraId="01B4234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设备路径点：定义小车路径点，配置其控制器；</w:t>
            </w:r>
          </w:p>
          <w:p w14:paraId="4A5A57C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4）工艺</w:t>
            </w:r>
          </w:p>
          <w:p w14:paraId="5A5EDAF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能够实现工艺类行为包括但不限于：定义产品、工艺和流程。具体功能技术要求包括但不限于：</w:t>
            </w:r>
          </w:p>
          <w:p w14:paraId="0BBD2A0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工艺执行器：为工艺路径提供逻辑容器和执行器；</w:t>
            </w:r>
          </w:p>
          <w:p w14:paraId="043041C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工艺传输点：流程的经过点，可以在此将产品流入/流出；</w:t>
            </w:r>
          </w:p>
          <w:p w14:paraId="13C87EF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立库：为立库赋予存储能力，定义库位长宽高、行列、库位支持存放的产品；</w:t>
            </w:r>
          </w:p>
          <w:p w14:paraId="39D0455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脚本：定义一个脚本用于操作组件、命令和应用；</w:t>
            </w:r>
          </w:p>
          <w:p w14:paraId="104C902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5）其它</w:t>
            </w:r>
          </w:p>
          <w:p w14:paraId="30DA455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具备视觉检测、数据采集、动画控制所需功能。具体功能技术要求包括但不限于：</w:t>
            </w:r>
          </w:p>
          <w:p w14:paraId="5574AA9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灯光：规定光源类型、强度等；</w:t>
            </w:r>
          </w:p>
          <w:p w14:paraId="2859542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相机：规定相机拍照信号、焦距、像素、焦距和是否单色相机以及拍照按钮等；</w:t>
            </w:r>
          </w:p>
          <w:p w14:paraId="0754F33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范围检测器：检测组件或产品是否处于定义的空间范围内；</w:t>
            </w:r>
          </w:p>
          <w:p w14:paraId="1BDC4D7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动画控制器：定义一个动画及其配置，包括切片分段、起始帧、结束帧、调用信号、反馈信号；</w:t>
            </w:r>
          </w:p>
          <w:p w14:paraId="4CEF9CA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数据收集：为模型添加数据收集行为收集机构的运动数据，包含设备启动、重置、运行状态、使用时长、创建产品数量、执行次数和坐标点等。</w:t>
            </w:r>
          </w:p>
          <w:p w14:paraId="3610416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（3）属性管理功能</w:t>
            </w:r>
          </w:p>
          <w:p w14:paraId="34B31B1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属性是组件的全局变量，在组件的根节点中定义。属性类型包含字符串、整数、布尔量、小数等。具体功能技术要求包括但不限于：</w:t>
            </w:r>
          </w:p>
          <w:p w14:paraId="4383E02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字符串：字符字符串；</w:t>
            </w:r>
          </w:p>
          <w:p w14:paraId="7F13B39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整数：整数值；</w:t>
            </w:r>
          </w:p>
          <w:p w14:paraId="44CF2AC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布尔：可使用1或者0表达的True或者False值；</w:t>
            </w:r>
          </w:p>
          <w:p w14:paraId="3B0D151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小数：小数值；</w:t>
            </w:r>
          </w:p>
          <w:p w14:paraId="42E8A54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（四）“机器人编程”要求包括但不限于：</w:t>
            </w:r>
          </w:p>
          <w:p w14:paraId="6E1052D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（1）点动示教功能</w:t>
            </w:r>
          </w:p>
          <w:p w14:paraId="68EB8C7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在仿真场景中拖动机器人末端TCP来控制机器人的位姿。具体功能技术要求包括但不限于：</w:t>
            </w:r>
          </w:p>
          <w:p w14:paraId="4959497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选择工具TCP：选择工具坐标框充当一个工具中心点（TCP），用于示教机器人定位；</w:t>
            </w:r>
          </w:p>
          <w:p w14:paraId="3F610DF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显示关节坐标数据：在点动面板中，实时显示机器人不同姿态的关节数据；</w:t>
            </w:r>
          </w:p>
          <w:p w14:paraId="74E7C13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TCP自动捕捉：启用捕捉功能可快速将末端执行器定位抓取位置；</w:t>
            </w:r>
          </w:p>
          <w:p w14:paraId="5DC302A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（2）程序编辑器功能</w:t>
            </w:r>
          </w:p>
          <w:p w14:paraId="524E0A3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1）机器人程序管理</w:t>
            </w:r>
          </w:p>
          <w:p w14:paraId="3837C5E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新增、查看和编辑机器人程序，预览其运行轨迹。具体功能技术要求包括但不限于：</w:t>
            </w:r>
          </w:p>
          <w:p w14:paraId="08B6EB0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新增机器人程序：添加机器人程序，定义其名称；</w:t>
            </w:r>
          </w:p>
          <w:p w14:paraId="79A1DB0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删除机器人程序：删除当前选中的机器人程序；</w:t>
            </w:r>
          </w:p>
          <w:p w14:paraId="7802E7D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预览机器人程序：预览当前选中的程序，查看其运行轨迹；</w:t>
            </w:r>
          </w:p>
          <w:p w14:paraId="4E9527B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2）程序指令</w:t>
            </w:r>
          </w:p>
          <w:p w14:paraId="4214D40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机器人程序指令用于控制机器人动作和行为，指令类型包括：运动指令、条件指令、逻辑指令、信号指令等。具体功能技术要求包括但不限于：</w:t>
            </w:r>
          </w:p>
          <w:p w14:paraId="2A3112F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点对点运动：插入关节值执行至一个位置点对点运动；</w:t>
            </w:r>
          </w:p>
          <w:p w14:paraId="766352B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线性运动：根据当前配置执行至一个位置的线性运动；</w:t>
            </w:r>
          </w:p>
          <w:p w14:paraId="45B0E98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安装夹具：安装末端执行器至法兰节点；</w:t>
            </w:r>
          </w:p>
          <w:p w14:paraId="73A50C6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卸载夹具：卸下末端执行器；</w:t>
            </w:r>
          </w:p>
          <w:p w14:paraId="3693567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发送信号：机器人发送信号控制布尔地图信号端口；</w:t>
            </w:r>
          </w:p>
          <w:p w14:paraId="78A5E77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等待信号：等待机器人信号反馈从而控制对应绑定的其他组件信号；</w:t>
            </w:r>
          </w:p>
          <w:p w14:paraId="235D02E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设置属性：设置变量类型，一般与转换语句配合使用；</w:t>
            </w:r>
          </w:p>
          <w:p w14:paraId="2157747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开关语句、开关判断：应用switch case语句处理多分支选择；</w:t>
            </w:r>
          </w:p>
          <w:p w14:paraId="6613A00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延迟：延迟下一条指令的执行；</w:t>
            </w:r>
          </w:p>
          <w:p w14:paraId="2CECAC8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（五）“连通性”要求包括但不限于：</w:t>
            </w:r>
          </w:p>
          <w:p w14:paraId="74ABAE0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（1）服务器管理功能</w:t>
            </w:r>
          </w:p>
          <w:p w14:paraId="1E34039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允许仿真与Modbus服务器、OPC UA服务器、ABB机器人控制器、西门子S7控制器、视觉控制器连接，并交换数据。具体功能技术要求包括但不限于：</w:t>
            </w:r>
          </w:p>
          <w:p w14:paraId="4FE2328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添加服务器：为选中插件添加一个新的连接；</w:t>
            </w:r>
          </w:p>
          <w:p w14:paraId="581BE20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修改服务器：修改连接中的参数，包括：ip地址、读取周期等；</w:t>
            </w:r>
          </w:p>
          <w:p w14:paraId="1E47114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删除服务器：删除一个选中的连接；</w:t>
            </w:r>
          </w:p>
          <w:p w14:paraId="3FBF090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连接/断开服务器：开启/关闭仿真与服务器的连接功能；</w:t>
            </w:r>
          </w:p>
          <w:p w14:paraId="7790821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（2）仿真变量与服务器变量配对功能</w:t>
            </w:r>
          </w:p>
          <w:p w14:paraId="2DF66C1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1）变量管理</w:t>
            </w:r>
          </w:p>
          <w:p w14:paraId="0B72269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新增、删除服务器变量。具体功能技术要求包括但不限于：</w:t>
            </w:r>
          </w:p>
          <w:p w14:paraId="188872E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添加变量：增加一个服务器变量，需配置存储地址、数据类型等；</w:t>
            </w:r>
          </w:p>
          <w:p w14:paraId="2D8D5D1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删除变量：删除当前选中的变量；</w:t>
            </w:r>
          </w:p>
          <w:p w14:paraId="7637683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2）变量配对管理</w:t>
            </w:r>
          </w:p>
          <w:p w14:paraId="2786D15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定义仿真变量与服务器变量之间的连接与数据更改规则。具体功能技术要求包括但不限于：</w:t>
            </w:r>
          </w:p>
          <w:p w14:paraId="12B8E8F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变量配对：将仿真变量与服务器变量一一配对；</w:t>
            </w:r>
          </w:p>
          <w:p w14:paraId="3E72ED9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仿真至服务器方向的成对变量：在该页面下进行变量配对后，当场景模拟运行过程时，会实时将仿真中的变量值发送至服务器，服务器的变量值同步更改；</w:t>
            </w:r>
          </w:p>
          <w:p w14:paraId="748234D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服务器至仿真方向的成对变量：在该页面下进行变量配对后，当场景模拟运行过程时，仿真中的变量值会根据服务器发送的变量值而更改；</w:t>
            </w:r>
          </w:p>
          <w:p w14:paraId="6AA6F96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已连接变量显示：显示当前已配对的仿真变量和服务器变量；</w:t>
            </w:r>
          </w:p>
          <w:p w14:paraId="5BEA922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（3）监控面板功能</w:t>
            </w:r>
          </w:p>
          <w:p w14:paraId="0AAEB51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实时显示场景模拟运行过程中的变量值。具体功能技术要求包括但不限于：</w:t>
            </w:r>
          </w:p>
          <w:p w14:paraId="5A41B28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监控面板显示：显示当前配置的服务器及其通信状态、各服务器下配对的变量及实时值。</w:t>
            </w:r>
          </w:p>
          <w:p w14:paraId="26D6DF2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（六）“数据采集”要求包括但不限于：</w:t>
            </w:r>
          </w:p>
          <w:p w14:paraId="232D0DF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（1）采集服务器管理功能</w:t>
            </w:r>
          </w:p>
          <w:p w14:paraId="0E62F72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允许通过Modbus、S7等协议，采集仿真运行过程中模拟的数据。具体功能技术要求包括但不限于：</w:t>
            </w:r>
          </w:p>
          <w:p w14:paraId="0730FDC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添加采集服务器：为选中插件添加一个新的数据采集服务器；</w:t>
            </w:r>
          </w:p>
          <w:p w14:paraId="457AE2F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修改采集服务器：修改数据采集服务器的参数，包括：ip地址、采集周期等；</w:t>
            </w:r>
          </w:p>
          <w:p w14:paraId="0735D43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删除采集服务器：删除一个选中的数据采集服务器；</w:t>
            </w:r>
          </w:p>
          <w:p w14:paraId="3627F3E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连接/断开采集服务器：开启/关闭仿真与数据采集服务器的连接功能。</w:t>
            </w:r>
          </w:p>
          <w:p w14:paraId="33B8113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（2）采集数据管理功能</w:t>
            </w:r>
          </w:p>
          <w:p w14:paraId="27B0C19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定义所需采集的数据。具体功能技术要求包括但不限于：</w:t>
            </w:r>
          </w:p>
          <w:p w14:paraId="5AABAFD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配置采集数据：为所需采集的数据配置存储地址、数据类型等。</w:t>
            </w:r>
          </w:p>
          <w:p w14:paraId="201CB76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（3）监控面板功能</w:t>
            </w:r>
          </w:p>
          <w:p w14:paraId="77ECBA0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实时显示场景模拟运行过程中的数据值。具体功能技术要求包括但不限于：</w:t>
            </w:r>
          </w:p>
          <w:p w14:paraId="277E5A2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监控面板显示：显示当前配置的服务器及其通信状态、各服务器下模拟的生产运行过程数据信息。</w:t>
            </w:r>
          </w:p>
          <w:p w14:paraId="05067A69">
            <w:pPr>
              <w:pStyle w:val="65"/>
              <w:ind w:firstLine="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color w:val="000000"/>
                <w:sz w:val="24"/>
                <w:szCs w:val="24"/>
                <w:highlight w:val="none"/>
              </w:rPr>
              <w:t>■</w:t>
            </w:r>
            <w:r>
              <w:rPr>
                <w:rFonts w:hint="eastAsia" w:asciiTheme="minorEastAsia" w:hAnsiTheme="minorEastAsia" w:eastAsiaTheme="minorEastAsia" w:cstheme="minorEastAsia"/>
                <w:sz w:val="24"/>
                <w:szCs w:val="24"/>
                <w:highlight w:val="none"/>
              </w:rPr>
              <w:t>（七）创建新组件支持导入CAD模型，并能为模型以可视化的方法创建属性、行为、控制算法以及运动结构，构建成新的组件，使组件具备物理设备的工作机理和处理问题的逻辑能力，并可以将组件在场景搭建中应用。</w:t>
            </w: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p>
          <w:p w14:paraId="59A2CC3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（二）、工业互联网设备数据采集仿真教学系统</w:t>
            </w:r>
          </w:p>
          <w:p w14:paraId="1731B6AC">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color w:val="000000"/>
                <w:sz w:val="24"/>
                <w:highlight w:val="none"/>
              </w:rPr>
              <w:t>1）平台首页，包括课件数量、视频数量、试卷数量、案例数量、作品数量、查看班级数量、学生数量、老师数量、游客数量、学生成绩排名、老师教学质量排名等统计信息</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669D8BD4">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2）支持4种不同的角色(管理员、教师端、学生端和游客端)权限功能。</w:t>
            </w:r>
          </w:p>
          <w:p w14:paraId="7D1421DC">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■3）至少需要包含课程管理、微课管理、案例管理、考试管理，课堂任务、创作空间、学习模块、实验报告、系统管理等相关教学功能。</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3DC61C82">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4）需具备资源中心模块，模块至少提供八个类型的资源库管理，包括微课库、课件库、案例库、视频库、素材库、实验理论库、试题库、试卷库。资源库需支持设置资源名称、选择是否共享、编辑资源内容等。需支持对本地资源进行预览、编辑、删除、下载等操作。</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0791EF56">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5）需具备课程管理模块：满足可以新增课程，新增课程内容信息至少包含：课程信息、章节内容、课件资料和选择班级。课程信息填写内容至少包含：课程名称、课程类型、课程是否共享、课程是否支持下载、课程开始时间和课程结束时间、课程编码、课程封面、课程简介、课程大纲。</w:t>
            </w:r>
          </w:p>
          <w:p w14:paraId="44076EBB">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6）需具备微课管理模块：满足可以根据教材知识点和灵活的教学思路制作的微课教学视频，利用微课程平台进行组装。满足可以新增微课，新增微课内容信息至少需要包含：微课信息、章节内容、课件资料和选择班级。可一键发布，满足老师教学及学生学习需要。</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640A53D3">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7）需具备案例管理模块：需包含案例信息：案例名称、案例类型、案例是否共享、案例是否支持下载、案例开始时间和案例结束时间、案例封面、需求背景、应用价值和开发环境等信息。需包含案例内容：案例信息、案例指导书、案例素材、案例视频、选择班级，可一键发布，满足老师教学及学生学习需要。</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2411D759">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8）需具备考试管理模块：至少需要包含考试成绩、支持Form动态表单和试卷管理等模块。</w:t>
            </w:r>
          </w:p>
          <w:p w14:paraId="694A6A48">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1）考试成绩需显示考试名称、班级、考试时间、总分、考试时长、考试人数、已考人数、未考人数、班级平均分等信息。需支持查看班级成绩，班级成绩信息需包含考生姓名、完成状态、评分状态、单选成绩、多选成绩、判断成绩、填空成绩、简答成绩，可预览考生个人成绩。需支持以Excel表格的形式导出班级成绩。</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54907154">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（2）试卷管理支持新增试卷，新增试卷需支持手动组卷和自动组卷功能。</w:t>
            </w:r>
          </w:p>
          <w:p w14:paraId="5DE9D672">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★9)需具备课堂任务模块：包括任务名称、分值、发布时间、发布班级、状态、学生数量、已完成数量、任务时间、操作（修改、删除、发布撤回）等功能</w:t>
            </w:r>
            <w:r>
              <w:rPr>
                <w:rFonts w:hint="eastAsia" w:asciiTheme="minorEastAsia" w:hAnsiTheme="minorEastAsia" w:eastAsiaTheme="minorEastAsia" w:cstheme="minorEastAsia"/>
                <w:b/>
                <w:bCs/>
                <w:color w:val="000000"/>
                <w:sz w:val="24"/>
                <w:highlight w:val="none"/>
              </w:rPr>
              <w:t>（投标文件中需提供满足上述功能应用的软件界面截图）</w:t>
            </w:r>
            <w:r>
              <w:rPr>
                <w:rFonts w:hint="eastAsia" w:asciiTheme="minorEastAsia" w:hAnsiTheme="minorEastAsia" w:eastAsiaTheme="minorEastAsia" w:cstheme="minorEastAsia"/>
                <w:color w:val="000000"/>
                <w:sz w:val="24"/>
                <w:highlight w:val="none"/>
              </w:rPr>
              <w:t>。</w:t>
            </w:r>
          </w:p>
          <w:p w14:paraId="6DB2599D">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10)需具备实验报告模块：实验报告需支持查看学生个人报告信息，包括学生姓名、班级、实验名称、得分及批阅状态，需支持查看实验报告详情。</w:t>
            </w:r>
          </w:p>
          <w:p w14:paraId="12AE7EA9">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11)需具备系统管理模块至少需要包含数据字典、组织机构、用户管理、菜单管理、角色管理、消息通知等。</w:t>
            </w:r>
          </w:p>
          <w:p w14:paraId="333B3353">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★12)支持适配以下版本及其以上系统运行环境，操作系统（Windows Server 2019、Redhat linux 8.0、Unix Solaris l1、CentOS 7.9）、数据库（My SQL8.0、SQL Server 2012、Oracle 12c）、中间件（Tomcat 8.0、Weblogic 12c、Websphere 6.0）。</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74E56165">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13).教学案例实训资源支持多种虚拟仿真实训场景环境、至少包含HTC头盔、LED大屏、CAVE洞穴、AR一体机、MR一体机等。</w:t>
            </w:r>
          </w:p>
          <w:p w14:paraId="070E3F69">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■14)系统需具备案例中心模块，至少包含智能制造案例（智能卡与RFID技术、智能传感器应用技术）；</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68B2CF0C">
            <w:pPr>
              <w:pStyle w:val="3"/>
              <w:ind w:firstLine="420"/>
              <w:rPr>
                <w:rFonts w:hint="eastAsia" w:asciiTheme="minorEastAsia" w:hAnsiTheme="minorEastAsia" w:eastAsiaTheme="minorEastAsia" w:cstheme="minorEastAsia"/>
                <w:b/>
                <w:bCs/>
                <w:color w:val="000000"/>
                <w:sz w:val="24"/>
                <w:highlight w:val="none"/>
              </w:rPr>
            </w:pPr>
            <w:r>
              <w:rPr>
                <w:rFonts w:hint="eastAsia" w:asciiTheme="minorEastAsia" w:hAnsiTheme="minorEastAsia" w:eastAsiaTheme="minorEastAsia" w:cstheme="minorEastAsia"/>
                <w:color w:val="000000"/>
                <w:sz w:val="24"/>
                <w:highlight w:val="none"/>
              </w:rPr>
              <w:t>■15)支持Form动态表单：括单行文本、多行文本、单选框、多选框、下拉菜单、图片、视频、编辑器、时间、日期、附件</w:t>
            </w:r>
            <w:r>
              <w:rPr>
                <w:rFonts w:hint="eastAsia" w:asciiTheme="minorEastAsia" w:hAnsiTheme="minorEastAsia" w:eastAsiaTheme="minorEastAsia" w:cstheme="minorEastAsia"/>
                <w:b/>
                <w:bCs/>
                <w:color w:val="000000"/>
                <w:sz w:val="24"/>
                <w:highlight w:val="none"/>
              </w:rPr>
              <w:t>（投标文件中需提供满足上述功能应用的软件界面截图）。</w:t>
            </w:r>
          </w:p>
          <w:p w14:paraId="5AC40123">
            <w:pPr>
              <w:pStyle w:val="3"/>
              <w:ind w:firstLine="42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16)提供三年课程资源内容升级更新服务。</w:t>
            </w:r>
          </w:p>
          <w:p w14:paraId="29691C0E">
            <w:pPr>
              <w:pStyle w:val="65"/>
              <w:rPr>
                <w:rFonts w:hint="eastAsia" w:asciiTheme="minorEastAsia" w:hAnsiTheme="minorEastAsia" w:eastAsiaTheme="minorEastAsia" w:cstheme="minorEastAsia"/>
                <w:sz w:val="24"/>
                <w:szCs w:val="24"/>
                <w:highlight w:val="none"/>
              </w:rPr>
            </w:pPr>
          </w:p>
          <w:p w14:paraId="6581357C">
            <w:pPr>
              <w:pStyle w:val="65"/>
              <w:ind w:firstLine="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三、智能制造通识教育实训平台</w:t>
            </w:r>
          </w:p>
          <w:p w14:paraId="467E0C3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（一）控制系统</w:t>
            </w:r>
          </w:p>
          <w:p w14:paraId="54CAD5B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1、核心功能要求：可作为实训系统核心控制单元，支持数字量、模拟量信号处理，具备工业级通信能力，适配逻辑编程、过程控制等实训项目，运行稳定可靠；</w:t>
            </w:r>
          </w:p>
          <w:p w14:paraId="7FCFBDF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2、控制器CPU：≥1个PROFINET接口，≥2个接入端口，程序/数据存储器≥1.5MB；</w:t>
            </w:r>
          </w:p>
          <w:p w14:paraId="1C63144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3、≥1个数字量输入模块，至少包含≥32路24V DC数字量输入；</w:t>
            </w:r>
          </w:p>
          <w:p w14:paraId="672D58D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4、≥1个数字量输出模块，至少包含≥32路24V DC数字量输出；</w:t>
            </w:r>
          </w:p>
          <w:p w14:paraId="33C2BC6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5、≥1个模拟量输入输出模块，至少包含≥4路模拟量输入、≥2路模拟量输出；</w:t>
            </w:r>
          </w:p>
          <w:p w14:paraId="22B959D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6、≥1张存储卡，闪存≥3.3V，容量≥24 MB。</w:t>
            </w:r>
          </w:p>
          <w:p w14:paraId="2D68B5B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（二）工业触摸屏</w:t>
            </w:r>
          </w:p>
          <w:p w14:paraId="54B1606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1、核心功能要求：支持按键与触摸双操作，具备工业级通信兼容性，可与PLC无缝联动，用于实训项目参数设置、状态监控及操作控制，显示清晰、操作便捷；</w:t>
            </w:r>
          </w:p>
          <w:p w14:paraId="3C576B6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2、HMI基本型色彩PN：采用基本面板，支持按键+触摸双重操作；≥7英寸TFT显示屏，显示色彩≥65536色；配备≥1个PROFINET接口；</w:t>
            </w:r>
          </w:p>
          <w:p w14:paraId="5EF98BD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3、工业以太网交换机：非管理型，适配10/100Mbps传输速率，兼容工业以太网通信协议。</w:t>
            </w:r>
          </w:p>
          <w:p w14:paraId="1608FB5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（三）工业自动化工程软件授权</w:t>
            </w:r>
          </w:p>
          <w:p w14:paraId="3566328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提供永久授权（非订阅制），包含软件安装介质（U盘/光盘）及正版专业版（Prof）授权密钥。编程软件需支持梯形图（LAD）、功能块图（FBD）、语句表（STL）、结构化控制语言（SCL）、图形化顺序控制（Graph）等多种编程方式。原生支持 PROFINET IO、PROFIBUS DP、MPI、以太网/IP、Modbus TCP 等主流工业通信协议，可实现 PLC 与上位机、触摸屏、第三方设备的通信组态。按照1套硬件配套1套软件的比例，配套正版编程软件与工程组态软件专业版授权，同时编程软件套件可以对控制器、人机界面进行统一的项目规划和控制操作，实现数据的统一存储，确保整个项目内数据一致性；编程软件与工程组态软件需与可编程控制器为同一品牌。</w:t>
            </w:r>
          </w:p>
          <w:p w14:paraId="1A039A8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（四）逻辑编程控制对象</w:t>
            </w:r>
          </w:p>
          <w:p w14:paraId="4F52433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1、核心功能要求：提供工业现场设备运行状态模拟，支持信号模拟与多场景教学项目实操，帮助学员掌握开关量、模拟量信号处理及控制逻辑设计技能；</w:t>
            </w:r>
          </w:p>
          <w:p w14:paraId="20F9F80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2、信号模拟组件：≥1个电压表（测量AQ输出电压）、≥1个直滑电阻（提供0~12V直流电压信号）、≥8路开关（输入信号模拟）、≥8路LED显示（输出信号指示）；</w:t>
            </w:r>
          </w:p>
          <w:p w14:paraId="6349DD8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3、配套教学使用的对象卡，包括但不限于：自动浇花对象卡、自动门对象卡、流水灯对象卡、提升机对象卡、隧道车流控制对象卡、红绿灯对象卡、冲压机对象卡、智能照明监控对象卡。</w:t>
            </w:r>
          </w:p>
          <w:p w14:paraId="306D5C8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（五）外置输入/输出接口单元</w:t>
            </w:r>
          </w:p>
          <w:p w14:paraId="00EAE31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1、核心功能要求：提供系统创意单元及学校原有设备的接线连接；</w:t>
            </w:r>
          </w:p>
          <w:p w14:paraId="6AFC891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2、数字量接口：≥8个数字量输入快速连接口、≥8个数字量输出快速连接口，支持快速插拔接线；</w:t>
            </w:r>
          </w:p>
          <w:p w14:paraId="2998FF0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3、模拟量接口：≥2个模拟量输入快速连接口、≥1个模拟量输出快速连接口；</w:t>
            </w:r>
          </w:p>
          <w:p w14:paraId="551B648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4、电源接口：≥3组24VDC电源快速连接口，满足外设供电需求；</w:t>
            </w:r>
          </w:p>
          <w:p w14:paraId="60CB9F2A">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（六）系统实训控制单元</w:t>
            </w:r>
          </w:p>
          <w:p w14:paraId="2B338FB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1、核心功能要求：提供从单个器件操作到简单控制系统搭建的完整实训平台，涵盖传感器、执行器、控制元件等，支持分步式、递进式实训；</w:t>
            </w:r>
          </w:p>
          <w:p w14:paraId="421ED13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2、控制元件：≥1个四孔按钮盒；≥1个红色LED指示灯、≥1个绿色LED指示灯；≥1个绿色平头按钮、≥1个红色平头按钮；</w:t>
            </w:r>
          </w:p>
          <w:p w14:paraId="0987F5B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3、动力与传感元件：≥1台温湿度变送器、≥1个接近开关、≥1个漫反射激光传感器、≥2个传感器支架；</w:t>
            </w:r>
          </w:p>
          <w:p w14:paraId="2B4FDDB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4、气动元件：≥1套气源处理二联件、≥1个机械阀、≥4个节流阀、≥1个单控电磁阀、≥1个双控电磁阀、≥1个汇流板、≥1个盲板、≥2个气缸、≥1个三通快速接头、≥6mm规格气管；</w:t>
            </w:r>
          </w:p>
          <w:p w14:paraId="251AB4B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5、辅助配件：≥25个香蕉头信号线。</w:t>
            </w:r>
          </w:p>
          <w:p w14:paraId="2B7D7E61">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（七）设备平台</w:t>
            </w:r>
          </w:p>
          <w:p w14:paraId="20C66F0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1、核心功能要求：采用网孔式标准设计，作为实训控制元件、传感器、执行器的安装载体，结构稳固、布局合理，便于设备安装、接线与实训操作；</w:t>
            </w:r>
          </w:p>
          <w:p w14:paraId="01DDCBC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2、规格参数：网孔式标准控制屏（台式），尺寸为≥H2000mm*W800mm*D800mm，框架材质具备防腐蚀、防磨损特性，网孔布局适配各类实训器件安装。</w:t>
            </w:r>
          </w:p>
          <w:p w14:paraId="3DC1D134">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3、≥2个对象运行平台</w:t>
            </w:r>
          </w:p>
          <w:p w14:paraId="1C2DFA35">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（八）智能制造数字化产线仿真系统软件（永久授权）</w:t>
            </w:r>
          </w:p>
          <w:p w14:paraId="1AE54EF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1、核心功能：模拟智能工厂主件供料站等部分三维虚拟仿真，模型中位置传感器、气缸等元器件物理特性与实物一致。</w:t>
            </w:r>
          </w:p>
          <w:p w14:paraId="6A29486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2、支持与PLC通过以太网通信方式进行数据交换，即可实现被PLC实时控制；</w:t>
            </w:r>
          </w:p>
          <w:p w14:paraId="01079CA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3、支持PLC信息以及数据类型等属性的灵活组态配置；</w:t>
            </w:r>
          </w:p>
          <w:p w14:paraId="1A884E6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4、支持多视角对模拟工作站进行观察，至少包含远景与近距离视角；</w:t>
            </w:r>
          </w:p>
          <w:p w14:paraId="034E0B6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5、支持系统配置文件的保存与读取；</w:t>
            </w:r>
          </w:p>
          <w:p w14:paraId="7CA950A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6、支持通信数据监视功能；</w:t>
            </w:r>
          </w:p>
          <w:p w14:paraId="6A1F425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7、支持MES系统下发订单；</w:t>
            </w:r>
          </w:p>
          <w:p w14:paraId="0EC473C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8、支持各项生产相关数据的采集；</w:t>
            </w:r>
          </w:p>
          <w:p w14:paraId="64E4EF1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9、支持生产进度和工作情况的大屏展示，从而提高生产效率、改善生产流程、提升生产质量、增强生产透明度。</w:t>
            </w:r>
          </w:p>
          <w:p w14:paraId="2C08CE10">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（九）单部电梯虚拟仿真软件（永久授权）</w:t>
            </w:r>
          </w:p>
          <w:p w14:paraId="3F6726CE">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1、核心功能要求：基于虚拟现实技术构建三维可视化实训环境，具备硬件在回路仿真能力，支持电梯控制全流程实训，适配工业通信协议；</w:t>
            </w:r>
          </w:p>
          <w:p w14:paraId="1C67C00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2、环境与模型：基于虚拟现实技术搭建三维可视化环境，内置高精度电梯控制数学模型；</w:t>
            </w:r>
          </w:p>
          <w:p w14:paraId="22AB0A1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3、实训配置：支持任意配置呼叫乘客，可自定义考察控制效果的评分规则，具备完善的实验教学环境；</w:t>
            </w:r>
          </w:p>
          <w:p w14:paraId="45D265B8">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4、通信兼容：支持ProfibusDP现场总线及OPC通信方式，可与控制器构成硬件在回路仿真；</w:t>
            </w:r>
          </w:p>
          <w:p w14:paraId="78D6A5B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5、实验项目：可开设控制器连接与组态、电梯启停控制、电梯楼层信号控制、电梯外呼内选信号控制、电梯开关门控制、电梯开关门故障保护等实训项目。</w:t>
            </w:r>
          </w:p>
          <w:p w14:paraId="0282088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（十）液位控制虚拟仿真软件（永久授权）</w:t>
            </w:r>
          </w:p>
          <w:p w14:paraId="1716674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1、核心功能要求：构建卧式储罐液位控制三维仿真系统，支持工艺参数自定义与物料走向演示，可外接西门子PLC实现硬件联动控制；</w:t>
            </w:r>
          </w:p>
          <w:p w14:paraId="022941B3">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2、环境与模型：基于虚拟现实技术搭建三维可视化环境，支持液位系统物料走向动态演示；</w:t>
            </w:r>
          </w:p>
          <w:p w14:paraId="54F3CEF6">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3、被控对象：卧式储罐，支持设备尺寸、工艺参数自定义配置；</w:t>
            </w:r>
          </w:p>
          <w:p w14:paraId="11C47A6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4、系统组件：至少含2个调节阀、2个手操阀门（支持阀门流通能力、作用形式、阀门开度自定义）；1个离心泵（支持参数自定义）；配备液位仪表、流量仪表、温度仪表；</w:t>
            </w:r>
          </w:p>
          <w:p w14:paraId="0482263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5、控制适配：支持外接西门子PLC控制，实现硬件在回路仿真。</w:t>
            </w:r>
          </w:p>
          <w:p w14:paraId="298F044B">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（十一）线上课程</w:t>
            </w:r>
          </w:p>
          <w:p w14:paraId="5F9EB1A9">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为支撑通识教育的全周期学习闭环，衔接课堂理论教学与课后实践深化，需构建功能完备的线上自主学习平台。该平台将作为线下实训室的重要补充与延伸，整合核心课程资源（如控制系统认知、读懂工程图纸、可视化应用等），为学生提供全天候、个性化的学习渠道。学生可根据自身学习进度与知识薄弱点，自主查阅学习资料、反复观摩实操演示、完成针对性练习，助力学生及时解决学习困惑、深化知识理解、强化实践应用能力，有效弥补课堂教学时间有限、个性化指导不足的短板，为人才培养质量的稳步提升提供有力支撑。</w:t>
            </w:r>
          </w:p>
          <w:p w14:paraId="6C0433D2">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（十二）课程资源</w:t>
            </w:r>
          </w:p>
          <w:p w14:paraId="45D14947">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5.1系统实训区配套编制专用实验指导书，指导书涵盖“常见低压电器元件认知与使用”、“物品识别与计数”、“PLC 与 HMI 通讯连接”等核心实验项目，各实验项目均规范明确学习目标、前提条件、所需软硬件、实施步骤等关键内容。</w:t>
            </w:r>
          </w:p>
          <w:p w14:paraId="07706F4F">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5.2对象卡区配套编制专用实验指导书，指导书涵盖“硬件组态”、“自动浇花实验”、“提升机实验”等核心实验项目，各实验项目均规范明确学习目标、前提条件、所需软硬件、实施步骤等关键内容。</w:t>
            </w:r>
          </w:p>
          <w:p w14:paraId="38C5BD9C">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5.3 单部电梯虚拟仿真实训系统配套编制专用实验指导书，指导书涵盖“电梯手动控制”、“以太网通讯连接”、“电梯启停控制”等核心实验项目，各实验项目均规范明确学习目标、原理或背景知识说明、实施步骤等关键内容。</w:t>
            </w:r>
          </w:p>
          <w:p w14:paraId="665F5F0D">
            <w:pPr>
              <w:widowControl/>
              <w:adjustRightInd w:val="0"/>
              <w:snapToGrid w:val="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5.4 液位控制虚拟仿真系统配套编制专用实验指导书，指导书涵盖“液位虚拟仿真系统与PLC的硬件连接及控制器硬件组态”、“储罐液位单回路控制系统设计”等核心实验项目，各实验项目均规范明确学习目标、原理或背景知识说明、实施步骤等关键内容。</w:t>
            </w:r>
          </w:p>
          <w:p w14:paraId="21D513EC">
            <w:pPr>
              <w:widowControl/>
              <w:adjustRightInd w:val="0"/>
              <w:snapToGrid w:val="0"/>
              <w:rPr>
                <w:rFonts w:hint="eastAsia" w:asciiTheme="minorEastAsia" w:hAnsiTheme="minorEastAsia" w:eastAsiaTheme="minorEastAsia" w:cstheme="minorEastAsia"/>
                <w:color w:val="000000"/>
                <w:kern w:val="0"/>
                <w:sz w:val="24"/>
                <w:szCs w:val="24"/>
                <w:highlight w:val="none"/>
              </w:rPr>
            </w:pPr>
          </w:p>
          <w:p w14:paraId="39726B31">
            <w:pPr>
              <w:pStyle w:val="65"/>
              <w:ind w:firstLine="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四、工业互联网通讯终端（整个项目配置一套）</w:t>
            </w:r>
          </w:p>
          <w:p w14:paraId="2C214092">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（一）、设备架构</w:t>
            </w:r>
          </w:p>
          <w:p w14:paraId="5576C318">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1.设备须为单台≤1U高度嵌入式架构一体化设计（非多台设备拼装），壁挂或桌面嵌入式安装，嵌入式操作系统。</w:t>
            </w:r>
          </w:p>
          <w:p w14:paraId="4B50D606">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2.支持网口PoE供电，并提供DC冗余供电备份。</w:t>
            </w:r>
          </w:p>
          <w:p w14:paraId="1EE6EF7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3.由云端配置服务界面，提供多套界面模板，可自由拖拽配置界面。可添加、管理、控制物联设备，并感知设备的在线运行情况。</w:t>
            </w:r>
          </w:p>
          <w:p w14:paraId="7037F05D">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4.支持部署微服务，接受云端的装卸载、启动/停止等微服务管理。</w:t>
            </w:r>
          </w:p>
          <w:p w14:paraId="5BBF9F71">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5、支持</w:t>
            </w:r>
            <w:bookmarkStart w:id="46" w:name="OLE_LINK8"/>
            <w:r>
              <w:rPr>
                <w:rFonts w:hint="eastAsia" w:asciiTheme="minorEastAsia" w:hAnsiTheme="minorEastAsia" w:eastAsiaTheme="minorEastAsia" w:cstheme="minorEastAsia"/>
                <w:color w:val="000000"/>
                <w:sz w:val="24"/>
                <w:szCs w:val="24"/>
                <w:highlight w:val="none"/>
              </w:rPr>
              <w:t>≥</w:t>
            </w:r>
            <w:bookmarkEnd w:id="46"/>
            <w:r>
              <w:rPr>
                <w:rFonts w:hint="eastAsia" w:asciiTheme="minorEastAsia" w:hAnsiTheme="minorEastAsia" w:eastAsiaTheme="minorEastAsia" w:cstheme="minorEastAsia"/>
                <w:color w:val="000000"/>
                <w:sz w:val="24"/>
                <w:szCs w:val="24"/>
                <w:highlight w:val="none"/>
              </w:rPr>
              <w:t>7寸电容屏，≥1024X600像素，多点触控，壁挂或桌面嵌入式安装。</w:t>
            </w:r>
          </w:p>
          <w:p w14:paraId="0184AB76">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6、（二）至（十四）功能须在一台设备上实现。</w:t>
            </w:r>
          </w:p>
          <w:p w14:paraId="373CBD1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（二）、设备接口</w:t>
            </w:r>
          </w:p>
          <w:p w14:paraId="4B4D830B">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1.接口：≥1个光电复用口，≥6个千兆以太网接口；≥4路MIC或吊麦，平衡语音输入，支持幻象供电，可分路增益调节；≥2路立体声LINE IN音频输入接口，≥2路立体声LINE OUT音频输出接；≥2路音箱输出接口，输出功率≥2*75W。≥1路 HDMI IN，≥1路 HDMI OUT； RS232≥1路、RS485≥1路；≥2路USB口，且≥1路支持OTG扩展，支持作为音频输入输出扩展、控制口扩展，支持直连PC机作为音频输入输出端</w:t>
            </w:r>
          </w:p>
          <w:p w14:paraId="49147E98">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(三)、物联控制接入</w:t>
            </w:r>
          </w:p>
          <w:p w14:paraId="39CA761F">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1.支持自动发现、关联同品牌的各类设备，形成设备关联拓扑图。</w:t>
            </w:r>
          </w:p>
          <w:p w14:paraId="3E4F72A2">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2.支持电脑、展台、投影、幕布、扩声、灯光、窗帘等进行操控，并支持灵活配置快捷命令、组合命令、场景模式。</w:t>
            </w:r>
          </w:p>
          <w:p w14:paraId="78ACDB18">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3.在上联网络断网的情况下本地断网保活，断网不影响本地使用，网络、控制策略、触控屏可正常运行。</w:t>
            </w:r>
          </w:p>
          <w:p w14:paraId="0E6776AA">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 可扩展一个或多个控制屏，通过平台远程单个/批量配置控制界面。</w:t>
            </w:r>
          </w:p>
          <w:p w14:paraId="7078BA3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5.支持自动策略联动，可通过某传感器获取的数据，达到一定阈值后自动触发开启或关闭、调节某种环境设备；</w:t>
            </w:r>
          </w:p>
          <w:p w14:paraId="6C8E84A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6.可扩展刷卡器，通过刷卡鉴权的方式为触控屏等提供鉴权服务；可以通过刷卡开启设备，且支持管理员卡，可以开启控制设备；</w:t>
            </w:r>
          </w:p>
          <w:p w14:paraId="2226A949">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(四)、网络管理</w:t>
            </w:r>
          </w:p>
          <w:p w14:paraId="4A5AD190">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■1.上行接口实现双WAN,同时接入两个不同业务网络，端口支持设置动态/静态地址，两路可独立配置桥、支持NAT 模式，静态IP，动态IP接入校园网，支持内置 DHCP Server为下联设备分配IP地址（</w:t>
            </w:r>
            <w:r>
              <w:rPr>
                <w:rFonts w:hint="eastAsia" w:asciiTheme="minorEastAsia" w:hAnsiTheme="minorEastAsia" w:eastAsiaTheme="minorEastAsia" w:cstheme="minorEastAsia"/>
                <w:b/>
                <w:bCs/>
                <w:color w:val="000000"/>
                <w:sz w:val="24"/>
                <w:szCs w:val="24"/>
                <w:highlight w:val="none"/>
              </w:rPr>
              <w:t>投标文件中提供由具备相应检验检测能力的检验检测机构出具的检测报告扫描件）</w:t>
            </w:r>
            <w:r>
              <w:rPr>
                <w:rFonts w:hint="eastAsia" w:asciiTheme="minorEastAsia" w:hAnsiTheme="minorEastAsia" w:eastAsiaTheme="minorEastAsia" w:cstheme="minorEastAsia"/>
                <w:color w:val="000000"/>
                <w:sz w:val="24"/>
                <w:szCs w:val="24"/>
                <w:highlight w:val="none"/>
              </w:rPr>
              <w:t>。</w:t>
            </w:r>
          </w:p>
          <w:p w14:paraId="64094FC3">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2.支持网络安全防护，采用端口扫描防御，拒绝外部ping，支持IPsec/IPIP/GRE VPN，支持IPsec VPN主备冗余（Client端）。</w:t>
            </w:r>
          </w:p>
          <w:p w14:paraId="28B2BAAF">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3.具备无线控制管理功能，对下联同品牌AP进行管理控制。</w:t>
            </w:r>
          </w:p>
          <w:p w14:paraId="3D731CC6">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4.支持上行光纤接入，支持上行光电切换，多网口，支持 PSE 供电。</w:t>
            </w:r>
          </w:p>
          <w:p w14:paraId="62F78961">
            <w:pPr>
              <w:pStyle w:val="65"/>
              <w:ind w:firstLine="42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color w:val="000000"/>
                <w:sz w:val="24"/>
                <w:szCs w:val="24"/>
                <w:highlight w:val="none"/>
              </w:rPr>
              <w:t>(五)、物联网控制</w:t>
            </w:r>
            <w:r>
              <w:rPr>
                <w:rFonts w:hint="eastAsia" w:asciiTheme="minorEastAsia" w:hAnsiTheme="minorEastAsia" w:eastAsiaTheme="minorEastAsia" w:cstheme="minorEastAsia"/>
                <w:b/>
                <w:bCs/>
                <w:color w:val="000000"/>
                <w:sz w:val="24"/>
                <w:szCs w:val="24"/>
                <w:highlight w:val="none"/>
              </w:rPr>
              <w:t xml:space="preserve"> </w:t>
            </w:r>
          </w:p>
          <w:p w14:paraId="6FCEC4E1">
            <w:pPr>
              <w:pStyle w:val="65"/>
              <w:ind w:firstLine="42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color w:val="000000"/>
                <w:sz w:val="24"/>
                <w:szCs w:val="24"/>
                <w:highlight w:val="none"/>
              </w:rPr>
              <w:t>■1.支持接入多种类型的物联终端设备，支持开关面板、计量插座、空调伴侣、温湿度光照传感器、窗帘电机等，以及支持情景模式设置管理，灯光照明智能控制，环境智能控制等</w:t>
            </w: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p>
          <w:p w14:paraId="3D018C56">
            <w:pPr>
              <w:pStyle w:val="65"/>
              <w:ind w:firstLine="42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color w:val="000000"/>
                <w:sz w:val="24"/>
                <w:szCs w:val="24"/>
                <w:highlight w:val="none"/>
              </w:rPr>
              <w:t>★2.支持配置智能联动策略，可按时间、事件、条件、课表设置联动策略，并可查看策略的执行记录；支持同类型物联参数的批量下发，物联设备的批量控制；支持物联接入设备监控告警</w:t>
            </w: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p>
          <w:p w14:paraId="4463853C">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■3.物联应用支持微服务架构，加密授权后，通过平台远程发布下载于边缘计算网关，应用运行于Docker容器内，支持单个/批量安装、卸载、停止、升级</w:t>
            </w: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p>
          <w:p w14:paraId="0529C8A3">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(六)、远程互动 </w:t>
            </w:r>
          </w:p>
          <w:p w14:paraId="2A9C3E1A">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1、支持与电脑腾讯会议(采用 OTG与电脑直连)、第三方录播系统结合使用实现本地扩声和远程互动，远程侧可获得干净清晰洪亮的本地语音，本地扩声不啸叫、无回声。</w:t>
            </w:r>
          </w:p>
          <w:p w14:paraId="37318506">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(七)、终端AI无感扩声</w:t>
            </w:r>
          </w:p>
          <w:p w14:paraId="6A1A926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1.可将外部音源接入主机进行声音均衡、高/低音消除/补偿、混响调整等声音处理。</w:t>
            </w:r>
          </w:p>
          <w:p w14:paraId="66DF9C31">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2.内置功放，输出功率≥2X75W，定阻4-8Ω。</w:t>
            </w:r>
          </w:p>
          <w:p w14:paraId="4E0ADC32">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回声消除与混响抑制：能自动感知声场回声效果，对于空间反射声具有回声消除与混响抑制功能，本地扩声后并未加重回声抑制，对于空间混响能有效抑制，通过调节混响抑制等级能明显听出不同混响效果。声音净化处理具备动态自适应噪音抑制技术，对电风扇、空调等固定噪声源具有智能消除功能，对拍掌、脚步声等非固定噪声源能自学习识别并消除，具有明显消除效果。防啸叫能力自适应啸叫抑制，进行本地扩声时麦克风正对着音箱1m以内，系统不啸叫。</w:t>
            </w:r>
          </w:p>
          <w:p w14:paraId="6C3B5910">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4.信噪比提升≥27dB（在距离麦克风20cm处播放65dB白噪声，在开启和关闭降噪算法下，分别获得线路输出噪声下降分贝值，其差值即为信噪比提升值）。</w:t>
            </w:r>
          </w:p>
          <w:p w14:paraId="0DCBC02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5. 处理时延≤8ms。</w:t>
            </w:r>
          </w:p>
          <w:p w14:paraId="504D47C6">
            <w:pPr>
              <w:pStyle w:val="65"/>
              <w:ind w:firstLine="42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color w:val="000000"/>
                <w:sz w:val="24"/>
                <w:szCs w:val="24"/>
                <w:highlight w:val="none"/>
              </w:rPr>
              <w:t>(八)、远距离拾音扩声</w:t>
            </w:r>
            <w:r>
              <w:rPr>
                <w:rFonts w:hint="eastAsia" w:asciiTheme="minorEastAsia" w:hAnsiTheme="minorEastAsia" w:eastAsiaTheme="minorEastAsia" w:cstheme="minorEastAsia"/>
                <w:b/>
                <w:bCs/>
                <w:color w:val="000000"/>
                <w:sz w:val="24"/>
                <w:szCs w:val="24"/>
                <w:highlight w:val="none"/>
              </w:rPr>
              <w:t xml:space="preserve"> </w:t>
            </w:r>
          </w:p>
          <w:p w14:paraId="2047F564">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远距离拾音扩声大小：在空间内正常交流声音下，任意选取空间内五个点进行声压测试，平均声压级≥65dB(A)；声音可提升≥10dB；不均匀度:在空间任选五个点进行声压级测试，声压级差≤3dB；降噪：开启扩声时具备抑制背景噪声功能，可对模拟噪声进行有效抑制；拾音麦克风最大有效拾音距离不低于8.5m；支持1-4支远距离拾音麦克风叠加扩展拾音范围。</w:t>
            </w:r>
          </w:p>
          <w:p w14:paraId="36E047B3">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(九)、智能混音与音频矩阵功能</w:t>
            </w:r>
          </w:p>
          <w:p w14:paraId="6F992235">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1、可对4路MIC输入、2路Line in信号、1路USB输入声音、远程网络声音进行智能混音，无需手动切换；可对网络声音、Line in声音闪避；内置音频矩阵功能，可以将不同的单路或多路音频输入流指向不同的输出端口。</w:t>
            </w:r>
          </w:p>
          <w:p w14:paraId="6443615F">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(十)、录播能力</w:t>
            </w:r>
          </w:p>
          <w:p w14:paraId="60EAC50A">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1.支持常态化录制授课，一键开启、关闭录播。</w:t>
            </w:r>
          </w:p>
          <w:p w14:paraId="1BB3EBCB">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2.支持多种导播模式，全景/电脑桌面多路合成导播画面，支持单画面、画中画。</w:t>
            </w:r>
          </w:p>
          <w:p w14:paraId="5E11443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3.支持录播电影和资源模式。</w:t>
            </w:r>
          </w:p>
          <w:p w14:paraId="6DDDB90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4.支持资源本地存储，可设置自动上传云端。</w:t>
            </w:r>
          </w:p>
          <w:p w14:paraId="78BB9E53">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(十一)、远程互动能力</w:t>
            </w:r>
          </w:p>
          <w:p w14:paraId="2A212A87">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1、与电脑腾讯会议(采用 OTG与电脑直连)、第三方录播系统结合使用实现本地扩声和远程互动，远程侧可获得干净清晰洪亮的本地语音，本地扩声不啸叫、无回声</w:t>
            </w:r>
          </w:p>
          <w:p w14:paraId="49C450A9">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(十二)、主机软件系统</w:t>
            </w:r>
          </w:p>
          <w:p w14:paraId="72E8AFE1">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1、可以使用计算机通过web界面登陆主机进行升级、开启/关闭扩声、音量控制操作，无需另外加装软件。</w:t>
            </w:r>
          </w:p>
          <w:p w14:paraId="5F43574F">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(十三)、可视化管理及扩展能力</w:t>
            </w:r>
          </w:p>
          <w:p w14:paraId="7F0D8CF2">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1.可以使用计算机通过 web 界面登陆主机进行升级、配置和操控，无需另外加装软件。</w:t>
            </w:r>
          </w:p>
          <w:p w14:paraId="13CE6E22">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■2.远程可视化管理平台：通过平台可直接对主机进行升级、配置和操控，可直观观测到设备在/离线状态，可查看上电时长、上线时长、版本信息</w:t>
            </w:r>
            <w:r>
              <w:rPr>
                <w:rFonts w:hint="eastAsia" w:asciiTheme="minorEastAsia" w:hAnsiTheme="minorEastAsia" w:eastAsiaTheme="minorEastAsia" w:cstheme="minorEastAsia"/>
                <w:b/>
                <w:bCs/>
                <w:color w:val="000000"/>
                <w:sz w:val="24"/>
                <w:szCs w:val="24"/>
                <w:highlight w:val="none"/>
              </w:rPr>
              <w:t>（投标文件中需提供满足上述功能应用的软件界面截图）</w:t>
            </w:r>
            <w:r>
              <w:rPr>
                <w:rFonts w:hint="eastAsia" w:asciiTheme="minorEastAsia" w:hAnsiTheme="minorEastAsia" w:eastAsiaTheme="minorEastAsia" w:cstheme="minorEastAsia"/>
                <w:color w:val="000000"/>
                <w:sz w:val="24"/>
                <w:szCs w:val="24"/>
                <w:highlight w:val="none"/>
              </w:rPr>
              <w:t>。</w:t>
            </w:r>
          </w:p>
          <w:p w14:paraId="0D9C91AD">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3.主机可根据业务需求通过软件授权的方式（非板卡叠加）扩展多种应用，包含但不限于音视频分发、物联控制、本地AI扩声、IP对讲、公共广播等多种应用方式。</w:t>
            </w:r>
          </w:p>
          <w:p w14:paraId="6C8641C1">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(十四)、终端网络管理模块</w:t>
            </w:r>
          </w:p>
          <w:p w14:paraId="6AE6A05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1.支持网络的统一管理，有线网络、无线网络、物联网的管理。</w:t>
            </w:r>
          </w:p>
          <w:p w14:paraId="0EA41595">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2.支持网络进行VLAN划分，不同VLAN不能直接通信，杜绝了广播信息的不安全性，将不同的业务进行业务隔离划分。</w:t>
            </w:r>
          </w:p>
          <w:p w14:paraId="34EFAB19">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3.支持设置网络地址分配规则为DHCP，避免因手工设置IP地址及子网掩码所产生的错误，同时也避免了把一个IP地址分配给多台工作站所造成的地址冲突。</w:t>
            </w:r>
          </w:p>
          <w:p w14:paraId="6A74192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(十五)、云控屏</w:t>
            </w:r>
          </w:p>
          <w:p w14:paraId="683988CA">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1、嵌入式操作系统，避免业界中工控屏不易扩展、安卓屏不稳定等缺陷。</w:t>
            </w:r>
          </w:p>
          <w:p w14:paraId="70690BD4">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2、普通网线通讯连接，网口PoE供电，并提供DC冗余供电备份。</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3、由云端配置服务界面，提供多套界面模板，可自由拖拽配置界面。</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4、支持通过刷卡、密码解锁界面使用权限，可与门禁系统联动。</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5、支持休眠、息屏等自动节能功能。</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6、快捷计时工具，累计/倒计时，方便提示演讲计时等。</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7、≥1个USB口，可扩展刷卡、拾音/放声等人机交互模块。</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8、支持自动发现各种物联设备，可添加、管理、控制物联设备，并感知设备的在线运行情况。</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9、支持扩展刷卡器，通过刷卡鉴权为触控屏、门禁等提供鉴权服务。</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10、支持对接第三方系统融入操作屏幕内操作，包含但不限于录播操作系统、环境管控系统等、监控系统等。</w:t>
            </w:r>
            <w:r>
              <w:rPr>
                <w:rFonts w:hint="eastAsia" w:asciiTheme="minorEastAsia" w:hAnsiTheme="minorEastAsia" w:eastAsiaTheme="minorEastAsia" w:cstheme="minorEastAsia"/>
                <w:color w:val="000000"/>
                <w:sz w:val="24"/>
                <w:szCs w:val="24"/>
                <w:highlight w:val="none"/>
              </w:rPr>
              <w:br w:type="textWrapping"/>
            </w:r>
            <w:r>
              <w:rPr>
                <w:rFonts w:hint="eastAsia" w:asciiTheme="minorEastAsia" w:hAnsiTheme="minorEastAsia" w:eastAsiaTheme="minorEastAsia" w:cstheme="minorEastAsia"/>
                <w:color w:val="000000"/>
                <w:sz w:val="24"/>
                <w:szCs w:val="24"/>
                <w:highlight w:val="none"/>
              </w:rPr>
              <w:t>11、支持获取各类传感器实时数据，并上送云端进行汇总统计。</w:t>
            </w:r>
          </w:p>
          <w:p w14:paraId="01424785">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(十六)、稳定性</w:t>
            </w:r>
          </w:p>
          <w:p w14:paraId="7E87570E">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可在管理平台对运行时长进行查看。</w:t>
            </w:r>
          </w:p>
          <w:p w14:paraId="1D2761C1">
            <w:pPr>
              <w:pStyle w:val="65"/>
              <w:ind w:firstLine="42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(十七)、备注</w:t>
            </w:r>
          </w:p>
          <w:p w14:paraId="315BBEA9">
            <w:pPr>
              <w:pStyle w:val="65"/>
              <w:ind w:firstLine="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color w:val="000000"/>
                <w:sz w:val="24"/>
                <w:szCs w:val="24"/>
                <w:highlight w:val="none"/>
              </w:rPr>
              <w:t>要求投标文件中所提供的检测报告在国家市场监督管理局全国认证认可信息公共服务平台可查验。</w:t>
            </w:r>
            <w:r>
              <w:rPr>
                <w:rFonts w:hint="eastAsia" w:asciiTheme="minorEastAsia" w:hAnsiTheme="minorEastAsia" w:eastAsiaTheme="minorEastAsia" w:cstheme="minorEastAsia"/>
                <w:b/>
                <w:bCs/>
                <w:color w:val="000000"/>
                <w:sz w:val="24"/>
                <w:szCs w:val="24"/>
                <w:highlight w:val="none"/>
              </w:rPr>
              <w:t>投标文件中提供承诺函，承诺中标后三个工作日内提供该设备到采购人处进行功能验证演示（承诺函格式自拟）。</w:t>
            </w:r>
          </w:p>
          <w:p w14:paraId="7E61DAA7">
            <w:pPr>
              <w:pStyle w:val="65"/>
              <w:ind w:firstLine="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五、工业互联网配套设施</w:t>
            </w:r>
          </w:p>
          <w:p w14:paraId="4D175C19">
            <w:pPr>
              <w:widowControl/>
              <w:adjustRightInd w:val="0"/>
              <w:snapToGrid w:val="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kern w:val="0"/>
                <w:sz w:val="24"/>
                <w:szCs w:val="24"/>
                <w:highlight w:val="none"/>
              </w:rPr>
              <w:t>1、供配电系统：总体要求实训中心要求配置总开，每个教学功能区域配置分开，弱电布线根据装修信息点及工位区域具体设计。强电线路敷设：采用电缆，红色PVC管穿管布线，安全要求电线管内强电电缆不允许有线缆接头，电线连接采用电线连接器连接。</w:t>
            </w:r>
          </w:p>
          <w:p w14:paraId="096A6351">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color w:val="000000"/>
                <w:sz w:val="24"/>
                <w:szCs w:val="24"/>
                <w:highlight w:val="none"/>
              </w:rPr>
              <w:t>2、配套实训所需桌凳。</w:t>
            </w:r>
          </w:p>
        </w:tc>
        <w:tc>
          <w:tcPr>
            <w:tcW w:w="557" w:type="pct"/>
            <w:vAlign w:val="center"/>
          </w:tcPr>
          <w:p w14:paraId="5E568BF9">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4套</w:t>
            </w:r>
          </w:p>
        </w:tc>
        <w:tc>
          <w:tcPr>
            <w:tcW w:w="417" w:type="pct"/>
            <w:vAlign w:val="center"/>
          </w:tcPr>
          <w:p w14:paraId="441AA63C">
            <w:pPr>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工业</w:t>
            </w:r>
          </w:p>
        </w:tc>
        <w:tc>
          <w:tcPr>
            <w:tcW w:w="397" w:type="pct"/>
            <w:vAlign w:val="center"/>
          </w:tcPr>
          <w:p w14:paraId="7DDFA0F0">
            <w:pPr>
              <w:spacing w:line="360" w:lineRule="auto"/>
              <w:jc w:val="center"/>
              <w:rPr>
                <w:rFonts w:hint="eastAsia" w:asciiTheme="minorEastAsia" w:hAnsiTheme="minorEastAsia" w:eastAsiaTheme="minorEastAsia" w:cstheme="minorEastAsia"/>
                <w:bCs/>
                <w:sz w:val="24"/>
                <w:szCs w:val="24"/>
                <w:highlight w:val="none"/>
              </w:rPr>
            </w:pPr>
          </w:p>
        </w:tc>
      </w:tr>
    </w:tbl>
    <w:p w14:paraId="0B9E3144">
      <w:pPr>
        <w:autoSpaceDE w:val="0"/>
        <w:autoSpaceDN w:val="0"/>
        <w:adjustRightInd w:val="0"/>
        <w:spacing w:line="360" w:lineRule="auto"/>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注：1.上表中产品如为工程、服务，无需列明所属行业，投标人在填写《中小企业声明函》时，无需填写工程、服务品目。</w:t>
      </w:r>
    </w:p>
    <w:p w14:paraId="327F0766">
      <w:pPr>
        <w:spacing w:line="360" w:lineRule="auto"/>
        <w:ind w:firstLine="437"/>
        <w:rPr>
          <w:rFonts w:hint="eastAsia" w:ascii="宋体" w:hAnsi="宋体" w:eastAsia="宋体" w:cs="宋体"/>
          <w:b/>
          <w:sz w:val="24"/>
          <w:szCs w:val="24"/>
          <w:highlight w:val="none"/>
        </w:rPr>
      </w:pPr>
      <w:r>
        <w:rPr>
          <w:rFonts w:hint="eastAsia" w:ascii="宋体" w:hAnsi="宋体" w:eastAsia="宋体" w:cs="宋体"/>
          <w:b/>
          <w:sz w:val="24"/>
          <w:szCs w:val="24"/>
          <w:highlight w:val="none"/>
        </w:rPr>
        <w:t>2.主要标的前标注“▲”符号。</w:t>
      </w:r>
    </w:p>
    <w:p w14:paraId="4F15C90E">
      <w:pPr>
        <w:spacing w:line="360" w:lineRule="auto"/>
        <w:ind w:firstLine="437"/>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三、安装调试、质保及售后服务要求</w:t>
      </w:r>
    </w:p>
    <w:p w14:paraId="13AB4768">
      <w:pPr>
        <w:spacing w:line="360" w:lineRule="auto"/>
        <w:ind w:firstLine="437"/>
        <w:rPr>
          <w:rFonts w:hint="eastAsia" w:ascii="宋体" w:hAnsi="宋体" w:eastAsia="宋体" w:cs="宋体"/>
          <w:bCs/>
          <w:sz w:val="24"/>
          <w:szCs w:val="24"/>
          <w:highlight w:val="none"/>
        </w:rPr>
      </w:pPr>
      <w:r>
        <w:rPr>
          <w:rFonts w:hint="eastAsia" w:ascii="宋体" w:hAnsi="宋体" w:eastAsia="宋体" w:cs="宋体"/>
          <w:bCs/>
          <w:sz w:val="24"/>
          <w:szCs w:val="24"/>
          <w:highlight w:val="none"/>
        </w:rPr>
        <w:t>1、中标人免费安装、调试、培训且提供具体的培训方案。</w:t>
      </w:r>
    </w:p>
    <w:p w14:paraId="317DF98E">
      <w:pPr>
        <w:spacing w:line="360" w:lineRule="auto"/>
        <w:ind w:firstLine="437"/>
        <w:rPr>
          <w:rFonts w:hint="eastAsia" w:ascii="宋体" w:hAnsi="宋体" w:eastAsia="宋体" w:cs="宋体"/>
          <w:bCs/>
          <w:sz w:val="24"/>
          <w:szCs w:val="24"/>
          <w:highlight w:val="none"/>
        </w:rPr>
      </w:pPr>
      <w:r>
        <w:rPr>
          <w:rFonts w:hint="eastAsia" w:ascii="宋体" w:hAnsi="宋体" w:eastAsia="宋体" w:cs="宋体"/>
          <w:bCs/>
          <w:sz w:val="24"/>
          <w:szCs w:val="24"/>
          <w:highlight w:val="none"/>
        </w:rPr>
        <w:t>2、所有设备物品为全新产品，质保期验收合格之日起，整机质保2年。</w:t>
      </w:r>
    </w:p>
    <w:p w14:paraId="60597999">
      <w:pPr>
        <w:spacing w:line="360" w:lineRule="auto"/>
        <w:ind w:firstLine="437"/>
        <w:rPr>
          <w:rFonts w:hint="eastAsia" w:ascii="宋体" w:hAnsi="宋体" w:eastAsia="宋体" w:cs="宋体"/>
          <w:bCs/>
          <w:sz w:val="24"/>
          <w:szCs w:val="24"/>
          <w:highlight w:val="none"/>
        </w:rPr>
      </w:pPr>
      <w:r>
        <w:rPr>
          <w:rFonts w:hint="eastAsia" w:ascii="宋体" w:hAnsi="宋体" w:eastAsia="宋体" w:cs="宋体"/>
          <w:bCs/>
          <w:sz w:val="24"/>
          <w:szCs w:val="24"/>
          <w:highlight w:val="none"/>
        </w:rPr>
        <w:t>3、所有设备验收时必须现场操作所列功能，可以正常使用，涉及到耗材等由中标方提供。</w:t>
      </w:r>
    </w:p>
    <w:p w14:paraId="7A8847D9">
      <w:pPr>
        <w:spacing w:line="360" w:lineRule="auto"/>
        <w:ind w:firstLine="437"/>
        <w:rPr>
          <w:rFonts w:hint="eastAsia" w:ascii="宋体" w:hAnsi="宋体" w:eastAsia="宋体" w:cs="宋体"/>
          <w:b/>
          <w:sz w:val="24"/>
          <w:szCs w:val="24"/>
          <w:highlight w:val="none"/>
        </w:rPr>
      </w:pPr>
      <w:r>
        <w:rPr>
          <w:rFonts w:hint="eastAsia" w:ascii="宋体" w:hAnsi="宋体" w:eastAsia="宋体" w:cs="宋体"/>
          <w:bCs/>
          <w:sz w:val="24"/>
          <w:szCs w:val="24"/>
          <w:highlight w:val="none"/>
        </w:rPr>
        <w:t>4、维修响应：中标人在保修期内接到用户电话后，在1小时内响应，12小时内到达现场，24小时以内解决问题，不能修复的必须采取无偿更换设备措施，以保证用户的正常使用。保修期外供中标人终生提供零配件及维修保养，可收取维修成本。</w:t>
      </w:r>
    </w:p>
    <w:p w14:paraId="7211EA8A">
      <w:pPr>
        <w:spacing w:line="360" w:lineRule="auto"/>
        <w:ind w:firstLine="437"/>
        <w:outlineLvl w:val="1"/>
        <w:rPr>
          <w:rFonts w:hint="eastAsia" w:ascii="宋体" w:hAnsi="宋体" w:eastAsia="宋体"/>
          <w:b/>
          <w:bCs/>
          <w:sz w:val="24"/>
          <w:szCs w:val="18"/>
          <w:highlight w:val="none"/>
        </w:rPr>
      </w:pPr>
      <w:r>
        <w:rPr>
          <w:rFonts w:hint="eastAsia" w:ascii="宋体" w:hAnsi="宋体" w:eastAsia="宋体" w:cs="宋体"/>
          <w:b/>
          <w:bCs/>
          <w:sz w:val="24"/>
          <w:szCs w:val="18"/>
          <w:highlight w:val="none"/>
        </w:rPr>
        <w:t>四、报价要求</w:t>
      </w:r>
      <w:bookmarkEnd w:id="35"/>
      <w:bookmarkEnd w:id="36"/>
    </w:p>
    <w:p w14:paraId="6015AA15">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本项目报投标总价，报价包含完成本项目的所有费用。</w:t>
      </w:r>
    </w:p>
    <w:p w14:paraId="161F72C1">
      <w:pPr>
        <w:spacing w:line="360" w:lineRule="auto"/>
        <w:ind w:firstLine="437"/>
        <w:rPr>
          <w:rFonts w:hint="eastAsia" w:ascii="宋体" w:hAnsi="宋体" w:eastAsia="宋体"/>
          <w:bCs/>
          <w:sz w:val="24"/>
          <w:szCs w:val="18"/>
          <w:highlight w:val="none"/>
        </w:rPr>
      </w:pPr>
      <w:bookmarkStart w:id="47" w:name="_Toc15293"/>
      <w:bookmarkStart w:id="48" w:name="_Toc14698"/>
      <w:r>
        <w:rPr>
          <w:rFonts w:hint="eastAsia" w:ascii="宋体" w:hAnsi="宋体" w:eastAsia="宋体"/>
          <w:b/>
          <w:bCs/>
          <w:sz w:val="24"/>
          <w:szCs w:val="18"/>
          <w:highlight w:val="none"/>
        </w:rPr>
        <w:t>五、</w:t>
      </w:r>
      <w:bookmarkEnd w:id="47"/>
      <w:bookmarkEnd w:id="48"/>
      <w:r>
        <w:rPr>
          <w:rFonts w:hint="eastAsia" w:ascii="宋体" w:hAnsi="宋体" w:eastAsia="宋体"/>
          <w:b/>
          <w:bCs/>
          <w:sz w:val="24"/>
          <w:szCs w:val="18"/>
          <w:highlight w:val="none"/>
        </w:rPr>
        <w:t>其他要求</w:t>
      </w:r>
    </w:p>
    <w:p w14:paraId="10774A8C">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1、包装和运输要求：中标人交付的全部货物，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中标人承担。</w:t>
      </w:r>
    </w:p>
    <w:p w14:paraId="41041910">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2、验收要求：</w:t>
      </w:r>
    </w:p>
    <w:p w14:paraId="5A5B1434">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1）货物交付前，中标人应对货物的质量、数量等方面进行详细、全面的检验，并向甲方出具证明货物符合合同约定的文件；货物交付时，中标人在约定时间内组织验收，并可依法邀请相关方参加，验收应出具验收书。</w:t>
      </w:r>
    </w:p>
    <w:p w14:paraId="4D88E283">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2）合同期满或者履行完毕后，采购人有权组织（包括依法邀请国家认可的质量检测机构参加）对中标人履约的验收，即：按照合同约定的技术、服务、安全标准，组织对每一项技术、服务、安全标准的履约情况的验收，并出具验收书。</w:t>
      </w:r>
    </w:p>
    <w:p w14:paraId="43BCC571">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3、知识产权要求：中标人应保证采购人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4E08D561">
      <w:pPr>
        <w:spacing w:line="360" w:lineRule="auto"/>
        <w:ind w:firstLine="480" w:firstLineChars="200"/>
        <w:rPr>
          <w:rFonts w:hint="eastAsia" w:ascii="宋体" w:hAnsi="宋体" w:eastAsia="宋体"/>
          <w:bCs/>
          <w:sz w:val="24"/>
          <w:szCs w:val="18"/>
          <w:highlight w:val="none"/>
        </w:rPr>
      </w:pPr>
      <w:r>
        <w:rPr>
          <w:rFonts w:hint="eastAsia" w:ascii="宋体" w:hAnsi="宋体" w:eastAsia="宋体"/>
          <w:bCs/>
          <w:sz w:val="24"/>
          <w:szCs w:val="18"/>
          <w:highlight w:val="none"/>
        </w:rPr>
        <w:t>4、合同签订后供货前，如采购人有要求，中标人在接到采购人通知后3个工作日内提供实物到采购人指定地点进行功能逐项验证，验证内容须与其投标文件响应内容一致，如在规定时间内不提供验证或验证不满足要求的，采购人有权拒绝验货，同时追究中标人相应责任。</w:t>
      </w:r>
    </w:p>
    <w:p w14:paraId="15D04563">
      <w:pPr>
        <w:spacing w:line="360" w:lineRule="auto"/>
        <w:ind w:firstLine="480" w:firstLineChars="200"/>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279C25AF">
      <w:pPr>
        <w:spacing w:line="360" w:lineRule="auto"/>
        <w:jc w:val="center"/>
        <w:outlineLvl w:val="0"/>
        <w:rPr>
          <w:rFonts w:hint="eastAsia" w:asciiTheme="minorEastAsia" w:hAnsiTheme="minorEastAsia" w:eastAsiaTheme="minorEastAsia"/>
          <w:b/>
          <w:sz w:val="28"/>
          <w:highlight w:val="none"/>
        </w:rPr>
      </w:pPr>
      <w:bookmarkStart w:id="49" w:name="_Toc16417"/>
      <w:r>
        <w:rPr>
          <w:rFonts w:hint="eastAsia" w:asciiTheme="minorEastAsia" w:hAnsiTheme="minorEastAsia" w:eastAsiaTheme="minorEastAsia"/>
          <w:b/>
          <w:sz w:val="28"/>
          <w:highlight w:val="none"/>
        </w:rPr>
        <w:t>第四章  评标方法和标准（综合评分法）</w:t>
      </w:r>
      <w:bookmarkEnd w:id="49"/>
    </w:p>
    <w:p w14:paraId="36FB348D">
      <w:pPr>
        <w:spacing w:line="360" w:lineRule="auto"/>
        <w:ind w:firstLine="437"/>
        <w:outlineLvl w:val="1"/>
        <w:rPr>
          <w:rFonts w:hint="eastAsia" w:asciiTheme="minorEastAsia" w:hAnsiTheme="minorEastAsia" w:eastAsiaTheme="minorEastAsia"/>
          <w:b/>
          <w:sz w:val="24"/>
          <w:highlight w:val="none"/>
        </w:rPr>
      </w:pPr>
      <w:bookmarkStart w:id="50" w:name="_Toc11823"/>
      <w:bookmarkStart w:id="51" w:name="_Toc1246"/>
      <w:r>
        <w:rPr>
          <w:rFonts w:hint="eastAsia" w:asciiTheme="minorEastAsia" w:hAnsiTheme="minorEastAsia" w:eastAsiaTheme="minorEastAsia"/>
          <w:b/>
          <w:sz w:val="24"/>
          <w:highlight w:val="none"/>
        </w:rPr>
        <w:t>一、总则</w:t>
      </w:r>
      <w:bookmarkEnd w:id="50"/>
      <w:bookmarkEnd w:id="51"/>
    </w:p>
    <w:p w14:paraId="19F1BC4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本项目将按照招标文件第二章 投标人须知的相关要求</w:t>
      </w:r>
      <w:r>
        <w:rPr>
          <w:rFonts w:asciiTheme="minorEastAsia" w:hAnsiTheme="minorEastAsia" w:eastAsiaTheme="minorEastAsia"/>
          <w:sz w:val="24"/>
          <w:highlight w:val="none"/>
        </w:rPr>
        <w:t>及本章的规定评标。</w:t>
      </w:r>
    </w:p>
    <w:p w14:paraId="7527F94B">
      <w:pPr>
        <w:spacing w:line="360" w:lineRule="auto"/>
        <w:ind w:firstLine="437"/>
        <w:outlineLvl w:val="1"/>
        <w:rPr>
          <w:rFonts w:hint="eastAsia" w:asciiTheme="minorEastAsia" w:hAnsiTheme="minorEastAsia" w:eastAsiaTheme="minorEastAsia"/>
          <w:b/>
          <w:sz w:val="24"/>
          <w:highlight w:val="none"/>
        </w:rPr>
      </w:pPr>
      <w:bookmarkStart w:id="52" w:name="_Toc31871"/>
      <w:bookmarkStart w:id="53" w:name="_Toc13117"/>
      <w:r>
        <w:rPr>
          <w:rFonts w:hint="eastAsia" w:asciiTheme="minorEastAsia" w:hAnsiTheme="minorEastAsia" w:eastAsiaTheme="minorEastAsia"/>
          <w:b/>
          <w:sz w:val="24"/>
          <w:highlight w:val="none"/>
        </w:rPr>
        <w:t>二、评标方法</w:t>
      </w:r>
      <w:bookmarkEnd w:id="52"/>
      <w:bookmarkEnd w:id="53"/>
    </w:p>
    <w:p w14:paraId="40AD420F">
      <w:pPr>
        <w:spacing w:line="360" w:lineRule="auto"/>
        <w:ind w:firstLine="437"/>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2.1资格审查</w:t>
      </w:r>
    </w:p>
    <w:tbl>
      <w:tblPr>
        <w:tblStyle w:val="23"/>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651"/>
        <w:gridCol w:w="4556"/>
        <w:gridCol w:w="1894"/>
      </w:tblGrid>
      <w:tr w14:paraId="2485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789861D9">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b/>
                <w:sz w:val="24"/>
                <w:szCs w:val="22"/>
                <w:highlight w:val="none"/>
              </w:rPr>
              <w:t>资格审查表</w:t>
            </w:r>
          </w:p>
        </w:tc>
      </w:tr>
      <w:tr w14:paraId="27D1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13F6CEF">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序号</w:t>
            </w:r>
          </w:p>
        </w:tc>
        <w:tc>
          <w:tcPr>
            <w:tcW w:w="942" w:type="pct"/>
            <w:tcBorders>
              <w:bottom w:val="single" w:color="auto" w:sz="4" w:space="0"/>
            </w:tcBorders>
            <w:vAlign w:val="center"/>
          </w:tcPr>
          <w:p w14:paraId="37094F72">
            <w:pPr>
              <w:pStyle w:val="33"/>
              <w:pBdr>
                <w:bottom w:val="none" w:color="auto" w:sz="0" w:space="0"/>
              </w:pBdr>
              <w:tabs>
                <w:tab w:val="clear" w:pos="4153"/>
                <w:tab w:val="clear" w:pos="8306"/>
              </w:tabs>
              <w:snapToGrid w:val="0"/>
              <w:spacing w:line="360" w:lineRule="auto"/>
              <w:ind w:right="-10"/>
              <w:textAlignment w:val="auto"/>
              <w:rPr>
                <w:rFonts w:hint="eastAsia" w:ascii="宋体" w:hAnsi="宋体" w:eastAsia="宋体"/>
                <w:kern w:val="2"/>
                <w:szCs w:val="24"/>
                <w:highlight w:val="none"/>
              </w:rPr>
            </w:pPr>
            <w:r>
              <w:rPr>
                <w:rFonts w:hint="eastAsia" w:ascii="宋体" w:hAnsi="宋体" w:eastAsia="宋体"/>
                <w:kern w:val="2"/>
                <w:szCs w:val="24"/>
                <w:highlight w:val="none"/>
              </w:rPr>
              <w:t>审查指标</w:t>
            </w:r>
          </w:p>
        </w:tc>
        <w:tc>
          <w:tcPr>
            <w:tcW w:w="2600" w:type="pct"/>
            <w:tcBorders>
              <w:bottom w:val="single" w:color="auto" w:sz="4" w:space="0"/>
            </w:tcBorders>
            <w:vAlign w:val="center"/>
          </w:tcPr>
          <w:p w14:paraId="607AFE79">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审查标准</w:t>
            </w:r>
          </w:p>
        </w:tc>
        <w:tc>
          <w:tcPr>
            <w:tcW w:w="1079" w:type="pct"/>
            <w:tcBorders>
              <w:bottom w:val="single" w:color="auto" w:sz="4" w:space="0"/>
            </w:tcBorders>
            <w:vAlign w:val="center"/>
          </w:tcPr>
          <w:p w14:paraId="082273A3">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格式要求</w:t>
            </w:r>
          </w:p>
        </w:tc>
      </w:tr>
      <w:tr w14:paraId="73B2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1353AAB7">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1</w:t>
            </w:r>
          </w:p>
        </w:tc>
        <w:tc>
          <w:tcPr>
            <w:tcW w:w="942" w:type="pct"/>
            <w:tcBorders>
              <w:bottom w:val="single" w:color="auto" w:sz="4" w:space="0"/>
            </w:tcBorders>
            <w:vAlign w:val="center"/>
          </w:tcPr>
          <w:p w14:paraId="71D12D5C">
            <w:pPr>
              <w:spacing w:after="50" w:line="360" w:lineRule="auto"/>
              <w:ind w:right="-10"/>
              <w:jc w:val="center"/>
              <w:rPr>
                <w:rFonts w:hint="eastAsia" w:ascii="宋体" w:hAnsi="宋体" w:eastAsia="宋体"/>
                <w:sz w:val="24"/>
                <w:szCs w:val="28"/>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600" w:type="pct"/>
            <w:tcBorders>
              <w:bottom w:val="single" w:color="auto" w:sz="4" w:space="0"/>
            </w:tcBorders>
            <w:vAlign w:val="center"/>
          </w:tcPr>
          <w:p w14:paraId="29E3C60F">
            <w:pPr>
              <w:spacing w:after="50" w:line="360" w:lineRule="auto"/>
              <w:ind w:right="-1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ascii="宋体" w:hAnsi="宋体" w:eastAsia="宋体" w:cs="宋体"/>
                <w:sz w:val="24"/>
                <w:szCs w:val="24"/>
                <w:highlight w:val="none"/>
              </w:rPr>
              <w:t>投标人为企业（包括合伙企业）的，应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供有效的营业执照；</w:t>
            </w:r>
          </w:p>
          <w:p w14:paraId="20431F6A">
            <w:pPr>
              <w:spacing w:after="50" w:line="360" w:lineRule="auto"/>
              <w:ind w:right="-1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ascii="宋体" w:hAnsi="宋体" w:eastAsia="宋体" w:cs="宋体"/>
                <w:sz w:val="24"/>
                <w:szCs w:val="24"/>
                <w:highlight w:val="none"/>
              </w:rPr>
              <w:t>投标人为事业单位的，应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供有效的事业单位法人证书；</w:t>
            </w:r>
          </w:p>
          <w:p w14:paraId="4CABB9CF">
            <w:pPr>
              <w:spacing w:after="50" w:line="360" w:lineRule="auto"/>
              <w:ind w:right="-1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ascii="宋体" w:hAnsi="宋体" w:eastAsia="宋体" w:cs="宋体"/>
                <w:sz w:val="24"/>
                <w:szCs w:val="24"/>
                <w:highlight w:val="none"/>
              </w:rPr>
              <w:t>投标人是非企业机构的，应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rPr>
              <w:t>或</w:t>
            </w:r>
            <w:r>
              <w:rPr>
                <w:rFonts w:ascii="宋体" w:hAnsi="宋体" w:eastAsia="宋体" w:cs="宋体"/>
                <w:sz w:val="24"/>
                <w:szCs w:val="24"/>
                <w:highlight w:val="none"/>
              </w:rPr>
              <w:t>登记证书等证明文件；</w:t>
            </w:r>
          </w:p>
          <w:p w14:paraId="255FC384">
            <w:pPr>
              <w:spacing w:after="50" w:line="360" w:lineRule="auto"/>
              <w:ind w:right="-1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ascii="宋体" w:hAnsi="宋体" w:eastAsia="宋体" w:cs="宋体"/>
                <w:sz w:val="24"/>
                <w:szCs w:val="24"/>
                <w:highlight w:val="none"/>
              </w:rPr>
              <w:t>投标人是个体工商户的，应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供有效的个体工商户营业执照；</w:t>
            </w:r>
          </w:p>
          <w:p w14:paraId="630DBB5B">
            <w:pPr>
              <w:spacing w:after="50" w:line="360" w:lineRule="auto"/>
              <w:ind w:right="-10"/>
              <w:jc w:val="left"/>
              <w:rPr>
                <w:rFonts w:hint="eastAsia" w:ascii="宋体" w:hAnsi="宋体" w:eastAsia="宋体"/>
                <w:sz w:val="24"/>
                <w:szCs w:val="28"/>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投标人是自然人的，应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供有效的自然人身份证明</w:t>
            </w:r>
            <w:r>
              <w:rPr>
                <w:rFonts w:hint="eastAsia" w:ascii="宋体" w:hAnsi="宋体" w:eastAsia="宋体" w:cs="宋体"/>
                <w:sz w:val="24"/>
                <w:szCs w:val="24"/>
                <w:highlight w:val="none"/>
              </w:rPr>
              <w:t>；</w:t>
            </w:r>
          </w:p>
        </w:tc>
        <w:tc>
          <w:tcPr>
            <w:tcW w:w="1079" w:type="pct"/>
            <w:vAlign w:val="center"/>
          </w:tcPr>
          <w:p w14:paraId="069D5B0D">
            <w:pPr>
              <w:spacing w:line="360" w:lineRule="auto"/>
              <w:jc w:val="left"/>
              <w:rPr>
                <w:rFonts w:hint="eastAsia" w:ascii="宋体" w:hAnsi="宋体" w:eastAsia="宋体"/>
                <w:sz w:val="24"/>
                <w:highlight w:val="none"/>
              </w:rPr>
            </w:pPr>
            <w:r>
              <w:rPr>
                <w:rFonts w:hint="eastAsia" w:ascii="宋体" w:hAnsi="宋体" w:eastAsia="宋体" w:cs="宋体"/>
                <w:sz w:val="24"/>
                <w:szCs w:val="24"/>
                <w:highlight w:val="none"/>
              </w:rPr>
              <w:t>提供材料扫描件或电子证照，应完整的体现出材料或电子证照全部内容。联合体投标的联合体各方均须提供。</w:t>
            </w:r>
          </w:p>
        </w:tc>
      </w:tr>
      <w:tr w14:paraId="6F02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32BC240C">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2</w:t>
            </w:r>
          </w:p>
        </w:tc>
        <w:tc>
          <w:tcPr>
            <w:tcW w:w="942" w:type="pct"/>
            <w:tcBorders>
              <w:bottom w:val="single" w:color="auto" w:sz="4" w:space="0"/>
            </w:tcBorders>
            <w:vAlign w:val="center"/>
          </w:tcPr>
          <w:p w14:paraId="56E5F994">
            <w:pPr>
              <w:spacing w:after="50" w:line="360" w:lineRule="auto"/>
              <w:ind w:right="-10"/>
              <w:jc w:val="center"/>
              <w:rPr>
                <w:rFonts w:hint="eastAsia" w:ascii="宋体" w:hAnsi="宋体" w:eastAsia="宋体"/>
                <w:sz w:val="24"/>
                <w:szCs w:val="28"/>
                <w:highlight w:val="none"/>
              </w:rPr>
            </w:pPr>
            <w:r>
              <w:rPr>
                <w:rFonts w:hint="eastAsia" w:ascii="宋体" w:hAnsi="宋体" w:eastAsia="宋体"/>
                <w:sz w:val="24"/>
                <w:szCs w:val="18"/>
                <w:highlight w:val="none"/>
              </w:rPr>
              <w:t>投标人资格声明书</w:t>
            </w:r>
          </w:p>
        </w:tc>
        <w:tc>
          <w:tcPr>
            <w:tcW w:w="2600" w:type="pct"/>
            <w:tcBorders>
              <w:bottom w:val="single" w:color="auto" w:sz="4" w:space="0"/>
            </w:tcBorders>
            <w:vAlign w:val="center"/>
          </w:tcPr>
          <w:p w14:paraId="172C4652">
            <w:pPr>
              <w:spacing w:after="50" w:line="360" w:lineRule="auto"/>
              <w:ind w:right="-10"/>
              <w:jc w:val="left"/>
              <w:rPr>
                <w:rFonts w:hint="eastAsia" w:ascii="宋体" w:hAnsi="宋体" w:eastAsia="宋体"/>
                <w:sz w:val="24"/>
                <w:szCs w:val="28"/>
                <w:highlight w:val="none"/>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rPr>
              <w:t>。</w:t>
            </w:r>
          </w:p>
        </w:tc>
        <w:tc>
          <w:tcPr>
            <w:tcW w:w="1079" w:type="pct"/>
            <w:vAlign w:val="center"/>
          </w:tcPr>
          <w:p w14:paraId="23158F07">
            <w:pPr>
              <w:spacing w:line="360" w:lineRule="auto"/>
              <w:jc w:val="left"/>
              <w:rPr>
                <w:rFonts w:hint="eastAsia" w:ascii="宋体" w:hAnsi="宋体" w:eastAsia="宋体" w:cs="宋体"/>
                <w:sz w:val="24"/>
                <w:szCs w:val="24"/>
                <w:highlight w:val="none"/>
              </w:rPr>
            </w:pPr>
            <w:r>
              <w:rPr>
                <w:rFonts w:hint="eastAsia" w:ascii="宋体" w:hAnsi="宋体" w:eastAsia="宋体"/>
                <w:sz w:val="24"/>
                <w:highlight w:val="none"/>
              </w:rPr>
              <w:t>详见第六章投标文件格式。</w:t>
            </w:r>
          </w:p>
        </w:tc>
      </w:tr>
      <w:tr w14:paraId="33A7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094F6DC3">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3</w:t>
            </w:r>
          </w:p>
        </w:tc>
        <w:tc>
          <w:tcPr>
            <w:tcW w:w="942" w:type="pct"/>
            <w:tcBorders>
              <w:bottom w:val="single" w:color="auto" w:sz="4" w:space="0"/>
            </w:tcBorders>
            <w:vAlign w:val="center"/>
          </w:tcPr>
          <w:p w14:paraId="23A75150">
            <w:pPr>
              <w:spacing w:after="50" w:line="360" w:lineRule="auto"/>
              <w:ind w:right="-10"/>
              <w:jc w:val="center"/>
              <w:rPr>
                <w:rFonts w:hint="eastAsia" w:ascii="宋体" w:hAnsi="宋体" w:eastAsia="宋体"/>
                <w:sz w:val="24"/>
                <w:szCs w:val="28"/>
                <w:highlight w:val="none"/>
              </w:rPr>
            </w:pPr>
            <w:r>
              <w:rPr>
                <w:rFonts w:hint="eastAsia" w:ascii="宋体" w:hAnsi="宋体" w:eastAsia="宋体" w:cs="宋体"/>
                <w:sz w:val="24"/>
                <w:szCs w:val="24"/>
                <w:highlight w:val="none"/>
              </w:rPr>
              <w:t>投标人信用记录</w:t>
            </w:r>
          </w:p>
        </w:tc>
        <w:tc>
          <w:tcPr>
            <w:tcW w:w="2600" w:type="pct"/>
            <w:tcBorders>
              <w:bottom w:val="single" w:color="auto" w:sz="4" w:space="0"/>
            </w:tcBorders>
            <w:vAlign w:val="center"/>
          </w:tcPr>
          <w:p w14:paraId="7E0D8273">
            <w:pPr>
              <w:spacing w:after="50" w:line="360" w:lineRule="auto"/>
              <w:ind w:right="-10"/>
              <w:jc w:val="left"/>
              <w:rPr>
                <w:rFonts w:hint="eastAsia"/>
                <w:highlight w:val="none"/>
              </w:rPr>
            </w:pPr>
            <w:r>
              <w:rPr>
                <w:rFonts w:hint="eastAsia" w:ascii="宋体" w:hAnsi="宋体" w:eastAsia="宋体" w:cs="宋体"/>
                <w:sz w:val="24"/>
                <w:szCs w:val="24"/>
                <w:highlight w:val="none"/>
                <w:lang w:val="zh-CN"/>
              </w:rPr>
              <w:t>投标人不得存在投标人须知正文第1</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zh-CN"/>
              </w:rPr>
              <w:t>.2</w:t>
            </w:r>
            <w:r>
              <w:rPr>
                <w:rFonts w:hint="eastAsia" w:ascii="宋体" w:hAnsi="宋体" w:eastAsia="宋体" w:cs="宋体"/>
                <w:sz w:val="24"/>
                <w:szCs w:val="24"/>
                <w:highlight w:val="none"/>
              </w:rPr>
              <w:t>条中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p>
        </w:tc>
        <w:tc>
          <w:tcPr>
            <w:tcW w:w="1079" w:type="pct"/>
            <w:tcBorders>
              <w:bottom w:val="single" w:color="auto" w:sz="4" w:space="0"/>
            </w:tcBorders>
            <w:vAlign w:val="center"/>
          </w:tcPr>
          <w:p w14:paraId="5494192B">
            <w:pPr>
              <w:spacing w:line="360" w:lineRule="auto"/>
              <w:jc w:val="left"/>
              <w:rPr>
                <w:rFonts w:hint="eastAsia"/>
                <w:highlight w:val="none"/>
              </w:rPr>
            </w:pPr>
            <w:r>
              <w:rPr>
                <w:rFonts w:hint="eastAsia" w:ascii="宋体" w:hAnsi="宋体" w:eastAsia="宋体" w:cs="宋体"/>
                <w:sz w:val="24"/>
                <w:szCs w:val="24"/>
                <w:highlight w:val="none"/>
              </w:rPr>
              <w:t>无须投标人提供，由采购人或采购代理机构查询。</w:t>
            </w:r>
          </w:p>
        </w:tc>
      </w:tr>
      <w:tr w14:paraId="4236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6E2A5D97">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4</w:t>
            </w:r>
          </w:p>
        </w:tc>
        <w:tc>
          <w:tcPr>
            <w:tcW w:w="942" w:type="pct"/>
            <w:tcBorders>
              <w:bottom w:val="single" w:color="auto" w:sz="4" w:space="0"/>
            </w:tcBorders>
            <w:vAlign w:val="center"/>
          </w:tcPr>
          <w:p w14:paraId="32AD8590">
            <w:pPr>
              <w:spacing w:after="50" w:line="360" w:lineRule="auto"/>
              <w:ind w:right="-1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其他</w:t>
            </w:r>
            <w:r>
              <w:rPr>
                <w:rFonts w:ascii="宋体" w:hAnsi="宋体" w:eastAsia="宋体" w:cs="宋体"/>
                <w:spacing w:val="10"/>
                <w:sz w:val="24"/>
                <w:szCs w:val="24"/>
                <w:highlight w:val="none"/>
              </w:rPr>
              <w:t>落实政府采</w:t>
            </w:r>
            <w:r>
              <w:rPr>
                <w:rFonts w:ascii="宋体" w:hAnsi="宋体" w:eastAsia="宋体" w:cs="宋体"/>
                <w:spacing w:val="11"/>
                <w:sz w:val="24"/>
                <w:szCs w:val="24"/>
                <w:highlight w:val="none"/>
              </w:rPr>
              <w:t>购政策的资格要</w:t>
            </w:r>
            <w:r>
              <w:rPr>
                <w:rFonts w:ascii="宋体" w:hAnsi="宋体" w:eastAsia="宋体" w:cs="宋体"/>
                <w:sz w:val="24"/>
                <w:szCs w:val="24"/>
                <w:highlight w:val="none"/>
              </w:rPr>
              <w:t>求</w:t>
            </w:r>
          </w:p>
        </w:tc>
        <w:tc>
          <w:tcPr>
            <w:tcW w:w="2600" w:type="pct"/>
            <w:tcBorders>
              <w:bottom w:val="single" w:color="auto" w:sz="4" w:space="0"/>
            </w:tcBorders>
            <w:vAlign w:val="center"/>
          </w:tcPr>
          <w:p w14:paraId="299C07E9">
            <w:pPr>
              <w:spacing w:after="50" w:line="360" w:lineRule="auto"/>
              <w:ind w:right="-10"/>
              <w:rPr>
                <w:rFonts w:hint="eastAsia" w:ascii="宋体" w:hAnsi="宋体" w:eastAsia="宋体" w:cs="宋体"/>
                <w:sz w:val="24"/>
                <w:szCs w:val="24"/>
                <w:highlight w:val="none"/>
              </w:rPr>
            </w:pPr>
            <w:r>
              <w:rPr>
                <w:rFonts w:ascii="宋体" w:hAnsi="宋体" w:eastAsia="宋体" w:cs="宋体"/>
                <w:spacing w:val="-2"/>
                <w:sz w:val="24"/>
                <w:szCs w:val="24"/>
                <w:highlight w:val="none"/>
              </w:rPr>
              <w:t>如有，见第一章《投标邀请》</w:t>
            </w:r>
          </w:p>
        </w:tc>
        <w:tc>
          <w:tcPr>
            <w:tcW w:w="1079" w:type="pct"/>
            <w:tcBorders>
              <w:bottom w:val="single" w:color="auto" w:sz="4" w:space="0"/>
            </w:tcBorders>
            <w:vAlign w:val="center"/>
          </w:tcPr>
          <w:p w14:paraId="4185548D">
            <w:pPr>
              <w:spacing w:after="50" w:line="360" w:lineRule="auto"/>
              <w:ind w:right="-10"/>
              <w:rPr>
                <w:rFonts w:hint="eastAsia" w:ascii="宋体" w:hAnsi="宋体" w:eastAsia="宋体"/>
                <w:sz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2FDD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B075BD9">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5</w:t>
            </w:r>
          </w:p>
        </w:tc>
        <w:tc>
          <w:tcPr>
            <w:tcW w:w="942" w:type="pct"/>
            <w:tcBorders>
              <w:bottom w:val="single" w:color="auto" w:sz="4" w:space="0"/>
            </w:tcBorders>
            <w:vAlign w:val="center"/>
          </w:tcPr>
          <w:p w14:paraId="592E5147">
            <w:pPr>
              <w:spacing w:after="50" w:line="360" w:lineRule="auto"/>
              <w:ind w:right="-10"/>
              <w:rPr>
                <w:rFonts w:hint="eastAsia" w:ascii="宋体" w:hAnsi="宋体" w:eastAsia="宋体" w:cs="宋体"/>
                <w:spacing w:val="10"/>
                <w:sz w:val="24"/>
                <w:szCs w:val="24"/>
                <w:highlight w:val="none"/>
              </w:rPr>
            </w:pPr>
            <w:r>
              <w:rPr>
                <w:rFonts w:ascii="宋体" w:hAnsi="宋体" w:eastAsia="宋体" w:cs="宋体"/>
                <w:spacing w:val="10"/>
                <w:sz w:val="24"/>
                <w:szCs w:val="24"/>
                <w:highlight w:val="none"/>
              </w:rPr>
              <w:t>本项目对于联合</w:t>
            </w:r>
            <w:r>
              <w:rPr>
                <w:rFonts w:ascii="宋体" w:hAnsi="宋体" w:eastAsia="宋体" w:cs="宋体"/>
                <w:spacing w:val="-2"/>
                <w:sz w:val="24"/>
                <w:szCs w:val="24"/>
                <w:highlight w:val="none"/>
              </w:rPr>
              <w:t>体的要求</w:t>
            </w:r>
          </w:p>
        </w:tc>
        <w:tc>
          <w:tcPr>
            <w:tcW w:w="2600" w:type="pct"/>
            <w:tcBorders>
              <w:bottom w:val="single" w:color="auto" w:sz="4" w:space="0"/>
            </w:tcBorders>
            <w:vAlign w:val="center"/>
          </w:tcPr>
          <w:p w14:paraId="141370A2">
            <w:pPr>
              <w:spacing w:after="50" w:line="360" w:lineRule="auto"/>
              <w:ind w:right="-1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本项目不接受联合体投标。</w:t>
            </w:r>
          </w:p>
        </w:tc>
        <w:tc>
          <w:tcPr>
            <w:tcW w:w="1079" w:type="pct"/>
            <w:tcBorders>
              <w:bottom w:val="single" w:color="auto" w:sz="4" w:space="0"/>
            </w:tcBorders>
            <w:vAlign w:val="center"/>
          </w:tcPr>
          <w:p w14:paraId="5A670737">
            <w:pPr>
              <w:spacing w:after="50" w:line="360" w:lineRule="auto"/>
              <w:ind w:right="-10"/>
              <w:rPr>
                <w:rFonts w:hint="eastAsia" w:ascii="宋体" w:hAnsi="宋体" w:eastAsia="宋体" w:cs="宋体"/>
                <w:sz w:val="24"/>
                <w:szCs w:val="24"/>
                <w:highlight w:val="none"/>
              </w:rPr>
            </w:pPr>
          </w:p>
        </w:tc>
      </w:tr>
      <w:tr w14:paraId="524E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0F9770B6">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6</w:t>
            </w:r>
          </w:p>
        </w:tc>
        <w:tc>
          <w:tcPr>
            <w:tcW w:w="942" w:type="pct"/>
            <w:vAlign w:val="center"/>
          </w:tcPr>
          <w:p w14:paraId="3B32645F">
            <w:pPr>
              <w:spacing w:after="50" w:line="360" w:lineRule="auto"/>
              <w:ind w:right="-10"/>
              <w:rPr>
                <w:rFonts w:hint="eastAsia" w:ascii="宋体" w:hAnsi="宋体" w:eastAsia="宋体" w:cs="宋体"/>
                <w:spacing w:val="10"/>
                <w:sz w:val="24"/>
                <w:szCs w:val="24"/>
                <w:highlight w:val="none"/>
              </w:rPr>
            </w:pPr>
            <w:r>
              <w:rPr>
                <w:rFonts w:ascii="宋体" w:hAnsi="宋体" w:eastAsia="宋体" w:cs="宋体"/>
                <w:spacing w:val="10"/>
                <w:sz w:val="24"/>
                <w:szCs w:val="24"/>
                <w:highlight w:val="none"/>
              </w:rPr>
              <w:t>本项目的特定资格要求</w:t>
            </w:r>
          </w:p>
        </w:tc>
        <w:tc>
          <w:tcPr>
            <w:tcW w:w="2600" w:type="pct"/>
            <w:vAlign w:val="center"/>
          </w:tcPr>
          <w:p w14:paraId="12463300">
            <w:pPr>
              <w:spacing w:after="50" w:line="360" w:lineRule="auto"/>
              <w:ind w:right="-10"/>
              <w:rPr>
                <w:rFonts w:hint="eastAsia" w:ascii="宋体" w:hAnsi="宋体" w:eastAsia="宋体" w:cs="宋体"/>
                <w:spacing w:val="10"/>
                <w:sz w:val="24"/>
                <w:szCs w:val="24"/>
                <w:highlight w:val="none"/>
              </w:rPr>
            </w:pPr>
            <w:r>
              <w:rPr>
                <w:rFonts w:ascii="宋体" w:hAnsi="宋体" w:eastAsia="宋体" w:cs="宋体"/>
                <w:spacing w:val="10"/>
                <w:sz w:val="24"/>
                <w:szCs w:val="24"/>
                <w:highlight w:val="none"/>
              </w:rPr>
              <w:t>如有，见第一章《投标邀请》</w:t>
            </w:r>
          </w:p>
        </w:tc>
        <w:tc>
          <w:tcPr>
            <w:tcW w:w="1079" w:type="pct"/>
            <w:vAlign w:val="center"/>
          </w:tcPr>
          <w:p w14:paraId="14836114">
            <w:pPr>
              <w:spacing w:after="50" w:line="360" w:lineRule="auto"/>
              <w:ind w:right="-10"/>
              <w:rPr>
                <w:rFonts w:hint="eastAsia" w:ascii="宋体" w:hAnsi="宋体" w:eastAsia="宋体" w:cs="宋体"/>
                <w:spacing w:val="10"/>
                <w:sz w:val="24"/>
                <w:szCs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bl>
    <w:p w14:paraId="5C0F0F0D">
      <w:pPr>
        <w:spacing w:line="360" w:lineRule="auto"/>
        <w:ind w:firstLine="435"/>
        <w:rPr>
          <w:rFonts w:hint="eastAsia" w:asciiTheme="minorEastAsia" w:hAnsiTheme="minorEastAsia" w:eastAsiaTheme="minorEastAsia"/>
          <w:sz w:val="24"/>
          <w:highlight w:val="none"/>
        </w:rPr>
      </w:pPr>
      <w:r>
        <w:rPr>
          <w:rFonts w:hint="eastAsia" w:ascii="宋体" w:hAnsi="宋体" w:eastAsia="宋体"/>
          <w:b/>
          <w:bCs/>
          <w:sz w:val="24"/>
          <w:highlight w:val="none"/>
        </w:rPr>
        <w:t>资格审查指标通过标准：</w:t>
      </w:r>
      <w:r>
        <w:rPr>
          <w:rFonts w:hint="eastAsia" w:ascii="宋体" w:hAnsi="宋体" w:eastAsia="宋体"/>
          <w:sz w:val="24"/>
          <w:highlight w:val="none"/>
        </w:rPr>
        <w:t>投标人必须通过资格审查表中的全部评审指标。</w:t>
      </w:r>
    </w:p>
    <w:p w14:paraId="2D1D94D0">
      <w:pPr>
        <w:spacing w:line="360" w:lineRule="auto"/>
        <w:ind w:firstLine="437"/>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2.2符合性审查</w:t>
      </w:r>
    </w:p>
    <w:p w14:paraId="129ACA9C">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评标委员会对通过资格审查的投标人的投标文件进行符合性审查，以确定其是否满足招标文件的实质性要求。符合性审查表如下：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hint="eastAsia" w:ascii="宋体" w:hAnsi="宋体" w:eastAsia="宋体"/>
                <w:b/>
                <w:bCs/>
                <w:sz w:val="24"/>
                <w:highlight w:val="none"/>
              </w:rPr>
            </w:pPr>
            <w:r>
              <w:rPr>
                <w:rFonts w:hint="eastAsia" w:ascii="宋体" w:hAnsi="宋体" w:eastAsia="宋体"/>
                <w:b/>
                <w:bCs/>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37E0F440">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序号</w:t>
            </w:r>
          </w:p>
        </w:tc>
        <w:tc>
          <w:tcPr>
            <w:tcW w:w="1242" w:type="pct"/>
            <w:tcBorders>
              <w:bottom w:val="single" w:color="auto" w:sz="4" w:space="0"/>
            </w:tcBorders>
            <w:vAlign w:val="center"/>
          </w:tcPr>
          <w:p w14:paraId="7EEA7CDE">
            <w:pPr>
              <w:pStyle w:val="33"/>
              <w:pBdr>
                <w:bottom w:val="none" w:color="auto" w:sz="0" w:space="0"/>
              </w:pBdr>
              <w:tabs>
                <w:tab w:val="clear" w:pos="4153"/>
                <w:tab w:val="clear" w:pos="8306"/>
              </w:tabs>
              <w:snapToGrid w:val="0"/>
              <w:spacing w:line="360" w:lineRule="auto"/>
              <w:ind w:right="-10"/>
              <w:textAlignment w:val="auto"/>
              <w:rPr>
                <w:rFonts w:hint="eastAsia" w:ascii="宋体" w:hAnsi="宋体" w:eastAsia="宋体"/>
                <w:kern w:val="2"/>
                <w:highlight w:val="none"/>
              </w:rPr>
            </w:pPr>
            <w:r>
              <w:rPr>
                <w:rFonts w:hint="eastAsia" w:ascii="宋体" w:hAnsi="宋体" w:eastAsia="宋体"/>
                <w:kern w:val="2"/>
                <w:highlight w:val="none"/>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审查标准</w:t>
            </w:r>
          </w:p>
        </w:tc>
        <w:tc>
          <w:tcPr>
            <w:tcW w:w="1472" w:type="pct"/>
            <w:tcBorders>
              <w:bottom w:val="single" w:color="auto" w:sz="4" w:space="0"/>
            </w:tcBorders>
            <w:vAlign w:val="center"/>
          </w:tcPr>
          <w:p w14:paraId="275F9489">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D38D85B">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w:t>
            </w:r>
          </w:p>
        </w:tc>
        <w:tc>
          <w:tcPr>
            <w:tcW w:w="1242" w:type="pct"/>
            <w:vAlign w:val="center"/>
          </w:tcPr>
          <w:p w14:paraId="1AD2D963">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highlight w:val="none"/>
              </w:rPr>
              <w:t>开标一览表</w:t>
            </w:r>
          </w:p>
        </w:tc>
        <w:tc>
          <w:tcPr>
            <w:tcW w:w="1835" w:type="pct"/>
            <w:vAlign w:val="center"/>
          </w:tcPr>
          <w:p w14:paraId="5FFB2C96">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格式、填写要求符合招标文件规定并加盖投标人电子签章</w:t>
            </w:r>
          </w:p>
        </w:tc>
        <w:tc>
          <w:tcPr>
            <w:tcW w:w="1472" w:type="pct"/>
            <w:vAlign w:val="center"/>
          </w:tcPr>
          <w:p w14:paraId="2F9F3473">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详见第六章投标文件格式。</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CBA361A">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242" w:type="pct"/>
            <w:vAlign w:val="center"/>
          </w:tcPr>
          <w:p w14:paraId="4E436A99">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投标函</w:t>
            </w:r>
          </w:p>
        </w:tc>
        <w:tc>
          <w:tcPr>
            <w:tcW w:w="1835" w:type="pct"/>
            <w:vAlign w:val="center"/>
          </w:tcPr>
          <w:p w14:paraId="71B88ED2">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格式、填写要求符合招标文件规定并加盖投标人电子签章</w:t>
            </w:r>
          </w:p>
        </w:tc>
        <w:tc>
          <w:tcPr>
            <w:tcW w:w="1472" w:type="pct"/>
            <w:vAlign w:val="center"/>
          </w:tcPr>
          <w:p w14:paraId="4FA487B3">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详见第六章投标文件格式。</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8DB2FC">
            <w:pPr>
              <w:adjustRightInd w:val="0"/>
              <w:snapToGrid w:val="0"/>
              <w:spacing w:line="360" w:lineRule="auto"/>
              <w:ind w:right="-10"/>
              <w:jc w:val="center"/>
              <w:rPr>
                <w:rFonts w:hint="eastAsia" w:asciiTheme="minorEastAsia" w:hAnsiTheme="minorEastAsia" w:eastAsiaTheme="minorEastAsia"/>
                <w:sz w:val="24"/>
                <w:highlight w:val="none"/>
              </w:rPr>
            </w:pPr>
            <w:r>
              <w:rPr>
                <w:rFonts w:asciiTheme="minorEastAsia" w:hAnsiTheme="minorEastAsia" w:eastAsiaTheme="minorEastAsia"/>
                <w:sz w:val="24"/>
                <w:highlight w:val="none"/>
              </w:rPr>
              <w:t>3</w:t>
            </w:r>
          </w:p>
        </w:tc>
        <w:tc>
          <w:tcPr>
            <w:tcW w:w="1242" w:type="pct"/>
            <w:vAlign w:val="center"/>
          </w:tcPr>
          <w:p w14:paraId="7495C389">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授权书</w:t>
            </w:r>
          </w:p>
        </w:tc>
        <w:tc>
          <w:tcPr>
            <w:tcW w:w="1835" w:type="pct"/>
            <w:vAlign w:val="center"/>
          </w:tcPr>
          <w:p w14:paraId="12C2E3FA">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格式、填写要求符合招标文件规定并加盖投标人电子签章</w:t>
            </w:r>
          </w:p>
        </w:tc>
        <w:tc>
          <w:tcPr>
            <w:tcW w:w="1472" w:type="pct"/>
            <w:vAlign w:val="center"/>
          </w:tcPr>
          <w:p w14:paraId="2D906B26">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法定代表人参加投标的无需此件，提供身份证明即可。详见第六章投标文件格式。</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9BE6863">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1242" w:type="pct"/>
            <w:vAlign w:val="center"/>
          </w:tcPr>
          <w:p w14:paraId="7DAECA49">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投标报价</w:t>
            </w:r>
          </w:p>
        </w:tc>
        <w:tc>
          <w:tcPr>
            <w:tcW w:w="1835" w:type="pct"/>
            <w:vAlign w:val="center"/>
          </w:tcPr>
          <w:p w14:paraId="12C4EB26">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招标文件投标人须知正文第9条要求</w:t>
            </w:r>
          </w:p>
        </w:tc>
        <w:tc>
          <w:tcPr>
            <w:tcW w:w="1472" w:type="pct"/>
            <w:vAlign w:val="center"/>
          </w:tcPr>
          <w:p w14:paraId="20712899">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详见第六章投标文件格式。</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55A013">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w:t>
            </w:r>
          </w:p>
        </w:tc>
        <w:tc>
          <w:tcPr>
            <w:tcW w:w="1242" w:type="pct"/>
            <w:vAlign w:val="center"/>
          </w:tcPr>
          <w:p w14:paraId="4D1992A2">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商务响应情况</w:t>
            </w:r>
          </w:p>
        </w:tc>
        <w:tc>
          <w:tcPr>
            <w:tcW w:w="3430" w:type="dxa"/>
            <w:vAlign w:val="center"/>
          </w:tcPr>
          <w:p w14:paraId="6CD21DB3">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符合招标文件采购需求中对付款方式、供货及安装期限、供货及安装地点、免费质保期等实质性要求</w:t>
            </w:r>
          </w:p>
        </w:tc>
        <w:tc>
          <w:tcPr>
            <w:tcW w:w="1472" w:type="pct"/>
            <w:vAlign w:val="center"/>
          </w:tcPr>
          <w:p w14:paraId="002ED430">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详见第六章投标文件格式。</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35C6D096">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w:t>
            </w:r>
          </w:p>
        </w:tc>
        <w:tc>
          <w:tcPr>
            <w:tcW w:w="1242" w:type="pct"/>
            <w:vAlign w:val="center"/>
          </w:tcPr>
          <w:p w14:paraId="5A915EFD">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技术响应情况</w:t>
            </w:r>
          </w:p>
        </w:tc>
        <w:tc>
          <w:tcPr>
            <w:tcW w:w="3430" w:type="dxa"/>
            <w:vAlign w:val="center"/>
          </w:tcPr>
          <w:p w14:paraId="67394AE6">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符合招标文件采购需求中货物技术参数等实质性要求</w:t>
            </w:r>
          </w:p>
        </w:tc>
        <w:tc>
          <w:tcPr>
            <w:tcW w:w="1472" w:type="pct"/>
            <w:vAlign w:val="center"/>
          </w:tcPr>
          <w:p w14:paraId="4DF86823">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详见第六章投标文件格式。</w:t>
            </w:r>
          </w:p>
        </w:tc>
      </w:tr>
      <w:tr w14:paraId="4CAB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796BB1">
            <w:pPr>
              <w:adjustRightInd w:val="0"/>
              <w:snapToGrid w:val="0"/>
              <w:spacing w:line="360" w:lineRule="auto"/>
              <w:ind w:right="-10"/>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7</w:t>
            </w:r>
          </w:p>
        </w:tc>
        <w:tc>
          <w:tcPr>
            <w:tcW w:w="1242" w:type="pct"/>
            <w:vAlign w:val="center"/>
          </w:tcPr>
          <w:p w14:paraId="3AAE0128">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其他要求</w:t>
            </w:r>
          </w:p>
        </w:tc>
        <w:tc>
          <w:tcPr>
            <w:tcW w:w="3430" w:type="dxa"/>
            <w:vAlign w:val="center"/>
          </w:tcPr>
          <w:p w14:paraId="21D46057">
            <w:pPr>
              <w:spacing w:after="50" w:line="360" w:lineRule="auto"/>
              <w:ind w:right="-10"/>
              <w:jc w:val="center"/>
              <w:rPr>
                <w:rFonts w:hint="eastAsia"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符合法律、行政法规规定的其他条件或招标文件列明的其他实质性要求</w:t>
            </w:r>
          </w:p>
        </w:tc>
        <w:tc>
          <w:tcPr>
            <w:tcW w:w="1472" w:type="pct"/>
            <w:vAlign w:val="center"/>
          </w:tcPr>
          <w:p w14:paraId="63368BCE">
            <w:pPr>
              <w:adjustRightInd w:val="0"/>
              <w:snapToGrid w:val="0"/>
              <w:spacing w:line="360" w:lineRule="auto"/>
              <w:ind w:right="-10"/>
              <w:jc w:val="center"/>
              <w:rPr>
                <w:rFonts w:hint="eastAsia" w:asciiTheme="minorEastAsia" w:hAnsiTheme="minorEastAsia" w:eastAsiaTheme="minorEastAsia"/>
                <w:sz w:val="24"/>
                <w:highlight w:val="none"/>
              </w:rPr>
            </w:pPr>
          </w:p>
        </w:tc>
      </w:tr>
    </w:tbl>
    <w:p w14:paraId="37A7818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b/>
          <w:bCs/>
          <w:sz w:val="24"/>
          <w:highlight w:val="none"/>
        </w:rPr>
        <w:t>符合性审查指标通过标准：</w:t>
      </w:r>
      <w:r>
        <w:rPr>
          <w:rFonts w:hint="eastAsia" w:asciiTheme="minorEastAsia" w:hAnsiTheme="minorEastAsia" w:eastAsiaTheme="minorEastAsia"/>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2.3异常低价投标审查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jc w:val="center"/>
              <w:rPr>
                <w:rFonts w:hint="eastAsia" w:ascii="宋体" w:hAnsi="宋体" w:eastAsia="宋体"/>
                <w:sz w:val="24"/>
                <w:highlight w:val="none"/>
              </w:rPr>
            </w:pPr>
            <w:r>
              <w:rPr>
                <w:rFonts w:hint="eastAsia" w:ascii="宋体" w:hAnsi="宋体" w:eastAsia="宋体" w:cs="Times New Roman"/>
                <w:b/>
                <w:bCs/>
                <w:sz w:val="24"/>
                <w:highlight w:val="none"/>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hint="eastAsia" w:ascii="宋体" w:hAnsi="宋体" w:eastAsia="宋体"/>
                <w:sz w:val="24"/>
                <w:highlight w:val="none"/>
              </w:rPr>
            </w:pPr>
            <w:r>
              <w:rPr>
                <w:rFonts w:hint="eastAsia" w:ascii="宋体" w:hAnsi="宋体" w:eastAsia="宋体" w:cs="Times New Roman"/>
                <w:sz w:val="24"/>
                <w:highlight w:val="none"/>
              </w:rPr>
              <w:t>序号</w:t>
            </w:r>
          </w:p>
        </w:tc>
        <w:tc>
          <w:tcPr>
            <w:tcW w:w="1450" w:type="dxa"/>
            <w:tcBorders>
              <w:bottom w:val="single" w:color="auto" w:sz="4" w:space="0"/>
            </w:tcBorders>
            <w:vAlign w:val="center"/>
          </w:tcPr>
          <w:p w14:paraId="1685EC71">
            <w:pPr>
              <w:spacing w:line="360" w:lineRule="auto"/>
              <w:ind w:firstLine="240" w:firstLineChars="100"/>
              <w:jc w:val="center"/>
              <w:rPr>
                <w:rFonts w:hint="eastAsia" w:ascii="宋体" w:hAnsi="宋体" w:eastAsia="宋体"/>
                <w:szCs w:val="24"/>
                <w:highlight w:val="none"/>
              </w:rPr>
            </w:pPr>
            <w:r>
              <w:rPr>
                <w:rFonts w:hint="eastAsia" w:ascii="宋体" w:hAnsi="宋体" w:eastAsia="宋体" w:cs="Times New Roman"/>
                <w:sz w:val="24"/>
                <w:highlight w:val="none"/>
              </w:rPr>
              <w:t>评审指标</w:t>
            </w:r>
          </w:p>
        </w:tc>
        <w:tc>
          <w:tcPr>
            <w:tcW w:w="4439" w:type="dxa"/>
            <w:tcBorders>
              <w:bottom w:val="single" w:color="auto" w:sz="4" w:space="0"/>
            </w:tcBorders>
            <w:vAlign w:val="center"/>
          </w:tcPr>
          <w:p w14:paraId="48227F1E">
            <w:pPr>
              <w:spacing w:line="360" w:lineRule="auto"/>
              <w:ind w:firstLine="240" w:firstLineChars="100"/>
              <w:jc w:val="center"/>
              <w:rPr>
                <w:rFonts w:hint="eastAsia" w:ascii="宋体" w:hAnsi="宋体" w:eastAsia="宋体"/>
                <w:sz w:val="24"/>
                <w:highlight w:val="none"/>
              </w:rPr>
            </w:pPr>
            <w:r>
              <w:rPr>
                <w:rFonts w:hint="eastAsia" w:ascii="宋体" w:hAnsi="宋体" w:eastAsia="宋体" w:cs="Times New Roman"/>
                <w:sz w:val="24"/>
                <w:highlight w:val="none"/>
              </w:rPr>
              <w:t>评审标准</w:t>
            </w:r>
          </w:p>
        </w:tc>
        <w:tc>
          <w:tcPr>
            <w:tcW w:w="2260" w:type="dxa"/>
            <w:tcBorders>
              <w:bottom w:val="single" w:color="auto" w:sz="4" w:space="0"/>
            </w:tcBorders>
            <w:vAlign w:val="center"/>
          </w:tcPr>
          <w:p w14:paraId="75A52B50">
            <w:pPr>
              <w:spacing w:line="360" w:lineRule="auto"/>
              <w:jc w:val="center"/>
              <w:rPr>
                <w:rFonts w:hint="eastAsia" w:ascii="宋体" w:hAnsi="宋体" w:eastAsia="宋体"/>
                <w:sz w:val="24"/>
                <w:highlight w:val="none"/>
              </w:rPr>
            </w:pPr>
            <w:r>
              <w:rPr>
                <w:rFonts w:hint="eastAsia" w:ascii="宋体" w:hAnsi="宋体" w:eastAsia="宋体" w:cs="Times New Roman"/>
                <w:sz w:val="24"/>
                <w:highlight w:val="none"/>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rPr>
              <w:t>异常低价投标审查</w:t>
            </w:r>
          </w:p>
        </w:tc>
        <w:tc>
          <w:tcPr>
            <w:tcW w:w="4439" w:type="dxa"/>
            <w:tcBorders>
              <w:bottom w:val="single" w:color="auto" w:sz="4" w:space="0"/>
            </w:tcBorders>
            <w:vAlign w:val="center"/>
          </w:tcPr>
          <w:p w14:paraId="2B9A75F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（1）投标报价＜全部通过符合性审查投标人投标报价平均值×</w:t>
            </w:r>
            <w:r>
              <w:rPr>
                <w:rFonts w:hint="eastAsia" w:ascii="宋体" w:hAnsi="宋体" w:eastAsia="宋体" w:cs="宋体"/>
                <w:color w:val="FF0000"/>
                <w:sz w:val="24"/>
                <w:szCs w:val="24"/>
                <w:highlight w:val="none"/>
                <w:u w:val="single"/>
              </w:rPr>
              <w:t>50%</w:t>
            </w:r>
            <w:r>
              <w:rPr>
                <w:rFonts w:hint="eastAsia" w:ascii="宋体" w:hAnsi="宋体" w:eastAsia="宋体" w:cs="宋体"/>
                <w:sz w:val="24"/>
                <w:szCs w:val="24"/>
                <w:highlight w:val="none"/>
              </w:rPr>
              <w:t>；</w:t>
            </w:r>
          </w:p>
          <w:p w14:paraId="388BFE3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（2）投标报价＜通过符合性审查的次低报价投标人投标报价×</w:t>
            </w:r>
            <w:r>
              <w:rPr>
                <w:rFonts w:hint="eastAsia" w:ascii="宋体" w:hAnsi="宋体" w:eastAsia="宋体" w:cs="宋体"/>
                <w:color w:val="FF0000"/>
                <w:sz w:val="24"/>
                <w:szCs w:val="24"/>
                <w:highlight w:val="none"/>
                <w:u w:val="single"/>
              </w:rPr>
              <w:t>50%</w:t>
            </w:r>
            <w:r>
              <w:rPr>
                <w:rFonts w:hint="eastAsia" w:ascii="宋体" w:hAnsi="宋体" w:eastAsia="宋体" w:cs="宋体"/>
                <w:sz w:val="24"/>
                <w:szCs w:val="24"/>
                <w:highlight w:val="none"/>
              </w:rPr>
              <w:t>；</w:t>
            </w:r>
          </w:p>
          <w:p w14:paraId="6A29628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（3）投标报价＜采购项目最高限价（</w:t>
            </w:r>
            <w:r>
              <w:rPr>
                <w:rFonts w:hint="eastAsia" w:ascii="宋体" w:hAnsi="宋体" w:eastAsia="宋体" w:cs="宋体"/>
                <w:sz w:val="24"/>
                <w:highlight w:val="none"/>
              </w:rPr>
              <w:t>如采购项目未设定最高限价的，以采购项目预算金额作为最高限价</w:t>
            </w:r>
            <w:r>
              <w:rPr>
                <w:rFonts w:hint="eastAsia" w:ascii="宋体" w:hAnsi="宋体" w:eastAsia="宋体" w:cs="宋体"/>
                <w:sz w:val="24"/>
                <w:szCs w:val="24"/>
                <w:highlight w:val="none"/>
              </w:rPr>
              <w:t>）×</w:t>
            </w:r>
            <w:r>
              <w:rPr>
                <w:rFonts w:hint="eastAsia" w:ascii="宋体" w:hAnsi="宋体" w:eastAsia="宋体" w:cs="宋体"/>
                <w:color w:val="FF0000"/>
                <w:sz w:val="24"/>
                <w:szCs w:val="24"/>
                <w:highlight w:val="none"/>
                <w:u w:val="single"/>
              </w:rPr>
              <w:t>45%</w:t>
            </w:r>
            <w:r>
              <w:rPr>
                <w:rFonts w:hint="eastAsia" w:ascii="宋体" w:hAnsi="宋体" w:eastAsia="宋体" w:cs="宋体"/>
                <w:sz w:val="24"/>
                <w:szCs w:val="24"/>
                <w:highlight w:val="none"/>
              </w:rPr>
              <w:t>；</w:t>
            </w:r>
          </w:p>
          <w:p w14:paraId="2AF026C8">
            <w:pPr>
              <w:pStyle w:val="9"/>
              <w:spacing w:line="360" w:lineRule="auto"/>
              <w:rPr>
                <w:rFonts w:hint="eastAsia" w:ascii="宋体" w:hAnsi="宋体" w:eastAsia="宋体" w:cs="宋体"/>
                <w:sz w:val="24"/>
                <w:highlight w:val="none"/>
              </w:rPr>
            </w:pPr>
            <w:r>
              <w:rPr>
                <w:rFonts w:hint="eastAsia" w:ascii="宋体" w:hAnsi="宋体" w:eastAsia="宋体" w:cs="宋体"/>
                <w:sz w:val="24"/>
                <w:highlight w:val="none"/>
              </w:rPr>
              <w:t>（4）评标委员会基于专业判断，认为投标人报价过低，有可能影响产品质量或者不能诚信履约的其他情形。</w:t>
            </w:r>
          </w:p>
          <w:p w14:paraId="23C179B8">
            <w:pPr>
              <w:pStyle w:val="9"/>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提醒：</w:t>
            </w:r>
          </w:p>
          <w:p w14:paraId="0B014BAB">
            <w:pPr>
              <w:pStyle w:val="9"/>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rPr>
              <w:t>上述</w:t>
            </w:r>
            <w:r>
              <w:rPr>
                <w:rFonts w:hint="eastAsia" w:ascii="宋体" w:hAnsi="宋体" w:eastAsia="宋体"/>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sz w:val="24"/>
          <w:highlight w:val="none"/>
        </w:rPr>
      </w:pPr>
      <w:r>
        <w:rPr>
          <w:rFonts w:hint="eastAsia" w:ascii="宋体" w:hAnsi="宋体" w:eastAsia="宋体" w:cs="Times New Roman"/>
          <w:sz w:val="24"/>
          <w:highlight w:val="none"/>
        </w:rPr>
        <w:t>注：</w:t>
      </w:r>
    </w:p>
    <w:p w14:paraId="7B457B81">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根据《关于推动解决政府采购异常低价问题的通知》（财库〔</w:t>
      </w:r>
      <w:r>
        <w:rPr>
          <w:rFonts w:ascii="宋体" w:hAnsi="宋体" w:eastAsia="宋体"/>
          <w:sz w:val="24"/>
          <w:highlight w:val="none"/>
        </w:rPr>
        <w:t>202</w:t>
      </w:r>
      <w:r>
        <w:rPr>
          <w:rFonts w:hint="eastAsia" w:ascii="宋体" w:hAnsi="宋体" w:eastAsia="宋体"/>
          <w:sz w:val="24"/>
          <w:highlight w:val="none"/>
        </w:rPr>
        <w:t>6</w:t>
      </w:r>
      <w:r>
        <w:rPr>
          <w:rFonts w:ascii="宋体" w:hAnsi="宋体" w:eastAsia="宋体"/>
          <w:sz w:val="24"/>
          <w:highlight w:val="none"/>
        </w:rPr>
        <w:t>〕</w:t>
      </w:r>
      <w:r>
        <w:rPr>
          <w:rFonts w:hint="eastAsia" w:ascii="宋体" w:hAnsi="宋体" w:eastAsia="宋体"/>
          <w:sz w:val="24"/>
          <w:highlight w:val="none"/>
        </w:rPr>
        <w:t>2</w:t>
      </w:r>
      <w:r>
        <w:rPr>
          <w:rFonts w:ascii="宋体" w:hAnsi="宋体" w:eastAsia="宋体"/>
          <w:sz w:val="24"/>
          <w:highlight w:val="none"/>
        </w:rPr>
        <w:t>号</w:t>
      </w:r>
      <w:r>
        <w:rPr>
          <w:rFonts w:hint="eastAsia" w:ascii="宋体" w:hAnsi="宋体" w:eastAsia="宋体"/>
          <w:sz w:val="24"/>
          <w:highlight w:val="none"/>
        </w:rPr>
        <w:t>），采购人可以结合具体项目实际情况，提高上述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1A071BDD">
      <w:pPr>
        <w:spacing w:line="360" w:lineRule="auto"/>
        <w:ind w:firstLine="480" w:firstLineChars="200"/>
        <w:rPr>
          <w:rFonts w:hint="eastAsia" w:ascii="宋体" w:hAnsi="宋体" w:eastAsia="宋体" w:cs="Arial"/>
          <w:sz w:val="24"/>
          <w:highlight w:val="none"/>
        </w:rPr>
      </w:pPr>
      <w:r>
        <w:rPr>
          <w:rFonts w:hint="eastAsia" w:ascii="宋体" w:hAnsi="宋体" w:eastAsia="宋体" w:cs="Arial"/>
          <w:sz w:val="24"/>
          <w:highlight w:val="none"/>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highlight w:val="none"/>
        </w:rPr>
        <w:t>（3）</w:t>
      </w:r>
      <w:r>
        <w:rPr>
          <w:rFonts w:hint="eastAsia" w:ascii="宋体" w:hAnsi="宋体" w:eastAsia="宋体" w:cs="Arial"/>
          <w:sz w:val="24"/>
          <w:highlight w:val="none"/>
        </w:rPr>
        <w:t>项情形，投标人已随投标文件一并提交相关书面说明及必要的证明材料的，在评审现场可不再重复提交。</w:t>
      </w:r>
    </w:p>
    <w:p w14:paraId="1CABF238">
      <w:pPr>
        <w:pStyle w:val="9"/>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b/>
          <w:bCs/>
          <w:sz w:val="24"/>
          <w:highlight w:val="none"/>
        </w:rPr>
        <w:t>无效投标</w:t>
      </w:r>
      <w:r>
        <w:rPr>
          <w:rFonts w:hint="eastAsia" w:ascii="宋体" w:hAnsi="宋体" w:eastAsia="宋体"/>
          <w:sz w:val="24"/>
          <w:highlight w:val="none"/>
        </w:rPr>
        <w:t>处理。</w:t>
      </w:r>
    </w:p>
    <w:p w14:paraId="262C0784">
      <w:pPr>
        <w:pStyle w:val="9"/>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49D55E2D">
      <w:pPr>
        <w:spacing w:line="360" w:lineRule="auto"/>
        <w:ind w:firstLine="437"/>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2.4详细审查</w:t>
      </w:r>
    </w:p>
    <w:p w14:paraId="285FBC7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评标委员会按照下表对投标文件进行详细审查和评分。</w:t>
      </w:r>
    </w:p>
    <w:p w14:paraId="784909A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本项目综合评分满分为1</w:t>
      </w:r>
      <w:r>
        <w:rPr>
          <w:rFonts w:asciiTheme="minorEastAsia" w:hAnsiTheme="minorEastAsia" w:eastAsiaTheme="minorEastAsia"/>
          <w:sz w:val="24"/>
          <w:highlight w:val="none"/>
        </w:rPr>
        <w:t>00</w:t>
      </w:r>
      <w:r>
        <w:rPr>
          <w:rFonts w:hint="eastAsia" w:asciiTheme="minorEastAsia" w:hAnsiTheme="minorEastAsia" w:eastAsiaTheme="minorEastAsia"/>
          <w:sz w:val="24"/>
          <w:highlight w:val="none"/>
        </w:rPr>
        <w:t>分，其中：技术资信分值占总分值的权重为</w:t>
      </w:r>
      <w:r>
        <w:rPr>
          <w:rFonts w:hint="eastAsia" w:asciiTheme="minorEastAsia" w:hAnsiTheme="minorEastAsia" w:eastAsiaTheme="minorEastAsia"/>
          <w:sz w:val="24"/>
          <w:highlight w:val="none"/>
          <w:u w:val="single"/>
        </w:rPr>
        <w:t>70</w:t>
      </w:r>
      <w:r>
        <w:rPr>
          <w:rFonts w:asciiTheme="minorEastAsia" w:hAnsiTheme="minorEastAsia" w:eastAsiaTheme="minorEastAsia"/>
          <w:sz w:val="24"/>
          <w:highlight w:val="none"/>
        </w:rPr>
        <w:t>%，价格分值占总分值的权重为</w:t>
      </w:r>
      <w:r>
        <w:rPr>
          <w:rFonts w:hint="eastAsia" w:asciiTheme="minorEastAsia" w:hAnsiTheme="minorEastAsia" w:eastAsiaTheme="minorEastAsia"/>
          <w:sz w:val="24"/>
          <w:highlight w:val="none"/>
          <w:u w:val="single"/>
        </w:rPr>
        <w:t>30</w:t>
      </w:r>
      <w:r>
        <w:rPr>
          <w:rFonts w:asciiTheme="minorEastAsia" w:hAnsiTheme="minorEastAsia" w:eastAsiaTheme="minorEastAsia"/>
          <w:sz w:val="24"/>
          <w:highlight w:val="none"/>
        </w:rPr>
        <w:t>%。具体评分细则如下：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720"/>
        <w:gridCol w:w="3745"/>
        <w:gridCol w:w="1581"/>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6" w:type="pct"/>
            <w:tcBorders>
              <w:top w:val="single" w:color="auto" w:sz="4" w:space="0"/>
              <w:left w:val="single" w:color="auto" w:sz="4" w:space="0"/>
              <w:bottom w:val="single" w:color="auto" w:sz="4" w:space="0"/>
              <w:right w:val="single" w:color="auto" w:sz="4" w:space="0"/>
            </w:tcBorders>
            <w:vAlign w:val="center"/>
          </w:tcPr>
          <w:p w14:paraId="3A893938">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14068F5B">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2F9E0AE8">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04AEBE6">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restart"/>
            <w:tcBorders>
              <w:top w:val="single" w:color="auto" w:sz="4" w:space="0"/>
              <w:left w:val="single" w:color="auto" w:sz="4" w:space="0"/>
              <w:right w:val="single" w:color="auto" w:sz="4" w:space="0"/>
            </w:tcBorders>
            <w:vAlign w:val="center"/>
          </w:tcPr>
          <w:p w14:paraId="5C7CD238">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技术资信分</w:t>
            </w:r>
          </w:p>
          <w:p w14:paraId="127C554B">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rPr>
              <w:t>70</w:t>
            </w:r>
            <w:r>
              <w:rPr>
                <w:rFonts w:hint="eastAsia" w:asciiTheme="minorEastAsia" w:hAnsiTheme="minorEastAsia" w:eastAsiaTheme="minorEastAsia" w:cstheme="minorEastAsia"/>
                <w:sz w:val="24"/>
                <w:szCs w:val="24"/>
                <w:highlight w:val="none"/>
              </w:rPr>
              <w:t>分）</w:t>
            </w:r>
          </w:p>
        </w:tc>
        <w:tc>
          <w:tcPr>
            <w:tcW w:w="1720" w:type="dxa"/>
            <w:tcBorders>
              <w:top w:val="single" w:color="auto" w:sz="4" w:space="0"/>
              <w:left w:val="single" w:color="auto" w:sz="4" w:space="0"/>
              <w:bottom w:val="single" w:color="auto" w:sz="4" w:space="0"/>
              <w:right w:val="single" w:color="auto" w:sz="4" w:space="0"/>
            </w:tcBorders>
            <w:vAlign w:val="center"/>
          </w:tcPr>
          <w:p w14:paraId="0BE8B62D">
            <w:pPr>
              <w:pStyle w:val="65"/>
              <w:widowControl/>
              <w:spacing w:line="360" w:lineRule="auto"/>
              <w:ind w:firstLine="0"/>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所投产品技术参数及要求响应情况</w:t>
            </w:r>
          </w:p>
        </w:tc>
        <w:tc>
          <w:tcPr>
            <w:tcW w:w="3745" w:type="dxa"/>
            <w:tcBorders>
              <w:top w:val="single" w:color="auto" w:sz="4" w:space="0"/>
              <w:left w:val="single" w:color="auto" w:sz="4" w:space="0"/>
              <w:bottom w:val="single" w:color="auto" w:sz="4" w:space="0"/>
              <w:right w:val="single" w:color="auto" w:sz="4" w:space="0"/>
            </w:tcBorders>
            <w:vAlign w:val="center"/>
          </w:tcPr>
          <w:p w14:paraId="566E897A">
            <w:pPr>
              <w:pStyle w:val="65"/>
              <w:widowControl/>
              <w:spacing w:line="360" w:lineRule="auto"/>
              <w:ind w:firstLine="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根据技术参数及要求的响应情况进行评分，其中“</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24"/>
                <w:highlight w:val="none"/>
              </w:rPr>
              <w:t>”为</w:t>
            </w:r>
            <w:r>
              <w:rPr>
                <w:rFonts w:hint="eastAsia" w:asciiTheme="minorEastAsia" w:hAnsiTheme="minorEastAsia" w:eastAsiaTheme="minorEastAsia" w:cstheme="minorEastAsia"/>
                <w:sz w:val="24"/>
                <w:szCs w:val="24"/>
                <w:highlight w:val="none"/>
              </w:rPr>
              <w:t>重要指标项</w:t>
            </w:r>
            <w:r>
              <w:rPr>
                <w:rFonts w:hint="eastAsia" w:asciiTheme="minorEastAsia" w:hAnsiTheme="minorEastAsia" w:eastAsiaTheme="minorEastAsia" w:cstheme="minorEastAsia"/>
                <w:bCs/>
                <w:sz w:val="24"/>
                <w:szCs w:val="24"/>
                <w:highlight w:val="none"/>
              </w:rPr>
              <w:t>；</w:t>
            </w:r>
          </w:p>
          <w:p w14:paraId="101A60B0">
            <w:pPr>
              <w:pStyle w:val="65"/>
              <w:widowControl/>
              <w:spacing w:line="360" w:lineRule="auto"/>
              <w:ind w:firstLine="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1.标注“</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24"/>
                <w:highlight w:val="none"/>
              </w:rPr>
              <w:t>”的条款每有一项满足得</w:t>
            </w:r>
            <w:r>
              <w:rPr>
                <w:rFonts w:hint="eastAsia" w:asciiTheme="minorEastAsia" w:hAnsiTheme="minorEastAsia" w:eastAsiaTheme="minorEastAsia" w:cstheme="minorEastAsia"/>
                <w:bCs/>
                <w:sz w:val="24"/>
                <w:szCs w:val="24"/>
                <w:highlight w:val="none"/>
                <w:u w:val="single"/>
              </w:rPr>
              <w:t xml:space="preserve"> 2.5</w:t>
            </w:r>
            <w:r>
              <w:rPr>
                <w:rFonts w:hint="eastAsia" w:asciiTheme="minorEastAsia" w:hAnsiTheme="minorEastAsia" w:eastAsiaTheme="minorEastAsia" w:cstheme="minorEastAsia"/>
                <w:bCs/>
                <w:sz w:val="24"/>
                <w:szCs w:val="24"/>
                <w:highlight w:val="none"/>
              </w:rPr>
              <w:t>分，共</w:t>
            </w:r>
            <w:r>
              <w:rPr>
                <w:rFonts w:hint="eastAsia" w:asciiTheme="minorEastAsia" w:hAnsiTheme="minorEastAsia" w:eastAsiaTheme="minorEastAsia" w:cstheme="minorEastAsia"/>
                <w:bCs/>
                <w:sz w:val="24"/>
                <w:szCs w:val="24"/>
                <w:highlight w:val="none"/>
                <w:u w:val="single"/>
              </w:rPr>
              <w:t xml:space="preserve">  20 </w:t>
            </w:r>
            <w:r>
              <w:rPr>
                <w:rFonts w:hint="eastAsia" w:asciiTheme="minorEastAsia" w:hAnsiTheme="minorEastAsia" w:eastAsiaTheme="minorEastAsia" w:cstheme="minorEastAsia"/>
                <w:bCs/>
                <w:sz w:val="24"/>
                <w:szCs w:val="24"/>
                <w:highlight w:val="none"/>
              </w:rPr>
              <w:t>项，共计</w:t>
            </w:r>
            <w:r>
              <w:rPr>
                <w:rFonts w:hint="eastAsia" w:asciiTheme="minorEastAsia" w:hAnsiTheme="minorEastAsia" w:eastAsiaTheme="minorEastAsia" w:cstheme="minorEastAsia"/>
                <w:bCs/>
                <w:sz w:val="24"/>
                <w:szCs w:val="24"/>
                <w:highlight w:val="none"/>
                <w:u w:val="single"/>
              </w:rPr>
              <w:t xml:space="preserve"> 50  </w:t>
            </w:r>
            <w:r>
              <w:rPr>
                <w:rFonts w:hint="eastAsia" w:asciiTheme="minorEastAsia" w:hAnsiTheme="minorEastAsia" w:eastAsiaTheme="minorEastAsia" w:cstheme="minorEastAsia"/>
                <w:bCs/>
                <w:sz w:val="24"/>
                <w:szCs w:val="24"/>
                <w:highlight w:val="none"/>
              </w:rPr>
              <w:t>分。</w:t>
            </w:r>
          </w:p>
          <w:p w14:paraId="7D25A6F3">
            <w:pPr>
              <w:pStyle w:val="65"/>
              <w:widowControl/>
              <w:spacing w:line="360" w:lineRule="auto"/>
              <w:ind w:firstLine="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bCs/>
                <w:sz w:val="24"/>
                <w:szCs w:val="24"/>
                <w:highlight w:val="none"/>
              </w:rPr>
              <w:t>注：以投标响应表和“技术参数及要求”中要求提供的证明材料作为评审依据。</w:t>
            </w:r>
          </w:p>
        </w:tc>
        <w:tc>
          <w:tcPr>
            <w:tcW w:w="1581" w:type="dxa"/>
            <w:tcBorders>
              <w:top w:val="single" w:color="auto" w:sz="4" w:space="0"/>
              <w:left w:val="single" w:color="auto" w:sz="4" w:space="0"/>
              <w:bottom w:val="single" w:color="auto" w:sz="4" w:space="0"/>
              <w:right w:val="single" w:color="auto" w:sz="4" w:space="0"/>
            </w:tcBorders>
            <w:vAlign w:val="center"/>
          </w:tcPr>
          <w:p w14:paraId="34053CF9">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Cs/>
                <w:sz w:val="24"/>
                <w:szCs w:val="24"/>
                <w:highlight w:val="none"/>
              </w:rPr>
              <w:t>0-50分</w:t>
            </w:r>
          </w:p>
        </w:tc>
      </w:tr>
      <w:tr w14:paraId="6D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4CD28FE">
            <w:pPr>
              <w:spacing w:line="360" w:lineRule="auto"/>
              <w:ind w:firstLine="435"/>
              <w:jc w:val="center"/>
              <w:rPr>
                <w:rFonts w:hint="eastAsia" w:asciiTheme="minorEastAsia" w:hAnsiTheme="minorEastAsia" w:eastAsiaTheme="minorEastAsia" w:cstheme="minorEastAsia"/>
                <w:b/>
                <w:bCs/>
                <w:sz w:val="24"/>
                <w:szCs w:val="24"/>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2594D885">
            <w:pPr>
              <w:pStyle w:val="65"/>
              <w:widowControl/>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供货安装调试及技术培训方案</w:t>
            </w:r>
          </w:p>
        </w:tc>
        <w:tc>
          <w:tcPr>
            <w:tcW w:w="3745" w:type="dxa"/>
            <w:tcBorders>
              <w:top w:val="single" w:color="auto" w:sz="4" w:space="0"/>
              <w:left w:val="single" w:color="auto" w:sz="4" w:space="0"/>
              <w:bottom w:val="single" w:color="auto" w:sz="4" w:space="0"/>
              <w:right w:val="single" w:color="auto" w:sz="4" w:space="0"/>
            </w:tcBorders>
            <w:vAlign w:val="center"/>
          </w:tcPr>
          <w:p w14:paraId="637C76D5">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根据投标人所提供的供货安装调试及技术培训方案，由评标委员会进行综合评分：</w:t>
            </w:r>
          </w:p>
          <w:p w14:paraId="63690EFD">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1.方案内容完整详细，合理性和可行性利于项目实施的，得</w:t>
            </w:r>
            <w:r>
              <w:rPr>
                <w:rFonts w:hint="eastAsia" w:asciiTheme="minorEastAsia" w:hAnsiTheme="minorEastAsia" w:eastAsiaTheme="minorEastAsia" w:cstheme="minorEastAsia"/>
                <w:bCs/>
                <w:sz w:val="24"/>
                <w:szCs w:val="24"/>
                <w:highlight w:val="none"/>
                <w:u w:val="single"/>
              </w:rPr>
              <w:t xml:space="preserve"> 5 </w:t>
            </w:r>
            <w:r>
              <w:rPr>
                <w:rFonts w:hint="eastAsia" w:asciiTheme="minorEastAsia" w:hAnsiTheme="minorEastAsia" w:eastAsiaTheme="minorEastAsia" w:cstheme="minorEastAsia"/>
                <w:sz w:val="24"/>
                <w:szCs w:val="24"/>
                <w:highlight w:val="none"/>
              </w:rPr>
              <w:t>分；</w:t>
            </w:r>
          </w:p>
          <w:p w14:paraId="2EE66DC2">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2.方案内容较完整，合理性和可行性基本满足项目所需的，得</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sz w:val="24"/>
                <w:szCs w:val="24"/>
                <w:highlight w:val="none"/>
                <w:u w:val="single"/>
              </w:rPr>
              <w:t>3</w:t>
            </w:r>
            <w:r>
              <w:rPr>
                <w:rFonts w:hint="eastAsia" w:asciiTheme="minorEastAsia" w:hAnsiTheme="minorEastAsia" w:eastAsiaTheme="minorEastAsia" w:cstheme="minorEastAsia"/>
                <w:sz w:val="24"/>
                <w:szCs w:val="24"/>
                <w:highlight w:val="none"/>
              </w:rPr>
              <w:t>分；</w:t>
            </w:r>
          </w:p>
          <w:p w14:paraId="5F4EB13D">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3.方案内容较简单，合理性和可行性有待提升的，得</w:t>
            </w:r>
            <w:r>
              <w:rPr>
                <w:rFonts w:hint="eastAsia" w:asciiTheme="minorEastAsia" w:hAnsiTheme="minorEastAsia" w:eastAsiaTheme="minorEastAsia" w:cstheme="minorEastAsia"/>
                <w:bCs/>
                <w:sz w:val="24"/>
                <w:szCs w:val="24"/>
                <w:highlight w:val="none"/>
                <w:u w:val="single"/>
              </w:rPr>
              <w:t xml:space="preserve"> 1 </w:t>
            </w:r>
            <w:r>
              <w:rPr>
                <w:rFonts w:hint="eastAsia" w:asciiTheme="minorEastAsia" w:hAnsiTheme="minorEastAsia" w:eastAsiaTheme="minorEastAsia" w:cstheme="minorEastAsia"/>
                <w:sz w:val="24"/>
                <w:szCs w:val="24"/>
                <w:highlight w:val="none"/>
              </w:rPr>
              <w:t>分；</w:t>
            </w:r>
          </w:p>
          <w:p w14:paraId="6DA6D06A">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4.差或未提供方案内容的不得分。</w:t>
            </w:r>
          </w:p>
          <w:p w14:paraId="679B62C8">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方案内容包括但不限于：</w:t>
            </w:r>
          </w:p>
          <w:p w14:paraId="7CB29FD1">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（1）设备的安装、调试和试运行等设计、安装、系统集成、人员培训、维保方案合理可行性；</w:t>
            </w:r>
          </w:p>
          <w:p w14:paraId="6705FBCE">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（2）供货安装调试及技术培训方案设计的科学可行性；</w:t>
            </w:r>
          </w:p>
          <w:p w14:paraId="7E3CF1CB">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（3）安装施工质量保证及质量控制方案的科学可行性；</w:t>
            </w:r>
          </w:p>
          <w:p w14:paraId="1100F7D7">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（4）运行调试、验收方案的科学可行性；</w:t>
            </w:r>
          </w:p>
          <w:p w14:paraId="0597EB8E">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（5）技术资料交付承诺的完整性。</w:t>
            </w:r>
          </w:p>
        </w:tc>
        <w:tc>
          <w:tcPr>
            <w:tcW w:w="1581" w:type="dxa"/>
            <w:tcBorders>
              <w:top w:val="single" w:color="auto" w:sz="4" w:space="0"/>
              <w:left w:val="single" w:color="auto" w:sz="4" w:space="0"/>
              <w:bottom w:val="single" w:color="auto" w:sz="4" w:space="0"/>
              <w:right w:val="single" w:color="auto" w:sz="4" w:space="0"/>
            </w:tcBorders>
            <w:vAlign w:val="center"/>
          </w:tcPr>
          <w:p w14:paraId="717D62A7">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bCs/>
                <w:sz w:val="24"/>
                <w:szCs w:val="24"/>
                <w:highlight w:val="none"/>
              </w:rPr>
              <w:t>5</w:t>
            </w:r>
            <w:r>
              <w:rPr>
                <w:rFonts w:hint="eastAsia" w:asciiTheme="minorEastAsia" w:hAnsiTheme="minorEastAsia" w:eastAsiaTheme="minorEastAsia" w:cstheme="minorEastAsia"/>
                <w:sz w:val="24"/>
                <w:szCs w:val="24"/>
                <w:highlight w:val="none"/>
              </w:rPr>
              <w:t>分</w:t>
            </w:r>
          </w:p>
        </w:tc>
      </w:tr>
      <w:tr w14:paraId="2385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E0073F4">
            <w:pPr>
              <w:spacing w:line="360" w:lineRule="auto"/>
              <w:ind w:firstLine="435"/>
              <w:jc w:val="center"/>
              <w:rPr>
                <w:rFonts w:hint="eastAsia" w:asciiTheme="minorEastAsia" w:hAnsiTheme="minorEastAsia" w:eastAsiaTheme="minorEastAsia" w:cstheme="minorEastAsia"/>
                <w:b/>
                <w:bCs/>
                <w:sz w:val="24"/>
                <w:szCs w:val="24"/>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6193202C">
            <w:pPr>
              <w:pStyle w:val="65"/>
              <w:widowControl/>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售后服务与维保方案</w:t>
            </w:r>
          </w:p>
        </w:tc>
        <w:tc>
          <w:tcPr>
            <w:tcW w:w="3745" w:type="dxa"/>
            <w:tcBorders>
              <w:top w:val="single" w:color="auto" w:sz="4" w:space="0"/>
              <w:left w:val="single" w:color="auto" w:sz="4" w:space="0"/>
              <w:bottom w:val="single" w:color="auto" w:sz="4" w:space="0"/>
              <w:right w:val="single" w:color="auto" w:sz="4" w:space="0"/>
            </w:tcBorders>
            <w:vAlign w:val="center"/>
          </w:tcPr>
          <w:p w14:paraId="4DD70CB3">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供应商针对项目特点、结合采购需求内容提供完整的售后服务方案（产品升级承诺、系统运维服务方案、售后响应处理速度承诺、数据质量监测人员服务承诺等），评委根据供应商提供的售后方案内容进行评分：</w:t>
            </w:r>
          </w:p>
          <w:p w14:paraId="3CF702E3">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1、方案详细全面，安排完善，可行性、实用性强，得 5 分；</w:t>
            </w:r>
          </w:p>
          <w:p w14:paraId="54818C05">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2、方案明确，具有可行性、实用性，得 3 分；</w:t>
            </w:r>
          </w:p>
          <w:p w14:paraId="7144F199">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3、方案可行性、实用性有待改善，得 1 分；</w:t>
            </w:r>
          </w:p>
          <w:p w14:paraId="3799993F">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4、方案不可行或者未提供相关内容的不得分。</w:t>
            </w:r>
          </w:p>
        </w:tc>
        <w:tc>
          <w:tcPr>
            <w:tcW w:w="1581" w:type="dxa"/>
            <w:tcBorders>
              <w:top w:val="single" w:color="auto" w:sz="4" w:space="0"/>
              <w:left w:val="single" w:color="auto" w:sz="4" w:space="0"/>
              <w:bottom w:val="single" w:color="auto" w:sz="4" w:space="0"/>
              <w:right w:val="single" w:color="auto" w:sz="4" w:space="0"/>
            </w:tcBorders>
            <w:vAlign w:val="center"/>
          </w:tcPr>
          <w:p w14:paraId="5CD722D8">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bCs/>
                <w:sz w:val="24"/>
                <w:szCs w:val="24"/>
                <w:highlight w:val="none"/>
              </w:rPr>
              <w:t>5</w:t>
            </w:r>
            <w:r>
              <w:rPr>
                <w:rFonts w:hint="eastAsia" w:asciiTheme="minorEastAsia" w:hAnsiTheme="minorEastAsia" w:eastAsiaTheme="minorEastAsia" w:cstheme="minorEastAsia"/>
                <w:sz w:val="24"/>
                <w:szCs w:val="24"/>
                <w:highlight w:val="none"/>
              </w:rPr>
              <w:t>分</w:t>
            </w:r>
          </w:p>
        </w:tc>
      </w:tr>
      <w:tr w14:paraId="74F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D05A12D">
            <w:pPr>
              <w:spacing w:line="360" w:lineRule="auto"/>
              <w:ind w:firstLine="435"/>
              <w:jc w:val="center"/>
              <w:rPr>
                <w:rFonts w:hint="eastAsia" w:asciiTheme="minorEastAsia" w:hAnsiTheme="minorEastAsia" w:eastAsiaTheme="minorEastAsia" w:cstheme="minorEastAsia"/>
                <w:b/>
                <w:bCs/>
                <w:sz w:val="24"/>
                <w:szCs w:val="24"/>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65E868BD">
            <w:pPr>
              <w:pStyle w:val="65"/>
              <w:widowControl/>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质保期</w:t>
            </w:r>
          </w:p>
        </w:tc>
        <w:tc>
          <w:tcPr>
            <w:tcW w:w="3745" w:type="dxa"/>
            <w:tcBorders>
              <w:top w:val="single" w:color="auto" w:sz="4" w:space="0"/>
              <w:left w:val="single" w:color="auto" w:sz="4" w:space="0"/>
              <w:bottom w:val="single" w:color="auto" w:sz="4" w:space="0"/>
              <w:right w:val="single" w:color="auto" w:sz="4" w:space="0"/>
            </w:tcBorders>
            <w:vAlign w:val="center"/>
          </w:tcPr>
          <w:p w14:paraId="2A1C7CE3">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投标人在满足招标文件要求的免费质保期基础上，所投包别中的所有产品免费质保期每增加</w:t>
            </w:r>
            <w:r>
              <w:rPr>
                <w:rFonts w:hint="eastAsia" w:asciiTheme="minorEastAsia" w:hAnsiTheme="minorEastAsia" w:eastAsiaTheme="minorEastAsia" w:cstheme="minorEastAsia"/>
                <w:sz w:val="24"/>
                <w:szCs w:val="24"/>
                <w:highlight w:val="none"/>
                <w:u w:val="single"/>
              </w:rPr>
              <w:t xml:space="preserve"> 1 </w:t>
            </w:r>
            <w:r>
              <w:rPr>
                <w:rFonts w:hint="eastAsia" w:asciiTheme="minorEastAsia" w:hAnsiTheme="minorEastAsia" w:eastAsiaTheme="minorEastAsia" w:cstheme="minorEastAsia"/>
                <w:sz w:val="24"/>
                <w:szCs w:val="24"/>
                <w:highlight w:val="none"/>
              </w:rPr>
              <w:t>年得</w:t>
            </w:r>
            <w:r>
              <w:rPr>
                <w:rFonts w:hint="eastAsia" w:asciiTheme="minorEastAsia" w:hAnsiTheme="minorEastAsia" w:eastAsiaTheme="minorEastAsia" w:cstheme="minorEastAsia"/>
                <w:sz w:val="24"/>
                <w:szCs w:val="24"/>
                <w:highlight w:val="none"/>
                <w:u w:val="single"/>
              </w:rPr>
              <w:t xml:space="preserve"> 1 </w:t>
            </w:r>
            <w:r>
              <w:rPr>
                <w:rFonts w:hint="eastAsia" w:asciiTheme="minorEastAsia" w:hAnsiTheme="minorEastAsia" w:eastAsiaTheme="minorEastAsia" w:cstheme="minorEastAsia"/>
                <w:sz w:val="24"/>
                <w:szCs w:val="24"/>
                <w:highlight w:val="none"/>
              </w:rPr>
              <w:t>分（不足1年的部分或仅对部分产品增加的不得分），最高得</w:t>
            </w:r>
            <w:r>
              <w:rPr>
                <w:rFonts w:hint="eastAsia" w:asciiTheme="minorEastAsia" w:hAnsiTheme="minorEastAsia" w:eastAsiaTheme="minorEastAsia" w:cstheme="minorEastAsia"/>
                <w:sz w:val="24"/>
                <w:szCs w:val="24"/>
                <w:highlight w:val="none"/>
                <w:u w:val="single"/>
              </w:rPr>
              <w:t xml:space="preserve"> 3 </w:t>
            </w:r>
            <w:r>
              <w:rPr>
                <w:rFonts w:hint="eastAsia" w:asciiTheme="minorEastAsia" w:hAnsiTheme="minorEastAsia" w:eastAsiaTheme="minorEastAsia" w:cstheme="minorEastAsia"/>
                <w:sz w:val="24"/>
                <w:szCs w:val="24"/>
                <w:highlight w:val="none"/>
              </w:rPr>
              <w:t>分。</w:t>
            </w:r>
          </w:p>
          <w:p w14:paraId="343ACA81">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注：以投标响应表中承诺的免费质保期或书面承诺作为评审依据。</w:t>
            </w:r>
          </w:p>
        </w:tc>
        <w:tc>
          <w:tcPr>
            <w:tcW w:w="1581" w:type="dxa"/>
            <w:tcBorders>
              <w:top w:val="single" w:color="auto" w:sz="4" w:space="0"/>
              <w:left w:val="single" w:color="auto" w:sz="4" w:space="0"/>
              <w:bottom w:val="single" w:color="auto" w:sz="4" w:space="0"/>
              <w:right w:val="single" w:color="auto" w:sz="4" w:space="0"/>
            </w:tcBorders>
            <w:vAlign w:val="center"/>
          </w:tcPr>
          <w:p w14:paraId="234B9436">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bCs/>
                <w:sz w:val="24"/>
                <w:szCs w:val="24"/>
                <w:highlight w:val="none"/>
              </w:rPr>
              <w:t>3</w:t>
            </w:r>
            <w:r>
              <w:rPr>
                <w:rFonts w:hint="eastAsia" w:asciiTheme="minorEastAsia" w:hAnsiTheme="minorEastAsia" w:eastAsiaTheme="minorEastAsia" w:cstheme="minorEastAsia"/>
                <w:sz w:val="24"/>
                <w:szCs w:val="24"/>
                <w:highlight w:val="none"/>
              </w:rPr>
              <w:t>分</w:t>
            </w:r>
          </w:p>
        </w:tc>
      </w:tr>
      <w:tr w14:paraId="264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18050C9">
            <w:pPr>
              <w:spacing w:line="360" w:lineRule="auto"/>
              <w:ind w:firstLine="435"/>
              <w:jc w:val="center"/>
              <w:rPr>
                <w:rFonts w:hint="eastAsia" w:asciiTheme="minorEastAsia" w:hAnsiTheme="minorEastAsia" w:eastAsiaTheme="minorEastAsia" w:cstheme="minorEastAsia"/>
                <w:b/>
                <w:bCs/>
                <w:sz w:val="24"/>
                <w:szCs w:val="24"/>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504FC557">
            <w:pPr>
              <w:pStyle w:val="65"/>
              <w:widowControl/>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管理体系认证</w:t>
            </w:r>
          </w:p>
        </w:tc>
        <w:tc>
          <w:tcPr>
            <w:tcW w:w="3745" w:type="dxa"/>
            <w:tcBorders>
              <w:top w:val="single" w:color="auto" w:sz="4" w:space="0"/>
              <w:left w:val="single" w:color="auto" w:sz="4" w:space="0"/>
              <w:bottom w:val="single" w:color="auto" w:sz="4" w:space="0"/>
              <w:right w:val="single" w:color="auto" w:sz="4" w:space="0"/>
            </w:tcBorders>
            <w:vAlign w:val="center"/>
          </w:tcPr>
          <w:p w14:paraId="06485FE9">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投标人具有经中国国家认证认可监督管理委员会认证机构颁发的有效期内的下列体系认证的：</w:t>
            </w:r>
          </w:p>
          <w:p w14:paraId="6D6CE750">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1.质量管理体系认证，得</w:t>
            </w:r>
            <w:r>
              <w:rPr>
                <w:rFonts w:hint="eastAsia" w:asciiTheme="minorEastAsia" w:hAnsiTheme="minorEastAsia" w:eastAsiaTheme="minorEastAsia" w:cstheme="minorEastAsia"/>
                <w:sz w:val="24"/>
                <w:szCs w:val="24"/>
                <w:highlight w:val="none"/>
                <w:u w:val="single"/>
              </w:rPr>
              <w:t xml:space="preserve"> 1 </w:t>
            </w:r>
            <w:r>
              <w:rPr>
                <w:rFonts w:hint="eastAsia" w:asciiTheme="minorEastAsia" w:hAnsiTheme="minorEastAsia" w:eastAsiaTheme="minorEastAsia" w:cstheme="minorEastAsia"/>
                <w:sz w:val="24"/>
                <w:szCs w:val="24"/>
                <w:highlight w:val="none"/>
              </w:rPr>
              <w:t>分。</w:t>
            </w:r>
          </w:p>
          <w:p w14:paraId="75AE741E">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2.环境管理体系认证，得</w:t>
            </w:r>
            <w:r>
              <w:rPr>
                <w:rFonts w:hint="eastAsia" w:asciiTheme="minorEastAsia" w:hAnsiTheme="minorEastAsia" w:eastAsiaTheme="minorEastAsia" w:cstheme="minorEastAsia"/>
                <w:sz w:val="24"/>
                <w:szCs w:val="24"/>
                <w:highlight w:val="none"/>
                <w:u w:val="single"/>
              </w:rPr>
              <w:t xml:space="preserve"> 1 </w:t>
            </w:r>
            <w:r>
              <w:rPr>
                <w:rFonts w:hint="eastAsia" w:asciiTheme="minorEastAsia" w:hAnsiTheme="minorEastAsia" w:eastAsiaTheme="minorEastAsia" w:cstheme="minorEastAsia"/>
                <w:sz w:val="24"/>
                <w:szCs w:val="24"/>
                <w:highlight w:val="none"/>
              </w:rPr>
              <w:t>分。</w:t>
            </w:r>
          </w:p>
          <w:p w14:paraId="34AE9CA6">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3.职业健康安全管理体系认证，得</w:t>
            </w:r>
            <w:r>
              <w:rPr>
                <w:rFonts w:hint="eastAsia" w:asciiTheme="minorEastAsia" w:hAnsiTheme="minorEastAsia" w:eastAsiaTheme="minorEastAsia" w:cstheme="minorEastAsia"/>
                <w:sz w:val="24"/>
                <w:szCs w:val="24"/>
                <w:highlight w:val="none"/>
                <w:u w:val="single"/>
              </w:rPr>
              <w:t xml:space="preserve"> 1 </w:t>
            </w:r>
            <w:r>
              <w:rPr>
                <w:rFonts w:hint="eastAsia" w:asciiTheme="minorEastAsia" w:hAnsiTheme="minorEastAsia" w:eastAsiaTheme="minorEastAsia" w:cstheme="minorEastAsia"/>
                <w:sz w:val="24"/>
                <w:szCs w:val="24"/>
                <w:highlight w:val="none"/>
              </w:rPr>
              <w:t>分。</w:t>
            </w:r>
          </w:p>
          <w:p w14:paraId="46847656">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注：响应文件中提供有效期内证书扫描件或影印件。</w:t>
            </w:r>
          </w:p>
        </w:tc>
        <w:tc>
          <w:tcPr>
            <w:tcW w:w="1581" w:type="dxa"/>
            <w:tcBorders>
              <w:top w:val="single" w:color="auto" w:sz="4" w:space="0"/>
              <w:left w:val="single" w:color="auto" w:sz="4" w:space="0"/>
              <w:bottom w:val="single" w:color="auto" w:sz="4" w:space="0"/>
              <w:right w:val="single" w:color="auto" w:sz="4" w:space="0"/>
            </w:tcBorders>
            <w:vAlign w:val="center"/>
          </w:tcPr>
          <w:p w14:paraId="7ADB3E7E">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0-</w:t>
            </w:r>
            <w:r>
              <w:rPr>
                <w:rFonts w:hint="eastAsia" w:asciiTheme="minorEastAsia" w:hAnsiTheme="minorEastAsia" w:eastAsiaTheme="minorEastAsia" w:cstheme="minorEastAsia"/>
                <w:bCs/>
                <w:sz w:val="24"/>
                <w:szCs w:val="24"/>
                <w:highlight w:val="none"/>
              </w:rPr>
              <w:t>3</w:t>
            </w:r>
            <w:r>
              <w:rPr>
                <w:rFonts w:hint="eastAsia" w:asciiTheme="minorEastAsia" w:hAnsiTheme="minorEastAsia" w:eastAsiaTheme="minorEastAsia" w:cstheme="minorEastAsia"/>
                <w:sz w:val="24"/>
                <w:szCs w:val="24"/>
                <w:highlight w:val="none"/>
              </w:rPr>
              <w:t>分</w:t>
            </w:r>
          </w:p>
        </w:tc>
      </w:tr>
      <w:tr w14:paraId="11A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3EA56FA">
            <w:pPr>
              <w:spacing w:line="360" w:lineRule="auto"/>
              <w:ind w:firstLine="435"/>
              <w:jc w:val="center"/>
              <w:rPr>
                <w:rFonts w:hint="eastAsia" w:asciiTheme="minorEastAsia" w:hAnsiTheme="minorEastAsia" w:eastAsiaTheme="minorEastAsia" w:cstheme="minorEastAsia"/>
                <w:b/>
                <w:bCs/>
                <w:sz w:val="24"/>
                <w:szCs w:val="24"/>
                <w:highlight w:val="none"/>
              </w:rPr>
            </w:pPr>
          </w:p>
        </w:tc>
        <w:tc>
          <w:tcPr>
            <w:tcW w:w="1720" w:type="dxa"/>
            <w:tcBorders>
              <w:top w:val="single" w:color="auto" w:sz="4" w:space="0"/>
              <w:left w:val="single" w:color="auto" w:sz="4" w:space="0"/>
              <w:bottom w:val="single" w:color="auto" w:sz="4" w:space="0"/>
              <w:right w:val="single" w:color="auto" w:sz="4" w:space="0"/>
            </w:tcBorders>
            <w:vAlign w:val="center"/>
          </w:tcPr>
          <w:p w14:paraId="01C08726">
            <w:pPr>
              <w:pStyle w:val="65"/>
              <w:widowControl/>
              <w:spacing w:line="360" w:lineRule="auto"/>
              <w:ind w:firstLine="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投标人业绩</w:t>
            </w:r>
          </w:p>
        </w:tc>
        <w:tc>
          <w:tcPr>
            <w:tcW w:w="3745" w:type="dxa"/>
            <w:tcBorders>
              <w:top w:val="single" w:color="auto" w:sz="4" w:space="0"/>
              <w:left w:val="single" w:color="auto" w:sz="4" w:space="0"/>
              <w:bottom w:val="single" w:color="auto" w:sz="4" w:space="0"/>
              <w:right w:val="single" w:color="auto" w:sz="4" w:space="0"/>
            </w:tcBorders>
            <w:vAlign w:val="center"/>
          </w:tcPr>
          <w:p w14:paraId="0089E91C">
            <w:pPr>
              <w:pStyle w:val="65"/>
              <w:widowControl/>
              <w:spacing w:line="360" w:lineRule="auto"/>
              <w:ind w:firstLine="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自</w:t>
            </w:r>
            <w:r>
              <w:rPr>
                <w:rFonts w:hint="eastAsia" w:asciiTheme="minorEastAsia" w:hAnsiTheme="minorEastAsia" w:eastAsiaTheme="minorEastAsia" w:cstheme="minorEastAsia"/>
                <w:bCs/>
                <w:sz w:val="24"/>
                <w:szCs w:val="24"/>
                <w:highlight w:val="none"/>
              </w:rPr>
              <w:t>2023</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bCs/>
                <w:sz w:val="24"/>
                <w:szCs w:val="24"/>
                <w:highlight w:val="none"/>
              </w:rPr>
              <w:t>1</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bCs/>
                <w:sz w:val="24"/>
                <w:szCs w:val="24"/>
                <w:highlight w:val="none"/>
              </w:rPr>
              <w:t>1</w:t>
            </w:r>
            <w:r>
              <w:rPr>
                <w:rFonts w:hint="eastAsia" w:asciiTheme="minorEastAsia" w:hAnsiTheme="minorEastAsia" w:eastAsiaTheme="minorEastAsia" w:cstheme="minorEastAsia"/>
                <w:sz w:val="24"/>
                <w:szCs w:val="24"/>
                <w:highlight w:val="none"/>
              </w:rPr>
              <w:t>日以来（以合同签订时间为准），</w:t>
            </w:r>
            <w:r>
              <w:rPr>
                <w:rFonts w:hint="eastAsia" w:asciiTheme="minorEastAsia" w:hAnsiTheme="minorEastAsia" w:eastAsiaTheme="minorEastAsia" w:cstheme="minorEastAsia"/>
                <w:bCs/>
                <w:sz w:val="24"/>
                <w:szCs w:val="24"/>
                <w:highlight w:val="none"/>
              </w:rPr>
              <w:t>具有工业互联网或工业网络实训室类项目供货及安装项目业绩的，每个业绩得</w:t>
            </w:r>
            <w:r>
              <w:rPr>
                <w:rFonts w:hint="eastAsia" w:asciiTheme="minorEastAsia" w:hAnsiTheme="minorEastAsia" w:eastAsiaTheme="minorEastAsia" w:cstheme="minorEastAsia"/>
                <w:bCs/>
                <w:sz w:val="24"/>
                <w:szCs w:val="24"/>
                <w:highlight w:val="none"/>
                <w:u w:val="single"/>
              </w:rPr>
              <w:t xml:space="preserve"> 2</w:t>
            </w:r>
            <w:r>
              <w:rPr>
                <w:rFonts w:hint="eastAsia" w:asciiTheme="minorEastAsia" w:hAnsiTheme="minorEastAsia" w:eastAsiaTheme="minorEastAsia" w:cstheme="minorEastAsia"/>
                <w:bCs/>
                <w:sz w:val="24"/>
                <w:szCs w:val="24"/>
                <w:highlight w:val="none"/>
              </w:rPr>
              <w:t>分，</w:t>
            </w:r>
            <w:r>
              <w:rPr>
                <w:rFonts w:hint="eastAsia" w:asciiTheme="minorEastAsia" w:hAnsiTheme="minorEastAsia" w:eastAsiaTheme="minorEastAsia" w:cstheme="minorEastAsia"/>
                <w:sz w:val="24"/>
                <w:szCs w:val="24"/>
                <w:highlight w:val="none"/>
              </w:rPr>
              <w:t>最高得</w:t>
            </w:r>
            <w:r>
              <w:rPr>
                <w:rFonts w:hint="eastAsia" w:asciiTheme="minorEastAsia" w:hAnsiTheme="minorEastAsia" w:eastAsiaTheme="minorEastAsia" w:cstheme="minorEastAsia"/>
                <w:bCs/>
                <w:sz w:val="24"/>
                <w:szCs w:val="24"/>
                <w:highlight w:val="none"/>
                <w:u w:val="single"/>
              </w:rPr>
              <w:t xml:space="preserve"> 4</w:t>
            </w:r>
            <w:r>
              <w:rPr>
                <w:rFonts w:hint="eastAsia" w:asciiTheme="minorEastAsia" w:hAnsiTheme="minorEastAsia" w:eastAsiaTheme="minorEastAsia" w:cstheme="minorEastAsia"/>
                <w:bCs/>
                <w:sz w:val="24"/>
                <w:szCs w:val="24"/>
                <w:highlight w:val="none"/>
              </w:rPr>
              <w:t>分。</w:t>
            </w:r>
          </w:p>
          <w:p w14:paraId="24698141">
            <w:pPr>
              <w:pStyle w:val="65"/>
              <w:widowControl/>
              <w:spacing w:line="360" w:lineRule="auto"/>
              <w:ind w:firstLine="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注：投标文件中提供业绩合同和盖章验收证明材料扫描件，若合同或验收证明材料中无法体现签订时间、产品品牌种类、供货内容等关键评审因素的，须同时提供业主（合同甲方）证明材料，否则该业绩不予认可。</w:t>
            </w:r>
          </w:p>
        </w:tc>
        <w:tc>
          <w:tcPr>
            <w:tcW w:w="1581" w:type="dxa"/>
            <w:tcBorders>
              <w:top w:val="single" w:color="auto" w:sz="4" w:space="0"/>
              <w:left w:val="single" w:color="auto" w:sz="4" w:space="0"/>
              <w:bottom w:val="single" w:color="auto" w:sz="4" w:space="0"/>
              <w:right w:val="single" w:color="auto" w:sz="4" w:space="0"/>
            </w:tcBorders>
            <w:vAlign w:val="center"/>
          </w:tcPr>
          <w:p w14:paraId="6D1752F4">
            <w:pPr>
              <w:pStyle w:val="65"/>
              <w:widowControl/>
              <w:spacing w:line="360" w:lineRule="auto"/>
              <w:ind w:firstLine="0"/>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Cs/>
                <w:sz w:val="24"/>
                <w:szCs w:val="24"/>
                <w:highlight w:val="none"/>
              </w:rPr>
              <w:t>0-4分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tcBorders>
              <w:left w:val="single" w:color="auto" w:sz="4" w:space="0"/>
              <w:right w:val="single" w:color="auto" w:sz="4" w:space="0"/>
            </w:tcBorders>
            <w:vAlign w:val="center"/>
          </w:tcPr>
          <w:p w14:paraId="4DFF79FC">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价格分</w:t>
            </w:r>
          </w:p>
          <w:p w14:paraId="462C62B4">
            <w:pPr>
              <w:spacing w:line="360" w:lineRule="auto"/>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rPr>
              <w:t>30</w:t>
            </w:r>
            <w:r>
              <w:rPr>
                <w:rFonts w:hint="eastAsia" w:asciiTheme="minorEastAsia" w:hAnsiTheme="minorEastAsia" w:eastAsiaTheme="minorEastAsia" w:cstheme="minorEastAsia"/>
                <w:sz w:val="24"/>
                <w:szCs w:val="24"/>
                <w:highlight w:val="none"/>
              </w:rPr>
              <w:t>分）</w:t>
            </w: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12E83CD3">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stheme="minorEastAsia"/>
                <w:sz w:val="24"/>
                <w:szCs w:val="24"/>
                <w:highlight w:val="none"/>
                <w:u w:val="single"/>
              </w:rPr>
              <w:t>30</w:t>
            </w:r>
            <w:r>
              <w:rPr>
                <w:rFonts w:hint="eastAsia" w:asciiTheme="minorEastAsia" w:hAnsiTheme="minorEastAsia" w:eastAsiaTheme="minorEastAsia" w:cstheme="minorEastAsia"/>
                <w:sz w:val="24"/>
                <w:szCs w:val="24"/>
                <w:highlight w:val="none"/>
              </w:rPr>
              <w:t>分。其他投标人的价格分统一按照下列公式计算：</w:t>
            </w:r>
          </w:p>
          <w:p w14:paraId="6399CD59">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投标报价得分＝（评标基准价/投标报价）×</w:t>
            </w:r>
            <w:r>
              <w:rPr>
                <w:rFonts w:hint="eastAsia" w:asciiTheme="minorEastAsia" w:hAnsiTheme="minorEastAsia" w:eastAsiaTheme="minorEastAsia" w:cstheme="minorEastAsia"/>
                <w:sz w:val="24"/>
                <w:szCs w:val="24"/>
                <w:highlight w:val="none"/>
                <w:u w:val="single"/>
              </w:rPr>
              <w:t>30</w:t>
            </w:r>
            <w:r>
              <w:rPr>
                <w:rFonts w:hint="eastAsia" w:asciiTheme="minorEastAsia" w:hAnsiTheme="minorEastAsia" w:eastAsiaTheme="minorEastAsia" w:cstheme="minorEastAsia"/>
                <w:sz w:val="24"/>
                <w:szCs w:val="24"/>
                <w:highlight w:val="none"/>
              </w:rPr>
              <w:t>％×100</w:t>
            </w:r>
          </w:p>
        </w:tc>
      </w:tr>
    </w:tbl>
    <w:p w14:paraId="128AA9EB">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分值汇总</w:t>
      </w:r>
    </w:p>
    <w:p w14:paraId="22AEEC20">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评标委员会各成员应当独立对每个</w:t>
      </w:r>
      <w:r>
        <w:rPr>
          <w:rFonts w:hint="eastAsia" w:asciiTheme="minorEastAsia" w:hAnsiTheme="minorEastAsia" w:eastAsiaTheme="minorEastAsia"/>
          <w:sz w:val="24"/>
          <w:highlight w:val="none"/>
        </w:rPr>
        <w:t>有效</w:t>
      </w:r>
      <w:r>
        <w:rPr>
          <w:rFonts w:asciiTheme="minorEastAsia" w:hAnsiTheme="minorEastAsia" w:eastAsiaTheme="minorEastAsia"/>
          <w:sz w:val="24"/>
          <w:highlight w:val="none"/>
        </w:rPr>
        <w:t>投标人的投标文件进行评</w:t>
      </w:r>
      <w:r>
        <w:rPr>
          <w:rFonts w:hint="eastAsia" w:asciiTheme="minorEastAsia" w:hAnsiTheme="minorEastAsia" w:eastAsiaTheme="minorEastAsia"/>
          <w:sz w:val="24"/>
          <w:highlight w:val="none"/>
        </w:rPr>
        <w:t>分</w:t>
      </w:r>
      <w:r>
        <w:rPr>
          <w:rFonts w:asciiTheme="minorEastAsia" w:hAnsiTheme="minorEastAsia" w:eastAsiaTheme="minorEastAsia"/>
          <w:sz w:val="24"/>
          <w:highlight w:val="none"/>
        </w:rPr>
        <w:t>，并汇总每个投</w:t>
      </w:r>
      <w:r>
        <w:rPr>
          <w:rFonts w:hint="eastAsia" w:asciiTheme="minorEastAsia" w:hAnsiTheme="minorEastAsia" w:eastAsiaTheme="minorEastAsia"/>
          <w:sz w:val="24"/>
          <w:highlight w:val="none"/>
        </w:rPr>
        <w:t>标人的得分。取各位评委评分之平均值，四舍五入保留至小数点后两位数，</w:t>
      </w:r>
      <w:r>
        <w:rPr>
          <w:rFonts w:asciiTheme="minorEastAsia" w:hAnsiTheme="minorEastAsia" w:eastAsiaTheme="minorEastAsia"/>
          <w:sz w:val="24"/>
          <w:highlight w:val="none"/>
        </w:rPr>
        <w:t>得到该投标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的技术资信分</w:t>
      </w:r>
      <w:r>
        <w:rPr>
          <w:rFonts w:hint="eastAsia" w:asciiTheme="minorEastAsia" w:hAnsiTheme="minorEastAsia" w:eastAsiaTheme="minorEastAsia"/>
          <w:sz w:val="24"/>
          <w:highlight w:val="none"/>
        </w:rPr>
        <w:t>。</w:t>
      </w:r>
    </w:p>
    <w:p w14:paraId="641BF9D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将投标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的技术资信分加上根据上述标准计算出的价格分，即为该投标</w:t>
      </w:r>
      <w:r>
        <w:rPr>
          <w:rFonts w:hint="eastAsia" w:asciiTheme="minorEastAsia" w:hAnsiTheme="minorEastAsia" w:eastAsiaTheme="minorEastAsia"/>
          <w:sz w:val="24"/>
          <w:highlight w:val="none"/>
        </w:rPr>
        <w:t>人</w:t>
      </w:r>
      <w:r>
        <w:rPr>
          <w:rFonts w:asciiTheme="minorEastAsia" w:hAnsiTheme="minorEastAsia" w:eastAsiaTheme="minorEastAsia"/>
          <w:sz w:val="24"/>
          <w:highlight w:val="none"/>
        </w:rPr>
        <w:t>的综合总得分。</w:t>
      </w:r>
      <w:r>
        <w:rPr>
          <w:rFonts w:asciiTheme="minorEastAsia" w:hAnsiTheme="minorEastAsia" w:eastAsiaTheme="minorEastAsia"/>
          <w:sz w:val="24"/>
          <w:highlight w:val="none"/>
        </w:rPr>
        <w:br w:type="page"/>
      </w:r>
    </w:p>
    <w:p w14:paraId="4DD94BDF">
      <w:pPr>
        <w:spacing w:line="360" w:lineRule="auto"/>
        <w:jc w:val="center"/>
        <w:outlineLvl w:val="0"/>
        <w:rPr>
          <w:rFonts w:hint="eastAsia" w:asciiTheme="minorEastAsia" w:hAnsiTheme="minorEastAsia" w:eastAsiaTheme="minorEastAsia"/>
          <w:b/>
          <w:sz w:val="28"/>
          <w:highlight w:val="none"/>
        </w:rPr>
      </w:pPr>
      <w:bookmarkStart w:id="54" w:name="_Toc4682"/>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54"/>
    </w:p>
    <w:p w14:paraId="481E7F4D">
      <w:pPr>
        <w:pStyle w:val="2"/>
        <w:spacing w:after="0" w:line="360" w:lineRule="auto"/>
        <w:rPr>
          <w:rFonts w:hint="eastAsia" w:ascii="宋体" w:hAnsi="宋体" w:eastAsia="宋体" w:cs="宋体"/>
          <w:b/>
          <w:bCs/>
          <w:spacing w:val="-20"/>
          <w:kern w:val="44"/>
          <w:sz w:val="24"/>
          <w:highlight w:val="none"/>
        </w:rPr>
      </w:pPr>
    </w:p>
    <w:p w14:paraId="6C024A07">
      <w:pPr>
        <w:pStyle w:val="2"/>
        <w:spacing w:after="0" w:line="360" w:lineRule="auto"/>
        <w:jc w:val="center"/>
        <w:rPr>
          <w:rFonts w:hint="eastAsia" w:ascii="宋体" w:hAnsi="宋体" w:eastAsia="宋体" w:cs="宋体"/>
          <w:b/>
          <w:bCs/>
          <w:spacing w:val="-20"/>
          <w:kern w:val="44"/>
          <w:sz w:val="24"/>
          <w:highlight w:val="none"/>
        </w:rPr>
      </w:pPr>
    </w:p>
    <w:p w14:paraId="1948CBD0">
      <w:pPr>
        <w:pStyle w:val="2"/>
        <w:spacing w:after="0" w:line="360" w:lineRule="auto"/>
        <w:jc w:val="center"/>
        <w:rPr>
          <w:rFonts w:hint="eastAsia" w:ascii="宋体" w:hAnsi="宋体" w:eastAsia="宋体" w:cs="宋体"/>
          <w:b/>
          <w:bCs/>
          <w:spacing w:val="-20"/>
          <w:kern w:val="44"/>
          <w:sz w:val="24"/>
          <w:highlight w:val="none"/>
        </w:rPr>
      </w:pPr>
    </w:p>
    <w:p w14:paraId="2C82C013">
      <w:pPr>
        <w:pStyle w:val="2"/>
        <w:spacing w:after="0" w:line="360" w:lineRule="auto"/>
        <w:jc w:val="center"/>
        <w:rPr>
          <w:rFonts w:hint="eastAsia" w:ascii="宋体" w:hAnsi="宋体" w:eastAsia="宋体" w:cs="宋体"/>
          <w:b/>
          <w:bCs/>
          <w:spacing w:val="-20"/>
          <w:kern w:val="44"/>
          <w:sz w:val="24"/>
          <w:highlight w:val="none"/>
        </w:rPr>
      </w:pPr>
    </w:p>
    <w:p w14:paraId="6E3DD6F2">
      <w:pPr>
        <w:spacing w:line="360" w:lineRule="auto"/>
        <w:rPr>
          <w:rFonts w:hint="eastAsia" w:ascii="宋体" w:hAnsi="宋体" w:eastAsia="宋体" w:cs="宋体"/>
          <w:b/>
          <w:bCs/>
          <w:spacing w:val="-20"/>
          <w:kern w:val="44"/>
          <w:sz w:val="24"/>
          <w:szCs w:val="24"/>
          <w:highlight w:val="none"/>
        </w:rPr>
      </w:pPr>
    </w:p>
    <w:p w14:paraId="69AE4AF1">
      <w:pPr>
        <w:pStyle w:val="2"/>
        <w:rPr>
          <w:rFonts w:hint="eastAsia" w:ascii="宋体" w:hAnsi="宋体" w:eastAsia="宋体" w:cs="宋体"/>
          <w:b/>
          <w:bCs/>
          <w:spacing w:val="-20"/>
          <w:kern w:val="44"/>
          <w:sz w:val="24"/>
          <w:highlight w:val="none"/>
        </w:rPr>
      </w:pPr>
    </w:p>
    <w:p w14:paraId="1DCC0BE9">
      <w:pPr>
        <w:pStyle w:val="2"/>
        <w:rPr>
          <w:rFonts w:hint="eastAsia" w:ascii="宋体" w:hAnsi="宋体" w:eastAsia="宋体" w:cs="宋体"/>
          <w:b/>
          <w:bCs/>
          <w:spacing w:val="-20"/>
          <w:kern w:val="44"/>
          <w:sz w:val="24"/>
          <w:highlight w:val="none"/>
        </w:rPr>
      </w:pPr>
    </w:p>
    <w:p w14:paraId="49ADC794">
      <w:pPr>
        <w:spacing w:line="360" w:lineRule="auto"/>
        <w:rPr>
          <w:rFonts w:hint="eastAsia" w:ascii="宋体" w:hAnsi="宋体" w:eastAsia="宋体" w:cs="宋体"/>
          <w:b/>
          <w:bCs/>
          <w:spacing w:val="-20"/>
          <w:kern w:val="44"/>
          <w:sz w:val="24"/>
          <w:szCs w:val="24"/>
          <w:highlight w:val="none"/>
        </w:rPr>
      </w:pPr>
    </w:p>
    <w:p w14:paraId="22B2A3D7">
      <w:pPr>
        <w:pStyle w:val="2"/>
        <w:spacing w:line="360" w:lineRule="auto"/>
        <w:rPr>
          <w:rFonts w:hint="eastAsia"/>
          <w:highlight w:val="none"/>
        </w:rPr>
      </w:pPr>
    </w:p>
    <w:p w14:paraId="5FF8F2E5">
      <w:pPr>
        <w:spacing w:line="360" w:lineRule="auto"/>
        <w:rPr>
          <w:rFonts w:hint="eastAsia" w:ascii="宋体" w:hAnsi="宋体" w:eastAsia="宋体" w:cs="宋体"/>
          <w:b/>
          <w:bCs/>
          <w:spacing w:val="-20"/>
          <w:kern w:val="44"/>
          <w:sz w:val="24"/>
          <w:szCs w:val="24"/>
          <w:highlight w:val="none"/>
        </w:rPr>
      </w:pPr>
    </w:p>
    <w:p w14:paraId="71762C8E">
      <w:pPr>
        <w:spacing w:line="360" w:lineRule="auto"/>
        <w:ind w:left="420" w:leftChars="200"/>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t>（分包项目须填写完整的分包号及分包名称）</w:t>
      </w:r>
    </w:p>
    <w:p w14:paraId="3D384426">
      <w:pPr>
        <w:spacing w:line="360" w:lineRule="auto"/>
        <w:ind w:left="420" w:leftChars="200"/>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0EA9484A">
      <w:pPr>
        <w:spacing w:line="360" w:lineRule="auto"/>
        <w:ind w:left="420" w:left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15E1C78E">
      <w:pPr>
        <w:spacing w:line="360" w:lineRule="auto"/>
        <w:ind w:left="420" w:leftChars="200"/>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41A86F36">
      <w:pPr>
        <w:spacing w:line="360" w:lineRule="auto"/>
        <w:ind w:left="420" w:leftChars="200"/>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6A35D745">
      <w:pPr>
        <w:spacing w:line="360" w:lineRule="auto"/>
        <w:ind w:left="420" w:leftChars="200"/>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2658675D">
      <w:pPr>
        <w:spacing w:line="360" w:lineRule="auto"/>
        <w:rPr>
          <w:rFonts w:hint="eastAsia" w:ascii="宋体" w:hAnsi="宋体" w:eastAsia="宋体" w:cs="宋体"/>
          <w:sz w:val="24"/>
          <w:szCs w:val="24"/>
          <w:highlight w:val="none"/>
        </w:rPr>
      </w:pPr>
    </w:p>
    <w:p w14:paraId="0BC445AB">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D9DFCF4">
      <w:pPr>
        <w:spacing w:line="360" w:lineRule="auto"/>
        <w:jc w:val="center"/>
        <w:outlineLvl w:val="1"/>
        <w:rPr>
          <w:rFonts w:hint="eastAsia"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使 用 说 明</w:t>
      </w:r>
    </w:p>
    <w:p w14:paraId="13898A2B">
      <w:pPr>
        <w:spacing w:line="360" w:lineRule="auto"/>
        <w:ind w:firstLine="480" w:firstLineChars="200"/>
        <w:rPr>
          <w:rFonts w:hint="eastAsia" w:ascii="宋体" w:hAnsi="宋体" w:eastAsia="宋体" w:cs="宋体"/>
          <w:sz w:val="24"/>
          <w:szCs w:val="24"/>
          <w:highlight w:val="none"/>
        </w:rPr>
      </w:pPr>
    </w:p>
    <w:p w14:paraId="7A9A0C8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1.本合同标准文本适用于购买现成货物的采购项目，不包括需要供应商定制开发、创新研发的货物采购项目。</w:t>
      </w:r>
    </w:p>
    <w:p w14:paraId="5DD6D63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2.本合同标准文本为政府采购货物买卖合同编制提供参考，可以结合采购项目具体情况，对文本作必要的调整修订后使用。</w:t>
      </w:r>
    </w:p>
    <w:p w14:paraId="5C459E3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3.本合同标准文本各条款中，如涉及填写多家供应商、制造商，多种采购标的、分包主要内容等信息的，可根据采购项目具体情况添加信息项。</w:t>
      </w:r>
    </w:p>
    <w:p w14:paraId="1A1458FD">
      <w:pPr>
        <w:spacing w:line="360" w:lineRule="auto"/>
        <w:ind w:firstLine="480" w:firstLineChars="200"/>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AC82267">
      <w:pPr>
        <w:spacing w:line="360" w:lineRule="auto"/>
        <w:jc w:val="center"/>
        <w:outlineLvl w:val="1"/>
        <w:rPr>
          <w:rFonts w:hint="eastAsia" w:asciiTheme="minorEastAsia" w:hAnsiTheme="minorEastAsia" w:eastAsiaTheme="minorEastAsia"/>
          <w:b/>
          <w:color w:val="000000" w:themeColor="text1"/>
          <w:sz w:val="24"/>
          <w:highlight w:val="none"/>
          <w14:textFill>
            <w14:solidFill>
              <w14:schemeClr w14:val="tx1"/>
            </w14:solidFill>
          </w14:textFill>
        </w:rPr>
      </w:pPr>
      <w:bookmarkStart w:id="55" w:name="_Toc22209"/>
      <w:r>
        <w:rPr>
          <w:rFonts w:hint="eastAsia" w:asciiTheme="minorEastAsia" w:hAnsiTheme="minorEastAsia" w:eastAsiaTheme="minorEastAsia"/>
          <w:b/>
          <w:color w:val="000000" w:themeColor="text1"/>
          <w:sz w:val="24"/>
          <w:highlight w:val="none"/>
          <w14:textFill>
            <w14:solidFill>
              <w14:schemeClr w14:val="tx1"/>
            </w14:solidFill>
          </w14:textFill>
        </w:rPr>
        <w:t>第一节 政府采购合同协议书</w:t>
      </w:r>
      <w:bookmarkEnd w:id="55"/>
    </w:p>
    <w:p w14:paraId="6249A378">
      <w:pPr>
        <w:adjustRightInd w:val="0"/>
        <w:snapToGrid w:val="0"/>
        <w:spacing w:line="360" w:lineRule="auto"/>
        <w:rPr>
          <w:rFonts w:hint="eastAsia" w:ascii="宋体" w:hAnsi="宋体" w:eastAsia="宋体" w:cs="宋体"/>
          <w:sz w:val="24"/>
          <w:szCs w:val="24"/>
          <w:highlight w:val="none"/>
        </w:rPr>
      </w:pPr>
    </w:p>
    <w:p w14:paraId="16DE1120">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（采购人、受采购人委托签订合同的单位或采购</w:t>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文件约定的合同甲方）</w:t>
      </w:r>
    </w:p>
    <w:p w14:paraId="3D76E6B6">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乙方1（全称）：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635380D7">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乙方2（全称）：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（联合体成员供应商或其他合同主体）（如有）</w:t>
      </w:r>
    </w:p>
    <w:p w14:paraId="31C8E89A">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乙方3（全称）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（联合体成员供应商或其他合同主体）（如有）</w:t>
      </w:r>
    </w:p>
    <w:p w14:paraId="3F6AAAC2">
      <w:pPr>
        <w:spacing w:line="360" w:lineRule="auto"/>
        <w:rPr>
          <w:rFonts w:hint="eastAsia" w:ascii="宋体" w:hAnsi="宋体" w:eastAsia="宋体" w:cs="宋体"/>
          <w:sz w:val="24"/>
          <w:szCs w:val="24"/>
          <w:highlight w:val="none"/>
        </w:rPr>
      </w:pPr>
    </w:p>
    <w:p w14:paraId="55DF6642">
      <w:pPr>
        <w:pStyle w:val="10"/>
        <w:adjustRightInd w:val="0"/>
        <w:snapToGrid w:val="0"/>
        <w:spacing w:after="0"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192DD0E">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7E8DA577">
      <w:pPr>
        <w:pStyle w:val="10"/>
        <w:numPr>
          <w:ilvl w:val="0"/>
          <w:numId w:val="9"/>
        </w:numPr>
        <w:adjustRightInd w:val="0"/>
        <w:snapToGrid w:val="0"/>
        <w:spacing w:after="0" w:line="360" w:lineRule="auto"/>
        <w:ind w:left="0" w:leftChars="0"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4CE0EFE">
      <w:pPr>
        <w:pStyle w:val="10"/>
        <w:numPr>
          <w:ilvl w:val="255"/>
          <w:numId w:val="0"/>
        </w:numPr>
        <w:tabs>
          <w:tab w:val="left" w:pos="999"/>
        </w:tabs>
        <w:adjustRightInd w:val="0"/>
        <w:snapToGrid w:val="0"/>
        <w:spacing w:after="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采购项目编号：</w:t>
      </w:r>
      <w:r>
        <w:rPr>
          <w:rFonts w:hint="eastAsia" w:ascii="宋体" w:hAnsi="宋体" w:eastAsia="宋体" w:cs="宋体"/>
          <w:sz w:val="24"/>
          <w:szCs w:val="24"/>
          <w:highlight w:val="none"/>
          <w:u w:val="single"/>
        </w:rPr>
        <w:t xml:space="preserve">                                          </w:t>
      </w:r>
    </w:p>
    <w:p w14:paraId="1B652F2C">
      <w:pPr>
        <w:pStyle w:val="10"/>
        <w:adjustRightInd w:val="0"/>
        <w:snapToGrid w:val="0"/>
        <w:spacing w:after="0" w:line="360" w:lineRule="auto"/>
        <w:ind w:left="0" w:leftChars="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（2）采购计划编号：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AC80454">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（3）项目内容：</w:t>
      </w:r>
    </w:p>
    <w:p w14:paraId="119109AD">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采购标的及数量（台/套</w:t>
      </w:r>
      <w:r>
        <w:rPr>
          <w:rFonts w:hint="eastAsia" w:ascii="宋体" w:hAnsi="宋体" w:eastAsia="宋体" w:cs="宋体"/>
          <w:sz w:val="24"/>
          <w:szCs w:val="24"/>
          <w:highlight w:val="none"/>
          <w:lang w:val="en"/>
        </w:rPr>
        <w:t>/个/架/组等</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7E199F5F">
      <w:pPr>
        <w:numPr>
          <w:ilvl w:val="255"/>
          <w:numId w:val="0"/>
        </w:numPr>
        <w:adjustRightInd w:val="0"/>
        <w:snapToGrid w:val="0"/>
        <w:spacing w:line="360" w:lineRule="auto"/>
        <w:ind w:firstLine="480" w:firstLineChars="200"/>
        <w:rPr>
          <w:rFonts w:hint="eastAsia" w:ascii="宋体" w:hAnsi="宋体" w:eastAsia="宋体" w:cs="宋体"/>
          <w:sz w:val="24"/>
          <w:szCs w:val="24"/>
          <w:highlight w:val="none"/>
          <w:lang w:val="en"/>
        </w:rPr>
      </w:pPr>
      <w:r>
        <w:rPr>
          <w:rFonts w:hint="eastAsia" w:ascii="宋体" w:hAnsi="宋体" w:eastAsia="宋体" w:cs="宋体"/>
          <w:sz w:val="24"/>
          <w:szCs w:val="24"/>
          <w:highlight w:val="none"/>
        </w:rPr>
        <w:t xml:space="preserve">     品牌：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lang w:val="en"/>
        </w:rPr>
        <w:t xml:space="preserve">     </w:t>
      </w:r>
      <w:r>
        <w:rPr>
          <w:rFonts w:hint="eastAsia" w:ascii="宋体" w:hAnsi="宋体" w:eastAsia="宋体" w:cs="宋体"/>
          <w:sz w:val="24"/>
          <w:szCs w:val="24"/>
          <w:highlight w:val="none"/>
        </w:rPr>
        <w:t>规格型号：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
        </w:rPr>
        <w:t xml:space="preserve">   </w:t>
      </w:r>
    </w:p>
    <w:p w14:paraId="5885EAC9">
      <w:pPr>
        <w:adjustRightInd w:val="0"/>
        <w:snapToGrid w:val="0"/>
        <w:spacing w:line="360" w:lineRule="auto"/>
        <w:ind w:firstLine="1080" w:firstLineChars="45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采购标的的技术要求、商务要求具体见附件。</w:t>
      </w:r>
    </w:p>
    <w:p w14:paraId="0628852D">
      <w:pPr>
        <w:numPr>
          <w:ilvl w:val="255"/>
          <w:numId w:val="0"/>
        </w:numPr>
        <w:adjustRightInd w:val="0"/>
        <w:snapToGrid w:val="0"/>
        <w:spacing w:line="360" w:lineRule="auto"/>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rPr>
        <w:t>①涉及信息类产品，请填写该产品关键部件的品牌、型号：</w:t>
      </w:r>
    </w:p>
    <w:p w14:paraId="59CF042D">
      <w:pPr>
        <w:numPr>
          <w:ilvl w:val="255"/>
          <w:numId w:val="0"/>
        </w:numPr>
        <w:adjustRightInd w:val="0"/>
        <w:snapToGrid w:val="0"/>
        <w:spacing w:line="360" w:lineRule="auto"/>
        <w:ind w:firstLine="480" w:firstLineChars="200"/>
        <w:rPr>
          <w:rFonts w:hint="eastAsia" w:ascii="宋体" w:hAnsi="宋体" w:eastAsia="宋体" w:cs="宋体"/>
          <w:kern w:val="0"/>
          <w:sz w:val="24"/>
          <w:szCs w:val="24"/>
          <w:highlight w:val="none"/>
          <w:u w:val="single"/>
        </w:rPr>
      </w:pPr>
      <w:r>
        <w:rPr>
          <w:rFonts w:hint="eastAsia" w:ascii="宋体" w:hAnsi="宋体" w:eastAsia="宋体" w:cs="宋体"/>
          <w:sz w:val="24"/>
          <w:szCs w:val="24"/>
          <w:highlight w:val="none"/>
        </w:rPr>
        <w:t xml:space="preserve">     标的名称：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
        </w:rPr>
        <w:t xml:space="preserve">               </w:t>
      </w:r>
      <w:r>
        <w:rPr>
          <w:rFonts w:hint="eastAsia" w:ascii="宋体" w:hAnsi="宋体" w:eastAsia="宋体" w:cs="宋体"/>
          <w:kern w:val="0"/>
          <w:sz w:val="24"/>
          <w:szCs w:val="24"/>
          <w:highlight w:val="none"/>
          <w:u w:val="single"/>
        </w:rPr>
        <w:t xml:space="preserve">    </w:t>
      </w:r>
    </w:p>
    <w:p w14:paraId="2BC913FF">
      <w:pPr>
        <w:numPr>
          <w:ilvl w:val="255"/>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关键部件：</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w:t>
      </w:r>
      <w:r>
        <w:rPr>
          <w:rFonts w:hint="eastAsia" w:ascii="宋体" w:hAnsi="宋体" w:eastAsia="宋体" w:cs="宋体"/>
          <w:sz w:val="24"/>
          <w:szCs w:val="24"/>
          <w:highlight w:val="none"/>
        </w:rPr>
        <w:t>品牌：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型号：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6C9677">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kern w:val="2"/>
          <w:sz w:val="24"/>
          <w:szCs w:val="24"/>
          <w:highlight w:val="none"/>
        </w:rPr>
        <w:t>关键部件</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品牌：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型号：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186B9854">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关键部件：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品牌：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型号：</w:t>
      </w:r>
      <w:r>
        <w:rPr>
          <w:rFonts w:hint="eastAsia" w:ascii="宋体" w:hAnsi="宋体" w:eastAsia="宋体" w:cs="宋体"/>
          <w:sz w:val="24"/>
          <w:szCs w:val="24"/>
          <w:highlight w:val="none"/>
          <w:u w:val="single"/>
        </w:rPr>
        <w:t xml:space="preserve">       </w:t>
      </w:r>
    </w:p>
    <w:p w14:paraId="00334371">
      <w:pPr>
        <w:pStyle w:val="60"/>
        <w:numPr>
          <w:ilvl w:val="255"/>
          <w:numId w:val="0"/>
        </w:num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0"/>
        <w:numPr>
          <w:ilvl w:val="255"/>
          <w:numId w:val="0"/>
        </w:num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②涉及车辆采购，请填写是否属于新能源汽车：</w:t>
      </w:r>
    </w:p>
    <w:p w14:paraId="7F0145BD">
      <w:pPr>
        <w:pStyle w:val="60"/>
        <w:numPr>
          <w:ilvl w:val="255"/>
          <w:numId w:val="0"/>
        </w:num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是，《政府采购品目分类目录》底级品目名称：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数量：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金额：</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78469241">
      <w:pPr>
        <w:pStyle w:val="60"/>
        <w:numPr>
          <w:ilvl w:val="255"/>
          <w:numId w:val="0"/>
        </w:num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否</w:t>
      </w:r>
    </w:p>
    <w:p w14:paraId="5E2884D3">
      <w:pPr>
        <w:pStyle w:val="60"/>
        <w:numPr>
          <w:ilvl w:val="255"/>
          <w:numId w:val="0"/>
        </w:num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
        </w:rPr>
        <w:t>4</w:t>
      </w:r>
      <w:r>
        <w:rPr>
          <w:rFonts w:hint="eastAsia" w:ascii="宋体" w:hAnsi="宋体" w:eastAsia="宋体" w:cs="宋体"/>
          <w:sz w:val="24"/>
          <w:szCs w:val="24"/>
          <w:highlight w:val="none"/>
        </w:rPr>
        <w:t>）政府采购组织形式：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政府集中采购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部门集中采购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分散采购</w:t>
      </w:r>
    </w:p>
    <w:p w14:paraId="06B93630">
      <w:pPr>
        <w:pStyle w:val="60"/>
        <w:numPr>
          <w:ilvl w:val="255"/>
          <w:numId w:val="0"/>
        </w:numPr>
        <w:snapToGrid w:val="0"/>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
        </w:rPr>
        <w:t>5</w:t>
      </w:r>
      <w:r>
        <w:rPr>
          <w:rFonts w:hint="eastAsia" w:ascii="宋体" w:hAnsi="宋体" w:eastAsia="宋体" w:cs="宋体"/>
          <w:sz w:val="24"/>
          <w:szCs w:val="24"/>
          <w:highlight w:val="none"/>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公开招标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邀请招标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竞争性谈判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竞争性磋商</w:t>
      </w:r>
    </w:p>
    <w:p w14:paraId="2C1BF4DA">
      <w:pPr>
        <w:pStyle w:val="60"/>
        <w:numPr>
          <w:ilvl w:val="255"/>
          <w:numId w:val="0"/>
        </w:numPr>
        <w:snapToGrid w:val="0"/>
        <w:spacing w:line="360" w:lineRule="auto"/>
        <w:ind w:firstLine="42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询价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单一来源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框架协议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其他：</w:t>
      </w:r>
      <w:r>
        <w:rPr>
          <w:rFonts w:hint="eastAsia" w:ascii="宋体" w:hAnsi="宋体" w:eastAsia="宋体" w:cs="宋体"/>
          <w:sz w:val="24"/>
          <w:szCs w:val="24"/>
          <w:highlight w:val="none"/>
          <w:u w:val="single"/>
        </w:rPr>
        <w:t xml:space="preserve">          </w:t>
      </w:r>
    </w:p>
    <w:p w14:paraId="4F52D560">
      <w:pPr>
        <w:pStyle w:val="60"/>
        <w:numPr>
          <w:ilvl w:val="255"/>
          <w:numId w:val="0"/>
        </w:numPr>
        <w:snapToGrid w:val="0"/>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（注：在框架协议采购的第二阶段，可选择使用该合同文本）</w:t>
      </w:r>
    </w:p>
    <w:p w14:paraId="77F6B326">
      <w:pPr>
        <w:pStyle w:val="60"/>
        <w:numPr>
          <w:ilvl w:val="255"/>
          <w:numId w:val="0"/>
        </w:numPr>
        <w:snapToGrid w:val="0"/>
        <w:spacing w:line="360" w:lineRule="auto"/>
        <w:ind w:firstLine="240" w:firstLineChars="100"/>
        <w:rPr>
          <w:rFonts w:hint="eastAsia" w:ascii="宋体" w:hAnsi="宋体" w:eastAsia="宋体" w:cs="宋体"/>
          <w:kern w:val="2"/>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
        </w:rPr>
        <w:t>6</w:t>
      </w:r>
      <w:r>
        <w:rPr>
          <w:rFonts w:hint="eastAsia" w:ascii="宋体" w:hAnsi="宋体" w:eastAsia="宋体" w:cs="宋体"/>
          <w:sz w:val="24"/>
          <w:szCs w:val="24"/>
          <w:highlight w:val="none"/>
        </w:rPr>
        <w:t>）</w:t>
      </w:r>
      <w:r>
        <w:rPr>
          <w:rFonts w:hint="eastAsia" w:ascii="宋体" w:hAnsi="宋体" w:eastAsia="宋体" w:cs="宋体"/>
          <w:kern w:val="2"/>
          <w:sz w:val="24"/>
          <w:szCs w:val="24"/>
          <w:highlight w:val="none"/>
        </w:rPr>
        <w:t>中标（成交）采购标的制造商是否为中小企业：</w:t>
      </w:r>
      <w:r>
        <w:rPr>
          <w:rFonts w:hint="eastAsia" w:ascii="宋体" w:hAnsi="宋体" w:eastAsia="宋体" w:cs="宋体"/>
          <w:kern w:val="2"/>
          <w:sz w:val="24"/>
          <w:szCs w:val="24"/>
          <w:highlight w:val="none"/>
        </w:rPr>
        <w:sym w:font="Wingdings" w:char="00A8"/>
      </w:r>
      <w:r>
        <w:rPr>
          <w:rFonts w:hint="eastAsia" w:ascii="宋体" w:hAnsi="宋体" w:eastAsia="宋体" w:cs="宋体"/>
          <w:kern w:val="2"/>
          <w:sz w:val="24"/>
          <w:szCs w:val="24"/>
          <w:highlight w:val="none"/>
        </w:rPr>
        <w:t xml:space="preserve">是      </w:t>
      </w:r>
      <w:r>
        <w:rPr>
          <w:rFonts w:hint="eastAsia" w:ascii="宋体" w:hAnsi="宋体" w:eastAsia="宋体" w:cs="宋体"/>
          <w:kern w:val="2"/>
          <w:sz w:val="24"/>
          <w:szCs w:val="24"/>
          <w:highlight w:val="none"/>
        </w:rPr>
        <w:sym w:font="Wingdings" w:char="00A8"/>
      </w:r>
      <w:r>
        <w:rPr>
          <w:rFonts w:hint="eastAsia" w:ascii="宋体" w:hAnsi="宋体" w:eastAsia="宋体" w:cs="宋体"/>
          <w:kern w:val="2"/>
          <w:sz w:val="24"/>
          <w:szCs w:val="24"/>
          <w:highlight w:val="none"/>
        </w:rPr>
        <w:t>否</w:t>
      </w:r>
    </w:p>
    <w:p w14:paraId="70F89113">
      <w:pPr>
        <w:numPr>
          <w:ilvl w:val="255"/>
          <w:numId w:val="0"/>
        </w:numPr>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sz w:val="24"/>
          <w:szCs w:val="24"/>
          <w:highlight w:val="none"/>
        </w:rPr>
        <w:t xml:space="preserve">         本合同是否为专门面向中小企业的采购合同（中小企业预留合同）：</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301AA4A">
      <w:pPr>
        <w:numPr>
          <w:ilvl w:val="255"/>
          <w:numId w:val="0"/>
        </w:numPr>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sz w:val="24"/>
          <w:szCs w:val="24"/>
          <w:highlight w:val="none"/>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9B7856B">
      <w:pPr>
        <w:numPr>
          <w:ilvl w:val="255"/>
          <w:numId w:val="0"/>
        </w:numPr>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sz w:val="24"/>
          <w:szCs w:val="24"/>
          <w:highlight w:val="none"/>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60D4F8B">
      <w:p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9412690">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
        </w:rPr>
        <w:t>7</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06D7406">
      <w:pPr>
        <w:adjustRightInd w:val="0"/>
        <w:snapToGrid w:val="0"/>
        <w:spacing w:line="360" w:lineRule="auto"/>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分包主要内容：</w:t>
      </w:r>
      <w:r>
        <w:rPr>
          <w:rFonts w:hint="eastAsia" w:ascii="宋体" w:hAnsi="宋体" w:eastAsia="宋体" w:cs="宋体"/>
          <w:sz w:val="24"/>
          <w:szCs w:val="24"/>
          <w:highlight w:val="none"/>
          <w:u w:val="single"/>
        </w:rPr>
        <w:t xml:space="preserve">                                            </w:t>
      </w:r>
    </w:p>
    <w:p w14:paraId="055A7567">
      <w:p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分包供应商/制造商名称（如供应商和制造商不同，请分别填写）：</w:t>
      </w:r>
    </w:p>
    <w:p w14:paraId="2675AA5A">
      <w:pPr>
        <w:adjustRightInd w:val="0"/>
        <w:snapToGrid w:val="0"/>
        <w:spacing w:line="360" w:lineRule="auto"/>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p>
    <w:p w14:paraId="0D73BC1C">
      <w:p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分包供应商/制造商类型（如果供应商和制造商不同，只填写制造商类型）：</w:t>
      </w:r>
    </w:p>
    <w:p w14:paraId="4E409858">
      <w:pPr>
        <w:adjustRightInd w:val="0"/>
        <w:snapToGrid w:val="0"/>
        <w:spacing w:line="360" w:lineRule="auto"/>
        <w:ind w:firstLine="960" w:firstLineChars="400"/>
        <w:rPr>
          <w:rFonts w:hint="eastAsia" w:ascii="宋体" w:hAnsi="宋体" w:eastAsia="宋体" w:cs="宋体"/>
          <w:iCs/>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小微型企业  </w:t>
      </w:r>
    </w:p>
    <w:p w14:paraId="3B555FC9">
      <w:p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残疾人福利性单位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监狱企业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其他</w:t>
      </w:r>
    </w:p>
    <w:p w14:paraId="041E96A7">
      <w:pPr>
        <w:numPr>
          <w:ilvl w:val="255"/>
          <w:numId w:val="0"/>
        </w:numPr>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
        </w:rPr>
        <w:t>8</w:t>
      </w:r>
      <w:r>
        <w:rPr>
          <w:rFonts w:hint="eastAsia" w:ascii="宋体" w:hAnsi="宋体" w:eastAsia="宋体" w:cs="宋体"/>
          <w:sz w:val="24"/>
          <w:szCs w:val="24"/>
          <w:highlight w:val="none"/>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24E81743">
      <w:pPr>
        <w:pStyle w:val="60"/>
        <w:tabs>
          <w:tab w:val="left" w:pos="1340"/>
        </w:tabs>
        <w:spacing w:line="360" w:lineRule="auto"/>
        <w:ind w:firstLine="48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部分由外国投资者投资</w:t>
      </w:r>
    </w:p>
    <w:p w14:paraId="6F9224D0">
      <w:pPr>
        <w:numPr>
          <w:ilvl w:val="255"/>
          <w:numId w:val="0"/>
        </w:num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
        </w:rPr>
        <w:t>9</w:t>
      </w:r>
      <w:r>
        <w:rPr>
          <w:rFonts w:hint="eastAsia" w:ascii="宋体" w:hAnsi="宋体" w:eastAsia="宋体" w:cs="宋体"/>
          <w:sz w:val="24"/>
          <w:szCs w:val="24"/>
          <w:highlight w:val="none"/>
        </w:rPr>
        <w:t>）是否涉及进口产品：</w:t>
      </w:r>
    </w:p>
    <w:p w14:paraId="7FE192B0">
      <w:pPr>
        <w:numPr>
          <w:ilvl w:val="255"/>
          <w:numId w:val="0"/>
        </w:numPr>
        <w:adjustRightInd w:val="0"/>
        <w:snapToGrid w:val="0"/>
        <w:spacing w:line="360" w:lineRule="auto"/>
        <w:ind w:firstLine="960" w:firstLineChars="4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是，《政府采购品目分类目录》底级品目名称：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金额：</w:t>
      </w:r>
      <w:r>
        <w:rPr>
          <w:rFonts w:hint="eastAsia" w:ascii="宋体" w:hAnsi="宋体" w:eastAsia="宋体" w:cs="宋体"/>
          <w:sz w:val="24"/>
          <w:szCs w:val="24"/>
          <w:highlight w:val="none"/>
          <w:u w:val="single"/>
        </w:rPr>
        <w:t xml:space="preserve">        </w:t>
      </w:r>
    </w:p>
    <w:p w14:paraId="3ECE4138">
      <w:pPr>
        <w:numPr>
          <w:ilvl w:val="255"/>
          <w:numId w:val="0"/>
        </w:num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国别：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品牌：</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规格型号：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21907437">
      <w:p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否</w:t>
      </w:r>
    </w:p>
    <w:p w14:paraId="326E5340">
      <w:pPr>
        <w:numPr>
          <w:ilvl w:val="255"/>
          <w:numId w:val="0"/>
        </w:numPr>
        <w:tabs>
          <w:tab w:val="left" w:pos="740"/>
        </w:tabs>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val="en"/>
        </w:rPr>
        <w:t>0</w:t>
      </w:r>
      <w:r>
        <w:rPr>
          <w:rFonts w:hint="eastAsia" w:ascii="宋体" w:hAnsi="宋体" w:eastAsia="宋体" w:cs="宋体"/>
          <w:sz w:val="24"/>
          <w:szCs w:val="24"/>
          <w:highlight w:val="none"/>
        </w:rPr>
        <w:t>）是否涉及节能产品：</w:t>
      </w:r>
    </w:p>
    <w:p w14:paraId="36C76BD7">
      <w:pPr>
        <w:numPr>
          <w:ilvl w:val="255"/>
          <w:numId w:val="0"/>
        </w:numPr>
        <w:tabs>
          <w:tab w:val="left" w:pos="740"/>
        </w:tabs>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是，《节能产品政府采购品目清单》的底级品目名称：</w:t>
      </w:r>
      <w:r>
        <w:rPr>
          <w:rFonts w:hint="eastAsia" w:ascii="宋体" w:hAnsi="宋体" w:eastAsia="宋体" w:cs="宋体"/>
          <w:sz w:val="24"/>
          <w:szCs w:val="24"/>
          <w:highlight w:val="none"/>
          <w:u w:val="single"/>
        </w:rPr>
        <w:t xml:space="preserve">         </w:t>
      </w:r>
      <w:r>
        <w:rPr>
          <w:rFonts w:hint="eastAsia" w:ascii="宋体" w:hAnsi="宋体" w:eastAsia="宋体" w:cs="宋体"/>
          <w:iCs/>
          <w:sz w:val="24"/>
          <w:szCs w:val="24"/>
          <w:highlight w:val="none"/>
        </w:rPr>
        <w:t xml:space="preserve">     </w:t>
      </w:r>
    </w:p>
    <w:p w14:paraId="3FA7E166">
      <w:pPr>
        <w:numPr>
          <w:ilvl w:val="255"/>
          <w:numId w:val="0"/>
        </w:numPr>
        <w:tabs>
          <w:tab w:val="left" w:pos="740"/>
        </w:tabs>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强制采购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优先采购    </w:t>
      </w:r>
    </w:p>
    <w:p w14:paraId="7B08E220">
      <w:pPr>
        <w:numPr>
          <w:ilvl w:val="255"/>
          <w:numId w:val="0"/>
        </w:numPr>
        <w:tabs>
          <w:tab w:val="left" w:pos="740"/>
        </w:tabs>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否</w:t>
      </w:r>
    </w:p>
    <w:p w14:paraId="5F22A14F">
      <w:pPr>
        <w:numPr>
          <w:ilvl w:val="255"/>
          <w:numId w:val="0"/>
        </w:numPr>
        <w:tabs>
          <w:tab w:val="left" w:pos="740"/>
        </w:tabs>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是否涉及环境标志产品：</w:t>
      </w:r>
    </w:p>
    <w:p w14:paraId="062053FE">
      <w:pPr>
        <w:numPr>
          <w:ilvl w:val="255"/>
          <w:numId w:val="0"/>
        </w:numPr>
        <w:tabs>
          <w:tab w:val="left" w:pos="740"/>
        </w:tabs>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是，《环境标志产品政府采购品目清单》的底级品目名称：</w:t>
      </w:r>
      <w:r>
        <w:rPr>
          <w:rFonts w:hint="eastAsia" w:ascii="宋体" w:hAnsi="宋体" w:eastAsia="宋体" w:cs="宋体"/>
          <w:sz w:val="24"/>
          <w:szCs w:val="24"/>
          <w:highlight w:val="none"/>
          <w:u w:val="single"/>
        </w:rPr>
        <w:t xml:space="preserve">         </w:t>
      </w:r>
      <w:r>
        <w:rPr>
          <w:rFonts w:hint="eastAsia" w:ascii="宋体" w:hAnsi="宋体" w:eastAsia="宋体" w:cs="宋体"/>
          <w:iCs/>
          <w:sz w:val="24"/>
          <w:szCs w:val="24"/>
          <w:highlight w:val="none"/>
        </w:rPr>
        <w:t xml:space="preserve"> </w:t>
      </w:r>
    </w:p>
    <w:p w14:paraId="2089887C">
      <w:pPr>
        <w:numPr>
          <w:ilvl w:val="255"/>
          <w:numId w:val="0"/>
        </w:numPr>
        <w:tabs>
          <w:tab w:val="left" w:pos="740"/>
        </w:tabs>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强制采购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优先采购    </w:t>
      </w:r>
    </w:p>
    <w:p w14:paraId="23432BED">
      <w:pPr>
        <w:numPr>
          <w:ilvl w:val="255"/>
          <w:numId w:val="0"/>
        </w:numPr>
        <w:tabs>
          <w:tab w:val="left" w:pos="740"/>
        </w:tabs>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否</w:t>
      </w:r>
    </w:p>
    <w:p w14:paraId="50ECD914">
      <w:pPr>
        <w:pStyle w:val="60"/>
        <w:numPr>
          <w:ilvl w:val="255"/>
          <w:numId w:val="0"/>
        </w:numPr>
        <w:snapToGrid w:val="0"/>
        <w:spacing w:line="360" w:lineRule="auto"/>
        <w:rPr>
          <w:rFonts w:hint="eastAsia" w:ascii="宋体" w:hAnsi="宋体" w:eastAsia="宋体" w:cs="宋体"/>
          <w:kern w:val="2"/>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kern w:val="2"/>
          <w:sz w:val="24"/>
          <w:szCs w:val="24"/>
          <w:highlight w:val="none"/>
        </w:rPr>
        <w:t xml:space="preserve">是否涉及绿色产品： </w:t>
      </w:r>
    </w:p>
    <w:p w14:paraId="6F2799B2">
      <w:pPr>
        <w:pStyle w:val="60"/>
        <w:spacing w:line="360" w:lineRule="auto"/>
        <w:ind w:firstLine="420" w:firstLineChars="0"/>
        <w:rPr>
          <w:rFonts w:hint="eastAsia" w:ascii="宋体" w:hAnsi="宋体" w:eastAsia="宋体" w:cs="宋体"/>
          <w:sz w:val="24"/>
          <w:szCs w:val="24"/>
          <w:highlight w:val="none"/>
          <w:u w:val="single"/>
        </w:rPr>
      </w:pP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sym w:font="Wingdings" w:char="00A8"/>
      </w:r>
      <w:r>
        <w:rPr>
          <w:rFonts w:hint="eastAsia" w:ascii="宋体" w:hAnsi="宋体" w:eastAsia="宋体" w:cs="宋体"/>
          <w:kern w:val="2"/>
          <w:sz w:val="24"/>
          <w:szCs w:val="24"/>
          <w:highlight w:val="none"/>
        </w:rPr>
        <w:t>是，绿色产品政府采购相关政策确定的底级品目名称：</w:t>
      </w:r>
      <w:r>
        <w:rPr>
          <w:rFonts w:hint="eastAsia" w:ascii="宋体" w:hAnsi="宋体" w:eastAsia="宋体" w:cs="宋体"/>
          <w:sz w:val="24"/>
          <w:szCs w:val="24"/>
          <w:highlight w:val="none"/>
          <w:u w:val="single"/>
        </w:rPr>
        <w:t xml:space="preserve">         </w:t>
      </w:r>
    </w:p>
    <w:p w14:paraId="66991146">
      <w:pPr>
        <w:numPr>
          <w:ilvl w:val="255"/>
          <w:numId w:val="0"/>
        </w:numPr>
        <w:tabs>
          <w:tab w:val="left" w:pos="740"/>
        </w:tabs>
        <w:adjustRightInd w:val="0"/>
        <w:snapToGrid w:val="0"/>
        <w:spacing w:line="360" w:lineRule="auto"/>
        <w:rPr>
          <w:rFonts w:hint="eastAsia" w:ascii="宋体" w:hAnsi="宋体" w:eastAsia="宋体" w:cs="宋体"/>
          <w:iCs/>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强制采购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优先采购    </w:t>
      </w:r>
    </w:p>
    <w:p w14:paraId="178973F8">
      <w:pPr>
        <w:pStyle w:val="60"/>
        <w:spacing w:line="360" w:lineRule="auto"/>
        <w:ind w:firstLine="420" w:firstLineChars="0"/>
        <w:rPr>
          <w:rFonts w:hint="eastAsia" w:ascii="宋体" w:hAnsi="宋体" w:eastAsia="宋体" w:cs="宋体"/>
          <w:sz w:val="24"/>
          <w:szCs w:val="24"/>
          <w:highlight w:val="none"/>
        </w:rPr>
      </w:pP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sym w:font="Wingdings" w:char="00A8"/>
      </w:r>
      <w:r>
        <w:rPr>
          <w:rFonts w:hint="eastAsia" w:ascii="宋体" w:hAnsi="宋体" w:eastAsia="宋体" w:cs="宋体"/>
          <w:kern w:val="2"/>
          <w:sz w:val="24"/>
          <w:szCs w:val="24"/>
          <w:highlight w:val="none"/>
        </w:rPr>
        <w:t>否</w:t>
      </w:r>
    </w:p>
    <w:p w14:paraId="3157FF84">
      <w:pPr>
        <w:numPr>
          <w:ilvl w:val="255"/>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w:t>
      </w:r>
      <w:r>
        <w:rPr>
          <w:rFonts w:hint="eastAsia" w:ascii="宋体" w:hAnsi="宋体" w:eastAsia="宋体" w:cs="宋体"/>
          <w:sz w:val="24"/>
          <w:szCs w:val="24"/>
          <w:highlight w:val="none"/>
          <w:lang w:val="en"/>
        </w:rPr>
        <w:t>1</w:t>
      </w:r>
      <w:r>
        <w:rPr>
          <w:rFonts w:hint="eastAsia" w:ascii="宋体" w:hAnsi="宋体" w:eastAsia="宋体" w:cs="宋体"/>
          <w:sz w:val="24"/>
          <w:szCs w:val="24"/>
          <w:highlight w:val="none"/>
        </w:rPr>
        <w:t>）涉及商品包装和快递包装的，是否参考《商品包装政府采购需求标准（试行）》、《快递包装政府采购需求标准（试行）》明确产品及相关快递服务的具体包装要求：</w:t>
      </w:r>
    </w:p>
    <w:p w14:paraId="17250C3E">
      <w:pPr>
        <w:numPr>
          <w:ilvl w:val="255"/>
          <w:numId w:val="0"/>
        </w:numPr>
        <w:adjustRightInd w:val="0"/>
        <w:snapToGrid w:val="0"/>
        <w:spacing w:line="360" w:lineRule="auto"/>
        <w:ind w:firstLine="960" w:firstLineChars="400"/>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否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不涉及</w:t>
      </w:r>
    </w:p>
    <w:p w14:paraId="4199C56E">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2525E542">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p>
    <w:p w14:paraId="2D04DBA8">
      <w:pPr>
        <w:adjustRightInd w:val="0"/>
        <w:snapToGrid w:val="0"/>
        <w:spacing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大写：</w:t>
      </w:r>
      <w:r>
        <w:rPr>
          <w:rFonts w:hint="eastAsia" w:ascii="宋体" w:hAnsi="宋体" w:eastAsia="宋体" w:cs="宋体"/>
          <w:sz w:val="24"/>
          <w:szCs w:val="24"/>
          <w:highlight w:val="none"/>
          <w:u w:val="single"/>
        </w:rPr>
        <w:t xml:space="preserve">                           </w:t>
      </w:r>
    </w:p>
    <w:p w14:paraId="2CBEEA8B">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分包金额（如有）小写：</w:t>
      </w:r>
      <w:r>
        <w:rPr>
          <w:rFonts w:hint="eastAsia" w:ascii="宋体" w:hAnsi="宋体" w:eastAsia="宋体" w:cs="宋体"/>
          <w:sz w:val="24"/>
          <w:szCs w:val="24"/>
          <w:highlight w:val="none"/>
          <w:u w:val="single"/>
        </w:rPr>
        <w:t xml:space="preserve">                   </w:t>
      </w:r>
    </w:p>
    <w:p w14:paraId="51AEFC43">
      <w:pPr>
        <w:adjustRightInd w:val="0"/>
        <w:snapToGrid w:val="0"/>
        <w:spacing w:line="36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                     大写：</w:t>
      </w:r>
      <w:r>
        <w:rPr>
          <w:rFonts w:hint="eastAsia" w:ascii="宋体" w:hAnsi="宋体" w:eastAsia="宋体" w:cs="宋体"/>
          <w:sz w:val="24"/>
          <w:szCs w:val="24"/>
          <w:highlight w:val="none"/>
          <w:u w:val="single"/>
        </w:rPr>
        <w:t xml:space="preserve">                       </w:t>
      </w:r>
    </w:p>
    <w:p w14:paraId="1B150E9E">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（注：固定单价合同应填写单价和最高限价）</w:t>
      </w:r>
    </w:p>
    <w:p w14:paraId="6ACDB8AC">
      <w:pPr>
        <w:numPr>
          <w:ilvl w:val="255"/>
          <w:numId w:val="0"/>
        </w:num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（2）合同定价方式（采用组合定价方式的，可以勾选多项）：</w:t>
      </w:r>
    </w:p>
    <w:p w14:paraId="4522CF55">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固定单价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固定费率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绩效激励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其他</w:t>
      </w:r>
      <w:r>
        <w:rPr>
          <w:rFonts w:hint="eastAsia" w:ascii="宋体" w:hAnsi="宋体" w:eastAsia="宋体" w:cs="宋体"/>
          <w:sz w:val="24"/>
          <w:szCs w:val="24"/>
          <w:highlight w:val="none"/>
          <w:u w:val="single"/>
        </w:rPr>
        <w:t xml:space="preserve">       </w:t>
      </w:r>
    </w:p>
    <w:p w14:paraId="368A12BA">
      <w:pPr>
        <w:pStyle w:val="61"/>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（3）付款方式（按项目实际勾选填写）：</w:t>
      </w:r>
    </w:p>
    <w:p w14:paraId="3770A1FC">
      <w:pPr>
        <w:adjustRightInd w:val="0"/>
        <w:snapToGrid w:val="0"/>
        <w:spacing w:line="360" w:lineRule="auto"/>
        <w:ind w:firstLine="720" w:firstLineChars="3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（应明确一次性支付合同款项的条件）                    </w:t>
      </w:r>
    </w:p>
    <w:p w14:paraId="4939359A">
      <w:pPr>
        <w:snapToGrid w:val="0"/>
        <w:spacing w:line="360" w:lineRule="auto"/>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（应明确分期支付合同款项的各期比例和支付条件，各期支付条件应与分期履约验收情况挂钩） </w:t>
      </w:r>
      <w:r>
        <w:rPr>
          <w:rFonts w:hint="eastAsia" w:ascii="宋体" w:hAnsi="宋体" w:eastAsia="宋体" w:cs="宋体"/>
          <w:sz w:val="24"/>
          <w:szCs w:val="24"/>
          <w:highlight w:val="none"/>
        </w:rPr>
        <w:t>，其中涉及预付款的：</w:t>
      </w:r>
      <w:r>
        <w:rPr>
          <w:rFonts w:hint="eastAsia" w:ascii="宋体" w:hAnsi="宋体" w:eastAsia="宋体" w:cs="宋体"/>
          <w:sz w:val="24"/>
          <w:szCs w:val="24"/>
          <w:highlight w:val="none"/>
          <w:u w:val="single"/>
        </w:rPr>
        <w:t xml:space="preserve"> （应明确预付款的支付比例和支付条件） </w:t>
      </w:r>
    </w:p>
    <w:p w14:paraId="5B69929F">
      <w:pPr>
        <w:adjustRightInd w:val="0"/>
        <w:snapToGrid w:val="0"/>
        <w:spacing w:line="360" w:lineRule="auto"/>
        <w:ind w:firstLine="720" w:firstLineChars="3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5F2D4EA">
      <w:pPr>
        <w:adjustRightInd w:val="0"/>
        <w:snapToGrid w:val="0"/>
        <w:spacing w:line="360" w:lineRule="auto"/>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1D5AC2A2">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u w:val="single"/>
        </w:rPr>
      </w:pPr>
      <w:r>
        <w:rPr>
          <w:rFonts w:hint="eastAsia" w:ascii="宋体" w:hAnsi="宋体" w:eastAsia="宋体" w:cs="宋体"/>
          <w:b/>
          <w:sz w:val="24"/>
          <w:szCs w:val="24"/>
          <w:highlight w:val="none"/>
        </w:rPr>
        <w:t>合同履行</w:t>
      </w:r>
    </w:p>
    <w:p w14:paraId="20A43747">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76CD59A9">
      <w:pPr>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（2）履约地点</w:t>
      </w:r>
      <w:r>
        <w:rPr>
          <w:rFonts w:hint="eastAsia" w:ascii="宋体" w:hAnsi="宋体" w:eastAsia="宋体" w:cs="宋体"/>
          <w:bCs/>
          <w:sz w:val="24"/>
          <w:szCs w:val="24"/>
          <w:highlight w:val="none"/>
        </w:rPr>
        <w:t>：</w:t>
      </w:r>
      <w:r>
        <w:rPr>
          <w:rFonts w:hint="eastAsia" w:ascii="宋体" w:hAnsi="宋体" w:eastAsia="宋体" w:cs="宋体"/>
          <w:sz w:val="24"/>
          <w:szCs w:val="24"/>
          <w:highlight w:val="none"/>
          <w:u w:val="single"/>
        </w:rPr>
        <w:t xml:space="preserve">                             </w:t>
      </w:r>
    </w:p>
    <w:p w14:paraId="0FED1C4F">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否</w:t>
      </w:r>
    </w:p>
    <w:p w14:paraId="52CF0434">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 xml:space="preserve">  收取履约保证金形式：</w:t>
      </w:r>
      <w:r>
        <w:rPr>
          <w:rFonts w:hint="eastAsia" w:ascii="宋体" w:hAnsi="宋体" w:eastAsia="宋体" w:cs="宋体"/>
          <w:bCs/>
          <w:sz w:val="24"/>
          <w:szCs w:val="24"/>
          <w:highlight w:val="none"/>
          <w:u w:val="single"/>
        </w:rPr>
        <w:t xml:space="preserve">                            </w:t>
      </w:r>
    </w:p>
    <w:p w14:paraId="7276231C">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收取履约保证金金额：</w:t>
      </w:r>
      <w:r>
        <w:rPr>
          <w:rFonts w:hint="eastAsia" w:ascii="宋体" w:hAnsi="宋体" w:eastAsia="宋体" w:cs="宋体"/>
          <w:bCs/>
          <w:sz w:val="24"/>
          <w:szCs w:val="24"/>
          <w:highlight w:val="none"/>
          <w:u w:val="single"/>
        </w:rPr>
        <w:t xml:space="preserve">                            </w:t>
      </w:r>
    </w:p>
    <w:p w14:paraId="43326420">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highlight w:val="none"/>
        </w:rPr>
        <w:t xml:space="preserve">    履约担保期限：</w:t>
      </w:r>
      <w:r>
        <w:rPr>
          <w:rFonts w:hint="eastAsia" w:ascii="宋体" w:hAnsi="宋体" w:eastAsia="宋体" w:cs="宋体"/>
          <w:bCs/>
          <w:sz w:val="24"/>
          <w:szCs w:val="24"/>
          <w:highlight w:val="none"/>
          <w:u w:val="single"/>
        </w:rPr>
        <w:t xml:space="preserve">                                  </w:t>
      </w:r>
    </w:p>
    <w:p w14:paraId="04ABA76D">
      <w:pPr>
        <w:adjustRightInd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p>
    <w:p w14:paraId="34CEDE8E">
      <w:pPr>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（5）风险处置措施和替代方案：</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21431EF6">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7AC62BB9">
      <w:pPr>
        <w:numPr>
          <w:ilvl w:val="0"/>
          <w:numId w:val="10"/>
        </w:numPr>
        <w:adjustRightInd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4204E435">
      <w:pPr>
        <w:adjustRightInd w:val="0"/>
        <w:snapToGrid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验收主体：</w:t>
      </w:r>
      <w:r>
        <w:rPr>
          <w:rFonts w:hint="eastAsia" w:ascii="宋体" w:hAnsi="宋体" w:eastAsia="宋体" w:cs="宋体"/>
          <w:bCs/>
          <w:sz w:val="24"/>
          <w:szCs w:val="24"/>
          <w:highlight w:val="none"/>
          <w:u w:val="single"/>
        </w:rPr>
        <w:t xml:space="preserve">                  </w:t>
      </w:r>
    </w:p>
    <w:p w14:paraId="618473A9">
      <w:pPr>
        <w:adjustRightInd w:val="0"/>
        <w:snapToGrid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是否邀请本项目的其他供应商参加验收：</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1F8CCE7">
      <w:pPr>
        <w:adjustRightInd w:val="0"/>
        <w:snapToGrid w:val="0"/>
        <w:spacing w:line="360" w:lineRule="auto"/>
        <w:ind w:firstLine="960" w:firstLineChars="4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是否邀请专家参加验收：</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06F0D35">
      <w:pPr>
        <w:adjustRightInd w:val="0"/>
        <w:snapToGrid w:val="0"/>
        <w:spacing w:line="360" w:lineRule="auto"/>
        <w:ind w:firstLine="960" w:firstLineChars="4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是否邀请服务对象参加验收：</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4AE18EB5">
      <w:pPr>
        <w:adjustRightInd w:val="0"/>
        <w:snapToGrid w:val="0"/>
        <w:spacing w:line="360" w:lineRule="auto"/>
        <w:ind w:firstLine="960" w:firstLineChars="4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是否邀请第三方检测机构参加验收：</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74F6C09">
      <w:pPr>
        <w:adjustRightInd w:val="0"/>
        <w:snapToGrid w:val="0"/>
        <w:spacing w:line="360" w:lineRule="auto"/>
        <w:ind w:firstLine="960" w:firstLineChars="400"/>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0FA2CBA">
      <w:pPr>
        <w:adjustRightInd w:val="0"/>
        <w:snapToGrid w:val="0"/>
        <w:spacing w:line="360" w:lineRule="auto"/>
        <w:ind w:firstLine="960" w:firstLineChars="4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u w:val="single"/>
        </w:rPr>
        <w:t>（应明确对被破坏的检测产品的处理方式）</w:t>
      </w:r>
    </w:p>
    <w:p w14:paraId="1D738EA7">
      <w:pPr>
        <w:adjustRightInd w:val="0"/>
        <w:snapToGrid w:val="0"/>
        <w:spacing w:line="360" w:lineRule="auto"/>
        <w:ind w:firstLine="960" w:firstLineChars="40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2062968">
      <w:pPr>
        <w:adjustRightInd w:val="0"/>
        <w:snapToGrid w:val="0"/>
        <w:spacing w:line="360" w:lineRule="auto"/>
        <w:ind w:firstLine="960" w:firstLineChars="4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66FACEF2">
      <w:pPr>
        <w:adjustRightInd w:val="0"/>
        <w:snapToGrid w:val="0"/>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 xml:space="preserve">（计划于何时验收/供应商提出验收申请之日起   日内组织验收） </w:t>
      </w:r>
    </w:p>
    <w:p w14:paraId="3EFE26E9">
      <w:pPr>
        <w:adjustRightInd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744F5EA8">
      <w:pPr>
        <w:adjustRightInd w:val="0"/>
        <w:snapToGrid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u w:val="single"/>
        </w:rPr>
        <w:t xml:space="preserve"> （应明确分期</w:t>
      </w:r>
      <w:r>
        <w:rPr>
          <w:rFonts w:hint="eastAsia" w:ascii="宋体" w:hAnsi="宋体" w:eastAsia="宋体" w:cs="宋体"/>
          <w:bCs/>
          <w:sz w:val="24"/>
          <w:szCs w:val="24"/>
          <w:highlight w:val="none"/>
          <w:u w:val="single"/>
          <w:lang w:val="en"/>
        </w:rPr>
        <w:t>/分项验收的工作安排</w:t>
      </w:r>
      <w:r>
        <w:rPr>
          <w:rFonts w:hint="eastAsia" w:ascii="宋体" w:hAnsi="宋体" w:eastAsia="宋体" w:cs="宋体"/>
          <w:bCs/>
          <w:sz w:val="24"/>
          <w:szCs w:val="24"/>
          <w:highlight w:val="none"/>
          <w:u w:val="single"/>
        </w:rPr>
        <w:t xml:space="preserve">）  </w:t>
      </w:r>
    </w:p>
    <w:p w14:paraId="40633E78">
      <w:pPr>
        <w:adjustRightInd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AC2555F">
      <w:pPr>
        <w:adjustRightInd w:val="0"/>
        <w:snapToGrid w:val="0"/>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（应当包括每一项技术和商务要求的履约情况，特别是落实政府采购扶持中小企业，支持绿色发展和乡村振兴等政策情况）                                      </w:t>
      </w:r>
    </w:p>
    <w:p w14:paraId="2B5E0D1F">
      <w:pPr>
        <w:adjustRightInd w:val="0"/>
        <w:snapToGrid w:val="0"/>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41F5F689">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bCs/>
          <w:sz w:val="24"/>
          <w:szCs w:val="24"/>
          <w:highlight w:val="none"/>
        </w:rPr>
        <w:t>（7）是否以采购活动中供应商提供的样品作为参考：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2923F34">
      <w:pPr>
        <w:adjustRightInd w:val="0"/>
        <w:snapToGrid w:val="0"/>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（产权过户登记等）          </w:t>
      </w:r>
    </w:p>
    <w:p w14:paraId="18E13065">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5500EE55">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2ADFA49F">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（1）政府采购合同协议书及其变更、补充协议</w:t>
      </w:r>
    </w:p>
    <w:p w14:paraId="0092542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（2）政府采购合同专用条款</w:t>
      </w:r>
    </w:p>
    <w:p w14:paraId="1822805E">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（3）政府采购合同通用条款</w:t>
      </w:r>
    </w:p>
    <w:p w14:paraId="3A486C83">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（4）中标（成交）通知书</w:t>
      </w:r>
    </w:p>
    <w:p w14:paraId="4A072DDA">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（5）投标（响应）文件</w:t>
      </w:r>
    </w:p>
    <w:p w14:paraId="74FE4BB1">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2459D0BB">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1AB92E46">
      <w:pPr>
        <w:pStyle w:val="60"/>
        <w:spacing w:line="360" w:lineRule="auto"/>
        <w:ind w:firstLine="480"/>
        <w:rPr>
          <w:rFonts w:hint="eastAsia" w:ascii="宋体" w:hAnsi="宋体" w:eastAsia="宋体" w:cs="宋体"/>
          <w:kern w:val="2"/>
          <w:sz w:val="24"/>
          <w:szCs w:val="24"/>
          <w:highlight w:val="none"/>
        </w:rPr>
      </w:pPr>
      <w:r>
        <w:rPr>
          <w:rFonts w:hint="eastAsia" w:ascii="宋体" w:hAnsi="宋体" w:eastAsia="宋体" w:cs="宋体"/>
          <w:sz w:val="24"/>
          <w:szCs w:val="24"/>
          <w:highlight w:val="none"/>
        </w:rPr>
        <w:t>（8）</w:t>
      </w:r>
      <w:r>
        <w:rPr>
          <w:rFonts w:hint="eastAsia" w:ascii="宋体" w:hAnsi="宋体" w:eastAsia="宋体" w:cs="宋体"/>
          <w:color w:val="000000" w:themeColor="text1"/>
          <w:kern w:val="2"/>
          <w:sz w:val="24"/>
          <w:szCs w:val="24"/>
          <w:highlight w:val="none"/>
          <w14:textFill>
            <w14:solidFill>
              <w14:schemeClr w14:val="tx1"/>
            </w14:solidFill>
          </w14:textFill>
        </w:rPr>
        <w:t>国家法律、行政法规和规章制度规定或合同约定的作为合同组成部分的其他文件</w:t>
      </w:r>
    </w:p>
    <w:p w14:paraId="15680C26">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41CBD1C">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2FD6FFC3">
      <w:pPr>
        <w:numPr>
          <w:ilvl w:val="0"/>
          <w:numId w:val="8"/>
        </w:numPr>
        <w:adjustRightInd w:val="0"/>
        <w:snapToGrid w:val="0"/>
        <w:spacing w:line="360" w:lineRule="auto"/>
        <w:ind w:firstLine="482" w:firstLineChars="200"/>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EEC7088">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份，甲方执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份，乙方执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4C67AC86">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6E7A3FC2">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640509CD">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附件：具体标的及其技术要求和商务要求、联合协议、分包意向协议等。</w:t>
      </w:r>
    </w:p>
    <w:p w14:paraId="63A5A87B">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50289C18">
      <w:pPr>
        <w:pStyle w:val="61"/>
        <w:spacing w:line="360" w:lineRule="auto"/>
        <w:ind w:firstLine="480"/>
        <w:rPr>
          <w:rFonts w:hint="eastAsia" w:ascii="宋体" w:hAnsi="宋体" w:eastAsia="宋体" w:cs="宋体"/>
          <w:sz w:val="24"/>
          <w:szCs w:val="24"/>
          <w:highlight w:val="none"/>
        </w:rPr>
      </w:pPr>
    </w:p>
    <w:tbl>
      <w:tblPr>
        <w:tblStyle w:val="2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甲方（采购人、受采购人委托签订合同的单位或采购文件约定的合同甲方）</w:t>
            </w:r>
          </w:p>
        </w:tc>
        <w:tc>
          <w:tcPr>
            <w:tcW w:w="2437" w:type="pct"/>
            <w:gridSpan w:val="2"/>
            <w:tcBorders>
              <w:left w:val="single" w:color="auto" w:sz="2" w:space="0"/>
              <w:bottom w:val="single" w:color="auto" w:sz="2" w:space="0"/>
            </w:tcBorders>
            <w:vAlign w:val="center"/>
          </w:tcPr>
          <w:p w14:paraId="798DD84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单位名称（公章或合同章）</w:t>
            </w:r>
          </w:p>
        </w:tc>
        <w:tc>
          <w:tcPr>
            <w:tcW w:w="1259" w:type="pct"/>
            <w:tcBorders>
              <w:top w:val="single" w:color="auto" w:sz="2" w:space="0"/>
              <w:left w:val="single" w:color="auto" w:sz="2" w:space="0"/>
              <w:bottom w:val="single" w:color="auto" w:sz="2" w:space="0"/>
            </w:tcBorders>
            <w:vAlign w:val="center"/>
          </w:tcPr>
          <w:p w14:paraId="73A2126F">
            <w:pPr>
              <w:adjustRightInd w:val="0"/>
              <w:snapToGrid w:val="0"/>
              <w:spacing w:line="360" w:lineRule="auto"/>
              <w:jc w:val="center"/>
              <w:rPr>
                <w:rFonts w:hint="eastAsia" w:ascii="宋体" w:hAnsi="宋体" w:eastAsia="宋体" w:cs="宋体"/>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1E1D5978">
            <w:pPr>
              <w:adjustRightInd w:val="0"/>
              <w:snapToGrid w:val="0"/>
              <w:spacing w:line="360" w:lineRule="auto"/>
              <w:ind w:firstLine="115" w:firstLineChars="48"/>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429B7C38">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adjustRightInd w:val="0"/>
              <w:snapToGrid w:val="0"/>
              <w:spacing w:line="360" w:lineRule="auto"/>
              <w:jc w:val="center"/>
              <w:rPr>
                <w:rFonts w:hint="eastAsia" w:ascii="宋体" w:hAnsi="宋体" w:eastAsia="宋体" w:cs="宋体"/>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adjustRightInd w:val="0"/>
              <w:snapToGrid w:val="0"/>
              <w:spacing w:line="360" w:lineRule="auto"/>
              <w:jc w:val="center"/>
              <w:rPr>
                <w:rFonts w:hint="eastAsia" w:ascii="宋体" w:hAnsi="宋体" w:eastAsia="宋体" w:cs="宋体"/>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拥有者性别</w:t>
            </w:r>
          </w:p>
        </w:tc>
        <w:tc>
          <w:tcPr>
            <w:tcW w:w="1259" w:type="pct"/>
            <w:tcBorders>
              <w:top w:val="single" w:color="auto" w:sz="2" w:space="0"/>
              <w:left w:val="single" w:color="auto" w:sz="2" w:space="0"/>
              <w:bottom w:val="single" w:color="auto" w:sz="2" w:space="0"/>
            </w:tcBorders>
            <w:vAlign w:val="center"/>
          </w:tcPr>
          <w:p w14:paraId="276E2437">
            <w:pPr>
              <w:adjustRightInd w:val="0"/>
              <w:snapToGrid w:val="0"/>
              <w:spacing w:line="360" w:lineRule="auto"/>
              <w:jc w:val="center"/>
              <w:rPr>
                <w:rFonts w:hint="eastAsia" w:ascii="宋体" w:hAnsi="宋体" w:eastAsia="宋体" w:cs="宋体"/>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住  所</w:t>
            </w:r>
          </w:p>
        </w:tc>
        <w:tc>
          <w:tcPr>
            <w:tcW w:w="1259" w:type="pct"/>
            <w:tcBorders>
              <w:top w:val="single" w:color="auto" w:sz="2" w:space="0"/>
              <w:left w:val="single" w:color="auto" w:sz="2" w:space="0"/>
              <w:bottom w:val="single" w:color="auto" w:sz="2" w:space="0"/>
            </w:tcBorders>
            <w:vAlign w:val="center"/>
          </w:tcPr>
          <w:p w14:paraId="42B8A6C3">
            <w:pPr>
              <w:adjustRightInd w:val="0"/>
              <w:snapToGrid w:val="0"/>
              <w:spacing w:line="360" w:lineRule="auto"/>
              <w:jc w:val="center"/>
              <w:rPr>
                <w:rFonts w:hint="eastAsia" w:ascii="宋体" w:hAnsi="宋体" w:eastAsia="宋体" w:cs="宋体"/>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adjustRightInd w:val="0"/>
              <w:snapToGrid w:val="0"/>
              <w:spacing w:line="360" w:lineRule="auto"/>
              <w:jc w:val="center"/>
              <w:rPr>
                <w:rFonts w:hint="eastAsia" w:ascii="宋体" w:hAnsi="宋体" w:eastAsia="宋体" w:cs="宋体"/>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adjustRightInd w:val="0"/>
              <w:snapToGrid w:val="0"/>
              <w:spacing w:line="360" w:lineRule="auto"/>
              <w:jc w:val="center"/>
              <w:rPr>
                <w:rFonts w:hint="eastAsia" w:ascii="宋体" w:hAnsi="宋体" w:eastAsia="宋体" w:cs="宋体"/>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p>
        </w:tc>
        <w:tc>
          <w:tcPr>
            <w:tcW w:w="1259" w:type="pct"/>
            <w:tcBorders>
              <w:top w:val="single" w:color="auto" w:sz="2" w:space="0"/>
              <w:left w:val="single" w:color="auto" w:sz="2" w:space="0"/>
              <w:bottom w:val="single" w:color="auto" w:sz="2" w:space="0"/>
            </w:tcBorders>
            <w:vAlign w:val="center"/>
          </w:tcPr>
          <w:p w14:paraId="5D5B0A04">
            <w:pPr>
              <w:adjustRightInd w:val="0"/>
              <w:snapToGrid w:val="0"/>
              <w:spacing w:line="360" w:lineRule="auto"/>
              <w:jc w:val="center"/>
              <w:rPr>
                <w:rFonts w:hint="eastAsia" w:ascii="宋体" w:hAnsi="宋体" w:eastAsia="宋体" w:cs="宋体"/>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adjustRightInd w:val="0"/>
              <w:snapToGrid w:val="0"/>
              <w:spacing w:line="360" w:lineRule="auto"/>
              <w:jc w:val="center"/>
              <w:rPr>
                <w:rFonts w:hint="eastAsia" w:ascii="宋体" w:hAnsi="宋体" w:eastAsia="宋体" w:cs="宋体"/>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adjustRightInd w:val="0"/>
              <w:snapToGrid w:val="0"/>
              <w:spacing w:line="360" w:lineRule="auto"/>
              <w:jc w:val="center"/>
              <w:rPr>
                <w:rFonts w:hint="eastAsia" w:ascii="宋体" w:hAnsi="宋体" w:eastAsia="宋体" w:cs="宋体"/>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adjustRightInd w:val="0"/>
              <w:snapToGrid w:val="0"/>
              <w:spacing w:line="360" w:lineRule="auto"/>
              <w:jc w:val="center"/>
              <w:rPr>
                <w:rFonts w:hint="eastAsia" w:ascii="宋体" w:hAnsi="宋体" w:eastAsia="宋体" w:cs="宋体"/>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adjustRightInd w:val="0"/>
              <w:snapToGrid w:val="0"/>
              <w:spacing w:line="360" w:lineRule="auto"/>
              <w:jc w:val="center"/>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adjustRightInd w:val="0"/>
              <w:snapToGrid w:val="0"/>
              <w:spacing w:line="360" w:lineRule="auto"/>
              <w:jc w:val="center"/>
              <w:rPr>
                <w:rFonts w:hint="eastAsia" w:ascii="宋体" w:hAnsi="宋体" w:eastAsia="宋体" w:cs="宋体"/>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adjustRightInd w:val="0"/>
              <w:snapToGrid w:val="0"/>
              <w:spacing w:line="360" w:lineRule="auto"/>
              <w:jc w:val="center"/>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adjustRightInd w:val="0"/>
              <w:snapToGrid w:val="0"/>
              <w:spacing w:line="360" w:lineRule="auto"/>
              <w:jc w:val="center"/>
              <w:rPr>
                <w:rFonts w:hint="eastAsia" w:ascii="宋体" w:hAnsi="宋体" w:eastAsia="宋体" w:cs="宋体"/>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adjustRightInd w:val="0"/>
              <w:snapToGrid w:val="0"/>
              <w:spacing w:line="360" w:lineRule="auto"/>
              <w:jc w:val="center"/>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adjustRightInd w:val="0"/>
              <w:snapToGrid w:val="0"/>
              <w:spacing w:line="360" w:lineRule="auto"/>
              <w:jc w:val="center"/>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adjustRightInd w:val="0"/>
              <w:snapToGrid w:val="0"/>
              <w:spacing w:line="360" w:lineRule="auto"/>
              <w:jc w:val="center"/>
              <w:rPr>
                <w:rFonts w:hint="eastAsia" w:ascii="宋体" w:hAnsi="宋体" w:eastAsia="宋体" w:cs="宋体"/>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10"/>
              <w:adjustRightInd w:val="0"/>
              <w:snapToGrid w:val="0"/>
              <w:spacing w:before="156" w:beforeLines="50" w:after="0" w:line="360" w:lineRule="auto"/>
              <w:ind w:left="0" w:leftChars="0"/>
              <w:jc w:val="left"/>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33AE4F50">
      <w:pPr>
        <w:pStyle w:val="5"/>
        <w:adjustRightInd w:val="0"/>
        <w:snapToGrid w:val="0"/>
        <w:spacing w:before="156" w:beforeLines="50"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56" w:name="_Toc27624"/>
      <w:r>
        <w:rPr>
          <w:rFonts w:hint="eastAsia" w:cs="@仿宋_GB2312" w:asciiTheme="minorEastAsia" w:hAnsiTheme="minorEastAsia" w:eastAsiaTheme="minorEastAsia"/>
          <w:bCs w:val="0"/>
          <w:color w:val="000000" w:themeColor="text1"/>
          <w:sz w:val="24"/>
          <w:szCs w:val="20"/>
          <w:highlight w:val="none"/>
          <w14:textFill>
            <w14:solidFill>
              <w14:schemeClr w14:val="tx1"/>
            </w14:solidFill>
          </w14:textFill>
        </w:rPr>
        <w:t>第二节 政府采购合同通用条款</w:t>
      </w:r>
      <w:bookmarkEnd w:id="56"/>
    </w:p>
    <w:p w14:paraId="4DE468AF">
      <w:pPr>
        <w:tabs>
          <w:tab w:val="left" w:pos="8820"/>
          <w:tab w:val="left" w:pos="9345"/>
          <w:tab w:val="left" w:pos="9765"/>
        </w:tabs>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sz w:val="24"/>
          <w:szCs w:val="24"/>
          <w:highlight w:val="none"/>
        </w:rPr>
        <w:t xml:space="preserve">1. </w:t>
      </w:r>
      <w:r>
        <w:rPr>
          <w:rFonts w:hint="eastAsia" w:ascii="宋体" w:hAnsi="宋体" w:eastAsia="宋体" w:cs="宋体"/>
          <w:b/>
          <w:bCs/>
          <w:sz w:val="24"/>
          <w:szCs w:val="24"/>
          <w:highlight w:val="none"/>
        </w:rPr>
        <w:t>定义</w:t>
      </w:r>
    </w:p>
    <w:p w14:paraId="3D8701FE">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0A68D9D0">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（1）采购人（以下称甲方）是指使用财政性资金，通过政府采购方式向供应商购买货物及其相关服务的国家机关、事业单位、团体组织。</w:t>
      </w:r>
    </w:p>
    <w:p w14:paraId="64FFA5F0">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（2）供应商（以下称乙方）是指参加政府采购活动并且中标（成交），向采购人提供合同约定的货物及其相关服务的法人、非法人组织或者自然人。</w:t>
      </w:r>
    </w:p>
    <w:p w14:paraId="6B2E3897">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sz w:val="24"/>
          <w:szCs w:val="24"/>
          <w:highlight w:val="none"/>
        </w:rPr>
        <w:t>。</w:t>
      </w:r>
    </w:p>
    <w:p w14:paraId="7AB928B0">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1.2本合同下列术语应解释为：</w:t>
      </w:r>
    </w:p>
    <w:p w14:paraId="47D2E4B4">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sz w:val="24"/>
          <w:szCs w:val="24"/>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themeColor="text1"/>
          <w:sz w:val="24"/>
          <w:szCs w:val="24"/>
          <w:highlight w:val="none"/>
          <w14:textFill>
            <w14:solidFill>
              <w14:schemeClr w14:val="tx1"/>
            </w14:solidFill>
          </w14:textFill>
        </w:rPr>
        <w:t>国家法律、行政法规和规章制度规定或合同约定的作为合同组成部分的其他文件</w:t>
      </w:r>
      <w:r>
        <w:rPr>
          <w:rFonts w:hint="eastAsia" w:ascii="宋体" w:hAnsi="宋体" w:eastAsia="宋体" w:cs="宋体"/>
          <w:sz w:val="24"/>
          <w:szCs w:val="24"/>
          <w:highlight w:val="none"/>
        </w:rPr>
        <w:t>。</w:t>
      </w:r>
    </w:p>
    <w:p w14:paraId="17ADE7CD">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（2）“合同价款”系指根据本合同规定乙方在全面履行合同义务后甲方应支付给乙方的价款。</w:t>
      </w:r>
    </w:p>
    <w:p w14:paraId="751C2E89">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rPr>
        <w:t>（3）“货物”系指乙方根据本合同规定须向甲方提供的各种形态和种类的物品，包括原材料、设备、产品（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技术资料和材料等。</w:t>
      </w:r>
    </w:p>
    <w:p w14:paraId="0F548A38">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sz w:val="24"/>
          <w:szCs w:val="24"/>
          <w:highlight w:val="none"/>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服务”系指根据合同规定，乙方应提供的与货物有关的技术、管理和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服务，包括但不限于：管理和质量保证、运输、保险、检验、现场准备、安装、集成、调试、培训、维修、废弃处置、技术支持等以及合同中规定乙方应承担的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1B56BC74">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5C42AF26">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sz w:val="24"/>
          <w:szCs w:val="24"/>
          <w:highlight w:val="none"/>
        </w:rPr>
        <w:t>“联合体”系指由两个以上的自然人、法人或者非法人组织组成，以一个供应商的身份共同参加政府采购的主体</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27EFBD31">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44C0B6AA">
      <w:pPr>
        <w:numPr>
          <w:ilvl w:val="0"/>
          <w:numId w:val="11"/>
        </w:numPr>
        <w:autoSpaceDE w:val="0"/>
        <w:autoSpaceDN w:val="0"/>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2987E3C6">
      <w:pPr>
        <w:autoSpaceDE w:val="0"/>
        <w:autoSpaceDN w:val="0"/>
        <w:adjustRightInd w:val="0"/>
        <w:snapToGrid w:val="0"/>
        <w:spacing w:line="360" w:lineRule="auto"/>
        <w:ind w:firstLine="480" w:firstLineChars="200"/>
        <w:jc w:val="left"/>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 合同标的及金额应与中标（成交）结果一致。乙方为履行本合同而发生的所有费用均应包含在合同价款中，甲方不再另行支付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049C74D0">
      <w:pPr>
        <w:adjustRightInd w:val="0"/>
        <w:snapToGrid w:val="0"/>
        <w:spacing w:line="360" w:lineRule="auto"/>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 履行合同的时间、地点和方式</w:t>
      </w:r>
    </w:p>
    <w:p w14:paraId="452E57C9">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3.1 </w:t>
      </w:r>
      <w:r>
        <w:rPr>
          <w:rFonts w:hint="eastAsia" w:ascii="宋体" w:hAnsi="宋体" w:eastAsia="宋体" w:cs="宋体"/>
          <w:sz w:val="24"/>
          <w:szCs w:val="24"/>
          <w:highlight w:val="none"/>
        </w:rPr>
        <w:t>乙方应当在约定的时间、地点，按照约定方式履行合同。</w:t>
      </w:r>
    </w:p>
    <w:p w14:paraId="26E6D180">
      <w:pPr>
        <w:autoSpaceDE w:val="0"/>
        <w:autoSpaceDN w:val="0"/>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 甲方的权利和义务</w:t>
      </w:r>
    </w:p>
    <w:p w14:paraId="40B0969F">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794B4037">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3EFE9990">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 甲方有权要求乙方对缺陷部分予以修复，并按合同约定享有货物保修及其他合同约定的权利。</w:t>
      </w:r>
    </w:p>
    <w:p w14:paraId="15EA225A">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4.4 甲方应当按照合同约定及时对交付的货物进行验收，</w:t>
      </w:r>
      <w:r>
        <w:rPr>
          <w:rFonts w:hint="eastAsia" w:ascii="宋体" w:hAnsi="宋体" w:eastAsia="宋体" w:cs="宋体"/>
          <w:sz w:val="24"/>
          <w:szCs w:val="24"/>
          <w:highlight w:val="none"/>
        </w:rPr>
        <w:t>未</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约定的期限内对乙方履约提出任何异议或者向乙方作出任何说明的，</w:t>
      </w:r>
      <w:r>
        <w:rPr>
          <w:rFonts w:hint="eastAsia" w:ascii="宋体" w:hAnsi="宋体" w:eastAsia="宋体" w:cs="宋体"/>
          <w:color w:val="000000" w:themeColor="text1"/>
          <w:sz w:val="24"/>
          <w:szCs w:val="24"/>
          <w:highlight w:val="none"/>
          <w14:textFill>
            <w14:solidFill>
              <w14:schemeClr w14:val="tx1"/>
            </w14:solidFill>
          </w14:textFill>
        </w:rPr>
        <w:t>视为验收通过。</w:t>
      </w:r>
    </w:p>
    <w:p w14:paraId="4069E33D">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4.5 甲方应当根据合同约定及时向乙方支付合同价款，不得以内部人员变更、履行内部付款流程等为由，拒绝或迟延支付。</w:t>
      </w:r>
    </w:p>
    <w:p w14:paraId="5ACB74D4">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4.6 国家法律法规规定及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约定应由甲方承担的其他义务和责任。</w:t>
      </w:r>
    </w:p>
    <w:p w14:paraId="1EE2D114">
      <w:pPr>
        <w:autoSpaceDE w:val="0"/>
        <w:autoSpaceDN w:val="0"/>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5. 乙方的权利和义务</w:t>
      </w:r>
    </w:p>
    <w:p w14:paraId="68FC6AAC">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 签署合同后，乙方应确定项目负责人（或项目联系人），负责与本合同有关的事务。</w:t>
      </w:r>
    </w:p>
    <w:p w14:paraId="36C16166">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DBFBC22">
      <w:pPr>
        <w:pStyle w:val="2"/>
        <w:spacing w:after="0" w:line="360" w:lineRule="auto"/>
        <w:ind w:firstLine="422" w:firstLineChars="17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5.3乙方有权根据合同约定向甲方收取合同价款。</w:t>
      </w:r>
    </w:p>
    <w:p w14:paraId="113BD4B1">
      <w:pPr>
        <w:pStyle w:val="2"/>
        <w:spacing w:after="0" w:line="360" w:lineRule="auto"/>
        <w:ind w:firstLine="422" w:firstLineChars="176"/>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5.4国家法律法规规定及</w:t>
      </w:r>
      <w:r>
        <w:rPr>
          <w:rFonts w:hint="eastAsia" w:ascii="宋体" w:hAnsi="宋体" w:eastAsia="宋体" w:cs="宋体"/>
          <w:b/>
          <w:bCs/>
          <w:sz w:val="24"/>
          <w:highlight w:val="none"/>
        </w:rPr>
        <w:t>【政府采购合同专用条款】</w:t>
      </w:r>
      <w:r>
        <w:rPr>
          <w:rFonts w:hint="eastAsia" w:ascii="宋体" w:hAnsi="宋体" w:eastAsia="宋体" w:cs="宋体"/>
          <w:sz w:val="24"/>
          <w:highlight w:val="none"/>
        </w:rPr>
        <w:t>约定应</w:t>
      </w:r>
      <w:r>
        <w:rPr>
          <w:rFonts w:hint="eastAsia" w:ascii="宋体" w:hAnsi="宋体" w:eastAsia="宋体" w:cs="宋体"/>
          <w:color w:val="000000" w:themeColor="text1"/>
          <w:sz w:val="24"/>
          <w:highlight w:val="none"/>
          <w14:textFill>
            <w14:solidFill>
              <w14:schemeClr w14:val="tx1"/>
            </w14:solidFill>
          </w14:textFill>
        </w:rPr>
        <w:t>由乙方承担的其他义务和责任。</w:t>
      </w:r>
    </w:p>
    <w:p w14:paraId="4EE36645">
      <w:pPr>
        <w:numPr>
          <w:ilvl w:val="0"/>
          <w:numId w:val="12"/>
        </w:numPr>
        <w:autoSpaceDE w:val="0"/>
        <w:autoSpaceDN w:val="0"/>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合同履行</w:t>
      </w:r>
    </w:p>
    <w:p w14:paraId="258D78E9">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59F60386">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14612F9D">
      <w:pPr>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7. 货物包装、运输、保险和交付要求</w:t>
      </w:r>
    </w:p>
    <w:p w14:paraId="7B572DF6">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另有约定外，</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0EC4E7A0">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另有约定外，</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乙方负责办理将货物运抵本合同规定的交货地点，并装卸、交付至甲方的一切运输事项，相关费用应包含在合同价款中。</w:t>
      </w:r>
    </w:p>
    <w:p w14:paraId="1C729CB7">
      <w:pPr>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4C0D164E">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D1178C6">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乙方在运输到达之前应提前通知甲方，并提示货物运输装卸的注意事项，甲方配合乙方做好货物的接收工作。</w:t>
      </w:r>
    </w:p>
    <w:p w14:paraId="754A4C6C">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color w:val="000000" w:themeColor="text1"/>
          <w:kern w:val="2"/>
          <w:sz w:val="24"/>
          <w:szCs w:val="24"/>
          <w:highlight w:val="none"/>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如因包装、运输问题导致货物</w:t>
      </w:r>
      <w:r>
        <w:rPr>
          <w:rFonts w:hint="eastAsia" w:ascii="宋体" w:hAnsi="宋体" w:eastAsia="宋体" w:cs="宋体"/>
          <w:color w:val="000000" w:themeColor="text1"/>
          <w:kern w:val="2"/>
          <w:sz w:val="24"/>
          <w:szCs w:val="24"/>
          <w:highlight w:val="none"/>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或者品质下降，甲方有权要求降价、换货、拒收部分或整批货物，由此产生的费用和损失，均由乙方承担。</w:t>
      </w:r>
    </w:p>
    <w:p w14:paraId="031C60C5">
      <w:pPr>
        <w:adjustRightInd w:val="0"/>
        <w:snapToGrid w:val="0"/>
        <w:spacing w:line="360" w:lineRule="auto"/>
        <w:jc w:val="left"/>
        <w:rPr>
          <w:rFonts w:hint="eastAsia" w:ascii="宋体" w:hAnsi="宋体" w:eastAsia="宋体" w:cs="宋体"/>
          <w:b/>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 xml:space="preserve">8. </w:t>
      </w:r>
      <w:r>
        <w:rPr>
          <w:rFonts w:hint="eastAsia" w:ascii="宋体" w:hAnsi="宋体" w:eastAsia="宋体" w:cs="宋体"/>
          <w:b/>
          <w:sz w:val="24"/>
          <w:szCs w:val="24"/>
          <w:highlight w:val="none"/>
        </w:rPr>
        <w:t>质量标准和保证</w:t>
      </w:r>
    </w:p>
    <w:p w14:paraId="610FD084">
      <w:pPr>
        <w:pStyle w:val="12"/>
        <w:adjustRightInd w:val="0"/>
        <w:snapToGrid w:val="0"/>
        <w:spacing w:line="360" w:lineRule="auto"/>
        <w:ind w:firstLine="480" w:firstLineChars="200"/>
        <w:jc w:val="left"/>
        <w:rPr>
          <w:rFonts w:hint="eastAsia" w:hAnsi="宋体" w:eastAsia="宋体" w:cs="宋体"/>
          <w:b/>
          <w:sz w:val="24"/>
          <w:szCs w:val="24"/>
          <w:highlight w:val="none"/>
        </w:rPr>
      </w:pPr>
      <w:r>
        <w:rPr>
          <w:rFonts w:hint="eastAsia" w:hAnsi="宋体" w:eastAsia="宋体" w:cs="宋体"/>
          <w:sz w:val="24"/>
          <w:szCs w:val="24"/>
          <w:highlight w:val="none"/>
        </w:rPr>
        <w:t>8.1 质量标准</w:t>
      </w:r>
    </w:p>
    <w:p w14:paraId="4811CC4A">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（1）本合同下提供的货物应符合合同</w:t>
      </w:r>
      <w:r>
        <w:rPr>
          <w:rFonts w:hint="eastAsia" w:ascii="宋体" w:hAnsi="宋体" w:eastAsia="宋体" w:cs="宋体"/>
          <w:color w:val="000000"/>
          <w:sz w:val="24"/>
          <w:szCs w:val="24"/>
          <w:highlight w:val="none"/>
        </w:rPr>
        <w:t>约定的</w:t>
      </w:r>
      <w:r>
        <w:rPr>
          <w:rFonts w:hint="eastAsia" w:ascii="宋体" w:hAnsi="宋体" w:eastAsia="宋体" w:cs="宋体"/>
          <w:sz w:val="24"/>
          <w:szCs w:val="24"/>
          <w:highlight w:val="none"/>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738D356">
      <w:pPr>
        <w:pStyle w:val="12"/>
        <w:adjustRightInd w:val="0"/>
        <w:snapToGrid w:val="0"/>
        <w:spacing w:line="360" w:lineRule="auto"/>
        <w:ind w:firstLine="480" w:firstLineChars="200"/>
        <w:jc w:val="left"/>
        <w:rPr>
          <w:rFonts w:hint="eastAsia" w:hAnsi="宋体" w:eastAsia="宋体" w:cs="宋体"/>
          <w:sz w:val="24"/>
          <w:szCs w:val="24"/>
          <w:highlight w:val="none"/>
        </w:rPr>
      </w:pPr>
      <w:r>
        <w:rPr>
          <w:rFonts w:hint="eastAsia" w:hAnsi="宋体" w:eastAsia="宋体" w:cs="宋体"/>
          <w:sz w:val="24"/>
          <w:szCs w:val="24"/>
          <w:highlight w:val="none"/>
        </w:rPr>
        <w:t>（2）采用中华人民共和国法定计量单位。</w:t>
      </w:r>
    </w:p>
    <w:p w14:paraId="25290485">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（3）乙方所提供的货物应符合国家有关安全、环保、卫生的规定。</w:t>
      </w:r>
    </w:p>
    <w:p w14:paraId="697E8503">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（4）乙方应向甲方提交所提供货物的技术文件，包括相应的中文技术文件，如：产品目录、图纸、操作手册、使用说明、维护手册或服务指南等。上述文件应包装好随货物一同发运。</w:t>
      </w:r>
    </w:p>
    <w:p w14:paraId="39E947C0">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8.2 保证</w:t>
      </w:r>
    </w:p>
    <w:p w14:paraId="2D06C9BD">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规定或乙方书面承诺（两者以较长的为准）的质量保证期内，本保证保持有效。</w:t>
      </w:r>
    </w:p>
    <w:p w14:paraId="7864247E">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（2）在质量保证期内所发现的缺陷，甲方应尽快以书面形式通知乙方。</w:t>
      </w:r>
    </w:p>
    <w:p w14:paraId="16909D92">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（3）乙方收到通知后，应在</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规定的响应时间内以合理的速度免费维修或更换有缺陷的货物或部件。</w:t>
      </w:r>
    </w:p>
    <w:p w14:paraId="1966061E">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sz w:val="24"/>
          <w:szCs w:val="24"/>
          <w:highlight w:val="none"/>
        </w:rPr>
        <w:t>.1条规定以书面形式</w:t>
      </w:r>
      <w:r>
        <w:rPr>
          <w:rFonts w:hint="eastAsia" w:ascii="宋体" w:hAnsi="宋体" w:eastAsia="宋体" w:cs="宋体"/>
          <w:color w:val="000000" w:themeColor="text1"/>
          <w:sz w:val="24"/>
          <w:szCs w:val="24"/>
          <w:highlight w:val="none"/>
          <w14:textFill>
            <w14:solidFill>
              <w14:schemeClr w14:val="tx1"/>
            </w14:solidFill>
          </w14:textFill>
        </w:rPr>
        <w:t>追究</w:t>
      </w:r>
      <w:r>
        <w:rPr>
          <w:rFonts w:hint="eastAsia" w:ascii="宋体" w:hAnsi="宋体" w:eastAsia="宋体" w:cs="宋体"/>
          <w:sz w:val="24"/>
          <w:szCs w:val="24"/>
          <w:highlight w:val="none"/>
        </w:rPr>
        <w:t>乙方</w:t>
      </w:r>
      <w:r>
        <w:rPr>
          <w:rFonts w:hint="eastAsia" w:ascii="宋体" w:hAnsi="宋体" w:eastAsia="宋体" w:cs="宋体"/>
          <w:color w:val="000000" w:themeColor="text1"/>
          <w:sz w:val="24"/>
          <w:szCs w:val="24"/>
          <w:highlight w:val="none"/>
          <w14:textFill>
            <w14:solidFill>
              <w14:schemeClr w14:val="tx1"/>
            </w14:solidFill>
          </w14:textFill>
        </w:rPr>
        <w:t>的违约责任</w:t>
      </w:r>
      <w:r>
        <w:rPr>
          <w:rFonts w:hint="eastAsia" w:ascii="宋体" w:hAnsi="宋体" w:eastAsia="宋体" w:cs="宋体"/>
          <w:sz w:val="24"/>
          <w:szCs w:val="24"/>
          <w:highlight w:val="none"/>
        </w:rPr>
        <w:t>。</w:t>
      </w:r>
    </w:p>
    <w:p w14:paraId="2A4F63C3">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（5）乙方在约定的时间内未能弥补缺陷，甲方可采取必要的补救措施，但其风险和费用将由乙方承担，甲方根据合同约定对乙方行使的其他权利不受影响。</w:t>
      </w:r>
    </w:p>
    <w:p w14:paraId="1E2C413E">
      <w:pPr>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color w:val="000000" w:themeColor="text1"/>
          <w:sz w:val="24"/>
          <w:szCs w:val="24"/>
          <w:highlight w:val="none"/>
          <w14:textFill>
            <w14:solidFill>
              <w14:schemeClr w14:val="tx1"/>
            </w14:solidFill>
          </w14:textFill>
        </w:rPr>
        <w:t>9</w:t>
      </w:r>
      <w:r>
        <w:rPr>
          <w:rFonts w:hint="eastAsia" w:ascii="宋体" w:hAnsi="宋体" w:eastAsia="宋体" w:cs="宋体"/>
          <w:b/>
          <w:bCs/>
          <w:sz w:val="24"/>
          <w:szCs w:val="24"/>
          <w:highlight w:val="none"/>
        </w:rPr>
        <w:t>.</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b/>
          <w:bCs/>
          <w:sz w:val="24"/>
          <w:szCs w:val="24"/>
          <w:highlight w:val="none"/>
        </w:rPr>
        <w:t>权利瑕疵担保</w:t>
      </w:r>
    </w:p>
    <w:p w14:paraId="0A8837EC">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9.1 乙方保证对其出售的货物享有合法的权利。</w:t>
      </w:r>
    </w:p>
    <w:p w14:paraId="5AF4EC1C">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9.2 </w:t>
      </w:r>
      <w:r>
        <w:rPr>
          <w:rFonts w:hint="eastAsia" w:ascii="宋体" w:hAnsi="宋体" w:eastAsia="宋体" w:cs="宋体"/>
          <w:sz w:val="24"/>
          <w:szCs w:val="24"/>
          <w:highlight w:val="none"/>
        </w:rPr>
        <w:t>乙方保证在交付的货物上不存在抵押权等担保物权。</w:t>
      </w:r>
    </w:p>
    <w:p w14:paraId="5A209C18">
      <w:pPr>
        <w:autoSpaceDE w:val="0"/>
        <w:autoSpaceDN w:val="0"/>
        <w:adjustRightInd w:val="0"/>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9.3 如甲方使用上述货物构成对第三人侵权的，则由乙方承担全部责任。</w:t>
      </w:r>
    </w:p>
    <w:p w14:paraId="61B8F36E">
      <w:pPr>
        <w:autoSpaceDE w:val="0"/>
        <w:autoSpaceDN w:val="0"/>
        <w:adjustRightInd w:val="0"/>
        <w:snapToGrid w:val="0"/>
        <w:spacing w:line="360" w:lineRule="auto"/>
        <w:jc w:val="lef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10. 知识产权保护</w:t>
      </w:r>
    </w:p>
    <w:p w14:paraId="1E8BCD88">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10.1 乙方对其所销售的货物应当享有知识产权或经权利人合法授权，保证没有侵犯任</w:t>
      </w:r>
      <w:r>
        <w:rPr>
          <w:rFonts w:hint="eastAsia" w:ascii="宋体" w:hAnsi="宋体" w:eastAsia="宋体" w:cs="宋体"/>
          <w:sz w:val="24"/>
          <w:szCs w:val="24"/>
          <w:highlight w:val="none"/>
        </w:rPr>
        <w:t>何第三人的知识产权等权利。</w:t>
      </w:r>
      <w:bookmarkStart w:id="57"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57"/>
      <w:r>
        <w:rPr>
          <w:rFonts w:hint="eastAsia" w:ascii="宋体" w:hAnsi="宋体" w:eastAsia="宋体" w:cs="宋体"/>
          <w:sz w:val="24"/>
          <w:szCs w:val="24"/>
          <w:highlight w:val="none"/>
        </w:rPr>
        <w:t>。</w:t>
      </w:r>
    </w:p>
    <w:p w14:paraId="02879CDB">
      <w:pPr>
        <w:autoSpaceDE w:val="0"/>
        <w:autoSpaceDN w:val="0"/>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11. 保密义务</w:t>
      </w:r>
    </w:p>
    <w:p w14:paraId="47E400BA">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C812456">
      <w:pPr>
        <w:autoSpaceDE w:val="0"/>
        <w:autoSpaceDN w:val="0"/>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12. 合同价款支付</w:t>
      </w:r>
    </w:p>
    <w:p w14:paraId="1E57F75B">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12.1 合同价款支付按照国库集中支付制度及财政管理相关规定执行。</w:t>
      </w:r>
    </w:p>
    <w:p w14:paraId="32A5940B">
      <w:pPr>
        <w:pStyle w:val="5"/>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sz w:val="24"/>
          <w:szCs w:val="24"/>
          <w:highlight w:val="none"/>
        </w:rPr>
        <w:t>政府采购合同专用条款</w:t>
      </w:r>
      <w:r>
        <w:rPr>
          <w:rFonts w:hint="eastAsia" w:ascii="宋体" w:hAnsi="宋体" w:eastAsia="宋体" w:cs="宋体"/>
          <w:b w:val="0"/>
          <w:bCs w:val="0"/>
          <w:sz w:val="24"/>
          <w:szCs w:val="24"/>
          <w:highlight w:val="none"/>
        </w:rPr>
        <w:t>】中约定。</w:t>
      </w:r>
    </w:p>
    <w:p w14:paraId="59BC7762">
      <w:pPr>
        <w:pStyle w:val="2"/>
        <w:spacing w:after="0"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13.</w:t>
      </w:r>
      <w:r>
        <w:rPr>
          <w:rFonts w:hint="eastAsia" w:ascii="宋体" w:hAnsi="宋体" w:eastAsia="宋体" w:cs="宋体"/>
          <w:b/>
          <w:bCs/>
          <w:sz w:val="24"/>
          <w:highlight w:val="none"/>
          <w:lang w:val="en-US"/>
        </w:rPr>
        <w:t xml:space="preserve"> </w:t>
      </w:r>
      <w:r>
        <w:rPr>
          <w:rFonts w:hint="eastAsia" w:ascii="宋体" w:hAnsi="宋体" w:eastAsia="宋体" w:cs="宋体"/>
          <w:b/>
          <w:bCs/>
          <w:sz w:val="24"/>
          <w:highlight w:val="none"/>
        </w:rPr>
        <w:t>履约保证金</w:t>
      </w:r>
    </w:p>
    <w:p w14:paraId="23B0F6A7">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 乙方应当以支票、汇票、本票或者金融机构、担保机构出具的保函等非现金形式提交。</w:t>
      </w:r>
    </w:p>
    <w:p w14:paraId="6F573720">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13.2 如果乙方出现</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049634C8">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13.3 甲方在项目通过验收后按照</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规定的时间内将履约保证金退还乙方；逾期退还的，乙方可要求甲方支付违约金，违约金按照</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规定支付。</w:t>
      </w:r>
    </w:p>
    <w:p w14:paraId="5F0CB35B">
      <w:pPr>
        <w:autoSpaceDE w:val="0"/>
        <w:autoSpaceDN w:val="0"/>
        <w:adjustRightInd w:val="0"/>
        <w:snapToGrid w:val="0"/>
        <w:spacing w:line="360" w:lineRule="auto"/>
        <w:jc w:val="left"/>
        <w:rPr>
          <w:rFonts w:hint="eastAsia" w:ascii="宋体" w:hAnsi="宋体" w:eastAsia="宋体" w:cs="宋体"/>
          <w:b/>
          <w:sz w:val="24"/>
          <w:szCs w:val="24"/>
          <w:highlight w:val="none"/>
        </w:rPr>
      </w:pPr>
      <w:r>
        <w:rPr>
          <w:rFonts w:hint="eastAsia" w:ascii="宋体" w:hAnsi="宋体" w:eastAsia="宋体" w:cs="宋体"/>
          <w:b/>
          <w:bCs/>
          <w:sz w:val="24"/>
          <w:szCs w:val="24"/>
          <w:highlight w:val="none"/>
        </w:rPr>
        <w:t xml:space="preserve">14. </w:t>
      </w:r>
      <w:r>
        <w:rPr>
          <w:rFonts w:hint="eastAsia" w:ascii="宋体" w:hAnsi="宋体" w:eastAsia="宋体" w:cs="宋体"/>
          <w:b/>
          <w:sz w:val="24"/>
          <w:szCs w:val="24"/>
          <w:highlight w:val="none"/>
        </w:rPr>
        <w:t>售后服务</w:t>
      </w:r>
    </w:p>
    <w:p w14:paraId="3B02851E">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14.1 除项目不涉及或采购活动中明确约定无须承担外，乙方还应提供下列服务：</w:t>
      </w:r>
    </w:p>
    <w:p w14:paraId="25EF9D5C">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（1）货物的现场移动、安装、调试、启动监督及技术支持；</w:t>
      </w:r>
    </w:p>
    <w:p w14:paraId="77AFDD7E">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（2）提供货物组装和维修所需的专用工具和辅助材料；</w:t>
      </w:r>
    </w:p>
    <w:p w14:paraId="7EA024A9">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约定的期限内对所有的货物实施运行监督、维修，但前提条件是该服务并不能免除乙方在质量保证期内所承担的义务；</w:t>
      </w:r>
    </w:p>
    <w:p w14:paraId="46111C30">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（4）在制造商所在地或指定现场就货物的安装、启动、运营、维护、废弃处置等对甲方操作人员进行培训；</w:t>
      </w:r>
    </w:p>
    <w:p w14:paraId="594C4B0D">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3A5030D">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规定由乙方提供的其他服务。</w:t>
      </w:r>
    </w:p>
    <w:p w14:paraId="51431BCF">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14.2 乙方提供的售后服务的费用已包含在合同价款中，甲方不再另行支付。</w:t>
      </w:r>
    </w:p>
    <w:p w14:paraId="516EAD82">
      <w:pPr>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15. 违约责任</w:t>
      </w:r>
    </w:p>
    <w:p w14:paraId="4D057FDE">
      <w:pPr>
        <w:adjustRightInd w:val="0"/>
        <w:snapToGrid w:val="0"/>
        <w:spacing w:line="360" w:lineRule="auto"/>
        <w:ind w:firstLine="480" w:firstLineChars="200"/>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15.1质量瑕疵的违约责任</w:t>
      </w:r>
    </w:p>
    <w:p w14:paraId="1DE96CE3">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乙方提供的产品不符合合同约定的质量标准或存在产品质量缺陷，甲方有权要求乙方根据</w:t>
      </w:r>
      <w:r>
        <w:rPr>
          <w:rFonts w:hint="eastAsia" w:ascii="宋体" w:hAnsi="宋体" w:eastAsia="宋体" w:cs="宋体"/>
          <w:b/>
          <w:sz w:val="24"/>
          <w:szCs w:val="24"/>
          <w:highlight w:val="none"/>
        </w:rPr>
        <w:t>【政府采购合同专用条款】</w:t>
      </w:r>
      <w:r>
        <w:rPr>
          <w:rFonts w:hint="eastAsia" w:ascii="宋体" w:hAnsi="宋体" w:eastAsia="宋体" w:cs="宋体"/>
          <w:bCs/>
          <w:sz w:val="24"/>
          <w:szCs w:val="24"/>
          <w:highlight w:val="none"/>
        </w:rPr>
        <w:t>要求</w:t>
      </w:r>
      <w:r>
        <w:rPr>
          <w:rFonts w:hint="eastAsia" w:ascii="宋体" w:hAnsi="宋体" w:eastAsia="宋体" w:cs="宋体"/>
          <w:sz w:val="24"/>
          <w:szCs w:val="24"/>
          <w:highlight w:val="none"/>
        </w:rPr>
        <w:t>及时修理、重作、更换，并承担由此给甲方造成的损失。</w:t>
      </w:r>
    </w:p>
    <w:p w14:paraId="5FD6631E">
      <w:pPr>
        <w:autoSpaceDE w:val="0"/>
        <w:autoSpaceDN w:val="0"/>
        <w:adjustRightInd w:val="0"/>
        <w:snapToGrid w:val="0"/>
        <w:spacing w:line="360" w:lineRule="auto"/>
        <w:ind w:firstLine="480" w:firstLineChars="200"/>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15.2 迟延交货的违约责任</w:t>
      </w:r>
    </w:p>
    <w:p w14:paraId="136C913B">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4EB2F73">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sz w:val="24"/>
          <w:szCs w:val="24"/>
          <w:highlight w:val="none"/>
        </w:rPr>
        <w:t>【政府采购合同专用条款】</w:t>
      </w:r>
      <w:r>
        <w:rPr>
          <w:rFonts w:hint="eastAsia" w:ascii="宋体" w:hAnsi="宋体" w:eastAsia="宋体" w:cs="宋体"/>
          <w:sz w:val="24"/>
          <w:szCs w:val="24"/>
          <w:highlight w:val="none"/>
        </w:rPr>
        <w:t>规定执行。如果涉及公共利益，且赔偿金额无法弥补公共利益损失，甲方可要求继续履行或者采取其他补救措施。</w:t>
      </w:r>
    </w:p>
    <w:p w14:paraId="78E3C742">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15.3 迟延支付的违约责任</w:t>
      </w:r>
    </w:p>
    <w:p w14:paraId="2ED2B71F">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甲方存在迟延支付乙方合同款项的，应当承担</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规定的逾期付款利息。</w:t>
      </w:r>
    </w:p>
    <w:p w14:paraId="41358989">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15.4其他违约责任根据项目实际需要按</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规定执行。</w:t>
      </w:r>
    </w:p>
    <w:p w14:paraId="766B1A08">
      <w:pPr>
        <w:numPr>
          <w:ilvl w:val="0"/>
          <w:numId w:val="13"/>
        </w:numPr>
        <w:autoSpaceDE w:val="0"/>
        <w:autoSpaceDN w:val="0"/>
        <w:adjustRightInd w:val="0"/>
        <w:snapToGrid w:val="0"/>
        <w:spacing w:line="360" w:lineRule="auto"/>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合同变更、中止与终止</w:t>
      </w:r>
    </w:p>
    <w:p w14:paraId="440876DC">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16.1合同的变更</w:t>
      </w:r>
    </w:p>
    <w:p w14:paraId="3516806C">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政府采购合同履行中，在不改变合同其他条款的前提下，甲方可以在合同价款10%的范围内追加与合同标的相同的货物，并就此与乙方协商一致后签订补充协议。</w:t>
      </w:r>
    </w:p>
    <w:p w14:paraId="00EAF56E">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16.2合同的中止</w:t>
      </w:r>
    </w:p>
    <w:p w14:paraId="64D60DC6">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（1）合同履行过程中因供应商就采购文件、采购过程或结果提起投诉的，甲方认为有必要的，可以中止合同的履行。</w:t>
      </w:r>
    </w:p>
    <w:p w14:paraId="7E8293A6">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9CE4C1C">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557939F8">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（4）甲方不得以行政区划调整、政府换届、机构或者职能调整以及相关责任人更替为由中止合同。</w:t>
      </w:r>
    </w:p>
    <w:p w14:paraId="5D4DBD77">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16.3合同的终止</w:t>
      </w:r>
    </w:p>
    <w:p w14:paraId="7EBFDDFF">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（1）合同因有效期限届满而终止；</w:t>
      </w:r>
    </w:p>
    <w:p w14:paraId="37CF92A7">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（2）乙方未按合同约定履行，构成根本性违约的，甲方有权终止合同，并追究乙方的违约责任。</w:t>
      </w:r>
    </w:p>
    <w:p w14:paraId="4813795D">
      <w:pPr>
        <w:pStyle w:val="60"/>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16.4 </w:t>
      </w:r>
      <w:r>
        <w:rPr>
          <w:rFonts w:hint="eastAsia" w:ascii="宋体" w:hAnsi="宋体" w:eastAsia="宋体" w:cs="宋体"/>
          <w:kern w:val="2"/>
          <w:sz w:val="24"/>
          <w:szCs w:val="24"/>
          <w:highlight w:val="none"/>
        </w:rPr>
        <w:t>涉及国家利益、社会公共利益的情形</w:t>
      </w:r>
    </w:p>
    <w:p w14:paraId="11202C94">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67AB6136">
      <w:pPr>
        <w:autoSpaceDE w:val="0"/>
        <w:autoSpaceDN w:val="0"/>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17. 合同分包</w:t>
      </w:r>
    </w:p>
    <w:p w14:paraId="37A4C480">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17.1 乙方不得将合同转包给其他供应商。涉及合同分包的，乙方应根据采购文件和投标（响应）文件规定进行合同分包。</w:t>
      </w:r>
    </w:p>
    <w:p w14:paraId="5D1CECA3">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17.2 乙方执行政府采购政策向中小企业依法分包的，乙方应当按采购文件和投标（响应）文件签订分包意向协议，分包意向协议属于本合同组成部分。</w:t>
      </w:r>
    </w:p>
    <w:p w14:paraId="5FCE3A7E">
      <w:pPr>
        <w:autoSpaceDE w:val="0"/>
        <w:autoSpaceDN w:val="0"/>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18. 不可抗力</w:t>
      </w:r>
    </w:p>
    <w:p w14:paraId="396878B2">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18.1 不可抗力是指合同双方不能预见、不能避免且不能克服的客观情况。</w:t>
      </w:r>
    </w:p>
    <w:p w14:paraId="6DF2372D">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18.2 任何一方对由于不可抗力造成的部分或全部不能履行合同不承担违约责任。但迟延履行后发生不可抗力的，不能免除责任。</w:t>
      </w:r>
    </w:p>
    <w:p w14:paraId="0D33D716">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97E71B0">
      <w:pPr>
        <w:autoSpaceDE w:val="0"/>
        <w:autoSpaceDN w:val="0"/>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19. 解决争议的方法</w:t>
      </w:r>
    </w:p>
    <w:p w14:paraId="062CC2F2">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6A2A3AEA">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19.2 选择仲裁的，应在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2A1B1022">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19.3 如甲乙双方有争议的事项不影响合同其他部分的履行，在争议解决期间，合同其他部分应当继续履行。</w:t>
      </w:r>
    </w:p>
    <w:p w14:paraId="3BEE2A07">
      <w:pPr>
        <w:autoSpaceDE w:val="0"/>
        <w:autoSpaceDN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b/>
          <w:sz w:val="24"/>
          <w:szCs w:val="24"/>
          <w:highlight w:val="none"/>
        </w:rPr>
        <w:t>20. 政府采购政策</w:t>
      </w:r>
    </w:p>
    <w:p w14:paraId="4F3C7FDF">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20.1 </w:t>
      </w:r>
      <w:r>
        <w:rPr>
          <w:rFonts w:hint="eastAsia" w:ascii="宋体" w:hAnsi="宋体" w:eastAsia="宋体" w:cs="宋体"/>
          <w:sz w:val="24"/>
          <w:szCs w:val="24"/>
          <w:highlight w:val="none"/>
          <w:lang w:val="en-GB"/>
        </w:rPr>
        <w:t>本合同应当按照规定执行政府采购政策。</w:t>
      </w:r>
    </w:p>
    <w:p w14:paraId="43936D0A">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20.2 本合同依法执行政府采购政策的方式和内容，属于合同履约验收的范围。甲乙双方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sz w:val="24"/>
          <w:szCs w:val="24"/>
          <w:highlight w:val="none"/>
        </w:rPr>
        <w:t>，有过错的一方应当承担赔偿责任，双方都有过错的，各自承担相应的责任。</w:t>
      </w:r>
    </w:p>
    <w:p w14:paraId="388856D8">
      <w:pPr>
        <w:pStyle w:val="2"/>
        <w:spacing w:after="0"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sz w:val="24"/>
          <w:highlight w:val="none"/>
          <w:lang w:val="en-US"/>
        </w:rPr>
        <w:t>0</w:t>
      </w:r>
      <w:r>
        <w:rPr>
          <w:rFonts w:hint="eastAsia" w:ascii="宋体" w:hAnsi="宋体" w:eastAsia="宋体" w:cs="宋体"/>
          <w:sz w:val="24"/>
          <w:highlight w:val="none"/>
        </w:rPr>
        <w:t>.</w:t>
      </w:r>
      <w:r>
        <w:rPr>
          <w:rFonts w:hint="eastAsia" w:ascii="宋体" w:hAnsi="宋体" w:eastAsia="宋体" w:cs="宋体"/>
          <w:sz w:val="24"/>
          <w:highlight w:val="none"/>
          <w:lang w:val="en-US"/>
        </w:rPr>
        <w:t>3</w:t>
      </w:r>
      <w:r>
        <w:rPr>
          <w:rFonts w:hint="eastAsia" w:ascii="宋体" w:hAnsi="宋体" w:eastAsia="宋体" w:cs="宋体"/>
          <w:sz w:val="24"/>
          <w:highlight w:val="none"/>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autoSpaceDE w:val="0"/>
        <w:autoSpaceDN w:val="0"/>
        <w:adjustRightInd w:val="0"/>
        <w:snapToGrid w:val="0"/>
        <w:spacing w:line="360" w:lineRule="auto"/>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21. 法律适用</w:t>
      </w:r>
    </w:p>
    <w:p w14:paraId="5EB3A14F">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21.1 本合同的订立、生效、解释、履行及与本合同有关的争议解决，均适用法律、行政法规。</w:t>
      </w:r>
    </w:p>
    <w:p w14:paraId="1C0077CD">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21.2 本合同条款与法律、行政法规的强制性规定不一致的，双方当事人应按照法律、行政法规的强制性规定修改本合同的相关条款。</w:t>
      </w:r>
    </w:p>
    <w:p w14:paraId="14FB2268">
      <w:pPr>
        <w:numPr>
          <w:ilvl w:val="255"/>
          <w:numId w:val="0"/>
        </w:numPr>
        <w:autoSpaceDE w:val="0"/>
        <w:autoSpaceDN w:val="0"/>
        <w:adjustRightInd w:val="0"/>
        <w:snapToGrid w:val="0"/>
        <w:spacing w:line="360" w:lineRule="auto"/>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22. 通知</w:t>
      </w:r>
    </w:p>
    <w:p w14:paraId="00537406">
      <w:pPr>
        <w:pStyle w:val="60"/>
        <w:spacing w:line="360" w:lineRule="auto"/>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22.1 本合同任何一方向对方发出的通知、信件、数据电文等，应当发送至本合同第一部分《政府采购合同协议书》所约定的通讯地址、联系人、联系电话或电子邮箱。</w:t>
      </w:r>
    </w:p>
    <w:p w14:paraId="26F8F1BA">
      <w:pPr>
        <w:pStyle w:val="60"/>
        <w:spacing w:line="360" w:lineRule="auto"/>
        <w:ind w:firstLine="0" w:firstLine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59A2FD8F">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22.3本合同一方给另一方的通知均应采用书面形式，传真或快递送到本合同中规定的对方的地址和办理签收手续。</w:t>
      </w:r>
    </w:p>
    <w:p w14:paraId="61F76830">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22.4通知以送达之日或通知书中规定的生效之日起生效，两者中以较迟之日为准。</w:t>
      </w:r>
    </w:p>
    <w:p w14:paraId="7C6E0983">
      <w:pPr>
        <w:numPr>
          <w:ilvl w:val="0"/>
          <w:numId w:val="14"/>
        </w:numPr>
        <w:adjustRightInd w:val="0"/>
        <w:snapToGrid w:val="0"/>
        <w:spacing w:line="360" w:lineRule="auto"/>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合同未尽事项</w:t>
      </w:r>
    </w:p>
    <w:p w14:paraId="2E9532E9">
      <w:pPr>
        <w:adjustRightInd w:val="0"/>
        <w:snapToGrid w:val="0"/>
        <w:spacing w:line="360" w:lineRule="auto"/>
        <w:ind w:firstLine="480" w:firstLineChars="200"/>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23.1合同未尽事项见</w:t>
      </w:r>
      <w:r>
        <w:rPr>
          <w:rFonts w:hint="eastAsia" w:ascii="宋体" w:hAnsi="宋体" w:eastAsia="宋体" w:cs="宋体"/>
          <w:b/>
          <w:sz w:val="24"/>
          <w:szCs w:val="24"/>
          <w:highlight w:val="none"/>
        </w:rPr>
        <w:t>【政府采购合同专用条款】</w:t>
      </w:r>
      <w:r>
        <w:rPr>
          <w:rFonts w:hint="eastAsia" w:ascii="宋体" w:hAnsi="宋体" w:eastAsia="宋体" w:cs="宋体"/>
          <w:bCs/>
          <w:sz w:val="24"/>
          <w:szCs w:val="24"/>
          <w:highlight w:val="none"/>
        </w:rPr>
        <w:t>。</w:t>
      </w:r>
    </w:p>
    <w:p w14:paraId="0E4AB5CB">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 xml:space="preserve">    23.2 合同附件与合同正文具有同等的法律效力。</w:t>
      </w:r>
      <w:bookmarkStart w:id="58" w:name="_Toc20313"/>
    </w:p>
    <w:p w14:paraId="4BA328E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4AC815C8">
      <w:pPr>
        <w:pStyle w:val="5"/>
        <w:adjustRightInd w:val="0"/>
        <w:snapToGrid w:val="0"/>
        <w:spacing w:before="156" w:beforeLines="50" w:line="360" w:lineRule="auto"/>
        <w:jc w:val="center"/>
        <w:rPr>
          <w:rFonts w:hint="eastAsia" w:cs="@仿宋_GB2312" w:asciiTheme="minorEastAsia" w:hAnsiTheme="minorEastAsia" w:eastAsiaTheme="minorEastAsia"/>
          <w:bCs w:val="0"/>
          <w:color w:val="000000" w:themeColor="text1"/>
          <w:sz w:val="24"/>
          <w:szCs w:val="20"/>
          <w:highlight w:val="none"/>
          <w14:textFill>
            <w14:solidFill>
              <w14:schemeClr w14:val="tx1"/>
            </w14:solidFill>
          </w14:textFill>
        </w:rPr>
      </w:pPr>
      <w:r>
        <w:rPr>
          <w:rFonts w:hint="eastAsia" w:cs="@仿宋_GB2312" w:asciiTheme="minorEastAsia" w:hAnsiTheme="minorEastAsia" w:eastAsiaTheme="minorEastAsia"/>
          <w:bCs w:val="0"/>
          <w:color w:val="000000" w:themeColor="text1"/>
          <w:sz w:val="24"/>
          <w:szCs w:val="20"/>
          <w:highlight w:val="none"/>
          <w14:textFill>
            <w14:solidFill>
              <w14:schemeClr w14:val="tx1"/>
            </w14:solidFill>
          </w14:textFill>
        </w:rPr>
        <w:t>第三节 政府采购合同专用条款</w:t>
      </w:r>
      <w:bookmarkEnd w:id="58"/>
    </w:p>
    <w:tbl>
      <w:tblPr>
        <w:tblStyle w:val="2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1A4E294">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第1.2（6）项</w:t>
            </w:r>
          </w:p>
        </w:tc>
        <w:tc>
          <w:tcPr>
            <w:tcW w:w="1742" w:type="dxa"/>
            <w:vAlign w:val="center"/>
          </w:tcPr>
          <w:p w14:paraId="5AFA91B2">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联合体具体要求</w:t>
            </w:r>
          </w:p>
        </w:tc>
        <w:tc>
          <w:tcPr>
            <w:tcW w:w="5170" w:type="dxa"/>
            <w:vAlign w:val="center"/>
          </w:tcPr>
          <w:p w14:paraId="54A01E00">
            <w:pPr>
              <w:adjustRightInd w:val="0"/>
              <w:snapToGrid w:val="0"/>
              <w:spacing w:line="360" w:lineRule="auto"/>
              <w:jc w:val="left"/>
              <w:rPr>
                <w:rFonts w:hint="eastAsia" w:ascii="宋体" w:hAnsi="宋体" w:eastAsia="宋体" w:cs="宋体"/>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0F78D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第1.2（7）项</w:t>
            </w:r>
          </w:p>
        </w:tc>
        <w:tc>
          <w:tcPr>
            <w:tcW w:w="1742" w:type="dxa"/>
            <w:vAlign w:val="center"/>
          </w:tcPr>
          <w:p w14:paraId="5E6C7A5C">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其他术语解释</w:t>
            </w:r>
          </w:p>
        </w:tc>
        <w:tc>
          <w:tcPr>
            <w:tcW w:w="5170" w:type="dxa"/>
            <w:vAlign w:val="center"/>
          </w:tcPr>
          <w:p w14:paraId="04813E7D">
            <w:pPr>
              <w:adjustRightInd w:val="0"/>
              <w:snapToGrid w:val="0"/>
              <w:spacing w:line="360" w:lineRule="auto"/>
              <w:jc w:val="left"/>
              <w:rPr>
                <w:rFonts w:hint="eastAsia" w:ascii="宋体" w:hAnsi="宋体" w:eastAsia="宋体" w:cs="宋体"/>
                <w:sz w:val="24"/>
                <w:szCs w:val="24"/>
                <w:highlight w:val="none"/>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48E0339">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第4.4款</w:t>
            </w:r>
          </w:p>
        </w:tc>
        <w:tc>
          <w:tcPr>
            <w:tcW w:w="1742" w:type="dxa"/>
            <w:vAlign w:val="center"/>
          </w:tcPr>
          <w:p w14:paraId="31EBB3A9">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履约验收中甲方提出异议或作出说明的期限</w:t>
            </w:r>
          </w:p>
        </w:tc>
        <w:tc>
          <w:tcPr>
            <w:tcW w:w="5170" w:type="dxa"/>
            <w:vAlign w:val="center"/>
          </w:tcPr>
          <w:p w14:paraId="73CC3AB0">
            <w:pPr>
              <w:adjustRightInd w:val="0"/>
              <w:snapToGrid w:val="0"/>
              <w:spacing w:line="360" w:lineRule="auto"/>
              <w:jc w:val="left"/>
              <w:rPr>
                <w:rFonts w:hint="eastAsia" w:ascii="宋体" w:hAnsi="宋体" w:eastAsia="宋体" w:cs="宋体"/>
                <w:sz w:val="24"/>
                <w:szCs w:val="24"/>
                <w:highlight w:val="none"/>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7700E7">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第4.6款</w:t>
            </w:r>
          </w:p>
        </w:tc>
        <w:tc>
          <w:tcPr>
            <w:tcW w:w="1742" w:type="dxa"/>
            <w:vAlign w:val="center"/>
          </w:tcPr>
          <w:p w14:paraId="00A9DA4D">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约定甲方承担的其他义务和责任</w:t>
            </w:r>
          </w:p>
        </w:tc>
        <w:tc>
          <w:tcPr>
            <w:tcW w:w="5170" w:type="dxa"/>
            <w:vAlign w:val="center"/>
          </w:tcPr>
          <w:p w14:paraId="76137CB3">
            <w:pPr>
              <w:adjustRightInd w:val="0"/>
              <w:snapToGrid w:val="0"/>
              <w:spacing w:line="360" w:lineRule="auto"/>
              <w:jc w:val="left"/>
              <w:rPr>
                <w:rFonts w:hint="eastAsia" w:ascii="宋体" w:hAnsi="宋体" w:eastAsia="宋体" w:cs="宋体"/>
                <w:sz w:val="24"/>
                <w:szCs w:val="24"/>
                <w:highlight w:val="none"/>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BC60E8">
            <w:pPr>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第5.4款</w:t>
            </w:r>
          </w:p>
        </w:tc>
        <w:tc>
          <w:tcPr>
            <w:tcW w:w="1742" w:type="dxa"/>
            <w:vAlign w:val="center"/>
          </w:tcPr>
          <w:p w14:paraId="445A0451">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约定乙方承担的其他义务和责任</w:t>
            </w:r>
          </w:p>
        </w:tc>
        <w:tc>
          <w:tcPr>
            <w:tcW w:w="5170" w:type="dxa"/>
            <w:vAlign w:val="center"/>
          </w:tcPr>
          <w:p w14:paraId="23259377">
            <w:pPr>
              <w:adjustRightInd w:val="0"/>
              <w:snapToGrid w:val="0"/>
              <w:spacing w:line="360" w:lineRule="auto"/>
              <w:jc w:val="left"/>
              <w:rPr>
                <w:rFonts w:hint="eastAsia" w:ascii="宋体" w:hAnsi="宋体" w:eastAsia="宋体" w:cs="宋体"/>
                <w:sz w:val="24"/>
                <w:szCs w:val="24"/>
                <w:highlight w:val="none"/>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F55897">
            <w:pPr>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第6.1款</w:t>
            </w:r>
          </w:p>
        </w:tc>
        <w:tc>
          <w:tcPr>
            <w:tcW w:w="1742" w:type="dxa"/>
            <w:vAlign w:val="center"/>
          </w:tcPr>
          <w:p w14:paraId="68FE36AA">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履行合同义务的顺序</w:t>
            </w:r>
          </w:p>
        </w:tc>
        <w:tc>
          <w:tcPr>
            <w:tcW w:w="5170" w:type="dxa"/>
            <w:vAlign w:val="center"/>
          </w:tcPr>
          <w:p w14:paraId="5806151A">
            <w:pPr>
              <w:adjustRightInd w:val="0"/>
              <w:snapToGrid w:val="0"/>
              <w:spacing w:line="360" w:lineRule="auto"/>
              <w:jc w:val="left"/>
              <w:rPr>
                <w:rFonts w:hint="eastAsia" w:ascii="宋体" w:hAnsi="宋体" w:eastAsia="宋体" w:cs="宋体"/>
                <w:sz w:val="24"/>
                <w:szCs w:val="24"/>
                <w:highlight w:val="none"/>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2454B9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第7.1款</w:t>
            </w:r>
          </w:p>
        </w:tc>
        <w:tc>
          <w:tcPr>
            <w:tcW w:w="1742" w:type="dxa"/>
            <w:vAlign w:val="center"/>
          </w:tcPr>
          <w:p w14:paraId="2D643C24">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包装特殊要求</w:t>
            </w:r>
          </w:p>
        </w:tc>
        <w:tc>
          <w:tcPr>
            <w:tcW w:w="5170" w:type="dxa"/>
            <w:vAlign w:val="center"/>
          </w:tcPr>
          <w:p w14:paraId="59217776">
            <w:pPr>
              <w:spacing w:line="360" w:lineRule="auto"/>
              <w:rPr>
                <w:rFonts w:hint="eastAsia" w:ascii="宋体" w:hAnsi="宋体" w:eastAsia="宋体" w:cs="宋体"/>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adjustRightInd w:val="0"/>
              <w:snapToGrid w:val="0"/>
              <w:spacing w:line="360" w:lineRule="auto"/>
              <w:jc w:val="center"/>
              <w:rPr>
                <w:rFonts w:hint="eastAsia" w:ascii="宋体" w:hAnsi="宋体" w:eastAsia="宋体" w:cs="宋体"/>
                <w:sz w:val="24"/>
                <w:szCs w:val="24"/>
                <w:highlight w:val="none"/>
              </w:rPr>
            </w:pPr>
          </w:p>
        </w:tc>
        <w:tc>
          <w:tcPr>
            <w:tcW w:w="1742" w:type="dxa"/>
            <w:vAlign w:val="center"/>
          </w:tcPr>
          <w:p w14:paraId="42378969">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指定现场</w:t>
            </w:r>
          </w:p>
        </w:tc>
        <w:tc>
          <w:tcPr>
            <w:tcW w:w="5170" w:type="dxa"/>
            <w:vAlign w:val="center"/>
          </w:tcPr>
          <w:p w14:paraId="58B256F3">
            <w:pPr>
              <w:spacing w:line="360" w:lineRule="auto"/>
              <w:rPr>
                <w:rFonts w:hint="eastAsia" w:ascii="宋体" w:hAnsi="宋体" w:eastAsia="宋体" w:cs="宋体"/>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D2EC157">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第7.2款</w:t>
            </w:r>
          </w:p>
        </w:tc>
        <w:tc>
          <w:tcPr>
            <w:tcW w:w="1742" w:type="dxa"/>
            <w:vAlign w:val="center"/>
          </w:tcPr>
          <w:p w14:paraId="04FFEF09">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运输特殊要求</w:t>
            </w:r>
          </w:p>
        </w:tc>
        <w:tc>
          <w:tcPr>
            <w:tcW w:w="5170" w:type="dxa"/>
            <w:vAlign w:val="center"/>
          </w:tcPr>
          <w:p w14:paraId="6E5D806C">
            <w:pPr>
              <w:spacing w:line="360" w:lineRule="auto"/>
              <w:rPr>
                <w:rFonts w:hint="eastAsia" w:ascii="宋体" w:hAnsi="宋体" w:eastAsia="宋体" w:cs="宋体"/>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53C8B23">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第7.3款</w:t>
            </w:r>
          </w:p>
        </w:tc>
        <w:tc>
          <w:tcPr>
            <w:tcW w:w="1742" w:type="dxa"/>
            <w:vAlign w:val="center"/>
          </w:tcPr>
          <w:p w14:paraId="58482393">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保险要求</w:t>
            </w:r>
          </w:p>
        </w:tc>
        <w:tc>
          <w:tcPr>
            <w:tcW w:w="5170" w:type="dxa"/>
            <w:vAlign w:val="center"/>
          </w:tcPr>
          <w:p w14:paraId="7AA07E7B">
            <w:pPr>
              <w:spacing w:line="360" w:lineRule="auto"/>
              <w:rPr>
                <w:rFonts w:hint="eastAsia" w:ascii="宋体" w:hAnsi="宋体" w:eastAsia="宋体" w:cs="宋体"/>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B31F9E7">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第8.2（1）项</w:t>
            </w:r>
          </w:p>
        </w:tc>
        <w:tc>
          <w:tcPr>
            <w:tcW w:w="1742" w:type="dxa"/>
            <w:vAlign w:val="center"/>
          </w:tcPr>
          <w:p w14:paraId="059F45CB">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5170" w:type="dxa"/>
            <w:vAlign w:val="center"/>
          </w:tcPr>
          <w:p w14:paraId="7CC299AB">
            <w:pPr>
              <w:autoSpaceDE w:val="0"/>
              <w:autoSpaceDN w:val="0"/>
              <w:adjustRightInd w:val="0"/>
              <w:snapToGrid w:val="0"/>
              <w:spacing w:line="360" w:lineRule="auto"/>
              <w:ind w:firstLine="480" w:firstLineChars="200"/>
              <w:jc w:val="left"/>
              <w:rPr>
                <w:rFonts w:hint="eastAsia" w:ascii="宋体" w:hAnsi="宋体" w:eastAsia="宋体" w:cs="宋体"/>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73EF06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第8.2（3）项</w:t>
            </w:r>
          </w:p>
        </w:tc>
        <w:tc>
          <w:tcPr>
            <w:tcW w:w="1742" w:type="dxa"/>
            <w:vAlign w:val="center"/>
          </w:tcPr>
          <w:p w14:paraId="5233DB7B">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货物质量缺陷</w:t>
            </w:r>
          </w:p>
          <w:p w14:paraId="71A10EFB">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5170" w:type="dxa"/>
            <w:vAlign w:val="center"/>
          </w:tcPr>
          <w:p w14:paraId="1D29BB0A">
            <w:pPr>
              <w:adjustRightInd w:val="0"/>
              <w:snapToGrid w:val="0"/>
              <w:spacing w:line="360" w:lineRule="auto"/>
              <w:jc w:val="left"/>
              <w:rPr>
                <w:rFonts w:hint="eastAsia" w:ascii="宋体" w:hAnsi="宋体" w:eastAsia="宋体" w:cs="宋体"/>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C670734">
            <w:pPr>
              <w:pStyle w:val="60"/>
              <w:spacing w:line="36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第11.1款</w:t>
            </w:r>
          </w:p>
        </w:tc>
        <w:tc>
          <w:tcPr>
            <w:tcW w:w="1742" w:type="dxa"/>
            <w:vAlign w:val="center"/>
          </w:tcPr>
          <w:p w14:paraId="1D76EECF">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其他应当保密的信息</w:t>
            </w:r>
          </w:p>
        </w:tc>
        <w:tc>
          <w:tcPr>
            <w:tcW w:w="5170" w:type="dxa"/>
            <w:vAlign w:val="center"/>
          </w:tcPr>
          <w:p w14:paraId="016407E7">
            <w:pPr>
              <w:adjustRightInd w:val="0"/>
              <w:snapToGrid w:val="0"/>
              <w:spacing w:line="360" w:lineRule="auto"/>
              <w:jc w:val="left"/>
              <w:rPr>
                <w:rFonts w:hint="eastAsia" w:ascii="宋体" w:hAnsi="宋体" w:eastAsia="宋体" w:cs="宋体"/>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D6109A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第12.2款</w:t>
            </w:r>
          </w:p>
        </w:tc>
        <w:tc>
          <w:tcPr>
            <w:tcW w:w="1742" w:type="dxa"/>
            <w:vAlign w:val="center"/>
          </w:tcPr>
          <w:p w14:paraId="0CEABBE9">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合同价款支付时间</w:t>
            </w:r>
          </w:p>
        </w:tc>
        <w:tc>
          <w:tcPr>
            <w:tcW w:w="5170" w:type="dxa"/>
            <w:vAlign w:val="center"/>
          </w:tcPr>
          <w:p w14:paraId="2A0C6B0D">
            <w:pPr>
              <w:adjustRightInd w:val="0"/>
              <w:snapToGrid w:val="0"/>
              <w:spacing w:line="360" w:lineRule="auto"/>
              <w:jc w:val="left"/>
              <w:rPr>
                <w:rFonts w:hint="eastAsia" w:ascii="宋体" w:hAnsi="宋体" w:eastAsia="宋体" w:cs="宋体"/>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AD99FEC">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第13.2款</w:t>
            </w:r>
          </w:p>
        </w:tc>
        <w:tc>
          <w:tcPr>
            <w:tcW w:w="1742" w:type="dxa"/>
            <w:vAlign w:val="center"/>
          </w:tcPr>
          <w:p w14:paraId="69FF9178">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履约保证金不予退还的情形</w:t>
            </w:r>
          </w:p>
        </w:tc>
        <w:tc>
          <w:tcPr>
            <w:tcW w:w="5170" w:type="dxa"/>
            <w:vAlign w:val="center"/>
          </w:tcPr>
          <w:p w14:paraId="539D43B8">
            <w:pPr>
              <w:adjustRightInd w:val="0"/>
              <w:snapToGrid w:val="0"/>
              <w:spacing w:line="360" w:lineRule="auto"/>
              <w:jc w:val="left"/>
              <w:rPr>
                <w:rFonts w:hint="eastAsia" w:ascii="宋体" w:hAnsi="宋体" w:eastAsia="宋体" w:cs="宋体"/>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3B3D679">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第13.3款</w:t>
            </w:r>
          </w:p>
        </w:tc>
        <w:tc>
          <w:tcPr>
            <w:tcW w:w="1742" w:type="dxa"/>
            <w:vAlign w:val="center"/>
          </w:tcPr>
          <w:p w14:paraId="7D193AB3">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履约保证金退还时间及逾期退还的违约金</w:t>
            </w:r>
          </w:p>
        </w:tc>
        <w:tc>
          <w:tcPr>
            <w:tcW w:w="5170" w:type="dxa"/>
            <w:vAlign w:val="center"/>
          </w:tcPr>
          <w:p w14:paraId="33E0AEE3">
            <w:pPr>
              <w:adjustRightInd w:val="0"/>
              <w:snapToGrid w:val="0"/>
              <w:spacing w:line="360" w:lineRule="auto"/>
              <w:jc w:val="left"/>
              <w:rPr>
                <w:rFonts w:hint="eastAsia" w:ascii="宋体" w:hAnsi="宋体" w:eastAsia="宋体" w:cs="宋体"/>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F862240">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第14.1（3）项</w:t>
            </w:r>
          </w:p>
        </w:tc>
        <w:tc>
          <w:tcPr>
            <w:tcW w:w="1742" w:type="dxa"/>
            <w:vAlign w:val="center"/>
          </w:tcPr>
          <w:p w14:paraId="0FA4F825">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运行监督、维修期限</w:t>
            </w:r>
          </w:p>
        </w:tc>
        <w:tc>
          <w:tcPr>
            <w:tcW w:w="5170" w:type="dxa"/>
            <w:vAlign w:val="center"/>
          </w:tcPr>
          <w:p w14:paraId="066F2AF6">
            <w:pPr>
              <w:adjustRightInd w:val="0"/>
              <w:snapToGrid w:val="0"/>
              <w:spacing w:line="360" w:lineRule="auto"/>
              <w:jc w:val="left"/>
              <w:rPr>
                <w:rFonts w:hint="eastAsia" w:ascii="宋体" w:hAnsi="宋体" w:eastAsia="宋体" w:cs="宋体"/>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7F4C36">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第14.1（5）项</w:t>
            </w:r>
          </w:p>
        </w:tc>
        <w:tc>
          <w:tcPr>
            <w:tcW w:w="1742" w:type="dxa"/>
            <w:vAlign w:val="center"/>
          </w:tcPr>
          <w:p w14:paraId="0D17EC06">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货物回收的约定</w:t>
            </w:r>
          </w:p>
        </w:tc>
        <w:tc>
          <w:tcPr>
            <w:tcW w:w="5170" w:type="dxa"/>
            <w:vAlign w:val="center"/>
          </w:tcPr>
          <w:p w14:paraId="43C13EAB">
            <w:pPr>
              <w:adjustRightInd w:val="0"/>
              <w:snapToGrid w:val="0"/>
              <w:spacing w:line="360" w:lineRule="auto"/>
              <w:jc w:val="left"/>
              <w:rPr>
                <w:rFonts w:hint="eastAsia" w:ascii="宋体" w:hAnsi="宋体" w:eastAsia="宋体" w:cs="宋体"/>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7F27C91">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第14.1（6）项</w:t>
            </w:r>
          </w:p>
        </w:tc>
        <w:tc>
          <w:tcPr>
            <w:tcW w:w="1742" w:type="dxa"/>
            <w:vAlign w:val="center"/>
          </w:tcPr>
          <w:p w14:paraId="3500E3A6">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5170" w:type="dxa"/>
            <w:vAlign w:val="center"/>
          </w:tcPr>
          <w:p w14:paraId="13194CD6">
            <w:pPr>
              <w:adjustRightInd w:val="0"/>
              <w:snapToGrid w:val="0"/>
              <w:spacing w:line="360" w:lineRule="auto"/>
              <w:jc w:val="left"/>
              <w:rPr>
                <w:rFonts w:hint="eastAsia" w:ascii="宋体" w:hAnsi="宋体" w:eastAsia="宋体" w:cs="宋体"/>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619A0A1">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第15.1款</w:t>
            </w:r>
          </w:p>
        </w:tc>
        <w:tc>
          <w:tcPr>
            <w:tcW w:w="1742" w:type="dxa"/>
            <w:vAlign w:val="center"/>
          </w:tcPr>
          <w:p w14:paraId="668BB69F">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修理、重作、更换相关具体规定</w:t>
            </w:r>
          </w:p>
        </w:tc>
        <w:tc>
          <w:tcPr>
            <w:tcW w:w="5170" w:type="dxa"/>
            <w:vAlign w:val="center"/>
          </w:tcPr>
          <w:p w14:paraId="1513F092">
            <w:pPr>
              <w:adjustRightInd w:val="0"/>
              <w:snapToGrid w:val="0"/>
              <w:spacing w:line="360" w:lineRule="auto"/>
              <w:jc w:val="left"/>
              <w:rPr>
                <w:rFonts w:hint="eastAsia" w:ascii="宋体" w:hAnsi="宋体" w:eastAsia="宋体" w:cs="宋体"/>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C4AD2F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第15.2（2）项</w:t>
            </w:r>
          </w:p>
        </w:tc>
        <w:tc>
          <w:tcPr>
            <w:tcW w:w="1742" w:type="dxa"/>
            <w:vAlign w:val="center"/>
          </w:tcPr>
          <w:p w14:paraId="692039FD">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5170" w:type="dxa"/>
            <w:vAlign w:val="center"/>
          </w:tcPr>
          <w:p w14:paraId="28507A7B">
            <w:pPr>
              <w:adjustRightInd w:val="0"/>
              <w:snapToGrid w:val="0"/>
              <w:spacing w:line="360" w:lineRule="auto"/>
              <w:jc w:val="left"/>
              <w:rPr>
                <w:rFonts w:hint="eastAsia" w:ascii="宋体" w:hAnsi="宋体" w:eastAsia="宋体" w:cs="宋体"/>
                <w:sz w:val="24"/>
                <w:szCs w:val="24"/>
                <w:highlight w:val="none"/>
                <w:u w:val="single"/>
              </w:rPr>
            </w:pP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0B8942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第15.3款</w:t>
            </w:r>
          </w:p>
        </w:tc>
        <w:tc>
          <w:tcPr>
            <w:tcW w:w="1742" w:type="dxa"/>
            <w:vAlign w:val="center"/>
          </w:tcPr>
          <w:p w14:paraId="0B0B1C20">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5170" w:type="dxa"/>
            <w:vAlign w:val="center"/>
          </w:tcPr>
          <w:p w14:paraId="38F3C75A">
            <w:pPr>
              <w:adjustRightInd w:val="0"/>
              <w:snapToGrid w:val="0"/>
              <w:spacing w:line="360" w:lineRule="auto"/>
              <w:jc w:val="left"/>
              <w:rPr>
                <w:rFonts w:hint="eastAsia" w:ascii="宋体" w:hAnsi="宋体" w:eastAsia="宋体" w:cs="宋体"/>
                <w:sz w:val="24"/>
                <w:szCs w:val="24"/>
                <w:highlight w:val="none"/>
                <w:u w:val="single"/>
              </w:rPr>
            </w:pP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93EC5AA">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68364ED8">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5170" w:type="dxa"/>
            <w:tcBorders>
              <w:left w:val="single" w:color="auto" w:sz="2" w:space="0"/>
              <w:bottom w:val="single" w:color="auto" w:sz="2" w:space="0"/>
            </w:tcBorders>
            <w:vAlign w:val="center"/>
          </w:tcPr>
          <w:p w14:paraId="39CD55A6">
            <w:pPr>
              <w:adjustRightInd w:val="0"/>
              <w:snapToGrid w:val="0"/>
              <w:spacing w:line="360" w:lineRule="auto"/>
              <w:jc w:val="left"/>
              <w:rPr>
                <w:rFonts w:hint="eastAsia" w:ascii="宋体" w:hAnsi="宋体" w:eastAsia="宋体" w:cs="宋体"/>
                <w:sz w:val="24"/>
                <w:szCs w:val="24"/>
                <w:highlight w:val="none"/>
                <w:u w:val="single"/>
              </w:rPr>
            </w:pP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633A7C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1B9F436B">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解决争议的方法</w:t>
            </w:r>
          </w:p>
        </w:tc>
        <w:tc>
          <w:tcPr>
            <w:tcW w:w="5170" w:type="dxa"/>
            <w:tcBorders>
              <w:top w:val="single" w:color="auto" w:sz="2" w:space="0"/>
              <w:left w:val="single" w:color="auto" w:sz="2" w:space="0"/>
            </w:tcBorders>
            <w:vAlign w:val="center"/>
          </w:tcPr>
          <w:p w14:paraId="003C7A27">
            <w:pPr>
              <w:autoSpaceDE w:val="0"/>
              <w:autoSpaceDN w:val="0"/>
              <w:adjustRightInd w:val="0"/>
              <w:snapToGrid w:val="0"/>
              <w:spacing w:line="360" w:lineRule="auto"/>
              <w:jc w:val="left"/>
              <w:rPr>
                <w:rFonts w:hint="eastAsia" w:ascii="宋体" w:hAnsi="宋体" w:eastAsia="宋体" w:cs="宋体"/>
                <w:iCs/>
                <w:sz w:val="24"/>
                <w:szCs w:val="24"/>
                <w:highlight w:val="none"/>
              </w:rPr>
            </w:pPr>
            <w:r>
              <w:rPr>
                <w:rFonts w:hint="eastAsia" w:ascii="宋体" w:hAnsi="宋体" w:eastAsia="宋体" w:cs="宋体"/>
                <w:iCs/>
                <w:sz w:val="24"/>
                <w:szCs w:val="24"/>
                <w:highlight w:val="none"/>
              </w:rPr>
              <w:t>因本合同及合同有关事项发生的争议，按下列第</w:t>
            </w:r>
            <w:r>
              <w:rPr>
                <w:rFonts w:hint="eastAsia" w:ascii="宋体" w:hAnsi="宋体" w:eastAsia="宋体" w:cs="宋体"/>
                <w:iCs/>
                <w:sz w:val="24"/>
                <w:szCs w:val="24"/>
                <w:highlight w:val="none"/>
                <w:u w:val="single"/>
              </w:rPr>
              <w:t xml:space="preserve">   </w:t>
            </w:r>
            <w:r>
              <w:rPr>
                <w:rFonts w:hint="eastAsia" w:ascii="宋体" w:hAnsi="宋体" w:eastAsia="宋体" w:cs="宋体"/>
                <w:iCs/>
                <w:sz w:val="24"/>
                <w:szCs w:val="24"/>
                <w:highlight w:val="none"/>
              </w:rPr>
              <w:t>种方式解决：</w:t>
            </w:r>
          </w:p>
          <w:p w14:paraId="12A82147">
            <w:pPr>
              <w:autoSpaceDE w:val="0"/>
              <w:autoSpaceDN w:val="0"/>
              <w:adjustRightInd w:val="0"/>
              <w:snapToGrid w:val="0"/>
              <w:spacing w:line="360" w:lineRule="auto"/>
              <w:jc w:val="left"/>
              <w:rPr>
                <w:rFonts w:hint="eastAsia" w:ascii="宋体" w:hAnsi="宋体" w:eastAsia="宋体" w:cs="宋体"/>
                <w:iCs/>
                <w:sz w:val="24"/>
                <w:szCs w:val="24"/>
                <w:highlight w:val="none"/>
              </w:rPr>
            </w:pPr>
            <w:r>
              <w:rPr>
                <w:rFonts w:hint="eastAsia" w:ascii="宋体" w:hAnsi="宋体" w:eastAsia="宋体" w:cs="宋体"/>
                <w:iCs/>
                <w:sz w:val="24"/>
                <w:szCs w:val="24"/>
                <w:highlight w:val="none"/>
              </w:rPr>
              <w:t>（1）向</w:t>
            </w:r>
            <w:r>
              <w:rPr>
                <w:rFonts w:hint="eastAsia" w:ascii="宋体" w:hAnsi="宋体" w:eastAsia="宋体" w:cs="宋体"/>
                <w:iCs/>
                <w:sz w:val="24"/>
                <w:szCs w:val="24"/>
                <w:highlight w:val="none"/>
                <w:u w:val="single"/>
              </w:rPr>
              <w:t xml:space="preserve">                    </w:t>
            </w:r>
            <w:r>
              <w:rPr>
                <w:rFonts w:hint="eastAsia" w:ascii="宋体" w:hAnsi="宋体" w:eastAsia="宋体" w:cs="宋体"/>
                <w:iCs/>
                <w:sz w:val="24"/>
                <w:szCs w:val="24"/>
                <w:highlight w:val="none"/>
              </w:rPr>
              <w:t>仲裁委员会申请仲裁，仲裁地点为</w:t>
            </w:r>
            <w:r>
              <w:rPr>
                <w:rFonts w:hint="eastAsia" w:ascii="宋体" w:hAnsi="宋体" w:eastAsia="宋体" w:cs="宋体"/>
                <w:iCs/>
                <w:sz w:val="24"/>
                <w:szCs w:val="24"/>
                <w:highlight w:val="none"/>
                <w:u w:val="single"/>
              </w:rPr>
              <w:t xml:space="preserve">           </w:t>
            </w:r>
            <w:r>
              <w:rPr>
                <w:rFonts w:hint="eastAsia" w:ascii="宋体" w:hAnsi="宋体" w:eastAsia="宋体" w:cs="宋体"/>
                <w:iCs/>
                <w:sz w:val="24"/>
                <w:szCs w:val="24"/>
                <w:highlight w:val="none"/>
              </w:rPr>
              <w:t>；</w:t>
            </w:r>
          </w:p>
          <w:p w14:paraId="1C064E38">
            <w:pPr>
              <w:adjustRightInd w:val="0"/>
              <w:snapToGrid w:val="0"/>
              <w:spacing w:line="360" w:lineRule="auto"/>
              <w:jc w:val="left"/>
              <w:rPr>
                <w:rFonts w:hint="eastAsia" w:ascii="宋体" w:hAnsi="宋体" w:eastAsia="宋体" w:cs="宋体"/>
                <w:sz w:val="24"/>
                <w:szCs w:val="24"/>
                <w:highlight w:val="none"/>
                <w:u w:val="single"/>
              </w:rPr>
            </w:pPr>
            <w:r>
              <w:rPr>
                <w:rFonts w:hint="eastAsia" w:ascii="宋体" w:hAnsi="宋体" w:eastAsia="宋体" w:cs="宋体"/>
                <w:iCs/>
                <w:sz w:val="24"/>
                <w:szCs w:val="24"/>
                <w:highlight w:val="none"/>
              </w:rPr>
              <w:t>（2）向</w:t>
            </w:r>
            <w:r>
              <w:rPr>
                <w:rFonts w:hint="eastAsia" w:ascii="宋体" w:hAnsi="宋体" w:eastAsia="宋体" w:cs="宋体"/>
                <w:iCs/>
                <w:sz w:val="24"/>
                <w:szCs w:val="24"/>
                <w:highlight w:val="none"/>
                <w:u w:val="single"/>
              </w:rPr>
              <w:t xml:space="preserve">                    </w:t>
            </w:r>
            <w:r>
              <w:rPr>
                <w:rFonts w:hint="eastAsia" w:ascii="宋体" w:hAnsi="宋体" w:eastAsia="宋体" w:cs="宋体"/>
                <w:iCs/>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FA4F252">
            <w:pPr>
              <w:adjustRightInd w:val="0"/>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第23.1款</w:t>
            </w:r>
          </w:p>
        </w:tc>
        <w:tc>
          <w:tcPr>
            <w:tcW w:w="1742" w:type="dxa"/>
            <w:vAlign w:val="center"/>
          </w:tcPr>
          <w:p w14:paraId="187F7FD2">
            <w:pPr>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其他专用条款</w:t>
            </w:r>
          </w:p>
        </w:tc>
        <w:tc>
          <w:tcPr>
            <w:tcW w:w="5170" w:type="dxa"/>
            <w:vAlign w:val="center"/>
          </w:tcPr>
          <w:p w14:paraId="2F917DD0">
            <w:pPr>
              <w:adjustRightInd w:val="0"/>
              <w:snapToGrid w:val="0"/>
              <w:spacing w:line="360" w:lineRule="auto"/>
              <w:jc w:val="left"/>
              <w:rPr>
                <w:rFonts w:hint="eastAsia" w:ascii="宋体" w:hAnsi="宋体" w:eastAsia="宋体" w:cs="宋体"/>
                <w:sz w:val="24"/>
                <w:szCs w:val="24"/>
                <w:highlight w:val="none"/>
              </w:rPr>
            </w:pPr>
          </w:p>
        </w:tc>
      </w:tr>
    </w:tbl>
    <w:p w14:paraId="29092542">
      <w:pPr>
        <w:rPr>
          <w:rFonts w:hint="eastAsia" w:ascii="宋体" w:hAnsi="宋体" w:eastAsia="宋体" w:cs="宋体"/>
          <w:sz w:val="24"/>
          <w:szCs w:val="24"/>
          <w:highlight w:val="none"/>
        </w:rPr>
      </w:pPr>
    </w:p>
    <w:p w14:paraId="0E6D9201">
      <w:pPr>
        <w:widowControl/>
        <w:jc w:val="left"/>
        <w:rPr>
          <w:rFonts w:hint="eastAsia"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682D4B74">
      <w:pPr>
        <w:spacing w:line="360" w:lineRule="auto"/>
        <w:jc w:val="center"/>
        <w:outlineLvl w:val="0"/>
        <w:rPr>
          <w:rFonts w:hint="eastAsia" w:asciiTheme="minorEastAsia" w:hAnsiTheme="minorEastAsia" w:eastAsiaTheme="minorEastAsia"/>
          <w:b/>
          <w:sz w:val="28"/>
          <w:highlight w:val="none"/>
        </w:rPr>
      </w:pPr>
      <w:bookmarkStart w:id="59" w:name="_Toc22492"/>
      <w:r>
        <w:rPr>
          <w:rFonts w:hint="eastAsia" w:asciiTheme="minorEastAsia" w:hAnsiTheme="minorEastAsia" w:eastAsiaTheme="minorEastAsia"/>
          <w:b/>
          <w:sz w:val="28"/>
          <w:highlight w:val="none"/>
        </w:rPr>
        <w:t>第六章  投标文件格式</w:t>
      </w:r>
      <w:bookmarkEnd w:id="59"/>
    </w:p>
    <w:p w14:paraId="597E24F1">
      <w:pPr>
        <w:spacing w:line="900" w:lineRule="exact"/>
        <w:jc w:val="center"/>
        <w:rPr>
          <w:rFonts w:hint="eastAsia" w:asciiTheme="minorEastAsia" w:hAnsiTheme="minorEastAsia" w:eastAsiaTheme="minorEastAsia"/>
          <w:b/>
          <w:sz w:val="72"/>
          <w:highlight w:val="none"/>
        </w:rPr>
      </w:pPr>
    </w:p>
    <w:p w14:paraId="5F1B657B">
      <w:pPr>
        <w:spacing w:line="900" w:lineRule="exact"/>
        <w:jc w:val="center"/>
        <w:rPr>
          <w:rFonts w:hint="eastAsia" w:asciiTheme="minorEastAsia" w:hAnsiTheme="minorEastAsia" w:eastAsiaTheme="minorEastAsia"/>
          <w:b/>
          <w:sz w:val="72"/>
          <w:highlight w:val="none"/>
        </w:rPr>
      </w:pPr>
      <w:bookmarkStart w:id="60" w:name="_Toc651"/>
      <w:r>
        <w:rPr>
          <w:rFonts w:hint="eastAsia" w:asciiTheme="minorEastAsia" w:hAnsiTheme="minorEastAsia" w:eastAsiaTheme="minorEastAsia"/>
          <w:b/>
          <w:sz w:val="72"/>
          <w:highlight w:val="none"/>
        </w:rPr>
        <w:t>投</w:t>
      </w:r>
      <w:bookmarkEnd w:id="60"/>
    </w:p>
    <w:p w14:paraId="151E7C31">
      <w:pPr>
        <w:spacing w:line="900" w:lineRule="exact"/>
        <w:jc w:val="center"/>
        <w:rPr>
          <w:rFonts w:hint="eastAsia" w:asciiTheme="minorEastAsia" w:hAnsiTheme="minorEastAsia" w:eastAsiaTheme="minorEastAsia"/>
          <w:b/>
          <w:sz w:val="72"/>
          <w:highlight w:val="none"/>
        </w:rPr>
      </w:pPr>
    </w:p>
    <w:p w14:paraId="2562A624">
      <w:pPr>
        <w:spacing w:line="900" w:lineRule="exact"/>
        <w:jc w:val="center"/>
        <w:rPr>
          <w:rFonts w:hint="eastAsia" w:asciiTheme="minorEastAsia" w:hAnsiTheme="minorEastAsia" w:eastAsiaTheme="minorEastAsia"/>
          <w:b/>
          <w:sz w:val="72"/>
          <w:highlight w:val="none"/>
        </w:rPr>
      </w:pPr>
      <w:bookmarkStart w:id="61" w:name="_Toc6148"/>
      <w:r>
        <w:rPr>
          <w:rFonts w:hint="eastAsia" w:asciiTheme="minorEastAsia" w:hAnsiTheme="minorEastAsia" w:eastAsiaTheme="minorEastAsia"/>
          <w:b/>
          <w:sz w:val="72"/>
          <w:highlight w:val="none"/>
        </w:rPr>
        <w:t>标</w:t>
      </w:r>
      <w:bookmarkEnd w:id="61"/>
    </w:p>
    <w:p w14:paraId="194745C5">
      <w:pPr>
        <w:spacing w:line="900" w:lineRule="exact"/>
        <w:jc w:val="center"/>
        <w:rPr>
          <w:rFonts w:hint="eastAsia" w:asciiTheme="minorEastAsia" w:hAnsiTheme="minorEastAsia" w:eastAsiaTheme="minorEastAsia"/>
          <w:b/>
          <w:sz w:val="72"/>
          <w:highlight w:val="none"/>
        </w:rPr>
      </w:pPr>
    </w:p>
    <w:p w14:paraId="41E80372">
      <w:pPr>
        <w:spacing w:line="900" w:lineRule="exact"/>
        <w:jc w:val="center"/>
        <w:rPr>
          <w:rFonts w:hint="eastAsia" w:asciiTheme="minorEastAsia" w:hAnsiTheme="minorEastAsia" w:eastAsiaTheme="minorEastAsia"/>
          <w:b/>
          <w:sz w:val="72"/>
          <w:highlight w:val="none"/>
        </w:rPr>
      </w:pPr>
      <w:bookmarkStart w:id="62" w:name="_Toc1338"/>
      <w:r>
        <w:rPr>
          <w:rFonts w:hint="eastAsia" w:asciiTheme="minorEastAsia" w:hAnsiTheme="minorEastAsia" w:eastAsiaTheme="minorEastAsia"/>
          <w:b/>
          <w:sz w:val="72"/>
          <w:highlight w:val="none"/>
        </w:rPr>
        <w:t>文</w:t>
      </w:r>
      <w:bookmarkEnd w:id="62"/>
    </w:p>
    <w:p w14:paraId="25463D15">
      <w:pPr>
        <w:spacing w:line="900" w:lineRule="exact"/>
        <w:jc w:val="center"/>
        <w:rPr>
          <w:rFonts w:hint="eastAsia" w:asciiTheme="minorEastAsia" w:hAnsiTheme="minorEastAsia" w:eastAsiaTheme="minorEastAsia"/>
          <w:b/>
          <w:sz w:val="72"/>
          <w:highlight w:val="none"/>
        </w:rPr>
      </w:pPr>
    </w:p>
    <w:p w14:paraId="10FE9B54">
      <w:pPr>
        <w:jc w:val="center"/>
        <w:rPr>
          <w:rFonts w:hint="eastAsia" w:asciiTheme="minorEastAsia" w:hAnsiTheme="minorEastAsia" w:eastAsiaTheme="minorEastAsia"/>
          <w:b/>
          <w:sz w:val="72"/>
          <w:highlight w:val="none"/>
        </w:rPr>
      </w:pPr>
      <w:bookmarkStart w:id="63" w:name="_Toc10796"/>
      <w:r>
        <w:rPr>
          <w:rFonts w:hint="eastAsia" w:asciiTheme="minorEastAsia" w:hAnsiTheme="minorEastAsia" w:eastAsiaTheme="minorEastAsia"/>
          <w:b/>
          <w:sz w:val="72"/>
          <w:highlight w:val="none"/>
        </w:rPr>
        <w:t>件</w:t>
      </w:r>
      <w:bookmarkEnd w:id="63"/>
    </w:p>
    <w:p w14:paraId="100863D2">
      <w:pPr>
        <w:spacing w:after="156" w:afterLines="50"/>
        <w:jc w:val="center"/>
        <w:rPr>
          <w:rFonts w:hint="eastAsia" w:asciiTheme="minorEastAsia" w:hAnsiTheme="minorEastAsia" w:eastAsiaTheme="minorEastAsia"/>
          <w:b/>
          <w:sz w:val="72"/>
          <w:highlight w:val="none"/>
        </w:rPr>
      </w:pPr>
    </w:p>
    <w:p w14:paraId="0179187E">
      <w:pPr>
        <w:pStyle w:val="2"/>
        <w:spacing w:after="0" w:line="360" w:lineRule="auto"/>
        <w:ind w:firstLine="480" w:firstLineChars="200"/>
        <w:jc w:val="center"/>
        <w:rPr>
          <w:rFonts w:hint="eastAsia" w:ascii="宋体" w:hAnsi="宋体" w:eastAsia="宋体"/>
          <w:sz w:val="24"/>
          <w:szCs w:val="18"/>
          <w:highlight w:val="none"/>
          <w:lang w:val="en-US"/>
        </w:rPr>
      </w:pPr>
    </w:p>
    <w:p w14:paraId="7543BA23">
      <w:pPr>
        <w:spacing w:before="156" w:beforeLines="50" w:after="156" w:afterLines="50"/>
        <w:jc w:val="center"/>
        <w:rPr>
          <w:rFonts w:hint="eastAsia" w:asciiTheme="minorEastAsia" w:hAnsiTheme="minorEastAsia" w:eastAsiaTheme="minorEastAsia"/>
          <w:b/>
          <w:sz w:val="32"/>
          <w:szCs w:val="32"/>
          <w:highlight w:val="none"/>
        </w:rPr>
      </w:pPr>
    </w:p>
    <w:p w14:paraId="36F96B57">
      <w:pPr>
        <w:spacing w:after="156" w:afterLines="50" w:line="500" w:lineRule="exact"/>
        <w:jc w:val="center"/>
        <w:rPr>
          <w:rFonts w:hint="eastAsia" w:asciiTheme="minorEastAsia" w:hAnsiTheme="minorEastAsia" w:eastAsiaTheme="minorEastAsia"/>
          <w:b/>
          <w:sz w:val="28"/>
          <w:szCs w:val="28"/>
          <w:highlight w:val="none"/>
        </w:rPr>
      </w:pPr>
    </w:p>
    <w:p w14:paraId="52203803">
      <w:pPr>
        <w:tabs>
          <w:tab w:val="left" w:pos="2410"/>
        </w:tabs>
        <w:autoSpaceDE w:val="0"/>
        <w:autoSpaceDN w:val="0"/>
        <w:adjustRightInd w:val="0"/>
        <w:snapToGrid w:val="0"/>
        <w:spacing w:line="360" w:lineRule="auto"/>
        <w:ind w:firstLine="643" w:firstLineChars="200"/>
        <w:rPr>
          <w:rFonts w:hint="eastAsia" w:ascii="宋体" w:hAnsi="宋体" w:eastAsia="宋体"/>
          <w:b/>
          <w:spacing w:val="20"/>
          <w:kern w:val="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投 标 人：</w:t>
      </w:r>
      <w:r>
        <w:rPr>
          <w:rFonts w:hint="eastAsia" w:asciiTheme="minorEastAsia" w:hAnsiTheme="minorEastAsia" w:eastAsiaTheme="minorEastAsia"/>
          <w:b/>
          <w:sz w:val="32"/>
          <w:highlight w:val="none"/>
          <w:u w:val="single"/>
        </w:rPr>
        <w:t xml:space="preserve">                  </w:t>
      </w:r>
    </w:p>
    <w:p w14:paraId="7A1AA654">
      <w:pPr>
        <w:spacing w:after="156" w:afterLines="50" w:line="500" w:lineRule="exact"/>
        <w:jc w:val="center"/>
        <w:rPr>
          <w:rFonts w:hint="eastAsia"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64" w:name="_Toc8037"/>
      <w:bookmarkStart w:id="65" w:name="_Toc9994"/>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64"/>
      <w:bookmarkEnd w:id="65"/>
      <w:r>
        <w:rPr>
          <w:rFonts w:hint="eastAsia" w:asciiTheme="minorEastAsia" w:hAnsiTheme="minorEastAsia" w:eastAsiaTheme="minorEastAsia"/>
          <w:b/>
          <w:sz w:val="32"/>
          <w:highlight w:val="none"/>
        </w:rPr>
        <w:br w:type="page"/>
      </w:r>
    </w:p>
    <w:p w14:paraId="2F69E07D">
      <w:pPr>
        <w:spacing w:line="360" w:lineRule="auto"/>
        <w:jc w:val="center"/>
        <w:outlineLvl w:val="1"/>
        <w:rPr>
          <w:rFonts w:hint="eastAsia" w:asciiTheme="minorEastAsia" w:hAnsiTheme="minorEastAsia" w:eastAsiaTheme="minorEastAsia"/>
          <w:b/>
          <w:sz w:val="24"/>
          <w:highlight w:val="none"/>
        </w:rPr>
      </w:pPr>
      <w:bookmarkStart w:id="66" w:name="_Toc5555"/>
      <w:bookmarkStart w:id="67" w:name="_Toc28960"/>
      <w:r>
        <w:rPr>
          <w:rFonts w:hint="eastAsia" w:asciiTheme="minorEastAsia" w:hAnsiTheme="minorEastAsia" w:eastAsiaTheme="minorEastAsia"/>
          <w:b/>
          <w:sz w:val="24"/>
          <w:highlight w:val="none"/>
        </w:rPr>
        <w:t>一、开标一览表</w:t>
      </w:r>
      <w:bookmarkEnd w:id="66"/>
      <w:bookmarkEnd w:id="67"/>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hint="eastAsia" w:asciiTheme="minorEastAsia" w:hAnsiTheme="minorEastAsia" w:eastAsiaTheme="minorEastAsia"/>
                <w:bCs/>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投标人全称</w:t>
            </w:r>
          </w:p>
        </w:tc>
        <w:tc>
          <w:tcPr>
            <w:tcW w:w="3648" w:type="pct"/>
            <w:tcBorders>
              <w:top w:val="nil"/>
            </w:tcBorders>
            <w:vAlign w:val="center"/>
          </w:tcPr>
          <w:p w14:paraId="520B849E">
            <w:pPr>
              <w:spacing w:line="360" w:lineRule="auto"/>
              <w:rPr>
                <w:rFonts w:hint="eastAsia" w:asciiTheme="minorEastAsia" w:hAnsiTheme="minorEastAsia" w:eastAsiaTheme="minorEastAsia"/>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投标范围</w:t>
            </w:r>
          </w:p>
        </w:tc>
        <w:tc>
          <w:tcPr>
            <w:tcW w:w="3648" w:type="pct"/>
            <w:tcBorders>
              <w:top w:val="nil"/>
            </w:tcBorders>
            <w:vAlign w:val="center"/>
          </w:tcPr>
          <w:p w14:paraId="267FB2FE">
            <w:pPr>
              <w:widowControl/>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投标报价</w:t>
            </w:r>
          </w:p>
        </w:tc>
        <w:tc>
          <w:tcPr>
            <w:tcW w:w="3648" w:type="pct"/>
            <w:tcBorders>
              <w:top w:val="nil"/>
            </w:tcBorders>
            <w:vAlign w:val="center"/>
          </w:tcPr>
          <w:p w14:paraId="6C0B49FE">
            <w:pPr>
              <w:snapToGrid w:val="0"/>
              <w:spacing w:line="360" w:lineRule="auto"/>
              <w:jc w:val="left"/>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大写：</w:t>
            </w:r>
            <w:r>
              <w:rPr>
                <w:rFonts w:hint="eastAsia" w:ascii="宋体" w:hAnsi="宋体" w:eastAsia="宋体" w:cs="宋体"/>
                <w:bCs/>
                <w:sz w:val="24"/>
                <w:szCs w:val="24"/>
                <w:highlight w:val="none"/>
                <w:u w:val="single"/>
              </w:rPr>
              <w:t xml:space="preserve">                     </w:t>
            </w:r>
          </w:p>
          <w:p w14:paraId="0E6BEE16">
            <w:pPr>
              <w:spacing w:line="360" w:lineRule="auto"/>
              <w:ind w:right="-670"/>
              <w:rPr>
                <w:rFonts w:hint="eastAsia" w:asciiTheme="minorEastAsia" w:hAnsiTheme="minorEastAsia" w:eastAsiaTheme="minorEastAsia"/>
                <w:sz w:val="24"/>
                <w:highlight w:val="none"/>
              </w:rPr>
            </w:pPr>
            <w:r>
              <w:rPr>
                <w:rFonts w:hint="eastAsia" w:ascii="宋体" w:hAnsi="宋体" w:eastAsia="宋体" w:cs="宋体"/>
                <w:bCs/>
                <w:sz w:val="24"/>
                <w:szCs w:val="24"/>
                <w:highlight w:val="none"/>
              </w:rPr>
              <w:t>小写：</w:t>
            </w:r>
            <w:r>
              <w:rPr>
                <w:rFonts w:hint="eastAsia" w:ascii="宋体" w:hAnsi="宋体" w:eastAsia="宋体" w:cs="宋体"/>
                <w:bCs/>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其他</w:t>
            </w:r>
          </w:p>
        </w:tc>
        <w:tc>
          <w:tcPr>
            <w:tcW w:w="3648" w:type="pct"/>
            <w:tcBorders>
              <w:top w:val="nil"/>
            </w:tcBorders>
            <w:vAlign w:val="center"/>
          </w:tcPr>
          <w:p w14:paraId="2C51E346">
            <w:pPr>
              <w:spacing w:line="360" w:lineRule="auto"/>
              <w:jc w:val="left"/>
              <w:rPr>
                <w:rFonts w:hint="eastAsia" w:asciiTheme="minorEastAsia" w:hAnsiTheme="minorEastAsia" w:eastAsiaTheme="minorEastAsia"/>
                <w:sz w:val="24"/>
                <w:szCs w:val="28"/>
                <w:highlight w:val="none"/>
              </w:rPr>
            </w:pPr>
          </w:p>
        </w:tc>
      </w:tr>
    </w:tbl>
    <w:p w14:paraId="63B8A796">
      <w:pPr>
        <w:spacing w:line="360" w:lineRule="auto"/>
        <w:ind w:firstLine="4320" w:firstLineChars="1800"/>
        <w:jc w:val="center"/>
        <w:rPr>
          <w:rFonts w:hint="eastAsia" w:asciiTheme="minorEastAsia" w:hAnsiTheme="minorEastAsia" w:eastAsiaTheme="minorEastAsia"/>
          <w:bCs/>
          <w:sz w:val="24"/>
          <w:highlight w:val="none"/>
          <w:u w:val="single"/>
        </w:rPr>
      </w:pPr>
      <w:r>
        <w:rPr>
          <w:rFonts w:hint="eastAsia" w:asciiTheme="minorEastAsia" w:hAnsiTheme="minorEastAsia" w:eastAsiaTheme="minorEastAsia"/>
          <w:bCs/>
          <w:sz w:val="24"/>
          <w:highlight w:val="none"/>
        </w:rPr>
        <w:t>投标人电子签章：</w:t>
      </w:r>
      <w:r>
        <w:rPr>
          <w:rFonts w:hint="eastAsia" w:asciiTheme="minorEastAsia" w:hAnsiTheme="minorEastAsia" w:eastAsiaTheme="minorEastAsia"/>
          <w:bCs/>
          <w:sz w:val="24"/>
          <w:highlight w:val="none"/>
          <w:u w:val="single"/>
        </w:rPr>
        <w:t xml:space="preserve">     </w:t>
      </w:r>
      <w:r>
        <w:rPr>
          <w:rFonts w:asciiTheme="minorEastAsia" w:hAnsiTheme="minorEastAsia" w:eastAsiaTheme="minorEastAsia"/>
          <w:bCs/>
          <w:sz w:val="24"/>
          <w:highlight w:val="none"/>
          <w:u w:val="single"/>
        </w:rPr>
        <w:t xml:space="preserve">    </w:t>
      </w:r>
      <w:r>
        <w:rPr>
          <w:rFonts w:hint="eastAsia" w:asciiTheme="minorEastAsia" w:hAnsiTheme="minorEastAsia" w:eastAsiaTheme="minorEastAsia"/>
          <w:bCs/>
          <w:sz w:val="24"/>
          <w:highlight w:val="none"/>
          <w:u w:val="single"/>
        </w:rPr>
        <w:t xml:space="preserve">    </w:t>
      </w:r>
    </w:p>
    <w:p w14:paraId="11AFE41F">
      <w:pPr>
        <w:spacing w:line="360" w:lineRule="auto"/>
        <w:ind w:firstLine="4320" w:firstLineChars="1800"/>
        <w:jc w:val="center"/>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日          期：</w:t>
      </w:r>
      <w:r>
        <w:rPr>
          <w:rFonts w:hint="eastAsia" w:asciiTheme="minorEastAsia" w:hAnsiTheme="minorEastAsia" w:eastAsiaTheme="minorEastAsia"/>
          <w:bCs/>
          <w:sz w:val="24"/>
          <w:highlight w:val="none"/>
          <w:u w:val="single"/>
        </w:rPr>
        <w:t xml:space="preserve">             </w:t>
      </w:r>
    </w:p>
    <w:p w14:paraId="1DB3B321">
      <w:pPr>
        <w:spacing w:line="360" w:lineRule="auto"/>
        <w:rPr>
          <w:rFonts w:hint="eastAsia" w:asciiTheme="minorEastAsia" w:hAnsiTheme="minorEastAsia" w:eastAsiaTheme="minorEastAsia"/>
          <w:sz w:val="24"/>
          <w:highlight w:val="none"/>
        </w:rPr>
      </w:pPr>
    </w:p>
    <w:p w14:paraId="1AE721FF">
      <w:pPr>
        <w:spacing w:line="360" w:lineRule="auto"/>
        <w:ind w:firstLine="360" w:firstLineChars="150"/>
        <w:rPr>
          <w:rFonts w:hint="eastAsia" w:asciiTheme="minorEastAsia" w:hAnsiTheme="minorEastAsia" w:eastAsiaTheme="minorEastAsia"/>
          <w:sz w:val="24"/>
          <w:highlight w:val="none"/>
        </w:rPr>
      </w:pPr>
    </w:p>
    <w:p w14:paraId="4FDB0254">
      <w:pPr>
        <w:spacing w:line="360" w:lineRule="auto"/>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注：</w:t>
      </w:r>
    </w:p>
    <w:p w14:paraId="20EF0F37">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此表用于开标唱标之用。</w:t>
      </w:r>
    </w:p>
    <w:p w14:paraId="0CED911A">
      <w:pPr>
        <w:spacing w:line="360" w:lineRule="auto"/>
        <w:ind w:firstLine="435"/>
        <w:rPr>
          <w:rFonts w:hint="eastAsia"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3.表中大写金额与小写金额不一致的，以大写金额为准。</w:t>
      </w:r>
      <w:r>
        <w:rPr>
          <w:rFonts w:asciiTheme="minorEastAsia" w:hAnsiTheme="minorEastAsia" w:eastAsiaTheme="minorEastAsia"/>
          <w:sz w:val="24"/>
          <w:highlight w:val="none"/>
        </w:rPr>
        <w:br w:type="page"/>
      </w:r>
    </w:p>
    <w:p w14:paraId="1FD95949">
      <w:pPr>
        <w:spacing w:line="360" w:lineRule="auto"/>
        <w:jc w:val="center"/>
        <w:outlineLvl w:val="1"/>
        <w:rPr>
          <w:rFonts w:hint="eastAsia" w:asciiTheme="minorEastAsia" w:hAnsiTheme="minorEastAsia" w:eastAsiaTheme="minorEastAsia"/>
          <w:b/>
          <w:sz w:val="24"/>
          <w:highlight w:val="none"/>
        </w:rPr>
      </w:pPr>
      <w:bookmarkStart w:id="68" w:name="_Toc6441"/>
      <w:bookmarkStart w:id="69" w:name="_Toc18010"/>
      <w:r>
        <w:rPr>
          <w:rFonts w:hint="eastAsia" w:asciiTheme="minorEastAsia" w:hAnsiTheme="minorEastAsia" w:eastAsiaTheme="minorEastAsia"/>
          <w:b/>
          <w:sz w:val="24"/>
          <w:highlight w:val="none"/>
        </w:rPr>
        <w:t>二、投标函</w:t>
      </w:r>
      <w:bookmarkEnd w:id="68"/>
      <w:bookmarkEnd w:id="69"/>
    </w:p>
    <w:p w14:paraId="5A91387F">
      <w:pPr>
        <w:pStyle w:val="13"/>
        <w:spacing w:line="360" w:lineRule="auto"/>
        <w:rPr>
          <w:rFonts w:hint="eastAsia" w:ascii="宋体" w:hAnsi="宋体"/>
          <w:sz w:val="24"/>
          <w:highlight w:val="none"/>
          <w:u w:val="single"/>
        </w:rPr>
      </w:pPr>
      <w:r>
        <w:rPr>
          <w:rFonts w:hint="eastAsia" w:ascii="宋体" w:hAnsi="宋体"/>
          <w:sz w:val="24"/>
          <w:highlight w:val="none"/>
        </w:rPr>
        <w:t>致：</w:t>
      </w:r>
      <w:r>
        <w:rPr>
          <w:rFonts w:hint="eastAsia" w:ascii="宋体" w:hAnsi="宋体"/>
          <w:sz w:val="24"/>
          <w:highlight w:val="none"/>
          <w:u w:val="single"/>
        </w:rPr>
        <w:t>采购人</w:t>
      </w:r>
    </w:p>
    <w:p w14:paraId="75B59799">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根据贵方的招标公告和投标邀请，我方兹宣布同意如下：</w:t>
      </w:r>
    </w:p>
    <w:p w14:paraId="4CF4E4F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hint="eastAsia" w:ascii="宋体" w:hAnsi="宋体" w:eastAsia="宋体" w:cs="宋体"/>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2.我方已详细审核全部招标文件，包括招标文件附件及更正公告（如有），我方正式认可并遵守本次招标文件，并对招标文件各项条款、规定及要求均无异议。</w:t>
      </w:r>
    </w:p>
    <w:p w14:paraId="3DACCE0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3.我方同意从招标文件规定的开标日期起遵循本招标文件，并在招标文件规定的投标有效期之前均具有约束力。</w:t>
      </w:r>
    </w:p>
    <w:p w14:paraId="7258202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hint="eastAsia" w:ascii="宋体" w:hAnsi="宋体" w:eastAsia="宋体"/>
          <w:sz w:val="24"/>
          <w:highlight w:val="none"/>
        </w:rPr>
      </w:pPr>
    </w:p>
    <w:p w14:paraId="79C1ABB0">
      <w:pPr>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p>
    <w:p w14:paraId="79A37600">
      <w:pPr>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78385054">
      <w:pPr>
        <w:widowControl/>
        <w:jc w:val="left"/>
        <w:rPr>
          <w:rFonts w:hint="eastAsia" w:ascii="宋体" w:hAnsi="宋体" w:eastAsia="宋体"/>
          <w:sz w:val="24"/>
          <w:highlight w:val="none"/>
          <w:u w:val="single"/>
        </w:rPr>
      </w:pPr>
      <w:r>
        <w:rPr>
          <w:rFonts w:ascii="宋体" w:hAnsi="宋体" w:eastAsia="宋体"/>
          <w:sz w:val="24"/>
          <w:highlight w:val="none"/>
          <w:u w:val="single"/>
        </w:rPr>
        <w:br w:type="page"/>
      </w:r>
    </w:p>
    <w:p w14:paraId="78775A16">
      <w:pPr>
        <w:spacing w:line="360" w:lineRule="auto"/>
        <w:jc w:val="center"/>
        <w:outlineLvl w:val="1"/>
        <w:rPr>
          <w:rFonts w:hint="eastAsia" w:asciiTheme="minorEastAsia" w:hAnsiTheme="minorEastAsia" w:eastAsiaTheme="minorEastAsia"/>
          <w:b/>
          <w:sz w:val="24"/>
          <w:highlight w:val="none"/>
        </w:rPr>
      </w:pPr>
      <w:bookmarkStart w:id="70" w:name="_Toc1328"/>
      <w:r>
        <w:rPr>
          <w:rFonts w:hint="eastAsia" w:asciiTheme="minorEastAsia" w:hAnsiTheme="minorEastAsia" w:eastAsiaTheme="minorEastAsia"/>
          <w:b/>
          <w:sz w:val="24"/>
          <w:highlight w:val="none"/>
        </w:rPr>
        <w:t>三、投标人资格声明书</w:t>
      </w:r>
      <w:bookmarkEnd w:id="70"/>
      <w:r>
        <w:rPr>
          <w:rFonts w:hint="eastAsia" w:asciiTheme="minorEastAsia" w:hAnsiTheme="minorEastAsia" w:eastAsiaTheme="minorEastAsia"/>
          <w:b/>
          <w:sz w:val="24"/>
          <w:highlight w:val="none"/>
        </w:rPr>
        <w:t xml:space="preserve"> </w:t>
      </w:r>
    </w:p>
    <w:p w14:paraId="71C42E2A">
      <w:pPr>
        <w:pStyle w:val="13"/>
        <w:spacing w:line="360" w:lineRule="auto"/>
        <w:rPr>
          <w:rFonts w:hint="eastAsia" w:asciiTheme="minorEastAsia" w:hAnsiTheme="minorEastAsia" w:cstheme="minorEastAsia"/>
          <w:sz w:val="24"/>
          <w:szCs w:val="24"/>
          <w:highlight w:val="none"/>
        </w:rPr>
      </w:pPr>
      <w:r>
        <w:rPr>
          <w:rFonts w:hint="eastAsia" w:ascii="宋体" w:hAnsi="宋体"/>
          <w:sz w:val="24"/>
          <w:highlight w:val="none"/>
        </w:rPr>
        <w:t>致：</w:t>
      </w:r>
      <w:r>
        <w:rPr>
          <w:rFonts w:hint="eastAsia" w:ascii="宋体" w:hAnsi="宋体"/>
          <w:sz w:val="24"/>
          <w:highlight w:val="none"/>
          <w:u w:val="single"/>
        </w:rPr>
        <w:t>采购人</w:t>
      </w:r>
    </w:p>
    <w:p w14:paraId="3EA201D1">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在参与本次项目投标中，我单位承诺：</w:t>
      </w:r>
    </w:p>
    <w:p w14:paraId="55C34CA8">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（一）具有良好的商业信誉和健全的财务会计制度；</w:t>
      </w:r>
    </w:p>
    <w:p w14:paraId="7D36F483">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（二）具有履行合同所必需的设备和专业技术能力；</w:t>
      </w:r>
    </w:p>
    <w:p w14:paraId="3575D457">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（三）有依法缴纳税收和社会保障资金的良好记录；</w:t>
      </w:r>
    </w:p>
    <w:p w14:paraId="4EB28A44">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widowControl/>
        <w:spacing w:line="360" w:lineRule="auto"/>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A8B2AEA">
      <w:pPr>
        <w:widowControl/>
        <w:spacing w:line="360" w:lineRule="auto"/>
        <w:ind w:firstLine="480" w:firstLineChars="200"/>
        <w:jc w:val="left"/>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widowControl/>
              <w:spacing w:before="156" w:beforeLines="50" w:after="10"/>
              <w:jc w:val="center"/>
              <w:rPr>
                <w:rFonts w:hint="eastAsia" w:asciiTheme="minorEastAsia" w:hAnsiTheme="minorEastAsia" w:eastAsiaTheme="minorEastAsia" w:cstheme="minorEastAsia"/>
                <w:color w:val="000000"/>
                <w:kern w:val="0"/>
                <w:sz w:val="24"/>
                <w:szCs w:val="24"/>
                <w:highlight w:val="none"/>
                <w:lang w:bidi="ar"/>
              </w:rPr>
            </w:pPr>
            <w:r>
              <w:rPr>
                <w:rFonts w:hint="eastAsia" w:asciiTheme="minorEastAsia" w:hAnsiTheme="minorEastAsia" w:eastAsiaTheme="minorEastAsia" w:cstheme="minorEastAsia"/>
                <w:color w:val="000000"/>
                <w:kern w:val="0"/>
                <w:sz w:val="24"/>
                <w:szCs w:val="24"/>
                <w:highlight w:val="none"/>
                <w:lang w:bidi="ar"/>
              </w:rPr>
              <w:t>序号</w:t>
            </w:r>
          </w:p>
        </w:tc>
        <w:tc>
          <w:tcPr>
            <w:tcW w:w="2841" w:type="dxa"/>
          </w:tcPr>
          <w:p w14:paraId="7AB1403A">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r>
              <w:rPr>
                <w:rFonts w:hint="eastAsia" w:asciiTheme="minorEastAsia" w:hAnsiTheme="minorEastAsia" w:eastAsiaTheme="minorEastAsia" w:cstheme="minorEastAsia"/>
                <w:color w:val="000000"/>
                <w:kern w:val="0"/>
                <w:sz w:val="24"/>
                <w:highlight w:val="none"/>
                <w:lang w:val="en-US" w:bidi="ar"/>
              </w:rPr>
              <w:t>单位名称</w:t>
            </w:r>
          </w:p>
        </w:tc>
        <w:tc>
          <w:tcPr>
            <w:tcW w:w="2841" w:type="dxa"/>
          </w:tcPr>
          <w:p w14:paraId="29A8ACBA">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r>
              <w:rPr>
                <w:rFonts w:hint="eastAsia" w:asciiTheme="minorEastAsia" w:hAnsiTheme="minorEastAsia" w:eastAsiaTheme="minorEastAsia" w:cstheme="minorEastAsia"/>
                <w:color w:val="000000"/>
                <w:kern w:val="0"/>
                <w:sz w:val="24"/>
                <w:highlight w:val="none"/>
                <w:lang w:val="en-US"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r>
              <w:rPr>
                <w:rFonts w:hint="eastAsia" w:asciiTheme="minorEastAsia" w:hAnsiTheme="minorEastAsia" w:eastAsiaTheme="minorEastAsia" w:cstheme="minorEastAsia"/>
                <w:color w:val="000000"/>
                <w:kern w:val="0"/>
                <w:sz w:val="24"/>
                <w:highlight w:val="none"/>
                <w:lang w:val="en-US" w:bidi="ar"/>
              </w:rPr>
              <w:t>1</w:t>
            </w:r>
          </w:p>
        </w:tc>
        <w:tc>
          <w:tcPr>
            <w:tcW w:w="2841" w:type="dxa"/>
          </w:tcPr>
          <w:p w14:paraId="7A13D496">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p>
        </w:tc>
        <w:tc>
          <w:tcPr>
            <w:tcW w:w="2841" w:type="dxa"/>
          </w:tcPr>
          <w:p w14:paraId="19931D3C">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r>
              <w:rPr>
                <w:rFonts w:hint="eastAsia" w:asciiTheme="minorEastAsia" w:hAnsiTheme="minorEastAsia" w:eastAsiaTheme="minorEastAsia" w:cstheme="minorEastAsia"/>
                <w:color w:val="000000"/>
                <w:kern w:val="0"/>
                <w:sz w:val="24"/>
                <w:highlight w:val="none"/>
                <w:lang w:val="en-US" w:bidi="ar"/>
              </w:rPr>
              <w:t>2</w:t>
            </w:r>
          </w:p>
        </w:tc>
        <w:tc>
          <w:tcPr>
            <w:tcW w:w="2841" w:type="dxa"/>
          </w:tcPr>
          <w:p w14:paraId="6476754D">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p>
        </w:tc>
        <w:tc>
          <w:tcPr>
            <w:tcW w:w="2841" w:type="dxa"/>
          </w:tcPr>
          <w:p w14:paraId="270D37D4">
            <w:pPr>
              <w:pStyle w:val="2"/>
              <w:spacing w:before="156" w:beforeLines="50" w:after="10"/>
              <w:jc w:val="center"/>
              <w:rPr>
                <w:rFonts w:hint="eastAsia" w:asciiTheme="minorEastAsia" w:hAnsiTheme="minorEastAsia" w:eastAsiaTheme="minorEastAsia" w:cstheme="minorEastAsia"/>
                <w:color w:val="000000"/>
                <w:kern w:val="0"/>
                <w:sz w:val="24"/>
                <w:highlight w:val="none"/>
                <w:lang w:val="en-US" w:bidi="ar"/>
              </w:rPr>
            </w:pPr>
          </w:p>
        </w:tc>
      </w:tr>
    </w:tbl>
    <w:p w14:paraId="605A535D">
      <w:pPr>
        <w:spacing w:line="360" w:lineRule="auto"/>
        <w:ind w:firstLine="435"/>
        <w:rPr>
          <w:rFonts w:hint="eastAsia" w:ascii="宋体" w:hAnsi="宋体" w:eastAsia="宋体"/>
          <w:sz w:val="24"/>
          <w:highlight w:val="none"/>
        </w:rPr>
      </w:pPr>
      <w:r>
        <w:rPr>
          <w:rFonts w:hint="eastAsia" w:ascii="宋体" w:hAnsi="宋体" w:eastAsia="宋体"/>
          <w:sz w:val="24"/>
          <w:highlight w:val="none"/>
        </w:rPr>
        <w:t>本单位对</w:t>
      </w:r>
      <w:r>
        <w:rPr>
          <w:rFonts w:hint="eastAsia" w:asciiTheme="minorEastAsia" w:hAnsiTheme="minorEastAsia" w:eastAsiaTheme="minorEastAsia"/>
          <w:sz w:val="24"/>
          <w:highlight w:val="none"/>
        </w:rPr>
        <w:t>上述</w:t>
      </w:r>
      <w:r>
        <w:rPr>
          <w:rFonts w:hint="eastAsia" w:ascii="宋体" w:hAnsi="宋体" w:eastAsia="宋体"/>
          <w:sz w:val="24"/>
          <w:highlight w:val="none"/>
        </w:rPr>
        <w:t>声明的真实性负责。如有虚假，将依法承担相应责任。</w:t>
      </w:r>
    </w:p>
    <w:p w14:paraId="5429414E">
      <w:pPr>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6A7C5B6B">
      <w:pPr>
        <w:tabs>
          <w:tab w:val="left" w:pos="630"/>
        </w:tabs>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6EA2097A">
      <w:pPr>
        <w:pStyle w:val="2"/>
        <w:rPr>
          <w:rFonts w:hint="eastAsia" w:asciiTheme="minorEastAsia" w:hAnsiTheme="minorEastAsia" w:eastAsiaTheme="minorEastAsia" w:cstheme="minorEastAsia"/>
          <w:color w:val="000000"/>
          <w:kern w:val="0"/>
          <w:sz w:val="24"/>
          <w:highlight w:val="none"/>
          <w:lang w:val="en-US" w:bidi="ar"/>
        </w:rPr>
      </w:pPr>
    </w:p>
    <w:p w14:paraId="62FACBB4">
      <w:pPr>
        <w:pStyle w:val="2"/>
        <w:rPr>
          <w:rFonts w:hint="eastAsia" w:asciiTheme="minorEastAsia" w:hAnsiTheme="minorEastAsia" w:eastAsiaTheme="minorEastAsia" w:cstheme="minorEastAsia"/>
          <w:color w:val="000000"/>
          <w:kern w:val="0"/>
          <w:sz w:val="24"/>
          <w:highlight w:val="none"/>
          <w:lang w:val="en-US" w:bidi="ar"/>
        </w:rPr>
      </w:pPr>
    </w:p>
    <w:p w14:paraId="29236E8F">
      <w:pPr>
        <w:pStyle w:val="2"/>
        <w:rPr>
          <w:rFonts w:hint="eastAsia" w:asciiTheme="minorEastAsia" w:hAnsiTheme="minorEastAsia" w:eastAsiaTheme="minorEastAsia" w:cstheme="minorEastAsia"/>
          <w:color w:val="000000"/>
          <w:kern w:val="0"/>
          <w:sz w:val="24"/>
          <w:highlight w:val="none"/>
          <w:lang w:val="en-US" w:bidi="ar"/>
        </w:rPr>
      </w:pPr>
    </w:p>
    <w:p w14:paraId="17F618DD">
      <w:pPr>
        <w:rPr>
          <w:rFonts w:hint="eastAsia" w:asciiTheme="minorEastAsia" w:hAnsiTheme="minorEastAsia" w:eastAsiaTheme="minorEastAsia"/>
          <w:b/>
          <w:sz w:val="24"/>
          <w:highlight w:val="none"/>
        </w:rPr>
      </w:pPr>
      <w:bookmarkStart w:id="71" w:name="_Toc11607"/>
      <w:r>
        <w:rPr>
          <w:rFonts w:hint="eastAsia" w:asciiTheme="minorEastAsia" w:hAnsiTheme="minorEastAsia" w:eastAsiaTheme="minorEastAsia"/>
          <w:b/>
          <w:sz w:val="24"/>
          <w:highlight w:val="none"/>
        </w:rPr>
        <w:br w:type="page"/>
      </w:r>
    </w:p>
    <w:p w14:paraId="6C263433">
      <w:pPr>
        <w:spacing w:line="360" w:lineRule="auto"/>
        <w:jc w:val="center"/>
        <w:outlineLvl w:val="1"/>
        <w:rPr>
          <w:rFonts w:hint="eastAsia" w:asciiTheme="minorEastAsia" w:hAnsiTheme="minorEastAsia" w:eastAsiaTheme="minorEastAsia"/>
          <w:b/>
          <w:sz w:val="24"/>
          <w:highlight w:val="none"/>
        </w:rPr>
      </w:pPr>
      <w:bookmarkStart w:id="72" w:name="_Toc16960"/>
      <w:r>
        <w:rPr>
          <w:rFonts w:hint="eastAsia" w:asciiTheme="minorEastAsia" w:hAnsiTheme="minorEastAsia" w:eastAsiaTheme="minorEastAsia"/>
          <w:b/>
          <w:sz w:val="24"/>
          <w:highlight w:val="none"/>
        </w:rPr>
        <w:t>四、授权书</w:t>
      </w:r>
      <w:bookmarkEnd w:id="71"/>
      <w:bookmarkEnd w:id="72"/>
    </w:p>
    <w:p w14:paraId="08E8CC0E">
      <w:pPr>
        <w:pStyle w:val="12"/>
        <w:snapToGrid w:val="0"/>
        <w:spacing w:line="360" w:lineRule="auto"/>
        <w:ind w:firstLine="480" w:firstLineChars="200"/>
        <w:jc w:val="left"/>
        <w:rPr>
          <w:rFonts w:hint="eastAsia" w:hAnsi="宋体" w:eastAsia="宋体"/>
          <w:sz w:val="24"/>
          <w:szCs w:val="28"/>
          <w:highlight w:val="none"/>
        </w:rPr>
      </w:pPr>
    </w:p>
    <w:p w14:paraId="5E50A686">
      <w:pPr>
        <w:spacing w:line="360" w:lineRule="auto"/>
        <w:ind w:firstLine="435"/>
        <w:rPr>
          <w:rFonts w:hint="eastAsia" w:hAnsi="宋体" w:eastAsia="宋体"/>
          <w:sz w:val="24"/>
          <w:szCs w:val="28"/>
          <w:highlight w:val="none"/>
        </w:rPr>
      </w:pPr>
      <w:r>
        <w:rPr>
          <w:rFonts w:hint="eastAsia" w:hAnsi="宋体" w:eastAsia="宋体"/>
          <w:sz w:val="24"/>
          <w:szCs w:val="28"/>
          <w:highlight w:val="none"/>
        </w:rPr>
        <w:t>本</w:t>
      </w:r>
      <w:r>
        <w:rPr>
          <w:rFonts w:hint="eastAsia" w:asciiTheme="minorEastAsia" w:hAnsiTheme="minorEastAsia" w:eastAsiaTheme="minorEastAsia"/>
          <w:sz w:val="24"/>
          <w:highlight w:val="none"/>
        </w:rPr>
        <w:t>授权</w:t>
      </w:r>
      <w:r>
        <w:rPr>
          <w:rFonts w:hint="eastAsia" w:hAnsi="宋体" w:eastAsia="宋体"/>
          <w:sz w:val="24"/>
          <w:szCs w:val="28"/>
          <w:highlight w:val="none"/>
        </w:rPr>
        <w:t>书声明：</w:t>
      </w:r>
      <w:r>
        <w:rPr>
          <w:rFonts w:hint="eastAsia" w:hAnsi="宋体" w:eastAsia="宋体"/>
          <w:sz w:val="24"/>
          <w:szCs w:val="28"/>
          <w:highlight w:val="none"/>
          <w:u w:val="single"/>
        </w:rPr>
        <w:t xml:space="preserve">           </w:t>
      </w:r>
      <w:r>
        <w:rPr>
          <w:rFonts w:hint="eastAsia" w:hAnsi="宋体" w:eastAsia="宋体"/>
          <w:sz w:val="24"/>
          <w:szCs w:val="28"/>
          <w:highlight w:val="none"/>
        </w:rPr>
        <w:t>（投标人名称）授权</w:t>
      </w:r>
      <w:r>
        <w:rPr>
          <w:rFonts w:hint="eastAsia" w:hAnsi="宋体" w:eastAsia="宋体"/>
          <w:sz w:val="24"/>
          <w:szCs w:val="28"/>
          <w:highlight w:val="none"/>
          <w:u w:val="single"/>
        </w:rPr>
        <w:t xml:space="preserve">       </w:t>
      </w:r>
      <w:r>
        <w:rPr>
          <w:rFonts w:hint="eastAsia" w:hAnsi="宋体" w:eastAsia="宋体"/>
          <w:sz w:val="24"/>
          <w:szCs w:val="28"/>
          <w:highlight w:val="none"/>
        </w:rPr>
        <w:t>（投标人授权代表姓名）代表我方参加本项目</w:t>
      </w:r>
      <w:r>
        <w:rPr>
          <w:rFonts w:hint="eastAsia" w:hAnsi="宋体" w:eastAsia="宋体"/>
          <w:bCs/>
          <w:sz w:val="24"/>
          <w:szCs w:val="28"/>
          <w:highlight w:val="none"/>
        </w:rPr>
        <w:t>采购活动</w:t>
      </w:r>
      <w:r>
        <w:rPr>
          <w:rFonts w:hint="eastAsia" w:hAnsi="宋体" w:eastAsia="宋体"/>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int="eastAsia" w:hAnsi="宋体" w:eastAsia="宋体"/>
          <w:sz w:val="24"/>
          <w:szCs w:val="28"/>
          <w:highlight w:val="none"/>
        </w:rPr>
      </w:pPr>
      <w:r>
        <w:rPr>
          <w:rFonts w:hint="eastAsia" w:hAnsi="宋体" w:eastAsia="宋体"/>
          <w:sz w:val="24"/>
          <w:szCs w:val="28"/>
          <w:highlight w:val="none"/>
        </w:rPr>
        <w:t>本授权书自出具之日起生效。</w:t>
      </w:r>
    </w:p>
    <w:p w14:paraId="10222876">
      <w:pPr>
        <w:spacing w:line="360" w:lineRule="auto"/>
        <w:ind w:firstLine="435"/>
        <w:rPr>
          <w:rFonts w:hint="eastAsia" w:hAnsi="宋体" w:eastAsia="宋体"/>
          <w:sz w:val="24"/>
          <w:highlight w:val="none"/>
        </w:rPr>
      </w:pPr>
      <w:r>
        <w:rPr>
          <w:rFonts w:hint="eastAsia" w:hAnsi="宋体" w:eastAsia="宋体"/>
          <w:sz w:val="24"/>
          <w:szCs w:val="28"/>
          <w:highlight w:val="none"/>
        </w:rPr>
        <w:t>授权</w:t>
      </w:r>
      <w:r>
        <w:rPr>
          <w:rFonts w:hint="eastAsia" w:asciiTheme="minorEastAsia" w:hAnsiTheme="minorEastAsia" w:eastAsiaTheme="minorEastAsia"/>
          <w:sz w:val="24"/>
          <w:highlight w:val="none"/>
        </w:rPr>
        <w:t>代表</w:t>
      </w:r>
      <w:r>
        <w:rPr>
          <w:rFonts w:hint="eastAsia" w:hAnsi="宋体" w:eastAsia="宋体"/>
          <w:sz w:val="24"/>
          <w:highlight w:val="none"/>
        </w:rPr>
        <w:t>身份证明扫描件：</w:t>
      </w:r>
    </w:p>
    <w:p w14:paraId="3EA03D83">
      <w:pPr>
        <w:spacing w:line="360" w:lineRule="auto"/>
        <w:ind w:firstLine="435"/>
        <w:rPr>
          <w:rFonts w:hint="eastAsia" w:asciiTheme="minorEastAsia" w:hAnsiTheme="minorEastAsia" w:eastAsiaTheme="minorEastAsia"/>
          <w:sz w:val="24"/>
          <w:highlight w:val="none"/>
        </w:rPr>
      </w:pPr>
    </w:p>
    <w:p w14:paraId="53CAB130">
      <w:pPr>
        <w:spacing w:line="360" w:lineRule="auto"/>
        <w:ind w:firstLine="435"/>
        <w:rPr>
          <w:rFonts w:hint="eastAsia" w:asciiTheme="minorEastAsia" w:hAnsiTheme="minorEastAsia" w:eastAsiaTheme="minorEastAsia"/>
          <w:sz w:val="24"/>
          <w:highlight w:val="none"/>
        </w:rPr>
      </w:pPr>
    </w:p>
    <w:p w14:paraId="2C5C8315">
      <w:pPr>
        <w:spacing w:line="360" w:lineRule="auto"/>
        <w:ind w:firstLine="435"/>
        <w:rPr>
          <w:rFonts w:hint="eastAsia" w:asciiTheme="minorEastAsia" w:hAnsiTheme="minorEastAsia" w:eastAsiaTheme="minorEastAsia"/>
          <w:sz w:val="24"/>
          <w:highlight w:val="none"/>
        </w:rPr>
      </w:pPr>
    </w:p>
    <w:p w14:paraId="7BA25597">
      <w:pPr>
        <w:spacing w:line="360" w:lineRule="auto"/>
        <w:ind w:firstLine="435"/>
        <w:rPr>
          <w:rFonts w:hint="eastAsia" w:hAnsi="宋体" w:eastAsia="宋体"/>
          <w:sz w:val="24"/>
          <w:szCs w:val="28"/>
          <w:highlight w:val="none"/>
          <w:u w:val="single"/>
          <w:lang w:val="zh-CN"/>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43814717">
      <w:pPr>
        <w:spacing w:line="360" w:lineRule="auto"/>
        <w:ind w:firstLine="435"/>
        <w:rPr>
          <w:rFonts w:hint="eastAsia" w:hAnsi="宋体" w:eastAsia="宋体"/>
          <w:sz w:val="24"/>
          <w:szCs w:val="28"/>
          <w:highlight w:val="none"/>
          <w:lang w:val="zh-CN"/>
        </w:rPr>
      </w:pPr>
    </w:p>
    <w:p w14:paraId="1B778D7F">
      <w:pPr>
        <w:spacing w:line="360" w:lineRule="auto"/>
        <w:ind w:firstLine="435"/>
        <w:rPr>
          <w:rFonts w:hint="eastAsia" w:ascii="宋体" w:hAnsi="宋体" w:eastAsia="宋体"/>
          <w:sz w:val="24"/>
          <w:szCs w:val="28"/>
          <w:highlight w:val="none"/>
        </w:rPr>
      </w:pPr>
      <w:r>
        <w:rPr>
          <w:rFonts w:hint="eastAsia" w:asciiTheme="minorEastAsia" w:hAnsiTheme="minorEastAsia" w:eastAsiaTheme="minorEastAsia"/>
          <w:sz w:val="24"/>
          <w:highlight w:val="none"/>
        </w:rPr>
        <w:t>特此</w:t>
      </w:r>
      <w:r>
        <w:rPr>
          <w:rFonts w:hint="eastAsia" w:ascii="宋体" w:hAnsi="宋体" w:eastAsia="宋体"/>
          <w:sz w:val="24"/>
          <w:szCs w:val="28"/>
          <w:highlight w:val="none"/>
        </w:rPr>
        <w:t>声明。</w:t>
      </w:r>
    </w:p>
    <w:p w14:paraId="30DD1F94">
      <w:pPr>
        <w:spacing w:line="360" w:lineRule="auto"/>
        <w:rPr>
          <w:rFonts w:hint="eastAsia" w:ascii="宋体" w:hAnsi="宋体" w:eastAsia="宋体"/>
          <w:sz w:val="24"/>
          <w:szCs w:val="28"/>
          <w:highlight w:val="none"/>
        </w:rPr>
      </w:pPr>
    </w:p>
    <w:p w14:paraId="13DCB21B">
      <w:pPr>
        <w:spacing w:line="360" w:lineRule="auto"/>
        <w:ind w:firstLine="435"/>
        <w:jc w:val="center"/>
        <w:rPr>
          <w:rFonts w:hint="eastAsia" w:ascii="宋体" w:hAnsi="宋体" w:eastAsia="宋体"/>
          <w:bCs/>
          <w:sz w:val="24"/>
          <w:szCs w:val="28"/>
          <w:highlight w:val="none"/>
        </w:rPr>
      </w:pPr>
      <w:r>
        <w:rPr>
          <w:rFonts w:hint="eastAsia" w:ascii="宋体" w:hAnsi="宋体" w:eastAsia="宋体"/>
          <w:bCs/>
          <w:sz w:val="24"/>
          <w:szCs w:val="28"/>
          <w:highlight w:val="none"/>
        </w:rPr>
        <w:t xml:space="preserve">                            投标人电子签章：</w:t>
      </w:r>
      <w:r>
        <w:rPr>
          <w:rFonts w:hint="eastAsia" w:ascii="宋体" w:hAnsi="宋体" w:eastAsia="宋体"/>
          <w:bCs/>
          <w:sz w:val="24"/>
          <w:szCs w:val="28"/>
          <w:highlight w:val="none"/>
          <w:u w:val="single"/>
        </w:rPr>
        <w:t xml:space="preserve">                    </w:t>
      </w:r>
    </w:p>
    <w:p w14:paraId="3A89123F">
      <w:pPr>
        <w:spacing w:line="360" w:lineRule="auto"/>
        <w:ind w:firstLine="435"/>
        <w:jc w:val="center"/>
        <w:rPr>
          <w:rFonts w:hint="eastAsia" w:ascii="宋体" w:hAnsi="宋体" w:eastAsia="宋体"/>
          <w:sz w:val="24"/>
          <w:szCs w:val="28"/>
          <w:highlight w:val="none"/>
        </w:rPr>
      </w:pPr>
      <w:r>
        <w:rPr>
          <w:rFonts w:hint="eastAsia" w:ascii="宋体" w:hAnsi="宋体" w:eastAsia="宋体"/>
          <w:sz w:val="24"/>
          <w:szCs w:val="28"/>
          <w:highlight w:val="none"/>
        </w:rPr>
        <w:t xml:space="preserve">                            日          期：</w:t>
      </w:r>
      <w:r>
        <w:rPr>
          <w:rFonts w:hint="eastAsia" w:ascii="宋体" w:hAnsi="宋体" w:eastAsia="宋体"/>
          <w:b/>
          <w:bCs/>
          <w:sz w:val="24"/>
          <w:szCs w:val="28"/>
          <w:highlight w:val="none"/>
          <w:u w:val="single"/>
        </w:rPr>
        <w:t xml:space="preserve">                    </w:t>
      </w:r>
    </w:p>
    <w:p w14:paraId="623A7F90">
      <w:pPr>
        <w:spacing w:line="360" w:lineRule="auto"/>
        <w:ind w:firstLine="435"/>
        <w:rPr>
          <w:rFonts w:hint="eastAsia" w:asciiTheme="minorEastAsia" w:hAnsiTheme="minorEastAsia" w:eastAsiaTheme="minorEastAsia"/>
          <w:sz w:val="24"/>
          <w:highlight w:val="none"/>
        </w:rPr>
      </w:pPr>
    </w:p>
    <w:p w14:paraId="7A581D12">
      <w:pPr>
        <w:spacing w:line="360" w:lineRule="auto"/>
        <w:ind w:firstLine="435"/>
        <w:rPr>
          <w:rFonts w:hint="eastAsia" w:asciiTheme="minorEastAsia" w:hAnsiTheme="minorEastAsia" w:eastAsiaTheme="minorEastAsia"/>
          <w:sz w:val="24"/>
          <w:highlight w:val="none"/>
        </w:rPr>
      </w:pPr>
    </w:p>
    <w:p w14:paraId="2A1BBDB9">
      <w:pPr>
        <w:spacing w:line="360" w:lineRule="auto"/>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注：</w:t>
      </w:r>
    </w:p>
    <w:p w14:paraId="327E0592">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1.本项目只允许有唯一的投标人授权代表，提供身份证明扫描件；</w:t>
      </w:r>
    </w:p>
    <w:p w14:paraId="4555FA2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2.法定代表人参加投标的无需提供授权书，提供身份证明扫描件。</w:t>
      </w:r>
    </w:p>
    <w:p w14:paraId="2E4221C2">
      <w:pPr>
        <w:widowControl/>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5CECE55C">
      <w:pPr>
        <w:spacing w:line="360" w:lineRule="auto"/>
        <w:jc w:val="center"/>
        <w:outlineLvl w:val="1"/>
        <w:rPr>
          <w:rFonts w:hint="eastAsia" w:asciiTheme="minorEastAsia" w:hAnsiTheme="minorEastAsia" w:eastAsiaTheme="minorEastAsia"/>
          <w:b/>
          <w:sz w:val="24"/>
          <w:highlight w:val="none"/>
        </w:rPr>
      </w:pPr>
      <w:bookmarkStart w:id="73" w:name="_Toc31991"/>
      <w:bookmarkStart w:id="74" w:name="_Toc6796"/>
      <w:r>
        <w:rPr>
          <w:rFonts w:hint="eastAsia" w:asciiTheme="minorEastAsia" w:hAnsiTheme="minorEastAsia" w:eastAsiaTheme="minorEastAsia"/>
          <w:b/>
          <w:sz w:val="24"/>
          <w:highlight w:val="none"/>
        </w:rPr>
        <w:t>五、投标分项报价表</w:t>
      </w:r>
      <w:bookmarkEnd w:id="73"/>
      <w:bookmarkEnd w:id="74"/>
    </w:p>
    <w:p w14:paraId="7BFA8A4B">
      <w:pPr>
        <w:pStyle w:val="40"/>
        <w:jc w:val="left"/>
        <w:rPr>
          <w:rFonts w:hint="eastAsia" w:ascii="宋体" w:hAnsi="宋体"/>
          <w:b/>
          <w:bCs/>
          <w:highlight w:val="none"/>
        </w:rPr>
      </w:pPr>
      <w:r>
        <w:rPr>
          <w:rFonts w:hint="eastAsia" w:ascii="宋体" w:hAnsi="宋体"/>
          <w:b/>
          <w:bCs/>
          <w:highlight w:val="none"/>
        </w:rPr>
        <w:t>5-1货物部分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23"/>
        <w:gridCol w:w="1316"/>
        <w:gridCol w:w="1315"/>
        <w:gridCol w:w="671"/>
        <w:gridCol w:w="671"/>
        <w:gridCol w:w="942"/>
        <w:gridCol w:w="939"/>
        <w:gridCol w:w="671"/>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02EB3403">
            <w:pPr>
              <w:pStyle w:val="32"/>
              <w:widowControl w:val="0"/>
              <w:spacing w:before="0" w:beforeAutospacing="0" w:after="0" w:afterAutospacing="0"/>
              <w:rPr>
                <w:rFonts w:hint="eastAsia"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vAlign w:val="center"/>
          </w:tcPr>
          <w:p w14:paraId="73FB9F55">
            <w:pPr>
              <w:jc w:val="center"/>
              <w:rPr>
                <w:rFonts w:hint="eastAsia" w:ascii="宋体" w:hAnsi="宋体" w:eastAsia="宋体"/>
                <w:b/>
                <w:sz w:val="24"/>
                <w:highlight w:val="none"/>
              </w:rPr>
            </w:pPr>
            <w:r>
              <w:rPr>
                <w:rFonts w:hint="eastAsia" w:ascii="宋体" w:hAnsi="宋体" w:eastAsia="宋体"/>
                <w:b/>
                <w:sz w:val="24"/>
                <w:highlight w:val="none"/>
              </w:rPr>
              <w:t>货物名称</w:t>
            </w:r>
          </w:p>
        </w:tc>
        <w:tc>
          <w:tcPr>
            <w:tcW w:w="772" w:type="pct"/>
            <w:vAlign w:val="center"/>
          </w:tcPr>
          <w:p w14:paraId="74F9288A">
            <w:pPr>
              <w:jc w:val="center"/>
              <w:rPr>
                <w:rFonts w:hint="eastAsia" w:ascii="宋体" w:hAnsi="宋体" w:eastAsia="宋体"/>
                <w:b/>
                <w:sz w:val="24"/>
                <w:highlight w:val="none"/>
              </w:rPr>
            </w:pPr>
            <w:r>
              <w:rPr>
                <w:rFonts w:hint="eastAsia" w:ascii="宋体" w:hAnsi="宋体" w:eastAsia="宋体"/>
                <w:b/>
                <w:sz w:val="24"/>
                <w:highlight w:val="none"/>
              </w:rPr>
              <w:t>品牌、型</w:t>
            </w:r>
          </w:p>
          <w:p w14:paraId="75AB3D77">
            <w:pPr>
              <w:jc w:val="center"/>
              <w:rPr>
                <w:rFonts w:hint="eastAsia" w:ascii="宋体" w:hAnsi="宋体" w:eastAsia="宋体"/>
                <w:b/>
                <w:sz w:val="24"/>
                <w:highlight w:val="none"/>
              </w:rPr>
            </w:pPr>
            <w:r>
              <w:rPr>
                <w:rFonts w:hint="eastAsia" w:ascii="宋体" w:hAnsi="宋体" w:eastAsia="宋体"/>
                <w:b/>
                <w:sz w:val="24"/>
                <w:highlight w:val="none"/>
              </w:rPr>
              <w:t>号规格</w:t>
            </w:r>
          </w:p>
        </w:tc>
        <w:tc>
          <w:tcPr>
            <w:tcW w:w="772" w:type="pct"/>
            <w:vAlign w:val="center"/>
          </w:tcPr>
          <w:p w14:paraId="3FC9B9D4">
            <w:pPr>
              <w:jc w:val="center"/>
              <w:rPr>
                <w:rFonts w:hint="eastAsia" w:ascii="宋体" w:hAnsi="宋体" w:eastAsia="宋体"/>
                <w:b/>
                <w:sz w:val="24"/>
                <w:highlight w:val="none"/>
              </w:rPr>
            </w:pPr>
            <w:r>
              <w:rPr>
                <w:rFonts w:hint="eastAsia" w:ascii="宋体" w:hAnsi="宋体" w:eastAsia="宋体"/>
                <w:b/>
                <w:sz w:val="24"/>
                <w:highlight w:val="none"/>
              </w:rPr>
              <w:t>原产地及</w:t>
            </w:r>
          </w:p>
          <w:p w14:paraId="69A6F33E">
            <w:pPr>
              <w:jc w:val="center"/>
              <w:rPr>
                <w:rFonts w:hint="eastAsia" w:ascii="宋体" w:hAnsi="宋体" w:eastAsia="宋体"/>
                <w:b/>
                <w:sz w:val="24"/>
                <w:highlight w:val="none"/>
              </w:rPr>
            </w:pPr>
            <w:r>
              <w:rPr>
                <w:rFonts w:hint="eastAsia" w:ascii="宋体" w:hAnsi="宋体" w:eastAsia="宋体"/>
                <w:b/>
                <w:sz w:val="24"/>
                <w:highlight w:val="none"/>
              </w:rPr>
              <w:t>生产厂商</w:t>
            </w:r>
          </w:p>
        </w:tc>
        <w:tc>
          <w:tcPr>
            <w:tcW w:w="394" w:type="pct"/>
            <w:vAlign w:val="center"/>
          </w:tcPr>
          <w:p w14:paraId="5E220F61">
            <w:pPr>
              <w:jc w:val="center"/>
              <w:rPr>
                <w:rFonts w:hint="eastAsia" w:ascii="宋体" w:hAnsi="宋体" w:eastAsia="宋体"/>
                <w:b/>
                <w:sz w:val="24"/>
                <w:highlight w:val="none"/>
              </w:rPr>
            </w:pPr>
            <w:r>
              <w:rPr>
                <w:rFonts w:hint="eastAsia" w:ascii="宋体" w:hAnsi="宋体" w:eastAsia="宋体"/>
                <w:b/>
                <w:sz w:val="24"/>
                <w:highlight w:val="none"/>
              </w:rPr>
              <w:t>单位</w:t>
            </w:r>
          </w:p>
        </w:tc>
        <w:tc>
          <w:tcPr>
            <w:tcW w:w="394" w:type="pct"/>
            <w:vAlign w:val="center"/>
          </w:tcPr>
          <w:p w14:paraId="320CC90F">
            <w:pPr>
              <w:jc w:val="center"/>
              <w:rPr>
                <w:rFonts w:hint="eastAsia" w:ascii="宋体" w:hAnsi="宋体" w:eastAsia="宋体"/>
                <w:b/>
                <w:sz w:val="24"/>
                <w:highlight w:val="none"/>
              </w:rPr>
            </w:pPr>
            <w:r>
              <w:rPr>
                <w:rFonts w:hint="eastAsia" w:ascii="宋体" w:hAnsi="宋体" w:eastAsia="宋体"/>
                <w:b/>
                <w:sz w:val="24"/>
                <w:highlight w:val="none"/>
              </w:rPr>
              <w:t>数量</w:t>
            </w:r>
          </w:p>
        </w:tc>
        <w:tc>
          <w:tcPr>
            <w:tcW w:w="551" w:type="pct"/>
            <w:vAlign w:val="center"/>
          </w:tcPr>
          <w:p w14:paraId="57B37F39">
            <w:pPr>
              <w:jc w:val="center"/>
              <w:rPr>
                <w:rFonts w:hint="eastAsia" w:ascii="宋体" w:hAnsi="宋体" w:eastAsia="宋体"/>
                <w:b/>
                <w:sz w:val="24"/>
                <w:highlight w:val="none"/>
              </w:rPr>
            </w:pPr>
            <w:r>
              <w:rPr>
                <w:rFonts w:hint="eastAsia" w:ascii="宋体" w:hAnsi="宋体" w:eastAsia="宋体"/>
                <w:b/>
                <w:sz w:val="24"/>
                <w:highlight w:val="none"/>
              </w:rPr>
              <w:t>单价</w:t>
            </w:r>
          </w:p>
          <w:p w14:paraId="39894848">
            <w:pPr>
              <w:jc w:val="center"/>
              <w:rPr>
                <w:rFonts w:hint="eastAsia" w:ascii="宋体" w:hAnsi="宋体" w:eastAsia="宋体"/>
                <w:b/>
                <w:sz w:val="24"/>
                <w:highlight w:val="none"/>
              </w:rPr>
            </w:pPr>
            <w:r>
              <w:rPr>
                <w:rFonts w:hint="eastAsia" w:ascii="宋体" w:hAnsi="宋体" w:eastAsia="宋体"/>
                <w:b/>
                <w:sz w:val="24"/>
                <w:highlight w:val="none"/>
              </w:rPr>
              <w:t>（元）</w:t>
            </w:r>
          </w:p>
        </w:tc>
        <w:tc>
          <w:tcPr>
            <w:tcW w:w="551" w:type="pct"/>
            <w:vAlign w:val="center"/>
          </w:tcPr>
          <w:p w14:paraId="3425285D">
            <w:pPr>
              <w:jc w:val="center"/>
              <w:rPr>
                <w:rFonts w:hint="eastAsia" w:ascii="宋体" w:hAnsi="宋体" w:eastAsia="宋体"/>
                <w:b/>
                <w:sz w:val="24"/>
                <w:highlight w:val="none"/>
              </w:rPr>
            </w:pPr>
            <w:r>
              <w:rPr>
                <w:rFonts w:hint="eastAsia" w:ascii="宋体" w:hAnsi="宋体" w:eastAsia="宋体"/>
                <w:b/>
                <w:sz w:val="24"/>
                <w:highlight w:val="none"/>
              </w:rPr>
              <w:t>小计</w:t>
            </w:r>
          </w:p>
          <w:p w14:paraId="57010817">
            <w:pPr>
              <w:jc w:val="center"/>
              <w:rPr>
                <w:rFonts w:hint="eastAsia" w:ascii="宋体" w:hAnsi="宋体" w:eastAsia="宋体"/>
                <w:b/>
                <w:sz w:val="24"/>
                <w:highlight w:val="none"/>
              </w:rPr>
            </w:pPr>
            <w:r>
              <w:rPr>
                <w:rFonts w:hint="eastAsia" w:ascii="宋体" w:hAnsi="宋体" w:eastAsia="宋体"/>
                <w:b/>
                <w:sz w:val="24"/>
                <w:highlight w:val="none"/>
              </w:rPr>
              <w:t>（元）</w:t>
            </w:r>
          </w:p>
        </w:tc>
        <w:tc>
          <w:tcPr>
            <w:tcW w:w="393" w:type="pct"/>
            <w:vAlign w:val="center"/>
          </w:tcPr>
          <w:p w14:paraId="47A63804">
            <w:pPr>
              <w:jc w:val="center"/>
              <w:rPr>
                <w:rFonts w:hint="eastAsia" w:ascii="宋体" w:hAnsi="宋体" w:eastAsia="宋体"/>
                <w:b/>
                <w:sz w:val="24"/>
                <w:highlight w:val="none"/>
              </w:rPr>
            </w:pPr>
            <w:r>
              <w:rPr>
                <w:rFonts w:hint="eastAsia" w:ascii="宋体" w:hAnsi="宋体" w:eastAsia="宋体"/>
                <w:b/>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081E0F3E">
            <w:pPr>
              <w:jc w:val="center"/>
              <w:rPr>
                <w:rFonts w:hint="eastAsia" w:ascii="宋体" w:hAnsi="宋体" w:eastAsia="宋体"/>
                <w:sz w:val="24"/>
                <w:highlight w:val="none"/>
              </w:rPr>
            </w:pPr>
            <w:r>
              <w:rPr>
                <w:rFonts w:hint="eastAsia" w:ascii="宋体" w:hAnsi="宋体" w:eastAsia="宋体"/>
                <w:sz w:val="24"/>
                <w:highlight w:val="none"/>
              </w:rPr>
              <w:t>1</w:t>
            </w:r>
          </w:p>
        </w:tc>
        <w:tc>
          <w:tcPr>
            <w:tcW w:w="776" w:type="pct"/>
          </w:tcPr>
          <w:p w14:paraId="7761E195">
            <w:pPr>
              <w:rPr>
                <w:rFonts w:hint="eastAsia" w:ascii="宋体" w:hAnsi="宋体" w:eastAsia="宋体"/>
                <w:sz w:val="24"/>
                <w:highlight w:val="none"/>
              </w:rPr>
            </w:pPr>
          </w:p>
        </w:tc>
        <w:tc>
          <w:tcPr>
            <w:tcW w:w="772" w:type="pct"/>
          </w:tcPr>
          <w:p w14:paraId="0375DE1C">
            <w:pPr>
              <w:rPr>
                <w:rFonts w:hint="eastAsia" w:ascii="宋体" w:hAnsi="宋体" w:eastAsia="宋体"/>
                <w:sz w:val="24"/>
                <w:highlight w:val="none"/>
              </w:rPr>
            </w:pPr>
          </w:p>
        </w:tc>
        <w:tc>
          <w:tcPr>
            <w:tcW w:w="772" w:type="pct"/>
          </w:tcPr>
          <w:p w14:paraId="52FF1C92">
            <w:pPr>
              <w:rPr>
                <w:rFonts w:hint="eastAsia" w:ascii="宋体" w:hAnsi="宋体" w:eastAsia="宋体"/>
                <w:sz w:val="24"/>
                <w:highlight w:val="none"/>
              </w:rPr>
            </w:pPr>
          </w:p>
        </w:tc>
        <w:tc>
          <w:tcPr>
            <w:tcW w:w="394" w:type="pct"/>
          </w:tcPr>
          <w:p w14:paraId="7C01FFE9">
            <w:pPr>
              <w:rPr>
                <w:rFonts w:hint="eastAsia" w:ascii="宋体" w:hAnsi="宋体" w:eastAsia="宋体"/>
                <w:sz w:val="24"/>
                <w:highlight w:val="none"/>
              </w:rPr>
            </w:pPr>
          </w:p>
        </w:tc>
        <w:tc>
          <w:tcPr>
            <w:tcW w:w="394" w:type="pct"/>
          </w:tcPr>
          <w:p w14:paraId="4DE5AC10">
            <w:pPr>
              <w:rPr>
                <w:rFonts w:hint="eastAsia" w:ascii="宋体" w:hAnsi="宋体" w:eastAsia="宋体"/>
                <w:sz w:val="24"/>
                <w:highlight w:val="none"/>
              </w:rPr>
            </w:pPr>
          </w:p>
        </w:tc>
        <w:tc>
          <w:tcPr>
            <w:tcW w:w="551" w:type="pct"/>
          </w:tcPr>
          <w:p w14:paraId="21DA4597">
            <w:pPr>
              <w:rPr>
                <w:rFonts w:hint="eastAsia" w:ascii="宋体" w:hAnsi="宋体" w:eastAsia="宋体"/>
                <w:sz w:val="24"/>
                <w:highlight w:val="none"/>
              </w:rPr>
            </w:pPr>
          </w:p>
        </w:tc>
        <w:tc>
          <w:tcPr>
            <w:tcW w:w="551" w:type="pct"/>
          </w:tcPr>
          <w:p w14:paraId="2A9B41D8">
            <w:pPr>
              <w:rPr>
                <w:rFonts w:hint="eastAsia" w:ascii="宋体" w:hAnsi="宋体" w:eastAsia="宋体"/>
                <w:sz w:val="24"/>
                <w:highlight w:val="none"/>
              </w:rPr>
            </w:pPr>
          </w:p>
        </w:tc>
        <w:tc>
          <w:tcPr>
            <w:tcW w:w="393" w:type="pct"/>
          </w:tcPr>
          <w:p w14:paraId="2B68B0FE">
            <w:pPr>
              <w:rPr>
                <w:rFonts w:hint="eastAsia" w:ascii="宋体" w:hAnsi="宋体" w:eastAsia="宋体"/>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01A75D3A">
            <w:pPr>
              <w:jc w:val="center"/>
              <w:rPr>
                <w:rFonts w:hint="eastAsia" w:ascii="宋体" w:hAnsi="宋体" w:eastAsia="宋体"/>
                <w:sz w:val="24"/>
                <w:highlight w:val="none"/>
              </w:rPr>
            </w:pPr>
            <w:r>
              <w:rPr>
                <w:rFonts w:hint="eastAsia" w:ascii="宋体" w:hAnsi="宋体" w:eastAsia="宋体"/>
                <w:sz w:val="24"/>
                <w:highlight w:val="none"/>
              </w:rPr>
              <w:t>2</w:t>
            </w:r>
          </w:p>
        </w:tc>
        <w:tc>
          <w:tcPr>
            <w:tcW w:w="776" w:type="pct"/>
          </w:tcPr>
          <w:p w14:paraId="1C5F27B4">
            <w:pPr>
              <w:rPr>
                <w:rFonts w:hint="eastAsia" w:ascii="宋体" w:hAnsi="宋体" w:eastAsia="宋体"/>
                <w:sz w:val="24"/>
                <w:highlight w:val="none"/>
              </w:rPr>
            </w:pPr>
          </w:p>
        </w:tc>
        <w:tc>
          <w:tcPr>
            <w:tcW w:w="772" w:type="pct"/>
          </w:tcPr>
          <w:p w14:paraId="439F3115">
            <w:pPr>
              <w:rPr>
                <w:rFonts w:hint="eastAsia" w:ascii="宋体" w:hAnsi="宋体" w:eastAsia="宋体"/>
                <w:sz w:val="24"/>
                <w:highlight w:val="none"/>
              </w:rPr>
            </w:pPr>
          </w:p>
        </w:tc>
        <w:tc>
          <w:tcPr>
            <w:tcW w:w="772" w:type="pct"/>
          </w:tcPr>
          <w:p w14:paraId="0B5EF6A2">
            <w:pPr>
              <w:rPr>
                <w:rFonts w:hint="eastAsia" w:ascii="宋体" w:hAnsi="宋体" w:eastAsia="宋体"/>
                <w:sz w:val="24"/>
                <w:highlight w:val="none"/>
              </w:rPr>
            </w:pPr>
          </w:p>
        </w:tc>
        <w:tc>
          <w:tcPr>
            <w:tcW w:w="394" w:type="pct"/>
          </w:tcPr>
          <w:p w14:paraId="66BA4716">
            <w:pPr>
              <w:rPr>
                <w:rFonts w:hint="eastAsia" w:ascii="宋体" w:hAnsi="宋体" w:eastAsia="宋体"/>
                <w:sz w:val="24"/>
                <w:highlight w:val="none"/>
              </w:rPr>
            </w:pPr>
          </w:p>
        </w:tc>
        <w:tc>
          <w:tcPr>
            <w:tcW w:w="394" w:type="pct"/>
          </w:tcPr>
          <w:p w14:paraId="4981F119">
            <w:pPr>
              <w:rPr>
                <w:rFonts w:hint="eastAsia" w:ascii="宋体" w:hAnsi="宋体" w:eastAsia="宋体"/>
                <w:sz w:val="24"/>
                <w:highlight w:val="none"/>
              </w:rPr>
            </w:pPr>
          </w:p>
        </w:tc>
        <w:tc>
          <w:tcPr>
            <w:tcW w:w="551" w:type="pct"/>
          </w:tcPr>
          <w:p w14:paraId="6A08DEBB">
            <w:pPr>
              <w:rPr>
                <w:rFonts w:hint="eastAsia" w:ascii="宋体" w:hAnsi="宋体" w:eastAsia="宋体"/>
                <w:sz w:val="24"/>
                <w:highlight w:val="none"/>
              </w:rPr>
            </w:pPr>
          </w:p>
        </w:tc>
        <w:tc>
          <w:tcPr>
            <w:tcW w:w="551" w:type="pct"/>
          </w:tcPr>
          <w:p w14:paraId="21EA39CE">
            <w:pPr>
              <w:rPr>
                <w:rFonts w:hint="eastAsia" w:ascii="宋体" w:hAnsi="宋体" w:eastAsia="宋体"/>
                <w:sz w:val="24"/>
                <w:highlight w:val="none"/>
              </w:rPr>
            </w:pPr>
          </w:p>
        </w:tc>
        <w:tc>
          <w:tcPr>
            <w:tcW w:w="393" w:type="pct"/>
          </w:tcPr>
          <w:p w14:paraId="2599FD7C">
            <w:pPr>
              <w:rPr>
                <w:rFonts w:hint="eastAsia" w:ascii="宋体" w:hAnsi="宋体" w:eastAsia="宋体"/>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3EF7B92A">
            <w:pPr>
              <w:jc w:val="center"/>
              <w:rPr>
                <w:rFonts w:hint="eastAsia" w:ascii="宋体" w:hAnsi="宋体" w:eastAsia="宋体"/>
                <w:sz w:val="24"/>
                <w:highlight w:val="none"/>
              </w:rPr>
            </w:pPr>
            <w:r>
              <w:rPr>
                <w:rFonts w:hint="eastAsia" w:ascii="宋体" w:hAnsi="宋体" w:eastAsia="宋体"/>
                <w:sz w:val="24"/>
                <w:highlight w:val="none"/>
              </w:rPr>
              <w:t>3</w:t>
            </w:r>
          </w:p>
        </w:tc>
        <w:tc>
          <w:tcPr>
            <w:tcW w:w="776" w:type="pct"/>
          </w:tcPr>
          <w:p w14:paraId="3F508895">
            <w:pPr>
              <w:rPr>
                <w:rFonts w:hint="eastAsia" w:ascii="宋体" w:hAnsi="宋体" w:eastAsia="宋体"/>
                <w:sz w:val="24"/>
                <w:highlight w:val="none"/>
              </w:rPr>
            </w:pPr>
          </w:p>
        </w:tc>
        <w:tc>
          <w:tcPr>
            <w:tcW w:w="772" w:type="pct"/>
          </w:tcPr>
          <w:p w14:paraId="20B310BD">
            <w:pPr>
              <w:rPr>
                <w:rFonts w:hint="eastAsia" w:ascii="宋体" w:hAnsi="宋体" w:eastAsia="宋体"/>
                <w:sz w:val="24"/>
                <w:highlight w:val="none"/>
              </w:rPr>
            </w:pPr>
          </w:p>
        </w:tc>
        <w:tc>
          <w:tcPr>
            <w:tcW w:w="772" w:type="pct"/>
          </w:tcPr>
          <w:p w14:paraId="09A7230D">
            <w:pPr>
              <w:rPr>
                <w:rFonts w:hint="eastAsia" w:ascii="宋体" w:hAnsi="宋体" w:eastAsia="宋体"/>
                <w:sz w:val="24"/>
                <w:highlight w:val="none"/>
              </w:rPr>
            </w:pPr>
          </w:p>
        </w:tc>
        <w:tc>
          <w:tcPr>
            <w:tcW w:w="394" w:type="pct"/>
          </w:tcPr>
          <w:p w14:paraId="275F91C4">
            <w:pPr>
              <w:rPr>
                <w:rFonts w:hint="eastAsia" w:ascii="宋体" w:hAnsi="宋体" w:eastAsia="宋体"/>
                <w:sz w:val="24"/>
                <w:highlight w:val="none"/>
              </w:rPr>
            </w:pPr>
          </w:p>
        </w:tc>
        <w:tc>
          <w:tcPr>
            <w:tcW w:w="394" w:type="pct"/>
          </w:tcPr>
          <w:p w14:paraId="6E9B5D37">
            <w:pPr>
              <w:rPr>
                <w:rFonts w:hint="eastAsia" w:ascii="宋体" w:hAnsi="宋体" w:eastAsia="宋体"/>
                <w:sz w:val="24"/>
                <w:highlight w:val="none"/>
              </w:rPr>
            </w:pPr>
          </w:p>
        </w:tc>
        <w:tc>
          <w:tcPr>
            <w:tcW w:w="551" w:type="pct"/>
          </w:tcPr>
          <w:p w14:paraId="7D351FDC">
            <w:pPr>
              <w:rPr>
                <w:rFonts w:hint="eastAsia" w:ascii="宋体" w:hAnsi="宋体" w:eastAsia="宋体"/>
                <w:sz w:val="24"/>
                <w:highlight w:val="none"/>
              </w:rPr>
            </w:pPr>
          </w:p>
        </w:tc>
        <w:tc>
          <w:tcPr>
            <w:tcW w:w="551" w:type="pct"/>
          </w:tcPr>
          <w:p w14:paraId="68D6AC0F">
            <w:pPr>
              <w:rPr>
                <w:rFonts w:hint="eastAsia" w:ascii="宋体" w:hAnsi="宋体" w:eastAsia="宋体"/>
                <w:sz w:val="24"/>
                <w:highlight w:val="none"/>
              </w:rPr>
            </w:pPr>
          </w:p>
        </w:tc>
        <w:tc>
          <w:tcPr>
            <w:tcW w:w="393" w:type="pct"/>
          </w:tcPr>
          <w:p w14:paraId="2EB92AF3">
            <w:pPr>
              <w:rPr>
                <w:rFonts w:hint="eastAsia" w:ascii="宋体" w:hAnsi="宋体" w:eastAsia="宋体"/>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7DD361CA">
            <w:pPr>
              <w:jc w:val="center"/>
              <w:rPr>
                <w:rFonts w:hint="eastAsia" w:ascii="宋体" w:hAnsi="宋体" w:eastAsia="宋体"/>
                <w:sz w:val="24"/>
                <w:highlight w:val="none"/>
              </w:rPr>
            </w:pPr>
            <w:r>
              <w:rPr>
                <w:rFonts w:hint="eastAsia" w:ascii="宋体" w:hAnsi="宋体" w:eastAsia="宋体"/>
                <w:sz w:val="24"/>
                <w:highlight w:val="none"/>
              </w:rPr>
              <w:t>…</w:t>
            </w:r>
          </w:p>
        </w:tc>
        <w:tc>
          <w:tcPr>
            <w:tcW w:w="776" w:type="pct"/>
          </w:tcPr>
          <w:p w14:paraId="52FDDD29">
            <w:pPr>
              <w:rPr>
                <w:rFonts w:hint="eastAsia" w:ascii="宋体" w:hAnsi="宋体" w:eastAsia="宋体"/>
                <w:sz w:val="24"/>
                <w:highlight w:val="none"/>
              </w:rPr>
            </w:pPr>
          </w:p>
        </w:tc>
        <w:tc>
          <w:tcPr>
            <w:tcW w:w="772" w:type="pct"/>
          </w:tcPr>
          <w:p w14:paraId="0F448206">
            <w:pPr>
              <w:rPr>
                <w:rFonts w:hint="eastAsia" w:ascii="宋体" w:hAnsi="宋体" w:eastAsia="宋体"/>
                <w:sz w:val="24"/>
                <w:highlight w:val="none"/>
              </w:rPr>
            </w:pPr>
          </w:p>
        </w:tc>
        <w:tc>
          <w:tcPr>
            <w:tcW w:w="772" w:type="pct"/>
          </w:tcPr>
          <w:p w14:paraId="6F4523F1">
            <w:pPr>
              <w:rPr>
                <w:rFonts w:hint="eastAsia" w:ascii="宋体" w:hAnsi="宋体" w:eastAsia="宋体"/>
                <w:sz w:val="24"/>
                <w:highlight w:val="none"/>
              </w:rPr>
            </w:pPr>
          </w:p>
        </w:tc>
        <w:tc>
          <w:tcPr>
            <w:tcW w:w="394" w:type="pct"/>
          </w:tcPr>
          <w:p w14:paraId="5713503A">
            <w:pPr>
              <w:rPr>
                <w:rFonts w:hint="eastAsia" w:ascii="宋体" w:hAnsi="宋体" w:eastAsia="宋体"/>
                <w:sz w:val="24"/>
                <w:highlight w:val="none"/>
              </w:rPr>
            </w:pPr>
          </w:p>
        </w:tc>
        <w:tc>
          <w:tcPr>
            <w:tcW w:w="394" w:type="pct"/>
          </w:tcPr>
          <w:p w14:paraId="44B66D33">
            <w:pPr>
              <w:rPr>
                <w:rFonts w:hint="eastAsia" w:ascii="宋体" w:hAnsi="宋体" w:eastAsia="宋体"/>
                <w:sz w:val="24"/>
                <w:highlight w:val="none"/>
              </w:rPr>
            </w:pPr>
          </w:p>
        </w:tc>
        <w:tc>
          <w:tcPr>
            <w:tcW w:w="551" w:type="pct"/>
          </w:tcPr>
          <w:p w14:paraId="4D3028A2">
            <w:pPr>
              <w:rPr>
                <w:rFonts w:hint="eastAsia" w:ascii="宋体" w:hAnsi="宋体" w:eastAsia="宋体"/>
                <w:sz w:val="24"/>
                <w:highlight w:val="none"/>
              </w:rPr>
            </w:pPr>
          </w:p>
        </w:tc>
        <w:tc>
          <w:tcPr>
            <w:tcW w:w="551" w:type="pct"/>
          </w:tcPr>
          <w:p w14:paraId="1790092E">
            <w:pPr>
              <w:rPr>
                <w:rFonts w:hint="eastAsia" w:ascii="宋体" w:hAnsi="宋体" w:eastAsia="宋体"/>
                <w:sz w:val="24"/>
                <w:highlight w:val="none"/>
              </w:rPr>
            </w:pPr>
          </w:p>
        </w:tc>
        <w:tc>
          <w:tcPr>
            <w:tcW w:w="393" w:type="pct"/>
          </w:tcPr>
          <w:p w14:paraId="578F6552">
            <w:pPr>
              <w:rPr>
                <w:rFonts w:hint="eastAsia" w:ascii="宋体" w:hAnsi="宋体" w:eastAsia="宋体"/>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5461A2A8">
            <w:pPr>
              <w:jc w:val="center"/>
              <w:rPr>
                <w:rFonts w:hint="eastAsia" w:ascii="宋体" w:hAnsi="宋体" w:eastAsia="宋体"/>
                <w:sz w:val="24"/>
                <w:highlight w:val="none"/>
              </w:rPr>
            </w:pPr>
            <w:r>
              <w:rPr>
                <w:rFonts w:hint="eastAsia" w:ascii="宋体" w:hAnsi="宋体" w:eastAsia="宋体"/>
                <w:b/>
                <w:sz w:val="24"/>
                <w:highlight w:val="none"/>
              </w:rPr>
              <w:t>合计金额（元）</w:t>
            </w:r>
          </w:p>
        </w:tc>
        <w:tc>
          <w:tcPr>
            <w:tcW w:w="945" w:type="pct"/>
            <w:gridSpan w:val="2"/>
          </w:tcPr>
          <w:p w14:paraId="559957D4">
            <w:pPr>
              <w:rPr>
                <w:rFonts w:hint="eastAsia" w:ascii="宋体" w:hAnsi="宋体" w:eastAsia="宋体"/>
                <w:sz w:val="24"/>
                <w:highlight w:val="none"/>
              </w:rPr>
            </w:pPr>
          </w:p>
        </w:tc>
      </w:tr>
    </w:tbl>
    <w:p w14:paraId="4C7090A7">
      <w:pPr>
        <w:pStyle w:val="40"/>
        <w:rPr>
          <w:rFonts w:hint="eastAsia" w:ascii="宋体" w:hAnsi="宋体"/>
          <w:b/>
          <w:bCs/>
          <w:i/>
          <w:iCs/>
          <w:highlight w:val="none"/>
        </w:rPr>
      </w:pPr>
      <w:r>
        <w:rPr>
          <w:rFonts w:hint="eastAsia" w:ascii="宋体" w:hAnsi="宋体"/>
          <w:b/>
          <w:bCs/>
          <w:highlight w:val="none"/>
        </w:rPr>
        <w:t>5-2服务部分</w:t>
      </w:r>
      <w:r>
        <w:rPr>
          <w:rFonts w:hint="eastAsia" w:ascii="宋体" w:hAnsi="宋体"/>
          <w:b/>
          <w:bCs/>
          <w:i/>
          <w:iCs/>
          <w:highlight w:val="none"/>
        </w:rPr>
        <w:t>（仅供参考，投标人可自行制作格式）</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6"/>
        <w:gridCol w:w="1699"/>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1CDA59DE">
            <w:pPr>
              <w:jc w:val="center"/>
              <w:rPr>
                <w:rFonts w:hint="eastAsia" w:ascii="宋体" w:hAnsi="宋体" w:eastAsia="宋体"/>
                <w:b/>
                <w:sz w:val="24"/>
                <w:highlight w:val="none"/>
              </w:rPr>
            </w:pPr>
            <w:r>
              <w:rPr>
                <w:rFonts w:hint="eastAsia" w:ascii="宋体" w:hAnsi="宋体" w:eastAsia="宋体"/>
                <w:b/>
                <w:sz w:val="24"/>
                <w:highlight w:val="none"/>
              </w:rPr>
              <w:t>序号</w:t>
            </w:r>
          </w:p>
        </w:tc>
        <w:tc>
          <w:tcPr>
            <w:tcW w:w="1824" w:type="pct"/>
            <w:vAlign w:val="center"/>
          </w:tcPr>
          <w:p w14:paraId="17CB7DC2">
            <w:pPr>
              <w:jc w:val="center"/>
              <w:rPr>
                <w:rFonts w:hint="eastAsia" w:ascii="宋体" w:hAnsi="宋体" w:eastAsia="宋体"/>
                <w:b/>
                <w:sz w:val="24"/>
                <w:highlight w:val="none"/>
              </w:rPr>
            </w:pPr>
            <w:r>
              <w:rPr>
                <w:rFonts w:hint="eastAsia" w:ascii="宋体" w:hAnsi="宋体" w:eastAsia="宋体"/>
                <w:b/>
                <w:sz w:val="24"/>
                <w:highlight w:val="none"/>
              </w:rPr>
              <w:t>服务内容</w:t>
            </w:r>
          </w:p>
        </w:tc>
        <w:tc>
          <w:tcPr>
            <w:tcW w:w="796" w:type="pct"/>
            <w:vAlign w:val="center"/>
          </w:tcPr>
          <w:p w14:paraId="69CD1F09">
            <w:pPr>
              <w:jc w:val="center"/>
              <w:rPr>
                <w:rFonts w:hint="eastAsia" w:ascii="宋体" w:hAnsi="宋体" w:eastAsia="宋体"/>
                <w:b/>
                <w:sz w:val="24"/>
                <w:highlight w:val="none"/>
              </w:rPr>
            </w:pPr>
            <w:r>
              <w:rPr>
                <w:rFonts w:hint="eastAsia" w:ascii="宋体" w:hAnsi="宋体" w:eastAsia="宋体"/>
                <w:b/>
                <w:sz w:val="24"/>
                <w:highlight w:val="none"/>
              </w:rPr>
              <w:t>项</w:t>
            </w:r>
          </w:p>
        </w:tc>
        <w:tc>
          <w:tcPr>
            <w:tcW w:w="996" w:type="pct"/>
            <w:vAlign w:val="center"/>
          </w:tcPr>
          <w:p w14:paraId="3C73F4D9">
            <w:pPr>
              <w:jc w:val="center"/>
              <w:rPr>
                <w:rFonts w:hint="eastAsia" w:ascii="宋体" w:hAnsi="宋体" w:eastAsia="宋体"/>
                <w:b/>
                <w:sz w:val="24"/>
                <w:highlight w:val="none"/>
              </w:rPr>
            </w:pPr>
            <w:r>
              <w:rPr>
                <w:rFonts w:hint="eastAsia" w:ascii="宋体" w:hAnsi="宋体" w:eastAsia="宋体"/>
                <w:b/>
                <w:sz w:val="24"/>
                <w:highlight w:val="none"/>
              </w:rPr>
              <w:t>单价</w:t>
            </w:r>
          </w:p>
        </w:tc>
        <w:tc>
          <w:tcPr>
            <w:tcW w:w="919" w:type="pct"/>
            <w:vAlign w:val="center"/>
          </w:tcPr>
          <w:p w14:paraId="18231BFF">
            <w:pPr>
              <w:jc w:val="center"/>
              <w:rPr>
                <w:rFonts w:hint="eastAsia" w:ascii="宋体" w:hAnsi="宋体" w:eastAsia="宋体"/>
                <w:b/>
                <w:sz w:val="24"/>
                <w:highlight w:val="none"/>
              </w:rPr>
            </w:pPr>
            <w:r>
              <w:rPr>
                <w:rFonts w:hint="eastAsia" w:ascii="宋体" w:hAnsi="宋体" w:eastAsia="宋体"/>
                <w:b/>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3C2A5816">
            <w:pPr>
              <w:jc w:val="center"/>
              <w:rPr>
                <w:rFonts w:hint="eastAsia" w:ascii="宋体" w:hAnsi="宋体" w:eastAsia="宋体"/>
                <w:sz w:val="24"/>
                <w:highlight w:val="none"/>
              </w:rPr>
            </w:pPr>
            <w:r>
              <w:rPr>
                <w:rFonts w:hint="eastAsia" w:ascii="宋体" w:hAnsi="宋体" w:eastAsia="宋体"/>
                <w:sz w:val="24"/>
                <w:highlight w:val="none"/>
              </w:rPr>
              <w:t>1</w:t>
            </w:r>
          </w:p>
        </w:tc>
        <w:tc>
          <w:tcPr>
            <w:tcW w:w="1824" w:type="pct"/>
            <w:vAlign w:val="center"/>
          </w:tcPr>
          <w:p w14:paraId="176E8AA8">
            <w:pPr>
              <w:jc w:val="center"/>
              <w:rPr>
                <w:rFonts w:hint="eastAsia" w:ascii="宋体" w:hAnsi="宋体" w:eastAsia="宋体"/>
                <w:sz w:val="24"/>
                <w:highlight w:val="none"/>
              </w:rPr>
            </w:pPr>
          </w:p>
        </w:tc>
        <w:tc>
          <w:tcPr>
            <w:tcW w:w="796" w:type="pct"/>
            <w:vAlign w:val="center"/>
          </w:tcPr>
          <w:p w14:paraId="2C5909C3">
            <w:pPr>
              <w:jc w:val="center"/>
              <w:rPr>
                <w:rFonts w:hint="eastAsia" w:ascii="宋体" w:hAnsi="宋体" w:eastAsia="宋体"/>
                <w:sz w:val="24"/>
                <w:highlight w:val="none"/>
              </w:rPr>
            </w:pPr>
          </w:p>
        </w:tc>
        <w:tc>
          <w:tcPr>
            <w:tcW w:w="996" w:type="pct"/>
            <w:vAlign w:val="center"/>
          </w:tcPr>
          <w:p w14:paraId="575AA4E9">
            <w:pPr>
              <w:jc w:val="center"/>
              <w:rPr>
                <w:rFonts w:hint="eastAsia" w:ascii="宋体" w:hAnsi="宋体" w:eastAsia="宋体"/>
                <w:sz w:val="24"/>
                <w:highlight w:val="none"/>
              </w:rPr>
            </w:pPr>
          </w:p>
        </w:tc>
        <w:tc>
          <w:tcPr>
            <w:tcW w:w="919" w:type="pct"/>
            <w:vAlign w:val="center"/>
          </w:tcPr>
          <w:p w14:paraId="60C54B4C">
            <w:pPr>
              <w:jc w:val="center"/>
              <w:rPr>
                <w:rFonts w:hint="eastAsia" w:ascii="宋体" w:hAnsi="宋体" w:eastAsia="宋体"/>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1D70D3F5">
            <w:pPr>
              <w:jc w:val="center"/>
              <w:rPr>
                <w:rFonts w:hint="eastAsia" w:ascii="宋体" w:hAnsi="宋体" w:eastAsia="宋体"/>
                <w:sz w:val="24"/>
                <w:highlight w:val="none"/>
              </w:rPr>
            </w:pPr>
            <w:r>
              <w:rPr>
                <w:rFonts w:hint="eastAsia" w:ascii="宋体" w:hAnsi="宋体" w:eastAsia="宋体"/>
                <w:sz w:val="24"/>
                <w:highlight w:val="none"/>
              </w:rPr>
              <w:t>2</w:t>
            </w:r>
          </w:p>
        </w:tc>
        <w:tc>
          <w:tcPr>
            <w:tcW w:w="1824" w:type="pct"/>
            <w:vAlign w:val="center"/>
          </w:tcPr>
          <w:p w14:paraId="72BE9378">
            <w:pPr>
              <w:jc w:val="center"/>
              <w:rPr>
                <w:rFonts w:hint="eastAsia" w:ascii="宋体" w:hAnsi="宋体" w:eastAsia="宋体"/>
                <w:sz w:val="24"/>
                <w:highlight w:val="none"/>
              </w:rPr>
            </w:pPr>
          </w:p>
        </w:tc>
        <w:tc>
          <w:tcPr>
            <w:tcW w:w="796" w:type="pct"/>
            <w:vAlign w:val="center"/>
          </w:tcPr>
          <w:p w14:paraId="6158F3CC">
            <w:pPr>
              <w:jc w:val="center"/>
              <w:rPr>
                <w:rFonts w:hint="eastAsia" w:ascii="宋体" w:hAnsi="宋体" w:eastAsia="宋体"/>
                <w:sz w:val="24"/>
                <w:highlight w:val="none"/>
              </w:rPr>
            </w:pPr>
          </w:p>
        </w:tc>
        <w:tc>
          <w:tcPr>
            <w:tcW w:w="996" w:type="pct"/>
            <w:vAlign w:val="center"/>
          </w:tcPr>
          <w:p w14:paraId="6122CBD2">
            <w:pPr>
              <w:jc w:val="center"/>
              <w:rPr>
                <w:rFonts w:hint="eastAsia" w:ascii="宋体" w:hAnsi="宋体" w:eastAsia="宋体"/>
                <w:sz w:val="24"/>
                <w:highlight w:val="none"/>
              </w:rPr>
            </w:pPr>
          </w:p>
        </w:tc>
        <w:tc>
          <w:tcPr>
            <w:tcW w:w="919" w:type="pct"/>
            <w:vAlign w:val="center"/>
          </w:tcPr>
          <w:p w14:paraId="560FF55C">
            <w:pPr>
              <w:jc w:val="center"/>
              <w:rPr>
                <w:rFonts w:hint="eastAsia" w:ascii="宋体" w:hAnsi="宋体" w:eastAsia="宋体"/>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63730EC5">
            <w:pPr>
              <w:jc w:val="center"/>
              <w:rPr>
                <w:rFonts w:hint="eastAsia" w:ascii="宋体" w:hAnsi="宋体" w:eastAsia="宋体"/>
                <w:sz w:val="24"/>
                <w:highlight w:val="none"/>
              </w:rPr>
            </w:pPr>
            <w:r>
              <w:rPr>
                <w:rFonts w:hint="eastAsia" w:ascii="宋体" w:hAnsi="宋体" w:eastAsia="宋体"/>
                <w:sz w:val="24"/>
                <w:highlight w:val="none"/>
              </w:rPr>
              <w:t>3</w:t>
            </w:r>
          </w:p>
        </w:tc>
        <w:tc>
          <w:tcPr>
            <w:tcW w:w="1824" w:type="pct"/>
            <w:vAlign w:val="center"/>
          </w:tcPr>
          <w:p w14:paraId="666FC2C9">
            <w:pPr>
              <w:jc w:val="center"/>
              <w:rPr>
                <w:rFonts w:hint="eastAsia" w:ascii="宋体" w:hAnsi="宋体" w:eastAsia="宋体"/>
                <w:sz w:val="24"/>
                <w:highlight w:val="none"/>
              </w:rPr>
            </w:pPr>
          </w:p>
        </w:tc>
        <w:tc>
          <w:tcPr>
            <w:tcW w:w="796" w:type="pct"/>
            <w:vAlign w:val="center"/>
          </w:tcPr>
          <w:p w14:paraId="210A8638">
            <w:pPr>
              <w:jc w:val="center"/>
              <w:rPr>
                <w:rFonts w:hint="eastAsia" w:ascii="宋体" w:hAnsi="宋体" w:eastAsia="宋体"/>
                <w:sz w:val="24"/>
                <w:highlight w:val="none"/>
              </w:rPr>
            </w:pPr>
          </w:p>
        </w:tc>
        <w:tc>
          <w:tcPr>
            <w:tcW w:w="996" w:type="pct"/>
            <w:vAlign w:val="center"/>
          </w:tcPr>
          <w:p w14:paraId="6D90EEB9">
            <w:pPr>
              <w:jc w:val="center"/>
              <w:rPr>
                <w:rFonts w:hint="eastAsia" w:ascii="宋体" w:hAnsi="宋体" w:eastAsia="宋体"/>
                <w:sz w:val="24"/>
                <w:highlight w:val="none"/>
              </w:rPr>
            </w:pPr>
          </w:p>
        </w:tc>
        <w:tc>
          <w:tcPr>
            <w:tcW w:w="919" w:type="pct"/>
            <w:vAlign w:val="center"/>
          </w:tcPr>
          <w:p w14:paraId="2087A30E">
            <w:pPr>
              <w:jc w:val="center"/>
              <w:rPr>
                <w:rFonts w:hint="eastAsia" w:ascii="宋体" w:hAnsi="宋体" w:eastAsia="宋体"/>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7A4BB65E">
            <w:pPr>
              <w:jc w:val="center"/>
              <w:rPr>
                <w:rFonts w:hint="eastAsia" w:ascii="宋体" w:hAnsi="宋体" w:eastAsia="宋体"/>
                <w:sz w:val="24"/>
                <w:highlight w:val="none"/>
              </w:rPr>
            </w:pPr>
            <w:r>
              <w:rPr>
                <w:rFonts w:ascii="宋体" w:hAnsi="宋体" w:eastAsia="宋体"/>
                <w:sz w:val="24"/>
                <w:highlight w:val="none"/>
              </w:rPr>
              <w:t>…</w:t>
            </w:r>
          </w:p>
        </w:tc>
        <w:tc>
          <w:tcPr>
            <w:tcW w:w="1824" w:type="pct"/>
            <w:vAlign w:val="center"/>
          </w:tcPr>
          <w:p w14:paraId="1508F16C">
            <w:pPr>
              <w:jc w:val="center"/>
              <w:rPr>
                <w:rFonts w:hint="eastAsia" w:ascii="宋体" w:hAnsi="宋体" w:eastAsia="宋体"/>
                <w:sz w:val="24"/>
                <w:highlight w:val="none"/>
              </w:rPr>
            </w:pPr>
          </w:p>
        </w:tc>
        <w:tc>
          <w:tcPr>
            <w:tcW w:w="796" w:type="pct"/>
            <w:vAlign w:val="center"/>
          </w:tcPr>
          <w:p w14:paraId="2DA9BCCD">
            <w:pPr>
              <w:jc w:val="center"/>
              <w:rPr>
                <w:rFonts w:hint="eastAsia" w:ascii="宋体" w:hAnsi="宋体" w:eastAsia="宋体"/>
                <w:sz w:val="24"/>
                <w:highlight w:val="none"/>
              </w:rPr>
            </w:pPr>
          </w:p>
        </w:tc>
        <w:tc>
          <w:tcPr>
            <w:tcW w:w="996" w:type="pct"/>
            <w:vAlign w:val="center"/>
          </w:tcPr>
          <w:p w14:paraId="3AC80858">
            <w:pPr>
              <w:jc w:val="center"/>
              <w:rPr>
                <w:rFonts w:hint="eastAsia" w:ascii="宋体" w:hAnsi="宋体" w:eastAsia="宋体"/>
                <w:sz w:val="24"/>
                <w:highlight w:val="none"/>
              </w:rPr>
            </w:pPr>
          </w:p>
        </w:tc>
        <w:tc>
          <w:tcPr>
            <w:tcW w:w="919" w:type="pct"/>
            <w:vAlign w:val="center"/>
          </w:tcPr>
          <w:p w14:paraId="7CCB6ABB">
            <w:pPr>
              <w:jc w:val="center"/>
              <w:rPr>
                <w:rFonts w:hint="eastAsia" w:ascii="宋体" w:hAnsi="宋体" w:eastAsia="宋体"/>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6FBEAEBD">
            <w:pPr>
              <w:jc w:val="center"/>
              <w:rPr>
                <w:rFonts w:hint="eastAsia" w:ascii="宋体" w:hAnsi="宋体" w:eastAsia="宋体"/>
                <w:sz w:val="24"/>
                <w:highlight w:val="none"/>
              </w:rPr>
            </w:pPr>
            <w:r>
              <w:rPr>
                <w:rFonts w:hint="eastAsia" w:ascii="宋体" w:hAnsi="宋体" w:eastAsia="宋体"/>
                <w:b/>
                <w:sz w:val="24"/>
                <w:highlight w:val="none"/>
              </w:rPr>
              <w:t>合计金额（元）</w:t>
            </w:r>
          </w:p>
        </w:tc>
        <w:tc>
          <w:tcPr>
            <w:tcW w:w="919" w:type="pct"/>
            <w:vAlign w:val="center"/>
          </w:tcPr>
          <w:p w14:paraId="5005406A">
            <w:pPr>
              <w:jc w:val="center"/>
              <w:rPr>
                <w:rFonts w:hint="eastAsia" w:ascii="宋体" w:hAnsi="宋体" w:eastAsia="宋体"/>
                <w:sz w:val="24"/>
                <w:highlight w:val="none"/>
              </w:rPr>
            </w:pPr>
          </w:p>
        </w:tc>
      </w:tr>
    </w:tbl>
    <w:p w14:paraId="6AD76037">
      <w:pPr>
        <w:spacing w:line="360" w:lineRule="auto"/>
        <w:ind w:firstLine="435"/>
        <w:jc w:val="right"/>
        <w:rPr>
          <w:rFonts w:hint="eastAsia" w:ascii="宋体" w:hAnsi="宋体" w:eastAsia="宋体"/>
          <w:b/>
          <w:bCs/>
          <w:highlight w:val="none"/>
        </w:rPr>
      </w:pPr>
      <w:r>
        <w:rPr>
          <w:rFonts w:hint="eastAsia" w:ascii="宋体" w:hAnsi="宋体" w:eastAsia="宋体"/>
          <w:bCs/>
          <w:sz w:val="24"/>
          <w:szCs w:val="28"/>
          <w:highlight w:val="none"/>
          <w:u w:val="single"/>
        </w:rPr>
        <w:t xml:space="preserve">       </w:t>
      </w:r>
    </w:p>
    <w:p w14:paraId="7C354805">
      <w:pPr>
        <w:pStyle w:val="40"/>
        <w:rPr>
          <w:rFonts w:hint="eastAsia" w:ascii="宋体" w:hAnsi="宋体"/>
          <w:b/>
          <w:bCs/>
          <w:highlight w:val="none"/>
        </w:rPr>
      </w:pPr>
      <w:r>
        <w:rPr>
          <w:rFonts w:hint="eastAsia" w:ascii="宋体" w:hAnsi="宋体"/>
          <w:b/>
          <w:bCs/>
          <w:highlight w:val="none"/>
        </w:rPr>
        <w:t>5-3 符合本国产品标准的产品成本之和占比</w:t>
      </w:r>
    </w:p>
    <w:tbl>
      <w:tblPr>
        <w:tblStyle w:val="24"/>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7" w:hRule="atLeast"/>
        </w:trPr>
        <w:tc>
          <w:tcPr>
            <w:tcW w:w="7588" w:type="dxa"/>
          </w:tcPr>
          <w:p w14:paraId="4DECA2F7">
            <w:pPr>
              <w:spacing w:line="360" w:lineRule="auto"/>
              <w:rPr>
                <w:rFonts w:hint="eastAsia" w:ascii="宋体" w:hAnsi="宋体" w:eastAsia="宋体"/>
                <w:b/>
                <w:bCs/>
                <w:szCs w:val="21"/>
                <w:highlight w:val="none"/>
              </w:rPr>
            </w:pPr>
            <w:r>
              <w:rPr>
                <w:rFonts w:hint="eastAsia" w:ascii="宋体" w:hAnsi="宋体" w:eastAsia="宋体" w:cs="宋体"/>
                <w:sz w:val="24"/>
                <w:szCs w:val="24"/>
                <w:highlight w:val="none"/>
              </w:rPr>
              <w:t>本公司（单位）提供的符合本国产品标准的产品成本之和占提供的全部产品成本之和的比例</w:t>
            </w:r>
          </w:p>
        </w:tc>
        <w:tc>
          <w:tcPr>
            <w:tcW w:w="1766" w:type="dxa"/>
          </w:tcPr>
          <w:p w14:paraId="6345AD47">
            <w:pPr>
              <w:spacing w:line="360" w:lineRule="auto"/>
              <w:rPr>
                <w:rFonts w:hint="eastAsia" w:ascii="宋体" w:hAnsi="宋体" w:eastAsia="宋体" w:cs="宋体"/>
                <w:sz w:val="24"/>
                <w:szCs w:val="24"/>
                <w:highlight w:val="none"/>
                <w:u w:val="single"/>
              </w:rPr>
            </w:pPr>
          </w:p>
          <w:p w14:paraId="218CB0CA">
            <w:pPr>
              <w:spacing w:line="360" w:lineRule="auto"/>
              <w:rPr>
                <w:rFonts w:hint="eastAsia" w:ascii="宋体" w:hAnsi="宋体" w:eastAsia="宋体"/>
                <w:b/>
                <w:bCs/>
                <w:szCs w:val="21"/>
                <w:highlight w:val="none"/>
              </w:rPr>
            </w:pPr>
            <w:r>
              <w:rPr>
                <w:rFonts w:hint="eastAsia" w:ascii="宋体" w:hAnsi="宋体" w:eastAsia="宋体" w:cs="宋体"/>
                <w:sz w:val="24"/>
                <w:szCs w:val="24"/>
                <w:highlight w:val="none"/>
                <w:u w:val="single"/>
              </w:rPr>
              <w:t xml:space="preserve">      </w:t>
            </w:r>
            <w:r>
              <w:rPr>
                <w:rFonts w:hint="eastAsia" w:ascii="宋体" w:hAnsi="宋体" w:eastAsia="宋体" w:cs="Times New Roman"/>
                <w:bCs/>
                <w:szCs w:val="24"/>
                <w:highlight w:val="none"/>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tcPr>
          <w:p w14:paraId="6902F005">
            <w:pPr>
              <w:tabs>
                <w:tab w:val="left" w:pos="4620"/>
              </w:tabs>
              <w:spacing w:line="360" w:lineRule="auto"/>
              <w:jc w:val="left"/>
              <w:rPr>
                <w:rFonts w:hint="eastAsia" w:ascii="宋体" w:hAnsi="宋体" w:eastAsia="宋体" w:cs="Times New Roman"/>
                <w:b/>
                <w:szCs w:val="24"/>
                <w:highlight w:val="none"/>
              </w:rPr>
            </w:pPr>
            <w:r>
              <w:rPr>
                <w:rFonts w:hint="eastAsia" w:ascii="宋体" w:hAnsi="宋体" w:eastAsia="宋体" w:cs="Times New Roman"/>
                <w:b/>
                <w:szCs w:val="24"/>
                <w:highlight w:val="none"/>
              </w:rPr>
              <w:t>提醒：</w:t>
            </w:r>
          </w:p>
          <w:p w14:paraId="4211CC09">
            <w:pPr>
              <w:tabs>
                <w:tab w:val="left" w:pos="4620"/>
              </w:tabs>
              <w:spacing w:line="360" w:lineRule="auto"/>
              <w:jc w:val="left"/>
              <w:rPr>
                <w:rFonts w:hint="eastAsia" w:ascii="宋体" w:hAnsi="宋体" w:eastAsia="宋体" w:cs="Times New Roman"/>
                <w:bCs/>
                <w:szCs w:val="24"/>
                <w:highlight w:val="none"/>
              </w:rPr>
            </w:pPr>
            <w:r>
              <w:rPr>
                <w:rFonts w:hint="eastAsia" w:ascii="宋体" w:hAnsi="宋体" w:eastAsia="宋体" w:cs="Times New Roman"/>
                <w:bCs/>
                <w:szCs w:val="24"/>
                <w:highlight w:val="none"/>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Cs/>
                <w:szCs w:val="24"/>
                <w:highlight w:val="none"/>
              </w:rPr>
            </w:pPr>
            <w:r>
              <w:rPr>
                <w:rFonts w:hint="eastAsia" w:ascii="宋体" w:hAnsi="宋体" w:eastAsia="宋体" w:cs="Times New Roman"/>
                <w:bCs/>
                <w:szCs w:val="24"/>
                <w:highlight w:val="none"/>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eastAsia" w:ascii="宋体" w:hAnsi="宋体" w:eastAsia="宋体" w:cs="Times New Roman"/>
                <w:bCs/>
                <w:szCs w:val="24"/>
                <w:highlight w:val="none"/>
              </w:rPr>
            </w:pPr>
            <w:r>
              <w:rPr>
                <w:rFonts w:hint="eastAsia" w:ascii="宋体" w:hAnsi="宋体" w:eastAsia="宋体" w:cs="Times New Roman"/>
                <w:bCs/>
                <w:szCs w:val="24"/>
                <w:highlight w:val="none"/>
              </w:rPr>
              <w:t>3.</w:t>
            </w:r>
            <w:r>
              <w:rPr>
                <w:rFonts w:hint="eastAsia" w:ascii="宋体" w:hAnsi="宋体" w:eastAsia="宋体" w:cs="宋体"/>
                <w:bCs/>
                <w:szCs w:val="21"/>
                <w:highlight w:val="none"/>
                <w:lang w:bidi="ar"/>
              </w:rPr>
              <w:t>上表中全部产品成本之和是指表5-1和表5-2包含的全部货物、服务产品成本之和。</w:t>
            </w:r>
          </w:p>
        </w:tc>
      </w:tr>
    </w:tbl>
    <w:p w14:paraId="41DF4DBB">
      <w:pPr>
        <w:spacing w:line="360" w:lineRule="auto"/>
        <w:rPr>
          <w:rFonts w:hint="eastAsia" w:ascii="宋体" w:hAnsi="宋体" w:eastAsia="宋体"/>
          <w:b/>
          <w:bCs/>
          <w:szCs w:val="21"/>
          <w:highlight w:val="none"/>
        </w:rPr>
      </w:pPr>
    </w:p>
    <w:p w14:paraId="725986D4">
      <w:pPr>
        <w:spacing w:line="360" w:lineRule="auto"/>
        <w:ind w:firstLine="4800" w:firstLineChars="2000"/>
        <w:jc w:val="center"/>
        <w:rPr>
          <w:rFonts w:hint="eastAsia"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43493136">
      <w:pPr>
        <w:tabs>
          <w:tab w:val="left" w:pos="630"/>
        </w:tabs>
        <w:spacing w:line="360" w:lineRule="auto"/>
        <w:ind w:firstLine="4800" w:firstLineChars="2000"/>
        <w:jc w:val="center"/>
        <w:rPr>
          <w:rFonts w:hint="eastAsia" w:ascii="宋体" w:hAnsi="宋体" w:eastAsia="宋体"/>
          <w:sz w:val="24"/>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290C4559">
      <w:pPr>
        <w:spacing w:line="360" w:lineRule="auto"/>
        <w:rPr>
          <w:rFonts w:hint="eastAsia" w:ascii="宋体" w:hAnsi="宋体" w:eastAsia="宋体"/>
          <w:b/>
          <w:bCs/>
          <w:szCs w:val="21"/>
          <w:highlight w:val="none"/>
        </w:rPr>
      </w:pPr>
      <w:r>
        <w:rPr>
          <w:rFonts w:hint="eastAsia" w:ascii="宋体" w:hAnsi="宋体" w:eastAsia="宋体"/>
          <w:b/>
          <w:bCs/>
          <w:szCs w:val="21"/>
          <w:highlight w:val="none"/>
        </w:rPr>
        <w:t>注：</w:t>
      </w:r>
    </w:p>
    <w:p w14:paraId="0FC5F10B">
      <w:pPr>
        <w:spacing w:line="360" w:lineRule="auto"/>
        <w:rPr>
          <w:rFonts w:hint="eastAsia" w:ascii="宋体" w:hAnsi="宋体" w:eastAsia="宋体"/>
          <w:szCs w:val="21"/>
          <w:highlight w:val="none"/>
        </w:rPr>
      </w:pPr>
      <w:r>
        <w:rPr>
          <w:rFonts w:hint="eastAsia" w:ascii="宋体" w:hAnsi="宋体" w:eastAsia="宋体"/>
          <w:szCs w:val="21"/>
          <w:highlight w:val="none"/>
        </w:rPr>
        <w:t>1.表5-1中须明确列出所投产品的货物名称、品牌、型号规格、原产地及生产厂商，否则可能导致</w:t>
      </w:r>
      <w:r>
        <w:rPr>
          <w:rFonts w:hint="eastAsia" w:ascii="宋体" w:hAnsi="宋体" w:eastAsia="宋体"/>
          <w:b/>
          <w:bCs/>
          <w:szCs w:val="21"/>
          <w:highlight w:val="none"/>
        </w:rPr>
        <w:t>投标无效。</w:t>
      </w:r>
    </w:p>
    <w:p w14:paraId="6F8C7329">
      <w:pPr>
        <w:spacing w:line="360" w:lineRule="auto"/>
        <w:rPr>
          <w:rFonts w:hint="eastAsia" w:ascii="宋体" w:hAnsi="宋体" w:eastAsia="宋体"/>
          <w:szCs w:val="21"/>
          <w:highlight w:val="none"/>
        </w:rPr>
      </w:pPr>
      <w:r>
        <w:rPr>
          <w:rFonts w:hint="eastAsia" w:ascii="宋体" w:hAnsi="宋体" w:eastAsia="宋体"/>
          <w:szCs w:val="21"/>
          <w:highlight w:val="none"/>
        </w:rPr>
        <w:t>2.上述报价为投标人完成本项目内容的全部费用（总报价为表5-1和表5-2合计金额之和），如有漏项或缺项，自行承担全部责任。</w:t>
      </w:r>
    </w:p>
    <w:p w14:paraId="3B885F7A">
      <w:pPr>
        <w:widowControl/>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26856CEA">
      <w:pPr>
        <w:spacing w:line="360" w:lineRule="auto"/>
        <w:jc w:val="center"/>
        <w:outlineLvl w:val="1"/>
        <w:rPr>
          <w:rFonts w:hint="eastAsia" w:asciiTheme="minorEastAsia" w:hAnsiTheme="minorEastAsia" w:eastAsiaTheme="minorEastAsia"/>
          <w:b/>
          <w:sz w:val="24"/>
          <w:highlight w:val="none"/>
        </w:rPr>
      </w:pPr>
      <w:bookmarkStart w:id="75" w:name="_Toc20329"/>
      <w:bookmarkStart w:id="76" w:name="_Toc11940"/>
      <w:r>
        <w:rPr>
          <w:rFonts w:hint="eastAsia" w:asciiTheme="minorEastAsia" w:hAnsiTheme="minorEastAsia" w:eastAsiaTheme="minorEastAsia"/>
          <w:b/>
          <w:sz w:val="24"/>
          <w:highlight w:val="none"/>
        </w:rPr>
        <w:t>六、投标响应表</w:t>
      </w:r>
      <w:bookmarkEnd w:id="75"/>
      <w:bookmarkEnd w:id="76"/>
    </w:p>
    <w:p w14:paraId="49D3ABA1">
      <w:pPr>
        <w:spacing w:line="360" w:lineRule="auto"/>
        <w:ind w:firstLine="435"/>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.1</w:t>
      </w:r>
      <w:r>
        <w:rPr>
          <w:rFonts w:hint="eastAsia" w:asciiTheme="minorEastAsia" w:hAnsiTheme="minorEastAsia" w:eastAsiaTheme="minorEastAsia"/>
          <w:b/>
          <w:sz w:val="24"/>
          <w:highlight w:val="none"/>
        </w:rPr>
        <w:t>商务响应表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序号</w:t>
            </w:r>
          </w:p>
        </w:tc>
        <w:tc>
          <w:tcPr>
            <w:tcW w:w="1124" w:type="pct"/>
            <w:vAlign w:val="center"/>
          </w:tcPr>
          <w:p w14:paraId="6E5D9937">
            <w:pPr>
              <w:pStyle w:val="12"/>
              <w:jc w:val="center"/>
              <w:rPr>
                <w:rFonts w:hint="eastAsia"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1465" w:type="pct"/>
            <w:vAlign w:val="center"/>
          </w:tcPr>
          <w:p w14:paraId="5D44F6BE">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招标文件要求</w:t>
            </w:r>
          </w:p>
        </w:tc>
        <w:tc>
          <w:tcPr>
            <w:tcW w:w="1510" w:type="pct"/>
            <w:vAlign w:val="center"/>
          </w:tcPr>
          <w:p w14:paraId="11DE3AE5">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投标人承诺</w:t>
            </w:r>
          </w:p>
        </w:tc>
        <w:tc>
          <w:tcPr>
            <w:tcW w:w="475" w:type="pct"/>
            <w:vAlign w:val="center"/>
          </w:tcPr>
          <w:p w14:paraId="61A0A2A3">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hint="eastAsia"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1124" w:type="pct"/>
            <w:vAlign w:val="center"/>
          </w:tcPr>
          <w:p w14:paraId="7C1AF61C">
            <w:pPr>
              <w:jc w:val="center"/>
              <w:rPr>
                <w:rFonts w:hint="eastAsia" w:ascii="宋体" w:hAnsi="宋体" w:eastAsia="宋体"/>
                <w:sz w:val="24"/>
                <w:highlight w:val="none"/>
              </w:rPr>
            </w:pPr>
            <w:r>
              <w:rPr>
                <w:rFonts w:asciiTheme="minorEastAsia" w:hAnsiTheme="minorEastAsia" w:eastAsiaTheme="minorEastAsia"/>
                <w:sz w:val="24"/>
                <w:highlight w:val="none"/>
              </w:rPr>
              <w:t>付款方式</w:t>
            </w:r>
          </w:p>
        </w:tc>
        <w:tc>
          <w:tcPr>
            <w:tcW w:w="1465" w:type="pct"/>
            <w:vAlign w:val="center"/>
          </w:tcPr>
          <w:p w14:paraId="09F9664D">
            <w:pPr>
              <w:jc w:val="center"/>
              <w:rPr>
                <w:rFonts w:hint="eastAsia" w:asciiTheme="minorEastAsia" w:hAnsiTheme="minorEastAsia" w:eastAsiaTheme="minorEastAsia"/>
                <w:sz w:val="24"/>
                <w:highlight w:val="none"/>
              </w:rPr>
            </w:pPr>
          </w:p>
        </w:tc>
        <w:tc>
          <w:tcPr>
            <w:tcW w:w="1510" w:type="pct"/>
            <w:vAlign w:val="center"/>
          </w:tcPr>
          <w:p w14:paraId="6ED78673">
            <w:pPr>
              <w:jc w:val="center"/>
              <w:rPr>
                <w:rFonts w:hint="eastAsia" w:asciiTheme="minorEastAsia" w:hAnsiTheme="minorEastAsia" w:eastAsiaTheme="minorEastAsia"/>
                <w:sz w:val="24"/>
                <w:highlight w:val="none"/>
              </w:rPr>
            </w:pPr>
          </w:p>
        </w:tc>
        <w:tc>
          <w:tcPr>
            <w:tcW w:w="475" w:type="pct"/>
            <w:vAlign w:val="center"/>
          </w:tcPr>
          <w:p w14:paraId="4090BFB7">
            <w:pPr>
              <w:jc w:val="center"/>
              <w:rPr>
                <w:rFonts w:hint="eastAsia" w:asciiTheme="minorEastAsia" w:hAnsiTheme="minorEastAsia" w:eastAsiaTheme="minorEastAsia"/>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124" w:type="pct"/>
            <w:vAlign w:val="center"/>
          </w:tcPr>
          <w:p w14:paraId="2380CFC8">
            <w:pPr>
              <w:jc w:val="center"/>
              <w:rPr>
                <w:rFonts w:hint="eastAsia" w:ascii="宋体" w:hAnsi="宋体" w:eastAsia="宋体"/>
                <w:sz w:val="24"/>
                <w:highlight w:val="none"/>
              </w:rPr>
            </w:pPr>
            <w:r>
              <w:rPr>
                <w:rFonts w:hint="eastAsia" w:ascii="宋体" w:hAnsi="宋体" w:eastAsia="宋体"/>
                <w:sz w:val="24"/>
                <w:highlight w:val="none"/>
              </w:rPr>
              <w:t>供货及安装地点</w:t>
            </w:r>
          </w:p>
        </w:tc>
        <w:tc>
          <w:tcPr>
            <w:tcW w:w="1465" w:type="pct"/>
            <w:vAlign w:val="center"/>
          </w:tcPr>
          <w:p w14:paraId="465346DC">
            <w:pPr>
              <w:jc w:val="center"/>
              <w:rPr>
                <w:rFonts w:hint="eastAsia" w:asciiTheme="minorEastAsia" w:hAnsiTheme="minorEastAsia" w:eastAsiaTheme="minorEastAsia"/>
                <w:sz w:val="24"/>
                <w:highlight w:val="none"/>
              </w:rPr>
            </w:pPr>
          </w:p>
        </w:tc>
        <w:tc>
          <w:tcPr>
            <w:tcW w:w="1510" w:type="pct"/>
            <w:vAlign w:val="center"/>
          </w:tcPr>
          <w:p w14:paraId="3451F342">
            <w:pPr>
              <w:jc w:val="center"/>
              <w:rPr>
                <w:rFonts w:hint="eastAsia" w:asciiTheme="minorEastAsia" w:hAnsiTheme="minorEastAsia" w:eastAsiaTheme="minorEastAsia"/>
                <w:sz w:val="24"/>
                <w:highlight w:val="none"/>
              </w:rPr>
            </w:pPr>
          </w:p>
        </w:tc>
        <w:tc>
          <w:tcPr>
            <w:tcW w:w="475" w:type="pct"/>
            <w:vAlign w:val="center"/>
          </w:tcPr>
          <w:p w14:paraId="4E06C111">
            <w:pPr>
              <w:jc w:val="center"/>
              <w:rPr>
                <w:rFonts w:hint="eastAsia" w:asciiTheme="minorEastAsia" w:hAnsiTheme="minorEastAsia" w:eastAsiaTheme="minorEastAsia"/>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1124" w:type="pct"/>
            <w:vAlign w:val="center"/>
          </w:tcPr>
          <w:p w14:paraId="0BE4F9CA">
            <w:pPr>
              <w:jc w:val="center"/>
              <w:rPr>
                <w:rFonts w:hint="eastAsia" w:ascii="宋体" w:hAnsi="宋体" w:eastAsia="宋体"/>
                <w:sz w:val="24"/>
                <w:highlight w:val="none"/>
              </w:rPr>
            </w:pPr>
            <w:r>
              <w:rPr>
                <w:rFonts w:hint="eastAsia" w:ascii="宋体" w:hAnsi="宋体" w:eastAsia="宋体"/>
                <w:sz w:val="24"/>
                <w:highlight w:val="none"/>
              </w:rPr>
              <w:t>供货及安装期限</w:t>
            </w:r>
          </w:p>
        </w:tc>
        <w:tc>
          <w:tcPr>
            <w:tcW w:w="1465" w:type="pct"/>
            <w:vAlign w:val="center"/>
          </w:tcPr>
          <w:p w14:paraId="13DA4509">
            <w:pPr>
              <w:jc w:val="center"/>
              <w:rPr>
                <w:rFonts w:hint="eastAsia" w:asciiTheme="minorEastAsia" w:hAnsiTheme="minorEastAsia" w:eastAsiaTheme="minorEastAsia"/>
                <w:sz w:val="24"/>
                <w:highlight w:val="none"/>
              </w:rPr>
            </w:pPr>
          </w:p>
        </w:tc>
        <w:tc>
          <w:tcPr>
            <w:tcW w:w="1510" w:type="pct"/>
            <w:vAlign w:val="center"/>
          </w:tcPr>
          <w:p w14:paraId="14884059">
            <w:pPr>
              <w:pStyle w:val="40"/>
              <w:jc w:val="center"/>
              <w:rPr>
                <w:rFonts w:hint="eastAsia" w:asciiTheme="minorEastAsia" w:hAnsiTheme="minorEastAsia" w:eastAsiaTheme="minorEastAsia"/>
                <w:highlight w:val="none"/>
              </w:rPr>
            </w:pPr>
          </w:p>
        </w:tc>
        <w:tc>
          <w:tcPr>
            <w:tcW w:w="475" w:type="pct"/>
            <w:vAlign w:val="center"/>
          </w:tcPr>
          <w:p w14:paraId="637032A7">
            <w:pPr>
              <w:jc w:val="center"/>
              <w:rPr>
                <w:rFonts w:hint="eastAsia" w:asciiTheme="minorEastAsia" w:hAnsiTheme="minorEastAsia" w:eastAsiaTheme="minorEastAsia"/>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1124" w:type="pct"/>
            <w:vAlign w:val="center"/>
          </w:tcPr>
          <w:p w14:paraId="63516FEB">
            <w:pPr>
              <w:jc w:val="center"/>
              <w:rPr>
                <w:rFonts w:hint="eastAsia" w:ascii="宋体" w:hAnsi="宋体" w:eastAsia="宋体"/>
                <w:sz w:val="24"/>
                <w:highlight w:val="none"/>
              </w:rPr>
            </w:pPr>
            <w:r>
              <w:rPr>
                <w:rFonts w:hint="eastAsia" w:ascii="宋体" w:hAnsi="宋体" w:eastAsia="宋体"/>
                <w:sz w:val="24"/>
                <w:highlight w:val="none"/>
              </w:rPr>
              <w:t>免费质保期</w:t>
            </w:r>
          </w:p>
        </w:tc>
        <w:tc>
          <w:tcPr>
            <w:tcW w:w="1465" w:type="pct"/>
            <w:vAlign w:val="center"/>
          </w:tcPr>
          <w:p w14:paraId="7D93D9B8">
            <w:pPr>
              <w:jc w:val="center"/>
              <w:rPr>
                <w:rFonts w:hint="eastAsia" w:asciiTheme="minorEastAsia" w:hAnsiTheme="minorEastAsia" w:eastAsiaTheme="minorEastAsia"/>
                <w:sz w:val="24"/>
                <w:highlight w:val="none"/>
              </w:rPr>
            </w:pPr>
          </w:p>
        </w:tc>
        <w:tc>
          <w:tcPr>
            <w:tcW w:w="1510" w:type="pct"/>
            <w:vAlign w:val="center"/>
          </w:tcPr>
          <w:p w14:paraId="0E421BCA">
            <w:pPr>
              <w:jc w:val="center"/>
              <w:rPr>
                <w:rFonts w:hint="eastAsia" w:asciiTheme="minorEastAsia" w:hAnsiTheme="minorEastAsia" w:eastAsiaTheme="minorEastAsia"/>
                <w:sz w:val="24"/>
                <w:highlight w:val="none"/>
              </w:rPr>
            </w:pPr>
          </w:p>
        </w:tc>
        <w:tc>
          <w:tcPr>
            <w:tcW w:w="475" w:type="pct"/>
            <w:vAlign w:val="center"/>
          </w:tcPr>
          <w:p w14:paraId="369EF4EE">
            <w:pPr>
              <w:jc w:val="center"/>
              <w:rPr>
                <w:rFonts w:hint="eastAsia" w:asciiTheme="minorEastAsia" w:hAnsiTheme="minorEastAsia" w:eastAsiaTheme="minorEastAsia"/>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1124" w:type="pct"/>
            <w:vAlign w:val="center"/>
          </w:tcPr>
          <w:p w14:paraId="71929B76">
            <w:pPr>
              <w:jc w:val="center"/>
              <w:rPr>
                <w:rFonts w:hint="eastAsia" w:ascii="宋体" w:hAnsi="宋体" w:eastAsia="宋体"/>
                <w:sz w:val="24"/>
                <w:highlight w:val="none"/>
              </w:rPr>
            </w:pPr>
          </w:p>
        </w:tc>
        <w:tc>
          <w:tcPr>
            <w:tcW w:w="1465" w:type="pct"/>
            <w:vAlign w:val="center"/>
          </w:tcPr>
          <w:p w14:paraId="05607E67">
            <w:pPr>
              <w:jc w:val="center"/>
              <w:rPr>
                <w:rFonts w:hint="eastAsia" w:asciiTheme="minorEastAsia" w:hAnsiTheme="minorEastAsia" w:eastAsiaTheme="minorEastAsia"/>
                <w:sz w:val="24"/>
                <w:highlight w:val="none"/>
              </w:rPr>
            </w:pPr>
          </w:p>
        </w:tc>
        <w:tc>
          <w:tcPr>
            <w:tcW w:w="1510" w:type="pct"/>
            <w:vAlign w:val="center"/>
          </w:tcPr>
          <w:p w14:paraId="33130A6B">
            <w:pPr>
              <w:jc w:val="center"/>
              <w:rPr>
                <w:rFonts w:hint="eastAsia" w:asciiTheme="minorEastAsia" w:hAnsiTheme="minorEastAsia" w:eastAsiaTheme="minorEastAsia"/>
                <w:sz w:val="24"/>
                <w:highlight w:val="none"/>
              </w:rPr>
            </w:pPr>
          </w:p>
        </w:tc>
        <w:tc>
          <w:tcPr>
            <w:tcW w:w="475" w:type="pct"/>
            <w:vAlign w:val="center"/>
          </w:tcPr>
          <w:p w14:paraId="22AC22C6">
            <w:pPr>
              <w:jc w:val="center"/>
              <w:rPr>
                <w:rFonts w:hint="eastAsia" w:asciiTheme="minorEastAsia" w:hAnsiTheme="minorEastAsia" w:eastAsiaTheme="minorEastAsia"/>
                <w:sz w:val="24"/>
                <w:highlight w:val="none"/>
              </w:rPr>
            </w:pPr>
          </w:p>
        </w:tc>
      </w:tr>
    </w:tbl>
    <w:p w14:paraId="2FC26D16">
      <w:pPr>
        <w:spacing w:line="360" w:lineRule="auto"/>
        <w:ind w:firstLine="435"/>
        <w:outlineLvl w:val="2"/>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技术响应表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序号</w:t>
            </w:r>
          </w:p>
        </w:tc>
        <w:tc>
          <w:tcPr>
            <w:tcW w:w="915" w:type="pct"/>
            <w:vAlign w:val="center"/>
          </w:tcPr>
          <w:p w14:paraId="2D699A9B">
            <w:pPr>
              <w:pStyle w:val="12"/>
              <w:jc w:val="center"/>
              <w:rPr>
                <w:rFonts w:hint="eastAsia" w:cs="Wingdings" w:asciiTheme="minorEastAsia" w:hAnsiTheme="minorEastAsia"/>
                <w:b/>
                <w:sz w:val="24"/>
                <w:highlight w:val="none"/>
              </w:rPr>
            </w:pPr>
            <w:r>
              <w:rPr>
                <w:rFonts w:hint="eastAsia" w:asciiTheme="minorEastAsia" w:hAnsiTheme="minorEastAsia"/>
                <w:b/>
                <w:bCs/>
                <w:sz w:val="24"/>
                <w:szCs w:val="24"/>
                <w:highlight w:val="none"/>
              </w:rPr>
              <w:t>货物名称</w:t>
            </w:r>
          </w:p>
        </w:tc>
        <w:tc>
          <w:tcPr>
            <w:tcW w:w="1680" w:type="pct"/>
            <w:vAlign w:val="center"/>
          </w:tcPr>
          <w:p w14:paraId="2EA62662">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招标文件规定的技术参数及要求</w:t>
            </w:r>
          </w:p>
        </w:tc>
        <w:tc>
          <w:tcPr>
            <w:tcW w:w="1456" w:type="pct"/>
            <w:vAlign w:val="center"/>
          </w:tcPr>
          <w:p w14:paraId="2D27B6D9">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所投产品的品牌、型号及技术参数</w:t>
            </w:r>
          </w:p>
        </w:tc>
        <w:tc>
          <w:tcPr>
            <w:tcW w:w="502" w:type="pct"/>
            <w:vAlign w:val="center"/>
          </w:tcPr>
          <w:p w14:paraId="776F5A45">
            <w:pPr>
              <w:pStyle w:val="12"/>
              <w:jc w:val="center"/>
              <w:rPr>
                <w:rFonts w:hint="eastAsia"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w:t>
            </w:r>
          </w:p>
        </w:tc>
        <w:tc>
          <w:tcPr>
            <w:tcW w:w="915" w:type="pct"/>
            <w:vAlign w:val="center"/>
          </w:tcPr>
          <w:p w14:paraId="63B3DBD6">
            <w:pPr>
              <w:jc w:val="center"/>
              <w:rPr>
                <w:rFonts w:hint="eastAsia" w:asciiTheme="minorEastAsia" w:hAnsiTheme="minorEastAsia" w:eastAsiaTheme="minorEastAsia"/>
                <w:sz w:val="24"/>
                <w:highlight w:val="none"/>
              </w:rPr>
            </w:pPr>
          </w:p>
        </w:tc>
        <w:tc>
          <w:tcPr>
            <w:tcW w:w="1680" w:type="pct"/>
            <w:vAlign w:val="center"/>
          </w:tcPr>
          <w:p w14:paraId="11B61ECE">
            <w:pPr>
              <w:jc w:val="center"/>
              <w:rPr>
                <w:rFonts w:hint="eastAsia" w:asciiTheme="minorEastAsia" w:hAnsiTheme="minorEastAsia" w:eastAsiaTheme="minorEastAsia"/>
                <w:sz w:val="24"/>
                <w:highlight w:val="none"/>
              </w:rPr>
            </w:pPr>
          </w:p>
        </w:tc>
        <w:tc>
          <w:tcPr>
            <w:tcW w:w="1456" w:type="pct"/>
            <w:vAlign w:val="center"/>
          </w:tcPr>
          <w:p w14:paraId="2A81A73A">
            <w:pPr>
              <w:jc w:val="center"/>
              <w:rPr>
                <w:rFonts w:hint="eastAsia" w:asciiTheme="minorEastAsia" w:hAnsiTheme="minorEastAsia" w:eastAsiaTheme="minorEastAsia"/>
                <w:sz w:val="24"/>
                <w:highlight w:val="none"/>
              </w:rPr>
            </w:pPr>
          </w:p>
        </w:tc>
        <w:tc>
          <w:tcPr>
            <w:tcW w:w="502" w:type="pct"/>
            <w:vAlign w:val="center"/>
          </w:tcPr>
          <w:p w14:paraId="62BD3450">
            <w:pPr>
              <w:jc w:val="center"/>
              <w:rPr>
                <w:rFonts w:hint="eastAsia" w:asciiTheme="minorEastAsia" w:hAnsiTheme="minorEastAsia" w:eastAsiaTheme="minorEastAsia"/>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915" w:type="pct"/>
            <w:vAlign w:val="center"/>
          </w:tcPr>
          <w:p w14:paraId="29AD169B">
            <w:pPr>
              <w:jc w:val="center"/>
              <w:rPr>
                <w:rFonts w:hint="eastAsia" w:asciiTheme="minorEastAsia" w:hAnsiTheme="minorEastAsia" w:eastAsiaTheme="minorEastAsia"/>
                <w:sz w:val="24"/>
                <w:highlight w:val="none"/>
              </w:rPr>
            </w:pPr>
          </w:p>
        </w:tc>
        <w:tc>
          <w:tcPr>
            <w:tcW w:w="1680" w:type="pct"/>
            <w:vAlign w:val="center"/>
          </w:tcPr>
          <w:p w14:paraId="2DED9E84">
            <w:pPr>
              <w:jc w:val="center"/>
              <w:rPr>
                <w:rFonts w:hint="eastAsia" w:asciiTheme="minorEastAsia" w:hAnsiTheme="minorEastAsia" w:eastAsiaTheme="minorEastAsia"/>
                <w:sz w:val="24"/>
                <w:highlight w:val="none"/>
              </w:rPr>
            </w:pPr>
          </w:p>
        </w:tc>
        <w:tc>
          <w:tcPr>
            <w:tcW w:w="1456" w:type="pct"/>
            <w:vAlign w:val="center"/>
          </w:tcPr>
          <w:p w14:paraId="411F3E68">
            <w:pPr>
              <w:jc w:val="center"/>
              <w:rPr>
                <w:rFonts w:hint="eastAsia" w:asciiTheme="minorEastAsia" w:hAnsiTheme="minorEastAsia" w:eastAsiaTheme="minorEastAsia"/>
                <w:sz w:val="24"/>
                <w:highlight w:val="none"/>
              </w:rPr>
            </w:pPr>
          </w:p>
        </w:tc>
        <w:tc>
          <w:tcPr>
            <w:tcW w:w="502" w:type="pct"/>
            <w:vAlign w:val="center"/>
          </w:tcPr>
          <w:p w14:paraId="23169102">
            <w:pPr>
              <w:jc w:val="center"/>
              <w:rPr>
                <w:rFonts w:hint="eastAsia" w:asciiTheme="minorEastAsia" w:hAnsiTheme="minorEastAsia" w:eastAsiaTheme="minorEastAsia"/>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915" w:type="pct"/>
            <w:vAlign w:val="center"/>
          </w:tcPr>
          <w:p w14:paraId="401040E0">
            <w:pPr>
              <w:jc w:val="center"/>
              <w:rPr>
                <w:rFonts w:hint="eastAsia" w:asciiTheme="minorEastAsia" w:hAnsiTheme="minorEastAsia" w:eastAsiaTheme="minorEastAsia"/>
                <w:sz w:val="24"/>
                <w:highlight w:val="none"/>
              </w:rPr>
            </w:pPr>
          </w:p>
        </w:tc>
        <w:tc>
          <w:tcPr>
            <w:tcW w:w="1680" w:type="pct"/>
            <w:vAlign w:val="center"/>
          </w:tcPr>
          <w:p w14:paraId="410FA5A0">
            <w:pPr>
              <w:jc w:val="center"/>
              <w:rPr>
                <w:rFonts w:hint="eastAsia" w:asciiTheme="minorEastAsia" w:hAnsiTheme="minorEastAsia" w:eastAsiaTheme="minorEastAsia"/>
                <w:sz w:val="24"/>
                <w:highlight w:val="none"/>
              </w:rPr>
            </w:pPr>
          </w:p>
        </w:tc>
        <w:tc>
          <w:tcPr>
            <w:tcW w:w="1456" w:type="pct"/>
            <w:vAlign w:val="center"/>
          </w:tcPr>
          <w:p w14:paraId="79158BE1">
            <w:pPr>
              <w:pStyle w:val="40"/>
              <w:jc w:val="center"/>
              <w:rPr>
                <w:rFonts w:hint="eastAsia" w:asciiTheme="minorEastAsia" w:hAnsiTheme="minorEastAsia" w:eastAsiaTheme="minorEastAsia"/>
                <w:highlight w:val="none"/>
              </w:rPr>
            </w:pPr>
          </w:p>
        </w:tc>
        <w:tc>
          <w:tcPr>
            <w:tcW w:w="502" w:type="pct"/>
            <w:vAlign w:val="center"/>
          </w:tcPr>
          <w:p w14:paraId="51CD182D">
            <w:pPr>
              <w:jc w:val="center"/>
              <w:rPr>
                <w:rFonts w:hint="eastAsia" w:asciiTheme="minorEastAsia" w:hAnsiTheme="minorEastAsia" w:eastAsiaTheme="minorEastAsia"/>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915" w:type="pct"/>
            <w:vAlign w:val="center"/>
          </w:tcPr>
          <w:p w14:paraId="0ECA98CD">
            <w:pPr>
              <w:jc w:val="center"/>
              <w:rPr>
                <w:rFonts w:hint="eastAsia" w:asciiTheme="minorEastAsia" w:hAnsiTheme="minorEastAsia" w:eastAsiaTheme="minorEastAsia"/>
                <w:sz w:val="24"/>
                <w:highlight w:val="none"/>
              </w:rPr>
            </w:pPr>
          </w:p>
        </w:tc>
        <w:tc>
          <w:tcPr>
            <w:tcW w:w="1680" w:type="pct"/>
            <w:vAlign w:val="center"/>
          </w:tcPr>
          <w:p w14:paraId="4235117A">
            <w:pPr>
              <w:jc w:val="center"/>
              <w:rPr>
                <w:rFonts w:hint="eastAsia" w:asciiTheme="minorEastAsia" w:hAnsiTheme="minorEastAsia" w:eastAsiaTheme="minorEastAsia"/>
                <w:sz w:val="24"/>
                <w:highlight w:val="none"/>
              </w:rPr>
            </w:pPr>
          </w:p>
        </w:tc>
        <w:tc>
          <w:tcPr>
            <w:tcW w:w="1456" w:type="pct"/>
            <w:vAlign w:val="center"/>
          </w:tcPr>
          <w:p w14:paraId="5A9E69F4">
            <w:pPr>
              <w:pStyle w:val="40"/>
              <w:jc w:val="center"/>
              <w:rPr>
                <w:rFonts w:hint="eastAsia" w:asciiTheme="minorEastAsia" w:hAnsiTheme="minorEastAsia" w:eastAsiaTheme="minorEastAsia"/>
                <w:highlight w:val="none"/>
              </w:rPr>
            </w:pPr>
          </w:p>
        </w:tc>
        <w:tc>
          <w:tcPr>
            <w:tcW w:w="502" w:type="pct"/>
            <w:vAlign w:val="center"/>
          </w:tcPr>
          <w:p w14:paraId="62CE2BB3">
            <w:pPr>
              <w:jc w:val="center"/>
              <w:rPr>
                <w:rFonts w:hint="eastAsia" w:asciiTheme="minorEastAsia" w:hAnsiTheme="minorEastAsia" w:eastAsiaTheme="minorEastAsia"/>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915" w:type="pct"/>
            <w:vAlign w:val="center"/>
          </w:tcPr>
          <w:p w14:paraId="1AEF0F50">
            <w:pPr>
              <w:jc w:val="center"/>
              <w:rPr>
                <w:rFonts w:hint="eastAsia" w:asciiTheme="minorEastAsia" w:hAnsiTheme="minorEastAsia" w:eastAsiaTheme="minorEastAsia"/>
                <w:sz w:val="24"/>
                <w:highlight w:val="none"/>
              </w:rPr>
            </w:pPr>
          </w:p>
        </w:tc>
        <w:tc>
          <w:tcPr>
            <w:tcW w:w="1680" w:type="pct"/>
            <w:vAlign w:val="center"/>
          </w:tcPr>
          <w:p w14:paraId="6E85071B">
            <w:pPr>
              <w:jc w:val="center"/>
              <w:rPr>
                <w:rFonts w:hint="eastAsia" w:asciiTheme="minorEastAsia" w:hAnsiTheme="minorEastAsia" w:eastAsiaTheme="minorEastAsia"/>
                <w:sz w:val="24"/>
                <w:highlight w:val="none"/>
              </w:rPr>
            </w:pPr>
          </w:p>
        </w:tc>
        <w:tc>
          <w:tcPr>
            <w:tcW w:w="1456" w:type="pct"/>
            <w:vAlign w:val="center"/>
          </w:tcPr>
          <w:p w14:paraId="2F6648C5">
            <w:pPr>
              <w:jc w:val="center"/>
              <w:rPr>
                <w:rFonts w:hint="eastAsia" w:asciiTheme="minorEastAsia" w:hAnsiTheme="minorEastAsia" w:eastAsiaTheme="minorEastAsia"/>
                <w:sz w:val="24"/>
                <w:highlight w:val="none"/>
              </w:rPr>
            </w:pPr>
          </w:p>
        </w:tc>
        <w:tc>
          <w:tcPr>
            <w:tcW w:w="502" w:type="pct"/>
            <w:vAlign w:val="center"/>
          </w:tcPr>
          <w:p w14:paraId="22E3CC90">
            <w:pPr>
              <w:jc w:val="center"/>
              <w:rPr>
                <w:rFonts w:hint="eastAsia" w:asciiTheme="minorEastAsia" w:hAnsiTheme="minorEastAsia" w:eastAsiaTheme="minorEastAsia"/>
                <w:sz w:val="24"/>
                <w:highlight w:val="none"/>
              </w:rPr>
            </w:pPr>
          </w:p>
        </w:tc>
      </w:tr>
    </w:tbl>
    <w:p w14:paraId="25FDEC34">
      <w:pPr>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投标人电子签章：</w:t>
      </w:r>
      <w:r>
        <w:rPr>
          <w:rFonts w:hint="eastAsia" w:ascii="宋体" w:hAnsi="宋体" w:eastAsia="宋体"/>
          <w:sz w:val="24"/>
          <w:highlight w:val="none"/>
          <w:u w:val="single"/>
        </w:rPr>
        <w:t xml:space="preserve">             </w:t>
      </w:r>
    </w:p>
    <w:p w14:paraId="4A6B6792">
      <w:pPr>
        <w:spacing w:line="360" w:lineRule="auto"/>
        <w:ind w:firstLine="4800" w:firstLineChars="2000"/>
        <w:rPr>
          <w:rFonts w:hint="eastAsia" w:ascii="宋体" w:hAnsi="宋体" w:eastAsia="宋体"/>
          <w:sz w:val="24"/>
          <w:highlight w:val="none"/>
          <w:u w:val="single"/>
        </w:rPr>
      </w:pPr>
      <w:r>
        <w:rPr>
          <w:rFonts w:hint="eastAsia" w:ascii="宋体" w:hAnsi="宋体" w:eastAsia="宋体"/>
          <w:sz w:val="24"/>
          <w:highlight w:val="none"/>
        </w:rPr>
        <w:t>日          期：</w:t>
      </w:r>
      <w:r>
        <w:rPr>
          <w:rFonts w:hint="eastAsia" w:ascii="宋体" w:hAnsi="宋体" w:eastAsia="宋体"/>
          <w:sz w:val="24"/>
          <w:highlight w:val="none"/>
          <w:u w:val="single"/>
        </w:rPr>
        <w:t xml:space="preserve">             </w:t>
      </w:r>
    </w:p>
    <w:p w14:paraId="180D7F4F">
      <w:pPr>
        <w:pStyle w:val="13"/>
        <w:spacing w:line="360" w:lineRule="auto"/>
        <w:rPr>
          <w:rFonts w:hint="eastAsia" w:asciiTheme="minorEastAsia" w:hAnsiTheme="minorEastAsia" w:eastAsiaTheme="minorEastAsia"/>
          <w:b w:val="0"/>
          <w:sz w:val="24"/>
          <w:highlight w:val="none"/>
        </w:rPr>
      </w:pPr>
      <w:r>
        <w:rPr>
          <w:rFonts w:asciiTheme="minorEastAsia" w:hAnsiTheme="minorEastAsia" w:eastAsiaTheme="minorEastAsia"/>
          <w:b w:val="0"/>
          <w:sz w:val="24"/>
          <w:highlight w:val="none"/>
        </w:rPr>
        <w:br w:type="page"/>
      </w:r>
    </w:p>
    <w:p w14:paraId="06F065E8">
      <w:pPr>
        <w:spacing w:line="360" w:lineRule="auto"/>
        <w:jc w:val="center"/>
        <w:outlineLvl w:val="1"/>
        <w:rPr>
          <w:rFonts w:hint="eastAsia" w:asciiTheme="minorEastAsia" w:hAnsiTheme="minorEastAsia" w:eastAsiaTheme="minorEastAsia"/>
          <w:b/>
          <w:sz w:val="24"/>
          <w:highlight w:val="none"/>
        </w:rPr>
      </w:pPr>
      <w:bookmarkStart w:id="77" w:name="_Toc31244"/>
      <w:bookmarkStart w:id="78" w:name="_Toc9573"/>
      <w:bookmarkStart w:id="79" w:name="OLE_LINK13"/>
      <w:bookmarkStart w:id="80" w:name="OLE_LINK14"/>
      <w:r>
        <w:rPr>
          <w:rFonts w:hint="eastAsia" w:asciiTheme="minorEastAsia" w:hAnsiTheme="minorEastAsia" w:eastAsiaTheme="minorEastAsia"/>
          <w:b/>
          <w:sz w:val="24"/>
          <w:highlight w:val="none"/>
        </w:rPr>
        <w:t>七、中小企业声明函</w:t>
      </w:r>
      <w:bookmarkEnd w:id="77"/>
      <w:bookmarkEnd w:id="78"/>
    </w:p>
    <w:p w14:paraId="745ACDA4">
      <w:pPr>
        <w:pStyle w:val="32"/>
        <w:widowControl w:val="0"/>
        <w:spacing w:before="0" w:beforeAutospacing="0" w:after="0" w:afterAutospacing="0" w:line="360" w:lineRule="auto"/>
        <w:rPr>
          <w:rFonts w:hint="eastAsia" w:ascii="宋体" w:hAnsi="宋体" w:eastAsia="宋体"/>
          <w:bCs w:val="0"/>
          <w:i/>
          <w:sz w:val="24"/>
          <w:highlight w:val="none"/>
        </w:rPr>
      </w:pPr>
      <w:r>
        <w:rPr>
          <w:rFonts w:hint="eastAsia" w:ascii="宋体" w:hAnsi="宋体" w:eastAsia="宋体"/>
          <w:bCs w:val="0"/>
          <w:i/>
          <w:sz w:val="24"/>
          <w:highlight w:val="none"/>
        </w:rPr>
        <w:t>（</w:t>
      </w:r>
      <w:r>
        <w:rPr>
          <w:rFonts w:hint="eastAsia" w:ascii="宋体" w:hAnsi="宋体" w:eastAsia="宋体"/>
          <w:bCs w:val="0"/>
          <w:i/>
          <w:sz w:val="24"/>
          <w:highlight w:val="none"/>
          <w:lang w:val="zh-CN"/>
        </w:rPr>
        <w:t>非中小企业投标</w:t>
      </w:r>
      <w:r>
        <w:rPr>
          <w:rFonts w:hint="eastAsia" w:ascii="宋体" w:hAnsi="宋体" w:eastAsia="宋体"/>
          <w:bCs w:val="0"/>
          <w:i/>
          <w:sz w:val="24"/>
          <w:highlight w:val="none"/>
        </w:rPr>
        <w:t>，不需此件，请删去“中小企业声明函”）</w:t>
      </w:r>
    </w:p>
    <w:p w14:paraId="7313C946">
      <w:pPr>
        <w:rPr>
          <w:rFonts w:hint="eastAsia" w:asciiTheme="minorEastAsia" w:hAnsiTheme="minorEastAsia" w:eastAsiaTheme="minorEastAsia"/>
          <w:sz w:val="24"/>
          <w:szCs w:val="24"/>
          <w:highlight w:val="none"/>
        </w:rPr>
      </w:pPr>
    </w:p>
    <w:p w14:paraId="11C467A2">
      <w:pPr>
        <w:tabs>
          <w:tab w:val="left" w:pos="4620"/>
        </w:tabs>
        <w:spacing w:line="360" w:lineRule="auto"/>
        <w:jc w:val="left"/>
        <w:rPr>
          <w:rFonts w:hint="eastAsia" w:ascii="宋体" w:hAnsi="宋体" w:eastAsia="宋体"/>
          <w:b/>
          <w:i/>
          <w:sz w:val="24"/>
          <w:highlight w:val="none"/>
        </w:rPr>
      </w:pPr>
      <w:r>
        <w:rPr>
          <w:rFonts w:hint="eastAsia" w:asciiTheme="minorEastAsia" w:hAnsiTheme="minorEastAsia" w:eastAsiaTheme="minorEastAsia"/>
          <w:sz w:val="24"/>
          <w:szCs w:val="24"/>
          <w:highlight w:val="none"/>
        </w:rPr>
        <w:t>特别提醒：</w:t>
      </w:r>
      <w:r>
        <w:rPr>
          <w:rFonts w:hint="eastAsia" w:ascii="宋体" w:hAnsi="宋体" w:eastAsia="宋体"/>
          <w:b/>
          <w:i/>
          <w:sz w:val="24"/>
          <w:highlight w:val="none"/>
        </w:rPr>
        <w:t>未提供的，不享受报价扣除。表中“</w:t>
      </w:r>
      <w:r>
        <w:rPr>
          <w:rFonts w:hint="eastAsia" w:ascii="宋体" w:hAnsi="宋体" w:eastAsia="宋体"/>
          <w:b/>
          <w:i/>
          <w:sz w:val="24"/>
          <w:highlight w:val="none"/>
          <w:lang w:val="zh-CN"/>
        </w:rPr>
        <w:t>标的名称</w:t>
      </w:r>
      <w:r>
        <w:rPr>
          <w:rFonts w:hint="eastAsia" w:ascii="宋体" w:hAnsi="宋体" w:eastAsia="宋体"/>
          <w:b/>
          <w:i/>
          <w:sz w:val="24"/>
          <w:highlight w:val="none"/>
        </w:rPr>
        <w:t>”，详见第三章采购需求中明确的“货物名称”。</w:t>
      </w:r>
    </w:p>
    <w:p w14:paraId="45FE1630">
      <w:pPr>
        <w:spacing w:line="360" w:lineRule="auto"/>
        <w:ind w:firstLine="435"/>
        <w:rPr>
          <w:rFonts w:hint="eastAsia" w:ascii="宋体" w:hAnsi="宋体" w:eastAsia="宋体"/>
          <w:sz w:val="24"/>
          <w:szCs w:val="24"/>
          <w:highlight w:val="none"/>
          <w:lang w:val="zh-CN"/>
        </w:rPr>
      </w:pPr>
    </w:p>
    <w:p w14:paraId="1FAB130D">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本公司（联合体）郑重声明，根据《政府采购促进中小企业发展管理办法》（财库﹝2020﹞46号）的规定，本公司（联合体）参加（</w:t>
      </w:r>
      <w:r>
        <w:rPr>
          <w:rFonts w:hint="eastAsia" w:ascii="宋体" w:hAnsi="宋体" w:eastAsia="宋体"/>
          <w:sz w:val="24"/>
          <w:szCs w:val="24"/>
          <w:highlight w:val="none"/>
          <w:u w:val="single"/>
          <w:lang w:val="zh-CN"/>
        </w:rPr>
        <w:t>单位</w:t>
      </w:r>
      <w:r>
        <w:rPr>
          <w:rFonts w:hint="eastAsia" w:ascii="宋体" w:hAnsi="宋体" w:eastAsia="宋体"/>
          <w:sz w:val="24"/>
          <w:szCs w:val="24"/>
          <w:highlight w:val="none"/>
          <w:u w:val="single"/>
        </w:rPr>
        <w:t>名称</w:t>
      </w:r>
      <w:r>
        <w:rPr>
          <w:rFonts w:hint="eastAsia" w:ascii="宋体" w:hAnsi="宋体" w:eastAsia="宋体"/>
          <w:sz w:val="24"/>
          <w:szCs w:val="24"/>
          <w:highlight w:val="none"/>
          <w:lang w:val="zh-CN"/>
        </w:rPr>
        <w:t>）的（</w:t>
      </w:r>
      <w:r>
        <w:rPr>
          <w:rFonts w:hint="eastAsia" w:ascii="宋体" w:hAnsi="宋体" w:eastAsia="宋体"/>
          <w:sz w:val="24"/>
          <w:szCs w:val="24"/>
          <w:highlight w:val="none"/>
          <w:u w:val="single"/>
          <w:lang w:val="zh-CN"/>
        </w:rPr>
        <w:t>项目</w:t>
      </w:r>
      <w:r>
        <w:rPr>
          <w:rFonts w:hint="eastAsia" w:ascii="宋体" w:hAnsi="宋体" w:eastAsia="宋体"/>
          <w:sz w:val="24"/>
          <w:szCs w:val="24"/>
          <w:highlight w:val="none"/>
          <w:u w:val="single"/>
        </w:rPr>
        <w:t>名称</w:t>
      </w:r>
      <w:r>
        <w:rPr>
          <w:rFonts w:hint="eastAsia" w:ascii="宋体" w:hAnsi="宋体" w:eastAsia="宋体"/>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3DB835B6">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6959F9A2">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w:t>
      </w:r>
    </w:p>
    <w:p w14:paraId="7D550789">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hint="eastAsia" w:ascii="宋体" w:hAnsi="宋体" w:eastAsia="宋体"/>
          <w:sz w:val="24"/>
          <w:szCs w:val="24"/>
          <w:highlight w:val="none"/>
          <w:lang w:val="zh-CN"/>
        </w:rPr>
      </w:pPr>
      <w:r>
        <w:rPr>
          <w:rFonts w:hint="eastAsia" w:ascii="宋体" w:hAnsi="宋体" w:eastAsia="宋体"/>
          <w:sz w:val="24"/>
          <w:szCs w:val="24"/>
          <w:highlight w:val="none"/>
          <w:lang w:val="zh-CN"/>
        </w:rPr>
        <w:t xml:space="preserve">本企业对上述声明内容的真实性负责。如有虚假，将依法承担相应责任。 </w:t>
      </w:r>
    </w:p>
    <w:p w14:paraId="3269841C">
      <w:pPr>
        <w:spacing w:line="360" w:lineRule="auto"/>
        <w:ind w:firstLine="435"/>
        <w:rPr>
          <w:rFonts w:hint="eastAsia" w:asciiTheme="minorEastAsia" w:hAnsiTheme="minorEastAsia" w:eastAsiaTheme="minorEastAsia"/>
          <w:sz w:val="24"/>
          <w:szCs w:val="24"/>
          <w:highlight w:val="none"/>
        </w:rPr>
      </w:pPr>
    </w:p>
    <w:p w14:paraId="7E5A3731">
      <w:pPr>
        <w:spacing w:line="360" w:lineRule="auto"/>
        <w:ind w:firstLine="435"/>
        <w:rPr>
          <w:rFonts w:hint="eastAsia" w:asciiTheme="minorEastAsia" w:hAnsiTheme="minorEastAsia" w:eastAsiaTheme="minorEastAsia"/>
          <w:sz w:val="24"/>
          <w:szCs w:val="24"/>
          <w:highlight w:val="none"/>
        </w:rPr>
      </w:pPr>
    </w:p>
    <w:p w14:paraId="09DFE9DA">
      <w:pPr>
        <w:spacing w:line="360" w:lineRule="auto"/>
        <w:ind w:firstLine="4228" w:firstLineChars="1762"/>
        <w:rPr>
          <w:rFonts w:hint="eastAsia"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投标人</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720145CC">
      <w:pPr>
        <w:tabs>
          <w:tab w:val="left" w:pos="4620"/>
        </w:tabs>
        <w:spacing w:line="360" w:lineRule="auto"/>
        <w:ind w:firstLine="4252" w:firstLineChars="1772"/>
        <w:rPr>
          <w:rFonts w:hint="eastAsia"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p w14:paraId="6CAD3A32">
      <w:pPr>
        <w:tabs>
          <w:tab w:val="left" w:pos="4620"/>
        </w:tabs>
        <w:spacing w:line="360" w:lineRule="auto"/>
        <w:jc w:val="left"/>
        <w:rPr>
          <w:rFonts w:hint="eastAsia" w:asciiTheme="minorEastAsia" w:hAnsiTheme="minorEastAsia" w:eastAsiaTheme="minorEastAsia"/>
          <w:sz w:val="24"/>
          <w:szCs w:val="24"/>
          <w:highlight w:val="none"/>
        </w:rPr>
      </w:pPr>
    </w:p>
    <w:p w14:paraId="1F6CF3CD">
      <w:pPr>
        <w:tabs>
          <w:tab w:val="left" w:pos="4620"/>
        </w:tabs>
        <w:spacing w:line="360" w:lineRule="auto"/>
        <w:jc w:val="left"/>
        <w:rPr>
          <w:rFonts w:hint="eastAsia" w:asciiTheme="minorEastAsia" w:hAnsiTheme="minorEastAsia" w:eastAsiaTheme="minorEastAsia"/>
          <w:sz w:val="24"/>
          <w:szCs w:val="24"/>
          <w:highlight w:val="none"/>
        </w:rPr>
      </w:pPr>
    </w:p>
    <w:p w14:paraId="733C2C75">
      <w:pPr>
        <w:tabs>
          <w:tab w:val="left" w:pos="4620"/>
        </w:tabs>
        <w:spacing w:line="360" w:lineRule="auto"/>
        <w:jc w:val="left"/>
        <w:rPr>
          <w:rFonts w:hint="eastAsia" w:asciiTheme="minorEastAsia" w:hAnsiTheme="minorEastAsia" w:eastAsiaTheme="minorEastAsia"/>
          <w:sz w:val="24"/>
          <w:szCs w:val="24"/>
          <w:highlight w:val="none"/>
        </w:rPr>
      </w:pPr>
    </w:p>
    <w:p w14:paraId="1EC0DBDC">
      <w:pPr>
        <w:tabs>
          <w:tab w:val="left" w:pos="4620"/>
        </w:tabs>
        <w:spacing w:line="360" w:lineRule="auto"/>
        <w:jc w:val="left"/>
        <w:rPr>
          <w:rFonts w:hint="eastAsia" w:asciiTheme="minorEastAsia" w:hAnsiTheme="minorEastAsia" w:eastAsiaTheme="minorEastAsia"/>
          <w:sz w:val="24"/>
          <w:szCs w:val="24"/>
          <w:highlight w:val="none"/>
        </w:rPr>
      </w:pPr>
    </w:p>
    <w:p w14:paraId="28E4AB4D">
      <w:pPr>
        <w:tabs>
          <w:tab w:val="left" w:pos="4620"/>
        </w:tabs>
        <w:spacing w:line="360" w:lineRule="auto"/>
        <w:jc w:val="left"/>
        <w:rPr>
          <w:rFonts w:hint="eastAsia" w:asciiTheme="minorEastAsia" w:hAnsiTheme="minorEastAsia" w:eastAsiaTheme="minorEastAsia"/>
          <w:sz w:val="24"/>
          <w:szCs w:val="24"/>
          <w:highlight w:val="none"/>
        </w:rPr>
      </w:pPr>
    </w:p>
    <w:p w14:paraId="263D840E">
      <w:pPr>
        <w:tabs>
          <w:tab w:val="left" w:pos="4620"/>
        </w:tabs>
        <w:spacing w:line="360" w:lineRule="auto"/>
        <w:jc w:val="left"/>
        <w:rPr>
          <w:rFonts w:hint="eastAsia" w:asciiTheme="minorEastAsia" w:hAnsiTheme="minorEastAsia" w:eastAsiaTheme="minorEastAsia"/>
          <w:b/>
          <w:szCs w:val="24"/>
          <w:highlight w:val="none"/>
        </w:rPr>
      </w:pPr>
      <w:r>
        <w:rPr>
          <w:rFonts w:hint="eastAsia" w:asciiTheme="minorEastAsia" w:hAnsiTheme="minorEastAsia" w:eastAsiaTheme="minorEastAsia"/>
          <w:b/>
          <w:szCs w:val="24"/>
          <w:highlight w:val="none"/>
        </w:rPr>
        <w:t>注：</w:t>
      </w:r>
    </w:p>
    <w:p w14:paraId="38031744">
      <w:pPr>
        <w:tabs>
          <w:tab w:val="left" w:pos="4620"/>
        </w:tabs>
        <w:spacing w:line="360" w:lineRule="auto"/>
        <w:jc w:val="left"/>
        <w:rPr>
          <w:rFonts w:hint="eastAsia" w:asciiTheme="minorEastAsia" w:hAnsiTheme="minorEastAsia" w:eastAsiaTheme="minorEastAsia"/>
          <w:szCs w:val="24"/>
          <w:highlight w:val="none"/>
        </w:rPr>
      </w:pPr>
      <w:r>
        <w:rPr>
          <w:rFonts w:asciiTheme="minorEastAsia" w:hAnsiTheme="minorEastAsia" w:eastAsiaTheme="minorEastAsia"/>
          <w:szCs w:val="24"/>
          <w:highlight w:val="none"/>
        </w:rPr>
        <w:t>1.从业人员、营业收入、资产总额填报上一年数据，无上一年数据的新成立企业可不填报。</w:t>
      </w:r>
    </w:p>
    <w:p w14:paraId="00109325">
      <w:pPr>
        <w:tabs>
          <w:tab w:val="left" w:pos="4620"/>
        </w:tabs>
        <w:spacing w:line="360" w:lineRule="auto"/>
        <w:jc w:val="left"/>
        <w:rPr>
          <w:rFonts w:hint="eastAsia" w:ascii="宋体" w:hAnsi="宋体" w:eastAsia="宋体" w:cs="宋体"/>
          <w:b/>
          <w:bCs/>
          <w:szCs w:val="21"/>
          <w:highlight w:val="none"/>
        </w:rPr>
      </w:pPr>
      <w:r>
        <w:rPr>
          <w:rFonts w:hint="eastAsia" w:ascii="宋体" w:hAnsi="宋体" w:eastAsia="宋体" w:cs="宋体"/>
          <w:b/>
          <w:bCs/>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hint="eastAsia"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”，详见第三章采购需求中明确的“货物名称”。</w:t>
      </w:r>
    </w:p>
    <w:p w14:paraId="58B10A9D">
      <w:pPr>
        <w:tabs>
          <w:tab w:val="left" w:pos="4620"/>
        </w:tabs>
        <w:spacing w:line="360" w:lineRule="auto"/>
        <w:jc w:val="left"/>
        <w:rPr>
          <w:rFonts w:hint="eastAsia"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rPr>
        <w:t>采购文件中明确的所属行业</w:t>
      </w:r>
      <w:r>
        <w:rPr>
          <w:rFonts w:hint="eastAsia" w:ascii="宋体" w:hAnsi="宋体" w:eastAsia="宋体" w:cs="宋体"/>
          <w:b/>
          <w:bCs/>
          <w:szCs w:val="21"/>
          <w:highlight w:val="none"/>
        </w:rPr>
        <w:t>”，详见第三章采购需求中明确的“所属行业”。</w:t>
      </w:r>
    </w:p>
    <w:p w14:paraId="7798627F">
      <w:pPr>
        <w:tabs>
          <w:tab w:val="left" w:pos="4620"/>
        </w:tabs>
        <w:spacing w:line="360" w:lineRule="auto"/>
        <w:jc w:val="left"/>
        <w:rPr>
          <w:rFonts w:hint="eastAsia"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lang w:val="zh-CN"/>
        </w:rPr>
        <w:t>某设备</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rPr>
        <w:t>（填写第三章采购需求中对应货物的“所属行业”，如工业）</w:t>
      </w:r>
      <w:r>
        <w:rPr>
          <w:rFonts w:hint="eastAsia" w:ascii="宋体" w:hAnsi="宋体" w:eastAsia="宋体" w:cs="宋体"/>
          <w:b/>
          <w:bCs/>
          <w:szCs w:val="21"/>
          <w:highlight w:val="none"/>
          <w:lang w:val="zh-CN"/>
        </w:rPr>
        <w:t>行业</w:t>
      </w:r>
      <w:r>
        <w:rPr>
          <w:rFonts w:hint="eastAsia" w:ascii="宋体" w:hAnsi="宋体" w:eastAsia="宋体" w:cs="宋体"/>
          <w:b/>
          <w:bCs/>
          <w:szCs w:val="21"/>
          <w:highlight w:val="none"/>
        </w:rPr>
        <w:t>；制造</w:t>
      </w:r>
      <w:r>
        <w:rPr>
          <w:rFonts w:hint="eastAsia" w:ascii="宋体" w:hAnsi="宋体" w:eastAsia="宋体" w:cs="宋体"/>
          <w:b/>
          <w:bCs/>
          <w:szCs w:val="21"/>
          <w:highlight w:val="none"/>
          <w:lang w:val="zh-CN"/>
        </w:rPr>
        <w:t>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lang w:val="zh-CN"/>
        </w:rPr>
        <w:t>小型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[投标人自行登录工业和信息化部官网进行中小企业规模类型自测（查询网址https://www.miit.gov.cn/）]</w:t>
      </w:r>
      <w:r>
        <w:rPr>
          <w:rFonts w:hint="eastAsia" w:ascii="宋体" w:hAnsi="宋体" w:eastAsia="宋体" w:cs="宋体"/>
          <w:b/>
          <w:bCs/>
          <w:szCs w:val="21"/>
          <w:highlight w:val="none"/>
          <w:lang w:val="zh-CN"/>
        </w:rPr>
        <w:t>。</w:t>
      </w:r>
    </w:p>
    <w:p w14:paraId="430C678E">
      <w:pPr>
        <w:rPr>
          <w:rFonts w:hint="eastAsia" w:asciiTheme="minorEastAsia" w:hAnsiTheme="minorEastAsia" w:eastAsiaTheme="minorEastAsia"/>
          <w:b/>
          <w:bCs/>
          <w:szCs w:val="24"/>
          <w:highlight w:val="none"/>
        </w:rPr>
      </w:pPr>
      <w:r>
        <w:rPr>
          <w:rFonts w:hint="eastAsia" w:asciiTheme="minorEastAsia" w:hAnsiTheme="minorEastAsia" w:eastAsiaTheme="minorEastAsia"/>
          <w:b/>
          <w:bCs/>
          <w:szCs w:val="24"/>
          <w:highlight w:val="none"/>
        </w:rPr>
        <w:br w:type="page"/>
      </w:r>
      <w:bookmarkEnd w:id="79"/>
      <w:bookmarkEnd w:id="80"/>
    </w:p>
    <w:p w14:paraId="052CBD7E">
      <w:pPr>
        <w:spacing w:line="360" w:lineRule="auto"/>
        <w:jc w:val="center"/>
        <w:outlineLvl w:val="1"/>
        <w:rPr>
          <w:rFonts w:hint="eastAsia" w:asciiTheme="minorEastAsia" w:hAnsiTheme="minorEastAsia" w:eastAsiaTheme="minorEastAsia"/>
          <w:b/>
          <w:sz w:val="24"/>
          <w:highlight w:val="none"/>
        </w:rPr>
      </w:pPr>
      <w:bookmarkStart w:id="81" w:name="_Toc16713"/>
      <w:bookmarkStart w:id="82" w:name="_Toc24563"/>
      <w:r>
        <w:rPr>
          <w:rFonts w:hint="eastAsia" w:asciiTheme="minorEastAsia" w:hAnsiTheme="minorEastAsia" w:eastAsiaTheme="minorEastAsia"/>
          <w:b/>
          <w:sz w:val="24"/>
          <w:highlight w:val="none"/>
        </w:rPr>
        <w:t>八、残疾人福利性单位声明函</w:t>
      </w:r>
      <w:bookmarkEnd w:id="81"/>
      <w:bookmarkEnd w:id="82"/>
    </w:p>
    <w:p w14:paraId="1BDECF44">
      <w:pPr>
        <w:pStyle w:val="2"/>
        <w:spacing w:line="360" w:lineRule="auto"/>
        <w:jc w:val="center"/>
        <w:rPr>
          <w:rFonts w:hint="eastAsia" w:ascii="宋体" w:hAnsi="宋体" w:eastAsia="宋体"/>
          <w:i/>
          <w:sz w:val="24"/>
          <w:highlight w:val="none"/>
          <w:lang w:val="en-US"/>
        </w:rPr>
      </w:pPr>
      <w:r>
        <w:rPr>
          <w:rFonts w:hint="eastAsia" w:ascii="宋体" w:hAnsi="宋体" w:eastAsia="宋体"/>
          <w:i/>
          <w:sz w:val="24"/>
          <w:highlight w:val="none"/>
          <w:lang w:val="en-US"/>
        </w:rPr>
        <w:t>（非残疾人福利性单位投标，请删去“残疾人福利性单位声明函”）</w:t>
      </w:r>
    </w:p>
    <w:p w14:paraId="78AE8357">
      <w:pPr>
        <w:spacing w:line="360" w:lineRule="auto"/>
        <w:ind w:firstLine="435"/>
        <w:rPr>
          <w:rFonts w:hint="eastAsia"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w:t>
      </w:r>
      <w:r>
        <w:rPr>
          <w:rFonts w:hint="eastAsia" w:asciiTheme="minorEastAsia" w:hAnsiTheme="minorEastAsia" w:eastAsiaTheme="minorEastAsia"/>
          <w:sz w:val="24"/>
          <w:highlight w:val="none"/>
        </w:rPr>
        <w:t>郑重</w:t>
      </w:r>
      <w:r>
        <w:rPr>
          <w:rFonts w:hint="eastAsia" w:asciiTheme="minorEastAsia" w:hAnsiTheme="minorEastAsia" w:eastAsiaTheme="minorEastAsia"/>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sz w:val="24"/>
          <w:szCs w:val="24"/>
          <w:highlight w:val="none"/>
        </w:rPr>
        <w:t>〔2017〕141</w:t>
      </w:r>
      <w:r>
        <w:rPr>
          <w:rFonts w:hint="eastAsia" w:asciiTheme="minorEastAsia" w:hAnsiTheme="minorEastAsia" w:eastAsiaTheme="minorEastAsia"/>
          <w:spacing w:val="6"/>
          <w:sz w:val="24"/>
          <w:szCs w:val="24"/>
          <w:highlight w:val="none"/>
        </w:rPr>
        <w:t>号）的规定，本单位为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4BFFEB57">
      <w:pPr>
        <w:spacing w:line="360" w:lineRule="auto"/>
        <w:ind w:firstLine="435"/>
        <w:rPr>
          <w:rFonts w:hint="eastAsia"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本单位对上述声明的真实性负责。如有虚假，将依法承担相应责任。</w:t>
      </w:r>
    </w:p>
    <w:p w14:paraId="16DF1435">
      <w:pPr>
        <w:spacing w:line="360" w:lineRule="auto"/>
        <w:ind w:firstLine="4228" w:firstLineChars="1762"/>
        <w:rPr>
          <w:rFonts w:hint="eastAsia" w:asciiTheme="minorEastAsia" w:hAnsiTheme="minorEastAsia" w:eastAsiaTheme="minorEastAsia"/>
          <w:sz w:val="24"/>
          <w:szCs w:val="24"/>
          <w:highlight w:val="none"/>
        </w:rPr>
      </w:pPr>
    </w:p>
    <w:p w14:paraId="6F563A8F">
      <w:pPr>
        <w:spacing w:line="360" w:lineRule="auto"/>
        <w:ind w:firstLine="4228" w:firstLineChars="1762"/>
        <w:rPr>
          <w:rFonts w:hint="eastAsia" w:asciiTheme="minorEastAsia" w:hAnsiTheme="minorEastAsia" w:eastAsiaTheme="minorEastAsia"/>
          <w:sz w:val="24"/>
          <w:szCs w:val="24"/>
          <w:highlight w:val="none"/>
        </w:rPr>
      </w:pPr>
    </w:p>
    <w:p w14:paraId="67EC27EE">
      <w:pPr>
        <w:spacing w:line="360" w:lineRule="auto"/>
        <w:ind w:firstLine="4228" w:firstLineChars="1762"/>
        <w:rPr>
          <w:rFonts w:hint="eastAsia"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投标人</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548ACF92">
      <w:pPr>
        <w:tabs>
          <w:tab w:val="left" w:pos="4620"/>
        </w:tabs>
        <w:spacing w:line="360" w:lineRule="auto"/>
        <w:ind w:firstLine="4252" w:firstLineChars="1772"/>
        <w:rPr>
          <w:rFonts w:hint="eastAsia"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p w14:paraId="22933CBC">
      <w:pPr>
        <w:widowControl/>
        <w:jc w:val="left"/>
        <w:rPr>
          <w:rFonts w:hint="eastAsia"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01FA9ECF">
      <w:pPr>
        <w:spacing w:line="360" w:lineRule="auto"/>
        <w:jc w:val="center"/>
        <w:outlineLvl w:val="1"/>
        <w:rPr>
          <w:rFonts w:hint="eastAsia" w:ascii="宋体" w:hAnsi="宋体" w:eastAsia="宋体"/>
          <w:b/>
          <w:sz w:val="24"/>
          <w:highlight w:val="none"/>
        </w:rPr>
      </w:pPr>
      <w:bookmarkStart w:id="83" w:name="_Toc457768004"/>
      <w:bookmarkStart w:id="84" w:name="_Toc300210382"/>
      <w:bookmarkStart w:id="85" w:name="_Toc520299348"/>
      <w:bookmarkStart w:id="86" w:name="_Toc25813"/>
      <w:bookmarkStart w:id="87" w:name="_Toc26536"/>
      <w:bookmarkStart w:id="88" w:name="_Hlk11701496"/>
      <w:r>
        <w:rPr>
          <w:rFonts w:hint="eastAsia" w:asciiTheme="minorEastAsia" w:hAnsiTheme="minorEastAsia" w:eastAsiaTheme="minorEastAsia"/>
          <w:b/>
          <w:sz w:val="24"/>
          <w:highlight w:val="none"/>
        </w:rPr>
        <w:t>九、</w:t>
      </w:r>
      <w:r>
        <w:rPr>
          <w:rFonts w:hint="eastAsia" w:ascii="宋体" w:hAnsi="宋体" w:eastAsia="宋体"/>
          <w:b/>
          <w:sz w:val="24"/>
          <w:highlight w:val="none"/>
        </w:rPr>
        <w:t>关于符合本国产品标准的声明函</w:t>
      </w:r>
    </w:p>
    <w:p w14:paraId="6FA5E4E8">
      <w:pPr>
        <w:pStyle w:val="32"/>
        <w:widowControl w:val="0"/>
        <w:spacing w:before="0" w:beforeAutospacing="0" w:after="0" w:afterAutospacing="0" w:line="360" w:lineRule="auto"/>
        <w:rPr>
          <w:rFonts w:hint="eastAsia" w:ascii="宋体" w:hAnsi="宋体" w:eastAsia="宋体" w:cs="宋体"/>
          <w:bCs w:val="0"/>
          <w:sz w:val="32"/>
          <w:szCs w:val="32"/>
          <w:highlight w:val="none"/>
          <w:shd w:val="clear" w:color="auto" w:fill="FFFFFF"/>
        </w:rPr>
      </w:pPr>
      <w:r>
        <w:rPr>
          <w:rFonts w:hint="eastAsia" w:ascii="宋体" w:hAnsi="宋体" w:eastAsia="宋体"/>
          <w:bCs w:val="0"/>
          <w:i/>
          <w:sz w:val="32"/>
          <w:szCs w:val="36"/>
          <w:highlight w:val="none"/>
        </w:rPr>
        <w:t>（未提供的，不享受符合本国产品报价扣除）</w:t>
      </w:r>
    </w:p>
    <w:p w14:paraId="4F4970E2">
      <w:pPr>
        <w:pStyle w:val="19"/>
        <w:widowControl/>
        <w:spacing w:before="0" w:beforeAutospacing="0" w:after="0" w:afterAutospacing="0" w:line="360" w:lineRule="auto"/>
        <w:ind w:firstLine="420"/>
        <w:textAlignment w:val="baseline"/>
        <w:rPr>
          <w:rFonts w:hint="eastAsia" w:ascii="宋体" w:hAnsi="宋体" w:eastAsia="宋体" w:cs="宋体"/>
          <w:szCs w:val="24"/>
          <w:highlight w:val="none"/>
        </w:rPr>
      </w:pPr>
      <w:r>
        <w:rPr>
          <w:rFonts w:hint="eastAsia" w:ascii="宋体" w:hAnsi="宋体" w:eastAsia="宋体" w:cs="宋体"/>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8C98507">
      <w:pPr>
        <w:pStyle w:val="19"/>
        <w:widowControl/>
        <w:spacing w:before="0" w:beforeAutospacing="0" w:after="0" w:afterAutospacing="0" w:line="360" w:lineRule="auto"/>
        <w:ind w:firstLine="420"/>
        <w:textAlignment w:val="baseline"/>
        <w:rPr>
          <w:rFonts w:hint="eastAsia" w:ascii="宋体" w:hAnsi="宋体" w:eastAsia="宋体" w:cs="宋体"/>
          <w:szCs w:val="24"/>
          <w:highlight w:val="none"/>
        </w:rPr>
      </w:pPr>
      <w:r>
        <w:rPr>
          <w:rFonts w:hint="eastAsia" w:ascii="宋体" w:hAnsi="宋体" w:eastAsia="宋体" w:cs="宋体"/>
          <w:szCs w:val="24"/>
          <w:highlight w:val="none"/>
          <w:shd w:val="clear" w:color="auto" w:fill="FFFFFF"/>
        </w:rPr>
        <w:t>1.</w:t>
      </w:r>
      <w:r>
        <w:rPr>
          <w:rStyle w:val="27"/>
          <w:rFonts w:hint="eastAsia" w:ascii="宋体" w:hAnsi="宋体" w:eastAsia="宋体" w:cs="宋体"/>
          <w:i w:val="0"/>
          <w:szCs w:val="24"/>
          <w:highlight w:val="none"/>
          <w:u w:val="single"/>
          <w:shd w:val="clear" w:color="auto" w:fill="FFFFFF"/>
        </w:rPr>
        <w:t>（产品名称1）</w:t>
      </w:r>
      <w:r>
        <w:rPr>
          <w:rStyle w:val="27"/>
          <w:rFonts w:hint="eastAsia" w:ascii="宋体" w:hAnsi="宋体" w:eastAsia="宋体" w:cs="宋体"/>
          <w:i w:val="0"/>
          <w:szCs w:val="24"/>
          <w:highlight w:val="none"/>
          <w:shd w:val="clear" w:color="auto" w:fill="FFFFFF"/>
          <w:vertAlign w:val="superscript"/>
        </w:rPr>
        <w:t>1</w:t>
      </w:r>
      <w:r>
        <w:rPr>
          <w:rFonts w:hint="eastAsia" w:ascii="宋体" w:hAnsi="宋体" w:eastAsia="宋体" w:cs="宋体"/>
          <w:szCs w:val="24"/>
          <w:highlight w:val="none"/>
          <w:shd w:val="clear" w:color="auto" w:fill="FFFFFF"/>
        </w:rPr>
        <w:t>，生产厂为</w:t>
      </w:r>
      <w:r>
        <w:rPr>
          <w:rStyle w:val="27"/>
          <w:rFonts w:hint="eastAsia" w:ascii="宋体" w:hAnsi="宋体" w:eastAsia="宋体" w:cs="宋体"/>
          <w:i w:val="0"/>
          <w:szCs w:val="24"/>
          <w:highlight w:val="none"/>
          <w:u w:val="single"/>
          <w:shd w:val="clear" w:color="auto" w:fill="FFFFFF"/>
        </w:rPr>
        <w:t>（厂名）</w:t>
      </w:r>
      <w:r>
        <w:rPr>
          <w:rStyle w:val="27"/>
          <w:rFonts w:hint="eastAsia" w:ascii="宋体" w:hAnsi="宋体" w:eastAsia="宋体" w:cs="宋体"/>
          <w:i w:val="0"/>
          <w:szCs w:val="24"/>
          <w:highlight w:val="none"/>
          <w:shd w:val="clear" w:color="auto" w:fill="FFFFFF"/>
          <w:vertAlign w:val="superscript"/>
        </w:rPr>
        <w:t>2</w:t>
      </w:r>
      <w:r>
        <w:rPr>
          <w:rFonts w:hint="eastAsia" w:ascii="宋体" w:hAnsi="宋体" w:eastAsia="宋体" w:cs="宋体"/>
          <w:szCs w:val="24"/>
          <w:highlight w:val="none"/>
          <w:shd w:val="clear" w:color="auto" w:fill="FFFFFF"/>
        </w:rPr>
        <w:t>，厂址为</w:t>
      </w:r>
      <w:r>
        <w:rPr>
          <w:rStyle w:val="27"/>
          <w:rFonts w:hint="eastAsia" w:ascii="宋体" w:hAnsi="宋体" w:eastAsia="宋体" w:cs="宋体"/>
          <w:i w:val="0"/>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78D67292">
      <w:pPr>
        <w:pStyle w:val="19"/>
        <w:widowControl/>
        <w:spacing w:before="0" w:beforeAutospacing="0" w:after="0" w:afterAutospacing="0" w:line="360" w:lineRule="auto"/>
        <w:ind w:firstLine="420"/>
        <w:textAlignment w:val="baseline"/>
        <w:rPr>
          <w:rFonts w:hint="eastAsia" w:ascii="宋体" w:hAnsi="宋体" w:eastAsia="宋体" w:cs="宋体"/>
          <w:szCs w:val="24"/>
          <w:highlight w:val="none"/>
        </w:rPr>
      </w:pPr>
      <w:r>
        <w:rPr>
          <w:rFonts w:hint="eastAsia" w:ascii="宋体" w:hAnsi="宋体" w:eastAsia="宋体" w:cs="宋体"/>
          <w:szCs w:val="24"/>
          <w:highlight w:val="none"/>
          <w:shd w:val="clear" w:color="auto" w:fill="FFFFFF"/>
        </w:rPr>
        <w:t>2.</w:t>
      </w:r>
      <w:r>
        <w:rPr>
          <w:rStyle w:val="27"/>
          <w:rFonts w:hint="eastAsia" w:ascii="宋体" w:hAnsi="宋体" w:eastAsia="宋体" w:cs="宋体"/>
          <w:i w:val="0"/>
          <w:szCs w:val="24"/>
          <w:highlight w:val="none"/>
          <w:u w:val="single"/>
          <w:shd w:val="clear" w:color="auto" w:fill="FFFFFF"/>
        </w:rPr>
        <w:t>（产品名称2）</w:t>
      </w:r>
      <w:r>
        <w:rPr>
          <w:rFonts w:hint="eastAsia" w:ascii="宋体" w:hAnsi="宋体" w:eastAsia="宋体" w:cs="宋体"/>
          <w:szCs w:val="24"/>
          <w:highlight w:val="none"/>
          <w:shd w:val="clear" w:color="auto" w:fill="FFFFFF"/>
        </w:rPr>
        <w:t>，生产厂为</w:t>
      </w:r>
      <w:r>
        <w:rPr>
          <w:rStyle w:val="27"/>
          <w:rFonts w:hint="eastAsia" w:ascii="宋体" w:hAnsi="宋体" w:eastAsia="宋体" w:cs="宋体"/>
          <w:i w:val="0"/>
          <w:szCs w:val="24"/>
          <w:highlight w:val="none"/>
          <w:u w:val="single"/>
          <w:shd w:val="clear" w:color="auto" w:fill="FFFFFF"/>
        </w:rPr>
        <w:t>（厂名）</w:t>
      </w:r>
      <w:r>
        <w:rPr>
          <w:rFonts w:hint="eastAsia" w:ascii="宋体" w:hAnsi="宋体" w:eastAsia="宋体" w:cs="宋体"/>
          <w:szCs w:val="24"/>
          <w:highlight w:val="none"/>
          <w:shd w:val="clear" w:color="auto" w:fill="FFFFFF"/>
        </w:rPr>
        <w:t>，厂址为</w:t>
      </w:r>
      <w:r>
        <w:rPr>
          <w:rStyle w:val="27"/>
          <w:rFonts w:hint="eastAsia" w:ascii="宋体" w:hAnsi="宋体" w:eastAsia="宋体" w:cs="宋体"/>
          <w:i w:val="0"/>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27"/>
          <w:rFonts w:hint="eastAsia" w:ascii="宋体" w:hAnsi="宋体" w:eastAsia="宋体" w:cs="宋体"/>
          <w:i w:val="0"/>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73D17525">
      <w:pPr>
        <w:pStyle w:val="19"/>
        <w:widowControl/>
        <w:spacing w:before="0" w:beforeAutospacing="0" w:after="0" w:afterAutospacing="0" w:line="360" w:lineRule="auto"/>
        <w:ind w:firstLine="420"/>
        <w:textAlignment w:val="baseline"/>
        <w:rPr>
          <w:rFonts w:hint="eastAsia" w:ascii="宋体" w:hAnsi="宋体" w:eastAsia="宋体" w:cs="宋体"/>
          <w:szCs w:val="24"/>
          <w:highlight w:val="none"/>
        </w:rPr>
      </w:pPr>
      <w:r>
        <w:rPr>
          <w:rFonts w:hint="eastAsia" w:ascii="宋体" w:hAnsi="宋体" w:eastAsia="宋体" w:cs="宋体"/>
          <w:szCs w:val="24"/>
          <w:highlight w:val="none"/>
          <w:shd w:val="clear" w:color="auto" w:fill="FFFFFF"/>
        </w:rPr>
        <w:t>……</w:t>
      </w:r>
    </w:p>
    <w:p w14:paraId="30910972">
      <w:pPr>
        <w:pStyle w:val="19"/>
        <w:widowControl/>
        <w:spacing w:before="0" w:beforeAutospacing="0" w:after="0" w:afterAutospacing="0" w:line="360" w:lineRule="auto"/>
        <w:ind w:firstLine="420"/>
        <w:textAlignment w:val="baseline"/>
        <w:rPr>
          <w:rFonts w:hint="eastAsia" w:ascii="宋体" w:hAnsi="宋体" w:eastAsia="宋体" w:cs="宋体"/>
          <w:szCs w:val="24"/>
          <w:highlight w:val="none"/>
        </w:rPr>
      </w:pPr>
      <w:r>
        <w:rPr>
          <w:rFonts w:hint="eastAsia" w:ascii="宋体" w:hAnsi="宋体" w:eastAsia="宋体" w:cs="宋体"/>
          <w:szCs w:val="24"/>
          <w:highlight w:val="none"/>
          <w:shd w:val="clear" w:color="auto" w:fill="FFFFFF"/>
        </w:rPr>
        <w:t>本公司（单位）对上述声明内容的真实性负责。如有虚假，愿承担相应法律责任。</w:t>
      </w:r>
    </w:p>
    <w:p w14:paraId="16ED9C98">
      <w:pPr>
        <w:spacing w:line="360" w:lineRule="auto"/>
        <w:ind w:firstLine="4228" w:firstLineChars="1762"/>
        <w:rPr>
          <w:rFonts w:hint="eastAsia" w:ascii="宋体" w:hAnsi="宋体" w:eastAsia="宋体"/>
          <w:sz w:val="24"/>
          <w:szCs w:val="24"/>
          <w:highlight w:val="none"/>
          <w:u w:val="single"/>
        </w:rPr>
      </w:pPr>
      <w:r>
        <w:rPr>
          <w:rFonts w:hint="eastAsia" w:ascii="宋体" w:hAnsi="宋体" w:eastAsia="宋体"/>
          <w:sz w:val="24"/>
          <w:szCs w:val="24"/>
          <w:highlight w:val="none"/>
        </w:rPr>
        <w:t>投标人</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2BB3B160">
      <w:pPr>
        <w:tabs>
          <w:tab w:val="left" w:pos="4620"/>
        </w:tabs>
        <w:spacing w:line="360" w:lineRule="auto"/>
        <w:ind w:firstLine="4252" w:firstLineChars="1772"/>
        <w:rPr>
          <w:rFonts w:hint="eastAsia" w:ascii="宋体" w:hAnsi="宋体" w:eastAsia="宋体" w:cs="宋体"/>
          <w:sz w:val="24"/>
          <w:szCs w:val="24"/>
          <w:highlight w:val="none"/>
          <w:shd w:val="clear" w:color="auto" w:fill="FFFFFF"/>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7911893F">
      <w:pPr>
        <w:tabs>
          <w:tab w:val="left" w:pos="4620"/>
        </w:tabs>
        <w:spacing w:line="360" w:lineRule="auto"/>
        <w:jc w:val="left"/>
        <w:rPr>
          <w:rFonts w:hint="eastAsia" w:ascii="宋体" w:hAnsi="宋体" w:eastAsia="宋体"/>
          <w:bCs/>
          <w:szCs w:val="24"/>
          <w:highlight w:val="none"/>
        </w:rPr>
      </w:pPr>
      <w:r>
        <w:rPr>
          <w:rFonts w:hint="eastAsia" w:ascii="宋体" w:hAnsi="宋体" w:eastAsia="宋体" w:cs="Times New Roman"/>
          <w:b/>
          <w:szCs w:val="24"/>
          <w:highlight w:val="none"/>
        </w:rPr>
        <w:t>注：</w:t>
      </w:r>
    </w:p>
    <w:p w14:paraId="5587E5C8">
      <w:pPr>
        <w:tabs>
          <w:tab w:val="left" w:pos="4620"/>
        </w:tabs>
        <w:spacing w:line="360" w:lineRule="auto"/>
        <w:jc w:val="left"/>
        <w:rPr>
          <w:rFonts w:hint="eastAsia" w:ascii="宋体" w:hAnsi="宋体" w:eastAsia="宋体"/>
          <w:bCs/>
          <w:szCs w:val="21"/>
          <w:highlight w:val="none"/>
        </w:rPr>
      </w:pPr>
      <w:r>
        <w:rPr>
          <w:rFonts w:hint="eastAsia" w:ascii="宋体" w:hAnsi="宋体" w:eastAsia="宋体"/>
          <w:bCs/>
          <w:szCs w:val="21"/>
          <w:highlight w:val="none"/>
        </w:rPr>
        <w:t>1.产品如有型号，请在“产品名称”栏一并填写。</w:t>
      </w:r>
    </w:p>
    <w:p w14:paraId="3A737B37">
      <w:pPr>
        <w:tabs>
          <w:tab w:val="left" w:pos="4620"/>
        </w:tabs>
        <w:spacing w:line="360" w:lineRule="auto"/>
        <w:jc w:val="left"/>
        <w:rPr>
          <w:rFonts w:hint="eastAsia" w:ascii="宋体" w:hAnsi="宋体" w:eastAsia="宋体"/>
          <w:bCs/>
          <w:szCs w:val="21"/>
          <w:highlight w:val="none"/>
        </w:rPr>
      </w:pPr>
      <w:r>
        <w:rPr>
          <w:rFonts w:hint="eastAsia" w:ascii="宋体" w:hAnsi="宋体" w:eastAsia="宋体"/>
          <w:bCs/>
          <w:szCs w:val="21"/>
          <w:highlight w:val="none"/>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3.上述声明函中标注</w:t>
      </w:r>
      <w:r>
        <w:rPr>
          <w:rFonts w:hint="eastAsia" w:ascii="宋体" w:hAnsi="宋体" w:eastAsia="宋体" w:cs="Times New Roman"/>
          <w:bCs/>
          <w:szCs w:val="21"/>
          <w:highlight w:val="none"/>
          <w:u w:val="single"/>
        </w:rPr>
        <w:t xml:space="preserve">  /  </w:t>
      </w:r>
      <w:r>
        <w:rPr>
          <w:rFonts w:hint="eastAsia" w:ascii="宋体" w:hAnsi="宋体" w:eastAsia="宋体" w:cs="Times New Roman"/>
          <w:bCs/>
          <w:szCs w:val="21"/>
          <w:highlight w:val="none"/>
        </w:rPr>
        <w:t>的，无需填写。</w:t>
      </w:r>
    </w:p>
    <w:p w14:paraId="228CB750">
      <w:pPr>
        <w:tabs>
          <w:tab w:val="left" w:pos="4620"/>
        </w:tabs>
        <w:spacing w:line="360" w:lineRule="auto"/>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Cs/>
          <w:szCs w:val="21"/>
          <w:highlight w:val="none"/>
        </w:rPr>
      </w:pPr>
      <w:r>
        <w:rPr>
          <w:rFonts w:hint="eastAsia" w:ascii="宋体" w:hAnsi="宋体" w:eastAsia="宋体" w:cs="Times New Roman"/>
          <w:bCs/>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3D073C">
      <w:pPr>
        <w:tabs>
          <w:tab w:val="left" w:pos="4620"/>
        </w:tabs>
        <w:spacing w:line="360" w:lineRule="auto"/>
        <w:jc w:val="left"/>
        <w:rPr>
          <w:rFonts w:hint="eastAsia" w:asciiTheme="minorEastAsia" w:hAnsiTheme="minorEastAsia" w:eastAsiaTheme="minorEastAsia"/>
          <w:b/>
          <w:sz w:val="24"/>
          <w:highlight w:val="none"/>
        </w:rPr>
      </w:pPr>
    </w:p>
    <w:p w14:paraId="61A1CAE0">
      <w:pPr>
        <w:pStyle w:val="22"/>
        <w:ind w:firstLine="241"/>
        <w:rPr>
          <w:rFonts w:hint="eastAsia" w:asciiTheme="minorEastAsia" w:hAnsiTheme="minorEastAsia" w:eastAsiaTheme="minorEastAsia"/>
          <w:b/>
          <w:sz w:val="24"/>
          <w:highlight w:val="none"/>
          <w:lang w:val="en-US"/>
        </w:rPr>
      </w:pPr>
    </w:p>
    <w:p w14:paraId="0963565C">
      <w:pPr>
        <w:pStyle w:val="22"/>
        <w:ind w:firstLine="241"/>
        <w:rPr>
          <w:rFonts w:hint="eastAsia" w:asciiTheme="minorEastAsia" w:hAnsiTheme="minorEastAsia" w:eastAsiaTheme="minorEastAsia"/>
          <w:b/>
          <w:sz w:val="24"/>
          <w:highlight w:val="none"/>
          <w:lang w:val="en-US"/>
        </w:rPr>
      </w:pPr>
    </w:p>
    <w:p w14:paraId="20C6E2B1">
      <w:pPr>
        <w:pStyle w:val="22"/>
        <w:ind w:firstLine="241"/>
        <w:rPr>
          <w:rFonts w:hint="eastAsia" w:asciiTheme="minorEastAsia" w:hAnsiTheme="minorEastAsia" w:eastAsiaTheme="minorEastAsia"/>
          <w:b/>
          <w:sz w:val="24"/>
          <w:highlight w:val="none"/>
          <w:lang w:val="en-US"/>
        </w:rPr>
      </w:pPr>
    </w:p>
    <w:p w14:paraId="29B44CE6">
      <w:pPr>
        <w:pStyle w:val="22"/>
        <w:ind w:firstLine="241"/>
        <w:rPr>
          <w:rFonts w:hint="eastAsia" w:asciiTheme="minorEastAsia" w:hAnsiTheme="minorEastAsia" w:eastAsiaTheme="minorEastAsia"/>
          <w:b/>
          <w:sz w:val="24"/>
          <w:highlight w:val="none"/>
          <w:lang w:val="en-US"/>
        </w:rPr>
      </w:pPr>
    </w:p>
    <w:p w14:paraId="174D6E6B">
      <w:pPr>
        <w:pStyle w:val="22"/>
        <w:ind w:firstLine="241"/>
        <w:rPr>
          <w:rFonts w:hint="eastAsia" w:asciiTheme="minorEastAsia" w:hAnsiTheme="minorEastAsia" w:eastAsiaTheme="minorEastAsia"/>
          <w:b/>
          <w:sz w:val="24"/>
          <w:highlight w:val="none"/>
          <w:lang w:val="en-US"/>
        </w:rPr>
      </w:pPr>
    </w:p>
    <w:p w14:paraId="3821E0AF">
      <w:pPr>
        <w:pStyle w:val="22"/>
        <w:ind w:firstLine="241"/>
        <w:rPr>
          <w:rFonts w:hint="eastAsia" w:asciiTheme="minorEastAsia" w:hAnsiTheme="minorEastAsia" w:eastAsiaTheme="minorEastAsia"/>
          <w:b/>
          <w:sz w:val="24"/>
          <w:highlight w:val="none"/>
          <w:lang w:val="en-US"/>
        </w:rPr>
      </w:pPr>
    </w:p>
    <w:p w14:paraId="1370FDE0">
      <w:pPr>
        <w:pStyle w:val="22"/>
        <w:ind w:firstLine="241"/>
        <w:rPr>
          <w:rFonts w:hint="eastAsia" w:asciiTheme="minorEastAsia" w:hAnsiTheme="minorEastAsia" w:eastAsiaTheme="minorEastAsia"/>
          <w:b/>
          <w:sz w:val="24"/>
          <w:highlight w:val="none"/>
          <w:lang w:val="en-US"/>
        </w:rPr>
      </w:pPr>
    </w:p>
    <w:p w14:paraId="37F81BA9">
      <w:pPr>
        <w:pStyle w:val="22"/>
        <w:ind w:firstLine="241"/>
        <w:rPr>
          <w:rFonts w:hint="eastAsia" w:asciiTheme="minorEastAsia" w:hAnsiTheme="minorEastAsia" w:eastAsiaTheme="minorEastAsia"/>
          <w:b/>
          <w:sz w:val="24"/>
          <w:highlight w:val="none"/>
          <w:lang w:val="en-US"/>
        </w:rPr>
      </w:pPr>
    </w:p>
    <w:p w14:paraId="36D1C278">
      <w:pPr>
        <w:pStyle w:val="22"/>
        <w:ind w:firstLine="241"/>
        <w:rPr>
          <w:rFonts w:hint="eastAsia" w:asciiTheme="minorEastAsia" w:hAnsiTheme="minorEastAsia" w:eastAsiaTheme="minorEastAsia"/>
          <w:b/>
          <w:sz w:val="24"/>
          <w:highlight w:val="none"/>
          <w:lang w:val="en-US"/>
        </w:rPr>
      </w:pPr>
    </w:p>
    <w:p w14:paraId="45FB713E">
      <w:pPr>
        <w:pStyle w:val="22"/>
        <w:ind w:firstLine="241"/>
        <w:rPr>
          <w:rFonts w:hint="eastAsia" w:asciiTheme="minorEastAsia" w:hAnsiTheme="minorEastAsia" w:eastAsiaTheme="minorEastAsia"/>
          <w:b/>
          <w:sz w:val="24"/>
          <w:highlight w:val="none"/>
          <w:lang w:val="en-US"/>
        </w:rPr>
      </w:pPr>
    </w:p>
    <w:p w14:paraId="665E68CA">
      <w:pPr>
        <w:pStyle w:val="22"/>
        <w:ind w:firstLine="241"/>
        <w:rPr>
          <w:rFonts w:hint="eastAsia" w:asciiTheme="minorEastAsia" w:hAnsiTheme="minorEastAsia" w:eastAsiaTheme="minorEastAsia"/>
          <w:b/>
          <w:sz w:val="24"/>
          <w:highlight w:val="none"/>
          <w:lang w:val="en-US"/>
        </w:rPr>
      </w:pPr>
    </w:p>
    <w:p w14:paraId="08540571">
      <w:pPr>
        <w:pStyle w:val="22"/>
        <w:ind w:firstLine="241"/>
        <w:rPr>
          <w:rFonts w:hint="eastAsia" w:asciiTheme="minorEastAsia" w:hAnsiTheme="minorEastAsia" w:eastAsiaTheme="minorEastAsia"/>
          <w:b/>
          <w:sz w:val="24"/>
          <w:highlight w:val="none"/>
          <w:lang w:val="en-US"/>
        </w:rPr>
      </w:pPr>
    </w:p>
    <w:p w14:paraId="6E4C5855">
      <w:pPr>
        <w:pStyle w:val="22"/>
        <w:ind w:firstLine="241"/>
        <w:rPr>
          <w:rFonts w:hint="eastAsia" w:asciiTheme="minorEastAsia" w:hAnsiTheme="minorEastAsia" w:eastAsiaTheme="minorEastAsia"/>
          <w:b/>
          <w:sz w:val="24"/>
          <w:highlight w:val="none"/>
          <w:lang w:val="en-US"/>
        </w:rPr>
      </w:pPr>
    </w:p>
    <w:p w14:paraId="57651297">
      <w:pPr>
        <w:pStyle w:val="22"/>
        <w:ind w:firstLine="241"/>
        <w:rPr>
          <w:rFonts w:hint="eastAsia" w:asciiTheme="minorEastAsia" w:hAnsiTheme="minorEastAsia" w:eastAsiaTheme="minorEastAsia"/>
          <w:b/>
          <w:sz w:val="24"/>
          <w:highlight w:val="none"/>
          <w:lang w:val="en-US"/>
        </w:rPr>
      </w:pPr>
    </w:p>
    <w:p w14:paraId="38FAF765">
      <w:pPr>
        <w:pStyle w:val="22"/>
        <w:ind w:firstLine="241"/>
        <w:rPr>
          <w:rFonts w:hint="eastAsia" w:asciiTheme="minorEastAsia" w:hAnsiTheme="minorEastAsia" w:eastAsiaTheme="minorEastAsia"/>
          <w:b/>
          <w:sz w:val="24"/>
          <w:highlight w:val="none"/>
          <w:lang w:val="en-US"/>
        </w:rPr>
      </w:pPr>
    </w:p>
    <w:p w14:paraId="3815C9A4">
      <w:pPr>
        <w:pStyle w:val="22"/>
        <w:ind w:firstLine="241"/>
        <w:rPr>
          <w:rFonts w:hint="eastAsia" w:asciiTheme="minorEastAsia" w:hAnsiTheme="minorEastAsia" w:eastAsiaTheme="minorEastAsia"/>
          <w:b/>
          <w:sz w:val="24"/>
          <w:highlight w:val="none"/>
          <w:lang w:val="en-US"/>
        </w:rPr>
      </w:pPr>
    </w:p>
    <w:p w14:paraId="2B616EC4">
      <w:pPr>
        <w:pStyle w:val="22"/>
        <w:ind w:firstLine="241"/>
        <w:rPr>
          <w:rFonts w:hint="eastAsia" w:asciiTheme="minorEastAsia" w:hAnsiTheme="minorEastAsia" w:eastAsiaTheme="minorEastAsia"/>
          <w:b/>
          <w:sz w:val="24"/>
          <w:highlight w:val="none"/>
          <w:lang w:val="en-US"/>
        </w:rPr>
      </w:pPr>
    </w:p>
    <w:p w14:paraId="2558B7A4">
      <w:pPr>
        <w:pStyle w:val="22"/>
        <w:ind w:firstLine="241"/>
        <w:rPr>
          <w:rFonts w:hint="eastAsia" w:asciiTheme="minorEastAsia" w:hAnsiTheme="minorEastAsia" w:eastAsiaTheme="minorEastAsia"/>
          <w:b/>
          <w:sz w:val="24"/>
          <w:highlight w:val="none"/>
          <w:lang w:val="en-US"/>
        </w:rPr>
      </w:pPr>
    </w:p>
    <w:p w14:paraId="1DCD7B87">
      <w:pPr>
        <w:pStyle w:val="22"/>
        <w:ind w:firstLine="241"/>
        <w:rPr>
          <w:rFonts w:hint="eastAsia" w:asciiTheme="minorEastAsia" w:hAnsiTheme="minorEastAsia" w:eastAsiaTheme="minorEastAsia"/>
          <w:b/>
          <w:sz w:val="24"/>
          <w:highlight w:val="none"/>
          <w:lang w:val="en-US"/>
        </w:rPr>
      </w:pPr>
    </w:p>
    <w:p w14:paraId="7ADD9048">
      <w:pPr>
        <w:pStyle w:val="22"/>
        <w:ind w:firstLine="241"/>
        <w:rPr>
          <w:rFonts w:hint="eastAsia" w:asciiTheme="minorEastAsia" w:hAnsiTheme="minorEastAsia" w:eastAsiaTheme="minorEastAsia"/>
          <w:b/>
          <w:sz w:val="24"/>
          <w:highlight w:val="none"/>
          <w:lang w:val="en-US"/>
        </w:rPr>
      </w:pPr>
    </w:p>
    <w:p w14:paraId="74321B09">
      <w:pPr>
        <w:pStyle w:val="22"/>
        <w:ind w:firstLine="241"/>
        <w:rPr>
          <w:rFonts w:hint="eastAsia" w:asciiTheme="minorEastAsia" w:hAnsiTheme="minorEastAsia" w:eastAsiaTheme="minorEastAsia"/>
          <w:b/>
          <w:sz w:val="24"/>
          <w:highlight w:val="none"/>
          <w:lang w:val="en-US"/>
        </w:rPr>
      </w:pPr>
    </w:p>
    <w:p w14:paraId="725961B6">
      <w:pPr>
        <w:pStyle w:val="22"/>
        <w:ind w:firstLine="241"/>
        <w:rPr>
          <w:rFonts w:hint="eastAsia" w:asciiTheme="minorEastAsia" w:hAnsiTheme="minorEastAsia" w:eastAsiaTheme="minorEastAsia"/>
          <w:b/>
          <w:sz w:val="24"/>
          <w:highlight w:val="none"/>
          <w:lang w:val="en-US"/>
        </w:rPr>
      </w:pPr>
    </w:p>
    <w:p w14:paraId="4757A611">
      <w:pPr>
        <w:pStyle w:val="22"/>
        <w:ind w:firstLine="241"/>
        <w:rPr>
          <w:rFonts w:hint="eastAsia" w:asciiTheme="minorEastAsia" w:hAnsiTheme="minorEastAsia" w:eastAsiaTheme="minorEastAsia"/>
          <w:b/>
          <w:sz w:val="24"/>
          <w:highlight w:val="none"/>
          <w:lang w:val="en-US"/>
        </w:rPr>
      </w:pPr>
    </w:p>
    <w:p w14:paraId="55CE3FBB">
      <w:pPr>
        <w:pStyle w:val="22"/>
        <w:ind w:firstLine="241"/>
        <w:rPr>
          <w:rFonts w:hint="eastAsia" w:asciiTheme="minorEastAsia" w:hAnsiTheme="minorEastAsia" w:eastAsiaTheme="minorEastAsia"/>
          <w:b/>
          <w:sz w:val="24"/>
          <w:highlight w:val="none"/>
          <w:lang w:val="en-US"/>
        </w:rPr>
      </w:pPr>
    </w:p>
    <w:p w14:paraId="3123D93E">
      <w:pPr>
        <w:pStyle w:val="22"/>
        <w:ind w:firstLine="241"/>
        <w:rPr>
          <w:rFonts w:hint="eastAsia" w:asciiTheme="minorEastAsia" w:hAnsiTheme="minorEastAsia" w:eastAsiaTheme="minorEastAsia"/>
          <w:b/>
          <w:sz w:val="24"/>
          <w:highlight w:val="none"/>
          <w:lang w:val="en-US"/>
        </w:rPr>
      </w:pPr>
    </w:p>
    <w:p w14:paraId="02291A01">
      <w:pPr>
        <w:pStyle w:val="22"/>
        <w:ind w:firstLine="241"/>
        <w:rPr>
          <w:rFonts w:hint="eastAsia" w:asciiTheme="minorEastAsia" w:hAnsiTheme="minorEastAsia" w:eastAsiaTheme="minorEastAsia"/>
          <w:b/>
          <w:sz w:val="24"/>
          <w:highlight w:val="none"/>
          <w:lang w:val="en-US"/>
        </w:rPr>
      </w:pPr>
    </w:p>
    <w:p w14:paraId="64A2156E">
      <w:pPr>
        <w:pStyle w:val="22"/>
        <w:ind w:firstLine="241"/>
        <w:rPr>
          <w:rFonts w:hint="eastAsia" w:asciiTheme="minorEastAsia" w:hAnsiTheme="minorEastAsia" w:eastAsiaTheme="minorEastAsia"/>
          <w:b/>
          <w:sz w:val="24"/>
          <w:highlight w:val="none"/>
          <w:lang w:val="en-US"/>
        </w:rPr>
      </w:pPr>
    </w:p>
    <w:p w14:paraId="04358E27">
      <w:pPr>
        <w:pStyle w:val="22"/>
        <w:ind w:firstLine="241"/>
        <w:rPr>
          <w:rFonts w:hint="eastAsia" w:asciiTheme="minorEastAsia" w:hAnsiTheme="minorEastAsia" w:eastAsiaTheme="minorEastAsia"/>
          <w:b/>
          <w:sz w:val="24"/>
          <w:highlight w:val="none"/>
          <w:lang w:val="en-US"/>
        </w:rPr>
      </w:pPr>
    </w:p>
    <w:p w14:paraId="30597600">
      <w:pPr>
        <w:pStyle w:val="22"/>
        <w:ind w:firstLine="241"/>
        <w:rPr>
          <w:rFonts w:hint="eastAsia" w:asciiTheme="minorEastAsia" w:hAnsiTheme="minorEastAsia" w:eastAsiaTheme="minorEastAsia"/>
          <w:b/>
          <w:sz w:val="24"/>
          <w:highlight w:val="none"/>
          <w:lang w:val="en-US"/>
        </w:rPr>
      </w:pPr>
    </w:p>
    <w:p w14:paraId="1052667C">
      <w:pPr>
        <w:pStyle w:val="22"/>
        <w:ind w:firstLine="0" w:firstLineChars="0"/>
        <w:rPr>
          <w:rFonts w:hint="eastAsia" w:asciiTheme="minorEastAsia" w:hAnsiTheme="minorEastAsia" w:eastAsiaTheme="minorEastAsia"/>
          <w:b/>
          <w:sz w:val="24"/>
          <w:highlight w:val="none"/>
          <w:lang w:val="en-US"/>
        </w:rPr>
      </w:pPr>
    </w:p>
    <w:p w14:paraId="40DF3B3A">
      <w:pPr>
        <w:spacing w:line="360" w:lineRule="auto"/>
        <w:jc w:val="center"/>
        <w:outlineLvl w:val="1"/>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十、</w:t>
      </w:r>
      <w:bookmarkEnd w:id="83"/>
      <w:bookmarkEnd w:id="84"/>
      <w:bookmarkEnd w:id="85"/>
      <w:r>
        <w:rPr>
          <w:rFonts w:hint="eastAsia" w:asciiTheme="minorEastAsia" w:hAnsiTheme="minorEastAsia" w:eastAsiaTheme="minorEastAsia"/>
          <w:b/>
          <w:sz w:val="24"/>
          <w:highlight w:val="none"/>
        </w:rPr>
        <w:t>诚信履约承诺函</w:t>
      </w:r>
      <w:bookmarkEnd w:id="86"/>
      <w:bookmarkEnd w:id="87"/>
    </w:p>
    <w:p w14:paraId="0E258856">
      <w:pPr>
        <w:spacing w:line="360" w:lineRule="auto"/>
        <w:rPr>
          <w:rFonts w:hint="eastAsia" w:asciiTheme="minorEastAsia" w:hAnsiTheme="minorEastAsia" w:eastAsiaTheme="minorEastAsia"/>
          <w:b/>
          <w:bCs/>
          <w:sz w:val="24"/>
          <w:highlight w:val="none"/>
        </w:rPr>
      </w:pPr>
    </w:p>
    <w:p w14:paraId="5D73717C">
      <w:pPr>
        <w:spacing w:line="360" w:lineRule="auto"/>
        <w:rPr>
          <w:rFonts w:hint="eastAsia" w:asciiTheme="minorEastAsia" w:hAnsiTheme="minorEastAsia" w:eastAsiaTheme="minorEastAsia"/>
          <w:b/>
          <w:bCs/>
          <w:sz w:val="24"/>
          <w:highlight w:val="none"/>
          <w:u w:val="single"/>
        </w:rPr>
      </w:pPr>
      <w:r>
        <w:rPr>
          <w:rFonts w:hint="eastAsia" w:asciiTheme="minorEastAsia" w:hAnsiTheme="minorEastAsia" w:eastAsiaTheme="minorEastAsia"/>
          <w:b/>
          <w:bCs/>
          <w:sz w:val="24"/>
          <w:highlight w:val="none"/>
        </w:rPr>
        <w:t>致：采购人</w:t>
      </w:r>
    </w:p>
    <w:p w14:paraId="27EDFBFB">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（1）中标或者成交后无正当理由拒不与采购人签订政府采购合同；</w:t>
      </w:r>
    </w:p>
    <w:p w14:paraId="76248F65">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（2）未按照采购文件确定的事项签订政府采购合同；</w:t>
      </w:r>
    </w:p>
    <w:p w14:paraId="25FEE325">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（3）将政府采购合同转包；</w:t>
      </w:r>
    </w:p>
    <w:p w14:paraId="29A03473">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（4）提供假冒伪劣产品；</w:t>
      </w:r>
    </w:p>
    <w:p w14:paraId="50B24E45">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（5）擅自变更、中止或者终止政府采购合同。</w:t>
      </w:r>
    </w:p>
    <w:p w14:paraId="32AAE4B2">
      <w:pPr>
        <w:spacing w:line="360" w:lineRule="auto"/>
        <w:ind w:firstLine="480" w:firstLineChars="2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hint="eastAsia" w:asciiTheme="minorEastAsia" w:hAnsiTheme="minorEastAsia" w:eastAsiaTheme="minorEastAsia"/>
          <w:bCs/>
          <w:sz w:val="24"/>
          <w:highlight w:val="none"/>
        </w:rPr>
      </w:pPr>
    </w:p>
    <w:p w14:paraId="3FC54976">
      <w:pPr>
        <w:spacing w:line="360" w:lineRule="auto"/>
        <w:rPr>
          <w:rFonts w:hint="eastAsia" w:asciiTheme="minorEastAsia" w:hAnsiTheme="minorEastAsia" w:eastAsiaTheme="minorEastAsia"/>
          <w:bCs/>
          <w:sz w:val="24"/>
          <w:highlight w:val="none"/>
        </w:rPr>
      </w:pPr>
    </w:p>
    <w:p w14:paraId="032B6DC0">
      <w:pPr>
        <w:spacing w:line="360" w:lineRule="auto"/>
        <w:ind w:firstLine="4320" w:firstLineChars="1800"/>
        <w:rPr>
          <w:rFonts w:hint="eastAsia" w:asciiTheme="minorEastAsia" w:hAnsiTheme="minorEastAsia" w:eastAsiaTheme="minorEastAsia"/>
          <w:bCs/>
          <w:sz w:val="24"/>
          <w:highlight w:val="none"/>
          <w:u w:val="single"/>
        </w:rPr>
      </w:pPr>
      <w:r>
        <w:rPr>
          <w:rFonts w:hint="eastAsia" w:asciiTheme="minorEastAsia" w:hAnsiTheme="minorEastAsia" w:eastAsiaTheme="minorEastAsia"/>
          <w:bCs/>
          <w:sz w:val="24"/>
          <w:highlight w:val="none"/>
        </w:rPr>
        <w:t>投标人电子签章：</w:t>
      </w:r>
      <w:r>
        <w:rPr>
          <w:rFonts w:hint="eastAsia" w:asciiTheme="minorEastAsia" w:hAnsiTheme="minorEastAsia" w:eastAsiaTheme="minorEastAsia"/>
          <w:bCs/>
          <w:sz w:val="24"/>
          <w:highlight w:val="none"/>
          <w:u w:val="single"/>
        </w:rPr>
        <w:t xml:space="preserve">     </w:t>
      </w:r>
      <w:r>
        <w:rPr>
          <w:rFonts w:asciiTheme="minorEastAsia" w:hAnsiTheme="minorEastAsia" w:eastAsiaTheme="minorEastAsia"/>
          <w:bCs/>
          <w:sz w:val="24"/>
          <w:highlight w:val="none"/>
          <w:u w:val="single"/>
        </w:rPr>
        <w:t xml:space="preserve">    </w:t>
      </w:r>
      <w:r>
        <w:rPr>
          <w:rFonts w:hint="eastAsia" w:asciiTheme="minorEastAsia" w:hAnsiTheme="minorEastAsia" w:eastAsiaTheme="minorEastAsia"/>
          <w:bCs/>
          <w:sz w:val="24"/>
          <w:highlight w:val="none"/>
          <w:u w:val="single"/>
        </w:rPr>
        <w:t xml:space="preserve">    </w:t>
      </w:r>
    </w:p>
    <w:p w14:paraId="219D177E">
      <w:pPr>
        <w:spacing w:line="360" w:lineRule="auto"/>
        <w:ind w:firstLine="4320" w:firstLineChars="1800"/>
        <w:rPr>
          <w:rFonts w:hint="eastAsia" w:asciiTheme="minorEastAsia" w:hAnsiTheme="minorEastAsia" w:eastAsiaTheme="minorEastAsia"/>
          <w:bCs/>
          <w:sz w:val="24"/>
          <w:highlight w:val="none"/>
        </w:rPr>
      </w:pPr>
      <w:r>
        <w:rPr>
          <w:rFonts w:hint="eastAsia" w:asciiTheme="minorEastAsia" w:hAnsiTheme="minorEastAsia" w:eastAsiaTheme="minorEastAsia"/>
          <w:bCs/>
          <w:sz w:val="24"/>
          <w:highlight w:val="none"/>
        </w:rPr>
        <w:t>日          期：</w:t>
      </w:r>
      <w:r>
        <w:rPr>
          <w:rFonts w:hint="eastAsia" w:asciiTheme="minorEastAsia" w:hAnsiTheme="minorEastAsia" w:eastAsiaTheme="minorEastAsia"/>
          <w:bCs/>
          <w:sz w:val="24"/>
          <w:highlight w:val="none"/>
          <w:u w:val="single"/>
        </w:rPr>
        <w:t xml:space="preserve">             </w:t>
      </w:r>
    </w:p>
    <w:p w14:paraId="45FE8DAB">
      <w:pPr>
        <w:widowControl/>
        <w:jc w:val="left"/>
        <w:rPr>
          <w:rFonts w:hint="eastAsia" w:ascii="宋体" w:hAnsi="宋体" w:eastAsia="宋体" w:cs="Arial"/>
          <w:sz w:val="24"/>
          <w:highlight w:val="none"/>
        </w:rPr>
      </w:pPr>
      <w:r>
        <w:rPr>
          <w:rFonts w:ascii="宋体" w:hAnsi="宋体" w:eastAsia="宋体" w:cs="Arial"/>
          <w:sz w:val="24"/>
          <w:highlight w:val="none"/>
        </w:rPr>
        <w:br w:type="page"/>
      </w:r>
    </w:p>
    <w:bookmarkEnd w:id="88"/>
    <w:p w14:paraId="0E2B6030">
      <w:pPr>
        <w:spacing w:line="360" w:lineRule="auto"/>
        <w:jc w:val="center"/>
        <w:outlineLvl w:val="1"/>
        <w:rPr>
          <w:rFonts w:hint="eastAsia" w:asciiTheme="minorEastAsia" w:hAnsiTheme="minorEastAsia" w:eastAsiaTheme="minorEastAsia"/>
          <w:b/>
          <w:sz w:val="24"/>
          <w:highlight w:val="none"/>
        </w:rPr>
      </w:pPr>
      <w:bookmarkStart w:id="89" w:name="_Toc32633"/>
      <w:bookmarkStart w:id="90" w:name="_Toc2683"/>
      <w:r>
        <w:rPr>
          <w:rFonts w:hint="eastAsia" w:asciiTheme="minorEastAsia" w:hAnsiTheme="minorEastAsia" w:eastAsiaTheme="minorEastAsia"/>
          <w:b/>
          <w:sz w:val="24"/>
          <w:highlight w:val="none"/>
        </w:rPr>
        <w:t>十一、其他相关证明材料</w:t>
      </w:r>
      <w:bookmarkEnd w:id="89"/>
      <w:bookmarkEnd w:id="90"/>
    </w:p>
    <w:p w14:paraId="48C537D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提供符合投标邀请、采购需求及评标方法和标准规定的相关证明文件。</w:t>
      </w:r>
    </w:p>
    <w:p w14:paraId="732DA80E">
      <w:pPr>
        <w:spacing w:line="360" w:lineRule="auto"/>
        <w:ind w:firstLine="480" w:firstLineChars="200"/>
        <w:rPr>
          <w:rFonts w:hint="eastAsia" w:asciiTheme="minorEastAsia" w:hAnsiTheme="minorEastAsia" w:eastAsiaTheme="minorEastAsia"/>
          <w:sz w:val="24"/>
          <w:highlight w:val="none"/>
        </w:rPr>
      </w:pPr>
    </w:p>
    <w:p w14:paraId="0EF54B81">
      <w:pPr>
        <w:spacing w:line="360" w:lineRule="auto"/>
        <w:ind w:firstLine="435"/>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14:paraId="6D0C074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投标人在投标文件制作时可在此栏内上传</w:t>
      </w:r>
      <w:r>
        <w:rPr>
          <w:rFonts w:asciiTheme="minorEastAsia" w:hAnsiTheme="minorEastAsia" w:eastAsiaTheme="minorEastAsia"/>
          <w:sz w:val="24"/>
          <w:highlight w:val="none"/>
        </w:rPr>
        <w:t>招标文件要求上传的证明资料</w:t>
      </w:r>
      <w:r>
        <w:rPr>
          <w:rFonts w:hint="eastAsia" w:asciiTheme="minorEastAsia" w:hAnsiTheme="minorEastAsia" w:eastAsiaTheme="minorEastAsia"/>
          <w:sz w:val="24"/>
          <w:highlight w:val="none"/>
        </w:rPr>
        <w:t>，如营业执照、证书</w:t>
      </w:r>
      <w:r>
        <w:rPr>
          <w:rFonts w:asciiTheme="minorEastAsia" w:hAnsiTheme="minorEastAsia" w:eastAsiaTheme="minorEastAsia"/>
          <w:sz w:val="24"/>
          <w:highlight w:val="none"/>
        </w:rPr>
        <w:t>等，应将上述证明材料制作成扫描件上传。</w:t>
      </w:r>
    </w:p>
    <w:p w14:paraId="1BAB6A4B">
      <w:pPr>
        <w:widowControl/>
        <w:jc w:val="left"/>
        <w:rPr>
          <w:rFonts w:hint="eastAsia" w:ascii="宋体" w:hAnsi="宋体" w:eastAsia="宋体"/>
          <w:bCs/>
          <w:sz w:val="24"/>
          <w:highlight w:val="none"/>
        </w:rPr>
      </w:pPr>
      <w:r>
        <w:rPr>
          <w:rFonts w:ascii="宋体" w:hAnsi="宋体" w:eastAsia="宋体"/>
          <w:bCs/>
          <w:sz w:val="24"/>
          <w:highlight w:val="none"/>
        </w:rPr>
        <w:br w:type="page"/>
      </w:r>
    </w:p>
    <w:p w14:paraId="4E44E95B">
      <w:pPr>
        <w:spacing w:line="360" w:lineRule="auto"/>
        <w:jc w:val="center"/>
        <w:outlineLvl w:val="0"/>
        <w:rPr>
          <w:rFonts w:hint="eastAsia" w:ascii="宋体" w:hAnsi="宋体" w:eastAsia="宋体"/>
          <w:b/>
          <w:bCs/>
          <w:sz w:val="28"/>
          <w:highlight w:val="none"/>
        </w:rPr>
      </w:pPr>
      <w:bookmarkStart w:id="91" w:name="_Toc6435"/>
      <w:bookmarkStart w:id="92" w:name="_Toc18131"/>
      <w:r>
        <w:rPr>
          <w:rFonts w:hint="eastAsia" w:asciiTheme="minorEastAsia" w:hAnsiTheme="minorEastAsia" w:eastAsiaTheme="minorEastAsia"/>
          <w:b/>
          <w:sz w:val="28"/>
          <w:highlight w:val="none"/>
        </w:rPr>
        <w:t>第七章</w:t>
      </w:r>
      <w:r>
        <w:rPr>
          <w:rFonts w:hint="eastAsia" w:ascii="宋体" w:hAnsi="宋体" w:eastAsia="宋体"/>
          <w:b/>
          <w:bCs/>
          <w:sz w:val="28"/>
          <w:highlight w:val="none"/>
        </w:rPr>
        <w:t xml:space="preserve">  政府采购</w:t>
      </w:r>
      <w:r>
        <w:rPr>
          <w:rFonts w:hint="eastAsia" w:asciiTheme="minorEastAsia" w:hAnsiTheme="minorEastAsia" w:eastAsiaTheme="minorEastAsia"/>
          <w:b/>
          <w:sz w:val="28"/>
          <w:highlight w:val="none"/>
        </w:rPr>
        <w:t>供应</w:t>
      </w:r>
      <w:r>
        <w:rPr>
          <w:rFonts w:hint="eastAsia" w:ascii="宋体" w:hAnsi="宋体" w:eastAsia="宋体"/>
          <w:b/>
          <w:bCs/>
          <w:sz w:val="28"/>
          <w:highlight w:val="none"/>
        </w:rPr>
        <w:t>商询问函和质疑函范本</w:t>
      </w:r>
      <w:bookmarkEnd w:id="91"/>
      <w:bookmarkEnd w:id="92"/>
    </w:p>
    <w:p w14:paraId="7A40B900">
      <w:pPr>
        <w:spacing w:line="360" w:lineRule="auto"/>
        <w:jc w:val="center"/>
        <w:outlineLvl w:val="1"/>
        <w:rPr>
          <w:rFonts w:hint="eastAsia" w:ascii="仿宋" w:hAnsi="仿宋" w:eastAsia="仿宋" w:cs="仿宋"/>
          <w:b/>
          <w:bCs/>
          <w:sz w:val="32"/>
          <w:szCs w:val="44"/>
          <w:highlight w:val="none"/>
        </w:rPr>
      </w:pPr>
      <w:bookmarkStart w:id="93" w:name="_Toc27159"/>
      <w:bookmarkStart w:id="94" w:name="_Toc27489"/>
      <w:r>
        <w:rPr>
          <w:rFonts w:hint="eastAsia" w:ascii="仿宋" w:hAnsi="仿宋" w:eastAsia="仿宋" w:cs="仿宋"/>
          <w:b/>
          <w:bCs/>
          <w:sz w:val="32"/>
          <w:szCs w:val="44"/>
          <w:highlight w:val="none"/>
        </w:rPr>
        <w:t>询问函范本</w:t>
      </w:r>
      <w:bookmarkEnd w:id="93"/>
      <w:bookmarkEnd w:id="94"/>
    </w:p>
    <w:p w14:paraId="6CE43A10">
      <w:pPr>
        <w:adjustRightInd w:val="0"/>
        <w:snapToGrid w:val="0"/>
        <w:spacing w:line="360" w:lineRule="auto"/>
        <w:ind w:firstLine="480" w:firstLineChars="200"/>
        <w:jc w:val="center"/>
        <w:rPr>
          <w:rFonts w:hint="eastAsia"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sz w:val="24"/>
          <w:szCs w:val="24"/>
          <w:highlight w:val="none"/>
          <w:u w:val="single"/>
        </w:rPr>
      </w:pPr>
      <w:r>
        <w:rPr>
          <w:rFonts w:hint="eastAsia" w:cs="仿宋" w:asciiTheme="minorEastAsia" w:hAnsiTheme="minorEastAsia" w:eastAsiaTheme="minorEastAsia"/>
          <w:b/>
          <w:bCs/>
          <w:sz w:val="24"/>
          <w:szCs w:val="24"/>
          <w:highlight w:val="none"/>
        </w:rPr>
        <w:t>致：采购人</w:t>
      </w:r>
    </w:p>
    <w:p w14:paraId="7828A08D">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sz w:val="24"/>
          <w:szCs w:val="24"/>
          <w:highlight w:val="none"/>
        </w:rPr>
        <w:t>（</w:t>
      </w:r>
      <w:r>
        <w:rPr>
          <w:rFonts w:hint="eastAsia" w:cs="仿宋" w:asciiTheme="minorEastAsia" w:hAnsiTheme="minorEastAsia" w:eastAsiaTheme="minorEastAsia"/>
          <w:i/>
          <w:iCs/>
          <w:sz w:val="24"/>
          <w:szCs w:val="24"/>
          <w:highlight w:val="none"/>
        </w:rPr>
        <w:t>项目名称、编号</w:t>
      </w:r>
      <w:r>
        <w:rPr>
          <w:rFonts w:hint="eastAsia" w:cs="仿宋" w:asciiTheme="minorEastAsia" w:hAnsiTheme="minorEastAsia" w:eastAsiaTheme="minorEastAsia"/>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bookmarkStart w:id="95" w:name="_Toc13899"/>
      <w:r>
        <w:rPr>
          <w:rFonts w:hint="eastAsia" w:cs="仿宋" w:asciiTheme="minorEastAsia" w:hAnsiTheme="minorEastAsia" w:eastAsiaTheme="minorEastAsia"/>
          <w:sz w:val="24"/>
          <w:szCs w:val="24"/>
          <w:highlight w:val="none"/>
        </w:rPr>
        <w:t>一、(事项一)</w:t>
      </w:r>
      <w:bookmarkEnd w:id="95"/>
    </w:p>
    <w:p w14:paraId="1819F101">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14:paraId="75CF52F2">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14:paraId="71317426">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14:paraId="2BFB1D19">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bookmarkStart w:id="96" w:name="_Toc3352"/>
      <w:r>
        <w:rPr>
          <w:rFonts w:hint="eastAsia" w:cs="仿宋" w:asciiTheme="minorEastAsia" w:hAnsiTheme="minorEastAsia" w:eastAsiaTheme="minorEastAsia"/>
          <w:sz w:val="24"/>
          <w:szCs w:val="24"/>
          <w:highlight w:val="none"/>
        </w:rPr>
        <w:t>二、(事项二)</w:t>
      </w:r>
      <w:bookmarkEnd w:id="96"/>
    </w:p>
    <w:p w14:paraId="0B8BB9EC">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4D5B281D">
      <w:pPr>
        <w:adjustRightInd w:val="0"/>
        <w:snapToGrid w:val="0"/>
        <w:spacing w:line="360" w:lineRule="auto"/>
        <w:ind w:firstLine="480" w:firstLineChars="200"/>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14:paraId="4C1AC0F0">
      <w:pPr>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14:paraId="167B9DFB">
      <w:pPr>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14:paraId="5BE75B5B">
      <w:pPr>
        <w:tabs>
          <w:tab w:val="left" w:pos="630"/>
        </w:tabs>
        <w:spacing w:line="360" w:lineRule="auto"/>
        <w:ind w:firstLine="4228" w:firstLineChars="1762"/>
        <w:rPr>
          <w:rFonts w:hint="eastAsia"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71388629">
      <w:pPr>
        <w:rPr>
          <w:rFonts w:hint="eastAsia" w:ascii="仿宋" w:hAnsi="仿宋" w:eastAsia="仿宋" w:cs="仿宋"/>
          <w:b/>
          <w:bCs/>
          <w:sz w:val="32"/>
          <w:szCs w:val="44"/>
          <w:highlight w:val="none"/>
        </w:rPr>
      </w:pPr>
      <w:r>
        <w:rPr>
          <w:rFonts w:hint="eastAsia" w:ascii="仿宋" w:hAnsi="仿宋" w:eastAsia="仿宋" w:cs="仿宋"/>
          <w:b/>
          <w:bCs/>
          <w:sz w:val="32"/>
          <w:szCs w:val="44"/>
          <w:highlight w:val="none"/>
        </w:rPr>
        <w:br w:type="page"/>
      </w:r>
    </w:p>
    <w:p w14:paraId="0199CB6E">
      <w:pPr>
        <w:jc w:val="center"/>
        <w:outlineLvl w:val="1"/>
        <w:rPr>
          <w:rFonts w:hint="eastAsia" w:ascii="仿宋" w:hAnsi="仿宋" w:eastAsia="仿宋" w:cs="仿宋"/>
          <w:b/>
          <w:bCs/>
          <w:sz w:val="32"/>
          <w:szCs w:val="44"/>
          <w:highlight w:val="none"/>
        </w:rPr>
      </w:pPr>
      <w:bookmarkStart w:id="97" w:name="_Toc1575"/>
      <w:bookmarkStart w:id="98" w:name="_Toc3245"/>
      <w:r>
        <w:rPr>
          <w:rFonts w:hint="eastAsia" w:ascii="仿宋" w:hAnsi="仿宋" w:eastAsia="仿宋" w:cs="仿宋"/>
          <w:b/>
          <w:bCs/>
          <w:sz w:val="32"/>
          <w:szCs w:val="44"/>
          <w:highlight w:val="none"/>
        </w:rPr>
        <w:t>质疑函范本</w:t>
      </w:r>
      <w:bookmarkEnd w:id="97"/>
      <w:bookmarkEnd w:id="98"/>
    </w:p>
    <w:p w14:paraId="5906BD0D">
      <w:pPr>
        <w:adjustRightInd w:val="0"/>
        <w:snapToGrid w:val="0"/>
        <w:spacing w:before="312" w:beforeLines="100" w:line="360" w:lineRule="auto"/>
        <w:rPr>
          <w:rFonts w:hint="eastAsia" w:cs="仿宋" w:asciiTheme="minorEastAsia" w:hAnsiTheme="minorEastAsia" w:eastAsiaTheme="minorEastAsia"/>
          <w:b/>
          <w:bCs/>
          <w:sz w:val="24"/>
          <w:szCs w:val="24"/>
          <w:highlight w:val="none"/>
        </w:rPr>
      </w:pPr>
      <w:bookmarkStart w:id="99" w:name="_Toc21381"/>
      <w:r>
        <w:rPr>
          <w:rFonts w:hint="eastAsia" w:cs="仿宋" w:asciiTheme="minorEastAsia" w:hAnsiTheme="minorEastAsia" w:eastAsiaTheme="minorEastAsia"/>
          <w:b/>
          <w:bCs/>
          <w:sz w:val="24"/>
          <w:szCs w:val="24"/>
          <w:highlight w:val="none"/>
        </w:rPr>
        <w:t>一、质疑供应商基本信息</w:t>
      </w:r>
      <w:bookmarkEnd w:id="99"/>
    </w:p>
    <w:p w14:paraId="68047752">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14:paraId="0D9EA64E">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1E5CB7F5">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24B15109">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14:paraId="0E96A2A3">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r>
        <w:rPr>
          <w:rFonts w:cs="仿宋" w:asciiTheme="minorEastAsia" w:hAnsiTheme="minorEastAsia" w:eastAsiaTheme="minorEastAsia"/>
          <w:sz w:val="24"/>
          <w:szCs w:val="24"/>
          <w:highlight w:val="none"/>
        </w:rPr>
        <w:t xml:space="preserve"> </w:t>
      </w:r>
    </w:p>
    <w:p w14:paraId="562081D1">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4D320F33">
      <w:pPr>
        <w:adjustRightInd w:val="0"/>
        <w:snapToGrid w:val="0"/>
        <w:spacing w:line="360" w:lineRule="auto"/>
        <w:rPr>
          <w:rFonts w:hint="eastAsia" w:cs="仿宋" w:asciiTheme="minorEastAsia" w:hAnsiTheme="minorEastAsia" w:eastAsiaTheme="minorEastAsia"/>
          <w:b/>
          <w:bCs/>
          <w:sz w:val="24"/>
          <w:szCs w:val="24"/>
          <w:highlight w:val="none"/>
        </w:rPr>
      </w:pPr>
      <w:bookmarkStart w:id="100" w:name="_Toc28415"/>
      <w:r>
        <w:rPr>
          <w:rFonts w:hint="eastAsia" w:cs="仿宋" w:asciiTheme="minorEastAsia" w:hAnsiTheme="minorEastAsia" w:eastAsiaTheme="minorEastAsia"/>
          <w:b/>
          <w:bCs/>
          <w:sz w:val="24"/>
          <w:szCs w:val="24"/>
          <w:highlight w:val="none"/>
        </w:rPr>
        <w:t>二、质疑项目基本情况</w:t>
      </w:r>
      <w:bookmarkEnd w:id="100"/>
    </w:p>
    <w:p w14:paraId="2860C142">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14:paraId="502647AD">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14:paraId="15DBDEA2">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14:paraId="2D0895B0">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采购文件获取日期：</w:t>
      </w:r>
      <w:r>
        <w:rPr>
          <w:rFonts w:hint="eastAsia" w:cs="仿宋" w:asciiTheme="minorEastAsia" w:hAnsiTheme="minorEastAsia" w:eastAsiaTheme="minorEastAsia"/>
          <w:sz w:val="24"/>
          <w:szCs w:val="24"/>
          <w:highlight w:val="none"/>
          <w:u w:val="dotted"/>
        </w:rPr>
        <w:t xml:space="preserve">                                           </w:t>
      </w:r>
    </w:p>
    <w:p w14:paraId="50ED8362">
      <w:pPr>
        <w:adjustRightInd w:val="0"/>
        <w:snapToGrid w:val="0"/>
        <w:spacing w:line="360" w:lineRule="auto"/>
        <w:rPr>
          <w:rFonts w:hint="eastAsia" w:cs="仿宋" w:asciiTheme="minorEastAsia" w:hAnsiTheme="minorEastAsia" w:eastAsiaTheme="minorEastAsia"/>
          <w:b/>
          <w:bCs/>
          <w:sz w:val="24"/>
          <w:szCs w:val="24"/>
          <w:highlight w:val="none"/>
        </w:rPr>
      </w:pPr>
      <w:bookmarkStart w:id="101" w:name="_Toc19014"/>
      <w:r>
        <w:rPr>
          <w:rFonts w:hint="eastAsia" w:cs="仿宋" w:asciiTheme="minorEastAsia" w:hAnsiTheme="minorEastAsia" w:eastAsiaTheme="minorEastAsia"/>
          <w:b/>
          <w:bCs/>
          <w:sz w:val="24"/>
          <w:szCs w:val="24"/>
          <w:highlight w:val="none"/>
        </w:rPr>
        <w:t>三、质疑事项具体内容</w:t>
      </w:r>
      <w:bookmarkEnd w:id="101"/>
    </w:p>
    <w:p w14:paraId="7A46C700">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14:paraId="68D20E32">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14:paraId="00C02678">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14:paraId="0E2259F0">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14:paraId="2B034B40">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14:paraId="7785DD7F">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14:paraId="562F2234">
      <w:pPr>
        <w:adjustRightInd w:val="0"/>
        <w:snapToGrid w:val="0"/>
        <w:spacing w:line="360" w:lineRule="auto"/>
        <w:rPr>
          <w:rFonts w:hint="eastAsia"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44CD7DF7">
      <w:pPr>
        <w:adjustRightInd w:val="0"/>
        <w:snapToGrid w:val="0"/>
        <w:spacing w:line="360" w:lineRule="auto"/>
        <w:rPr>
          <w:rFonts w:hint="eastAsia" w:cs="仿宋" w:asciiTheme="minorEastAsia" w:hAnsiTheme="minorEastAsia" w:eastAsiaTheme="minorEastAsia"/>
          <w:b/>
          <w:bCs/>
          <w:sz w:val="24"/>
          <w:szCs w:val="24"/>
          <w:highlight w:val="none"/>
        </w:rPr>
      </w:pPr>
      <w:bookmarkStart w:id="102" w:name="_Toc17919"/>
      <w:r>
        <w:rPr>
          <w:rFonts w:hint="eastAsia" w:cs="仿宋" w:asciiTheme="minorEastAsia" w:hAnsiTheme="minorEastAsia" w:eastAsiaTheme="minorEastAsia"/>
          <w:b/>
          <w:bCs/>
          <w:sz w:val="24"/>
          <w:szCs w:val="24"/>
          <w:highlight w:val="none"/>
        </w:rPr>
        <w:t>四、与质疑事项相关的质疑请求</w:t>
      </w:r>
      <w:bookmarkEnd w:id="102"/>
    </w:p>
    <w:p w14:paraId="18CD4FCB">
      <w:pPr>
        <w:adjustRightInd w:val="0"/>
        <w:snapToGrid w:val="0"/>
        <w:spacing w:line="360" w:lineRule="auto"/>
        <w:rPr>
          <w:rFonts w:hint="eastAsia"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14:paraId="75373188">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签字(签章)：                   公章：                      </w:t>
      </w:r>
    </w:p>
    <w:p w14:paraId="066F4DAB">
      <w:pPr>
        <w:spacing w:line="360" w:lineRule="auto"/>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14:paraId="4D174E90">
      <w:pPr>
        <w:widowControl/>
        <w:jc w:val="left"/>
        <w:rPr>
          <w:rFonts w:hint="eastAsia" w:ascii="仿宋" w:hAnsi="仿宋" w:eastAsia="仿宋" w:cs="仿宋"/>
          <w:sz w:val="32"/>
          <w:szCs w:val="32"/>
          <w:highlight w:val="none"/>
        </w:rPr>
      </w:pPr>
      <w:r>
        <w:rPr>
          <w:rFonts w:ascii="仿宋" w:hAnsi="仿宋" w:eastAsia="仿宋" w:cs="仿宋"/>
          <w:sz w:val="32"/>
          <w:szCs w:val="32"/>
          <w:highlight w:val="none"/>
        </w:rPr>
        <w:br w:type="page"/>
      </w:r>
    </w:p>
    <w:p w14:paraId="1CC46BFA">
      <w:pPr>
        <w:outlineLvl w:val="0"/>
        <w:rPr>
          <w:rFonts w:hint="eastAsia" w:asciiTheme="minorEastAsia" w:hAnsiTheme="minorEastAsia" w:eastAsiaTheme="minorEastAsia"/>
          <w:b/>
          <w:sz w:val="28"/>
          <w:szCs w:val="32"/>
          <w:highlight w:val="none"/>
        </w:rPr>
      </w:pPr>
      <w:bookmarkStart w:id="103" w:name="_Toc26836"/>
      <w:bookmarkStart w:id="104" w:name="_Toc9754"/>
      <w:r>
        <w:rPr>
          <w:rFonts w:hint="eastAsia" w:asciiTheme="minorEastAsia" w:hAnsiTheme="minorEastAsia" w:eastAsiaTheme="minorEastAsia"/>
          <w:b/>
          <w:sz w:val="28"/>
          <w:szCs w:val="32"/>
          <w:highlight w:val="none"/>
        </w:rPr>
        <w:t>质疑函制作说明：</w:t>
      </w:r>
      <w:bookmarkEnd w:id="103"/>
      <w:bookmarkEnd w:id="104"/>
    </w:p>
    <w:p w14:paraId="72184C86">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14:paraId="1FEB5068">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14:paraId="33684A63">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14:paraId="42446CC4">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14:paraId="186B4055">
      <w:pPr>
        <w:spacing w:line="360" w:lineRule="auto"/>
        <w:ind w:firstLine="435"/>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5"/>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5"/>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F4AE03D">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5"/>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6"/>
      <w:jc w:val="left"/>
      <w:rPr>
        <w:rFonts w:hint="eastAsia"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6"/>
      <w:jc w:val="left"/>
      <w:rPr>
        <w:rFonts w:hint="eastAsia"/>
      </w:rPr>
    </w:pPr>
    <w:r>
      <w:rPr>
        <w:rFonts w:hint="eastAsia" w:asciiTheme="minorEastAsia" w:hAnsiTheme="minorEastAsia" w:eastAsiaTheme="minorEastAsia"/>
      </w:rPr>
      <w:t>安徽省政府采购项目公开招标文件示范文本（货物类）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6"/>
      <w:jc w:val="left"/>
      <w:rPr>
        <w:rFonts w:hint="eastAsia"/>
      </w:rPr>
    </w:pPr>
    <w:r>
      <w:rPr>
        <w:rFonts w:hint="eastAsia" w:asciiTheme="minorEastAsia" w:hAnsiTheme="minorEastAsia" w:eastAsiaTheme="minorEastAsia"/>
      </w:rPr>
      <w:t>安徽省政府采购项目公开招标文件示范文本（货物类）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07102C6E"/>
    <w:multiLevelType w:val="multilevel"/>
    <w:tmpl w:val="07102C6E"/>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E5637B8"/>
    <w:multiLevelType w:val="multilevel"/>
    <w:tmpl w:val="0E5637B8"/>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28102A6"/>
    <w:multiLevelType w:val="multilevel"/>
    <w:tmpl w:val="128102A6"/>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218D532C"/>
    <w:multiLevelType w:val="multilevel"/>
    <w:tmpl w:val="218D532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428D6BBE"/>
    <w:multiLevelType w:val="multilevel"/>
    <w:tmpl w:val="428D6BB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4AA4460D"/>
    <w:multiLevelType w:val="multilevel"/>
    <w:tmpl w:val="4AA4460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6A0C2394"/>
    <w:multiLevelType w:val="multilevel"/>
    <w:tmpl w:val="6A0C239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7A0F6431"/>
    <w:multiLevelType w:val="singleLevel"/>
    <w:tmpl w:val="7A0F6431"/>
    <w:lvl w:ilvl="0" w:tentative="0">
      <w:start w:val="1"/>
      <w:numFmt w:val="decimal"/>
      <w:suff w:val="space"/>
      <w:lvlText w:val="%1."/>
      <w:lvlJc w:val="left"/>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7"/>
  </w:num>
  <w:num w:numId="5">
    <w:abstractNumId w:val="10"/>
  </w:num>
  <w:num w:numId="6">
    <w:abstractNumId w:val="9"/>
  </w:num>
  <w:num w:numId="7">
    <w:abstractNumId w:val="11"/>
  </w:num>
  <w:num w:numId="8">
    <w:abstractNumId w:val="13"/>
  </w:num>
  <w:num w:numId="9">
    <w:abstractNumId w:val="1"/>
  </w:num>
  <w:num w:numId="10">
    <w:abstractNumId w:val="5"/>
  </w:num>
  <w:num w:numId="11">
    <w:abstractNumId w:val="3"/>
  </w:num>
  <w:num w:numId="12">
    <w:abstractNumId w:val="2"/>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C7760"/>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40F5"/>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21F"/>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2BF3"/>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A99"/>
    <w:rsid w:val="00363E02"/>
    <w:rsid w:val="00373A96"/>
    <w:rsid w:val="003826C2"/>
    <w:rsid w:val="00383728"/>
    <w:rsid w:val="00383B8D"/>
    <w:rsid w:val="00386726"/>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1D06"/>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89C"/>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6D8"/>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A78FB"/>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389"/>
    <w:rsid w:val="00627601"/>
    <w:rsid w:val="006300D0"/>
    <w:rsid w:val="00632012"/>
    <w:rsid w:val="00634694"/>
    <w:rsid w:val="00635F9D"/>
    <w:rsid w:val="00636517"/>
    <w:rsid w:val="006374A4"/>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0BBD"/>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65141"/>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54D24"/>
    <w:rsid w:val="00E64BF0"/>
    <w:rsid w:val="00E66E36"/>
    <w:rsid w:val="00E6781E"/>
    <w:rsid w:val="00E702ED"/>
    <w:rsid w:val="00E705CC"/>
    <w:rsid w:val="00E709A4"/>
    <w:rsid w:val="00E73822"/>
    <w:rsid w:val="00E772DB"/>
    <w:rsid w:val="00E86012"/>
    <w:rsid w:val="00E86BAB"/>
    <w:rsid w:val="00E87860"/>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4CC6"/>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364D8"/>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1EB45BC"/>
    <w:rsid w:val="0214602E"/>
    <w:rsid w:val="025F2E79"/>
    <w:rsid w:val="028574C3"/>
    <w:rsid w:val="02DF5348"/>
    <w:rsid w:val="03486B27"/>
    <w:rsid w:val="03984061"/>
    <w:rsid w:val="03E06CA3"/>
    <w:rsid w:val="040A094E"/>
    <w:rsid w:val="056F201D"/>
    <w:rsid w:val="05B664D4"/>
    <w:rsid w:val="05E84F6F"/>
    <w:rsid w:val="06255BC2"/>
    <w:rsid w:val="064B485A"/>
    <w:rsid w:val="068C65C4"/>
    <w:rsid w:val="07076C01"/>
    <w:rsid w:val="071C12AC"/>
    <w:rsid w:val="073E0574"/>
    <w:rsid w:val="07A934B3"/>
    <w:rsid w:val="07B13BB2"/>
    <w:rsid w:val="07EB6287"/>
    <w:rsid w:val="0806421B"/>
    <w:rsid w:val="09103097"/>
    <w:rsid w:val="0980799C"/>
    <w:rsid w:val="09944B8E"/>
    <w:rsid w:val="0A147A68"/>
    <w:rsid w:val="0A6A18DB"/>
    <w:rsid w:val="0A975B48"/>
    <w:rsid w:val="0ADB13F2"/>
    <w:rsid w:val="0AEF3828"/>
    <w:rsid w:val="0B033DE6"/>
    <w:rsid w:val="0B406381"/>
    <w:rsid w:val="0B492353"/>
    <w:rsid w:val="0BB452AA"/>
    <w:rsid w:val="0BBB665B"/>
    <w:rsid w:val="0D5C470D"/>
    <w:rsid w:val="0DB674FC"/>
    <w:rsid w:val="0EEA6FC1"/>
    <w:rsid w:val="0F790928"/>
    <w:rsid w:val="10CD72BB"/>
    <w:rsid w:val="10F1501F"/>
    <w:rsid w:val="11036B00"/>
    <w:rsid w:val="121429C9"/>
    <w:rsid w:val="12197477"/>
    <w:rsid w:val="131B5CD3"/>
    <w:rsid w:val="13776448"/>
    <w:rsid w:val="14513207"/>
    <w:rsid w:val="1466407E"/>
    <w:rsid w:val="14834E28"/>
    <w:rsid w:val="148E7D65"/>
    <w:rsid w:val="15231BF9"/>
    <w:rsid w:val="15C4546D"/>
    <w:rsid w:val="1A064976"/>
    <w:rsid w:val="1A3B68AA"/>
    <w:rsid w:val="1A3E1C1E"/>
    <w:rsid w:val="1B6F4F40"/>
    <w:rsid w:val="1C0C71B1"/>
    <w:rsid w:val="1C141836"/>
    <w:rsid w:val="1C76537D"/>
    <w:rsid w:val="1E6B6A14"/>
    <w:rsid w:val="1F9C084C"/>
    <w:rsid w:val="200A3A07"/>
    <w:rsid w:val="20550D9A"/>
    <w:rsid w:val="218E2416"/>
    <w:rsid w:val="226915FE"/>
    <w:rsid w:val="229273EC"/>
    <w:rsid w:val="233C481F"/>
    <w:rsid w:val="23BC656D"/>
    <w:rsid w:val="241804A5"/>
    <w:rsid w:val="24B97929"/>
    <w:rsid w:val="24D632D7"/>
    <w:rsid w:val="27277595"/>
    <w:rsid w:val="27475541"/>
    <w:rsid w:val="27D65DBA"/>
    <w:rsid w:val="285F40CA"/>
    <w:rsid w:val="289E1AF0"/>
    <w:rsid w:val="28C01ECB"/>
    <w:rsid w:val="29753F13"/>
    <w:rsid w:val="29BF71E3"/>
    <w:rsid w:val="29D6387F"/>
    <w:rsid w:val="2A127B63"/>
    <w:rsid w:val="2A451A6C"/>
    <w:rsid w:val="2AAA4765"/>
    <w:rsid w:val="2AC21606"/>
    <w:rsid w:val="2AD63D42"/>
    <w:rsid w:val="2B7E7608"/>
    <w:rsid w:val="2B7F04E9"/>
    <w:rsid w:val="2B8B554A"/>
    <w:rsid w:val="2BC473D8"/>
    <w:rsid w:val="2D496D68"/>
    <w:rsid w:val="2DB13FE2"/>
    <w:rsid w:val="2E3B530B"/>
    <w:rsid w:val="2E7A48DE"/>
    <w:rsid w:val="2EBA5177"/>
    <w:rsid w:val="2EDC3ED8"/>
    <w:rsid w:val="2F104B00"/>
    <w:rsid w:val="2F6351B4"/>
    <w:rsid w:val="2FC86126"/>
    <w:rsid w:val="2FCF199E"/>
    <w:rsid w:val="301D3634"/>
    <w:rsid w:val="30483E83"/>
    <w:rsid w:val="30BF3991"/>
    <w:rsid w:val="3111619A"/>
    <w:rsid w:val="319775DB"/>
    <w:rsid w:val="31B139DC"/>
    <w:rsid w:val="32497AF3"/>
    <w:rsid w:val="33751688"/>
    <w:rsid w:val="343C0775"/>
    <w:rsid w:val="34DA79F4"/>
    <w:rsid w:val="356C50EC"/>
    <w:rsid w:val="36137E45"/>
    <w:rsid w:val="36376E0A"/>
    <w:rsid w:val="3700166C"/>
    <w:rsid w:val="379A1012"/>
    <w:rsid w:val="38392905"/>
    <w:rsid w:val="38694EE9"/>
    <w:rsid w:val="38DE70DC"/>
    <w:rsid w:val="394A2C6F"/>
    <w:rsid w:val="39AA117E"/>
    <w:rsid w:val="3A6818FA"/>
    <w:rsid w:val="3AA06FEA"/>
    <w:rsid w:val="3AB365A7"/>
    <w:rsid w:val="3B183024"/>
    <w:rsid w:val="3B365CC9"/>
    <w:rsid w:val="3B9A7B88"/>
    <w:rsid w:val="3D2C7AC8"/>
    <w:rsid w:val="3D855D12"/>
    <w:rsid w:val="3D8B42FF"/>
    <w:rsid w:val="3DE86C4C"/>
    <w:rsid w:val="3DE93B21"/>
    <w:rsid w:val="3DED6BC5"/>
    <w:rsid w:val="3DF36A6E"/>
    <w:rsid w:val="3EBA1EE9"/>
    <w:rsid w:val="3F792F1E"/>
    <w:rsid w:val="3FDC057B"/>
    <w:rsid w:val="40824826"/>
    <w:rsid w:val="40E63923"/>
    <w:rsid w:val="410F2584"/>
    <w:rsid w:val="41855CA4"/>
    <w:rsid w:val="423F17DF"/>
    <w:rsid w:val="43442EC5"/>
    <w:rsid w:val="43A91E5B"/>
    <w:rsid w:val="43B37A59"/>
    <w:rsid w:val="43E054B5"/>
    <w:rsid w:val="449E0D39"/>
    <w:rsid w:val="45E32B26"/>
    <w:rsid w:val="461046B1"/>
    <w:rsid w:val="463A3650"/>
    <w:rsid w:val="46461627"/>
    <w:rsid w:val="469F0116"/>
    <w:rsid w:val="474D6E84"/>
    <w:rsid w:val="475259B7"/>
    <w:rsid w:val="488302AE"/>
    <w:rsid w:val="48831CF9"/>
    <w:rsid w:val="49024C9C"/>
    <w:rsid w:val="49B1408D"/>
    <w:rsid w:val="4A235542"/>
    <w:rsid w:val="4A7D4FD2"/>
    <w:rsid w:val="4A913C9A"/>
    <w:rsid w:val="4AB91C71"/>
    <w:rsid w:val="4B1F70AC"/>
    <w:rsid w:val="4B240F94"/>
    <w:rsid w:val="4BC02140"/>
    <w:rsid w:val="4C0832E5"/>
    <w:rsid w:val="4C3C565C"/>
    <w:rsid w:val="4C7B09BD"/>
    <w:rsid w:val="4CCC79C7"/>
    <w:rsid w:val="4D7555C7"/>
    <w:rsid w:val="4DC538B7"/>
    <w:rsid w:val="4EAE6DA0"/>
    <w:rsid w:val="4ED82D9F"/>
    <w:rsid w:val="4FE617D9"/>
    <w:rsid w:val="5016514B"/>
    <w:rsid w:val="50546455"/>
    <w:rsid w:val="50657D58"/>
    <w:rsid w:val="50BD4DF3"/>
    <w:rsid w:val="50D77086"/>
    <w:rsid w:val="50FC1A26"/>
    <w:rsid w:val="51723664"/>
    <w:rsid w:val="51CB1C78"/>
    <w:rsid w:val="51FD6A51"/>
    <w:rsid w:val="526B680A"/>
    <w:rsid w:val="52836F71"/>
    <w:rsid w:val="52D26B02"/>
    <w:rsid w:val="541A5D30"/>
    <w:rsid w:val="55C1559C"/>
    <w:rsid w:val="55F068CD"/>
    <w:rsid w:val="566C3136"/>
    <w:rsid w:val="568D04F2"/>
    <w:rsid w:val="59314583"/>
    <w:rsid w:val="5A526582"/>
    <w:rsid w:val="5A5F5C77"/>
    <w:rsid w:val="5A711A0D"/>
    <w:rsid w:val="5AD24EF5"/>
    <w:rsid w:val="5B1613E4"/>
    <w:rsid w:val="5B78003B"/>
    <w:rsid w:val="5BC11A60"/>
    <w:rsid w:val="5C7A4D54"/>
    <w:rsid w:val="5CD23B73"/>
    <w:rsid w:val="5D1F14F3"/>
    <w:rsid w:val="5D4D6706"/>
    <w:rsid w:val="5DB06C95"/>
    <w:rsid w:val="5DF63241"/>
    <w:rsid w:val="5EE12031"/>
    <w:rsid w:val="5F127819"/>
    <w:rsid w:val="60350ED3"/>
    <w:rsid w:val="60B72AEE"/>
    <w:rsid w:val="60EC4488"/>
    <w:rsid w:val="61025188"/>
    <w:rsid w:val="61057D5F"/>
    <w:rsid w:val="6126068F"/>
    <w:rsid w:val="614D4977"/>
    <w:rsid w:val="61AB4537"/>
    <w:rsid w:val="62976109"/>
    <w:rsid w:val="62FD1A73"/>
    <w:rsid w:val="63C60FC0"/>
    <w:rsid w:val="64BA3D7A"/>
    <w:rsid w:val="64F179BC"/>
    <w:rsid w:val="65D5373C"/>
    <w:rsid w:val="665704D3"/>
    <w:rsid w:val="672D1356"/>
    <w:rsid w:val="67C065A4"/>
    <w:rsid w:val="67D359C9"/>
    <w:rsid w:val="68042537"/>
    <w:rsid w:val="68FE36DD"/>
    <w:rsid w:val="694E60FC"/>
    <w:rsid w:val="697604D9"/>
    <w:rsid w:val="69B30370"/>
    <w:rsid w:val="69E95A08"/>
    <w:rsid w:val="69F75B28"/>
    <w:rsid w:val="6A256904"/>
    <w:rsid w:val="6A906F5C"/>
    <w:rsid w:val="6B656832"/>
    <w:rsid w:val="6C675CE6"/>
    <w:rsid w:val="6D4F4321"/>
    <w:rsid w:val="6D834BF5"/>
    <w:rsid w:val="6D8C0B84"/>
    <w:rsid w:val="6DF41B82"/>
    <w:rsid w:val="6DFF7360"/>
    <w:rsid w:val="6E7A5F73"/>
    <w:rsid w:val="6E8563B9"/>
    <w:rsid w:val="6E873A42"/>
    <w:rsid w:val="6EE90F9D"/>
    <w:rsid w:val="6FD74228"/>
    <w:rsid w:val="7021106F"/>
    <w:rsid w:val="704626FC"/>
    <w:rsid w:val="715F2A54"/>
    <w:rsid w:val="71633091"/>
    <w:rsid w:val="716F0EE9"/>
    <w:rsid w:val="723B7702"/>
    <w:rsid w:val="72587BCF"/>
    <w:rsid w:val="73081CA5"/>
    <w:rsid w:val="73121A0B"/>
    <w:rsid w:val="74201F7D"/>
    <w:rsid w:val="7487762D"/>
    <w:rsid w:val="74C33AA4"/>
    <w:rsid w:val="75210D7A"/>
    <w:rsid w:val="75385498"/>
    <w:rsid w:val="75412B9C"/>
    <w:rsid w:val="755D54FC"/>
    <w:rsid w:val="75F37776"/>
    <w:rsid w:val="76BC207F"/>
    <w:rsid w:val="76DD68F5"/>
    <w:rsid w:val="76EB4904"/>
    <w:rsid w:val="773459E3"/>
    <w:rsid w:val="77645DCD"/>
    <w:rsid w:val="777378F5"/>
    <w:rsid w:val="777A2D3C"/>
    <w:rsid w:val="78474930"/>
    <w:rsid w:val="79074B81"/>
    <w:rsid w:val="794F0939"/>
    <w:rsid w:val="79AF0FCA"/>
    <w:rsid w:val="79FB6AB1"/>
    <w:rsid w:val="7AF9279C"/>
    <w:rsid w:val="7B9F061D"/>
    <w:rsid w:val="7CC51958"/>
    <w:rsid w:val="7CD53DF9"/>
    <w:rsid w:val="7D097C86"/>
    <w:rsid w:val="7D187F63"/>
    <w:rsid w:val="7E2936C3"/>
    <w:rsid w:val="7E6411B9"/>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49"/>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4"/>
    <w:autoRedefine/>
    <w:qFormat/>
    <w:uiPriority w:val="0"/>
    <w:pPr>
      <w:keepNext/>
      <w:keepLines/>
      <w:spacing w:before="280" w:after="290" w:line="376" w:lineRule="auto"/>
      <w:outlineLvl w:val="3"/>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微软简标宋" w:hAnsi="@微软简标宋" w:eastAsia="@微软简标宋" w:cs="@微软简标宋"/>
      <w:szCs w:val="24"/>
      <w:lang w:val="zh-CN"/>
    </w:rPr>
  </w:style>
  <w:style w:type="paragraph" w:customStyle="1" w:styleId="3">
    <w:name w:val="本文标准样式"/>
    <w:basedOn w:val="1"/>
    <w:qFormat/>
    <w:uiPriority w:val="0"/>
    <w:pPr>
      <w:ind w:firstLine="723"/>
    </w:pPr>
    <w:rPr>
      <w:rFonts w:ascii="Calibri" w:hAnsi="Calibri" w:eastAsia="仿宋"/>
      <w:sz w:val="30"/>
      <w:szCs w:val="24"/>
    </w:r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46"/>
    <w:autoRedefine/>
    <w:qFormat/>
    <w:uiPriority w:val="0"/>
    <w:pPr>
      <w:jc w:val="left"/>
    </w:pPr>
    <w:rPr>
      <w:rFonts w:ascii="Arial" w:hAnsi="Arial" w:eastAsia="黑体" w:cs="Arial"/>
    </w:rPr>
  </w:style>
  <w:style w:type="paragraph" w:styleId="10">
    <w:name w:val="Body Text Indent"/>
    <w:basedOn w:val="1"/>
    <w:autoRedefine/>
    <w:qFormat/>
    <w:uiPriority w:val="0"/>
    <w:pPr>
      <w:spacing w:after="120"/>
      <w:ind w:left="420" w:leftChars="200"/>
    </w:p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36"/>
    <w:autoRedefine/>
    <w:qFormat/>
    <w:uiPriority w:val="99"/>
    <w:rPr>
      <w:rFonts w:ascii="宋体" w:hAnsi="Courier New" w:eastAsiaTheme="minorEastAsia" w:cstheme="minorBidi"/>
      <w:szCs w:val="22"/>
    </w:rPr>
  </w:style>
  <w:style w:type="paragraph" w:styleId="13">
    <w:name w:val="Date"/>
    <w:basedOn w:val="1"/>
    <w:next w:val="1"/>
    <w:link w:val="43"/>
    <w:autoRedefine/>
    <w:qFormat/>
    <w:uiPriority w:val="0"/>
    <w:rPr>
      <w:rFonts w:ascii="Arial" w:hAnsi="Arial" w:eastAsia="宋体" w:cs="Arial"/>
      <w:b/>
      <w:sz w:val="28"/>
    </w:rPr>
  </w:style>
  <w:style w:type="paragraph" w:styleId="14">
    <w:name w:val="Balloon Text"/>
    <w:basedOn w:val="1"/>
    <w:link w:val="30"/>
    <w:autoRedefine/>
    <w:semiHidden/>
    <w:unhideWhenUsed/>
    <w:qFormat/>
    <w:uiPriority w:val="99"/>
    <w:rPr>
      <w:sz w:val="18"/>
      <w:szCs w:val="18"/>
    </w:rPr>
  </w:style>
  <w:style w:type="paragraph" w:styleId="15">
    <w:name w:val="footer"/>
    <w:basedOn w:val="1"/>
    <w:link w:val="35"/>
    <w:autoRedefine/>
    <w:unhideWhenUsed/>
    <w:qFormat/>
    <w:uiPriority w:val="99"/>
    <w:pPr>
      <w:tabs>
        <w:tab w:val="center" w:pos="4153"/>
        <w:tab w:val="right" w:pos="8306"/>
      </w:tabs>
      <w:snapToGrid w:val="0"/>
      <w:jc w:val="left"/>
    </w:pPr>
    <w:rPr>
      <w:sz w:val="18"/>
      <w:szCs w:val="18"/>
    </w:rPr>
  </w:style>
  <w:style w:type="paragraph" w:styleId="16">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autoRedefine/>
    <w:qFormat/>
    <w:uiPriority w:val="0"/>
    <w:pPr>
      <w:spacing w:before="100" w:beforeAutospacing="1" w:after="100" w:afterAutospacing="1"/>
      <w:jc w:val="left"/>
    </w:pPr>
    <w:rPr>
      <w:rFonts w:cs="Times New Roman"/>
      <w:kern w:val="0"/>
      <w:sz w:val="24"/>
    </w:rPr>
  </w:style>
  <w:style w:type="paragraph" w:styleId="20">
    <w:name w:val="index 1"/>
    <w:basedOn w:val="1"/>
    <w:next w:val="1"/>
    <w:autoRedefine/>
    <w:qFormat/>
    <w:uiPriority w:val="0"/>
    <w:pPr>
      <w:jc w:val="center"/>
    </w:pPr>
    <w:rPr>
      <w:rFonts w:ascii="Arial" w:hAnsi="Arial" w:eastAsia="Arial" w:cs="Arial"/>
      <w:b/>
      <w:bCs/>
      <w:sz w:val="28"/>
    </w:rPr>
  </w:style>
  <w:style w:type="paragraph" w:styleId="21">
    <w:name w:val="annotation subject"/>
    <w:basedOn w:val="9"/>
    <w:next w:val="9"/>
    <w:link w:val="57"/>
    <w:autoRedefine/>
    <w:semiHidden/>
    <w:unhideWhenUsed/>
    <w:qFormat/>
    <w:uiPriority w:val="99"/>
    <w:rPr>
      <w:rFonts w:ascii="@仿宋_GB2312" w:hAnsi="@仿宋_GB2312" w:eastAsia="@仿宋_GB2312" w:cs="@仿宋_GB2312"/>
      <w:b/>
      <w:bCs/>
    </w:rPr>
  </w:style>
  <w:style w:type="paragraph" w:styleId="22">
    <w:name w:val="Body Text First Indent"/>
    <w:basedOn w:val="2"/>
    <w:autoRedefine/>
    <w:unhideWhenUsed/>
    <w:qFormat/>
    <w:uiPriority w:val="99"/>
    <w:pPr>
      <w:ind w:firstLine="420" w:firstLineChars="100"/>
    </w:pPr>
  </w:style>
  <w:style w:type="table" w:styleId="24">
    <w:name w:val="Table Grid"/>
    <w:basedOn w:val="2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0"/>
    <w:rPr>
      <w:b/>
      <w:bCs/>
    </w:rPr>
  </w:style>
  <w:style w:type="character" w:styleId="27">
    <w:name w:val="Emphasis"/>
    <w:basedOn w:val="25"/>
    <w:qFormat/>
    <w:uiPriority w:val="0"/>
    <w:rPr>
      <w:i/>
    </w:rPr>
  </w:style>
  <w:style w:type="character" w:styleId="28">
    <w:name w:val="Hyperlink"/>
    <w:basedOn w:val="25"/>
    <w:autoRedefine/>
    <w:unhideWhenUsed/>
    <w:qFormat/>
    <w:uiPriority w:val="99"/>
    <w:rPr>
      <w:color w:val="0000FF" w:themeColor="hyperlink"/>
      <w:u w:val="single"/>
      <w14:textFill>
        <w14:solidFill>
          <w14:schemeClr w14:val="hlink"/>
        </w14:solidFill>
      </w14:textFill>
    </w:rPr>
  </w:style>
  <w:style w:type="character" w:styleId="29">
    <w:name w:val="annotation reference"/>
    <w:basedOn w:val="25"/>
    <w:autoRedefine/>
    <w:semiHidden/>
    <w:unhideWhenUsed/>
    <w:qFormat/>
    <w:uiPriority w:val="99"/>
    <w:rPr>
      <w:sz w:val="21"/>
      <w:szCs w:val="21"/>
    </w:rPr>
  </w:style>
  <w:style w:type="character" w:customStyle="1" w:styleId="30">
    <w:name w:val="批注框文本 字符"/>
    <w:basedOn w:val="25"/>
    <w:link w:val="14"/>
    <w:autoRedefine/>
    <w:semiHidden/>
    <w:qFormat/>
    <w:uiPriority w:val="99"/>
    <w:rPr>
      <w:rFonts w:ascii="@仿宋_GB2312" w:hAnsi="@仿宋_GB2312" w:eastAsia="@仿宋_GB2312" w:cs="@仿宋_GB2312"/>
      <w:sz w:val="18"/>
      <w:szCs w:val="18"/>
    </w:rPr>
  </w:style>
  <w:style w:type="paragraph" w:customStyle="1" w:styleId="31">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2">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3">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4">
    <w:name w:val="页眉 字符"/>
    <w:basedOn w:val="25"/>
    <w:link w:val="16"/>
    <w:autoRedefine/>
    <w:qFormat/>
    <w:uiPriority w:val="99"/>
    <w:rPr>
      <w:rFonts w:ascii="@仿宋_GB2312" w:hAnsi="@仿宋_GB2312" w:eastAsia="@仿宋_GB2312" w:cs="@仿宋_GB2312"/>
      <w:sz w:val="18"/>
      <w:szCs w:val="18"/>
    </w:rPr>
  </w:style>
  <w:style w:type="character" w:customStyle="1" w:styleId="35">
    <w:name w:val="页脚 字符"/>
    <w:basedOn w:val="25"/>
    <w:link w:val="15"/>
    <w:autoRedefine/>
    <w:qFormat/>
    <w:uiPriority w:val="99"/>
    <w:rPr>
      <w:rFonts w:ascii="@仿宋_GB2312" w:hAnsi="@仿宋_GB2312" w:eastAsia="@仿宋_GB2312" w:cs="@仿宋_GB2312"/>
      <w:sz w:val="18"/>
      <w:szCs w:val="18"/>
    </w:rPr>
  </w:style>
  <w:style w:type="character" w:customStyle="1" w:styleId="36">
    <w:name w:val="纯文本 字符"/>
    <w:link w:val="12"/>
    <w:autoRedefine/>
    <w:qFormat/>
    <w:uiPriority w:val="0"/>
    <w:rPr>
      <w:rFonts w:ascii="宋体" w:hAnsi="Courier New"/>
    </w:rPr>
  </w:style>
  <w:style w:type="character" w:customStyle="1" w:styleId="37">
    <w:name w:val="纯文本 字符1"/>
    <w:basedOn w:val="25"/>
    <w:autoRedefine/>
    <w:semiHidden/>
    <w:qFormat/>
    <w:uiPriority w:val="99"/>
    <w:rPr>
      <w:rFonts w:hAnsi="Courier New" w:cs="Courier New" w:asciiTheme="minorEastAsia"/>
      <w:szCs w:val="20"/>
    </w:rPr>
  </w:style>
  <w:style w:type="character" w:customStyle="1" w:styleId="38">
    <w:name w:val="未处理的提及1"/>
    <w:basedOn w:val="25"/>
    <w:autoRedefine/>
    <w:semiHidden/>
    <w:unhideWhenUsed/>
    <w:qFormat/>
    <w:uiPriority w:val="99"/>
    <w:rPr>
      <w:color w:val="605E5C"/>
      <w:shd w:val="clear" w:color="auto" w:fill="E1DFDD"/>
    </w:rPr>
  </w:style>
  <w:style w:type="paragraph" w:styleId="39">
    <w:name w:val="List Paragraph"/>
    <w:basedOn w:val="1"/>
    <w:autoRedefine/>
    <w:qFormat/>
    <w:uiPriority w:val="34"/>
    <w:pPr>
      <w:ind w:firstLine="420" w:firstLineChars="200"/>
    </w:pPr>
  </w:style>
  <w:style w:type="paragraph" w:customStyle="1" w:styleId="40">
    <w:name w:val="Char Char Char Char Char Char Char1 Char"/>
    <w:basedOn w:val="1"/>
    <w:autoRedefine/>
    <w:qFormat/>
    <w:uiPriority w:val="0"/>
    <w:rPr>
      <w:rFonts w:ascii="Arial" w:hAnsi="Arial" w:eastAsia="宋体" w:cs="Arial"/>
      <w:sz w:val="24"/>
    </w:rPr>
  </w:style>
  <w:style w:type="table" w:customStyle="1" w:styleId="41">
    <w:name w:val="网格表 1 浅色1"/>
    <w:basedOn w:val="2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2">
    <w:name w:val="日期 字符"/>
    <w:basedOn w:val="25"/>
    <w:autoRedefine/>
    <w:semiHidden/>
    <w:qFormat/>
    <w:uiPriority w:val="99"/>
    <w:rPr>
      <w:rFonts w:ascii="@仿宋_GB2312" w:hAnsi="@仿宋_GB2312" w:eastAsia="@仿宋_GB2312" w:cs="@仿宋_GB2312"/>
      <w:szCs w:val="20"/>
    </w:rPr>
  </w:style>
  <w:style w:type="character" w:customStyle="1" w:styleId="43">
    <w:name w:val="日期 字符1"/>
    <w:link w:val="13"/>
    <w:autoRedefine/>
    <w:qFormat/>
    <w:uiPriority w:val="0"/>
    <w:rPr>
      <w:rFonts w:ascii="Arial" w:hAnsi="Arial" w:eastAsia="宋体" w:cs="Arial"/>
      <w:b/>
      <w:sz w:val="28"/>
      <w:szCs w:val="20"/>
    </w:rPr>
  </w:style>
  <w:style w:type="character" w:customStyle="1" w:styleId="44">
    <w:name w:val="纯文本 Char1"/>
    <w:autoRedefine/>
    <w:qFormat/>
    <w:locked/>
    <w:uiPriority w:val="99"/>
    <w:rPr>
      <w:rFonts w:ascii="Arial" w:hAnsi="Arial" w:eastAsia="Arial"/>
      <w:kern w:val="2"/>
      <w:sz w:val="21"/>
      <w:lang w:val="en-US" w:eastAsia="zh-CN" w:bidi="ar-SA"/>
    </w:rPr>
  </w:style>
  <w:style w:type="character" w:customStyle="1" w:styleId="45">
    <w:name w:val="批注文字 Char"/>
    <w:basedOn w:val="25"/>
    <w:autoRedefine/>
    <w:semiHidden/>
    <w:qFormat/>
    <w:uiPriority w:val="99"/>
    <w:rPr>
      <w:rFonts w:ascii="@仿宋_GB2312" w:hAnsi="@仿宋_GB2312" w:eastAsia="@仿宋_GB2312" w:cs="@仿宋_GB2312"/>
      <w:szCs w:val="20"/>
    </w:rPr>
  </w:style>
  <w:style w:type="character" w:customStyle="1" w:styleId="46">
    <w:name w:val="批注文字 字符"/>
    <w:link w:val="9"/>
    <w:autoRedefine/>
    <w:qFormat/>
    <w:uiPriority w:val="0"/>
    <w:rPr>
      <w:rFonts w:ascii="Arial" w:hAnsi="Arial" w:eastAsia="黑体" w:cs="Arial"/>
      <w:szCs w:val="20"/>
    </w:rPr>
  </w:style>
  <w:style w:type="character" w:customStyle="1" w:styleId="47">
    <w:name w:val="标题 1 字符"/>
    <w:basedOn w:val="25"/>
    <w:link w:val="4"/>
    <w:autoRedefine/>
    <w:qFormat/>
    <w:uiPriority w:val="9"/>
    <w:rPr>
      <w:rFonts w:ascii="@仿宋_GB2312" w:hAnsi="@仿宋_GB2312" w:eastAsia="@仿宋_GB2312" w:cs="@仿宋_GB2312"/>
      <w:b/>
      <w:bCs/>
      <w:kern w:val="44"/>
      <w:sz w:val="44"/>
      <w:szCs w:val="44"/>
    </w:rPr>
  </w:style>
  <w:style w:type="paragraph" w:customStyle="1" w:styleId="48">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字符"/>
    <w:basedOn w:val="25"/>
    <w:link w:val="6"/>
    <w:autoRedefine/>
    <w:semiHidden/>
    <w:qFormat/>
    <w:uiPriority w:val="9"/>
    <w:rPr>
      <w:rFonts w:ascii="@仿宋_GB2312" w:hAnsi="@仿宋_GB2312" w:eastAsia="@仿宋_GB2312" w:cs="@仿宋_GB2312"/>
      <w:b/>
      <w:bCs/>
      <w:sz w:val="32"/>
      <w:szCs w:val="32"/>
    </w:rPr>
  </w:style>
  <w:style w:type="character" w:customStyle="1" w:styleId="50">
    <w:name w:val="fontstyle01"/>
    <w:basedOn w:val="25"/>
    <w:autoRedefine/>
    <w:qFormat/>
    <w:uiPriority w:val="0"/>
    <w:rPr>
      <w:rFonts w:hint="eastAsia" w:ascii="宋体" w:hAnsi="宋体" w:eastAsia="宋体"/>
      <w:color w:val="000000"/>
      <w:sz w:val="22"/>
      <w:szCs w:val="22"/>
    </w:rPr>
  </w:style>
  <w:style w:type="character" w:customStyle="1" w:styleId="51">
    <w:name w:val="fontstyle21"/>
    <w:basedOn w:val="25"/>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5"/>
    <w:autoRedefine/>
    <w:semiHidden/>
    <w:qFormat/>
    <w:uiPriority w:val="9"/>
    <w:rPr>
      <w:rFonts w:asciiTheme="majorHAnsi" w:hAnsiTheme="majorHAnsi" w:eastAsiaTheme="majorEastAsia" w:cstheme="majorBidi"/>
      <w:b/>
      <w:bCs/>
      <w:sz w:val="28"/>
      <w:szCs w:val="28"/>
    </w:rPr>
  </w:style>
  <w:style w:type="character" w:customStyle="1" w:styleId="54">
    <w:name w:val="标题 4 字符1"/>
    <w:link w:val="7"/>
    <w:autoRedefine/>
    <w:qFormat/>
    <w:uiPriority w:val="0"/>
    <w:rPr>
      <w:rFonts w:ascii="@仿宋_GB2312" w:hAnsi="@仿宋_GB2312" w:eastAsia="@仿宋_GB2312" w:cs="@仿宋_GB2312"/>
      <w:b/>
      <w:bCs/>
      <w:sz w:val="28"/>
      <w:szCs w:val="28"/>
    </w:rPr>
  </w:style>
  <w:style w:type="character" w:customStyle="1" w:styleId="55">
    <w:name w:val="标题 4 Char"/>
    <w:autoRedefine/>
    <w:qFormat/>
    <w:uiPriority w:val="0"/>
    <w:rPr>
      <w:rFonts w:ascii="Arial" w:hAnsi="Arial" w:eastAsia="Arial"/>
      <w:b/>
      <w:bCs/>
      <w:kern w:val="2"/>
      <w:sz w:val="28"/>
      <w:szCs w:val="28"/>
      <w:lang w:val="en-US" w:eastAsia="zh-CN" w:bidi="ar-SA"/>
    </w:rPr>
  </w:style>
  <w:style w:type="table" w:customStyle="1" w:styleId="56">
    <w:name w:val="网格型1"/>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7">
    <w:name w:val="批注主题 字符"/>
    <w:basedOn w:val="46"/>
    <w:link w:val="21"/>
    <w:autoRedefine/>
    <w:semiHidden/>
    <w:qFormat/>
    <w:uiPriority w:val="99"/>
    <w:rPr>
      <w:rFonts w:ascii="@仿宋_GB2312" w:hAnsi="@仿宋_GB2312" w:eastAsia="@仿宋_GB2312" w:cs="@仿宋_GB2312"/>
      <w:b/>
      <w:bCs/>
      <w:szCs w:val="20"/>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autoRedefine/>
    <w:semiHidden/>
    <w:qFormat/>
    <w:uiPriority w:val="0"/>
    <w:rPr>
      <w:rFonts w:ascii="Arial" w:hAnsi="Arial" w:eastAsia="Arial" w:cs="Arial"/>
      <w:szCs w:val="21"/>
      <w:lang w:eastAsia="en-US"/>
    </w:rPr>
  </w:style>
  <w:style w:type="paragraph" w:customStyle="1" w:styleId="60">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1">
    <w:name w:val="列出段落1"/>
    <w:basedOn w:val="1"/>
    <w:autoRedefine/>
    <w:qFormat/>
    <w:uiPriority w:val="0"/>
    <w:pPr>
      <w:ind w:firstLine="420" w:firstLineChars="200"/>
    </w:pPr>
    <w:rPr>
      <w:szCs w:val="21"/>
    </w:rPr>
  </w:style>
  <w:style w:type="paragraph" w:customStyle="1" w:styleId="62">
    <w:name w:val="Default"/>
    <w:basedOn w:val="63"/>
    <w:qFormat/>
    <w:uiPriority w:val="0"/>
    <w:pPr>
      <w:widowControl w:val="0"/>
      <w:autoSpaceDE w:val="0"/>
      <w:autoSpaceDN w:val="0"/>
      <w:adjustRightInd w:val="0"/>
    </w:pPr>
    <w:rPr>
      <w:rFonts w:ascii="楷体_GB2312" w:hAnsi="Calibri" w:eastAsia="楷体_GB2312"/>
      <w:color w:val="000000"/>
      <w:sz w:val="24"/>
    </w:rPr>
  </w:style>
  <w:style w:type="paragraph" w:customStyle="1" w:styleId="63">
    <w:name w:val="!正文"/>
    <w:qFormat/>
    <w:uiPriority w:val="0"/>
    <w:pPr>
      <w:spacing w:line="360" w:lineRule="auto"/>
      <w:ind w:firstLine="200" w:firstLineChars="200"/>
      <w:jc w:val="both"/>
    </w:pPr>
    <w:rPr>
      <w:rFonts w:ascii="Times New Roman" w:hAnsi="Times New Roman" w:eastAsia="仿宋_GB2312" w:cs="Times New Roman"/>
      <w:kern w:val="2"/>
      <w:sz w:val="28"/>
      <w:szCs w:val="24"/>
      <w:lang w:val="en-US" w:eastAsia="zh-CN" w:bidi="ar-SA"/>
    </w:rPr>
  </w:style>
  <w:style w:type="paragraph" w:customStyle="1" w:styleId="6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65">
    <w:name w:val="首行缩进"/>
    <w:basedOn w:val="1"/>
    <w:qFormat/>
    <w:uiPriority w:val="0"/>
    <w:pPr>
      <w:ind w:firstLine="480"/>
    </w:pPr>
    <w:rPr>
      <w:rFonts w:ascii="宋体" w:hAnsi="宋体" w:cs="宋体"/>
      <w:kern w:val="0"/>
    </w:rPr>
  </w:style>
  <w:style w:type="paragraph" w:customStyle="1" w:styleId="66">
    <w:name w:val="Revision"/>
    <w:hidden/>
    <w:unhideWhenUsed/>
    <w:qFormat/>
    <w:uiPriority w:val="99"/>
    <w:rPr>
      <w:rFonts w:ascii="@仿宋_GB2312" w:hAnsi="@仿宋_GB2312" w:eastAsia="@仿宋_GB2312" w:cs="@仿宋_GB2312"/>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733d31f6-8dbc-4e4b-b273-70b003fb3464</errorID>
      <errorWord>-</errorWord>
      <group>L1_Format</group>
      <groupName>格式问题</groupName>
      <ability>L2_HalfPunc</ability>
      <abilityName>全半角检查</abilityName>
      <candidateList>
        <item>－</item>
      </candidateList>
      <explain>文本全半角错误。</explain>
      <paraID>7C6C0649</paraID>
      <start>155</start>
      <end>156</end>
      <status>unmodified</status>
      <modifiedWord/>
      <trackRevisions>false</trackRevisions>
    </reviewItem>
    <reviewItem>
      <errorID>f9aa254a-07f1-4eea-bed3-1ae4f01d3884</errorID>
      <errorWord>-</errorWord>
      <group>L1_Format</group>
      <groupName>格式问题</groupName>
      <ability>L2_HalfPunc</ability>
      <abilityName>全半角检查</abilityName>
      <candidateList>
        <item>－</item>
      </candidateList>
      <explain>文本全半角错误。</explain>
      <paraID>7C6C0649</paraID>
      <start>166</start>
      <end>167</end>
      <status>unmodified</status>
      <modifiedWord/>
      <trackRevisions>false</trackRevisions>
    </reviewItem>
    <reviewItem>
      <errorID>f2c9aa24-7b03-4487-a87c-16b4567494dd</errorID>
      <errorWord>-</errorWord>
      <group>L1_Format</group>
      <groupName>格式问题</groupName>
      <ability>L2_HalfPunc</ability>
      <abilityName>全半角检查</abilityName>
      <candidateList>
        <item>－</item>
      </candidateList>
      <explain>文本全半角错误。</explain>
      <paraID>7C6C0649</paraID>
      <start>170</start>
      <end>171</end>
      <status>unmodified</status>
      <modifiedWord/>
      <trackRevisions>false</trackRevisions>
    </reviewItem>
    <reviewItem>
      <errorID>89d31017-545f-4d08-ad10-c87ff4c84c86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7AAA2C52</paraID>
      <start>0</start>
      <end>2</end>
      <status>unmodified</status>
      <modifiedWord/>
      <trackRevisions>false</trackRevisions>
    </reviewItem>
    <reviewItem>
      <errorID>a350361b-e408-4e4d-8a41-0fa3659c8c97</errorID>
      <errorWord>：</errorWord>
      <group>L1_Format</group>
      <groupName>格式问题</groupName>
      <ability>L2_HalfPunc</ability>
      <abilityName>全半角检查</abilityName>
      <candidateList>
        <item>:</item>
      </candidateList>
      <explain>文本全半角错误。</explain>
      <paraID>7AAA2C52</paraID>
      <start>25</start>
      <end>26</end>
      <status>modified</status>
      <modifiedWord>:</modifiedWord>
      <trackRevisions>false</trackRevisions>
    </reviewItem>
    <reviewItem>
      <errorID>cf558604-56fc-4205-8292-e2f35491421a</errorID>
      <errorWord>微型</errorWord>
      <group>L1_Word</group>
      <groupName>字词问题</groupName>
      <ability>L2_Typo</ability>
      <abilityName>字词错误</abilityName>
      <candidateList>
        <item>微</item>
      </candidateList>
      <explain/>
      <paraID>26E4D2CB</paraID>
      <start>14</start>
      <end>16</end>
      <status>unmodified</status>
      <modifiedWord/>
      <trackRevisions>false</trackRevisions>
    </reviewItem>
    <reviewItem>
      <errorID>aa550973-349b-4b94-8ec8-f4e157637190</errorID>
      <errorWord>（</errorWord>
      <group>L1_Format</group>
      <groupName>格式问题</groupName>
      <ability>L2_HalfPunc</ability>
      <abilityName>全半角检查</abilityName>
      <candidateList>
        <item>(</item>
      </candidateList>
      <explain>文本全半角错误。</explain>
      <paraID> 29DE484</paraID>
      <start>0</start>
      <end>1</end>
      <status>unmodified</status>
      <modifiedWord/>
      <trackRevisions>false</trackRevisions>
    </reviewItem>
    <reviewItem>
      <errorID>9cc4342d-3981-4044-bbe5-dbb819ad95f0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29DE484</paraID>
      <start>158</start>
      <end>159</end>
      <status>unmodified</status>
      <modifiedWord/>
      <trackRevisions>false</trackRevisions>
    </reviewItem>
    <reviewItem>
      <errorID>9a9db9d3-3304-4096-920c-4170f542a9bb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6DD12B89</paraID>
      <start>32</start>
      <end>35</end>
      <status>unmodified</status>
      <modifiedWord/>
      <trackRevisions>false</trackRevisions>
    </reviewItem>
    <reviewItem>
      <errorID>7cc6400f-0fee-47f2-a505-7e32d75510dd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6DD12B89</paraID>
      <start>48</start>
      <end>51</end>
      <status>unmodified</status>
      <modifiedWord/>
      <trackRevisions>false</trackRevisions>
    </reviewItem>
    <reviewItem>
      <errorID>56bf9afe-eea2-46ab-ba4b-14ce4feef779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6DD12B89</paraID>
      <start>55</start>
      <end>58</end>
      <status>unmodified</status>
      <modifiedWord/>
      <trackRevisions>false</trackRevisions>
    </reviewItem>
    <reviewItem>
      <errorID>4f7a430a-f141-49b9-b12b-e55098a6345d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6DD12B89</paraID>
      <start>62</start>
      <end>65</end>
      <status>unmodified</status>
      <modifiedWord/>
      <trackRevisions>false</trackRevisions>
    </reviewItem>
    <reviewItem>
      <errorID>a07735bf-43db-4e4c-a03e-5d93d2f0854d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6DD12B89</paraID>
      <start>69</start>
      <end>72</end>
      <status>unmodified</status>
      <modifiedWord/>
      <trackRevisions>false</trackRevisions>
    </reviewItem>
    <reviewItem>
      <errorID>92aa99d8-2640-4eab-b38c-4593663b1a80</errorID>
      <errorWord>,</errorWord>
      <group>L1_Format</group>
      <groupName>格式问题</groupName>
      <ability>L2_HalfPunc</ability>
      <abilityName>全半角检查</abilityName>
      <candidateList>
        <item>，</item>
      </candidateList>
      <explain>文本全半角错误。</explain>
      <paraID>6EDFA6B7</paraID>
      <start>27</start>
      <end>28</end>
      <status>unmodified</status>
      <modifiedWord/>
      <trackRevisions>false</trackRevisions>
    </reviewItem>
    <reviewItem>
      <errorID>a846182f-e125-45f9-ac5d-7e9177549d55</errorID>
      <errorWord>-</errorWord>
      <group>L1_Format</group>
      <groupName>格式问题</groupName>
      <ability>L2_HalfPunc</ability>
      <abilityName>全半角检查</abilityName>
      <candidateList>
        <item>－</item>
      </candidateList>
      <explain>文本全半角错误。</explain>
      <paraID> A3962D3</paraID>
      <start>36</start>
      <end>37</end>
      <status>unmodified</status>
      <modifiedWord/>
      <trackRevisions>false</trackRevisions>
    </reviewItem>
    <reviewItem>
      <errorID>7fbf80ed-a5ec-406a-b644-d2e4ba6eb492</errorID>
      <errorWord>-</errorWord>
      <group>L1_Format</group>
      <groupName>格式问题</groupName>
      <ability>L2_HalfPunc</ability>
      <abilityName>全半角检查</abilityName>
      <candidateList>
        <item>－</item>
      </candidateList>
      <explain>文本全半角错误。</explain>
      <paraID> A3962D3</paraID>
      <start>47</start>
      <end>48</end>
      <status>unmodified</status>
      <modifiedWord/>
      <trackRevisions>false</trackRevisions>
    </reviewItem>
    <reviewItem>
      <errorID>45566088-77cc-4432-a19a-c8784c7e54e2</errorID>
      <errorWord>-</errorWord>
      <group>L1_Format</group>
      <groupName>格式问题</groupName>
      <ability>L2_HalfPunc</ability>
      <abilityName>全半角检查</abilityName>
      <candidateList>
        <item>－</item>
      </candidateList>
      <explain>文本全半角错误。</explain>
      <paraID> A3962D3</paraID>
      <start>51</start>
      <end>52</end>
      <status>unmodified</status>
      <modifiedWord/>
      <trackRevisions>false</trackRevisions>
    </reviewItem>
    <reviewItem>
      <errorID>b9902f3b-3749-4d3f-93b4-af5708864b94</errorID>
      <errorWord>[2009]216号</errorWord>
      <group>L1_Knowledge</group>
      <groupName>知识性问题</groupName>
      <ability>L2_Knowledge</ability>
      <abilityName>其他知识</abilityName>
      <candidateList>
        <item>〔2009〕216号</item>
      </candidateList>
      <explain>发文字号格式错误。</explain>
      <paraID>50CEC323</paraID>
      <start>20</start>
      <end>30</end>
      <status>unmodified</status>
      <modifiedWord/>
      <trackRevisions>false</trackRevisions>
    </reviewItem>
    <reviewItem>
      <errorID>29a2f507-251b-4edc-bd0d-52e95a0b4d85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23ADAA09</paraID>
      <start>0</start>
      <end>2</end>
      <status>unmodified</status>
      <modifiedWord/>
      <trackRevisions>false</trackRevisions>
    </reviewItem>
    <reviewItem>
      <errorID>685b2f48-ccf6-494e-87fb-c25340ebf5b4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2BEEF0F0</paraID>
      <start>0</start>
      <end>2</end>
      <status>unmodified</status>
      <modifiedWord/>
      <trackRevisions>false</trackRevisions>
    </reviewItem>
    <reviewItem>
      <errorID>0f1db994-762e-4e5c-b9a1-4aae74d10655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29A2ACE7</paraID>
      <start>0</start>
      <end>2</end>
      <status>unmodified</status>
      <modifiedWord/>
      <trackRevisions>false</trackRevisions>
    </reviewItem>
    <reviewItem>
      <errorID>62b51daf-4564-4789-86bb-e7be9c4f573e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3CBE5DC4</paraID>
      <start>43</start>
      <end>46</end>
      <status>unmodified</status>
      <modifiedWord/>
      <trackRevisions>false</trackRevisions>
    </reviewItem>
    <reviewItem>
      <errorID>1a5f7c11-1306-47b2-8785-078f0e19938d</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2CE90926</paraID>
      <start>63</start>
      <end>67</end>
      <status>unmodified</status>
      <modifiedWord/>
      <trackRevisions>false</trackRevisions>
    </reviewItem>
    <reviewItem>
      <errorID>702a5436-34fe-493d-87be-76d509c00c14</errorID>
      <errorWord>(</errorWord>
      <group>L1_Format</group>
      <groupName>格式问题</groupName>
      <ability>L2_HalfPunc</ability>
      <abilityName>全半角检查</abilityName>
      <candidateList>
        <item>（</item>
      </candidateList>
      <explain>文本全半角错误。</explain>
      <paraID>772527BE</paraID>
      <start>39</start>
      <end>40</end>
      <status>unmodified</status>
      <modifiedWord/>
      <trackRevisions>false</trackRevisions>
    </reviewItem>
    <reviewItem>
      <errorID>a405f904-5b70-41fe-b00e-8f20e3d4c092</errorID>
      <errorWord>)</errorWord>
      <group>L1_Format</group>
      <groupName>格式问题</groupName>
      <ability>L2_HalfPunc</ability>
      <abilityName>全半角检查</abilityName>
      <candidateList>
        <item>）</item>
      </candidateList>
      <explain>文本全半角错误。</explain>
      <paraID>772527BE</paraID>
      <start>62</start>
      <end>63</end>
      <status>unmodified</status>
      <modifiedWord/>
      <trackRevisions>false</trackRevisions>
    </reviewItem>
    <reviewItem>
      <errorID>75a3cd21-91c2-487c-b296-fd63ca01d2b0</errorID>
      <errorWord>(</errorWord>
      <group>L1_Format</group>
      <groupName>格式问题</groupName>
      <ability>L2_HalfPunc</ability>
      <abilityName>全半角检查</abilityName>
      <candidateList>
        <item>（</item>
      </candidateList>
      <explain>文本全半角错误。</explain>
      <paraID>772527BE</paraID>
      <start>71</start>
      <end>72</end>
      <status>unmodified</status>
      <modifiedWord/>
      <trackRevisions>false</trackRevisions>
    </reviewItem>
    <reviewItem>
      <errorID>9fb45fd8-4a0c-42c4-b4e5-7a95f5e2a56e</errorID>
      <errorWord>)</errorWord>
      <group>L1_Format</group>
      <groupName>格式问题</groupName>
      <ability>L2_HalfPunc</ability>
      <abilityName>全半角检查</abilityName>
      <candidateList>
        <item>）</item>
      </candidateList>
      <explain>文本全半角错误。</explain>
      <paraID>772527BE</paraID>
      <start>87</start>
      <end>88</end>
      <status>unmodified</status>
      <modifiedWord/>
      <trackRevisions>false</trackRevisions>
    </reviewItem>
    <reviewItem>
      <errorID>8e0b6ff5-d248-4a56-9134-7c17f892e703</errorID>
      <errorWord>(</errorWord>
      <group>L1_Format</group>
      <groupName>格式问题</groupName>
      <ability>L2_HalfPunc</ability>
      <abilityName>全半角检查</abilityName>
      <candidateList>
        <item>（</item>
      </candidateList>
      <explain>文本全半角错误。</explain>
      <paraID>772527BE</paraID>
      <start>125</start>
      <end>126</end>
      <status>unmodified</status>
      <modifiedWord/>
      <trackRevisions>false</trackRevisions>
    </reviewItem>
    <reviewItem>
      <errorID>1f43df27-4c7a-400c-9396-a96da47e6127</errorID>
      <errorWord>)</errorWord>
      <group>L1_Format</group>
      <groupName>格式问题</groupName>
      <ability>L2_HalfPunc</ability>
      <abilityName>全半角检查</abilityName>
      <candidateList>
        <item>）</item>
      </candidateList>
      <explain>文本全半角错误。</explain>
      <paraID>772527BE</paraID>
      <start>148</start>
      <end>149</end>
      <status>unmodified</status>
      <modifiedWord/>
      <trackRevisions>false</trackRevisions>
    </reviewItem>
    <reviewItem>
      <errorID>aa08b0f0-67a3-4fa7-896f-09bf6fa32906</errorID>
      <errorWord>(</errorWord>
      <group>L1_Format</group>
      <groupName>格式问题</groupName>
      <ability>L2_HalfPunc</ability>
      <abilityName>全半角检查</abilityName>
      <candidateList>
        <item>（</item>
      </candidateList>
      <explain>文本全半角错误。</explain>
      <paraID>772527BE</paraID>
      <start>179</start>
      <end>180</end>
      <status>unmodified</status>
      <modifiedWord/>
      <trackRevisions>false</trackRevisions>
    </reviewItem>
    <reviewItem>
      <errorID>9e742752-bf16-4fb3-841a-f0b6c821faa4</errorID>
      <errorWord>)</errorWord>
      <group>L1_Format</group>
      <groupName>格式问题</groupName>
      <ability>L2_HalfPunc</ability>
      <abilityName>全半角检查</abilityName>
      <candidateList>
        <item>）</item>
      </candidateList>
      <explain>文本全半角错误。</explain>
      <paraID>772527BE</paraID>
      <start>195</start>
      <end>196</end>
      <status>unmodified</status>
      <modifiedWord/>
      <trackRevisions>false</trackRevisions>
    </reviewItem>
    <reviewItem>
      <errorID>a8120fcb-2918-4b4e-bc56-1e57ff37cad2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32CF1F0F</paraID>
      <start>19</start>
      <end>22</end>
      <status>unmodified</status>
      <modifiedWord/>
      <trackRevisions>false</trackRevisions>
    </reviewItem>
    <reviewItem>
      <errorID>b7679d6a-a508-4490-af63-bcc83c37ea84</errorID>
      <errorWord>作</errorWord>
      <group>L1_Word</group>
      <groupName>字词问题</groupName>
      <ability>L2_Typo</ability>
      <abilityName>字词错误</abilityName>
      <candidateList>
        <item>做</item>
      </candidateList>
      <explain>存在发音相同字词的误用。</explain>
      <paraID>1B14E300</paraID>
      <start>89</start>
      <end>90</end>
      <status>unmodified</status>
      <modifiedWord/>
      <trackRevisions>false</trackRevisions>
    </reviewItem>
    <reviewItem>
      <errorID>4ecf3339-c711-432c-ab04-a827d0d9ce9a</errorID>
      <errorWord>法律、法规</errorWord>
      <group>L1_Word</group>
      <groupName>字词问题</groupName>
      <ability>L2_Typo</ability>
      <abilityName>字词错误</abilityName>
      <candidateList>
        <item>法律法规</item>
      </candidateList>
      <explain/>
      <paraID>755B073D</paraID>
      <start>3</start>
      <end>8</end>
      <status>unmodified</status>
      <modifiedWord/>
      <trackRevisions>false</trackRevisions>
    </reviewItem>
    <reviewItem>
      <errorID>364e6aba-db20-4be4-bf0f-2b6415e3910c</errorID>
      <errorWord>作</errorWord>
      <group>L1_Word</group>
      <groupName>字词问题</groupName>
      <ability>L2_Typo</ability>
      <abilityName>字词错误</abilityName>
      <candidateList>
        <item>做</item>
      </candidateList>
      <explain>存在发音相同字词的误用。</explain>
      <paraID>26847909</paraID>
      <start>58</start>
      <end>59</end>
      <status>unmodified</status>
      <modifiedWord/>
      <trackRevisions>false</trackRevisions>
    </reviewItem>
    <reviewItem>
      <errorID>8cb4563e-90e9-43a3-b96f-64eb08d36907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7F8A2195</paraID>
      <start>153</start>
      <end>156</end>
      <status>unmodified</status>
      <modifiedWord/>
      <trackRevisions>false</trackRevisions>
    </reviewItem>
    <reviewItem>
      <errorID>ce63eb81-0c86-40b3-b861-ed27904c10cb</errorID>
      <errorWord>少数民族地区</errorWord>
      <group>L1_Word</group>
      <groupName>字词问题</groupName>
      <ability>L2_Typo</ability>
      <abilityName>字词错误</abilityName>
      <candidateList>
        <item>民族地区</item>
      </candidateList>
      <explain/>
      <paraID>291D26D8</paraID>
      <start>128</start>
      <end>134</end>
      <status>unmodified</status>
      <modifiedWord/>
      <trackRevisions>false</trackRevisions>
    </reviewItem>
    <reviewItem>
      <errorID>404759ee-b0b6-4f60-bd02-0df1f3ba4f0a</errorID>
      <errorWord>少数民族地区</errorWord>
      <group>L1_Word</group>
      <groupName>字词问题</groupName>
      <ability>L2_Typo</ability>
      <abilityName>字词错误</abilityName>
      <candidateList>
        <item>民族地区</item>
      </candidateList>
      <explain/>
      <paraID>291D26D8</paraID>
      <start>170</start>
      <end>176</end>
      <status>unmodified</status>
      <modifiedWord/>
      <trackRevisions>false</trackRevisions>
    </reviewItem>
    <reviewItem>
      <errorID>9882ecc9-ab25-4657-9a04-6f9f6a09ccd0</errorID>
      <errorWord>少数民族地区</errorWord>
      <group>L1_Word</group>
      <groupName>字词问题</groupName>
      <ability>L2_Typo</ability>
      <abilityName>字词错误</abilityName>
      <candidateList>
        <item>民族地区</item>
      </candidateList>
      <explain/>
      <paraID>16E9C885</paraID>
      <start>87</start>
      <end>93</end>
      <status>unmodified</status>
      <modifiedWord/>
      <trackRevisions>false</trackRevisions>
    </reviewItem>
    <reviewItem>
      <errorID>95088db5-a09f-4237-b246-4308a8e2dcce</errorID>
      <errorWord>少数民族地区</errorWord>
      <group>L1_Word</group>
      <groupName>字词问题</groupName>
      <ability>L2_Typo</ability>
      <abilityName>字词错误</abilityName>
      <candidateList>
        <item>民族地区</item>
      </candidateList>
      <explain/>
      <paraID>16E9C885</paraID>
      <start>135</start>
      <end>141</end>
      <status>unmodified</status>
      <modifiedWord/>
      <trackRevisions>false</trackRevisions>
    </reviewItem>
    <reviewItem>
      <errorID>36fc91f6-6f33-42ed-9d12-a8f77a75a234</errorID>
      <errorWord>接收</errorWord>
      <group>L1_Word</group>
      <groupName>字词问题</groupName>
      <ability>L2_Typo</ability>
      <abilityName>字词错误</abilityName>
      <candidateList>
        <item>接受</item>
      </candidateList>
      <explain>存在发音相同字词的误用。</explain>
      <paraID>471F1918</paraID>
      <start>9</start>
      <end>11</end>
      <status>unmodified</status>
      <modifiedWord/>
      <trackRevisions>false</trackRevisions>
    </reviewItem>
    <reviewItem>
      <errorID>e1ec0f78-5a99-45b7-9cd7-f689ffa8032a</errorID>
      <errorWord>提出质疑</errorWord>
      <group>L1_Grammar</group>
      <groupName>语法问题</groupName>
      <ability>L2_Grammar</ability>
      <abilityName>语法错误</abilityName>
      <candidateList>
        <item>质疑</item>
      </candidateList>
      <explain>〈动〉提出疑问：～问难。</explain>
      <paraID> 3AEA0C7</paraID>
      <start>72</start>
      <end>76</end>
      <status>unmodified</status>
      <modifiedWord/>
      <trackRevisions>false</trackRevisions>
    </reviewItem>
    <reviewItem>
      <errorID>e4091097-5ae7-4e2d-aa9f-1f29a2779a06</errorID>
      <errorWord>)</errorWord>
      <group>L1_Format</group>
      <groupName>格式问题</groupName>
      <ability>L2_HalfPunc</ability>
      <abilityName>全半角检查</abilityName>
      <candidateList>
        <item>）</item>
      </candidateList>
      <explain>文本全半角错误。</explain>
      <paraID>520AEBCB</paraID>
      <start>3</start>
      <end>4</end>
      <status>unmodified</status>
      <modifiedWord/>
      <trackRevisions>false</trackRevisions>
    </reviewItem>
    <reviewItem>
      <errorID>3b3407e1-9cbc-4f22-a05e-fd201af68e73</errorID>
      <errorWord>)</errorWord>
      <group>L1_Format</group>
      <groupName>格式问题</groupName>
      <ability>L2_HalfPunc</ability>
      <abilityName>全半角检查</abilityName>
      <candidateList>
        <item>）</item>
      </candidateList>
      <explain>文本全半角错误。</explain>
      <paraID>17C28B52</paraID>
      <start>3</start>
      <end>4</end>
      <status>unmodified</status>
      <modifiedWord/>
      <trackRevisions>false</trackRevisions>
    </reviewItem>
    <reviewItem>
      <errorID>e31f4e0f-5d15-4df2-945a-a1c157907e28</errorID>
      <errorWord>)</errorWord>
      <group>L1_Format</group>
      <groupName>格式问题</groupName>
      <ability>L2_HalfPunc</ability>
      <abilityName>全半角检查</abilityName>
      <candidateList>
        <item>）</item>
      </candidateList>
      <explain>文本全半角错误。</explain>
      <paraID>6A99E8F6</paraID>
      <start>3</start>
      <end>4</end>
      <status>unmodified</status>
      <modifiedWord/>
      <trackRevisions>false</trackRevisions>
    </reviewItem>
    <reviewItem>
      <errorID>7f26e388-7990-49bc-a446-1797e6760491</errorID>
      <errorWord>(</errorWord>
      <group>L1_Format</group>
      <groupName>格式问题</groupName>
      <ability>L2_HalfPunc</ability>
      <abilityName>全半角检查</abilityName>
      <candidateList>
        <item>（</item>
      </candidateList>
      <explain>文本全半角错误。</explain>
      <paraID>33E70CE5</paraID>
      <start>22</start>
      <end>23</end>
      <status>unmodified</status>
      <modifiedWord/>
      <trackRevisions>false</trackRevisions>
    </reviewItem>
    <reviewItem>
      <errorID>5ebf1c69-f1d9-41b8-859e-0d1ebeee0ef4</errorID>
      <errorWord>)</errorWord>
      <group>L1_Format</group>
      <groupName>格式问题</groupName>
      <ability>L2_HalfPunc</ability>
      <abilityName>全半角检查</abilityName>
      <candidateList>
        <item>）</item>
      </candidateList>
      <explain>文本全半角错误。</explain>
      <paraID>33E70CE5</paraID>
      <start>26</start>
      <end>27</end>
      <status>unmodified</status>
      <modifiedWord/>
      <trackRevisions>false</trackRevisions>
    </reviewItem>
    <reviewItem>
      <errorID>5e79fa83-7460-4683-b967-40e709bc23b6</errorID>
      <errorWord>(</errorWord>
      <group>L1_Format</group>
      <groupName>格式问题</groupName>
      <ability>L2_HalfPunc</ability>
      <abilityName>全半角检查</abilityName>
      <candidateList>
        <item>（</item>
      </candidateList>
      <explain>文本全半角错误。</explain>
      <paraID>33E70CE5</paraID>
      <start>34</start>
      <end>35</end>
      <status>unmodified</status>
      <modifiedWord/>
      <trackRevisions>false</trackRevisions>
    </reviewItem>
    <reviewItem>
      <errorID>29bdaafd-f4d4-4e62-962d-5376fd658ba9</errorID>
      <errorWord>)</errorWord>
      <group>L1_Format</group>
      <groupName>格式问题</groupName>
      <ability>L2_HalfPunc</ability>
      <abilityName>全半角检查</abilityName>
      <candidateList>
        <item>）</item>
      </candidateList>
      <explain>文本全半角错误。</explain>
      <paraID>33E70CE5</paraID>
      <start>38</start>
      <end>39</end>
      <status>unmodified</status>
      <modifiedWord/>
      <trackRevisions>false</trackRevisions>
    </reviewItem>
    <reviewItem>
      <errorID>2849aece-0180-4e6d-9b27-b5663822ff44</errorID>
      <errorWord>:</errorWord>
      <group>L1_Format</group>
      <groupName>格式问题</groupName>
      <ability>L2_HalfPunc</ability>
      <abilityName>全半角检查</abilityName>
      <candidateList>
        <item>：</item>
      </candidateList>
      <explain>文本全半角错误。</explain>
      <paraID>77312EE3</paraID>
      <start>7</start>
      <end>8</end>
      <status>unmodified</status>
      <modifiedWord/>
      <trackRevisions>false</trackRevisions>
    </reviewItem>
    <reviewItem>
      <errorID>a44885c2-000c-46f7-bf41-ddae8b6318ad</errorID>
      <errorWord>:</errorWord>
      <group>L1_Format</group>
      <groupName>格式问题</groupName>
      <ability>L2_HalfPunc</ability>
      <abilityName>全半角检查</abilityName>
      <candidateList>
        <item>：</item>
      </candidateList>
      <explain>文本全半角错误。</explain>
      <paraID>44FA79DC</paraID>
      <start>8</start>
      <end>9</end>
      <status>unmodified</status>
      <modifiedWord/>
      <trackRevisions>false</trackRevisions>
    </reviewItem>
    <reviewItem>
      <errorID>2779b8b4-b83e-45c4-8c8c-1cef9894fa7a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3AEE1C56</paraID>
      <start>14</start>
      <end>15</end>
      <status>unmodified</status>
      <modifiedWord/>
      <trackRevisions>false</trackRevisions>
    </reviewItem>
    <reviewItem>
      <errorID>f8408457-075a-40ba-bef4-17b33a95131e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1CE4CDC5</paraID>
      <start>179</start>
      <end>182</end>
      <status>unmodified</status>
      <modifiedWord/>
      <trackRevisions>false</trackRevisions>
    </reviewItem>
    <reviewItem>
      <errorID>1faa9faf-098a-499d-98d2-a9352d464f86</errorID>
      <errorWord>-</errorWord>
      <group>L1_Format</group>
      <groupName>格式问题</groupName>
      <ability>L2_HalfPunc</ability>
      <abilityName>全半角检查</abilityName>
      <candidateList>
        <item>－</item>
      </candidateList>
      <explain>文本全半角错误。</explain>
      <paraID>5A72C404</paraID>
      <start>63</start>
      <end>64</end>
      <status>unmodified</status>
      <modifiedWord/>
      <trackRevisions>false</trackRevisions>
    </reviewItem>
    <reviewItem>
      <errorID>2c0a1358-4d86-48af-bfca-2162cce27da0</errorID>
      <errorWord>)</errorWord>
      <group>L1_Format</group>
      <groupName>格式问题</groupName>
      <ability>L2_HalfPunc</ability>
      <abilityName>全半角检查</abilityName>
      <candidateList>
        <item>）</item>
      </candidateList>
      <explain>文本全半角错误。</explain>
      <paraID>527E1E42</paraID>
      <start>3</start>
      <end>4</end>
      <status>unmodified</status>
      <modifiedWord/>
      <trackRevisions>false</trackRevisions>
    </reviewItem>
    <reviewItem>
      <errorID>cb0900e0-8689-4770-b546-3b6738910cbb</errorID>
      <errorWord>:</errorWord>
      <group>L1_Format</group>
      <groupName>格式问题</groupName>
      <ability>L2_HalfPunc</ability>
      <abilityName>全半角检查</abilityName>
      <candidateList>
        <item>：</item>
      </candidateList>
      <explain>文本全半角错误。</explain>
      <paraID>527E1E42</paraID>
      <start>7</start>
      <end>8</end>
      <status>unmodified</status>
      <modifiedWord/>
      <trackRevisions>false</trackRevisions>
    </reviewItem>
    <reviewItem>
      <errorID>4b030f05-74b2-4e1a-a0a3-b7c8a92c9522</errorID>
      <errorWord>)</errorWord>
      <group>L1_Format</group>
      <groupName>格式问题</groupName>
      <ability>L2_HalfPunc</ability>
      <abilityName>全半角检查</abilityName>
      <candidateList>
        <item>）</item>
      </candidateList>
      <explain>文本全半角错误。</explain>
      <paraID>47257D43</paraID>
      <start>3</start>
      <end>4</end>
      <status>unmodified</status>
      <modifiedWord/>
      <trackRevisions>false</trackRevisions>
    </reviewItem>
    <reviewItem>
      <errorID>c91724cd-920c-4b1c-aa8e-6bb71f52eeff</errorID>
      <errorWord>:</errorWord>
      <group>L1_Format</group>
      <groupName>格式问题</groupName>
      <ability>L2_HalfPunc</ability>
      <abilityName>全半角检查</abilityName>
      <candidateList>
        <item>：</item>
      </candidateList>
      <explain>文本全半角错误。</explain>
      <paraID>47257D43</paraID>
      <start>7</start>
      <end>8</end>
      <status>unmodified</status>
      <modifiedWord/>
      <trackRevisions>false</trackRevisions>
    </reviewItem>
    <reviewItem>
      <errorID>f40f38a6-67d8-4223-9f89-b8b6d14597c4</errorID>
      <errorWord>)</errorWord>
      <group>L1_Format</group>
      <groupName>格式问题</groupName>
      <ability>L2_HalfPunc</ability>
      <abilityName>全半角检查</abilityName>
      <candidateList>
        <item>）</item>
      </candidateList>
      <explain>文本全半角错误。</explain>
      <paraID>2662833B</paraID>
      <start>3</start>
      <end>4</end>
      <status>unmodified</status>
      <modifiedWord/>
      <trackRevisions>false</trackRevisions>
    </reviewItem>
    <reviewItem>
      <errorID>a496cbd7-b87d-4710-b62f-da3d6610e837</errorID>
      <errorWord>:</errorWord>
      <group>L1_Format</group>
      <groupName>格式问题</groupName>
      <ability>L2_HalfPunc</ability>
      <abilityName>全半角检查</abilityName>
      <candidateList>
        <item>：</item>
      </candidateList>
      <explain>文本全半角错误。</explain>
      <paraID>2662833B</paraID>
      <start>8</start>
      <end>9</end>
      <status>unmodified</status>
      <modifiedWord/>
      <trackRevisions>false</trackRevisions>
    </reviewItem>
    <reviewItem>
      <errorID>4cf22825-f545-4a53-a4a0-88bd3f5b7965</errorID>
      <errorWord>挡位</errorWord>
      <group>L1_Word</group>
      <groupName>字词问题</groupName>
      <ability>L2_Typo</ability>
      <abilityName>字词错误</abilityName>
      <candidateList>
        <item>档位</item>
      </candidateList>
      <explain/>
      <paraID>1710A9FB</paraID>
      <start>34</start>
      <end>36</end>
      <status>unmodified</status>
      <modifiedWord/>
      <trackRevisions>false</trackRevisions>
    </reviewItem>
    <reviewItem>
      <errorID>a6346273-55f4-49c9-a822-83394c8a5ded</errorID>
      <errorWord>）</errorWord>
      <group>L1_Format</group>
      <groupName>格式问题</groupName>
      <ability>L2_HalfPunc</ability>
      <abilityName>全半角检查</abilityName>
      <candidateList>
        <item>)</item>
      </candidateList>
      <explain>文本全半角错误。</explain>
      <paraID>476868E5</paraID>
      <start>1</start>
      <end>2</end>
      <status>unmodified</status>
      <modifiedWord/>
      <trackRevisions>false</trackRevisions>
    </reviewItem>
    <reviewItem>
      <errorID>8c086f5c-3f4f-4a13-8737-c9760b7aa9c5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3604D7FE</paraID>
      <start>0</start>
      <end>2</end>
      <status>unmodified</status>
      <modifiedWord/>
      <trackRevisions>false</trackRevisions>
    </reviewItem>
    <reviewItem>
      <errorID>6e77ca1c-9499-49e5-9607-95f33cf44f82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349EC8FE</paraID>
      <start>0</start>
      <end>2</end>
      <status>unmodified</status>
      <modifiedWord/>
      <trackRevisions>false</trackRevisions>
    </reviewItem>
    <reviewItem>
      <errorID>ad7569d2-e93f-4e86-b022-42ccd1e93209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10774A8C</paraID>
      <start>0</start>
      <end>2</end>
      <status>unmodified</status>
      <modifiedWord/>
      <trackRevisions>false</trackRevisions>
    </reviewItem>
    <reviewItem>
      <errorID>a063324f-692b-4f8d-97b3-71e7a6794ff4</errorID>
      <errorWord>法律、法规</errorWord>
      <group>L1_Word</group>
      <groupName>字词问题</groupName>
      <ability>L2_Typo</ability>
      <abilityName>字词错误</abilityName>
      <candidateList>
        <item>法律法规</item>
      </candidateList>
      <explain/>
      <paraID>10774A8C</paraID>
      <start>51</start>
      <end>56</end>
      <status>unmodified</status>
      <modifiedWord/>
      <trackRevisions>false</trackRevisions>
    </reviewItem>
    <reviewItem>
      <errorID>d6f03de9-3b1a-443f-95b7-44d7686b7834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41041910</paraID>
      <start>0</start>
      <end>2</end>
      <status>unmodified</status>
      <modifiedWord/>
      <trackRevisions>false</trackRevisions>
    </reviewItem>
    <reviewItem>
      <errorID>ea77da4f-f504-4830-b8db-acb6fbdb87a9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43BCC571</paraID>
      <start>0</start>
      <end>2</end>
      <status>unmodified</status>
      <modifiedWord/>
      <trackRevisions>false</trackRevisions>
    </reviewItem>
    <reviewItem>
      <errorID>3f9d08ff-07ac-44e1-bcdb-47f410f0c267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4E08D561</paraID>
      <start>0</start>
      <end>2</end>
      <status>unmodified</status>
      <modifiedWord/>
      <trackRevisions>false</trackRevisions>
    </reviewItem>
    <reviewItem>
      <errorID>6c28e603-2ef5-45db-bc2a-26698881339d</errorID>
      <errorWord>其它</errorWord>
      <group>L1_Word</group>
      <groupName>字词问题</groupName>
      <ability>L2_Alias</ability>
      <abilityName>也作/曾用词</abilityName>
      <candidateList>
        <item>其他</item>
      </candidateList>
      <explain>词汇[其它]为不规范表述或旧称，其规范书面表述为[其他]。</explain>
      <paraID>32AD8590</paraID>
      <start>0</start>
      <end>2</end>
      <status>modified</status>
      <modifiedWord>其他</modifiedWord>
      <trackRevisions>false</trackRevisions>
    </reviewItem>
    <reviewItem>
      <errorID>8c8e8ac7-4bee-483c-b9fa-69cbfb5a7d9c</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592E5147</paraID>
      <start>3</start>
      <end>5</end>
      <status>unmodified</status>
      <modifiedWord/>
      <trackRevisions>false</trackRevisions>
    </reviewItem>
    <reviewItem>
      <errorID>85347cbf-4274-4d57-85db-68f3c05e50fc</errorID>
      <errorWord>（</errorWord>
      <group>L1_Punc</group>
      <groupName>标点问题</groupName>
      <ability>L2_Punc</ability>
      <abilityName>标点符号检查</abilityName>
      <candidateList/>
      <explain>同一形式括号套用。</explain>
      <paraID>5DCBEF53</paraID>
      <start>183</start>
      <end>184</end>
      <status>unmodified</status>
      <modifiedWord/>
      <trackRevisions>false</trackRevisions>
    </reviewItem>
    <reviewItem>
      <errorID>5dc9b79a-1835-4dcc-83c3-aeaf3a14b6d7</errorID>
      <errorWord>）</errorWord>
      <group>L1_Punc</group>
      <groupName>标点问题</groupName>
      <ability>L2_Punc</ability>
      <abilityName>标点符号检查</abilityName>
      <candidateList/>
      <explain>同一形式括号套用。</explain>
      <paraID>5DCBEF53</paraID>
      <start>187</start>
      <end>188</end>
      <status>unmodified</status>
      <modifiedWord/>
      <trackRevisions>false</trackRevisions>
    </reviewItem>
    <reviewItem>
      <errorID>ec956f39-1437-46e6-969e-b63f33e3af80</errorID>
      <errorWord>详实</errorWord>
      <group>L1_Word</group>
      <groupName>字词问题</groupName>
      <ability>L2_Typo</ability>
      <abilityName>字词错误</abilityName>
      <candidateList>
        <item>翔实</item>
      </candidateList>
      <explain>存在发音相同字词的误用。</explain>
      <paraID>5AC2C830</paraID>
      <start>67</start>
      <end>69</end>
      <status>unmodified</status>
      <modifiedWord/>
      <trackRevisions>false</trackRevisions>
    </reviewItem>
    <reviewItem>
      <errorID>3505b5a6-6478-43ff-9949-f5f9a665757d</errorID>
      <errorWord>(</errorWord>
      <group>L1_Format</group>
      <groupName>格式问题</groupName>
      <ability>L2_HalfPunc</ability>
      <abilityName>全半角检查</abilityName>
      <candidateList>
        <item>（</item>
      </candidateList>
      <explain>文本全半角错误。</explain>
      <paraID>570C17F6</paraID>
      <start>12</start>
      <end>13</end>
      <status>unmodified</status>
      <modifiedWord/>
      <trackRevisions>false</trackRevisions>
    </reviewItem>
    <reviewItem>
      <errorID>c82787dc-9ea8-4650-9104-e1b6f577b159</errorID>
      <errorWord>)</errorWord>
      <group>L1_Format</group>
      <groupName>格式问题</groupName>
      <ability>L2_HalfPunc</ability>
      <abilityName>全半角检查</abilityName>
      <candidateList>
        <item>）</item>
      </candidateList>
      <explain>文本全半角错误。</explain>
      <paraID>570C17F6</paraID>
      <start>22</start>
      <end>23</end>
      <status>unmodified</status>
      <modifiedWord/>
      <trackRevisions>false</trackRevisions>
    </reviewItem>
    <reviewItem>
      <errorID>ef4af3ac-7dd3-4a04-819a-7d355ee020a9</errorID>
      <errorWord>:</errorWord>
      <group>L1_Format</group>
      <groupName>格式问题</groupName>
      <ability>L2_HalfPunc</ability>
      <abilityName>全半角检查</abilityName>
      <candidateList>
        <item>：</item>
      </candidateList>
      <explain>文本全半角错误。</explain>
      <paraID>42BBBCD4</paraID>
      <start>1</start>
      <end>2</end>
      <status>unmodified</status>
      <modifiedWord/>
      <trackRevisions>false</trackRevisions>
    </reviewItem>
    <reviewItem>
      <errorID>224ae153-c316-4bc5-9eca-2c7df1027cfa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55DF6642</paraID>
      <start>13</start>
      <end>16</end>
      <status>unmodified</status>
      <modifiedWord/>
      <trackRevisions>false</trackRevisions>
    </reviewItem>
    <reviewItem>
      <errorID>81243b3e-892d-42a0-829e-6dfbb67463cb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3157FF84</paraID>
      <start>42</start>
      <end>45</end>
      <status>unmodified</status>
      <modifiedWord/>
      <trackRevisions>false</trackRevisions>
    </reviewItem>
    <reviewItem>
      <errorID>aad9a224-286b-4c73-a791-6965dbe30f3d</errorID>
      <errorWord>下</errorWord>
      <group>L1_Word</group>
      <groupName>字词问题</groupName>
      <ability>L2_Typo</ability>
      <abilityName>字词错误</abilityName>
      <candidateList>
        <item>下简</item>
      </candidateList>
      <explain/>
      <paraID> A68D9D0</paraID>
      <start>8</start>
      <end>9</end>
      <status>unmodified</status>
      <modifiedWord/>
      <trackRevisions>false</trackRevisions>
    </reviewItem>
    <reviewItem>
      <errorID>6183ccee-6a12-4e8c-b938-0dcd7caa528b</errorID>
      <errorWord>下</errorWord>
      <group>L1_Word</group>
      <groupName>字词问题</groupName>
      <ability>L2_Typo</ability>
      <abilityName>字词错误</abilityName>
      <candidateList>
        <item>下简</item>
      </candidateList>
      <explain/>
      <paraID>64FFA5F0</paraID>
      <start>8</start>
      <end>9</end>
      <status>unmodified</status>
      <modifiedWord/>
      <trackRevisions>false</trackRevisions>
    </reviewItem>
    <reviewItem>
      <errorID>f80a9abc-d429-4555-a0f2-d04871ce56b2</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751C2E89</paraID>
      <start>57</start>
      <end>58</end>
      <status>unmodified</status>
      <modifiedWord/>
      <trackRevisions>false</trackRevisions>
    </reviewItem>
    <reviewItem>
      <errorID>4bdb1316-f5a1-4415-8c5c-e4c8e44207d4</errorID>
      <errorWord>涉及到</errorWord>
      <group>L1_Grammar</group>
      <groupName>语法问题</groupName>
      <ability>L2_Grammar</ability>
      <abilityName>语法错误</abilityName>
      <candidateList>
        <item>涉及</item>
      </candidateList>
      <explain>〈动〉牵涉到；关联到：案子～好几个人｜这个问题～面很广。</explain>
      <paraID>4C0D164E</paraID>
      <start>40</start>
      <end>43</end>
      <status>unmodified</status>
      <modifiedWord/>
      <trackRevisions>false</trackRevisions>
    </reviewItem>
    <reviewItem>
      <errorID>b3b2078e-6554-4163-aace-446381760889</errorID>
      <errorWord>应</errorWord>
      <group>L1_Word</group>
      <groupName>字词问题</groupName>
      <ability>L2_Typo</ability>
      <abilityName>字词错误</abilityName>
      <candidateList>
        <item>应当</item>
      </candidateList>
      <explain/>
      <paraID>1C0077CD</paraID>
      <start>34</start>
      <end>35</end>
      <status>unmodified</status>
      <modifiedWord/>
      <trackRevisions>false</trackRevisions>
    </reviewItem>
    <reviewItem>
      <errorID>e9decee2-e8e4-48e7-9265-16a271c08de5</errorID>
      <errorWord>作</errorWord>
      <group>L1_Word</group>
      <groupName>字词问题</groupName>
      <ability>L2_Typo</ability>
      <abilityName>字词错误</abilityName>
      <candidateList>
        <item>做</item>
      </candidateList>
      <explain>存在发音相同字词的误用。</explain>
      <paraID>668BB69F</paraID>
      <start>4</start>
      <end>5</end>
      <status>unmodified</status>
      <modifiedWord/>
      <trackRevisions>false</trackRevisions>
    </reviewItem>
    <reviewItem>
      <errorID>7ab0b12c-7a53-4937-afe7-87e88a153728</errorID>
      <errorWord>,</errorWord>
      <group>L1_Format</group>
      <groupName>格式问题</groupName>
      <ability>L2_HalfPunc</ability>
      <abilityName>全半角检查</abilityName>
      <candidateList>
        <item>，</item>
      </candidateList>
      <explain>文本全半角错误。</explain>
      <paraID>4CF4E4F2</paraID>
      <start>26</start>
      <end>27</end>
      <status>unmodified</status>
      <modifiedWord/>
      <trackRevisions>false</trackRevisions>
    </reviewItem>
    <reviewItem>
      <errorID>9b0f983d-c97e-4048-ab4d-2b0cb5ffc0a4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78775A16</paraID>
      <start>0</start>
      <end>2</end>
      <status>modified</status>
      <modifiedWord>三、</modifiedWord>
      <trackRevisions>false</trackRevisions>
    </reviewItem>
    <reviewItem>
      <errorID>e495be51-89c0-4840-8d3d-3f67dd37ca9d</errorID>
      <errorWord>程</errorWord>
      <group>L1_Word</group>
      <groupName>字词问题</groupName>
      <ability>L2_Typo</ability>
      <abilityName>字词错误</abilityName>
      <candidateList>
        <item>程中</item>
      </candidateList>
      <explain/>
      <paraID>5E50A686</paraID>
      <start>70</start>
      <end>71</end>
      <status>unmodified</status>
      <modifiedWord/>
      <trackRevisions>false</trackRevisions>
    </reviewItem>
    <reviewItem>
      <errorID>c7f3e1c5-0333-4cf0-9d1d-38f6b8b507fd</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cee03552-8f2e-4647-9376-2b1699282c27</errorID>
      <errorWord>(</errorWord>
      <group>L1_Format</group>
      <groupName>格式问题</groupName>
      <ability>L2_HalfPunc</ability>
      <abilityName>全半角检查</abilityName>
      <candidateList>
        <item>（</item>
      </candidateList>
      <explain>文本全半角错误。</explain>
      <paraID>  109325</paraID>
      <start>59</start>
      <end>60</end>
      <status>unmodified</status>
      <modifiedWord/>
      <trackRevisions>false</trackRevisions>
    </reviewItem>
    <reviewItem>
      <errorID>9a06138c-00a0-4317-9a59-496378351952</errorID>
      <errorWord>)</errorWord>
      <group>L1_Format</group>
      <groupName>格式问题</groupName>
      <ability>L2_HalfPunc</ability>
      <abilityName>全半角检查</abilityName>
      <candidateList>
        <item>）</item>
      </candidateList>
      <explain>文本全半角错误。</explain>
      <paraID>  109325</paraID>
      <start>76</start>
      <end>77</end>
      <status>unmodified</status>
      <modifiedWord/>
      <trackRevisions>false</trackRevisions>
    </reviewItem>
    <reviewItem>
      <errorID>78923497-be5d-4e8b-b7a6-1c57e2657b56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7798627F</paraID>
      <start>0</start>
      <end>2</end>
      <status>unmodified</status>
      <modifiedWord/>
      <trackRevisions>false</trackRevisions>
    </reviewItem>
    <reviewItem>
      <errorID>32f02570-b330-4742-99fa-7aa182017f1f</errorID>
      <errorWord>-</errorWord>
      <group>L1_Format</group>
      <groupName>格式问题</groupName>
      <ability>L2_HalfPunc</ability>
      <abilityName>全半角检查</abilityName>
      <candidateList>
        <item>－</item>
      </candidateList>
      <explain>文本全半角错误。</explain>
      <paraID>228CB750</paraID>
      <start>19</start>
      <end>20</end>
      <status>unmodified</status>
      <modifiedWord/>
      <trackRevisions>false</trackRevisions>
    </reviewItem>
    <reviewItem>
      <errorID>3935c0ce-851a-42bf-a3a3-7ee539b79fef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27EDFBFB</paraID>
      <start>49</start>
      <end>52</end>
      <status>unmodified</status>
      <modifiedWord/>
      <trackRevisions>false</trackRevisions>
    </reviewItem>
    <reviewItem>
      <errorID>c560990a-c00c-48d6-82ea-0c7251904f52</errorID>
      <errorWord>(</errorWord>
      <group>L1_Format</group>
      <groupName>格式问题</groupName>
      <ability>L2_HalfPunc</ability>
      <abilityName>全半角检查</abilityName>
      <candidateList>
        <item>（</item>
      </candidateList>
      <explain>文本全半角错误。</explain>
      <paraID>7828A08D</paraID>
      <start>38</start>
      <end>39</end>
      <status>unmodified</status>
      <modifiedWord/>
      <trackRevisions>false</trackRevisions>
    </reviewItem>
    <reviewItem>
      <errorID>f8a892e1-4fde-4f17-8c8e-aba982e9353f</errorID>
      <errorWord>)</errorWord>
      <group>L1_Format</group>
      <groupName>格式问题</groupName>
      <ability>L2_HalfPunc</ability>
      <abilityName>全半角检查</abilityName>
      <candidateList>
        <item>）</item>
      </candidateList>
      <explain>文本全半角错误。</explain>
      <paraID>7828A08D</paraID>
      <start>42</start>
      <end>43</end>
      <status>unmodified</status>
      <modifiedWord/>
      <trackRevisions>false</trackRevisions>
    </reviewItem>
    <reviewItem>
      <errorID>888d060a-f7a8-42e2-8e89-ebc8e0b53412</errorID>
      <errorWord>(</errorWord>
      <group>L1_Format</group>
      <groupName>格式问题</groupName>
      <ability>L2_HalfPunc</ability>
      <abilityName>全半角检查</abilityName>
      <candidateList>
        <item>（</item>
      </candidateList>
      <explain>文本全半角错误。</explain>
      <paraID>7828A08D</paraID>
      <start>47</start>
      <end>48</end>
      <status>unmodified</status>
      <modifiedWord/>
      <trackRevisions>false</trackRevisions>
    </reviewItem>
    <reviewItem>
      <errorID>bef37541-f552-4d2b-bf16-8aa942acd61c</errorID>
      <errorWord>)</errorWord>
      <group>L1_Format</group>
      <groupName>格式问题</groupName>
      <ability>L2_HalfPunc</ability>
      <abilityName>全半角检查</abilityName>
      <candidateList>
        <item>）</item>
      </candidateList>
      <explain>文本全半角错误。</explain>
      <paraID>7828A08D</paraID>
      <start>53</start>
      <end>54</end>
      <status>unmodified</status>
      <modifiedWord/>
      <trackRevisions>false</trackRevisions>
    </reviewItem>
    <reviewItem>
      <errorID>7996587f-83a4-47ad-aa7b-a9003a6b3e87</errorID>
      <errorWord>(</errorWord>
      <group>L1_Format</group>
      <groupName>格式问题</groupName>
      <ability>L2_HalfPunc</ability>
      <abilityName>全半角检查</abilityName>
      <candidateList>
        <item>（</item>
      </candidateList>
      <explain>文本全半角错误。</explain>
      <paraID>23123B7C</paraID>
      <start>2</start>
      <end>3</end>
      <status>unmodified</status>
      <modifiedWord/>
      <trackRevisions>false</trackRevisions>
    </reviewItem>
    <reviewItem>
      <errorID>bf445315-cecf-4fc8-a2ab-85c24267a66c</errorID>
      <errorWord>)</errorWord>
      <group>L1_Format</group>
      <groupName>格式问题</groupName>
      <ability>L2_HalfPunc</ability>
      <abilityName>全半角检查</abilityName>
      <candidateList>
        <item>）</item>
      </candidateList>
      <explain>文本全半角错误。</explain>
      <paraID>23123B7C</paraID>
      <start>6</start>
      <end>7</end>
      <status>unmodified</status>
      <modifiedWord/>
      <trackRevisions>false</trackRevisions>
    </reviewItem>
    <reviewItem>
      <errorID>16aa3a10-6c45-4266-9ec6-b3691ffa1e02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1819F101</paraID>
      <start>0</start>
      <end>2</end>
      <status>unmodified</status>
      <modifiedWord/>
      <trackRevisions>false</trackRevisions>
    </reviewItem>
    <reviewItem>
      <errorID>ccbe8e10-bf71-4b0d-83a7-a65168e6b771</errorID>
      <errorWord>(</errorWord>
      <group>L1_Format</group>
      <groupName>格式问题</groupName>
      <ability>L2_HalfPunc</ability>
      <abilityName>全半角检查</abilityName>
      <candidateList>
        <item>（</item>
      </candidateList>
      <explain>文本全半角错误。</explain>
      <paraID>1819F101</paraID>
      <start>2</start>
      <end>3</end>
      <status>unmodified</status>
      <modifiedWord/>
      <trackRevisions>false</trackRevisions>
    </reviewItem>
    <reviewItem>
      <errorID>da94b0ec-7418-451e-8b0e-8a47ebc40284</errorID>
      <errorWord>)</errorWord>
      <group>L1_Format</group>
      <groupName>格式问题</groupName>
      <ability>L2_HalfPunc</ability>
      <abilityName>全半角检查</abilityName>
      <candidateList>
        <item>）</item>
      </candidateList>
      <explain>文本全半角错误。</explain>
      <paraID>1819F101</paraID>
      <start>8</start>
      <end>9</end>
      <status>unmodified</status>
      <modifiedWord/>
      <trackRevisions>false</trackRevisions>
    </reviewItem>
    <reviewItem>
      <errorID>74f3f6fd-41d2-4597-9941-a46c89b0f771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75CF52F2</paraID>
      <start>0</start>
      <end>2</end>
      <status>unmodified</status>
      <modifiedWord/>
      <trackRevisions>false</trackRevisions>
    </reviewItem>
    <reviewItem>
      <errorID>2d380a03-2461-4eee-a01b-3c0f173666ae</errorID>
      <errorWord>(</errorWord>
      <group>L1_Format</group>
      <groupName>格式问题</groupName>
      <ability>L2_HalfPunc</ability>
      <abilityName>全半角检查</abilityName>
      <candidateList>
        <item>（</item>
      </candidateList>
      <explain>文本全半角错误。</explain>
      <paraID>75CF52F2</paraID>
      <start>2</start>
      <end>3</end>
      <status>unmodified</status>
      <modifiedWord/>
      <trackRevisions>false</trackRevisions>
    </reviewItem>
    <reviewItem>
      <errorID>64b0598e-24b0-4235-b02a-9171a0845d82</errorID>
      <errorWord>)</errorWord>
      <group>L1_Format</group>
      <groupName>格式问题</groupName>
      <ability>L2_HalfPunc</ability>
      <abilityName>全半角检查</abilityName>
      <candidateList>
        <item>）</item>
      </candidateList>
      <explain>文本全半角错误。</explain>
      <paraID>75CF52F2</paraID>
      <start>14</start>
      <end>15</end>
      <status>unmodified</status>
      <modifiedWord/>
      <trackRevisions>false</trackRevisions>
    </reviewItem>
    <reviewItem>
      <errorID>bd7751bb-c478-4ca4-96ef-4da47077c1bd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71317426</paraID>
      <start>0</start>
      <end>2</end>
      <status>unmodified</status>
      <modifiedWord/>
      <trackRevisions>false</trackRevisions>
    </reviewItem>
    <reviewItem>
      <errorID>f808e49b-9a01-45fc-a733-2ba808f94c6e</errorID>
      <errorWord>(</errorWord>
      <group>L1_Format</group>
      <groupName>格式问题</groupName>
      <ability>L2_HalfPunc</ability>
      <abilityName>全半角检查</abilityName>
      <candidateList>
        <item>（</item>
      </candidateList>
      <explain>文本全半角错误。</explain>
      <paraID>71317426</paraID>
      <start>2</start>
      <end>3</end>
      <status>unmodified</status>
      <modifiedWord/>
      <trackRevisions>false</trackRevisions>
    </reviewItem>
    <reviewItem>
      <errorID>b79ee162-3665-4ead-9621-e3db40cb09da</errorID>
      <errorWord>)</errorWord>
      <group>L1_Format</group>
      <groupName>格式问题</groupName>
      <ability>L2_HalfPunc</ability>
      <abilityName>全半角检查</abilityName>
      <candidateList>
        <item>）</item>
      </candidateList>
      <explain>文本全半角错误。</explain>
      <paraID>71317426</paraID>
      <start>5</start>
      <end>6</end>
      <status>unmodified</status>
      <modifiedWord/>
      <trackRevisions>false</trackRevisions>
    </reviewItem>
    <reviewItem>
      <errorID>112def79-1f6a-4203-94ef-e39fd3748b70</errorID>
      <errorWord>(</errorWord>
      <group>L1_Format</group>
      <groupName>格式问题</groupName>
      <ability>L2_HalfPunc</ability>
      <abilityName>全半角检查</abilityName>
      <candidateList>
        <item>（</item>
      </candidateList>
      <explain>文本全半角错误。</explain>
      <paraID>2BFB1D19</paraID>
      <start>2</start>
      <end>3</end>
      <status>unmodified</status>
      <modifiedWord/>
      <trackRevisions>false</trackRevisions>
    </reviewItem>
    <reviewItem>
      <errorID>aac28ec6-9be2-4f5a-9c09-9e6f8f5ea421</errorID>
      <errorWord>)</errorWord>
      <group>L1_Format</group>
      <groupName>格式问题</groupName>
      <ability>L2_HalfPunc</ability>
      <abilityName>全半角检查</abilityName>
      <candidateList>
        <item>）</item>
      </candidateList>
      <explain>文本全半角错误。</explain>
      <paraID>2BFB1D19</paraID>
      <start>6</start>
      <end>7</end>
      <status>unmodified</status>
      <modifiedWord/>
      <trackRevisions>false</trackRevisions>
    </reviewItem>
    <reviewItem>
      <errorID>b8a773d6-44be-4828-89d8-c7796ee8d4f9</errorID>
      <errorWord>(</errorWord>
      <group>L1_Format</group>
      <groupName>格式问题</groupName>
      <ability>L2_HalfPunc</ability>
      <abilityName>全半角检查</abilityName>
      <candidateList>
        <item>（</item>
      </candidateList>
      <explain>文本全半角错误。</explain>
      <paraID>75373188</paraID>
      <start>2</start>
      <end>3</end>
      <status>unmodified</status>
      <modifiedWord/>
      <trackRevisions>false</trackRevisions>
    </reviewItem>
    <reviewItem>
      <errorID>0450ce7f-576d-47c9-95ff-863825014b7a</errorID>
      <errorWord>)</errorWord>
      <group>L1_Format</group>
      <groupName>格式问题</groupName>
      <ability>L2_HalfPunc</ability>
      <abilityName>全半角检查</abilityName>
      <candidateList>
        <item>）</item>
      </candidateList>
      <explain>文本全半角错误。</explain>
      <paraID>75373188</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customXml/itemProps3.xml><?xml version="1.0" encoding="utf-8"?>
<ds:datastoreItem xmlns:ds="http://schemas.openxmlformats.org/officeDocument/2006/customXml" ds:itemID="{6E3A1AEE-E14B-4970-B0A6-99A4CBE5B4A8}">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105</Pages>
  <Words>2003</Words>
  <Characters>2555</Characters>
  <Lines>2301</Lines>
  <Paragraphs>2102</Paragraphs>
  <TotalTime>148</TotalTime>
  <ScaleCrop>false</ScaleCrop>
  <LinksUpToDate>false</LinksUpToDate>
  <CharactersWithSpaces>2601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中技王工</cp:lastModifiedBy>
  <cp:lastPrinted>2019-12-07T15:18:00Z</cp:lastPrinted>
  <dcterms:modified xsi:type="dcterms:W3CDTF">2026-08-03T06:22:23Z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1ECEA165F94845FFAF35C1C96E4FB9B0_12</vt:lpwstr>
  </property>
  <property fmtid="{D5CDD505-2E9C-101B-9397-08002B2CF9AE}" pid="4" name="KSOTemplateDocerSaveRecord">
    <vt:lpwstr>eyJoZGlkIjoiZTFhMzI4M2I3YjAzYmRiNmM4MTU0ZTBmZTZiNDgyMTgiLCJ1c2VySWQiOiI2OTkxMTY3MDMifQ==</vt:lpwstr>
  </property>
</Properties>
</file>