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B864E">
      <w:pPr>
        <w:pStyle w:val="6"/>
        <w:spacing w:line="318" w:lineRule="auto"/>
        <w:rPr>
          <w:color w:val="auto"/>
          <w:highlight w:val="none"/>
        </w:rPr>
      </w:pPr>
    </w:p>
    <w:p w14:paraId="067048C4">
      <w:pPr>
        <w:pStyle w:val="6"/>
        <w:spacing w:line="318" w:lineRule="auto"/>
        <w:rPr>
          <w:color w:val="auto"/>
          <w:highlight w:val="none"/>
        </w:rPr>
      </w:pPr>
    </w:p>
    <w:p w14:paraId="5FF6DB30">
      <w:pPr>
        <w:pStyle w:val="6"/>
        <w:spacing w:line="318" w:lineRule="auto"/>
        <w:rPr>
          <w:color w:val="auto"/>
          <w:highlight w:val="none"/>
        </w:rPr>
      </w:pPr>
    </w:p>
    <w:p w14:paraId="12B2334F">
      <w:pPr>
        <w:spacing w:before="230" w:line="213" w:lineRule="auto"/>
        <w:ind w:left="2230"/>
        <w:outlineLvl w:val="0"/>
        <w:rPr>
          <w:rFonts w:ascii="宋体" w:hAnsi="宋体" w:eastAsia="宋体" w:cs="宋体"/>
          <w:color w:val="auto"/>
          <w:sz w:val="71"/>
          <w:szCs w:val="71"/>
          <w:highlight w:val="none"/>
        </w:rPr>
      </w:pPr>
      <w:r>
        <w:rPr>
          <w:rFonts w:ascii="宋体" w:hAnsi="宋体" w:eastAsia="宋体" w:cs="宋体"/>
          <w:color w:val="auto"/>
          <w:sz w:val="71"/>
          <w:szCs w:val="71"/>
          <w:highlight w:val="none"/>
        </w:rPr>
        <w:t>征 集</w:t>
      </w:r>
      <w:r>
        <w:rPr>
          <w:rFonts w:ascii="宋体" w:hAnsi="宋体" w:eastAsia="宋体" w:cs="宋体"/>
          <w:color w:val="auto"/>
          <w:spacing w:val="30"/>
          <w:sz w:val="71"/>
          <w:szCs w:val="71"/>
          <w:highlight w:val="none"/>
        </w:rPr>
        <w:t xml:space="preserve"> </w:t>
      </w:r>
      <w:r>
        <w:rPr>
          <w:rFonts w:ascii="宋体" w:hAnsi="宋体" w:eastAsia="宋体" w:cs="宋体"/>
          <w:color w:val="auto"/>
          <w:sz w:val="71"/>
          <w:szCs w:val="71"/>
          <w:highlight w:val="none"/>
        </w:rPr>
        <w:t>文</w:t>
      </w:r>
      <w:r>
        <w:rPr>
          <w:rFonts w:ascii="宋体" w:hAnsi="宋体" w:eastAsia="宋体" w:cs="宋体"/>
          <w:color w:val="auto"/>
          <w:spacing w:val="16"/>
          <w:sz w:val="71"/>
          <w:szCs w:val="71"/>
          <w:highlight w:val="none"/>
        </w:rPr>
        <w:t xml:space="preserve"> </w:t>
      </w:r>
      <w:r>
        <w:rPr>
          <w:rFonts w:ascii="宋体" w:hAnsi="宋体" w:eastAsia="宋体" w:cs="宋体"/>
          <w:color w:val="auto"/>
          <w:sz w:val="71"/>
          <w:szCs w:val="71"/>
          <w:highlight w:val="none"/>
        </w:rPr>
        <w:t>件</w:t>
      </w:r>
    </w:p>
    <w:p w14:paraId="5FEBE8C9">
      <w:pPr>
        <w:pStyle w:val="6"/>
        <w:spacing w:line="249" w:lineRule="auto"/>
        <w:rPr>
          <w:color w:val="auto"/>
          <w:highlight w:val="none"/>
        </w:rPr>
      </w:pPr>
    </w:p>
    <w:p w14:paraId="404E1C47">
      <w:pPr>
        <w:pStyle w:val="6"/>
        <w:spacing w:line="249" w:lineRule="auto"/>
        <w:rPr>
          <w:color w:val="auto"/>
          <w:highlight w:val="none"/>
        </w:rPr>
      </w:pPr>
    </w:p>
    <w:p w14:paraId="443BEA93">
      <w:pPr>
        <w:pStyle w:val="6"/>
        <w:spacing w:line="250" w:lineRule="auto"/>
        <w:rPr>
          <w:color w:val="auto"/>
          <w:highlight w:val="none"/>
        </w:rPr>
      </w:pPr>
    </w:p>
    <w:p w14:paraId="5EF03755">
      <w:pPr>
        <w:pStyle w:val="6"/>
        <w:spacing w:line="250" w:lineRule="auto"/>
        <w:rPr>
          <w:color w:val="auto"/>
          <w:highlight w:val="none"/>
        </w:rPr>
      </w:pPr>
    </w:p>
    <w:p w14:paraId="12B846CA">
      <w:pPr>
        <w:spacing w:before="98" w:line="220" w:lineRule="auto"/>
        <w:ind w:left="2875"/>
        <w:rPr>
          <w:rFonts w:ascii="宋体" w:hAnsi="宋体" w:eastAsia="宋体" w:cs="宋体"/>
          <w:color w:val="auto"/>
          <w:sz w:val="30"/>
          <w:szCs w:val="30"/>
          <w:highlight w:val="none"/>
        </w:rPr>
      </w:pPr>
      <w:r>
        <w:rPr>
          <w:rFonts w:ascii="宋体" w:hAnsi="宋体" w:eastAsia="宋体" w:cs="宋体"/>
          <w:color w:val="auto"/>
          <w:spacing w:val="-3"/>
          <w:sz w:val="30"/>
          <w:szCs w:val="30"/>
          <w:highlight w:val="none"/>
        </w:rPr>
        <w:t>（封闭式框架协议）</w:t>
      </w:r>
    </w:p>
    <w:p w14:paraId="16C5FE62">
      <w:pPr>
        <w:pStyle w:val="6"/>
        <w:spacing w:line="243" w:lineRule="auto"/>
        <w:rPr>
          <w:color w:val="auto"/>
          <w:highlight w:val="none"/>
        </w:rPr>
      </w:pPr>
    </w:p>
    <w:p w14:paraId="1855045F">
      <w:pPr>
        <w:pStyle w:val="6"/>
        <w:spacing w:line="243" w:lineRule="auto"/>
        <w:rPr>
          <w:color w:val="auto"/>
          <w:highlight w:val="none"/>
        </w:rPr>
      </w:pPr>
    </w:p>
    <w:p w14:paraId="6271331E">
      <w:pPr>
        <w:pStyle w:val="6"/>
        <w:spacing w:line="243" w:lineRule="auto"/>
        <w:rPr>
          <w:color w:val="auto"/>
          <w:highlight w:val="none"/>
        </w:rPr>
      </w:pPr>
    </w:p>
    <w:p w14:paraId="4E1D9D87">
      <w:pPr>
        <w:pStyle w:val="6"/>
        <w:spacing w:line="243" w:lineRule="auto"/>
        <w:rPr>
          <w:color w:val="auto"/>
          <w:highlight w:val="none"/>
        </w:rPr>
      </w:pPr>
      <w:bookmarkStart w:id="65" w:name="_GoBack"/>
      <w:bookmarkEnd w:id="65"/>
    </w:p>
    <w:p w14:paraId="67916086">
      <w:pPr>
        <w:pStyle w:val="6"/>
        <w:spacing w:line="243" w:lineRule="auto"/>
        <w:rPr>
          <w:color w:val="auto"/>
          <w:highlight w:val="none"/>
        </w:rPr>
      </w:pPr>
    </w:p>
    <w:p w14:paraId="41D84560">
      <w:pPr>
        <w:pStyle w:val="6"/>
        <w:spacing w:line="243" w:lineRule="auto"/>
        <w:rPr>
          <w:color w:val="auto"/>
          <w:highlight w:val="none"/>
        </w:rPr>
      </w:pPr>
    </w:p>
    <w:p w14:paraId="0288E8A9">
      <w:pPr>
        <w:pStyle w:val="6"/>
        <w:spacing w:line="243" w:lineRule="auto"/>
        <w:rPr>
          <w:color w:val="auto"/>
          <w:highlight w:val="none"/>
        </w:rPr>
      </w:pPr>
    </w:p>
    <w:p w14:paraId="47D2BFD7">
      <w:pPr>
        <w:pStyle w:val="6"/>
        <w:spacing w:line="243" w:lineRule="auto"/>
        <w:rPr>
          <w:color w:val="auto"/>
          <w:highlight w:val="none"/>
        </w:rPr>
      </w:pPr>
    </w:p>
    <w:p w14:paraId="51DB81C6">
      <w:pPr>
        <w:pStyle w:val="6"/>
        <w:spacing w:line="243" w:lineRule="auto"/>
        <w:rPr>
          <w:color w:val="auto"/>
          <w:highlight w:val="none"/>
        </w:rPr>
      </w:pPr>
    </w:p>
    <w:p w14:paraId="6EC9B403">
      <w:pPr>
        <w:pStyle w:val="6"/>
        <w:spacing w:line="243" w:lineRule="auto"/>
        <w:rPr>
          <w:color w:val="auto"/>
          <w:highlight w:val="none"/>
        </w:rPr>
      </w:pPr>
    </w:p>
    <w:p w14:paraId="5805D95D">
      <w:pPr>
        <w:pStyle w:val="6"/>
        <w:spacing w:line="243" w:lineRule="auto"/>
        <w:rPr>
          <w:color w:val="auto"/>
          <w:highlight w:val="none"/>
        </w:rPr>
      </w:pPr>
    </w:p>
    <w:p w14:paraId="429F87AA">
      <w:pPr>
        <w:pStyle w:val="6"/>
        <w:spacing w:line="243" w:lineRule="auto"/>
        <w:rPr>
          <w:color w:val="auto"/>
          <w:highlight w:val="none"/>
        </w:rPr>
      </w:pPr>
    </w:p>
    <w:p w14:paraId="7CD1FBCD">
      <w:pPr>
        <w:pStyle w:val="6"/>
        <w:spacing w:line="243" w:lineRule="auto"/>
        <w:rPr>
          <w:color w:val="auto"/>
          <w:highlight w:val="none"/>
        </w:rPr>
      </w:pPr>
    </w:p>
    <w:p w14:paraId="29F6B8F8">
      <w:pPr>
        <w:pStyle w:val="6"/>
        <w:spacing w:line="243" w:lineRule="auto"/>
        <w:rPr>
          <w:color w:val="auto"/>
          <w:highlight w:val="none"/>
        </w:rPr>
      </w:pPr>
    </w:p>
    <w:p w14:paraId="0267F8DF">
      <w:pPr>
        <w:pStyle w:val="6"/>
        <w:spacing w:line="243" w:lineRule="auto"/>
        <w:rPr>
          <w:color w:val="auto"/>
          <w:highlight w:val="none"/>
        </w:rPr>
      </w:pPr>
    </w:p>
    <w:p w14:paraId="685ABF06">
      <w:pPr>
        <w:pStyle w:val="6"/>
        <w:spacing w:line="243" w:lineRule="auto"/>
        <w:rPr>
          <w:color w:val="auto"/>
          <w:highlight w:val="none"/>
        </w:rPr>
      </w:pPr>
    </w:p>
    <w:p w14:paraId="47160D21">
      <w:pPr>
        <w:pStyle w:val="6"/>
        <w:spacing w:line="243" w:lineRule="auto"/>
        <w:rPr>
          <w:color w:val="auto"/>
          <w:highlight w:val="none"/>
        </w:rPr>
      </w:pPr>
    </w:p>
    <w:p w14:paraId="7D2106C3">
      <w:pPr>
        <w:pStyle w:val="6"/>
        <w:spacing w:line="243" w:lineRule="auto"/>
        <w:rPr>
          <w:color w:val="auto"/>
          <w:highlight w:val="none"/>
        </w:rPr>
      </w:pPr>
    </w:p>
    <w:p w14:paraId="4FC7AB0D">
      <w:pPr>
        <w:spacing w:before="101" w:line="467" w:lineRule="auto"/>
        <w:ind w:left="1712" w:hanging="1601"/>
        <w:rPr>
          <w:rFonts w:hint="default" w:ascii="黑体" w:hAnsi="黑体" w:eastAsia="黑体" w:cs="黑体"/>
          <w:color w:val="auto"/>
          <w:sz w:val="31"/>
          <w:szCs w:val="31"/>
          <w:highlight w:val="none"/>
          <w:lang w:val="en-US" w:eastAsia="zh-CN"/>
        </w:rPr>
      </w:pPr>
      <w:r>
        <w:rPr>
          <w:rFonts w:ascii="黑体" w:hAnsi="黑体" w:eastAsia="黑体" w:cs="黑体"/>
          <w:color w:val="auto"/>
          <w:spacing w:val="-5"/>
          <w:sz w:val="31"/>
          <w:szCs w:val="31"/>
          <w:highlight w:val="none"/>
        </w:rPr>
        <w:t>项目名称：</w:t>
      </w:r>
      <w:r>
        <w:rPr>
          <w:rFonts w:hint="eastAsia" w:ascii="黑体" w:hAnsi="黑体" w:eastAsia="黑体" w:cs="黑体"/>
          <w:color w:val="auto"/>
          <w:spacing w:val="-5"/>
          <w:sz w:val="31"/>
          <w:szCs w:val="31"/>
          <w:highlight w:val="none"/>
        </w:rPr>
        <w:t>2025-202</w:t>
      </w:r>
      <w:r>
        <w:rPr>
          <w:rFonts w:hint="eastAsia" w:ascii="黑体" w:hAnsi="黑体" w:eastAsia="黑体" w:cs="黑体"/>
          <w:color w:val="auto"/>
          <w:spacing w:val="-5"/>
          <w:sz w:val="31"/>
          <w:szCs w:val="31"/>
          <w:highlight w:val="none"/>
          <w:lang w:val="en-US" w:eastAsia="zh-CN"/>
        </w:rPr>
        <w:t>7</w:t>
      </w:r>
      <w:r>
        <w:rPr>
          <w:rFonts w:hint="eastAsia" w:ascii="黑体" w:hAnsi="黑体" w:eastAsia="黑体" w:cs="黑体"/>
          <w:color w:val="auto"/>
          <w:spacing w:val="-5"/>
          <w:sz w:val="31"/>
          <w:szCs w:val="31"/>
          <w:highlight w:val="none"/>
        </w:rPr>
        <w:t>年度</w:t>
      </w:r>
      <w:r>
        <w:rPr>
          <w:rFonts w:hint="eastAsia" w:ascii="黑体" w:hAnsi="黑体" w:eastAsia="黑体" w:cs="黑体"/>
          <w:color w:val="auto"/>
          <w:spacing w:val="-5"/>
          <w:sz w:val="31"/>
          <w:szCs w:val="31"/>
          <w:highlight w:val="none"/>
          <w:lang w:val="en-US" w:eastAsia="zh-CN"/>
        </w:rPr>
        <w:t>金寨县</w:t>
      </w:r>
      <w:r>
        <w:rPr>
          <w:rFonts w:hint="eastAsia" w:ascii="黑体" w:hAnsi="黑体" w:eastAsia="黑体" w:cs="黑体"/>
          <w:color w:val="auto"/>
          <w:spacing w:val="-5"/>
          <w:sz w:val="31"/>
          <w:szCs w:val="31"/>
          <w:highlight w:val="none"/>
        </w:rPr>
        <w:t>行政事业单位公务用车维修保养服务</w:t>
      </w:r>
      <w:r>
        <w:rPr>
          <w:rFonts w:hint="eastAsia" w:ascii="黑体" w:hAnsi="黑体" w:eastAsia="黑体" w:cs="黑体"/>
          <w:color w:val="auto"/>
          <w:spacing w:val="-5"/>
          <w:sz w:val="31"/>
          <w:szCs w:val="31"/>
          <w:highlight w:val="none"/>
          <w:lang w:val="en-US" w:eastAsia="zh-CN"/>
        </w:rPr>
        <w:t>框架协议项目</w:t>
      </w:r>
    </w:p>
    <w:p w14:paraId="53AF20A4">
      <w:pPr>
        <w:spacing w:before="56" w:line="222" w:lineRule="auto"/>
        <w:ind w:left="112"/>
        <w:rPr>
          <w:rFonts w:hint="eastAsia" w:ascii="黑体" w:hAnsi="黑体" w:eastAsia="黑体" w:cs="黑体"/>
          <w:color w:val="auto"/>
          <w:sz w:val="31"/>
          <w:szCs w:val="31"/>
          <w:highlight w:val="none"/>
          <w:lang w:val="en-US" w:eastAsia="zh-CN"/>
        </w:rPr>
      </w:pPr>
      <w:r>
        <w:rPr>
          <w:rFonts w:ascii="黑体" w:hAnsi="黑体" w:eastAsia="黑体" w:cs="黑体"/>
          <w:color w:val="auto"/>
          <w:spacing w:val="7"/>
          <w:sz w:val="31"/>
          <w:szCs w:val="31"/>
          <w:highlight w:val="none"/>
        </w:rPr>
        <w:t>项目编号：</w:t>
      </w:r>
      <w:r>
        <w:rPr>
          <w:rFonts w:hint="eastAsia" w:ascii="黑体" w:hAnsi="黑体" w:eastAsia="黑体" w:cs="黑体"/>
          <w:color w:val="auto"/>
          <w:spacing w:val="7"/>
          <w:sz w:val="31"/>
          <w:szCs w:val="31"/>
          <w:highlight w:val="none"/>
        </w:rPr>
        <w:t>KJXY202504100394</w:t>
      </w:r>
    </w:p>
    <w:p w14:paraId="73E3C576">
      <w:pPr>
        <w:pStyle w:val="6"/>
        <w:spacing w:line="323" w:lineRule="auto"/>
        <w:rPr>
          <w:color w:val="auto"/>
          <w:highlight w:val="none"/>
        </w:rPr>
      </w:pPr>
    </w:p>
    <w:p w14:paraId="180B5372">
      <w:pPr>
        <w:spacing w:before="101" w:line="222" w:lineRule="auto"/>
        <w:ind w:left="115"/>
        <w:rPr>
          <w:rFonts w:hint="default" w:ascii="黑体" w:hAnsi="黑体" w:eastAsia="黑体" w:cs="黑体"/>
          <w:color w:val="auto"/>
          <w:sz w:val="31"/>
          <w:szCs w:val="31"/>
          <w:highlight w:val="none"/>
          <w:lang w:val="en-US" w:eastAsia="zh-CN"/>
        </w:rPr>
      </w:pPr>
      <w:r>
        <w:rPr>
          <w:rFonts w:ascii="黑体" w:hAnsi="黑体" w:eastAsia="黑体" w:cs="黑体"/>
          <w:color w:val="auto"/>
          <w:spacing w:val="8"/>
          <w:sz w:val="31"/>
          <w:szCs w:val="31"/>
          <w:highlight w:val="none"/>
        </w:rPr>
        <w:t>征 集 人：</w:t>
      </w:r>
      <w:r>
        <w:rPr>
          <w:rFonts w:hint="eastAsia" w:ascii="黑体" w:hAnsi="黑体" w:eastAsia="黑体" w:cs="黑体"/>
          <w:color w:val="auto"/>
          <w:spacing w:val="8"/>
          <w:sz w:val="31"/>
          <w:szCs w:val="31"/>
          <w:highlight w:val="none"/>
        </w:rPr>
        <w:t>金寨县机关事务管理服务中心</w:t>
      </w:r>
    </w:p>
    <w:p w14:paraId="287EA7A1">
      <w:pPr>
        <w:pStyle w:val="6"/>
        <w:spacing w:line="332" w:lineRule="auto"/>
        <w:rPr>
          <w:color w:val="auto"/>
          <w:highlight w:val="none"/>
        </w:rPr>
      </w:pPr>
    </w:p>
    <w:p w14:paraId="6306BECC">
      <w:pPr>
        <w:spacing w:before="101" w:line="224" w:lineRule="auto"/>
        <w:ind w:left="113"/>
        <w:rPr>
          <w:rFonts w:ascii="黑体" w:hAnsi="黑体" w:eastAsia="黑体" w:cs="黑体"/>
          <w:color w:val="auto"/>
          <w:sz w:val="31"/>
          <w:szCs w:val="31"/>
          <w:highlight w:val="none"/>
        </w:rPr>
      </w:pPr>
      <w:r>
        <w:rPr>
          <w:rFonts w:ascii="黑体" w:hAnsi="黑体" w:eastAsia="黑体" w:cs="黑体"/>
          <w:color w:val="auto"/>
          <w:spacing w:val="9"/>
          <w:sz w:val="31"/>
          <w:szCs w:val="31"/>
          <w:highlight w:val="none"/>
        </w:rPr>
        <w:t>采购代理机构：</w:t>
      </w:r>
      <w:r>
        <w:rPr>
          <w:rFonts w:hint="eastAsia" w:ascii="黑体" w:hAnsi="黑体" w:eastAsia="黑体" w:cs="黑体"/>
          <w:color w:val="auto"/>
          <w:spacing w:val="9"/>
          <w:sz w:val="31"/>
          <w:szCs w:val="31"/>
          <w:highlight w:val="none"/>
          <w:lang w:val="en-US" w:eastAsia="zh-CN"/>
        </w:rPr>
        <w:t>金寨县</w:t>
      </w:r>
      <w:r>
        <w:rPr>
          <w:rFonts w:ascii="黑体" w:hAnsi="黑体" w:eastAsia="黑体" w:cs="黑体"/>
          <w:color w:val="auto"/>
          <w:spacing w:val="9"/>
          <w:sz w:val="31"/>
          <w:szCs w:val="31"/>
          <w:highlight w:val="none"/>
        </w:rPr>
        <w:t>政府采购中心</w:t>
      </w:r>
    </w:p>
    <w:p w14:paraId="0D648F87">
      <w:pPr>
        <w:pStyle w:val="6"/>
        <w:spacing w:line="281" w:lineRule="auto"/>
        <w:rPr>
          <w:color w:val="auto"/>
          <w:highlight w:val="none"/>
        </w:rPr>
      </w:pPr>
    </w:p>
    <w:p w14:paraId="3CFE1E22">
      <w:pPr>
        <w:pStyle w:val="6"/>
        <w:spacing w:line="281" w:lineRule="auto"/>
        <w:rPr>
          <w:color w:val="auto"/>
          <w:highlight w:val="none"/>
        </w:rPr>
      </w:pPr>
    </w:p>
    <w:p w14:paraId="4275974A">
      <w:pPr>
        <w:pStyle w:val="6"/>
        <w:spacing w:line="282" w:lineRule="auto"/>
        <w:rPr>
          <w:color w:val="auto"/>
          <w:highlight w:val="none"/>
        </w:rPr>
      </w:pPr>
    </w:p>
    <w:p w14:paraId="24F08E43">
      <w:pPr>
        <w:spacing w:before="91" w:line="220" w:lineRule="auto"/>
        <w:ind w:left="3240"/>
        <w:outlineLvl w:val="1"/>
        <w:rPr>
          <w:rFonts w:ascii="黑体" w:hAnsi="黑体" w:eastAsia="黑体" w:cs="黑体"/>
          <w:color w:val="auto"/>
          <w:sz w:val="28"/>
          <w:szCs w:val="28"/>
          <w:highlight w:val="none"/>
        </w:rPr>
      </w:pPr>
      <w:r>
        <w:rPr>
          <w:rFonts w:ascii="黑体" w:hAnsi="黑体" w:eastAsia="黑体" w:cs="黑体"/>
          <w:color w:val="auto"/>
          <w:spacing w:val="-3"/>
          <w:sz w:val="28"/>
          <w:szCs w:val="28"/>
          <w:highlight w:val="none"/>
        </w:rPr>
        <w:t>二〇二</w:t>
      </w:r>
      <w:r>
        <w:rPr>
          <w:rFonts w:hint="eastAsia" w:ascii="黑体" w:hAnsi="黑体" w:eastAsia="黑体" w:cs="黑体"/>
          <w:color w:val="auto"/>
          <w:spacing w:val="-3"/>
          <w:sz w:val="28"/>
          <w:szCs w:val="28"/>
          <w:highlight w:val="none"/>
          <w:lang w:val="en-US" w:eastAsia="zh-CN"/>
        </w:rPr>
        <w:t>五</w:t>
      </w:r>
      <w:r>
        <w:rPr>
          <w:rFonts w:ascii="黑体" w:hAnsi="黑体" w:eastAsia="黑体" w:cs="黑体"/>
          <w:color w:val="auto"/>
          <w:spacing w:val="-3"/>
          <w:sz w:val="28"/>
          <w:szCs w:val="28"/>
          <w:highlight w:val="none"/>
        </w:rPr>
        <w:t>年</w:t>
      </w:r>
      <w:r>
        <w:rPr>
          <w:rFonts w:hint="eastAsia" w:ascii="黑体" w:hAnsi="黑体" w:eastAsia="黑体" w:cs="黑体"/>
          <w:color w:val="auto"/>
          <w:spacing w:val="-3"/>
          <w:sz w:val="28"/>
          <w:szCs w:val="28"/>
          <w:highlight w:val="none"/>
          <w:lang w:val="en-US" w:eastAsia="zh-CN"/>
        </w:rPr>
        <w:t>四</w:t>
      </w:r>
      <w:r>
        <w:rPr>
          <w:rFonts w:ascii="黑体" w:hAnsi="黑体" w:eastAsia="黑体" w:cs="黑体"/>
          <w:color w:val="auto"/>
          <w:spacing w:val="-3"/>
          <w:sz w:val="28"/>
          <w:szCs w:val="28"/>
          <w:highlight w:val="none"/>
        </w:rPr>
        <w:t>月</w:t>
      </w:r>
    </w:p>
    <w:p w14:paraId="53111014">
      <w:pPr>
        <w:spacing w:line="220" w:lineRule="auto"/>
        <w:rPr>
          <w:rFonts w:ascii="黑体" w:hAnsi="黑体" w:eastAsia="黑体" w:cs="黑体"/>
          <w:color w:val="auto"/>
          <w:sz w:val="28"/>
          <w:szCs w:val="28"/>
          <w:highlight w:val="none"/>
        </w:rPr>
        <w:sectPr>
          <w:footerReference r:id="rId5" w:type="default"/>
          <w:pgSz w:w="11910" w:h="16840"/>
          <w:pgMar w:top="1431" w:right="1647" w:bottom="861" w:left="1786" w:header="0" w:footer="682" w:gutter="0"/>
          <w:cols w:space="720" w:num="1"/>
        </w:sectPr>
      </w:pPr>
    </w:p>
    <w:sdt>
      <w:sdtPr>
        <w:rPr>
          <w:rFonts w:ascii="宋体" w:hAnsi="宋体" w:eastAsia="宋体" w:cs="宋体"/>
          <w:color w:val="auto"/>
          <w:sz w:val="43"/>
          <w:szCs w:val="43"/>
          <w:highlight w:val="none"/>
        </w:rPr>
        <w:id w:val="1"/>
        <w:docPartObj>
          <w:docPartGallery w:val="Table of Contents"/>
          <w:docPartUnique/>
        </w:docPartObj>
      </w:sdtPr>
      <w:sdtEndPr>
        <w:rPr>
          <w:rFonts w:ascii="宋体" w:hAnsi="宋体" w:eastAsia="宋体" w:cs="宋体"/>
          <w:color w:val="auto"/>
          <w:sz w:val="24"/>
          <w:szCs w:val="24"/>
          <w:highlight w:val="none"/>
        </w:rPr>
      </w:sdtEndPr>
      <w:sdtContent>
        <w:p w14:paraId="267478E9">
          <w:pPr>
            <w:spacing w:before="88" w:line="226" w:lineRule="auto"/>
            <w:ind w:left="3746"/>
            <w:rPr>
              <w:rFonts w:ascii="宋体" w:hAnsi="宋体" w:eastAsia="宋体" w:cs="宋体"/>
              <w:color w:val="auto"/>
              <w:sz w:val="43"/>
              <w:szCs w:val="43"/>
              <w:highlight w:val="none"/>
            </w:rPr>
          </w:pPr>
          <w:r>
            <w:rPr>
              <w:rFonts w:ascii="宋体" w:hAnsi="宋体" w:eastAsia="宋体" w:cs="宋体"/>
              <w:color w:val="auto"/>
              <w:spacing w:val="-46"/>
              <w:sz w:val="43"/>
              <w:szCs w:val="43"/>
              <w:highlight w:val="none"/>
            </w:rPr>
            <w:t>目</w:t>
          </w:r>
          <w:r>
            <w:rPr>
              <w:rFonts w:ascii="宋体" w:hAnsi="宋体" w:eastAsia="宋体" w:cs="宋体"/>
              <w:color w:val="auto"/>
              <w:spacing w:val="4"/>
              <w:sz w:val="43"/>
              <w:szCs w:val="43"/>
              <w:highlight w:val="none"/>
            </w:rPr>
            <w:t xml:space="preserve">   </w:t>
          </w:r>
          <w:r>
            <w:rPr>
              <w:rFonts w:ascii="宋体" w:hAnsi="宋体" w:eastAsia="宋体" w:cs="宋体"/>
              <w:color w:val="auto"/>
              <w:spacing w:val="-46"/>
              <w:sz w:val="43"/>
              <w:szCs w:val="43"/>
              <w:highlight w:val="none"/>
            </w:rPr>
            <w:t>录</w:t>
          </w:r>
        </w:p>
        <w:p w14:paraId="7092F273">
          <w:pPr>
            <w:tabs>
              <w:tab w:val="right" w:leader="dot" w:pos="8969"/>
            </w:tabs>
            <w:spacing w:before="224" w:line="219" w:lineRule="auto"/>
            <w:rPr>
              <w:rFonts w:ascii="宋体" w:hAnsi="宋体" w:eastAsia="宋体" w:cs="宋体"/>
              <w:color w:val="auto"/>
              <w:sz w:val="24"/>
              <w:szCs w:val="24"/>
              <w:highlight w:val="none"/>
            </w:rPr>
          </w:pPr>
          <w:bookmarkStart w:id="0" w:name="bookmark1"/>
          <w:bookmarkEnd w:id="0"/>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rFonts w:ascii="宋体" w:hAnsi="宋体" w:eastAsia="宋体" w:cs="宋体"/>
              <w:color w:val="auto"/>
              <w:spacing w:val="-1"/>
              <w:sz w:val="24"/>
              <w:szCs w:val="24"/>
              <w:highlight w:val="none"/>
            </w:rPr>
            <w:t>第一章 框架协议征集公告</w:t>
          </w:r>
          <w:r>
            <w:rPr>
              <w:rFonts w:ascii="宋体" w:hAnsi="宋体" w:eastAsia="宋体" w:cs="宋体"/>
              <w:color w:val="auto"/>
              <w:sz w:val="24"/>
              <w:szCs w:val="24"/>
              <w:highlight w:val="none"/>
            </w:rPr>
            <w:tab/>
          </w:r>
          <w:r>
            <w:rPr>
              <w:rFonts w:ascii="宋体" w:hAnsi="宋体" w:eastAsia="宋体" w:cs="宋体"/>
              <w:color w:val="auto"/>
              <w:spacing w:val="-67"/>
              <w:sz w:val="24"/>
              <w:szCs w:val="24"/>
              <w:highlight w:val="none"/>
            </w:rPr>
            <w:t xml:space="preserve"> </w:t>
          </w:r>
          <w:r>
            <w:rPr>
              <w:rFonts w:ascii="宋体" w:hAnsi="宋体" w:eastAsia="宋体" w:cs="宋体"/>
              <w:color w:val="auto"/>
              <w:spacing w:val="-15"/>
              <w:sz w:val="24"/>
              <w:szCs w:val="24"/>
              <w:highlight w:val="none"/>
            </w:rPr>
            <w:t>3</w:t>
          </w:r>
          <w:r>
            <w:rPr>
              <w:rFonts w:ascii="宋体" w:hAnsi="宋体" w:eastAsia="宋体" w:cs="宋体"/>
              <w:color w:val="auto"/>
              <w:spacing w:val="-15"/>
              <w:sz w:val="24"/>
              <w:szCs w:val="24"/>
              <w:highlight w:val="none"/>
            </w:rPr>
            <w:fldChar w:fldCharType="end"/>
          </w:r>
        </w:p>
        <w:p w14:paraId="0D5F424C">
          <w:pPr>
            <w:tabs>
              <w:tab w:val="right" w:leader="dot" w:pos="8969"/>
            </w:tabs>
            <w:spacing w:before="239" w:line="219" w:lineRule="auto"/>
            <w:rPr>
              <w:rFonts w:ascii="宋体" w:hAnsi="宋体" w:eastAsia="宋体" w:cs="宋体"/>
              <w:color w:val="auto"/>
              <w:sz w:val="24"/>
              <w:szCs w:val="24"/>
              <w:highlight w:val="none"/>
            </w:rPr>
          </w:pPr>
          <w:bookmarkStart w:id="1" w:name="bookmark3"/>
          <w:bookmarkEnd w:id="1"/>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rFonts w:ascii="宋体" w:hAnsi="宋体" w:eastAsia="宋体" w:cs="宋体"/>
              <w:color w:val="auto"/>
              <w:spacing w:val="-2"/>
              <w:sz w:val="24"/>
              <w:szCs w:val="24"/>
              <w:highlight w:val="none"/>
            </w:rPr>
            <w:t>第二章 供应商须知</w:t>
          </w:r>
          <w:r>
            <w:rPr>
              <w:rFonts w:ascii="宋体" w:hAnsi="宋体" w:eastAsia="宋体" w:cs="宋体"/>
              <w:color w:val="auto"/>
              <w:sz w:val="24"/>
              <w:szCs w:val="24"/>
              <w:highlight w:val="none"/>
            </w:rPr>
            <w:tab/>
          </w:r>
          <w:r>
            <w:rPr>
              <w:rFonts w:ascii="宋体" w:hAnsi="宋体" w:eastAsia="宋体" w:cs="宋体"/>
              <w:color w:val="auto"/>
              <w:spacing w:val="-70"/>
              <w:sz w:val="24"/>
              <w:szCs w:val="24"/>
              <w:highlight w:val="none"/>
            </w:rPr>
            <w:t xml:space="preserve"> </w:t>
          </w:r>
          <w:r>
            <w:rPr>
              <w:rFonts w:ascii="宋体" w:hAnsi="宋体" w:eastAsia="宋体" w:cs="宋体"/>
              <w:color w:val="auto"/>
              <w:spacing w:val="-12"/>
              <w:sz w:val="24"/>
              <w:szCs w:val="24"/>
              <w:highlight w:val="none"/>
            </w:rPr>
            <w:t>6</w:t>
          </w:r>
          <w:r>
            <w:rPr>
              <w:rFonts w:ascii="宋体" w:hAnsi="宋体" w:eastAsia="宋体" w:cs="宋体"/>
              <w:color w:val="auto"/>
              <w:spacing w:val="-12"/>
              <w:sz w:val="24"/>
              <w:szCs w:val="24"/>
              <w:highlight w:val="none"/>
            </w:rPr>
            <w:fldChar w:fldCharType="end"/>
          </w:r>
        </w:p>
        <w:p w14:paraId="7B23C8C8">
          <w:pPr>
            <w:tabs>
              <w:tab w:val="right" w:leader="dot" w:pos="8969"/>
            </w:tabs>
            <w:spacing w:before="238" w:line="219" w:lineRule="auto"/>
            <w:rPr>
              <w:rFonts w:ascii="宋体" w:hAnsi="宋体" w:eastAsia="宋体" w:cs="宋体"/>
              <w:color w:val="auto"/>
              <w:sz w:val="24"/>
              <w:szCs w:val="24"/>
              <w:highlight w:val="none"/>
            </w:rPr>
          </w:pPr>
          <w:bookmarkStart w:id="2" w:name="bookmark5"/>
          <w:bookmarkEnd w:id="2"/>
          <w:r>
            <w:rPr>
              <w:color w:val="auto"/>
              <w:highlight w:val="none"/>
            </w:rPr>
            <w:fldChar w:fldCharType="begin"/>
          </w:r>
          <w:r>
            <w:rPr>
              <w:color w:val="auto"/>
              <w:highlight w:val="none"/>
            </w:rPr>
            <w:instrText xml:space="preserve"> HYPERLINK \l "bookmark6" </w:instrText>
          </w:r>
          <w:r>
            <w:rPr>
              <w:color w:val="auto"/>
              <w:highlight w:val="none"/>
            </w:rPr>
            <w:fldChar w:fldCharType="separate"/>
          </w:r>
          <w:r>
            <w:rPr>
              <w:rFonts w:ascii="宋体" w:hAnsi="宋体" w:eastAsia="宋体" w:cs="宋体"/>
              <w:color w:val="auto"/>
              <w:spacing w:val="-2"/>
              <w:sz w:val="24"/>
              <w:szCs w:val="24"/>
              <w:highlight w:val="none"/>
            </w:rPr>
            <w:t>第三章 征集邀请</w:t>
          </w:r>
          <w:r>
            <w:rPr>
              <w:rFonts w:ascii="宋体" w:hAnsi="宋体" w:eastAsia="宋体" w:cs="宋体"/>
              <w:color w:val="auto"/>
              <w:sz w:val="24"/>
              <w:szCs w:val="24"/>
              <w:highlight w:val="none"/>
            </w:rPr>
            <w:tab/>
          </w:r>
          <w:r>
            <w:rPr>
              <w:rFonts w:ascii="宋体" w:hAnsi="宋体" w:eastAsia="宋体" w:cs="宋体"/>
              <w:color w:val="auto"/>
              <w:spacing w:val="-54"/>
              <w:sz w:val="24"/>
              <w:szCs w:val="24"/>
              <w:highlight w:val="none"/>
            </w:rPr>
            <w:t xml:space="preserve"> </w:t>
          </w:r>
          <w:r>
            <w:rPr>
              <w:rFonts w:ascii="宋体" w:hAnsi="宋体" w:eastAsia="宋体" w:cs="宋体"/>
              <w:color w:val="auto"/>
              <w:spacing w:val="-15"/>
              <w:sz w:val="24"/>
              <w:szCs w:val="24"/>
              <w:highlight w:val="none"/>
            </w:rPr>
            <w:t>1</w:t>
          </w:r>
          <w:r>
            <w:rPr>
              <w:rFonts w:ascii="宋体" w:hAnsi="宋体" w:eastAsia="宋体" w:cs="宋体"/>
              <w:color w:val="auto"/>
              <w:spacing w:val="-15"/>
              <w:sz w:val="24"/>
              <w:szCs w:val="24"/>
              <w:highlight w:val="none"/>
            </w:rPr>
            <w:fldChar w:fldCharType="end"/>
          </w:r>
          <w:r>
            <w:rPr>
              <w:rFonts w:ascii="宋体" w:hAnsi="宋体" w:eastAsia="宋体" w:cs="宋体"/>
              <w:color w:val="auto"/>
              <w:spacing w:val="-13"/>
              <w:sz w:val="24"/>
              <w:szCs w:val="24"/>
              <w:highlight w:val="none"/>
            </w:rPr>
            <w:t>0</w:t>
          </w:r>
        </w:p>
        <w:p w14:paraId="4373880F">
          <w:pPr>
            <w:tabs>
              <w:tab w:val="right" w:leader="dot" w:pos="8969"/>
            </w:tabs>
            <w:spacing w:before="242" w:line="355" w:lineRule="exact"/>
            <w:rPr>
              <w:rFonts w:ascii="宋体" w:hAnsi="宋体" w:eastAsia="宋体" w:cs="宋体"/>
              <w:color w:val="auto"/>
              <w:sz w:val="24"/>
              <w:szCs w:val="24"/>
              <w:highlight w:val="none"/>
            </w:rPr>
          </w:pPr>
          <w:bookmarkStart w:id="3" w:name="bookmark7"/>
          <w:bookmarkEnd w:id="3"/>
          <w:r>
            <w:rPr>
              <w:color w:val="auto"/>
              <w:highlight w:val="none"/>
            </w:rPr>
            <w:fldChar w:fldCharType="begin"/>
          </w:r>
          <w:r>
            <w:rPr>
              <w:color w:val="auto"/>
              <w:highlight w:val="none"/>
            </w:rPr>
            <w:instrText xml:space="preserve"> HYPERLINK \l "bookmark8" </w:instrText>
          </w:r>
          <w:r>
            <w:rPr>
              <w:color w:val="auto"/>
              <w:highlight w:val="none"/>
            </w:rPr>
            <w:fldChar w:fldCharType="separate"/>
          </w:r>
          <w:r>
            <w:rPr>
              <w:rFonts w:ascii="宋体" w:hAnsi="宋体" w:eastAsia="宋体" w:cs="宋体"/>
              <w:color w:val="auto"/>
              <w:spacing w:val="-4"/>
              <w:position w:val="2"/>
              <w:sz w:val="24"/>
              <w:szCs w:val="24"/>
              <w:highlight w:val="none"/>
            </w:rPr>
            <w:t>第四章</w:t>
          </w:r>
          <w:r>
            <w:rPr>
              <w:rFonts w:ascii="宋体" w:hAnsi="宋体" w:eastAsia="宋体" w:cs="宋体"/>
              <w:color w:val="auto"/>
              <w:spacing w:val="25"/>
              <w:position w:val="2"/>
              <w:sz w:val="24"/>
              <w:szCs w:val="24"/>
              <w:highlight w:val="none"/>
            </w:rPr>
            <w:t xml:space="preserve"> </w:t>
          </w:r>
          <w:r>
            <w:rPr>
              <w:rFonts w:ascii="宋体" w:hAnsi="宋体" w:eastAsia="宋体" w:cs="宋体"/>
              <w:color w:val="auto"/>
              <w:spacing w:val="-4"/>
              <w:position w:val="2"/>
              <w:sz w:val="24"/>
              <w:szCs w:val="24"/>
              <w:highlight w:val="none"/>
            </w:rPr>
            <w:t>资格审查材料</w:t>
          </w:r>
          <w:r>
            <w:rPr>
              <w:rFonts w:ascii="宋体" w:hAnsi="宋体" w:eastAsia="宋体" w:cs="宋体"/>
              <w:color w:val="auto"/>
              <w:position w:val="2"/>
              <w:sz w:val="24"/>
              <w:szCs w:val="24"/>
              <w:highlight w:val="none"/>
            </w:rPr>
            <w:tab/>
          </w:r>
          <w:r>
            <w:rPr>
              <w:rFonts w:ascii="宋体" w:hAnsi="宋体" w:eastAsia="宋体" w:cs="宋体"/>
              <w:color w:val="auto"/>
              <w:spacing w:val="-54"/>
              <w:position w:val="2"/>
              <w:sz w:val="24"/>
              <w:szCs w:val="24"/>
              <w:highlight w:val="none"/>
            </w:rPr>
            <w:t xml:space="preserve"> </w:t>
          </w:r>
          <w:r>
            <w:rPr>
              <w:rFonts w:ascii="宋体" w:hAnsi="宋体" w:eastAsia="宋体" w:cs="宋体"/>
              <w:color w:val="auto"/>
              <w:spacing w:val="-14"/>
              <w:position w:val="2"/>
              <w:sz w:val="24"/>
              <w:szCs w:val="24"/>
              <w:highlight w:val="none"/>
            </w:rPr>
            <w:t>1</w:t>
          </w:r>
          <w:r>
            <w:rPr>
              <w:rFonts w:ascii="宋体" w:hAnsi="宋体" w:eastAsia="宋体" w:cs="宋体"/>
              <w:color w:val="auto"/>
              <w:spacing w:val="-14"/>
              <w:position w:val="2"/>
              <w:sz w:val="24"/>
              <w:szCs w:val="24"/>
              <w:highlight w:val="none"/>
            </w:rPr>
            <w:fldChar w:fldCharType="end"/>
          </w:r>
          <w:r>
            <w:rPr>
              <w:rFonts w:ascii="宋体" w:hAnsi="宋体" w:eastAsia="宋体" w:cs="宋体"/>
              <w:color w:val="auto"/>
              <w:spacing w:val="-14"/>
              <w:position w:val="2"/>
              <w:sz w:val="24"/>
              <w:szCs w:val="24"/>
              <w:highlight w:val="none"/>
            </w:rPr>
            <w:t>1</w:t>
          </w:r>
        </w:p>
        <w:p w14:paraId="372F81DA">
          <w:pPr>
            <w:tabs>
              <w:tab w:val="right" w:leader="dot" w:pos="8969"/>
            </w:tabs>
            <w:spacing w:before="246" w:line="219" w:lineRule="auto"/>
            <w:rPr>
              <w:rFonts w:ascii="宋体" w:hAnsi="宋体" w:eastAsia="宋体" w:cs="宋体"/>
              <w:color w:val="auto"/>
              <w:sz w:val="24"/>
              <w:szCs w:val="24"/>
              <w:highlight w:val="none"/>
            </w:rPr>
          </w:pPr>
          <w:bookmarkStart w:id="4" w:name="bookmark9"/>
          <w:bookmarkEnd w:id="4"/>
          <w:r>
            <w:rPr>
              <w:color w:val="auto"/>
              <w:highlight w:val="none"/>
            </w:rPr>
            <w:fldChar w:fldCharType="begin"/>
          </w:r>
          <w:r>
            <w:rPr>
              <w:color w:val="auto"/>
              <w:highlight w:val="none"/>
            </w:rPr>
            <w:instrText xml:space="preserve"> HYPERLINK \l "bookmark10" </w:instrText>
          </w:r>
          <w:r>
            <w:rPr>
              <w:color w:val="auto"/>
              <w:highlight w:val="none"/>
            </w:rPr>
            <w:fldChar w:fldCharType="separate"/>
          </w:r>
          <w:r>
            <w:rPr>
              <w:rFonts w:ascii="宋体" w:hAnsi="宋体" w:eastAsia="宋体" w:cs="宋体"/>
              <w:color w:val="auto"/>
              <w:spacing w:val="-1"/>
              <w:sz w:val="24"/>
              <w:szCs w:val="24"/>
              <w:highlight w:val="none"/>
            </w:rPr>
            <w:t>第五章 资格审查方法和标准</w:t>
          </w:r>
          <w:r>
            <w:rPr>
              <w:rFonts w:ascii="宋体" w:hAnsi="宋体" w:eastAsia="宋体" w:cs="宋体"/>
              <w:color w:val="auto"/>
              <w:sz w:val="24"/>
              <w:szCs w:val="24"/>
              <w:highlight w:val="none"/>
            </w:rPr>
            <w:tab/>
          </w:r>
          <w:r>
            <w:rPr>
              <w:rFonts w:ascii="宋体" w:hAnsi="宋体" w:eastAsia="宋体" w:cs="宋体"/>
              <w:color w:val="auto"/>
              <w:spacing w:val="-54"/>
              <w:sz w:val="24"/>
              <w:szCs w:val="24"/>
              <w:highlight w:val="none"/>
            </w:rPr>
            <w:t xml:space="preserve"> </w:t>
          </w:r>
          <w:r>
            <w:rPr>
              <w:rFonts w:ascii="宋体" w:hAnsi="宋体" w:eastAsia="宋体" w:cs="宋体"/>
              <w:color w:val="auto"/>
              <w:spacing w:val="-14"/>
              <w:sz w:val="24"/>
              <w:szCs w:val="24"/>
              <w:highlight w:val="none"/>
            </w:rPr>
            <w:t>1</w:t>
          </w:r>
          <w:r>
            <w:rPr>
              <w:rFonts w:ascii="宋体" w:hAnsi="宋体" w:eastAsia="宋体" w:cs="宋体"/>
              <w:color w:val="auto"/>
              <w:spacing w:val="-14"/>
              <w:sz w:val="24"/>
              <w:szCs w:val="24"/>
              <w:highlight w:val="none"/>
            </w:rPr>
            <w:fldChar w:fldCharType="end"/>
          </w:r>
          <w:r>
            <w:rPr>
              <w:rFonts w:ascii="宋体" w:hAnsi="宋体" w:eastAsia="宋体" w:cs="宋体"/>
              <w:color w:val="auto"/>
              <w:spacing w:val="-14"/>
              <w:sz w:val="24"/>
              <w:szCs w:val="24"/>
              <w:highlight w:val="none"/>
            </w:rPr>
            <w:t>2</w:t>
          </w:r>
        </w:p>
        <w:p w14:paraId="620FCD19">
          <w:pPr>
            <w:tabs>
              <w:tab w:val="right" w:leader="dot" w:pos="8969"/>
            </w:tabs>
            <w:spacing w:before="279" w:line="219" w:lineRule="auto"/>
            <w:rPr>
              <w:rFonts w:ascii="宋体" w:hAnsi="宋体" w:eastAsia="宋体" w:cs="宋体"/>
              <w:color w:val="auto"/>
              <w:sz w:val="24"/>
              <w:szCs w:val="24"/>
              <w:highlight w:val="none"/>
            </w:rPr>
          </w:pPr>
          <w:bookmarkStart w:id="5" w:name="bookmark11"/>
          <w:bookmarkEnd w:id="5"/>
          <w:r>
            <w:rPr>
              <w:color w:val="auto"/>
              <w:highlight w:val="none"/>
            </w:rPr>
            <w:fldChar w:fldCharType="begin"/>
          </w:r>
          <w:r>
            <w:rPr>
              <w:color w:val="auto"/>
              <w:highlight w:val="none"/>
            </w:rPr>
            <w:instrText xml:space="preserve"> HYPERLINK \l "bookmark12" </w:instrText>
          </w:r>
          <w:r>
            <w:rPr>
              <w:color w:val="auto"/>
              <w:highlight w:val="none"/>
            </w:rPr>
            <w:fldChar w:fldCharType="separate"/>
          </w:r>
          <w:r>
            <w:rPr>
              <w:rFonts w:ascii="宋体" w:hAnsi="宋体" w:eastAsia="宋体" w:cs="宋体"/>
              <w:color w:val="auto"/>
              <w:spacing w:val="-1"/>
              <w:sz w:val="24"/>
              <w:szCs w:val="24"/>
              <w:highlight w:val="none"/>
            </w:rPr>
            <w:t>第六章 第一阶段入围评审办法</w:t>
          </w:r>
          <w:r>
            <w:rPr>
              <w:rFonts w:ascii="宋体" w:hAnsi="宋体" w:eastAsia="宋体" w:cs="宋体"/>
              <w:color w:val="auto"/>
              <w:sz w:val="24"/>
              <w:szCs w:val="24"/>
              <w:highlight w:val="none"/>
            </w:rPr>
            <w:tab/>
          </w:r>
          <w:r>
            <w:rPr>
              <w:rFonts w:ascii="宋体" w:hAnsi="宋体" w:eastAsia="宋体" w:cs="宋体"/>
              <w:color w:val="auto"/>
              <w:spacing w:val="-54"/>
              <w:sz w:val="24"/>
              <w:szCs w:val="24"/>
              <w:highlight w:val="none"/>
            </w:rPr>
            <w:t xml:space="preserve"> </w:t>
          </w:r>
          <w:r>
            <w:rPr>
              <w:rFonts w:ascii="宋体" w:hAnsi="宋体" w:eastAsia="宋体" w:cs="宋体"/>
              <w:color w:val="auto"/>
              <w:spacing w:val="-19"/>
              <w:sz w:val="24"/>
              <w:szCs w:val="24"/>
              <w:highlight w:val="none"/>
            </w:rPr>
            <w:t>1</w:t>
          </w:r>
          <w:r>
            <w:rPr>
              <w:rFonts w:ascii="宋体" w:hAnsi="宋体" w:eastAsia="宋体" w:cs="宋体"/>
              <w:color w:val="auto"/>
              <w:spacing w:val="-19"/>
              <w:sz w:val="24"/>
              <w:szCs w:val="24"/>
              <w:highlight w:val="none"/>
            </w:rPr>
            <w:fldChar w:fldCharType="end"/>
          </w:r>
          <w:r>
            <w:rPr>
              <w:rFonts w:ascii="宋体" w:hAnsi="宋体" w:eastAsia="宋体" w:cs="宋体"/>
              <w:color w:val="auto"/>
              <w:spacing w:val="-9"/>
              <w:sz w:val="24"/>
              <w:szCs w:val="24"/>
              <w:highlight w:val="none"/>
            </w:rPr>
            <w:t>4</w:t>
          </w:r>
        </w:p>
        <w:p w14:paraId="07D3F286">
          <w:pPr>
            <w:tabs>
              <w:tab w:val="right" w:leader="dot" w:pos="8969"/>
            </w:tabs>
            <w:spacing w:before="277" w:line="219" w:lineRule="auto"/>
            <w:rPr>
              <w:rFonts w:ascii="宋体" w:hAnsi="宋体" w:eastAsia="宋体" w:cs="宋体"/>
              <w:color w:val="auto"/>
              <w:sz w:val="24"/>
              <w:szCs w:val="24"/>
              <w:highlight w:val="none"/>
            </w:rPr>
          </w:pPr>
          <w:bookmarkStart w:id="6" w:name="bookmark13"/>
          <w:bookmarkEnd w:id="6"/>
          <w:r>
            <w:rPr>
              <w:color w:val="auto"/>
              <w:highlight w:val="none"/>
            </w:rPr>
            <w:fldChar w:fldCharType="begin"/>
          </w:r>
          <w:r>
            <w:rPr>
              <w:color w:val="auto"/>
              <w:highlight w:val="none"/>
            </w:rPr>
            <w:instrText xml:space="preserve"> HYPERLINK \l "bookmark13" </w:instrText>
          </w:r>
          <w:r>
            <w:rPr>
              <w:color w:val="auto"/>
              <w:highlight w:val="none"/>
            </w:rPr>
            <w:fldChar w:fldCharType="separate"/>
          </w:r>
          <w:r>
            <w:rPr>
              <w:rFonts w:ascii="宋体" w:hAnsi="宋体" w:eastAsia="宋体" w:cs="宋体"/>
              <w:color w:val="auto"/>
              <w:spacing w:val="-1"/>
              <w:sz w:val="24"/>
              <w:szCs w:val="24"/>
              <w:highlight w:val="none"/>
            </w:rPr>
            <w:t>第七章 确定第二阶段成交供应商的方式</w:t>
          </w:r>
          <w:r>
            <w:rPr>
              <w:rFonts w:ascii="宋体" w:hAnsi="宋体" w:eastAsia="宋体" w:cs="宋体"/>
              <w:color w:val="auto"/>
              <w:spacing w:val="-96"/>
              <w:sz w:val="24"/>
              <w:szCs w:val="24"/>
              <w:highlight w:val="none"/>
            </w:rPr>
            <w:t xml:space="preserve"> </w:t>
          </w:r>
          <w:r>
            <w:rPr>
              <w:rFonts w:ascii="宋体" w:hAnsi="宋体" w:eastAsia="宋体" w:cs="宋体"/>
              <w:color w:val="auto"/>
              <w:sz w:val="24"/>
              <w:szCs w:val="24"/>
              <w:highlight w:val="none"/>
            </w:rPr>
            <w:tab/>
          </w:r>
          <w:r>
            <w:rPr>
              <w:rFonts w:ascii="宋体" w:hAnsi="宋体" w:eastAsia="宋体" w:cs="宋体"/>
              <w:color w:val="auto"/>
              <w:spacing w:val="-54"/>
              <w:sz w:val="24"/>
              <w:szCs w:val="24"/>
              <w:highlight w:val="none"/>
            </w:rPr>
            <w:t xml:space="preserve"> </w:t>
          </w:r>
          <w:r>
            <w:rPr>
              <w:rFonts w:ascii="宋体" w:hAnsi="宋体" w:eastAsia="宋体" w:cs="宋体"/>
              <w:color w:val="auto"/>
              <w:spacing w:val="-14"/>
              <w:sz w:val="24"/>
              <w:szCs w:val="24"/>
              <w:highlight w:val="none"/>
            </w:rPr>
            <w:t>17</w:t>
          </w:r>
          <w:r>
            <w:rPr>
              <w:rFonts w:ascii="宋体" w:hAnsi="宋体" w:eastAsia="宋体" w:cs="宋体"/>
              <w:color w:val="auto"/>
              <w:spacing w:val="-14"/>
              <w:sz w:val="24"/>
              <w:szCs w:val="24"/>
              <w:highlight w:val="none"/>
            </w:rPr>
            <w:fldChar w:fldCharType="end"/>
          </w:r>
        </w:p>
        <w:p w14:paraId="30C9146B">
          <w:pPr>
            <w:tabs>
              <w:tab w:val="right" w:leader="dot" w:pos="8969"/>
            </w:tabs>
            <w:spacing w:before="282" w:line="219" w:lineRule="auto"/>
            <w:rPr>
              <w:rFonts w:ascii="宋体" w:hAnsi="宋体" w:eastAsia="宋体" w:cs="宋体"/>
              <w:color w:val="auto"/>
              <w:sz w:val="24"/>
              <w:szCs w:val="24"/>
              <w:highlight w:val="none"/>
            </w:rPr>
          </w:pPr>
          <w:bookmarkStart w:id="7" w:name="bookmark14"/>
          <w:bookmarkEnd w:id="7"/>
          <w:r>
            <w:rPr>
              <w:color w:val="auto"/>
              <w:highlight w:val="none"/>
            </w:rPr>
            <w:fldChar w:fldCharType="begin"/>
          </w:r>
          <w:r>
            <w:rPr>
              <w:color w:val="auto"/>
              <w:highlight w:val="none"/>
            </w:rPr>
            <w:instrText xml:space="preserve"> HYPERLINK \l "bookmark15" </w:instrText>
          </w:r>
          <w:r>
            <w:rPr>
              <w:color w:val="auto"/>
              <w:highlight w:val="none"/>
            </w:rPr>
            <w:fldChar w:fldCharType="separate"/>
          </w:r>
          <w:r>
            <w:rPr>
              <w:rFonts w:ascii="宋体" w:hAnsi="宋体" w:eastAsia="宋体" w:cs="宋体"/>
              <w:color w:val="auto"/>
              <w:spacing w:val="-2"/>
              <w:sz w:val="24"/>
              <w:szCs w:val="24"/>
              <w:highlight w:val="none"/>
            </w:rPr>
            <w:t>第八章 采购需求</w:t>
          </w:r>
          <w:r>
            <w:rPr>
              <w:rFonts w:ascii="宋体" w:hAnsi="宋体" w:eastAsia="宋体" w:cs="宋体"/>
              <w:color w:val="auto"/>
              <w:sz w:val="24"/>
              <w:szCs w:val="24"/>
              <w:highlight w:val="none"/>
            </w:rPr>
            <w:tab/>
          </w:r>
          <w:r>
            <w:rPr>
              <w:rFonts w:ascii="宋体" w:hAnsi="宋体" w:eastAsia="宋体" w:cs="宋体"/>
              <w:color w:val="auto"/>
              <w:spacing w:val="-54"/>
              <w:sz w:val="24"/>
              <w:szCs w:val="24"/>
              <w:highlight w:val="none"/>
            </w:rPr>
            <w:t xml:space="preserve"> </w:t>
          </w:r>
          <w:r>
            <w:rPr>
              <w:rFonts w:ascii="宋体" w:hAnsi="宋体" w:eastAsia="宋体" w:cs="宋体"/>
              <w:color w:val="auto"/>
              <w:spacing w:val="-14"/>
              <w:sz w:val="24"/>
              <w:szCs w:val="24"/>
              <w:highlight w:val="none"/>
            </w:rPr>
            <w:t>1</w:t>
          </w:r>
          <w:r>
            <w:rPr>
              <w:rFonts w:ascii="宋体" w:hAnsi="宋体" w:eastAsia="宋体" w:cs="宋体"/>
              <w:color w:val="auto"/>
              <w:spacing w:val="-14"/>
              <w:sz w:val="24"/>
              <w:szCs w:val="24"/>
              <w:highlight w:val="none"/>
            </w:rPr>
            <w:fldChar w:fldCharType="end"/>
          </w:r>
          <w:r>
            <w:rPr>
              <w:rFonts w:ascii="宋体" w:hAnsi="宋体" w:eastAsia="宋体" w:cs="宋体"/>
              <w:color w:val="auto"/>
              <w:spacing w:val="-14"/>
              <w:sz w:val="24"/>
              <w:szCs w:val="24"/>
              <w:highlight w:val="none"/>
            </w:rPr>
            <w:t>8</w:t>
          </w:r>
        </w:p>
        <w:p w14:paraId="74780C85">
          <w:pPr>
            <w:tabs>
              <w:tab w:val="right" w:leader="dot" w:pos="8965"/>
            </w:tabs>
            <w:spacing w:before="241" w:line="354" w:lineRule="exact"/>
            <w:rPr>
              <w:rFonts w:ascii="宋体" w:hAnsi="宋体" w:eastAsia="宋体" w:cs="宋体"/>
              <w:color w:val="auto"/>
              <w:sz w:val="24"/>
              <w:szCs w:val="24"/>
              <w:highlight w:val="none"/>
            </w:rPr>
          </w:pPr>
          <w:bookmarkStart w:id="8" w:name="bookmark16"/>
          <w:bookmarkEnd w:id="8"/>
          <w:r>
            <w:rPr>
              <w:color w:val="auto"/>
              <w:highlight w:val="none"/>
            </w:rPr>
            <w:fldChar w:fldCharType="begin"/>
          </w:r>
          <w:r>
            <w:rPr>
              <w:color w:val="auto"/>
              <w:highlight w:val="none"/>
            </w:rPr>
            <w:instrText xml:space="preserve"> HYPERLINK \l "bookmark17" </w:instrText>
          </w:r>
          <w:r>
            <w:rPr>
              <w:color w:val="auto"/>
              <w:highlight w:val="none"/>
            </w:rPr>
            <w:fldChar w:fldCharType="separate"/>
          </w:r>
          <w:r>
            <w:rPr>
              <w:rFonts w:ascii="宋体" w:hAnsi="宋体" w:eastAsia="宋体" w:cs="宋体"/>
              <w:color w:val="auto"/>
              <w:spacing w:val="-1"/>
              <w:position w:val="2"/>
              <w:sz w:val="24"/>
              <w:szCs w:val="24"/>
              <w:highlight w:val="none"/>
            </w:rPr>
            <w:t>第七章 用户反馈和评价机制</w:t>
          </w:r>
          <w:r>
            <w:rPr>
              <w:rFonts w:ascii="宋体" w:hAnsi="宋体" w:eastAsia="宋体" w:cs="宋体"/>
              <w:color w:val="auto"/>
              <w:position w:val="2"/>
              <w:sz w:val="24"/>
              <w:szCs w:val="24"/>
              <w:highlight w:val="none"/>
            </w:rPr>
            <w:tab/>
          </w:r>
          <w:r>
            <w:rPr>
              <w:rFonts w:ascii="宋体" w:hAnsi="宋体" w:eastAsia="宋体" w:cs="宋体"/>
              <w:color w:val="auto"/>
              <w:spacing w:val="-71"/>
              <w:position w:val="2"/>
              <w:sz w:val="24"/>
              <w:szCs w:val="24"/>
              <w:highlight w:val="none"/>
            </w:rPr>
            <w:t xml:space="preserve"> </w:t>
          </w:r>
          <w:r>
            <w:rPr>
              <w:rFonts w:ascii="宋体" w:hAnsi="宋体" w:eastAsia="宋体" w:cs="宋体"/>
              <w:color w:val="auto"/>
              <w:spacing w:val="-7"/>
              <w:position w:val="2"/>
              <w:sz w:val="24"/>
              <w:szCs w:val="24"/>
              <w:highlight w:val="none"/>
            </w:rPr>
            <w:t>2</w:t>
          </w:r>
          <w:r>
            <w:rPr>
              <w:rFonts w:ascii="宋体" w:hAnsi="宋体" w:eastAsia="宋体" w:cs="宋体"/>
              <w:color w:val="auto"/>
              <w:spacing w:val="-7"/>
              <w:position w:val="2"/>
              <w:sz w:val="24"/>
              <w:szCs w:val="24"/>
              <w:highlight w:val="none"/>
            </w:rPr>
            <w:fldChar w:fldCharType="end"/>
          </w:r>
          <w:r>
            <w:rPr>
              <w:rFonts w:ascii="宋体" w:hAnsi="宋体" w:eastAsia="宋体" w:cs="宋体"/>
              <w:color w:val="auto"/>
              <w:spacing w:val="-7"/>
              <w:position w:val="2"/>
              <w:sz w:val="24"/>
              <w:szCs w:val="24"/>
              <w:highlight w:val="none"/>
            </w:rPr>
            <w:t>1</w:t>
          </w:r>
        </w:p>
        <w:p w14:paraId="3DB8396A">
          <w:pPr>
            <w:tabs>
              <w:tab w:val="right" w:leader="dot" w:pos="8965"/>
            </w:tabs>
            <w:spacing w:before="245" w:line="219" w:lineRule="auto"/>
            <w:rPr>
              <w:rFonts w:ascii="宋体" w:hAnsi="宋体" w:eastAsia="宋体" w:cs="宋体"/>
              <w:color w:val="auto"/>
              <w:sz w:val="24"/>
              <w:szCs w:val="24"/>
              <w:highlight w:val="none"/>
            </w:rPr>
          </w:pPr>
          <w:bookmarkStart w:id="9" w:name="bookmark18"/>
          <w:bookmarkEnd w:id="9"/>
          <w:r>
            <w:rPr>
              <w:color w:val="auto"/>
              <w:highlight w:val="none"/>
            </w:rPr>
            <w:fldChar w:fldCharType="begin"/>
          </w:r>
          <w:r>
            <w:rPr>
              <w:color w:val="auto"/>
              <w:highlight w:val="none"/>
            </w:rPr>
            <w:instrText xml:space="preserve"> HYPERLINK \l "bookmark19" </w:instrText>
          </w:r>
          <w:r>
            <w:rPr>
              <w:color w:val="auto"/>
              <w:highlight w:val="none"/>
            </w:rPr>
            <w:fldChar w:fldCharType="separate"/>
          </w:r>
          <w:r>
            <w:rPr>
              <w:rFonts w:ascii="宋体" w:hAnsi="宋体" w:eastAsia="宋体" w:cs="宋体"/>
              <w:color w:val="auto"/>
              <w:spacing w:val="-1"/>
              <w:sz w:val="24"/>
              <w:szCs w:val="24"/>
              <w:highlight w:val="none"/>
            </w:rPr>
            <w:t>第十章 框架协议和采购合同</w:t>
          </w:r>
          <w:r>
            <w:rPr>
              <w:rFonts w:ascii="宋体" w:hAnsi="宋体" w:eastAsia="宋体" w:cs="宋体"/>
              <w:color w:val="auto"/>
              <w:sz w:val="24"/>
              <w:szCs w:val="24"/>
              <w:highlight w:val="none"/>
            </w:rPr>
            <w:tab/>
          </w:r>
          <w:r>
            <w:rPr>
              <w:rFonts w:ascii="宋体" w:hAnsi="宋体" w:eastAsia="宋体" w:cs="宋体"/>
              <w:color w:val="auto"/>
              <w:spacing w:val="-71"/>
              <w:sz w:val="24"/>
              <w:szCs w:val="24"/>
              <w:highlight w:val="none"/>
            </w:rPr>
            <w:t xml:space="preserve"> </w:t>
          </w:r>
          <w:r>
            <w:rPr>
              <w:rFonts w:ascii="宋体" w:hAnsi="宋体" w:eastAsia="宋体" w:cs="宋体"/>
              <w:color w:val="auto"/>
              <w:spacing w:val="-7"/>
              <w:sz w:val="24"/>
              <w:szCs w:val="24"/>
              <w:highlight w:val="none"/>
            </w:rPr>
            <w:t>2</w:t>
          </w:r>
          <w:r>
            <w:rPr>
              <w:rFonts w:ascii="宋体" w:hAnsi="宋体" w:eastAsia="宋体" w:cs="宋体"/>
              <w:color w:val="auto"/>
              <w:spacing w:val="-7"/>
              <w:sz w:val="24"/>
              <w:szCs w:val="24"/>
              <w:highlight w:val="none"/>
            </w:rPr>
            <w:fldChar w:fldCharType="end"/>
          </w:r>
          <w:r>
            <w:rPr>
              <w:rFonts w:ascii="宋体" w:hAnsi="宋体" w:eastAsia="宋体" w:cs="宋体"/>
              <w:color w:val="auto"/>
              <w:spacing w:val="-7"/>
              <w:sz w:val="24"/>
              <w:szCs w:val="24"/>
              <w:highlight w:val="none"/>
            </w:rPr>
            <w:t>2</w:t>
          </w:r>
        </w:p>
        <w:p w14:paraId="23C33001">
          <w:pPr>
            <w:tabs>
              <w:tab w:val="right" w:leader="dot" w:pos="8965"/>
            </w:tabs>
            <w:spacing w:before="282" w:line="219" w:lineRule="auto"/>
            <w:rPr>
              <w:rFonts w:ascii="宋体" w:hAnsi="宋体" w:eastAsia="宋体" w:cs="宋体"/>
              <w:color w:val="auto"/>
              <w:sz w:val="24"/>
              <w:szCs w:val="24"/>
              <w:highlight w:val="none"/>
            </w:rPr>
          </w:pPr>
          <w:bookmarkStart w:id="10" w:name="bookmark20"/>
          <w:bookmarkEnd w:id="10"/>
          <w:r>
            <w:rPr>
              <w:color w:val="auto"/>
              <w:highlight w:val="none"/>
            </w:rPr>
            <w:fldChar w:fldCharType="begin"/>
          </w:r>
          <w:r>
            <w:rPr>
              <w:color w:val="auto"/>
              <w:highlight w:val="none"/>
            </w:rPr>
            <w:instrText xml:space="preserve"> HYPERLINK \l "bookmark21" </w:instrText>
          </w:r>
          <w:r>
            <w:rPr>
              <w:color w:val="auto"/>
              <w:highlight w:val="none"/>
            </w:rPr>
            <w:fldChar w:fldCharType="separate"/>
          </w:r>
          <w:r>
            <w:rPr>
              <w:rFonts w:ascii="宋体" w:hAnsi="宋体" w:eastAsia="宋体" w:cs="宋体"/>
              <w:color w:val="auto"/>
              <w:spacing w:val="-1"/>
              <w:sz w:val="24"/>
              <w:szCs w:val="24"/>
              <w:highlight w:val="none"/>
            </w:rPr>
            <w:t>第十一章 供应商信用信息</w:t>
          </w:r>
          <w:r>
            <w:rPr>
              <w:rFonts w:ascii="宋体" w:hAnsi="宋体" w:eastAsia="宋体" w:cs="宋体"/>
              <w:color w:val="auto"/>
              <w:sz w:val="24"/>
              <w:szCs w:val="24"/>
              <w:highlight w:val="none"/>
            </w:rPr>
            <w:tab/>
          </w:r>
          <w:r>
            <w:rPr>
              <w:rFonts w:ascii="宋体" w:hAnsi="宋体" w:eastAsia="宋体" w:cs="宋体"/>
              <w:color w:val="auto"/>
              <w:spacing w:val="-69"/>
              <w:sz w:val="24"/>
              <w:szCs w:val="24"/>
              <w:highlight w:val="none"/>
            </w:rPr>
            <w:t xml:space="preserve"> </w:t>
          </w:r>
          <w:r>
            <w:rPr>
              <w:rFonts w:ascii="宋体" w:hAnsi="宋体" w:eastAsia="宋体" w:cs="宋体"/>
              <w:color w:val="auto"/>
              <w:spacing w:val="-8"/>
              <w:sz w:val="24"/>
              <w:szCs w:val="24"/>
              <w:highlight w:val="none"/>
            </w:rPr>
            <w:t>3</w:t>
          </w:r>
          <w:r>
            <w:rPr>
              <w:rFonts w:ascii="宋体" w:hAnsi="宋体" w:eastAsia="宋体" w:cs="宋体"/>
              <w:color w:val="auto"/>
              <w:spacing w:val="-8"/>
              <w:sz w:val="24"/>
              <w:szCs w:val="24"/>
              <w:highlight w:val="none"/>
            </w:rPr>
            <w:fldChar w:fldCharType="end"/>
          </w:r>
          <w:r>
            <w:rPr>
              <w:rFonts w:ascii="宋体" w:hAnsi="宋体" w:eastAsia="宋体" w:cs="宋体"/>
              <w:color w:val="auto"/>
              <w:spacing w:val="-8"/>
              <w:sz w:val="24"/>
              <w:szCs w:val="24"/>
              <w:highlight w:val="none"/>
            </w:rPr>
            <w:t>9</w:t>
          </w:r>
        </w:p>
        <w:p w14:paraId="3A4BCEF4">
          <w:pPr>
            <w:tabs>
              <w:tab w:val="right" w:leader="dot" w:pos="8965"/>
            </w:tabs>
            <w:spacing w:before="277" w:line="219" w:lineRule="auto"/>
            <w:rPr>
              <w:rFonts w:ascii="宋体" w:hAnsi="宋体" w:eastAsia="宋体" w:cs="宋体"/>
              <w:color w:val="auto"/>
              <w:sz w:val="24"/>
              <w:szCs w:val="24"/>
              <w:highlight w:val="none"/>
            </w:rPr>
          </w:pPr>
          <w:bookmarkStart w:id="11" w:name="bookmark22"/>
          <w:bookmarkEnd w:id="11"/>
          <w:r>
            <w:rPr>
              <w:color w:val="auto"/>
              <w:highlight w:val="none"/>
            </w:rPr>
            <w:fldChar w:fldCharType="begin"/>
          </w:r>
          <w:r>
            <w:rPr>
              <w:color w:val="auto"/>
              <w:highlight w:val="none"/>
            </w:rPr>
            <w:instrText xml:space="preserve"> HYPERLINK \l "bookmark23" </w:instrText>
          </w:r>
          <w:r>
            <w:rPr>
              <w:color w:val="auto"/>
              <w:highlight w:val="none"/>
            </w:rPr>
            <w:fldChar w:fldCharType="separate"/>
          </w:r>
          <w:r>
            <w:rPr>
              <w:rFonts w:ascii="宋体" w:hAnsi="宋体" w:eastAsia="宋体" w:cs="宋体"/>
              <w:color w:val="auto"/>
              <w:spacing w:val="-1"/>
              <w:sz w:val="24"/>
              <w:szCs w:val="24"/>
              <w:highlight w:val="none"/>
            </w:rPr>
            <w:t>第十二章 入围供应商的清退和补充规则</w:t>
          </w:r>
          <w:r>
            <w:rPr>
              <w:rFonts w:ascii="宋体" w:hAnsi="宋体" w:eastAsia="宋体" w:cs="宋体"/>
              <w:color w:val="auto"/>
              <w:sz w:val="24"/>
              <w:szCs w:val="24"/>
              <w:highlight w:val="none"/>
            </w:rPr>
            <w:tab/>
          </w:r>
          <w:r>
            <w:rPr>
              <w:rFonts w:ascii="宋体" w:hAnsi="宋体" w:eastAsia="宋体" w:cs="宋体"/>
              <w:color w:val="auto"/>
              <w:spacing w:val="-75"/>
              <w:sz w:val="24"/>
              <w:szCs w:val="24"/>
              <w:highlight w:val="none"/>
            </w:rPr>
            <w:t xml:space="preserve"> </w:t>
          </w:r>
          <w:r>
            <w:rPr>
              <w:rFonts w:ascii="宋体" w:hAnsi="宋体" w:eastAsia="宋体" w:cs="宋体"/>
              <w:color w:val="auto"/>
              <w:spacing w:val="-5"/>
              <w:sz w:val="24"/>
              <w:szCs w:val="24"/>
              <w:highlight w:val="none"/>
            </w:rPr>
            <w:t>4</w:t>
          </w:r>
          <w:r>
            <w:rPr>
              <w:rFonts w:ascii="宋体" w:hAnsi="宋体" w:eastAsia="宋体" w:cs="宋体"/>
              <w:color w:val="auto"/>
              <w:spacing w:val="-5"/>
              <w:sz w:val="24"/>
              <w:szCs w:val="24"/>
              <w:highlight w:val="none"/>
            </w:rPr>
            <w:fldChar w:fldCharType="end"/>
          </w:r>
          <w:r>
            <w:rPr>
              <w:rFonts w:ascii="宋体" w:hAnsi="宋体" w:eastAsia="宋体" w:cs="宋体"/>
              <w:color w:val="auto"/>
              <w:spacing w:val="-5"/>
              <w:sz w:val="24"/>
              <w:szCs w:val="24"/>
              <w:highlight w:val="none"/>
            </w:rPr>
            <w:t>0</w:t>
          </w:r>
        </w:p>
        <w:p w14:paraId="417C6F6D">
          <w:pPr>
            <w:tabs>
              <w:tab w:val="right" w:leader="dot" w:pos="8965"/>
            </w:tabs>
            <w:spacing w:before="277" w:line="219" w:lineRule="auto"/>
            <w:rPr>
              <w:rFonts w:ascii="宋体" w:hAnsi="宋体" w:eastAsia="宋体" w:cs="宋体"/>
              <w:color w:val="auto"/>
              <w:sz w:val="24"/>
              <w:szCs w:val="24"/>
              <w:highlight w:val="none"/>
            </w:rPr>
          </w:pPr>
          <w:bookmarkStart w:id="12" w:name="bookmark24"/>
          <w:bookmarkEnd w:id="12"/>
          <w:r>
            <w:rPr>
              <w:color w:val="auto"/>
              <w:highlight w:val="none"/>
            </w:rPr>
            <w:fldChar w:fldCharType="begin"/>
          </w:r>
          <w:r>
            <w:rPr>
              <w:color w:val="auto"/>
              <w:highlight w:val="none"/>
            </w:rPr>
            <w:instrText xml:space="preserve"> HYPERLINK \l "bookmark25" </w:instrText>
          </w:r>
          <w:r>
            <w:rPr>
              <w:color w:val="auto"/>
              <w:highlight w:val="none"/>
            </w:rPr>
            <w:fldChar w:fldCharType="separate"/>
          </w:r>
          <w:r>
            <w:rPr>
              <w:rFonts w:ascii="宋体" w:hAnsi="宋体" w:eastAsia="宋体" w:cs="宋体"/>
              <w:color w:val="auto"/>
              <w:spacing w:val="-1"/>
              <w:sz w:val="24"/>
              <w:szCs w:val="24"/>
              <w:highlight w:val="none"/>
            </w:rPr>
            <w:t>第十三章 响应文件的编制和提交</w:t>
          </w:r>
          <w:r>
            <w:rPr>
              <w:rFonts w:ascii="宋体" w:hAnsi="宋体" w:eastAsia="宋体" w:cs="宋体"/>
              <w:color w:val="auto"/>
              <w:sz w:val="24"/>
              <w:szCs w:val="24"/>
              <w:highlight w:val="none"/>
            </w:rPr>
            <w:tab/>
          </w:r>
          <w:r>
            <w:rPr>
              <w:rFonts w:ascii="宋体" w:hAnsi="宋体" w:eastAsia="宋体" w:cs="宋体"/>
              <w:color w:val="auto"/>
              <w:spacing w:val="-75"/>
              <w:sz w:val="24"/>
              <w:szCs w:val="24"/>
              <w:highlight w:val="none"/>
            </w:rPr>
            <w:t xml:space="preserve"> </w:t>
          </w:r>
          <w:r>
            <w:rPr>
              <w:rFonts w:ascii="宋体" w:hAnsi="宋体" w:eastAsia="宋体" w:cs="宋体"/>
              <w:color w:val="auto"/>
              <w:spacing w:val="-5"/>
              <w:sz w:val="24"/>
              <w:szCs w:val="24"/>
              <w:highlight w:val="none"/>
            </w:rPr>
            <w:t>4</w:t>
          </w:r>
          <w:r>
            <w:rPr>
              <w:rFonts w:ascii="宋体" w:hAnsi="宋体" w:eastAsia="宋体" w:cs="宋体"/>
              <w:color w:val="auto"/>
              <w:spacing w:val="-5"/>
              <w:sz w:val="24"/>
              <w:szCs w:val="24"/>
              <w:highlight w:val="none"/>
            </w:rPr>
            <w:fldChar w:fldCharType="end"/>
          </w:r>
          <w:r>
            <w:rPr>
              <w:rFonts w:ascii="宋体" w:hAnsi="宋体" w:eastAsia="宋体" w:cs="宋体"/>
              <w:color w:val="auto"/>
              <w:spacing w:val="-5"/>
              <w:sz w:val="24"/>
              <w:szCs w:val="24"/>
              <w:highlight w:val="none"/>
            </w:rPr>
            <w:t>0</w:t>
          </w:r>
        </w:p>
        <w:p w14:paraId="4321C341">
          <w:pPr>
            <w:tabs>
              <w:tab w:val="right" w:leader="dot" w:pos="8965"/>
            </w:tabs>
            <w:spacing w:before="279" w:line="219" w:lineRule="auto"/>
            <w:rPr>
              <w:rFonts w:ascii="宋体" w:hAnsi="宋体" w:eastAsia="宋体" w:cs="宋体"/>
              <w:color w:val="auto"/>
              <w:sz w:val="24"/>
              <w:szCs w:val="24"/>
              <w:highlight w:val="none"/>
            </w:rPr>
          </w:pPr>
          <w:bookmarkStart w:id="13" w:name="bookmark26"/>
          <w:bookmarkEnd w:id="13"/>
          <w:r>
            <w:rPr>
              <w:color w:val="auto"/>
              <w:highlight w:val="none"/>
            </w:rPr>
            <w:fldChar w:fldCharType="begin"/>
          </w:r>
          <w:r>
            <w:rPr>
              <w:color w:val="auto"/>
              <w:highlight w:val="none"/>
            </w:rPr>
            <w:instrText xml:space="preserve"> HYPERLINK \l "bookmark27" </w:instrText>
          </w:r>
          <w:r>
            <w:rPr>
              <w:color w:val="auto"/>
              <w:highlight w:val="none"/>
            </w:rPr>
            <w:fldChar w:fldCharType="separate"/>
          </w:r>
          <w:r>
            <w:rPr>
              <w:rFonts w:ascii="宋体" w:hAnsi="宋体" w:eastAsia="宋体" w:cs="宋体"/>
              <w:color w:val="auto"/>
              <w:sz w:val="24"/>
              <w:szCs w:val="24"/>
              <w:highlight w:val="none"/>
            </w:rPr>
            <w:t>第十四章 响应文件（格式）</w:t>
          </w:r>
          <w:r>
            <w:rPr>
              <w:rFonts w:ascii="宋体" w:hAnsi="宋体" w:eastAsia="宋体" w:cs="宋体"/>
              <w:color w:val="auto"/>
              <w:sz w:val="24"/>
              <w:szCs w:val="24"/>
              <w:highlight w:val="none"/>
            </w:rPr>
            <w:tab/>
          </w:r>
          <w:r>
            <w:rPr>
              <w:rFonts w:ascii="宋体" w:hAnsi="宋体" w:eastAsia="宋体" w:cs="宋体"/>
              <w:color w:val="auto"/>
              <w:spacing w:val="-75"/>
              <w:sz w:val="24"/>
              <w:szCs w:val="24"/>
              <w:highlight w:val="none"/>
            </w:rPr>
            <w:t xml:space="preserve"> </w:t>
          </w:r>
          <w:r>
            <w:rPr>
              <w:rFonts w:ascii="宋体" w:hAnsi="宋体" w:eastAsia="宋体" w:cs="宋体"/>
              <w:color w:val="auto"/>
              <w:spacing w:val="-5"/>
              <w:sz w:val="24"/>
              <w:szCs w:val="24"/>
              <w:highlight w:val="none"/>
            </w:rPr>
            <w:t>4</w:t>
          </w:r>
          <w:r>
            <w:rPr>
              <w:rFonts w:ascii="宋体" w:hAnsi="宋体" w:eastAsia="宋体" w:cs="宋体"/>
              <w:color w:val="auto"/>
              <w:spacing w:val="-5"/>
              <w:sz w:val="24"/>
              <w:szCs w:val="24"/>
              <w:highlight w:val="none"/>
            </w:rPr>
            <w:fldChar w:fldCharType="end"/>
          </w:r>
          <w:r>
            <w:rPr>
              <w:rFonts w:ascii="宋体" w:hAnsi="宋体" w:eastAsia="宋体" w:cs="宋体"/>
              <w:color w:val="auto"/>
              <w:spacing w:val="-5"/>
              <w:sz w:val="24"/>
              <w:szCs w:val="24"/>
              <w:highlight w:val="none"/>
            </w:rPr>
            <w:t>3</w:t>
          </w:r>
        </w:p>
        <w:p w14:paraId="532EC412">
          <w:pPr>
            <w:tabs>
              <w:tab w:val="right" w:leader="dot" w:pos="8965"/>
            </w:tabs>
            <w:spacing w:before="279" w:line="220" w:lineRule="auto"/>
            <w:ind w:left="423"/>
            <w:rPr>
              <w:rFonts w:ascii="宋体" w:hAnsi="宋体" w:eastAsia="宋体" w:cs="宋体"/>
              <w:color w:val="auto"/>
              <w:sz w:val="24"/>
              <w:szCs w:val="24"/>
              <w:highlight w:val="none"/>
            </w:rPr>
          </w:pPr>
          <w:bookmarkStart w:id="14" w:name="bookmark28"/>
          <w:bookmarkEnd w:id="14"/>
          <w:r>
            <w:rPr>
              <w:color w:val="auto"/>
              <w:highlight w:val="none"/>
            </w:rPr>
            <w:fldChar w:fldCharType="begin"/>
          </w:r>
          <w:r>
            <w:rPr>
              <w:color w:val="auto"/>
              <w:highlight w:val="none"/>
            </w:rPr>
            <w:instrText xml:space="preserve"> HYPERLINK \l "bookmark29" </w:instrText>
          </w:r>
          <w:r>
            <w:rPr>
              <w:color w:val="auto"/>
              <w:highlight w:val="none"/>
            </w:rPr>
            <w:fldChar w:fldCharType="separate"/>
          </w:r>
          <w:r>
            <w:rPr>
              <w:rFonts w:ascii="宋体" w:hAnsi="宋体" w:eastAsia="宋体" w:cs="宋体"/>
              <w:color w:val="auto"/>
              <w:spacing w:val="-3"/>
              <w:sz w:val="24"/>
              <w:szCs w:val="24"/>
              <w:highlight w:val="none"/>
            </w:rPr>
            <w:t>一、营业执照</w:t>
          </w:r>
          <w:r>
            <w:rPr>
              <w:rFonts w:ascii="宋体" w:hAnsi="宋体" w:eastAsia="宋体" w:cs="宋体"/>
              <w:color w:val="auto"/>
              <w:sz w:val="24"/>
              <w:szCs w:val="24"/>
              <w:highlight w:val="none"/>
            </w:rPr>
            <w:tab/>
          </w:r>
          <w:r>
            <w:rPr>
              <w:rFonts w:ascii="宋体" w:hAnsi="宋体" w:eastAsia="宋体" w:cs="宋体"/>
              <w:color w:val="auto"/>
              <w:spacing w:val="-75"/>
              <w:sz w:val="24"/>
              <w:szCs w:val="24"/>
              <w:highlight w:val="none"/>
            </w:rPr>
            <w:t xml:space="preserve"> </w:t>
          </w:r>
          <w:r>
            <w:rPr>
              <w:rFonts w:ascii="宋体" w:hAnsi="宋体" w:eastAsia="宋体" w:cs="宋体"/>
              <w:color w:val="auto"/>
              <w:spacing w:val="-5"/>
              <w:sz w:val="24"/>
              <w:szCs w:val="24"/>
              <w:highlight w:val="none"/>
            </w:rPr>
            <w:t>4</w:t>
          </w:r>
          <w:r>
            <w:rPr>
              <w:rFonts w:ascii="宋体" w:hAnsi="宋体" w:eastAsia="宋体" w:cs="宋体"/>
              <w:color w:val="auto"/>
              <w:spacing w:val="-5"/>
              <w:sz w:val="24"/>
              <w:szCs w:val="24"/>
              <w:highlight w:val="none"/>
            </w:rPr>
            <w:fldChar w:fldCharType="end"/>
          </w:r>
          <w:r>
            <w:rPr>
              <w:rFonts w:ascii="宋体" w:hAnsi="宋体" w:eastAsia="宋体" w:cs="宋体"/>
              <w:color w:val="auto"/>
              <w:spacing w:val="-5"/>
              <w:sz w:val="24"/>
              <w:szCs w:val="24"/>
              <w:highlight w:val="none"/>
            </w:rPr>
            <w:t>4</w:t>
          </w:r>
        </w:p>
        <w:p w14:paraId="63A790EC">
          <w:pPr>
            <w:tabs>
              <w:tab w:val="right" w:leader="dot" w:pos="8965"/>
            </w:tabs>
            <w:spacing w:before="279" w:line="219" w:lineRule="auto"/>
            <w:ind w:left="423"/>
            <w:rPr>
              <w:rFonts w:ascii="宋体" w:hAnsi="宋体" w:eastAsia="宋体" w:cs="宋体"/>
              <w:color w:val="auto"/>
              <w:sz w:val="24"/>
              <w:szCs w:val="24"/>
              <w:highlight w:val="none"/>
            </w:rPr>
          </w:pPr>
          <w:bookmarkStart w:id="15" w:name="bookmark30"/>
          <w:bookmarkEnd w:id="15"/>
          <w:r>
            <w:rPr>
              <w:color w:val="auto"/>
              <w:highlight w:val="none"/>
            </w:rPr>
            <w:fldChar w:fldCharType="begin"/>
          </w:r>
          <w:r>
            <w:rPr>
              <w:color w:val="auto"/>
              <w:highlight w:val="none"/>
            </w:rPr>
            <w:instrText xml:space="preserve"> HYPERLINK \l "bookmark31" </w:instrText>
          </w:r>
          <w:r>
            <w:rPr>
              <w:color w:val="auto"/>
              <w:highlight w:val="none"/>
            </w:rPr>
            <w:fldChar w:fldCharType="separate"/>
          </w:r>
          <w:r>
            <w:rPr>
              <w:rFonts w:ascii="宋体" w:hAnsi="宋体" w:eastAsia="宋体" w:cs="宋体"/>
              <w:color w:val="auto"/>
              <w:spacing w:val="-2"/>
              <w:sz w:val="24"/>
              <w:szCs w:val="24"/>
              <w:highlight w:val="none"/>
            </w:rPr>
            <w:t>二、响应授权书</w:t>
          </w:r>
          <w:r>
            <w:rPr>
              <w:rFonts w:ascii="宋体" w:hAnsi="宋体" w:eastAsia="宋体" w:cs="宋体"/>
              <w:color w:val="auto"/>
              <w:sz w:val="24"/>
              <w:szCs w:val="24"/>
              <w:highlight w:val="none"/>
            </w:rPr>
            <w:tab/>
          </w:r>
          <w:r>
            <w:rPr>
              <w:rFonts w:ascii="宋体" w:hAnsi="宋体" w:eastAsia="宋体" w:cs="宋体"/>
              <w:color w:val="auto"/>
              <w:spacing w:val="-75"/>
              <w:sz w:val="24"/>
              <w:szCs w:val="24"/>
              <w:highlight w:val="none"/>
            </w:rPr>
            <w:t xml:space="preserve"> </w:t>
          </w:r>
          <w:r>
            <w:rPr>
              <w:rFonts w:ascii="宋体" w:hAnsi="宋体" w:eastAsia="宋体" w:cs="宋体"/>
              <w:color w:val="auto"/>
              <w:spacing w:val="-5"/>
              <w:sz w:val="24"/>
              <w:szCs w:val="24"/>
              <w:highlight w:val="none"/>
            </w:rPr>
            <w:t>4</w:t>
          </w:r>
          <w:r>
            <w:rPr>
              <w:rFonts w:ascii="宋体" w:hAnsi="宋体" w:eastAsia="宋体" w:cs="宋体"/>
              <w:color w:val="auto"/>
              <w:spacing w:val="-5"/>
              <w:sz w:val="24"/>
              <w:szCs w:val="24"/>
              <w:highlight w:val="none"/>
            </w:rPr>
            <w:fldChar w:fldCharType="end"/>
          </w:r>
          <w:r>
            <w:rPr>
              <w:rFonts w:ascii="宋体" w:hAnsi="宋体" w:eastAsia="宋体" w:cs="宋体"/>
              <w:color w:val="auto"/>
              <w:spacing w:val="-5"/>
              <w:sz w:val="24"/>
              <w:szCs w:val="24"/>
              <w:highlight w:val="none"/>
            </w:rPr>
            <w:t>5</w:t>
          </w:r>
        </w:p>
        <w:p w14:paraId="391DA818">
          <w:pPr>
            <w:tabs>
              <w:tab w:val="right" w:leader="dot" w:pos="8965"/>
            </w:tabs>
            <w:spacing w:before="279" w:line="220" w:lineRule="auto"/>
            <w:ind w:left="420"/>
            <w:rPr>
              <w:rFonts w:ascii="宋体" w:hAnsi="宋体" w:eastAsia="宋体" w:cs="宋体"/>
              <w:color w:val="auto"/>
              <w:sz w:val="24"/>
              <w:szCs w:val="24"/>
              <w:highlight w:val="none"/>
            </w:rPr>
          </w:pPr>
          <w:bookmarkStart w:id="16" w:name="bookmark32"/>
          <w:bookmarkEnd w:id="16"/>
          <w:r>
            <w:rPr>
              <w:color w:val="auto"/>
              <w:highlight w:val="none"/>
            </w:rPr>
            <w:fldChar w:fldCharType="begin"/>
          </w:r>
          <w:r>
            <w:rPr>
              <w:color w:val="auto"/>
              <w:highlight w:val="none"/>
            </w:rPr>
            <w:instrText xml:space="preserve"> HYPERLINK \l "bookmark33" </w:instrText>
          </w:r>
          <w:r>
            <w:rPr>
              <w:color w:val="auto"/>
              <w:highlight w:val="none"/>
            </w:rPr>
            <w:fldChar w:fldCharType="separate"/>
          </w:r>
          <w:r>
            <w:rPr>
              <w:rFonts w:ascii="宋体" w:hAnsi="宋体" w:eastAsia="宋体" w:cs="宋体"/>
              <w:color w:val="auto"/>
              <w:spacing w:val="-1"/>
              <w:sz w:val="24"/>
              <w:szCs w:val="24"/>
              <w:highlight w:val="none"/>
            </w:rPr>
            <w:t>三、无重大违法记录声明函、无不良信用记录声明函</w:t>
          </w:r>
          <w:r>
            <w:rPr>
              <w:rFonts w:ascii="宋体" w:hAnsi="宋体" w:eastAsia="宋体" w:cs="宋体"/>
              <w:color w:val="auto"/>
              <w:sz w:val="24"/>
              <w:szCs w:val="24"/>
              <w:highlight w:val="none"/>
            </w:rPr>
            <w:tab/>
          </w:r>
          <w:r>
            <w:rPr>
              <w:rFonts w:ascii="宋体" w:hAnsi="宋体" w:eastAsia="宋体" w:cs="宋体"/>
              <w:color w:val="auto"/>
              <w:spacing w:val="-75"/>
              <w:sz w:val="24"/>
              <w:szCs w:val="24"/>
              <w:highlight w:val="none"/>
            </w:rPr>
            <w:t xml:space="preserve"> </w:t>
          </w:r>
          <w:r>
            <w:rPr>
              <w:rFonts w:ascii="宋体" w:hAnsi="宋体" w:eastAsia="宋体" w:cs="宋体"/>
              <w:color w:val="auto"/>
              <w:spacing w:val="-5"/>
              <w:sz w:val="24"/>
              <w:szCs w:val="24"/>
              <w:highlight w:val="none"/>
            </w:rPr>
            <w:t>4</w:t>
          </w:r>
          <w:r>
            <w:rPr>
              <w:rFonts w:ascii="宋体" w:hAnsi="宋体" w:eastAsia="宋体" w:cs="宋体"/>
              <w:color w:val="auto"/>
              <w:spacing w:val="-5"/>
              <w:sz w:val="24"/>
              <w:szCs w:val="24"/>
              <w:highlight w:val="none"/>
            </w:rPr>
            <w:fldChar w:fldCharType="end"/>
          </w:r>
          <w:r>
            <w:rPr>
              <w:rFonts w:ascii="宋体" w:hAnsi="宋体" w:eastAsia="宋体" w:cs="宋体"/>
              <w:color w:val="auto"/>
              <w:spacing w:val="-5"/>
              <w:sz w:val="24"/>
              <w:szCs w:val="24"/>
              <w:highlight w:val="none"/>
            </w:rPr>
            <w:t>6</w:t>
          </w:r>
        </w:p>
        <w:p w14:paraId="1445A76F">
          <w:pPr>
            <w:tabs>
              <w:tab w:val="right" w:leader="dot" w:pos="8965"/>
            </w:tabs>
            <w:spacing w:before="277" w:line="222" w:lineRule="auto"/>
            <w:ind w:left="442"/>
            <w:rPr>
              <w:rFonts w:ascii="宋体" w:hAnsi="宋体" w:eastAsia="宋体" w:cs="宋体"/>
              <w:color w:val="auto"/>
              <w:sz w:val="24"/>
              <w:szCs w:val="24"/>
              <w:highlight w:val="none"/>
            </w:rPr>
          </w:pPr>
          <w:bookmarkStart w:id="17" w:name="bookmark34"/>
          <w:bookmarkEnd w:id="17"/>
          <w:r>
            <w:rPr>
              <w:color w:val="auto"/>
              <w:highlight w:val="none"/>
            </w:rPr>
            <w:fldChar w:fldCharType="begin"/>
          </w:r>
          <w:r>
            <w:rPr>
              <w:color w:val="auto"/>
              <w:highlight w:val="none"/>
            </w:rPr>
            <w:instrText xml:space="preserve"> HYPERLINK \l "bookmark35" </w:instrText>
          </w:r>
          <w:r>
            <w:rPr>
              <w:color w:val="auto"/>
              <w:highlight w:val="none"/>
            </w:rPr>
            <w:fldChar w:fldCharType="separate"/>
          </w:r>
          <w:r>
            <w:rPr>
              <w:rFonts w:ascii="宋体" w:hAnsi="宋体" w:eastAsia="宋体" w:cs="宋体"/>
              <w:color w:val="auto"/>
              <w:spacing w:val="-7"/>
              <w:sz w:val="24"/>
              <w:szCs w:val="24"/>
              <w:highlight w:val="none"/>
            </w:rPr>
            <w:t>四、响应函</w:t>
          </w:r>
          <w:r>
            <w:rPr>
              <w:rFonts w:ascii="宋体" w:hAnsi="宋体" w:eastAsia="宋体" w:cs="宋体"/>
              <w:color w:val="auto"/>
              <w:sz w:val="24"/>
              <w:szCs w:val="24"/>
              <w:highlight w:val="none"/>
            </w:rPr>
            <w:tab/>
          </w:r>
          <w:r>
            <w:rPr>
              <w:rFonts w:ascii="宋体" w:hAnsi="宋体" w:eastAsia="宋体" w:cs="宋体"/>
              <w:color w:val="auto"/>
              <w:spacing w:val="-75"/>
              <w:sz w:val="24"/>
              <w:szCs w:val="24"/>
              <w:highlight w:val="none"/>
            </w:rPr>
            <w:t xml:space="preserve"> </w:t>
          </w:r>
          <w:r>
            <w:rPr>
              <w:rFonts w:ascii="宋体" w:hAnsi="宋体" w:eastAsia="宋体" w:cs="宋体"/>
              <w:color w:val="auto"/>
              <w:spacing w:val="-5"/>
              <w:sz w:val="24"/>
              <w:szCs w:val="24"/>
              <w:highlight w:val="none"/>
            </w:rPr>
            <w:t>4</w:t>
          </w:r>
          <w:r>
            <w:rPr>
              <w:rFonts w:ascii="宋体" w:hAnsi="宋体" w:eastAsia="宋体" w:cs="宋体"/>
              <w:color w:val="auto"/>
              <w:spacing w:val="-5"/>
              <w:sz w:val="24"/>
              <w:szCs w:val="24"/>
              <w:highlight w:val="none"/>
            </w:rPr>
            <w:fldChar w:fldCharType="end"/>
          </w:r>
          <w:r>
            <w:rPr>
              <w:rFonts w:ascii="宋体" w:hAnsi="宋体" w:eastAsia="宋体" w:cs="宋体"/>
              <w:color w:val="auto"/>
              <w:spacing w:val="-5"/>
              <w:sz w:val="24"/>
              <w:szCs w:val="24"/>
              <w:highlight w:val="none"/>
            </w:rPr>
            <w:t>7</w:t>
          </w:r>
        </w:p>
        <w:p w14:paraId="48AC71AD">
          <w:pPr>
            <w:tabs>
              <w:tab w:val="right" w:leader="dot" w:pos="8965"/>
            </w:tabs>
            <w:spacing w:before="276" w:line="220" w:lineRule="auto"/>
            <w:ind w:left="423"/>
            <w:rPr>
              <w:rFonts w:ascii="宋体" w:hAnsi="宋体" w:eastAsia="宋体" w:cs="宋体"/>
              <w:color w:val="auto"/>
              <w:sz w:val="24"/>
              <w:szCs w:val="24"/>
              <w:highlight w:val="none"/>
            </w:rPr>
          </w:pPr>
          <w:bookmarkStart w:id="18" w:name="bookmark36"/>
          <w:bookmarkEnd w:id="18"/>
          <w:r>
            <w:rPr>
              <w:color w:val="auto"/>
              <w:highlight w:val="none"/>
            </w:rPr>
            <w:fldChar w:fldCharType="begin"/>
          </w:r>
          <w:r>
            <w:rPr>
              <w:color w:val="auto"/>
              <w:highlight w:val="none"/>
            </w:rPr>
            <w:instrText xml:space="preserve"> HYPERLINK \l "bookmark37" </w:instrText>
          </w:r>
          <w:r>
            <w:rPr>
              <w:color w:val="auto"/>
              <w:highlight w:val="none"/>
            </w:rPr>
            <w:fldChar w:fldCharType="separate"/>
          </w:r>
          <w:r>
            <w:rPr>
              <w:rFonts w:ascii="宋体" w:hAnsi="宋体" w:eastAsia="宋体" w:cs="宋体"/>
              <w:color w:val="auto"/>
              <w:spacing w:val="-1"/>
              <w:sz w:val="24"/>
              <w:szCs w:val="24"/>
              <w:highlight w:val="none"/>
            </w:rPr>
            <w:t>五、中小企业声明函、残疾人福利性单位声明函</w:t>
          </w:r>
          <w:r>
            <w:rPr>
              <w:rFonts w:ascii="宋体" w:hAnsi="宋体" w:eastAsia="宋体" w:cs="宋体"/>
              <w:color w:val="auto"/>
              <w:sz w:val="24"/>
              <w:szCs w:val="24"/>
              <w:highlight w:val="none"/>
            </w:rPr>
            <w:tab/>
          </w:r>
          <w:r>
            <w:rPr>
              <w:rFonts w:ascii="宋体" w:hAnsi="宋体" w:eastAsia="宋体" w:cs="宋体"/>
              <w:color w:val="auto"/>
              <w:spacing w:val="-75"/>
              <w:sz w:val="24"/>
              <w:szCs w:val="24"/>
              <w:highlight w:val="none"/>
            </w:rPr>
            <w:t xml:space="preserve"> </w:t>
          </w:r>
          <w:r>
            <w:rPr>
              <w:rFonts w:ascii="宋体" w:hAnsi="宋体" w:eastAsia="宋体" w:cs="宋体"/>
              <w:color w:val="auto"/>
              <w:spacing w:val="-5"/>
              <w:sz w:val="24"/>
              <w:szCs w:val="24"/>
              <w:highlight w:val="none"/>
            </w:rPr>
            <w:t>4</w:t>
          </w:r>
          <w:r>
            <w:rPr>
              <w:rFonts w:ascii="宋体" w:hAnsi="宋体" w:eastAsia="宋体" w:cs="宋体"/>
              <w:color w:val="auto"/>
              <w:spacing w:val="-5"/>
              <w:sz w:val="24"/>
              <w:szCs w:val="24"/>
              <w:highlight w:val="none"/>
            </w:rPr>
            <w:fldChar w:fldCharType="end"/>
          </w:r>
          <w:r>
            <w:rPr>
              <w:rFonts w:ascii="宋体" w:hAnsi="宋体" w:eastAsia="宋体" w:cs="宋体"/>
              <w:color w:val="auto"/>
              <w:spacing w:val="-5"/>
              <w:sz w:val="24"/>
              <w:szCs w:val="24"/>
              <w:highlight w:val="none"/>
            </w:rPr>
            <w:t>9</w:t>
          </w:r>
        </w:p>
        <w:p w14:paraId="26F489D7">
          <w:pPr>
            <w:tabs>
              <w:tab w:val="right" w:leader="dot" w:pos="8965"/>
            </w:tabs>
            <w:spacing w:before="241" w:line="356" w:lineRule="exact"/>
            <w:ind w:left="421"/>
            <w:rPr>
              <w:rFonts w:ascii="宋体" w:hAnsi="宋体" w:eastAsia="宋体" w:cs="宋体"/>
              <w:color w:val="auto"/>
              <w:sz w:val="24"/>
              <w:szCs w:val="24"/>
              <w:highlight w:val="none"/>
            </w:rPr>
          </w:pPr>
          <w:bookmarkStart w:id="19" w:name="bookmark38"/>
          <w:bookmarkEnd w:id="19"/>
          <w:r>
            <w:rPr>
              <w:color w:val="auto"/>
              <w:highlight w:val="none"/>
            </w:rPr>
            <w:fldChar w:fldCharType="begin"/>
          </w:r>
          <w:r>
            <w:rPr>
              <w:color w:val="auto"/>
              <w:highlight w:val="none"/>
            </w:rPr>
            <w:instrText xml:space="preserve"> HYPERLINK \l "bookmark39" </w:instrText>
          </w:r>
          <w:r>
            <w:rPr>
              <w:color w:val="auto"/>
              <w:highlight w:val="none"/>
            </w:rPr>
            <w:fldChar w:fldCharType="separate"/>
          </w:r>
          <w:r>
            <w:rPr>
              <w:rFonts w:ascii="宋体" w:hAnsi="宋体" w:eastAsia="宋体" w:cs="宋体"/>
              <w:color w:val="auto"/>
              <w:spacing w:val="-2"/>
              <w:position w:val="2"/>
              <w:sz w:val="24"/>
              <w:szCs w:val="24"/>
              <w:highlight w:val="none"/>
            </w:rPr>
            <w:t>六、供应商资格证明材料</w:t>
          </w:r>
          <w:r>
            <w:rPr>
              <w:rFonts w:ascii="宋体" w:hAnsi="宋体" w:eastAsia="宋体" w:cs="宋体"/>
              <w:color w:val="auto"/>
              <w:position w:val="2"/>
              <w:sz w:val="24"/>
              <w:szCs w:val="24"/>
              <w:highlight w:val="none"/>
            </w:rPr>
            <w:tab/>
          </w:r>
          <w:r>
            <w:rPr>
              <w:rFonts w:ascii="宋体" w:hAnsi="宋体" w:eastAsia="宋体" w:cs="宋体"/>
              <w:color w:val="auto"/>
              <w:spacing w:val="-69"/>
              <w:position w:val="2"/>
              <w:sz w:val="24"/>
              <w:szCs w:val="24"/>
              <w:highlight w:val="none"/>
            </w:rPr>
            <w:t xml:space="preserve"> </w:t>
          </w:r>
          <w:r>
            <w:rPr>
              <w:rFonts w:ascii="宋体" w:hAnsi="宋体" w:eastAsia="宋体" w:cs="宋体"/>
              <w:color w:val="auto"/>
              <w:spacing w:val="-8"/>
              <w:position w:val="2"/>
              <w:sz w:val="24"/>
              <w:szCs w:val="24"/>
              <w:highlight w:val="none"/>
            </w:rPr>
            <w:t>5</w:t>
          </w:r>
          <w:r>
            <w:rPr>
              <w:rFonts w:ascii="宋体" w:hAnsi="宋体" w:eastAsia="宋体" w:cs="宋体"/>
              <w:color w:val="auto"/>
              <w:spacing w:val="-8"/>
              <w:position w:val="2"/>
              <w:sz w:val="24"/>
              <w:szCs w:val="24"/>
              <w:highlight w:val="none"/>
            </w:rPr>
            <w:fldChar w:fldCharType="end"/>
          </w:r>
          <w:r>
            <w:rPr>
              <w:rFonts w:ascii="宋体" w:hAnsi="宋体" w:eastAsia="宋体" w:cs="宋体"/>
              <w:color w:val="auto"/>
              <w:spacing w:val="-8"/>
              <w:position w:val="2"/>
              <w:sz w:val="24"/>
              <w:szCs w:val="24"/>
              <w:highlight w:val="none"/>
            </w:rPr>
            <w:t>1</w:t>
          </w:r>
        </w:p>
        <w:p w14:paraId="291B70C6">
          <w:pPr>
            <w:tabs>
              <w:tab w:val="right" w:leader="dot" w:pos="8965"/>
            </w:tabs>
            <w:spacing w:before="243" w:line="219" w:lineRule="auto"/>
            <w:ind w:left="419"/>
            <w:rPr>
              <w:rFonts w:ascii="宋体" w:hAnsi="宋体" w:eastAsia="宋体" w:cs="宋体"/>
              <w:color w:val="auto"/>
              <w:sz w:val="24"/>
              <w:szCs w:val="24"/>
              <w:highlight w:val="none"/>
            </w:rPr>
          </w:pPr>
          <w:bookmarkStart w:id="20" w:name="bookmark40"/>
          <w:bookmarkEnd w:id="20"/>
          <w:r>
            <w:rPr>
              <w:color w:val="auto"/>
              <w:highlight w:val="none"/>
            </w:rPr>
            <w:fldChar w:fldCharType="begin"/>
          </w:r>
          <w:r>
            <w:rPr>
              <w:color w:val="auto"/>
              <w:highlight w:val="none"/>
            </w:rPr>
            <w:instrText xml:space="preserve"> HYPERLINK \l "bookmark41" </w:instrText>
          </w:r>
          <w:r>
            <w:rPr>
              <w:color w:val="auto"/>
              <w:highlight w:val="none"/>
            </w:rPr>
            <w:fldChar w:fldCharType="separate"/>
          </w:r>
          <w:r>
            <w:rPr>
              <w:rFonts w:ascii="宋体" w:hAnsi="宋体" w:eastAsia="宋体" w:cs="宋体"/>
              <w:color w:val="auto"/>
              <w:spacing w:val="-1"/>
              <w:sz w:val="24"/>
              <w:szCs w:val="24"/>
              <w:highlight w:val="none"/>
            </w:rPr>
            <w:t>七、入围评审证明材料</w:t>
          </w:r>
          <w:r>
            <w:rPr>
              <w:rFonts w:ascii="宋体" w:hAnsi="宋体" w:eastAsia="宋体" w:cs="宋体"/>
              <w:color w:val="auto"/>
              <w:sz w:val="24"/>
              <w:szCs w:val="24"/>
              <w:highlight w:val="none"/>
            </w:rPr>
            <w:tab/>
          </w:r>
          <w:r>
            <w:rPr>
              <w:rFonts w:ascii="宋体" w:hAnsi="宋体" w:eastAsia="宋体" w:cs="宋体"/>
              <w:color w:val="auto"/>
              <w:spacing w:val="-69"/>
              <w:sz w:val="24"/>
              <w:szCs w:val="24"/>
              <w:highlight w:val="none"/>
            </w:rPr>
            <w:t xml:space="preserve"> </w:t>
          </w:r>
          <w:r>
            <w:rPr>
              <w:rFonts w:ascii="宋体" w:hAnsi="宋体" w:eastAsia="宋体" w:cs="宋体"/>
              <w:color w:val="auto"/>
              <w:spacing w:val="-8"/>
              <w:sz w:val="24"/>
              <w:szCs w:val="24"/>
              <w:highlight w:val="none"/>
            </w:rPr>
            <w:t>5</w:t>
          </w:r>
          <w:r>
            <w:rPr>
              <w:rFonts w:ascii="宋体" w:hAnsi="宋体" w:eastAsia="宋体" w:cs="宋体"/>
              <w:color w:val="auto"/>
              <w:spacing w:val="-8"/>
              <w:sz w:val="24"/>
              <w:szCs w:val="24"/>
              <w:highlight w:val="none"/>
            </w:rPr>
            <w:fldChar w:fldCharType="end"/>
          </w:r>
          <w:r>
            <w:rPr>
              <w:rFonts w:ascii="宋体" w:hAnsi="宋体" w:eastAsia="宋体" w:cs="宋体"/>
              <w:color w:val="auto"/>
              <w:spacing w:val="-8"/>
              <w:sz w:val="24"/>
              <w:szCs w:val="24"/>
              <w:highlight w:val="none"/>
            </w:rPr>
            <w:t>2</w:t>
          </w:r>
        </w:p>
        <w:p w14:paraId="6D7BE176">
          <w:pPr>
            <w:tabs>
              <w:tab w:val="right" w:leader="dot" w:pos="8965"/>
            </w:tabs>
            <w:spacing w:before="282" w:line="219" w:lineRule="auto"/>
            <w:ind w:left="423"/>
            <w:rPr>
              <w:rFonts w:ascii="宋体" w:hAnsi="宋体" w:eastAsia="宋体" w:cs="宋体"/>
              <w:color w:val="auto"/>
              <w:sz w:val="24"/>
              <w:szCs w:val="24"/>
              <w:highlight w:val="none"/>
            </w:rPr>
          </w:pPr>
          <w:bookmarkStart w:id="21" w:name="bookmark42"/>
          <w:bookmarkEnd w:id="21"/>
          <w:r>
            <w:rPr>
              <w:color w:val="auto"/>
              <w:highlight w:val="none"/>
            </w:rPr>
            <w:fldChar w:fldCharType="begin"/>
          </w:r>
          <w:r>
            <w:rPr>
              <w:color w:val="auto"/>
              <w:highlight w:val="none"/>
            </w:rPr>
            <w:instrText xml:space="preserve"> HYPERLINK \l "bookmark43" </w:instrText>
          </w:r>
          <w:r>
            <w:rPr>
              <w:color w:val="auto"/>
              <w:highlight w:val="none"/>
            </w:rPr>
            <w:fldChar w:fldCharType="separate"/>
          </w:r>
          <w:r>
            <w:rPr>
              <w:rFonts w:ascii="宋体" w:hAnsi="宋体" w:eastAsia="宋体" w:cs="宋体"/>
              <w:color w:val="auto"/>
              <w:spacing w:val="-2"/>
              <w:sz w:val="24"/>
              <w:szCs w:val="24"/>
              <w:highlight w:val="none"/>
            </w:rPr>
            <w:t>八、其他相关材料</w:t>
          </w:r>
          <w:r>
            <w:rPr>
              <w:rFonts w:ascii="宋体" w:hAnsi="宋体" w:eastAsia="宋体" w:cs="宋体"/>
              <w:color w:val="auto"/>
              <w:sz w:val="24"/>
              <w:szCs w:val="24"/>
              <w:highlight w:val="none"/>
            </w:rPr>
            <w:tab/>
          </w:r>
          <w:r>
            <w:rPr>
              <w:rFonts w:ascii="宋体" w:hAnsi="宋体" w:eastAsia="宋体" w:cs="宋体"/>
              <w:color w:val="auto"/>
              <w:spacing w:val="-69"/>
              <w:sz w:val="24"/>
              <w:szCs w:val="24"/>
              <w:highlight w:val="none"/>
            </w:rPr>
            <w:t xml:space="preserve"> </w:t>
          </w:r>
          <w:r>
            <w:rPr>
              <w:rFonts w:ascii="宋体" w:hAnsi="宋体" w:eastAsia="宋体" w:cs="宋体"/>
              <w:color w:val="auto"/>
              <w:spacing w:val="-8"/>
              <w:sz w:val="24"/>
              <w:szCs w:val="24"/>
              <w:highlight w:val="none"/>
            </w:rPr>
            <w:t>5</w:t>
          </w:r>
          <w:r>
            <w:rPr>
              <w:rFonts w:ascii="宋体" w:hAnsi="宋体" w:eastAsia="宋体" w:cs="宋体"/>
              <w:color w:val="auto"/>
              <w:spacing w:val="-8"/>
              <w:sz w:val="24"/>
              <w:szCs w:val="24"/>
              <w:highlight w:val="none"/>
            </w:rPr>
            <w:fldChar w:fldCharType="end"/>
          </w:r>
          <w:r>
            <w:rPr>
              <w:rFonts w:ascii="宋体" w:hAnsi="宋体" w:eastAsia="宋体" w:cs="宋体"/>
              <w:color w:val="auto"/>
              <w:spacing w:val="-8"/>
              <w:sz w:val="24"/>
              <w:szCs w:val="24"/>
              <w:highlight w:val="none"/>
            </w:rPr>
            <w:t>2</w:t>
          </w:r>
        </w:p>
      </w:sdtContent>
    </w:sdt>
    <w:p w14:paraId="68A9E93B">
      <w:pPr>
        <w:spacing w:line="219" w:lineRule="auto"/>
        <w:rPr>
          <w:rFonts w:ascii="宋体" w:hAnsi="宋体" w:eastAsia="宋体" w:cs="宋体"/>
          <w:color w:val="auto"/>
          <w:sz w:val="24"/>
          <w:szCs w:val="24"/>
          <w:highlight w:val="none"/>
        </w:rPr>
        <w:sectPr>
          <w:footerReference r:id="rId6" w:type="default"/>
          <w:pgSz w:w="11910" w:h="16840"/>
          <w:pgMar w:top="1386" w:right="1467" w:bottom="861" w:left="1473" w:header="0" w:footer="682" w:gutter="0"/>
          <w:cols w:space="720" w:num="1"/>
        </w:sectPr>
      </w:pPr>
    </w:p>
    <w:p w14:paraId="4AA60FD7">
      <w:pPr>
        <w:spacing w:before="86" w:line="243" w:lineRule="auto"/>
        <w:ind w:left="0" w:leftChars="0" w:right="72" w:firstLine="3" w:firstLineChars="0"/>
        <w:jc w:val="center"/>
        <w:rPr>
          <w:rFonts w:ascii="宋体" w:hAnsi="宋体" w:eastAsia="宋体" w:cs="宋体"/>
          <w:color w:val="auto"/>
          <w:sz w:val="43"/>
          <w:szCs w:val="43"/>
          <w:highlight w:val="none"/>
        </w:rPr>
      </w:pPr>
      <w:bookmarkStart w:id="22" w:name="bookmark6"/>
      <w:bookmarkEnd w:id="22"/>
      <w:bookmarkStart w:id="23" w:name="bookmark2"/>
      <w:bookmarkEnd w:id="23"/>
      <w:bookmarkStart w:id="24" w:name="bookmark4"/>
      <w:bookmarkEnd w:id="24"/>
      <w:r>
        <w:rPr>
          <w:rFonts w:hint="eastAsia" w:ascii="宋体" w:hAnsi="宋体" w:eastAsia="宋体" w:cs="宋体"/>
          <w:b/>
          <w:bCs/>
          <w:color w:val="auto"/>
          <w:spacing w:val="5"/>
          <w:sz w:val="43"/>
          <w:szCs w:val="43"/>
          <w:highlight w:val="none"/>
        </w:rPr>
        <w:t>2025-202</w:t>
      </w:r>
      <w:r>
        <w:rPr>
          <w:rFonts w:hint="eastAsia" w:ascii="宋体" w:hAnsi="宋体" w:eastAsia="宋体" w:cs="宋体"/>
          <w:b/>
          <w:bCs/>
          <w:color w:val="auto"/>
          <w:spacing w:val="5"/>
          <w:sz w:val="43"/>
          <w:szCs w:val="43"/>
          <w:highlight w:val="none"/>
          <w:lang w:val="en-US" w:eastAsia="zh-CN"/>
        </w:rPr>
        <w:t>7</w:t>
      </w:r>
      <w:r>
        <w:rPr>
          <w:rFonts w:hint="eastAsia" w:ascii="宋体" w:hAnsi="宋体" w:eastAsia="宋体" w:cs="宋体"/>
          <w:b/>
          <w:bCs/>
          <w:color w:val="auto"/>
          <w:spacing w:val="5"/>
          <w:sz w:val="43"/>
          <w:szCs w:val="43"/>
          <w:highlight w:val="none"/>
        </w:rPr>
        <w:t>年度金寨县行政事业单位公务用车维修保养服务框架协议项目</w:t>
      </w:r>
      <w:r>
        <w:rPr>
          <w:rFonts w:ascii="宋体" w:hAnsi="宋体" w:eastAsia="宋体" w:cs="宋体"/>
          <w:b/>
          <w:bCs/>
          <w:color w:val="auto"/>
          <w:spacing w:val="5"/>
          <w:sz w:val="43"/>
          <w:szCs w:val="43"/>
          <w:highlight w:val="none"/>
        </w:rPr>
        <w:t>封闭式征集公告</w:t>
      </w:r>
    </w:p>
    <w:p w14:paraId="1D0F1428">
      <w:pPr>
        <w:spacing w:before="294" w:line="218" w:lineRule="auto"/>
        <w:ind w:left="1"/>
        <w:rPr>
          <w:rFonts w:ascii="黑体" w:hAnsi="黑体" w:eastAsia="黑体" w:cs="黑体"/>
          <w:color w:val="auto"/>
          <w:sz w:val="28"/>
          <w:szCs w:val="28"/>
          <w:highlight w:val="none"/>
        </w:rPr>
      </w:pPr>
      <w:r>
        <w:rPr>
          <w:rFonts w:ascii="黑体" w:hAnsi="黑体" w:eastAsia="黑体" w:cs="黑体"/>
          <w:color w:val="auto"/>
          <w:spacing w:val="-3"/>
          <w:sz w:val="28"/>
          <w:szCs w:val="28"/>
          <w:highlight w:val="none"/>
        </w:rPr>
        <w:t>一、征集人信息</w:t>
      </w:r>
    </w:p>
    <w:p w14:paraId="4806A870">
      <w:pPr>
        <w:spacing w:before="56" w:line="381" w:lineRule="auto"/>
        <w:ind w:left="641" w:right="139"/>
        <w:rPr>
          <w:rFonts w:hint="eastAsia" w:ascii="仿宋" w:hAnsi="仿宋" w:eastAsia="仿宋" w:cs="仿宋"/>
          <w:color w:val="auto"/>
          <w:spacing w:val="-1"/>
          <w:sz w:val="28"/>
          <w:szCs w:val="28"/>
          <w:highlight w:val="none"/>
          <w:lang w:val="en-US" w:eastAsia="zh-CN"/>
        </w:rPr>
      </w:pPr>
      <w:r>
        <w:rPr>
          <w:rFonts w:ascii="仿宋" w:hAnsi="仿宋" w:eastAsia="仿宋" w:cs="仿宋"/>
          <w:color w:val="auto"/>
          <w:spacing w:val="-1"/>
          <w:sz w:val="28"/>
          <w:szCs w:val="28"/>
          <w:highlight w:val="none"/>
        </w:rPr>
        <w:t>征集人名称：</w:t>
      </w:r>
      <w:r>
        <w:rPr>
          <w:rFonts w:hint="eastAsia" w:ascii="仿宋" w:hAnsi="仿宋" w:eastAsia="仿宋" w:cs="仿宋"/>
          <w:color w:val="auto"/>
          <w:spacing w:val="-1"/>
          <w:sz w:val="28"/>
          <w:szCs w:val="28"/>
          <w:highlight w:val="none"/>
        </w:rPr>
        <w:t>金寨县机关事务管理服务中心</w:t>
      </w:r>
    </w:p>
    <w:p w14:paraId="0DEAB4C3">
      <w:pPr>
        <w:spacing w:before="56" w:line="381" w:lineRule="auto"/>
        <w:ind w:left="641" w:right="139"/>
        <w:rPr>
          <w:rFonts w:hint="default" w:ascii="仿宋" w:hAnsi="仿宋" w:eastAsia="仿宋" w:cs="仿宋"/>
          <w:color w:val="auto"/>
          <w:spacing w:val="-1"/>
          <w:sz w:val="28"/>
          <w:szCs w:val="28"/>
          <w:highlight w:val="none"/>
          <w:lang w:val="en-US" w:eastAsia="zh-CN"/>
        </w:rPr>
      </w:pPr>
      <w:r>
        <w:rPr>
          <w:rFonts w:ascii="仿宋" w:hAnsi="仿宋" w:eastAsia="仿宋" w:cs="仿宋"/>
          <w:color w:val="auto"/>
          <w:spacing w:val="-1"/>
          <w:sz w:val="28"/>
          <w:szCs w:val="28"/>
          <w:highlight w:val="none"/>
        </w:rPr>
        <w:t>征集人地址：</w:t>
      </w:r>
      <w:r>
        <w:rPr>
          <w:rFonts w:hint="eastAsia" w:ascii="仿宋" w:hAnsi="仿宋" w:eastAsia="仿宋" w:cs="仿宋"/>
          <w:color w:val="auto"/>
          <w:spacing w:val="-1"/>
          <w:sz w:val="28"/>
          <w:szCs w:val="28"/>
          <w:highlight w:val="none"/>
          <w:lang w:val="en-US" w:eastAsia="zh-CN"/>
        </w:rPr>
        <w:t>原江店农贸市场二楼</w:t>
      </w:r>
    </w:p>
    <w:p w14:paraId="730194D2">
      <w:pPr>
        <w:spacing w:before="56" w:line="381" w:lineRule="auto"/>
        <w:ind w:left="641" w:right="139"/>
        <w:rPr>
          <w:rFonts w:ascii="仿宋" w:hAnsi="仿宋" w:eastAsia="仿宋" w:cs="仿宋"/>
          <w:color w:val="auto"/>
          <w:spacing w:val="-1"/>
          <w:sz w:val="28"/>
          <w:szCs w:val="28"/>
          <w:highlight w:val="none"/>
        </w:rPr>
      </w:pPr>
      <w:r>
        <w:rPr>
          <w:rFonts w:ascii="仿宋" w:hAnsi="仿宋" w:eastAsia="仿宋" w:cs="仿宋"/>
          <w:color w:val="auto"/>
          <w:spacing w:val="-1"/>
          <w:sz w:val="28"/>
          <w:szCs w:val="28"/>
          <w:highlight w:val="none"/>
        </w:rPr>
        <w:t>征集人联系人：</w:t>
      </w:r>
      <w:r>
        <w:rPr>
          <w:rFonts w:hint="eastAsia" w:ascii="仿宋" w:hAnsi="仿宋" w:eastAsia="仿宋" w:cs="仿宋"/>
          <w:color w:val="auto"/>
          <w:spacing w:val="-1"/>
          <w:sz w:val="28"/>
          <w:szCs w:val="28"/>
          <w:highlight w:val="none"/>
          <w:lang w:val="en-US" w:eastAsia="zh-CN"/>
        </w:rPr>
        <w:t>杜</w:t>
      </w:r>
      <w:r>
        <w:rPr>
          <w:rFonts w:ascii="仿宋" w:hAnsi="仿宋" w:eastAsia="仿宋" w:cs="仿宋"/>
          <w:color w:val="auto"/>
          <w:spacing w:val="-1"/>
          <w:sz w:val="28"/>
          <w:szCs w:val="28"/>
          <w:highlight w:val="none"/>
        </w:rPr>
        <w:t>主任</w:t>
      </w:r>
    </w:p>
    <w:p w14:paraId="2A548E75">
      <w:pPr>
        <w:spacing w:before="56" w:line="381" w:lineRule="auto"/>
        <w:ind w:left="641" w:right="139"/>
        <w:rPr>
          <w:rFonts w:ascii="仿宋" w:hAnsi="仿宋" w:eastAsia="仿宋" w:cs="仿宋"/>
          <w:color w:val="auto"/>
          <w:spacing w:val="-1"/>
          <w:sz w:val="28"/>
          <w:szCs w:val="28"/>
          <w:highlight w:val="none"/>
        </w:rPr>
      </w:pPr>
      <w:r>
        <w:rPr>
          <w:rFonts w:ascii="仿宋" w:hAnsi="仿宋" w:eastAsia="仿宋" w:cs="仿宋"/>
          <w:color w:val="auto"/>
          <w:spacing w:val="-1"/>
          <w:sz w:val="28"/>
          <w:szCs w:val="28"/>
          <w:highlight w:val="none"/>
        </w:rPr>
        <w:t>征集人联系方式：0564-</w:t>
      </w:r>
      <w:r>
        <w:rPr>
          <w:rFonts w:hint="eastAsia" w:ascii="仿宋" w:hAnsi="仿宋" w:eastAsia="仿宋" w:cs="仿宋"/>
          <w:color w:val="auto"/>
          <w:spacing w:val="-1"/>
          <w:sz w:val="28"/>
          <w:szCs w:val="28"/>
          <w:highlight w:val="none"/>
          <w:lang w:val="en-US" w:eastAsia="zh-CN"/>
        </w:rPr>
        <w:t>7350323</w:t>
      </w:r>
    </w:p>
    <w:p w14:paraId="5415EB3D">
      <w:pPr>
        <w:spacing w:before="47" w:line="222" w:lineRule="auto"/>
        <w:rPr>
          <w:rFonts w:ascii="黑体" w:hAnsi="黑体" w:eastAsia="黑体" w:cs="黑体"/>
          <w:color w:val="auto"/>
          <w:sz w:val="28"/>
          <w:szCs w:val="28"/>
          <w:highlight w:val="none"/>
        </w:rPr>
      </w:pPr>
      <w:r>
        <w:rPr>
          <w:rFonts w:ascii="黑体" w:hAnsi="黑体" w:eastAsia="黑体" w:cs="黑体"/>
          <w:color w:val="auto"/>
          <w:spacing w:val="-3"/>
          <w:sz w:val="28"/>
          <w:szCs w:val="28"/>
          <w:highlight w:val="none"/>
        </w:rPr>
        <w:t>二、采购项目信息</w:t>
      </w:r>
    </w:p>
    <w:p w14:paraId="15B74F10">
      <w:pPr>
        <w:spacing w:before="42" w:line="381" w:lineRule="auto"/>
        <w:ind w:left="1" w:firstLine="638"/>
        <w:rPr>
          <w:rFonts w:hint="eastAsia" w:ascii="仿宋" w:hAnsi="仿宋" w:eastAsia="仿宋" w:cs="仿宋"/>
          <w:color w:val="auto"/>
          <w:spacing w:val="-1"/>
          <w:sz w:val="28"/>
          <w:szCs w:val="28"/>
          <w:highlight w:val="none"/>
        </w:rPr>
      </w:pPr>
      <w:r>
        <w:rPr>
          <w:rFonts w:ascii="仿宋" w:hAnsi="仿宋" w:eastAsia="仿宋" w:cs="仿宋"/>
          <w:color w:val="auto"/>
          <w:spacing w:val="-1"/>
          <w:sz w:val="28"/>
          <w:szCs w:val="28"/>
          <w:highlight w:val="none"/>
        </w:rPr>
        <w:t>项目名称：</w:t>
      </w:r>
      <w:r>
        <w:rPr>
          <w:rFonts w:hint="eastAsia" w:ascii="仿宋" w:hAnsi="仿宋" w:eastAsia="仿宋" w:cs="仿宋"/>
          <w:color w:val="auto"/>
          <w:spacing w:val="-1"/>
          <w:sz w:val="28"/>
          <w:szCs w:val="28"/>
          <w:highlight w:val="none"/>
        </w:rPr>
        <w:t>2025-202</w:t>
      </w:r>
      <w:r>
        <w:rPr>
          <w:rFonts w:hint="eastAsia" w:ascii="仿宋" w:hAnsi="仿宋" w:eastAsia="仿宋" w:cs="仿宋"/>
          <w:color w:val="auto"/>
          <w:spacing w:val="-1"/>
          <w:sz w:val="28"/>
          <w:szCs w:val="28"/>
          <w:highlight w:val="none"/>
          <w:lang w:val="en-US" w:eastAsia="zh-CN"/>
        </w:rPr>
        <w:t>7</w:t>
      </w:r>
      <w:r>
        <w:rPr>
          <w:rFonts w:hint="eastAsia" w:ascii="仿宋" w:hAnsi="仿宋" w:eastAsia="仿宋" w:cs="仿宋"/>
          <w:color w:val="auto"/>
          <w:spacing w:val="-1"/>
          <w:sz w:val="28"/>
          <w:szCs w:val="28"/>
          <w:highlight w:val="none"/>
        </w:rPr>
        <w:t>年度金寨县行政事业单位公务用车维修保养服务框架协议项目</w:t>
      </w:r>
    </w:p>
    <w:p w14:paraId="1C396A75">
      <w:pPr>
        <w:spacing w:before="56" w:line="381" w:lineRule="auto"/>
        <w:ind w:left="641" w:right="139"/>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rPr>
        <w:t>项目编号：</w:t>
      </w:r>
      <w:r>
        <w:rPr>
          <w:rFonts w:hint="eastAsia" w:ascii="仿宋" w:hAnsi="仿宋" w:eastAsia="仿宋" w:cs="仿宋"/>
          <w:color w:val="auto"/>
          <w:spacing w:val="-2"/>
          <w:sz w:val="28"/>
          <w:szCs w:val="28"/>
          <w:highlight w:val="none"/>
          <w:lang w:eastAsia="zh-CN"/>
        </w:rPr>
        <w:t>KJXY202504100394</w:t>
      </w:r>
    </w:p>
    <w:p w14:paraId="77FE9B21">
      <w:pPr>
        <w:spacing w:before="42" w:line="381" w:lineRule="auto"/>
        <w:ind w:left="1" w:firstLine="638"/>
        <w:rPr>
          <w:rFonts w:ascii="仿宋" w:hAnsi="仿宋" w:eastAsia="仿宋" w:cs="仿宋"/>
          <w:color w:val="auto"/>
          <w:sz w:val="28"/>
          <w:szCs w:val="28"/>
          <w:highlight w:val="none"/>
        </w:rPr>
      </w:pPr>
      <w:r>
        <w:rPr>
          <w:rFonts w:ascii="仿宋" w:hAnsi="仿宋" w:eastAsia="仿宋" w:cs="仿宋"/>
          <w:color w:val="auto"/>
          <w:spacing w:val="-1"/>
          <w:sz w:val="28"/>
          <w:szCs w:val="28"/>
          <w:highlight w:val="none"/>
        </w:rPr>
        <w:t>适用采购人或者服务对象范围：六安市</w:t>
      </w:r>
      <w:r>
        <w:rPr>
          <w:rFonts w:hint="eastAsia" w:ascii="仿宋" w:hAnsi="仿宋" w:eastAsia="仿宋" w:cs="仿宋"/>
          <w:color w:val="auto"/>
          <w:spacing w:val="-1"/>
          <w:sz w:val="28"/>
          <w:szCs w:val="28"/>
          <w:highlight w:val="none"/>
          <w:lang w:val="en-US" w:eastAsia="zh-CN"/>
        </w:rPr>
        <w:t>金寨县</w:t>
      </w:r>
      <w:r>
        <w:rPr>
          <w:rFonts w:ascii="仿宋" w:hAnsi="仿宋" w:eastAsia="仿宋" w:cs="仿宋"/>
          <w:color w:val="auto"/>
          <w:spacing w:val="-1"/>
          <w:sz w:val="28"/>
          <w:szCs w:val="28"/>
          <w:highlight w:val="none"/>
        </w:rPr>
        <w:t>各行政机关、事业单位及团</w:t>
      </w:r>
      <w:r>
        <w:rPr>
          <w:rFonts w:ascii="仿宋" w:hAnsi="仿宋" w:eastAsia="仿宋" w:cs="仿宋"/>
          <w:color w:val="auto"/>
          <w:spacing w:val="-6"/>
          <w:sz w:val="28"/>
          <w:szCs w:val="28"/>
          <w:highlight w:val="none"/>
        </w:rPr>
        <w:t>体组织</w:t>
      </w:r>
    </w:p>
    <w:p w14:paraId="36CA4C99">
      <w:pPr>
        <w:spacing w:before="45" w:line="223" w:lineRule="auto"/>
        <w:ind w:left="643"/>
        <w:rPr>
          <w:rFonts w:ascii="仿宋" w:hAnsi="仿宋" w:eastAsia="仿宋" w:cs="仿宋"/>
          <w:color w:val="auto"/>
          <w:spacing w:val="-4"/>
          <w:sz w:val="28"/>
          <w:szCs w:val="28"/>
          <w:highlight w:val="none"/>
        </w:rPr>
      </w:pPr>
      <w:r>
        <w:rPr>
          <w:rFonts w:ascii="仿宋" w:hAnsi="仿宋" w:eastAsia="仿宋" w:cs="仿宋"/>
          <w:color w:val="auto"/>
          <w:spacing w:val="-4"/>
          <w:sz w:val="28"/>
          <w:szCs w:val="28"/>
          <w:highlight w:val="none"/>
        </w:rPr>
        <w:t>采购需求：</w:t>
      </w:r>
    </w:p>
    <w:tbl>
      <w:tblPr>
        <w:tblStyle w:val="10"/>
        <w:tblW w:w="0" w:type="auto"/>
        <w:tblInd w:w="8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4743"/>
        <w:gridCol w:w="1445"/>
        <w:gridCol w:w="1437"/>
      </w:tblGrid>
      <w:tr w14:paraId="0058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8FDD162">
            <w:pPr>
              <w:widowControl w:val="0"/>
              <w:spacing w:before="45" w:line="223" w:lineRule="auto"/>
              <w:jc w:val="center"/>
              <w:rPr>
                <w:rFonts w:ascii="仿宋" w:hAnsi="仿宋" w:eastAsia="仿宋" w:cs="仿宋"/>
                <w:color w:val="auto"/>
                <w:spacing w:val="-4"/>
                <w:sz w:val="28"/>
                <w:szCs w:val="28"/>
                <w:highlight w:val="none"/>
                <w:vertAlign w:val="baseline"/>
              </w:rPr>
            </w:pPr>
            <w:r>
              <w:rPr>
                <w:rFonts w:ascii="仿宋" w:hAnsi="仿宋" w:eastAsia="仿宋" w:cs="仿宋"/>
                <w:color w:val="auto"/>
                <w:spacing w:val="-5"/>
                <w:sz w:val="28"/>
                <w:szCs w:val="28"/>
                <w:highlight w:val="none"/>
              </w:rPr>
              <w:t>序号</w:t>
            </w:r>
          </w:p>
        </w:tc>
        <w:tc>
          <w:tcPr>
            <w:tcW w:w="4743" w:type="dxa"/>
            <w:vAlign w:val="center"/>
          </w:tcPr>
          <w:p w14:paraId="7D208404">
            <w:pPr>
              <w:widowControl w:val="0"/>
              <w:spacing w:before="45" w:line="223" w:lineRule="auto"/>
              <w:jc w:val="center"/>
              <w:rPr>
                <w:rFonts w:ascii="仿宋" w:hAnsi="仿宋" w:eastAsia="仿宋" w:cs="仿宋"/>
                <w:color w:val="auto"/>
                <w:spacing w:val="-4"/>
                <w:sz w:val="28"/>
                <w:szCs w:val="28"/>
                <w:highlight w:val="none"/>
                <w:vertAlign w:val="baseline"/>
              </w:rPr>
            </w:pPr>
            <w:r>
              <w:rPr>
                <w:rFonts w:ascii="仿宋" w:hAnsi="仿宋" w:eastAsia="仿宋" w:cs="仿宋"/>
                <w:color w:val="auto"/>
                <w:spacing w:val="-5"/>
                <w:sz w:val="28"/>
                <w:szCs w:val="28"/>
                <w:highlight w:val="none"/>
              </w:rPr>
              <w:t>采购需求</w:t>
            </w:r>
          </w:p>
        </w:tc>
        <w:tc>
          <w:tcPr>
            <w:tcW w:w="1445" w:type="dxa"/>
            <w:vAlign w:val="center"/>
          </w:tcPr>
          <w:p w14:paraId="6F85CD16">
            <w:pPr>
              <w:widowControl w:val="0"/>
              <w:spacing w:before="45" w:line="223" w:lineRule="auto"/>
              <w:jc w:val="center"/>
              <w:rPr>
                <w:rFonts w:hint="eastAsia" w:ascii="仿宋" w:hAnsi="仿宋" w:eastAsia="仿宋" w:cs="仿宋"/>
                <w:color w:val="auto"/>
                <w:spacing w:val="-4"/>
                <w:sz w:val="28"/>
                <w:szCs w:val="28"/>
                <w:highlight w:val="none"/>
                <w:vertAlign w:val="baseline"/>
                <w:lang w:eastAsia="zh-CN"/>
              </w:rPr>
            </w:pPr>
            <w:r>
              <w:rPr>
                <w:rFonts w:ascii="仿宋" w:hAnsi="仿宋" w:eastAsia="仿宋" w:cs="仿宋"/>
                <w:color w:val="auto"/>
                <w:spacing w:val="-5"/>
                <w:sz w:val="28"/>
                <w:szCs w:val="28"/>
                <w:highlight w:val="none"/>
              </w:rPr>
              <w:t>最高限制单价</w:t>
            </w:r>
          </w:p>
        </w:tc>
        <w:tc>
          <w:tcPr>
            <w:tcW w:w="1437" w:type="dxa"/>
            <w:vAlign w:val="center"/>
          </w:tcPr>
          <w:p w14:paraId="23023D91">
            <w:pPr>
              <w:widowControl w:val="0"/>
              <w:spacing w:before="45" w:line="223" w:lineRule="auto"/>
              <w:jc w:val="center"/>
              <w:rPr>
                <w:rFonts w:ascii="仿宋" w:hAnsi="仿宋" w:eastAsia="仿宋" w:cs="仿宋"/>
                <w:color w:val="auto"/>
                <w:spacing w:val="-4"/>
                <w:sz w:val="28"/>
                <w:szCs w:val="28"/>
                <w:highlight w:val="none"/>
                <w:vertAlign w:val="baseline"/>
              </w:rPr>
            </w:pPr>
            <w:r>
              <w:rPr>
                <w:rFonts w:ascii="仿宋" w:hAnsi="仿宋" w:eastAsia="仿宋" w:cs="仿宋"/>
                <w:color w:val="auto"/>
                <w:spacing w:val="-5"/>
                <w:sz w:val="28"/>
                <w:szCs w:val="28"/>
                <w:highlight w:val="none"/>
              </w:rPr>
              <w:t>预估采购数量</w:t>
            </w:r>
          </w:p>
        </w:tc>
      </w:tr>
      <w:tr w14:paraId="0E15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26" w:type="dxa"/>
            <w:vAlign w:val="center"/>
          </w:tcPr>
          <w:p w14:paraId="54CB9447">
            <w:pPr>
              <w:widowControl w:val="0"/>
              <w:spacing w:before="45" w:line="223" w:lineRule="auto"/>
              <w:jc w:val="center"/>
              <w:rPr>
                <w:rFonts w:ascii="仿宋" w:hAnsi="仿宋" w:eastAsia="仿宋" w:cs="仿宋"/>
                <w:color w:val="auto"/>
                <w:spacing w:val="-4"/>
                <w:sz w:val="28"/>
                <w:szCs w:val="28"/>
                <w:highlight w:val="none"/>
                <w:vertAlign w:val="baseline"/>
              </w:rPr>
            </w:pPr>
            <w:r>
              <w:rPr>
                <w:rFonts w:ascii="仿宋" w:hAnsi="仿宋" w:eastAsia="仿宋" w:cs="仿宋"/>
                <w:color w:val="auto"/>
                <w:spacing w:val="-8"/>
                <w:sz w:val="28"/>
                <w:szCs w:val="28"/>
                <w:highlight w:val="none"/>
              </w:rPr>
              <w:t>1</w:t>
            </w:r>
          </w:p>
        </w:tc>
        <w:tc>
          <w:tcPr>
            <w:tcW w:w="4743" w:type="dxa"/>
            <w:vAlign w:val="center"/>
          </w:tcPr>
          <w:p w14:paraId="1FEF5BFD">
            <w:pPr>
              <w:widowControl w:val="0"/>
              <w:spacing w:before="19" w:line="190" w:lineRule="auto"/>
              <w:ind w:left="20"/>
              <w:jc w:val="center"/>
              <w:rPr>
                <w:rFonts w:hint="default" w:ascii="仿宋" w:hAnsi="仿宋" w:eastAsia="仿宋" w:cs="仿宋"/>
                <w:color w:val="auto"/>
                <w:spacing w:val="-4"/>
                <w:sz w:val="28"/>
                <w:szCs w:val="28"/>
                <w:highlight w:val="none"/>
                <w:vertAlign w:val="baseline"/>
                <w:lang w:val="en-US" w:eastAsia="zh-CN"/>
              </w:rPr>
            </w:pPr>
            <w:r>
              <w:rPr>
                <w:rFonts w:hint="default" w:ascii="仿宋" w:hAnsi="仿宋" w:eastAsia="仿宋" w:cs="仿宋"/>
                <w:color w:val="auto"/>
                <w:spacing w:val="-4"/>
                <w:sz w:val="28"/>
                <w:szCs w:val="28"/>
                <w:highlight w:val="none"/>
                <w:vertAlign w:val="baseline"/>
                <w:lang w:val="en-US" w:eastAsia="zh-CN"/>
              </w:rPr>
              <w:t>金寨县机关与事业单位、国有企业所有车辆共约500辆，包括中巴、商务、轿车、越野车型，</w:t>
            </w:r>
            <w:r>
              <w:rPr>
                <w:rFonts w:hint="eastAsia" w:ascii="仿宋" w:hAnsi="仿宋" w:eastAsia="仿宋" w:cs="仿宋"/>
                <w:color w:val="auto"/>
                <w:spacing w:val="-4"/>
                <w:sz w:val="28"/>
                <w:szCs w:val="28"/>
                <w:highlight w:val="none"/>
                <w:vertAlign w:val="baseline"/>
                <w:lang w:val="en-US" w:eastAsia="zh-CN"/>
              </w:rPr>
              <w:t>通过封闭式框架协议方式</w:t>
            </w:r>
            <w:r>
              <w:rPr>
                <w:rFonts w:hint="default" w:ascii="仿宋" w:hAnsi="仿宋" w:eastAsia="仿宋" w:cs="仿宋"/>
                <w:color w:val="auto"/>
                <w:spacing w:val="-4"/>
                <w:sz w:val="28"/>
                <w:szCs w:val="28"/>
                <w:highlight w:val="none"/>
                <w:vertAlign w:val="baseline"/>
                <w:lang w:val="en-US" w:eastAsia="zh-CN"/>
              </w:rPr>
              <w:t>选择汽车维修公司</w:t>
            </w:r>
            <w:r>
              <w:rPr>
                <w:rFonts w:hint="eastAsia" w:ascii="仿宋" w:hAnsi="仿宋" w:eastAsia="仿宋" w:cs="仿宋"/>
                <w:color w:val="auto"/>
                <w:spacing w:val="-4"/>
                <w:sz w:val="28"/>
                <w:szCs w:val="28"/>
                <w:highlight w:val="none"/>
                <w:vertAlign w:val="baseline"/>
                <w:lang w:val="en-US" w:eastAsia="zh-CN"/>
              </w:rPr>
              <w:t>为公务用车提供维修保养服务</w:t>
            </w:r>
            <w:r>
              <w:rPr>
                <w:rFonts w:hint="default" w:ascii="仿宋" w:hAnsi="仿宋" w:eastAsia="仿宋" w:cs="仿宋"/>
                <w:color w:val="auto"/>
                <w:spacing w:val="-4"/>
                <w:sz w:val="28"/>
                <w:szCs w:val="28"/>
                <w:highlight w:val="none"/>
                <w:vertAlign w:val="baseline"/>
                <w:lang w:val="en-US" w:eastAsia="zh-CN"/>
              </w:rPr>
              <w:t>。具体内容见公告附件。</w:t>
            </w:r>
          </w:p>
        </w:tc>
        <w:tc>
          <w:tcPr>
            <w:tcW w:w="1445" w:type="dxa"/>
            <w:vAlign w:val="center"/>
          </w:tcPr>
          <w:p w14:paraId="67F3E425">
            <w:pPr>
              <w:widowControl w:val="0"/>
              <w:spacing w:before="45" w:line="223" w:lineRule="auto"/>
              <w:jc w:val="center"/>
              <w:rPr>
                <w:rFonts w:ascii="仿宋" w:hAnsi="仿宋" w:eastAsia="仿宋" w:cs="仿宋"/>
                <w:color w:val="auto"/>
                <w:spacing w:val="-4"/>
                <w:sz w:val="28"/>
                <w:szCs w:val="28"/>
                <w:highlight w:val="none"/>
                <w:vertAlign w:val="baseline"/>
              </w:rPr>
            </w:pPr>
            <w:r>
              <w:rPr>
                <w:rFonts w:hint="eastAsia" w:ascii="仿宋" w:hAnsi="仿宋" w:eastAsia="仿宋" w:cs="仿宋"/>
                <w:color w:val="auto"/>
                <w:spacing w:val="-8"/>
                <w:sz w:val="28"/>
                <w:szCs w:val="28"/>
                <w:highlight w:val="none"/>
                <w:lang w:val="en-US" w:eastAsia="zh-CN"/>
              </w:rPr>
              <w:t>90</w:t>
            </w:r>
            <w:r>
              <w:rPr>
                <w:rFonts w:ascii="仿宋" w:hAnsi="仿宋" w:eastAsia="仿宋" w:cs="仿宋"/>
                <w:color w:val="auto"/>
                <w:spacing w:val="-8"/>
                <w:sz w:val="28"/>
                <w:szCs w:val="28"/>
                <w:highlight w:val="none"/>
              </w:rPr>
              <w:t>%</w:t>
            </w:r>
          </w:p>
        </w:tc>
        <w:tc>
          <w:tcPr>
            <w:tcW w:w="1437" w:type="dxa"/>
            <w:vAlign w:val="center"/>
          </w:tcPr>
          <w:p w14:paraId="13606131">
            <w:pPr>
              <w:widowControl w:val="0"/>
              <w:spacing w:before="269" w:line="190" w:lineRule="auto"/>
              <w:jc w:val="center"/>
              <w:rPr>
                <w:rFonts w:ascii="仿宋" w:hAnsi="仿宋" w:eastAsia="仿宋" w:cs="仿宋"/>
                <w:color w:val="auto"/>
                <w:sz w:val="28"/>
                <w:szCs w:val="28"/>
                <w:highlight w:val="none"/>
              </w:rPr>
            </w:pPr>
            <w:r>
              <w:rPr>
                <w:rFonts w:ascii="仿宋" w:hAnsi="仿宋" w:eastAsia="仿宋" w:cs="仿宋"/>
                <w:color w:val="auto"/>
                <w:spacing w:val="-8"/>
                <w:sz w:val="28"/>
                <w:szCs w:val="28"/>
                <w:highlight w:val="none"/>
              </w:rPr>
              <w:t>/</w:t>
            </w:r>
          </w:p>
          <w:p w14:paraId="2E936BB1">
            <w:pPr>
              <w:widowControl w:val="0"/>
              <w:spacing w:before="45" w:line="223" w:lineRule="auto"/>
              <w:jc w:val="center"/>
              <w:rPr>
                <w:rFonts w:ascii="仿宋" w:hAnsi="仿宋" w:eastAsia="仿宋" w:cs="仿宋"/>
                <w:color w:val="auto"/>
                <w:spacing w:val="-4"/>
                <w:sz w:val="28"/>
                <w:szCs w:val="28"/>
                <w:highlight w:val="none"/>
                <w:vertAlign w:val="baseline"/>
              </w:rPr>
            </w:pPr>
          </w:p>
        </w:tc>
      </w:tr>
    </w:tbl>
    <w:p w14:paraId="2B74CA69">
      <w:pPr>
        <w:spacing w:before="92" w:line="219" w:lineRule="auto"/>
        <w:ind w:left="2"/>
        <w:rPr>
          <w:rFonts w:ascii="黑体" w:hAnsi="黑体" w:eastAsia="黑体" w:cs="黑体"/>
          <w:color w:val="auto"/>
          <w:sz w:val="28"/>
          <w:szCs w:val="28"/>
          <w:highlight w:val="none"/>
        </w:rPr>
      </w:pPr>
      <w:r>
        <w:rPr>
          <w:rFonts w:ascii="黑体" w:hAnsi="黑体" w:eastAsia="黑体" w:cs="黑体"/>
          <w:color w:val="auto"/>
          <w:spacing w:val="-2"/>
          <w:sz w:val="28"/>
          <w:szCs w:val="28"/>
          <w:highlight w:val="none"/>
        </w:rPr>
        <w:t>三、供应商的资格条件</w:t>
      </w:r>
    </w:p>
    <w:p w14:paraId="40EE17AA">
      <w:pPr>
        <w:spacing w:before="42" w:line="381" w:lineRule="auto"/>
        <w:ind w:left="1" w:firstLine="638"/>
        <w:rPr>
          <w:rFonts w:ascii="仿宋" w:hAnsi="仿宋" w:eastAsia="仿宋" w:cs="仿宋"/>
          <w:color w:val="auto"/>
          <w:spacing w:val="-1"/>
          <w:sz w:val="28"/>
          <w:szCs w:val="28"/>
          <w:highlight w:val="none"/>
        </w:rPr>
      </w:pPr>
      <w:r>
        <w:rPr>
          <w:rFonts w:ascii="仿宋" w:hAnsi="仿宋" w:eastAsia="仿宋" w:cs="仿宋"/>
          <w:color w:val="auto"/>
          <w:spacing w:val="-1"/>
          <w:sz w:val="28"/>
          <w:szCs w:val="28"/>
          <w:highlight w:val="none"/>
        </w:rPr>
        <w:t>1.满足《中华人民共和国政府采购法》第二十二条规定；</w:t>
      </w:r>
    </w:p>
    <w:p w14:paraId="00C478A2">
      <w:pPr>
        <w:spacing w:before="42" w:line="381" w:lineRule="auto"/>
        <w:ind w:left="1" w:firstLine="638"/>
        <w:rPr>
          <w:rFonts w:hint="eastAsia" w:ascii="仿宋" w:hAnsi="仿宋" w:eastAsia="仿宋" w:cs="仿宋"/>
          <w:color w:val="auto"/>
          <w:spacing w:val="-1"/>
          <w:sz w:val="28"/>
          <w:szCs w:val="28"/>
          <w:highlight w:val="none"/>
        </w:rPr>
      </w:pPr>
      <w:r>
        <w:rPr>
          <w:rFonts w:ascii="仿宋" w:hAnsi="仿宋" w:eastAsia="仿宋" w:cs="仿宋"/>
          <w:color w:val="auto"/>
          <w:spacing w:val="-1"/>
          <w:sz w:val="28"/>
          <w:szCs w:val="28"/>
          <w:highlight w:val="none"/>
        </w:rPr>
        <w:t>2.</w:t>
      </w:r>
      <w:r>
        <w:rPr>
          <w:rFonts w:hint="eastAsia" w:ascii="仿宋" w:hAnsi="仿宋" w:eastAsia="仿宋" w:cs="仿宋"/>
          <w:color w:val="auto"/>
          <w:spacing w:val="-1"/>
          <w:sz w:val="28"/>
          <w:szCs w:val="28"/>
          <w:highlight w:val="none"/>
        </w:rPr>
        <w:t>落实政府采购政策需满足的资格要求：本项目为专门面向中小企业采购项目，供应商须为中小微企业，同时落实监狱企业、残疾人福利性单位扶持政策；</w:t>
      </w:r>
    </w:p>
    <w:p w14:paraId="1BE1DE5E">
      <w:pPr>
        <w:spacing w:before="49" w:line="222" w:lineRule="auto"/>
        <w:ind w:left="637"/>
        <w:rPr>
          <w:rFonts w:ascii="仿宋" w:hAnsi="仿宋" w:eastAsia="仿宋" w:cs="仿宋"/>
          <w:color w:val="auto"/>
          <w:spacing w:val="-1"/>
          <w:sz w:val="28"/>
          <w:szCs w:val="28"/>
          <w:highlight w:val="none"/>
        </w:rPr>
      </w:pPr>
      <w:r>
        <w:rPr>
          <w:rFonts w:ascii="仿宋" w:hAnsi="仿宋" w:eastAsia="仿宋" w:cs="仿宋"/>
          <w:color w:val="auto"/>
          <w:spacing w:val="-1"/>
          <w:sz w:val="28"/>
          <w:szCs w:val="28"/>
          <w:highlight w:val="none"/>
        </w:rPr>
        <w:t>3.本项目的特定资格要求：</w:t>
      </w:r>
      <w:r>
        <w:rPr>
          <w:rFonts w:hint="eastAsia" w:ascii="仿宋" w:hAnsi="仿宋" w:eastAsia="仿宋" w:cs="仿宋"/>
          <w:color w:val="auto"/>
          <w:spacing w:val="-1"/>
          <w:sz w:val="28"/>
          <w:szCs w:val="28"/>
          <w:highlight w:val="none"/>
          <w:lang w:val="en-US" w:eastAsia="zh-CN"/>
        </w:rPr>
        <w:t>无</w:t>
      </w:r>
      <w:r>
        <w:rPr>
          <w:rFonts w:ascii="仿宋" w:hAnsi="仿宋" w:eastAsia="仿宋" w:cs="仿宋"/>
          <w:color w:val="auto"/>
          <w:spacing w:val="-1"/>
          <w:sz w:val="28"/>
          <w:szCs w:val="28"/>
          <w:highlight w:val="none"/>
        </w:rPr>
        <w:t xml:space="preserve">。 </w:t>
      </w:r>
    </w:p>
    <w:p w14:paraId="63333FCC">
      <w:pPr>
        <w:spacing w:before="262" w:line="218" w:lineRule="auto"/>
        <w:ind w:left="1"/>
        <w:rPr>
          <w:rFonts w:hint="default" w:ascii="黑体" w:hAnsi="黑体" w:eastAsia="黑体" w:cs="黑体"/>
          <w:color w:val="auto"/>
          <w:sz w:val="28"/>
          <w:szCs w:val="28"/>
          <w:highlight w:val="none"/>
          <w:lang w:val="en-US" w:eastAsia="zh-CN"/>
        </w:rPr>
      </w:pPr>
      <w:r>
        <w:rPr>
          <w:rFonts w:hint="eastAsia" w:ascii="黑体" w:hAnsi="黑体" w:eastAsia="黑体" w:cs="黑体"/>
          <w:color w:val="auto"/>
          <w:spacing w:val="-2"/>
          <w:sz w:val="28"/>
          <w:szCs w:val="28"/>
          <w:highlight w:val="none"/>
          <w:lang w:val="en-US" w:eastAsia="zh-CN"/>
        </w:rPr>
        <w:t>四</w:t>
      </w:r>
      <w:r>
        <w:rPr>
          <w:rFonts w:ascii="黑体" w:hAnsi="黑体" w:eastAsia="黑体" w:cs="黑体"/>
          <w:color w:val="auto"/>
          <w:spacing w:val="-2"/>
          <w:sz w:val="28"/>
          <w:szCs w:val="28"/>
          <w:highlight w:val="none"/>
        </w:rPr>
        <w:t>、</w:t>
      </w:r>
      <w:r>
        <w:rPr>
          <w:rFonts w:hint="eastAsia" w:ascii="黑体" w:hAnsi="黑体" w:eastAsia="黑体" w:cs="黑体"/>
          <w:color w:val="auto"/>
          <w:spacing w:val="-2"/>
          <w:sz w:val="28"/>
          <w:szCs w:val="28"/>
          <w:highlight w:val="none"/>
          <w:lang w:val="en-US" w:eastAsia="zh-CN"/>
        </w:rPr>
        <w:t>框架协议期限</w:t>
      </w:r>
    </w:p>
    <w:p w14:paraId="60CA69CA">
      <w:pPr>
        <w:spacing w:before="49" w:line="222" w:lineRule="auto"/>
        <w:ind w:left="637"/>
        <w:rPr>
          <w:rFonts w:hint="eastAsia" w:ascii="仿宋" w:hAnsi="仿宋" w:eastAsia="仿宋" w:cs="仿宋"/>
          <w:color w:val="auto"/>
          <w:spacing w:val="-1"/>
          <w:sz w:val="28"/>
          <w:szCs w:val="28"/>
          <w:highlight w:val="none"/>
          <w:lang w:eastAsia="zh-CN"/>
        </w:rPr>
      </w:pPr>
      <w:r>
        <w:rPr>
          <w:rFonts w:ascii="仿宋" w:hAnsi="仿宋" w:eastAsia="仿宋" w:cs="仿宋"/>
          <w:color w:val="auto"/>
          <w:spacing w:val="-1"/>
          <w:sz w:val="28"/>
          <w:szCs w:val="28"/>
          <w:highlight w:val="none"/>
        </w:rPr>
        <w:t>24个月</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lang w:val="en-US" w:eastAsia="zh-CN"/>
        </w:rPr>
        <w:t>自2025年7月1日起至2027年6月30日止</w:t>
      </w:r>
      <w:r>
        <w:rPr>
          <w:rFonts w:hint="eastAsia" w:ascii="仿宋" w:hAnsi="仿宋" w:eastAsia="仿宋" w:cs="仿宋"/>
          <w:color w:val="auto"/>
          <w:spacing w:val="-1"/>
          <w:sz w:val="28"/>
          <w:szCs w:val="28"/>
          <w:highlight w:val="none"/>
          <w:lang w:eastAsia="zh-CN"/>
        </w:rPr>
        <w:t>）</w:t>
      </w:r>
    </w:p>
    <w:p w14:paraId="33FF99E6">
      <w:pPr>
        <w:spacing w:before="262" w:line="218" w:lineRule="auto"/>
        <w:ind w:left="1"/>
        <w:rPr>
          <w:rFonts w:ascii="黑体" w:hAnsi="黑体" w:eastAsia="黑体" w:cs="黑体"/>
          <w:color w:val="auto"/>
          <w:sz w:val="28"/>
          <w:szCs w:val="28"/>
          <w:highlight w:val="none"/>
        </w:rPr>
      </w:pPr>
      <w:r>
        <w:rPr>
          <w:rFonts w:ascii="黑体" w:hAnsi="黑体" w:eastAsia="黑体" w:cs="黑体"/>
          <w:color w:val="auto"/>
          <w:spacing w:val="-2"/>
          <w:sz w:val="28"/>
          <w:szCs w:val="28"/>
          <w:highlight w:val="none"/>
        </w:rPr>
        <w:t>五、获取征集文件的时间、地点和方式</w:t>
      </w:r>
    </w:p>
    <w:p w14:paraId="1C537526">
      <w:pPr>
        <w:spacing w:before="56" w:line="380" w:lineRule="auto"/>
        <w:ind w:left="18" w:right="608" w:firstLine="569"/>
        <w:rPr>
          <w:rFonts w:ascii="仿宋" w:hAnsi="仿宋" w:eastAsia="仿宋" w:cs="仿宋"/>
          <w:color w:val="auto"/>
          <w:sz w:val="28"/>
          <w:szCs w:val="28"/>
          <w:highlight w:val="none"/>
        </w:rPr>
      </w:pPr>
      <w:r>
        <w:rPr>
          <w:rFonts w:ascii="仿宋" w:hAnsi="仿宋" w:eastAsia="仿宋" w:cs="仿宋"/>
          <w:color w:val="auto"/>
          <w:spacing w:val="-3"/>
          <w:sz w:val="28"/>
          <w:szCs w:val="28"/>
          <w:highlight w:val="none"/>
        </w:rPr>
        <w:t>时间：202</w:t>
      </w:r>
      <w:r>
        <w:rPr>
          <w:rFonts w:hint="eastAsia" w:ascii="仿宋" w:hAnsi="仿宋" w:eastAsia="仿宋" w:cs="仿宋"/>
          <w:color w:val="auto"/>
          <w:spacing w:val="-3"/>
          <w:sz w:val="28"/>
          <w:szCs w:val="28"/>
          <w:highlight w:val="none"/>
          <w:lang w:val="en-US" w:eastAsia="zh-CN"/>
        </w:rPr>
        <w:t>5</w:t>
      </w:r>
      <w:r>
        <w:rPr>
          <w:rFonts w:ascii="仿宋" w:hAnsi="仿宋" w:eastAsia="仿宋" w:cs="仿宋"/>
          <w:color w:val="auto"/>
          <w:spacing w:val="-3"/>
          <w:sz w:val="28"/>
          <w:szCs w:val="28"/>
          <w:highlight w:val="none"/>
        </w:rPr>
        <w:t>年</w:t>
      </w:r>
      <w:r>
        <w:rPr>
          <w:rFonts w:hint="eastAsia" w:ascii="仿宋" w:hAnsi="仿宋" w:eastAsia="仿宋" w:cs="仿宋"/>
          <w:color w:val="auto"/>
          <w:spacing w:val="-3"/>
          <w:sz w:val="28"/>
          <w:szCs w:val="28"/>
          <w:highlight w:val="none"/>
          <w:lang w:val="en-US" w:eastAsia="zh-CN"/>
        </w:rPr>
        <w:t>4</w:t>
      </w:r>
      <w:r>
        <w:rPr>
          <w:rFonts w:ascii="仿宋" w:hAnsi="仿宋" w:eastAsia="仿宋" w:cs="仿宋"/>
          <w:color w:val="auto"/>
          <w:spacing w:val="-3"/>
          <w:sz w:val="28"/>
          <w:szCs w:val="28"/>
          <w:highlight w:val="none"/>
        </w:rPr>
        <w:t>月</w:t>
      </w:r>
      <w:r>
        <w:rPr>
          <w:rFonts w:hint="eastAsia" w:ascii="仿宋" w:hAnsi="仿宋" w:eastAsia="仿宋" w:cs="仿宋"/>
          <w:color w:val="auto"/>
          <w:spacing w:val="-3"/>
          <w:sz w:val="28"/>
          <w:szCs w:val="28"/>
          <w:highlight w:val="none"/>
          <w:lang w:val="en-US" w:eastAsia="zh-CN"/>
        </w:rPr>
        <w:t>11</w:t>
      </w:r>
      <w:r>
        <w:rPr>
          <w:rFonts w:ascii="仿宋" w:hAnsi="仿宋" w:eastAsia="仿宋" w:cs="仿宋"/>
          <w:color w:val="auto"/>
          <w:spacing w:val="-3"/>
          <w:sz w:val="28"/>
          <w:szCs w:val="28"/>
          <w:highlight w:val="none"/>
        </w:rPr>
        <w:t>日至202</w:t>
      </w:r>
      <w:r>
        <w:rPr>
          <w:rFonts w:hint="eastAsia" w:ascii="仿宋" w:hAnsi="仿宋" w:eastAsia="仿宋" w:cs="仿宋"/>
          <w:color w:val="auto"/>
          <w:spacing w:val="-3"/>
          <w:sz w:val="28"/>
          <w:szCs w:val="28"/>
          <w:highlight w:val="none"/>
          <w:lang w:val="en-US" w:eastAsia="zh-CN"/>
        </w:rPr>
        <w:t>5</w:t>
      </w:r>
      <w:r>
        <w:rPr>
          <w:rFonts w:ascii="仿宋" w:hAnsi="仿宋" w:eastAsia="仿宋" w:cs="仿宋"/>
          <w:color w:val="auto"/>
          <w:spacing w:val="-3"/>
          <w:sz w:val="28"/>
          <w:szCs w:val="28"/>
          <w:highlight w:val="none"/>
        </w:rPr>
        <w:t>年</w:t>
      </w:r>
      <w:r>
        <w:rPr>
          <w:rFonts w:hint="eastAsia" w:ascii="仿宋" w:hAnsi="仿宋" w:eastAsia="仿宋" w:cs="仿宋"/>
          <w:color w:val="auto"/>
          <w:spacing w:val="-3"/>
          <w:sz w:val="28"/>
          <w:szCs w:val="28"/>
          <w:highlight w:val="none"/>
          <w:lang w:val="en-US" w:eastAsia="zh-CN"/>
        </w:rPr>
        <w:t>5</w:t>
      </w:r>
      <w:r>
        <w:rPr>
          <w:rFonts w:ascii="仿宋" w:hAnsi="仿宋" w:eastAsia="仿宋" w:cs="仿宋"/>
          <w:color w:val="auto"/>
          <w:spacing w:val="-3"/>
          <w:sz w:val="28"/>
          <w:szCs w:val="28"/>
          <w:highlight w:val="none"/>
        </w:rPr>
        <w:t>月</w:t>
      </w:r>
      <w:r>
        <w:rPr>
          <w:rFonts w:hint="eastAsia" w:ascii="仿宋" w:hAnsi="仿宋" w:eastAsia="仿宋" w:cs="仿宋"/>
          <w:color w:val="auto"/>
          <w:spacing w:val="-3"/>
          <w:sz w:val="28"/>
          <w:szCs w:val="28"/>
          <w:highlight w:val="none"/>
          <w:lang w:val="en-US" w:eastAsia="zh-CN"/>
        </w:rPr>
        <w:t>7</w:t>
      </w:r>
      <w:r>
        <w:rPr>
          <w:rFonts w:ascii="仿宋" w:hAnsi="仿宋" w:eastAsia="仿宋" w:cs="仿宋"/>
          <w:color w:val="auto"/>
          <w:spacing w:val="-3"/>
          <w:sz w:val="28"/>
          <w:szCs w:val="28"/>
          <w:highlight w:val="none"/>
        </w:rPr>
        <w:t>日，每天上午00:00至12:00，下午</w:t>
      </w:r>
      <w:r>
        <w:rPr>
          <w:rFonts w:ascii="仿宋" w:hAnsi="仿宋" w:eastAsia="仿宋" w:cs="仿宋"/>
          <w:color w:val="auto"/>
          <w:sz w:val="28"/>
          <w:szCs w:val="28"/>
          <w:highlight w:val="none"/>
        </w:rPr>
        <w:t xml:space="preserve"> </w:t>
      </w:r>
      <w:r>
        <w:rPr>
          <w:rFonts w:ascii="仿宋" w:hAnsi="仿宋" w:eastAsia="仿宋" w:cs="仿宋"/>
          <w:color w:val="auto"/>
          <w:spacing w:val="-1"/>
          <w:sz w:val="28"/>
          <w:szCs w:val="28"/>
          <w:highlight w:val="none"/>
        </w:rPr>
        <w:t>12:00至23:59（北京时间，法定</w:t>
      </w:r>
      <w:r>
        <w:rPr>
          <w:rFonts w:ascii="仿宋" w:hAnsi="仿宋" w:eastAsia="仿宋" w:cs="仿宋"/>
          <w:color w:val="auto"/>
          <w:spacing w:val="-2"/>
          <w:sz w:val="28"/>
          <w:szCs w:val="28"/>
          <w:highlight w:val="none"/>
        </w:rPr>
        <w:t>节假日除外）</w:t>
      </w:r>
    </w:p>
    <w:p w14:paraId="19D31FE5">
      <w:pPr>
        <w:spacing w:before="1" w:line="221" w:lineRule="auto"/>
        <w:ind w:left="569"/>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地点：“徽采云</w:t>
      </w:r>
      <w:r>
        <w:rPr>
          <w:rFonts w:ascii="仿宋" w:hAnsi="仿宋" w:eastAsia="仿宋" w:cs="仿宋"/>
          <w:color w:val="auto"/>
          <w:spacing w:val="-102"/>
          <w:sz w:val="28"/>
          <w:szCs w:val="28"/>
          <w:highlight w:val="none"/>
        </w:rPr>
        <w:t xml:space="preserve"> </w:t>
      </w:r>
      <w:r>
        <w:rPr>
          <w:rFonts w:ascii="仿宋" w:hAnsi="仿宋" w:eastAsia="仿宋" w:cs="仿宋"/>
          <w:color w:val="auto"/>
          <w:spacing w:val="-4"/>
          <w:sz w:val="28"/>
          <w:szCs w:val="28"/>
          <w:highlight w:val="none"/>
        </w:rPr>
        <w:t>”平台线上获取。</w:t>
      </w:r>
    </w:p>
    <w:p w14:paraId="68AD50E3">
      <w:pPr>
        <w:spacing w:before="204" w:line="220" w:lineRule="auto"/>
        <w:ind w:left="574"/>
        <w:rPr>
          <w:rFonts w:ascii="仿宋" w:hAnsi="仿宋" w:eastAsia="仿宋" w:cs="仿宋"/>
          <w:color w:val="auto"/>
          <w:sz w:val="28"/>
          <w:szCs w:val="28"/>
          <w:highlight w:val="none"/>
        </w:rPr>
      </w:pPr>
      <w:r>
        <w:rPr>
          <w:rFonts w:ascii="仿宋" w:hAnsi="仿宋" w:eastAsia="仿宋" w:cs="仿宋"/>
          <w:color w:val="auto"/>
          <w:spacing w:val="-2"/>
          <w:sz w:val="28"/>
          <w:szCs w:val="28"/>
          <w:highlight w:val="none"/>
        </w:rPr>
        <w:t>方式：供应商登录“徽采云</w:t>
      </w:r>
      <w:r>
        <w:rPr>
          <w:rFonts w:ascii="仿宋" w:hAnsi="仿宋" w:eastAsia="仿宋" w:cs="仿宋"/>
          <w:color w:val="auto"/>
          <w:spacing w:val="-103"/>
          <w:sz w:val="28"/>
          <w:szCs w:val="28"/>
          <w:highlight w:val="none"/>
        </w:rPr>
        <w:t xml:space="preserve"> </w:t>
      </w:r>
      <w:r>
        <w:rPr>
          <w:rFonts w:ascii="仿宋" w:hAnsi="仿宋" w:eastAsia="仿宋" w:cs="仿宋"/>
          <w:color w:val="auto"/>
          <w:spacing w:val="-2"/>
          <w:sz w:val="28"/>
          <w:szCs w:val="28"/>
          <w:highlight w:val="none"/>
        </w:rPr>
        <w:t>”电子交易系统在</w:t>
      </w:r>
      <w:r>
        <w:rPr>
          <w:rFonts w:ascii="仿宋" w:hAnsi="仿宋" w:eastAsia="仿宋" w:cs="仿宋"/>
          <w:color w:val="auto"/>
          <w:spacing w:val="-3"/>
          <w:sz w:val="28"/>
          <w:szCs w:val="28"/>
          <w:highlight w:val="none"/>
        </w:rPr>
        <w:t>线获取</w:t>
      </w:r>
      <w:r>
        <w:rPr>
          <w:rFonts w:hint="eastAsia" w:ascii="仿宋" w:hAnsi="仿宋" w:eastAsia="仿宋" w:cs="仿宋"/>
          <w:color w:val="auto"/>
          <w:spacing w:val="-3"/>
          <w:sz w:val="28"/>
          <w:szCs w:val="28"/>
          <w:highlight w:val="none"/>
          <w:lang w:eastAsia="zh-CN"/>
        </w:rPr>
        <w:t>征集文件</w:t>
      </w:r>
      <w:r>
        <w:rPr>
          <w:rFonts w:ascii="仿宋" w:hAnsi="仿宋" w:eastAsia="仿宋" w:cs="仿宋"/>
          <w:color w:val="auto"/>
          <w:spacing w:val="-3"/>
          <w:sz w:val="28"/>
          <w:szCs w:val="28"/>
          <w:highlight w:val="none"/>
        </w:rPr>
        <w:t>。</w:t>
      </w:r>
    </w:p>
    <w:p w14:paraId="2BF98538">
      <w:pPr>
        <w:spacing w:before="255" w:line="210" w:lineRule="auto"/>
        <w:ind w:left="5"/>
        <w:rPr>
          <w:rFonts w:ascii="黑体" w:hAnsi="黑体" w:eastAsia="黑体" w:cs="黑体"/>
          <w:color w:val="auto"/>
          <w:sz w:val="28"/>
          <w:szCs w:val="28"/>
          <w:highlight w:val="none"/>
        </w:rPr>
      </w:pPr>
      <w:r>
        <w:rPr>
          <w:rFonts w:ascii="黑体" w:hAnsi="黑体" w:eastAsia="黑体" w:cs="黑体"/>
          <w:color w:val="auto"/>
          <w:spacing w:val="-1"/>
          <w:sz w:val="28"/>
          <w:szCs w:val="28"/>
          <w:highlight w:val="none"/>
        </w:rPr>
        <w:t>六、响应文件的提交方式、提交截止时间和地点，开启方式、时间和地点</w:t>
      </w:r>
    </w:p>
    <w:p w14:paraId="2403FCCE">
      <w:pPr>
        <w:spacing w:before="280" w:line="223" w:lineRule="auto"/>
        <w:ind w:left="577"/>
        <w:rPr>
          <w:rFonts w:ascii="仿宋" w:hAnsi="仿宋" w:eastAsia="仿宋" w:cs="仿宋"/>
          <w:color w:val="auto"/>
          <w:sz w:val="28"/>
          <w:szCs w:val="28"/>
          <w:highlight w:val="none"/>
        </w:rPr>
      </w:pPr>
      <w:r>
        <w:rPr>
          <w:rFonts w:ascii="仿宋" w:hAnsi="仿宋" w:eastAsia="仿宋" w:cs="仿宋"/>
          <w:color w:val="auto"/>
          <w:spacing w:val="-1"/>
          <w:sz w:val="28"/>
          <w:szCs w:val="28"/>
          <w:highlight w:val="none"/>
        </w:rPr>
        <w:t>响应文件提交截止时间：202</w:t>
      </w:r>
      <w:r>
        <w:rPr>
          <w:rFonts w:hint="eastAsia" w:ascii="仿宋" w:hAnsi="仿宋" w:eastAsia="仿宋" w:cs="仿宋"/>
          <w:color w:val="auto"/>
          <w:spacing w:val="-1"/>
          <w:sz w:val="28"/>
          <w:szCs w:val="28"/>
          <w:highlight w:val="none"/>
          <w:lang w:val="en-US" w:eastAsia="zh-CN"/>
        </w:rPr>
        <w:t>5</w:t>
      </w:r>
      <w:r>
        <w:rPr>
          <w:rFonts w:ascii="仿宋" w:hAnsi="仿宋" w:eastAsia="仿宋" w:cs="仿宋"/>
          <w:color w:val="auto"/>
          <w:spacing w:val="-1"/>
          <w:sz w:val="28"/>
          <w:szCs w:val="28"/>
          <w:highlight w:val="none"/>
        </w:rPr>
        <w:t>年</w:t>
      </w:r>
      <w:r>
        <w:rPr>
          <w:rFonts w:hint="eastAsia" w:ascii="仿宋" w:hAnsi="仿宋" w:eastAsia="仿宋" w:cs="仿宋"/>
          <w:color w:val="auto"/>
          <w:spacing w:val="-1"/>
          <w:sz w:val="28"/>
          <w:szCs w:val="28"/>
          <w:highlight w:val="none"/>
          <w:lang w:val="en-US" w:eastAsia="zh-CN"/>
        </w:rPr>
        <w:t>5</w:t>
      </w:r>
      <w:r>
        <w:rPr>
          <w:rFonts w:ascii="仿宋" w:hAnsi="仿宋" w:eastAsia="仿宋" w:cs="仿宋"/>
          <w:color w:val="auto"/>
          <w:spacing w:val="-1"/>
          <w:sz w:val="28"/>
          <w:szCs w:val="28"/>
          <w:highlight w:val="none"/>
        </w:rPr>
        <w:t>月</w:t>
      </w:r>
      <w:r>
        <w:rPr>
          <w:rFonts w:hint="eastAsia" w:ascii="仿宋" w:hAnsi="仿宋" w:eastAsia="仿宋" w:cs="仿宋"/>
          <w:color w:val="auto"/>
          <w:spacing w:val="-1"/>
          <w:sz w:val="28"/>
          <w:szCs w:val="28"/>
          <w:highlight w:val="none"/>
          <w:lang w:val="en-US" w:eastAsia="zh-CN"/>
        </w:rPr>
        <w:t>7</w:t>
      </w:r>
      <w:r>
        <w:rPr>
          <w:rFonts w:ascii="仿宋" w:hAnsi="仿宋" w:eastAsia="仿宋" w:cs="仿宋"/>
          <w:color w:val="auto"/>
          <w:spacing w:val="-1"/>
          <w:sz w:val="28"/>
          <w:szCs w:val="28"/>
          <w:highlight w:val="none"/>
        </w:rPr>
        <w:t>日上午09:30分（北京时间）</w:t>
      </w:r>
    </w:p>
    <w:p w14:paraId="68DD78A2">
      <w:pPr>
        <w:spacing w:before="262" w:line="374" w:lineRule="auto"/>
        <w:ind w:left="9" w:right="185" w:firstLine="567"/>
        <w:rPr>
          <w:rFonts w:ascii="仿宋" w:hAnsi="仿宋" w:eastAsia="仿宋" w:cs="仿宋"/>
          <w:color w:val="auto"/>
          <w:sz w:val="28"/>
          <w:szCs w:val="28"/>
          <w:highlight w:val="none"/>
        </w:rPr>
      </w:pPr>
      <w:r>
        <w:rPr>
          <w:rFonts w:ascii="仿宋" w:hAnsi="仿宋" w:eastAsia="仿宋" w:cs="仿宋"/>
          <w:color w:val="auto"/>
          <w:spacing w:val="-3"/>
          <w:sz w:val="28"/>
          <w:szCs w:val="28"/>
          <w:highlight w:val="none"/>
        </w:rPr>
        <w:t>响应文件提交地点（网址</w:t>
      </w:r>
      <w:r>
        <w:rPr>
          <w:rFonts w:ascii="仿宋" w:hAnsi="仿宋" w:eastAsia="仿宋" w:cs="仿宋"/>
          <w:color w:val="auto"/>
          <w:spacing w:val="13"/>
          <w:sz w:val="28"/>
          <w:szCs w:val="28"/>
          <w:highlight w:val="none"/>
        </w:rPr>
        <w:t>）：</w:t>
      </w:r>
      <w:r>
        <w:rPr>
          <w:rFonts w:ascii="仿宋" w:hAnsi="仿宋" w:eastAsia="仿宋" w:cs="仿宋"/>
          <w:color w:val="auto"/>
          <w:spacing w:val="-3"/>
          <w:sz w:val="28"/>
          <w:szCs w:val="28"/>
          <w:highlight w:val="none"/>
        </w:rPr>
        <w:t>请登录“徽采云</w:t>
      </w:r>
      <w:r>
        <w:rPr>
          <w:rFonts w:ascii="仿宋" w:hAnsi="仿宋" w:eastAsia="仿宋" w:cs="仿宋"/>
          <w:color w:val="auto"/>
          <w:spacing w:val="-103"/>
          <w:sz w:val="28"/>
          <w:szCs w:val="28"/>
          <w:highlight w:val="none"/>
        </w:rPr>
        <w:t xml:space="preserve"> </w:t>
      </w:r>
      <w:r>
        <w:rPr>
          <w:rFonts w:ascii="仿宋" w:hAnsi="仿宋" w:eastAsia="仿宋" w:cs="仿宋"/>
          <w:color w:val="auto"/>
          <w:spacing w:val="-3"/>
          <w:sz w:val="28"/>
          <w:szCs w:val="28"/>
          <w:highlight w:val="none"/>
        </w:rPr>
        <w:t>”投标客户端编制响应文件</w:t>
      </w:r>
      <w:r>
        <w:rPr>
          <w:rFonts w:ascii="仿宋" w:hAnsi="仿宋" w:eastAsia="仿宋" w:cs="仿宋"/>
          <w:color w:val="auto"/>
          <w:spacing w:val="-5"/>
          <w:sz w:val="28"/>
          <w:szCs w:val="28"/>
          <w:highlight w:val="none"/>
        </w:rPr>
        <w:t>并上传提交</w:t>
      </w:r>
    </w:p>
    <w:p w14:paraId="10ED8C90">
      <w:pPr>
        <w:spacing w:before="1" w:line="222" w:lineRule="auto"/>
        <w:ind w:left="577"/>
        <w:rPr>
          <w:rFonts w:ascii="仿宋" w:hAnsi="仿宋" w:eastAsia="仿宋" w:cs="仿宋"/>
          <w:color w:val="auto"/>
          <w:sz w:val="28"/>
          <w:szCs w:val="28"/>
          <w:highlight w:val="none"/>
        </w:rPr>
      </w:pPr>
      <w:r>
        <w:rPr>
          <w:rFonts w:ascii="仿宋" w:hAnsi="仿宋" w:eastAsia="仿宋" w:cs="仿宋"/>
          <w:color w:val="auto"/>
          <w:spacing w:val="-1"/>
          <w:sz w:val="28"/>
          <w:szCs w:val="28"/>
          <w:highlight w:val="none"/>
        </w:rPr>
        <w:t>响应文件开启时间：202</w:t>
      </w:r>
      <w:r>
        <w:rPr>
          <w:rFonts w:hint="eastAsia" w:ascii="仿宋" w:hAnsi="仿宋" w:eastAsia="仿宋" w:cs="仿宋"/>
          <w:color w:val="auto"/>
          <w:spacing w:val="-1"/>
          <w:sz w:val="28"/>
          <w:szCs w:val="28"/>
          <w:highlight w:val="none"/>
          <w:lang w:val="en-US" w:eastAsia="zh-CN"/>
        </w:rPr>
        <w:t>5</w:t>
      </w:r>
      <w:r>
        <w:rPr>
          <w:rFonts w:ascii="仿宋" w:hAnsi="仿宋" w:eastAsia="仿宋" w:cs="仿宋"/>
          <w:color w:val="auto"/>
          <w:spacing w:val="-1"/>
          <w:sz w:val="28"/>
          <w:szCs w:val="28"/>
          <w:highlight w:val="none"/>
        </w:rPr>
        <w:t>年</w:t>
      </w:r>
      <w:r>
        <w:rPr>
          <w:rFonts w:hint="eastAsia" w:ascii="仿宋" w:hAnsi="仿宋" w:eastAsia="仿宋" w:cs="仿宋"/>
          <w:color w:val="auto"/>
          <w:spacing w:val="-1"/>
          <w:sz w:val="28"/>
          <w:szCs w:val="28"/>
          <w:highlight w:val="none"/>
          <w:lang w:val="en-US" w:eastAsia="zh-CN"/>
        </w:rPr>
        <w:t>5</w:t>
      </w:r>
      <w:r>
        <w:rPr>
          <w:rFonts w:ascii="仿宋" w:hAnsi="仿宋" w:eastAsia="仿宋" w:cs="仿宋"/>
          <w:color w:val="auto"/>
          <w:spacing w:val="-1"/>
          <w:sz w:val="28"/>
          <w:szCs w:val="28"/>
          <w:highlight w:val="none"/>
        </w:rPr>
        <w:t>月</w:t>
      </w:r>
      <w:r>
        <w:rPr>
          <w:rFonts w:hint="eastAsia" w:ascii="仿宋" w:hAnsi="仿宋" w:eastAsia="仿宋" w:cs="仿宋"/>
          <w:color w:val="auto"/>
          <w:spacing w:val="-1"/>
          <w:sz w:val="28"/>
          <w:szCs w:val="28"/>
          <w:highlight w:val="none"/>
          <w:lang w:val="en-US" w:eastAsia="zh-CN"/>
        </w:rPr>
        <w:t>7</w:t>
      </w:r>
      <w:r>
        <w:rPr>
          <w:rFonts w:ascii="仿宋" w:hAnsi="仿宋" w:eastAsia="仿宋" w:cs="仿宋"/>
          <w:color w:val="auto"/>
          <w:spacing w:val="-1"/>
          <w:sz w:val="28"/>
          <w:szCs w:val="28"/>
          <w:highlight w:val="none"/>
        </w:rPr>
        <w:t>日上午09:30分</w:t>
      </w:r>
    </w:p>
    <w:p w14:paraId="742F49D2">
      <w:pPr>
        <w:spacing w:before="244" w:line="381" w:lineRule="auto"/>
        <w:ind w:left="5" w:right="186" w:firstLine="571"/>
        <w:rPr>
          <w:rFonts w:ascii="仿宋" w:hAnsi="仿宋" w:eastAsia="仿宋" w:cs="仿宋"/>
          <w:color w:val="auto"/>
          <w:sz w:val="28"/>
          <w:szCs w:val="28"/>
          <w:highlight w:val="none"/>
        </w:rPr>
      </w:pPr>
      <w:r>
        <w:rPr>
          <w:rFonts w:ascii="仿宋" w:hAnsi="仿宋" w:eastAsia="仿宋" w:cs="仿宋"/>
          <w:color w:val="auto"/>
          <w:spacing w:val="-1"/>
          <w:sz w:val="28"/>
          <w:szCs w:val="28"/>
          <w:highlight w:val="none"/>
        </w:rPr>
        <w:t>响应文件开启地点：</w:t>
      </w:r>
      <w:r>
        <w:rPr>
          <w:rFonts w:hint="eastAsia" w:ascii="仿宋" w:hAnsi="仿宋" w:eastAsia="仿宋" w:cs="仿宋"/>
          <w:color w:val="auto"/>
          <w:spacing w:val="-1"/>
          <w:sz w:val="28"/>
          <w:szCs w:val="28"/>
          <w:highlight w:val="none"/>
        </w:rPr>
        <w:t>金寨经济开发区金梧桐创业园综合楼15楼第</w:t>
      </w:r>
      <w:r>
        <w:rPr>
          <w:rFonts w:hint="eastAsia" w:ascii="仿宋" w:hAnsi="仿宋" w:eastAsia="仿宋" w:cs="仿宋"/>
          <w:color w:val="auto"/>
          <w:spacing w:val="-1"/>
          <w:sz w:val="28"/>
          <w:szCs w:val="28"/>
          <w:highlight w:val="none"/>
          <w:lang w:val="en-US" w:eastAsia="zh-CN"/>
        </w:rPr>
        <w:t>四</w:t>
      </w:r>
      <w:r>
        <w:rPr>
          <w:rFonts w:hint="eastAsia" w:ascii="仿宋" w:hAnsi="仿宋" w:eastAsia="仿宋" w:cs="仿宋"/>
          <w:color w:val="auto"/>
          <w:spacing w:val="-1"/>
          <w:sz w:val="28"/>
          <w:szCs w:val="28"/>
          <w:highlight w:val="none"/>
        </w:rPr>
        <w:t>开标室</w:t>
      </w:r>
      <w:r>
        <w:rPr>
          <w:rFonts w:ascii="仿宋" w:hAnsi="仿宋" w:eastAsia="仿宋" w:cs="仿宋"/>
          <w:color w:val="auto"/>
          <w:spacing w:val="-2"/>
          <w:sz w:val="28"/>
          <w:szCs w:val="28"/>
          <w:highlight w:val="none"/>
        </w:rPr>
        <w:t>（不见面开标大厅）。</w:t>
      </w:r>
    </w:p>
    <w:p w14:paraId="58CFC837">
      <w:pPr>
        <w:spacing w:before="46" w:line="221" w:lineRule="auto"/>
        <w:ind w:left="7"/>
        <w:rPr>
          <w:rFonts w:ascii="黑体" w:hAnsi="黑体" w:eastAsia="黑体" w:cs="黑体"/>
          <w:color w:val="auto"/>
          <w:sz w:val="28"/>
          <w:szCs w:val="28"/>
          <w:highlight w:val="none"/>
        </w:rPr>
      </w:pPr>
      <w:r>
        <w:rPr>
          <w:rFonts w:ascii="黑体" w:hAnsi="黑体" w:eastAsia="黑体" w:cs="黑体"/>
          <w:color w:val="auto"/>
          <w:spacing w:val="-3"/>
          <w:sz w:val="28"/>
          <w:szCs w:val="28"/>
          <w:highlight w:val="none"/>
        </w:rPr>
        <w:t>七、公告期限</w:t>
      </w:r>
    </w:p>
    <w:p w14:paraId="64E74619">
      <w:pPr>
        <w:spacing w:before="264" w:line="221" w:lineRule="auto"/>
        <w:ind w:left="620"/>
        <w:rPr>
          <w:rFonts w:ascii="仿宋" w:hAnsi="仿宋" w:eastAsia="仿宋" w:cs="仿宋"/>
          <w:color w:val="auto"/>
          <w:sz w:val="28"/>
          <w:szCs w:val="28"/>
          <w:highlight w:val="none"/>
        </w:rPr>
      </w:pPr>
      <w:r>
        <w:rPr>
          <w:rFonts w:ascii="仿宋" w:hAnsi="仿宋" w:eastAsia="仿宋" w:cs="仿宋"/>
          <w:color w:val="auto"/>
          <w:spacing w:val="-5"/>
          <w:sz w:val="28"/>
          <w:szCs w:val="28"/>
          <w:highlight w:val="none"/>
        </w:rPr>
        <w:t>自本公告发布之日起5个工作日。</w:t>
      </w:r>
    </w:p>
    <w:p w14:paraId="77667B87">
      <w:pPr>
        <w:spacing w:before="266" w:line="219" w:lineRule="auto"/>
        <w:rPr>
          <w:rFonts w:ascii="黑体" w:hAnsi="黑体" w:eastAsia="黑体" w:cs="黑体"/>
          <w:color w:val="auto"/>
          <w:sz w:val="28"/>
          <w:szCs w:val="28"/>
          <w:highlight w:val="none"/>
        </w:rPr>
      </w:pPr>
      <w:r>
        <w:rPr>
          <w:rFonts w:ascii="黑体" w:hAnsi="黑体" w:eastAsia="黑体" w:cs="黑体"/>
          <w:color w:val="auto"/>
          <w:spacing w:val="-2"/>
          <w:sz w:val="28"/>
          <w:szCs w:val="28"/>
          <w:highlight w:val="none"/>
        </w:rPr>
        <w:t>八、其他补充事宜</w:t>
      </w:r>
    </w:p>
    <w:p w14:paraId="018815E4">
      <w:pPr>
        <w:spacing w:before="267" w:line="220" w:lineRule="auto"/>
        <w:ind w:left="580"/>
        <w:rPr>
          <w:rFonts w:ascii="仿宋" w:hAnsi="仿宋" w:eastAsia="仿宋" w:cs="仿宋"/>
          <w:color w:val="auto"/>
          <w:sz w:val="28"/>
          <w:szCs w:val="28"/>
          <w:highlight w:val="none"/>
        </w:rPr>
      </w:pPr>
      <w:r>
        <w:rPr>
          <w:rFonts w:ascii="仿宋" w:hAnsi="仿宋" w:eastAsia="仿宋" w:cs="仿宋"/>
          <w:color w:val="auto"/>
          <w:spacing w:val="-2"/>
          <w:sz w:val="28"/>
          <w:szCs w:val="28"/>
          <w:highlight w:val="none"/>
        </w:rPr>
        <w:t>1.本次征集公告在安徽省政府采购网发布；</w:t>
      </w:r>
    </w:p>
    <w:p w14:paraId="013DC4F4">
      <w:pPr>
        <w:spacing w:before="267" w:line="385" w:lineRule="auto"/>
        <w:ind w:left="7" w:right="185" w:firstLine="555"/>
        <w:rPr>
          <w:rFonts w:ascii="仿宋" w:hAnsi="仿宋" w:eastAsia="仿宋" w:cs="仿宋"/>
          <w:color w:val="auto"/>
          <w:sz w:val="28"/>
          <w:szCs w:val="28"/>
          <w:highlight w:val="none"/>
        </w:rPr>
      </w:pPr>
      <w:r>
        <w:rPr>
          <w:rFonts w:ascii="仿宋" w:hAnsi="仿宋" w:eastAsia="仿宋" w:cs="仿宋"/>
          <w:color w:val="auto"/>
          <w:spacing w:val="-1"/>
          <w:sz w:val="28"/>
          <w:szCs w:val="28"/>
          <w:highlight w:val="none"/>
        </w:rPr>
        <w:t>2.</w:t>
      </w:r>
      <w:r>
        <w:rPr>
          <w:rFonts w:hint="eastAsia" w:ascii="仿宋" w:hAnsi="仿宋" w:eastAsia="仿宋" w:cs="仿宋"/>
          <w:color w:val="auto"/>
          <w:spacing w:val="-1"/>
          <w:sz w:val="28"/>
          <w:szCs w:val="28"/>
          <w:highlight w:val="none"/>
        </w:rPr>
        <w:t>本项目为 200 万元以下的服务项目，适宜由中小企业提供，为专门面向中小企业采购项目。符合上述中小企业情形的，投标文件中须提供《中小企业声明函》，企业划型标准按照《关于印发中小企业划型标准规定的通知》（工信部联企业〔2011〕300 号）规定执行。</w:t>
      </w:r>
    </w:p>
    <w:p w14:paraId="365EC20B">
      <w:pPr>
        <w:spacing w:before="47" w:line="222" w:lineRule="auto"/>
        <w:ind w:left="564"/>
        <w:rPr>
          <w:rFonts w:ascii="仿宋" w:hAnsi="仿宋" w:eastAsia="仿宋" w:cs="仿宋"/>
          <w:color w:val="auto"/>
          <w:sz w:val="28"/>
          <w:szCs w:val="28"/>
          <w:highlight w:val="none"/>
        </w:rPr>
      </w:pPr>
      <w:r>
        <w:rPr>
          <w:rFonts w:ascii="仿宋" w:hAnsi="仿宋" w:eastAsia="仿宋" w:cs="仿宋"/>
          <w:color w:val="auto"/>
          <w:spacing w:val="-1"/>
          <w:sz w:val="28"/>
          <w:szCs w:val="28"/>
          <w:highlight w:val="none"/>
        </w:rPr>
        <w:t>3.本项目采购标的所属行业：</w:t>
      </w:r>
      <w:r>
        <w:rPr>
          <w:rFonts w:hint="eastAsia" w:ascii="仿宋" w:hAnsi="仿宋" w:eastAsia="仿宋" w:cs="仿宋"/>
          <w:color w:val="auto"/>
          <w:spacing w:val="-1"/>
          <w:sz w:val="28"/>
          <w:szCs w:val="28"/>
          <w:highlight w:val="none"/>
          <w:u w:val="single"/>
        </w:rPr>
        <w:t>居民服务、修理和其他服务业</w:t>
      </w:r>
    </w:p>
    <w:p w14:paraId="2CADE647">
      <w:pPr>
        <w:spacing w:before="265" w:line="385" w:lineRule="auto"/>
        <w:ind w:left="8" w:firstLine="549"/>
        <w:rPr>
          <w:rFonts w:ascii="仿宋" w:hAnsi="仿宋" w:eastAsia="仿宋" w:cs="仿宋"/>
          <w:color w:val="auto"/>
          <w:sz w:val="28"/>
          <w:szCs w:val="28"/>
          <w:highlight w:val="none"/>
        </w:rPr>
      </w:pPr>
      <w:r>
        <w:rPr>
          <w:rFonts w:ascii="仿宋" w:hAnsi="仿宋" w:eastAsia="仿宋" w:cs="仿宋"/>
          <w:color w:val="auto"/>
          <w:sz w:val="28"/>
          <w:szCs w:val="28"/>
          <w:highlight w:val="none"/>
        </w:rPr>
        <w:t>4.本项目采用全流程电子招投标，供应商如对响</w:t>
      </w:r>
      <w:r>
        <w:rPr>
          <w:rFonts w:ascii="仿宋" w:hAnsi="仿宋" w:eastAsia="仿宋" w:cs="仿宋"/>
          <w:color w:val="auto"/>
          <w:spacing w:val="-1"/>
          <w:sz w:val="28"/>
          <w:szCs w:val="28"/>
          <w:highlight w:val="none"/>
        </w:rPr>
        <w:t>应文件编制及提交有操作</w:t>
      </w:r>
      <w:r>
        <w:rPr>
          <w:rFonts w:ascii="仿宋" w:hAnsi="仿宋" w:eastAsia="仿宋" w:cs="仿宋"/>
          <w:color w:val="auto"/>
          <w:sz w:val="28"/>
          <w:szCs w:val="28"/>
          <w:highlight w:val="none"/>
        </w:rPr>
        <w:t xml:space="preserve">  </w:t>
      </w:r>
      <w:r>
        <w:rPr>
          <w:rFonts w:ascii="仿宋" w:hAnsi="仿宋" w:eastAsia="仿宋" w:cs="仿宋"/>
          <w:color w:val="auto"/>
          <w:spacing w:val="-3"/>
          <w:sz w:val="28"/>
          <w:szCs w:val="28"/>
          <w:highlight w:val="none"/>
        </w:rPr>
        <w:t>疑问，可自行访问“安徽省政府采购网</w:t>
      </w:r>
      <w:r>
        <w:rPr>
          <w:rFonts w:ascii="仿宋" w:hAnsi="仿宋" w:eastAsia="仿宋" w:cs="仿宋"/>
          <w:color w:val="auto"/>
          <w:spacing w:val="-103"/>
          <w:sz w:val="28"/>
          <w:szCs w:val="28"/>
          <w:highlight w:val="none"/>
        </w:rPr>
        <w:t xml:space="preserve"> </w:t>
      </w:r>
      <w:r>
        <w:rPr>
          <w:rFonts w:ascii="仿宋" w:hAnsi="仿宋" w:eastAsia="仿宋" w:cs="仿宋"/>
          <w:color w:val="auto"/>
          <w:spacing w:val="-3"/>
          <w:sz w:val="28"/>
          <w:szCs w:val="28"/>
          <w:highlight w:val="none"/>
        </w:rPr>
        <w:t>”（https://www.ccgp-anhui.gov.cn）,</w:t>
      </w:r>
      <w:r>
        <w:rPr>
          <w:rFonts w:ascii="仿宋" w:hAnsi="仿宋" w:eastAsia="仿宋" w:cs="仿宋"/>
          <w:color w:val="auto"/>
          <w:sz w:val="28"/>
          <w:szCs w:val="28"/>
          <w:highlight w:val="none"/>
        </w:rPr>
        <w:t xml:space="preserve"> </w:t>
      </w:r>
      <w:r>
        <w:rPr>
          <w:rFonts w:ascii="仿宋" w:hAnsi="仿宋" w:eastAsia="仿宋" w:cs="仿宋"/>
          <w:color w:val="auto"/>
          <w:spacing w:val="-3"/>
          <w:sz w:val="28"/>
          <w:szCs w:val="28"/>
          <w:highlight w:val="none"/>
        </w:rPr>
        <w:t>首页点击“徽采学院-“框架协议</w:t>
      </w:r>
      <w:r>
        <w:rPr>
          <w:rFonts w:ascii="仿宋" w:hAnsi="仿宋" w:eastAsia="仿宋" w:cs="仿宋"/>
          <w:color w:val="auto"/>
          <w:spacing w:val="-93"/>
          <w:sz w:val="28"/>
          <w:szCs w:val="28"/>
          <w:highlight w:val="none"/>
        </w:rPr>
        <w:t xml:space="preserve"> </w:t>
      </w:r>
      <w:r>
        <w:rPr>
          <w:rFonts w:ascii="仿宋" w:hAnsi="仿宋" w:eastAsia="仿宋" w:cs="仿宋"/>
          <w:color w:val="auto"/>
          <w:spacing w:val="-3"/>
          <w:sz w:val="28"/>
          <w:szCs w:val="28"/>
          <w:highlight w:val="none"/>
        </w:rPr>
        <w:t>”-“供应商</w:t>
      </w:r>
      <w:r>
        <w:rPr>
          <w:rFonts w:ascii="仿宋" w:hAnsi="仿宋" w:eastAsia="仿宋" w:cs="仿宋"/>
          <w:color w:val="auto"/>
          <w:spacing w:val="-103"/>
          <w:sz w:val="28"/>
          <w:szCs w:val="28"/>
          <w:highlight w:val="none"/>
        </w:rPr>
        <w:t xml:space="preserve"> </w:t>
      </w:r>
      <w:r>
        <w:rPr>
          <w:rFonts w:ascii="仿宋" w:hAnsi="仿宋" w:eastAsia="仿宋" w:cs="仿宋"/>
          <w:color w:val="auto"/>
          <w:spacing w:val="-3"/>
          <w:sz w:val="28"/>
          <w:szCs w:val="28"/>
          <w:highlight w:val="none"/>
        </w:rPr>
        <w:t>”-“徽采云框架协议供应商操</w:t>
      </w:r>
      <w:r>
        <w:rPr>
          <w:rFonts w:ascii="仿宋" w:hAnsi="仿宋" w:eastAsia="仿宋" w:cs="仿宋"/>
          <w:color w:val="auto"/>
          <w:spacing w:val="-2"/>
          <w:sz w:val="28"/>
          <w:szCs w:val="28"/>
          <w:highlight w:val="none"/>
        </w:rPr>
        <w:t>作培训</w:t>
      </w:r>
      <w:r>
        <w:rPr>
          <w:rFonts w:ascii="仿宋" w:hAnsi="仿宋" w:eastAsia="仿宋" w:cs="仿宋"/>
          <w:color w:val="auto"/>
          <w:spacing w:val="-96"/>
          <w:sz w:val="28"/>
          <w:szCs w:val="28"/>
          <w:highlight w:val="none"/>
        </w:rPr>
        <w:t xml:space="preserve"> </w:t>
      </w:r>
      <w:r>
        <w:rPr>
          <w:rFonts w:ascii="仿宋" w:hAnsi="仿宋" w:eastAsia="仿宋" w:cs="仿宋"/>
          <w:color w:val="auto"/>
          <w:spacing w:val="-2"/>
          <w:sz w:val="28"/>
          <w:szCs w:val="28"/>
          <w:highlight w:val="none"/>
        </w:rPr>
        <w:t>”，在当前页面登录后，观看或下载相关培训视频进行学习。如有其他</w:t>
      </w:r>
      <w:r>
        <w:rPr>
          <w:rFonts w:ascii="仿宋" w:hAnsi="仿宋" w:eastAsia="仿宋" w:cs="仿宋"/>
          <w:color w:val="auto"/>
          <w:sz w:val="28"/>
          <w:szCs w:val="28"/>
          <w:highlight w:val="none"/>
        </w:rPr>
        <w:t xml:space="preserve"> </w:t>
      </w:r>
      <w:r>
        <w:rPr>
          <w:rFonts w:ascii="仿宋" w:hAnsi="仿宋" w:eastAsia="仿宋" w:cs="仿宋"/>
          <w:color w:val="auto"/>
          <w:spacing w:val="-1"/>
          <w:sz w:val="28"/>
          <w:szCs w:val="28"/>
          <w:highlight w:val="none"/>
        </w:rPr>
        <w:t>系统操作疑问，请联系徽采云客服进行咨询，客服电话：95763。</w:t>
      </w:r>
    </w:p>
    <w:p w14:paraId="25EFD839">
      <w:pPr>
        <w:spacing w:before="55" w:line="385" w:lineRule="auto"/>
        <w:ind w:left="654" w:right="3084" w:hanging="654"/>
        <w:rPr>
          <w:rFonts w:ascii="仿宋" w:hAnsi="仿宋" w:eastAsia="仿宋" w:cs="仿宋"/>
          <w:color w:val="auto"/>
          <w:sz w:val="28"/>
          <w:szCs w:val="28"/>
          <w:highlight w:val="none"/>
        </w:rPr>
      </w:pPr>
      <w:r>
        <w:rPr>
          <w:rFonts w:ascii="黑体" w:hAnsi="黑体" w:eastAsia="黑体" w:cs="黑体"/>
          <w:color w:val="auto"/>
          <w:spacing w:val="-1"/>
          <w:sz w:val="28"/>
          <w:szCs w:val="28"/>
          <w:highlight w:val="none"/>
        </w:rPr>
        <w:t>九、凡对本次采购提出询问，请按以下方式联系</w:t>
      </w:r>
      <w:r>
        <w:rPr>
          <w:rFonts w:ascii="黑体" w:hAnsi="黑体" w:eastAsia="黑体" w:cs="黑体"/>
          <w:color w:val="auto"/>
          <w:spacing w:val="3"/>
          <w:sz w:val="28"/>
          <w:szCs w:val="28"/>
          <w:highlight w:val="none"/>
        </w:rPr>
        <w:t xml:space="preserve"> </w:t>
      </w:r>
      <w:r>
        <w:rPr>
          <w:rFonts w:ascii="仿宋" w:hAnsi="仿宋" w:eastAsia="仿宋" w:cs="仿宋"/>
          <w:color w:val="auto"/>
          <w:spacing w:val="-5"/>
          <w:sz w:val="28"/>
          <w:szCs w:val="28"/>
          <w:highlight w:val="none"/>
        </w:rPr>
        <w:t>1.征集人信息</w:t>
      </w:r>
    </w:p>
    <w:p w14:paraId="364BBEE4">
      <w:pPr>
        <w:spacing w:before="263" w:line="222" w:lineRule="auto"/>
        <w:ind w:left="629"/>
        <w:rPr>
          <w:rFonts w:hint="default"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rPr>
        <w:t>征集人名称：金寨县机关事务管理服务中心</w:t>
      </w:r>
    </w:p>
    <w:p w14:paraId="47A3A781">
      <w:pPr>
        <w:spacing w:before="263" w:line="222" w:lineRule="auto"/>
        <w:ind w:left="62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征集人地址：梅山镇政府路西（原江店农贸市场二楼）</w:t>
      </w:r>
    </w:p>
    <w:p w14:paraId="6148BD68">
      <w:pPr>
        <w:spacing w:before="263" w:line="222" w:lineRule="auto"/>
        <w:ind w:left="629"/>
        <w:rPr>
          <w:rFonts w:hint="default"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rPr>
        <w:t>征集人联系方式：0564-</w:t>
      </w:r>
      <w:r>
        <w:rPr>
          <w:rFonts w:hint="eastAsia" w:ascii="仿宋" w:hAnsi="仿宋" w:eastAsia="仿宋" w:cs="仿宋"/>
          <w:color w:val="auto"/>
          <w:spacing w:val="-1"/>
          <w:sz w:val="28"/>
          <w:szCs w:val="28"/>
          <w:highlight w:val="none"/>
          <w:lang w:val="en-US" w:eastAsia="zh-CN"/>
        </w:rPr>
        <w:t>7350323</w:t>
      </w:r>
    </w:p>
    <w:p w14:paraId="083EADE9">
      <w:pPr>
        <w:spacing w:before="31" w:line="222" w:lineRule="auto"/>
        <w:ind w:left="643"/>
        <w:rPr>
          <w:rFonts w:ascii="仿宋" w:hAnsi="仿宋" w:eastAsia="仿宋" w:cs="仿宋"/>
          <w:color w:val="auto"/>
          <w:spacing w:val="-1"/>
          <w:sz w:val="28"/>
          <w:szCs w:val="28"/>
          <w:highlight w:val="none"/>
        </w:rPr>
      </w:pPr>
    </w:p>
    <w:p w14:paraId="47E37BA3">
      <w:pPr>
        <w:spacing w:before="46" w:line="222" w:lineRule="auto"/>
        <w:ind w:left="637"/>
        <w:rPr>
          <w:rFonts w:ascii="仿宋" w:hAnsi="仿宋" w:eastAsia="仿宋" w:cs="仿宋"/>
          <w:color w:val="auto"/>
          <w:sz w:val="28"/>
          <w:szCs w:val="28"/>
          <w:highlight w:val="none"/>
        </w:rPr>
      </w:pPr>
      <w:r>
        <w:rPr>
          <w:rFonts w:ascii="仿宋" w:hAnsi="仿宋" w:eastAsia="仿宋" w:cs="仿宋"/>
          <w:color w:val="auto"/>
          <w:spacing w:val="-2"/>
          <w:sz w:val="28"/>
          <w:szCs w:val="28"/>
          <w:highlight w:val="none"/>
        </w:rPr>
        <w:t>2.代理机构信息</w:t>
      </w:r>
    </w:p>
    <w:p w14:paraId="3F959115">
      <w:pPr>
        <w:spacing w:before="262" w:line="222" w:lineRule="auto"/>
        <w:ind w:left="643"/>
        <w:rPr>
          <w:rFonts w:ascii="仿宋" w:hAnsi="仿宋" w:eastAsia="仿宋" w:cs="仿宋"/>
          <w:color w:val="auto"/>
          <w:sz w:val="28"/>
          <w:szCs w:val="28"/>
          <w:highlight w:val="none"/>
        </w:rPr>
      </w:pPr>
      <w:r>
        <w:rPr>
          <w:rFonts w:ascii="仿宋" w:hAnsi="仿宋" w:eastAsia="仿宋" w:cs="仿宋"/>
          <w:color w:val="auto"/>
          <w:spacing w:val="-2"/>
          <w:sz w:val="28"/>
          <w:szCs w:val="28"/>
          <w:highlight w:val="none"/>
        </w:rPr>
        <w:t>名  称：</w:t>
      </w:r>
      <w:r>
        <w:rPr>
          <w:rFonts w:hint="eastAsia" w:ascii="仿宋" w:hAnsi="仿宋" w:eastAsia="仿宋" w:cs="仿宋"/>
          <w:color w:val="auto"/>
          <w:spacing w:val="-2"/>
          <w:sz w:val="28"/>
          <w:szCs w:val="28"/>
          <w:highlight w:val="none"/>
          <w:lang w:val="en-US" w:eastAsia="zh-CN"/>
        </w:rPr>
        <w:t>金寨县</w:t>
      </w:r>
      <w:r>
        <w:rPr>
          <w:rFonts w:ascii="仿宋" w:hAnsi="仿宋" w:eastAsia="仿宋" w:cs="仿宋"/>
          <w:color w:val="auto"/>
          <w:spacing w:val="-2"/>
          <w:sz w:val="28"/>
          <w:szCs w:val="28"/>
          <w:highlight w:val="none"/>
        </w:rPr>
        <w:t>政府采购中心</w:t>
      </w:r>
    </w:p>
    <w:p w14:paraId="2F519C3B">
      <w:pPr>
        <w:spacing w:before="263" w:line="222" w:lineRule="auto"/>
        <w:ind w:left="629"/>
        <w:rPr>
          <w:rFonts w:hint="default" w:ascii="仿宋" w:hAnsi="仿宋" w:eastAsia="仿宋" w:cs="仿宋"/>
          <w:color w:val="auto"/>
          <w:sz w:val="28"/>
          <w:szCs w:val="28"/>
          <w:highlight w:val="none"/>
          <w:lang w:val="en-US" w:eastAsia="zh-CN"/>
        </w:rPr>
      </w:pPr>
      <w:r>
        <w:rPr>
          <w:rFonts w:ascii="仿宋" w:hAnsi="仿宋" w:eastAsia="仿宋" w:cs="仿宋"/>
          <w:color w:val="auto"/>
          <w:spacing w:val="-1"/>
          <w:sz w:val="28"/>
          <w:szCs w:val="28"/>
          <w:highlight w:val="none"/>
        </w:rPr>
        <w:t>地  址：</w:t>
      </w:r>
      <w:r>
        <w:rPr>
          <w:rFonts w:hint="eastAsia" w:ascii="仿宋" w:hAnsi="仿宋" w:eastAsia="仿宋" w:cs="仿宋"/>
          <w:color w:val="auto"/>
          <w:spacing w:val="-1"/>
          <w:sz w:val="28"/>
          <w:szCs w:val="28"/>
          <w:highlight w:val="none"/>
        </w:rPr>
        <w:t>金寨经济开发区金梧桐创业园综合楼</w:t>
      </w:r>
      <w:r>
        <w:rPr>
          <w:rFonts w:hint="eastAsia" w:ascii="仿宋" w:hAnsi="仿宋" w:eastAsia="仿宋" w:cs="仿宋"/>
          <w:color w:val="auto"/>
          <w:spacing w:val="-1"/>
          <w:sz w:val="28"/>
          <w:szCs w:val="28"/>
          <w:highlight w:val="none"/>
          <w:lang w:val="en-US" w:eastAsia="zh-CN"/>
        </w:rPr>
        <w:t>16</w:t>
      </w:r>
      <w:r>
        <w:rPr>
          <w:rFonts w:hint="eastAsia" w:ascii="仿宋" w:hAnsi="仿宋" w:eastAsia="仿宋" w:cs="仿宋"/>
          <w:color w:val="auto"/>
          <w:spacing w:val="-1"/>
          <w:sz w:val="28"/>
          <w:szCs w:val="28"/>
          <w:highlight w:val="none"/>
        </w:rPr>
        <w:t>楼</w:t>
      </w:r>
      <w:r>
        <w:rPr>
          <w:rFonts w:hint="eastAsia" w:ascii="仿宋" w:hAnsi="仿宋" w:eastAsia="仿宋" w:cs="仿宋"/>
          <w:color w:val="auto"/>
          <w:spacing w:val="-1"/>
          <w:sz w:val="28"/>
          <w:szCs w:val="28"/>
          <w:highlight w:val="none"/>
          <w:lang w:val="en-US" w:eastAsia="zh-CN"/>
        </w:rPr>
        <w:t>1615室</w:t>
      </w:r>
    </w:p>
    <w:p w14:paraId="5494DA3E">
      <w:pPr>
        <w:spacing w:before="263" w:line="222" w:lineRule="auto"/>
        <w:ind w:left="629"/>
        <w:rPr>
          <w:rFonts w:hint="default" w:ascii="仿宋" w:hAnsi="仿宋" w:eastAsia="仿宋" w:cs="仿宋"/>
          <w:color w:val="auto"/>
          <w:spacing w:val="-1"/>
          <w:sz w:val="28"/>
          <w:szCs w:val="28"/>
          <w:highlight w:val="none"/>
          <w:lang w:val="en-US" w:eastAsia="zh-CN"/>
        </w:rPr>
      </w:pPr>
      <w:r>
        <w:rPr>
          <w:rFonts w:ascii="仿宋" w:hAnsi="仿宋" w:eastAsia="仿宋" w:cs="仿宋"/>
          <w:color w:val="auto"/>
          <w:spacing w:val="-1"/>
          <w:sz w:val="28"/>
          <w:szCs w:val="28"/>
          <w:highlight w:val="none"/>
        </w:rPr>
        <w:t>联系方式：</w:t>
      </w:r>
      <w:r>
        <w:rPr>
          <w:rFonts w:hint="eastAsia" w:ascii="仿宋" w:hAnsi="仿宋" w:eastAsia="仿宋" w:cs="仿宋"/>
          <w:color w:val="auto"/>
          <w:spacing w:val="-1"/>
          <w:sz w:val="28"/>
          <w:szCs w:val="28"/>
          <w:highlight w:val="none"/>
        </w:rPr>
        <w:t>0564-</w:t>
      </w:r>
      <w:r>
        <w:rPr>
          <w:rFonts w:hint="eastAsia" w:ascii="仿宋" w:hAnsi="仿宋" w:eastAsia="仿宋" w:cs="仿宋"/>
          <w:color w:val="auto"/>
          <w:spacing w:val="-1"/>
          <w:sz w:val="28"/>
          <w:szCs w:val="28"/>
          <w:highlight w:val="none"/>
          <w:lang w:val="en-US" w:eastAsia="zh-CN"/>
        </w:rPr>
        <w:t>7350878</w:t>
      </w:r>
    </w:p>
    <w:p w14:paraId="51ED65DD">
      <w:pPr>
        <w:spacing w:before="264" w:line="381" w:lineRule="auto"/>
        <w:ind w:left="639" w:right="5242"/>
        <w:rPr>
          <w:rFonts w:ascii="仿宋" w:hAnsi="仿宋" w:eastAsia="仿宋" w:cs="仿宋"/>
          <w:color w:val="auto"/>
          <w:sz w:val="28"/>
          <w:szCs w:val="28"/>
          <w:highlight w:val="none"/>
        </w:rPr>
      </w:pPr>
      <w:r>
        <w:rPr>
          <w:rFonts w:ascii="仿宋" w:hAnsi="仿宋" w:eastAsia="仿宋" w:cs="仿宋"/>
          <w:color w:val="auto"/>
          <w:spacing w:val="-2"/>
          <w:sz w:val="28"/>
          <w:szCs w:val="28"/>
          <w:highlight w:val="none"/>
        </w:rPr>
        <w:t>3.项目联系方式</w:t>
      </w:r>
    </w:p>
    <w:p w14:paraId="33B11407">
      <w:pPr>
        <w:spacing w:before="43" w:line="224" w:lineRule="auto"/>
        <w:ind w:left="643"/>
        <w:rPr>
          <w:rFonts w:ascii="仿宋" w:hAnsi="仿宋" w:eastAsia="仿宋" w:cs="仿宋"/>
          <w:color w:val="auto"/>
          <w:sz w:val="28"/>
          <w:szCs w:val="28"/>
          <w:highlight w:val="none"/>
        </w:rPr>
      </w:pPr>
      <w:r>
        <w:rPr>
          <w:rFonts w:ascii="仿宋" w:hAnsi="仿宋" w:eastAsia="仿宋" w:cs="仿宋"/>
          <w:color w:val="auto"/>
          <w:spacing w:val="-5"/>
          <w:sz w:val="28"/>
          <w:szCs w:val="28"/>
          <w:highlight w:val="none"/>
        </w:rPr>
        <w:t>项目联系人：</w:t>
      </w:r>
      <w:r>
        <w:rPr>
          <w:rFonts w:hint="eastAsia" w:ascii="仿宋" w:hAnsi="仿宋" w:eastAsia="仿宋" w:cs="仿宋"/>
          <w:color w:val="auto"/>
          <w:spacing w:val="-5"/>
          <w:sz w:val="28"/>
          <w:szCs w:val="28"/>
          <w:highlight w:val="none"/>
          <w:lang w:val="en-US" w:eastAsia="zh-CN"/>
        </w:rPr>
        <w:t>汪</w:t>
      </w:r>
      <w:r>
        <w:rPr>
          <w:rFonts w:ascii="仿宋" w:hAnsi="仿宋" w:eastAsia="仿宋" w:cs="仿宋"/>
          <w:color w:val="auto"/>
          <w:spacing w:val="-5"/>
          <w:sz w:val="28"/>
          <w:szCs w:val="28"/>
          <w:highlight w:val="none"/>
        </w:rPr>
        <w:t>主任</w:t>
      </w:r>
    </w:p>
    <w:p w14:paraId="13BFCAD5">
      <w:pPr>
        <w:spacing w:before="260" w:line="224" w:lineRule="auto"/>
        <w:ind w:left="673"/>
        <w:rPr>
          <w:rFonts w:ascii="仿宋" w:hAnsi="仿宋" w:eastAsia="仿宋" w:cs="仿宋"/>
          <w:color w:val="auto"/>
          <w:sz w:val="28"/>
          <w:szCs w:val="28"/>
          <w:highlight w:val="none"/>
        </w:rPr>
      </w:pPr>
      <w:bookmarkStart w:id="25" w:name="bookmark8"/>
      <w:bookmarkEnd w:id="25"/>
      <w:r>
        <w:rPr>
          <w:rFonts w:ascii="仿宋" w:hAnsi="仿宋" w:eastAsia="仿宋" w:cs="仿宋"/>
          <w:color w:val="auto"/>
          <w:spacing w:val="-2"/>
          <w:sz w:val="28"/>
          <w:szCs w:val="28"/>
          <w:highlight w:val="none"/>
        </w:rPr>
        <w:t>电   话：</w:t>
      </w:r>
      <w:r>
        <w:rPr>
          <w:rFonts w:ascii="仿宋" w:hAnsi="仿宋" w:eastAsia="仿宋" w:cs="仿宋"/>
          <w:color w:val="auto"/>
          <w:spacing w:val="-1"/>
          <w:sz w:val="28"/>
          <w:szCs w:val="28"/>
          <w:highlight w:val="none"/>
        </w:rPr>
        <w:t>0564-</w:t>
      </w:r>
      <w:r>
        <w:rPr>
          <w:rFonts w:hint="eastAsia" w:ascii="仿宋" w:hAnsi="仿宋" w:eastAsia="仿宋" w:cs="仿宋"/>
          <w:color w:val="auto"/>
          <w:spacing w:val="-1"/>
          <w:sz w:val="28"/>
          <w:szCs w:val="28"/>
          <w:highlight w:val="none"/>
          <w:lang w:val="en-US" w:eastAsia="zh-CN"/>
        </w:rPr>
        <w:t>7350878</w:t>
      </w:r>
    </w:p>
    <w:p w14:paraId="15A26A73">
      <w:pPr>
        <w:spacing w:line="224" w:lineRule="auto"/>
        <w:rPr>
          <w:rFonts w:ascii="仿宋" w:hAnsi="仿宋" w:eastAsia="仿宋" w:cs="仿宋"/>
          <w:color w:val="auto"/>
          <w:sz w:val="28"/>
          <w:szCs w:val="28"/>
          <w:highlight w:val="none"/>
        </w:rPr>
        <w:sectPr>
          <w:footerReference r:id="rId7" w:type="default"/>
          <w:pgSz w:w="11910" w:h="16840"/>
          <w:pgMar w:top="1245" w:right="1786" w:bottom="859" w:left="1175" w:header="0" w:footer="682" w:gutter="0"/>
          <w:cols w:space="720" w:num="1"/>
        </w:sectPr>
      </w:pPr>
    </w:p>
    <w:p w14:paraId="2ED49622">
      <w:pPr>
        <w:spacing w:before="55" w:line="218" w:lineRule="auto"/>
        <w:ind w:left="3434"/>
        <w:outlineLvl w:val="0"/>
        <w:rPr>
          <w:rFonts w:ascii="黑体" w:hAnsi="黑体" w:eastAsia="黑体" w:cs="黑体"/>
          <w:color w:val="auto"/>
          <w:sz w:val="28"/>
          <w:szCs w:val="28"/>
          <w:highlight w:val="none"/>
        </w:rPr>
      </w:pPr>
      <w:bookmarkStart w:id="26" w:name="bookmark3"/>
      <w:bookmarkEnd w:id="26"/>
      <w:r>
        <w:rPr>
          <w:rFonts w:ascii="黑体" w:hAnsi="黑体" w:eastAsia="黑体" w:cs="黑体"/>
          <w:color w:val="auto"/>
          <w:spacing w:val="-2"/>
          <w:sz w:val="28"/>
          <w:szCs w:val="28"/>
          <w:highlight w:val="none"/>
        </w:rPr>
        <w:t>第二章    供应商须知</w:t>
      </w:r>
    </w:p>
    <w:p w14:paraId="614DA0AA">
      <w:pPr>
        <w:spacing w:before="33"/>
        <w:rPr>
          <w:color w:val="auto"/>
          <w:highlight w:val="none"/>
        </w:rPr>
      </w:pPr>
    </w:p>
    <w:tbl>
      <w:tblPr>
        <w:tblStyle w:val="12"/>
        <w:tblW w:w="96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9"/>
        <w:gridCol w:w="1504"/>
        <w:gridCol w:w="7325"/>
      </w:tblGrid>
      <w:tr w14:paraId="2DBC2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9" w:type="dxa"/>
            <w:vAlign w:val="top"/>
          </w:tcPr>
          <w:p w14:paraId="58216523">
            <w:pPr>
              <w:pStyle w:val="13"/>
              <w:spacing w:before="222" w:line="222" w:lineRule="auto"/>
              <w:ind w:left="169"/>
              <w:rPr>
                <w:color w:val="auto"/>
                <w:highlight w:val="none"/>
              </w:rPr>
            </w:pPr>
            <w:r>
              <w:rPr>
                <w:b/>
                <w:bCs/>
                <w:color w:val="auto"/>
                <w:spacing w:val="-7"/>
                <w:highlight w:val="none"/>
              </w:rPr>
              <w:t>序号</w:t>
            </w:r>
          </w:p>
        </w:tc>
        <w:tc>
          <w:tcPr>
            <w:tcW w:w="1504" w:type="dxa"/>
            <w:vAlign w:val="top"/>
          </w:tcPr>
          <w:p w14:paraId="7AD13F8B">
            <w:pPr>
              <w:pStyle w:val="13"/>
              <w:spacing w:before="222" w:line="220" w:lineRule="auto"/>
              <w:ind w:left="543"/>
              <w:rPr>
                <w:color w:val="auto"/>
                <w:highlight w:val="none"/>
              </w:rPr>
            </w:pPr>
            <w:r>
              <w:rPr>
                <w:b/>
                <w:bCs/>
                <w:color w:val="auto"/>
                <w:spacing w:val="-22"/>
                <w:highlight w:val="none"/>
              </w:rPr>
              <w:t>内容</w:t>
            </w:r>
          </w:p>
        </w:tc>
        <w:tc>
          <w:tcPr>
            <w:tcW w:w="7325" w:type="dxa"/>
            <w:vAlign w:val="top"/>
          </w:tcPr>
          <w:p w14:paraId="22B83765">
            <w:pPr>
              <w:pStyle w:val="13"/>
              <w:spacing w:before="222" w:line="220" w:lineRule="auto"/>
              <w:ind w:left="3060"/>
              <w:rPr>
                <w:color w:val="auto"/>
                <w:highlight w:val="none"/>
              </w:rPr>
            </w:pPr>
            <w:r>
              <w:rPr>
                <w:b/>
                <w:bCs/>
                <w:color w:val="auto"/>
                <w:spacing w:val="-5"/>
                <w:highlight w:val="none"/>
              </w:rPr>
              <w:t>说明与要求</w:t>
            </w:r>
          </w:p>
        </w:tc>
      </w:tr>
      <w:tr w14:paraId="7AFD5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9" w:type="dxa"/>
            <w:vAlign w:val="top"/>
          </w:tcPr>
          <w:p w14:paraId="40EF08E6">
            <w:pPr>
              <w:pStyle w:val="13"/>
              <w:spacing w:before="240" w:line="184" w:lineRule="auto"/>
              <w:ind w:left="368"/>
              <w:rPr>
                <w:color w:val="auto"/>
                <w:highlight w:val="none"/>
              </w:rPr>
            </w:pPr>
            <w:r>
              <w:rPr>
                <w:b/>
                <w:bCs/>
                <w:color w:val="auto"/>
                <w:spacing w:val="-3"/>
                <w:highlight w:val="none"/>
              </w:rPr>
              <w:t>1</w:t>
            </w:r>
          </w:p>
        </w:tc>
        <w:tc>
          <w:tcPr>
            <w:tcW w:w="1504" w:type="dxa"/>
            <w:vAlign w:val="top"/>
          </w:tcPr>
          <w:p w14:paraId="00D005A3">
            <w:pPr>
              <w:pStyle w:val="13"/>
              <w:spacing w:before="204" w:line="220" w:lineRule="auto"/>
              <w:ind w:left="399"/>
              <w:rPr>
                <w:color w:val="auto"/>
                <w:highlight w:val="none"/>
              </w:rPr>
            </w:pPr>
            <w:r>
              <w:rPr>
                <w:color w:val="auto"/>
                <w:spacing w:val="-5"/>
                <w:highlight w:val="none"/>
              </w:rPr>
              <w:t>征集人</w:t>
            </w:r>
          </w:p>
        </w:tc>
        <w:tc>
          <w:tcPr>
            <w:tcW w:w="7325" w:type="dxa"/>
            <w:vAlign w:val="top"/>
          </w:tcPr>
          <w:p w14:paraId="5CE7757B">
            <w:pPr>
              <w:pStyle w:val="13"/>
              <w:spacing w:before="204" w:line="219" w:lineRule="auto"/>
              <w:ind w:left="116"/>
              <w:rPr>
                <w:rFonts w:hint="default" w:eastAsia="宋体"/>
                <w:color w:val="auto"/>
                <w:highlight w:val="none"/>
                <w:lang w:val="en-US" w:eastAsia="zh-CN"/>
              </w:rPr>
            </w:pPr>
            <w:r>
              <w:rPr>
                <w:rFonts w:hint="default" w:eastAsia="宋体"/>
                <w:color w:val="auto"/>
                <w:highlight w:val="none"/>
                <w:lang w:val="en-US" w:eastAsia="zh-CN"/>
              </w:rPr>
              <w:t>金寨县机关事务管理服务中心</w:t>
            </w:r>
          </w:p>
        </w:tc>
      </w:tr>
      <w:tr w14:paraId="106CE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9" w:type="dxa"/>
            <w:vAlign w:val="top"/>
          </w:tcPr>
          <w:p w14:paraId="58A3FDCE">
            <w:pPr>
              <w:spacing w:line="353" w:lineRule="auto"/>
              <w:rPr>
                <w:rFonts w:ascii="Arial"/>
                <w:color w:val="auto"/>
                <w:sz w:val="21"/>
                <w:highlight w:val="none"/>
              </w:rPr>
            </w:pPr>
          </w:p>
          <w:p w14:paraId="2B615A23">
            <w:pPr>
              <w:pStyle w:val="13"/>
              <w:spacing w:before="78" w:line="183" w:lineRule="auto"/>
              <w:ind w:left="353"/>
              <w:rPr>
                <w:color w:val="auto"/>
                <w:highlight w:val="none"/>
              </w:rPr>
            </w:pPr>
            <w:r>
              <w:rPr>
                <w:b/>
                <w:bCs/>
                <w:color w:val="auto"/>
                <w:spacing w:val="-3"/>
                <w:highlight w:val="none"/>
              </w:rPr>
              <w:t>2</w:t>
            </w:r>
          </w:p>
        </w:tc>
        <w:tc>
          <w:tcPr>
            <w:tcW w:w="1504" w:type="dxa"/>
            <w:vAlign w:val="top"/>
          </w:tcPr>
          <w:p w14:paraId="0AEB8701">
            <w:pPr>
              <w:pStyle w:val="13"/>
              <w:spacing w:before="174" w:line="291" w:lineRule="auto"/>
              <w:ind w:left="638" w:right="148" w:hanging="483"/>
              <w:rPr>
                <w:color w:val="auto"/>
                <w:highlight w:val="none"/>
              </w:rPr>
            </w:pPr>
            <w:r>
              <w:rPr>
                <w:color w:val="auto"/>
                <w:spacing w:val="-2"/>
                <w:highlight w:val="none"/>
              </w:rPr>
              <w:t>采购代理机</w:t>
            </w:r>
            <w:r>
              <w:rPr>
                <w:color w:val="auto"/>
                <w:highlight w:val="none"/>
              </w:rPr>
              <w:t xml:space="preserve"> 构</w:t>
            </w:r>
          </w:p>
        </w:tc>
        <w:tc>
          <w:tcPr>
            <w:tcW w:w="7325" w:type="dxa"/>
            <w:vAlign w:val="top"/>
          </w:tcPr>
          <w:p w14:paraId="3BFA0249">
            <w:pPr>
              <w:pStyle w:val="13"/>
              <w:spacing w:before="175" w:line="219" w:lineRule="auto"/>
              <w:ind w:left="117"/>
              <w:rPr>
                <w:color w:val="auto"/>
                <w:highlight w:val="none"/>
              </w:rPr>
            </w:pPr>
            <w:r>
              <w:rPr>
                <w:color w:val="auto"/>
                <w:spacing w:val="-1"/>
                <w:highlight w:val="none"/>
              </w:rPr>
              <w:t>名称：</w:t>
            </w:r>
            <w:r>
              <w:rPr>
                <w:rFonts w:hint="eastAsia"/>
                <w:color w:val="auto"/>
                <w:spacing w:val="-1"/>
                <w:highlight w:val="none"/>
                <w:lang w:val="en-US" w:eastAsia="zh-CN"/>
              </w:rPr>
              <w:t>金寨县</w:t>
            </w:r>
            <w:r>
              <w:rPr>
                <w:color w:val="auto"/>
                <w:spacing w:val="-1"/>
                <w:highlight w:val="none"/>
              </w:rPr>
              <w:t>政府采购中心</w:t>
            </w:r>
          </w:p>
          <w:p w14:paraId="5C75FA4A">
            <w:pPr>
              <w:pStyle w:val="13"/>
              <w:spacing w:before="156" w:line="220" w:lineRule="auto"/>
              <w:ind w:left="114"/>
              <w:rPr>
                <w:color w:val="auto"/>
                <w:highlight w:val="none"/>
              </w:rPr>
            </w:pPr>
            <w:r>
              <w:rPr>
                <w:color w:val="auto"/>
                <w:spacing w:val="-1"/>
                <w:highlight w:val="none"/>
              </w:rPr>
              <w:t>地址：</w:t>
            </w:r>
            <w:r>
              <w:rPr>
                <w:rFonts w:hint="eastAsia"/>
                <w:color w:val="auto"/>
                <w:spacing w:val="-1"/>
                <w:highlight w:val="none"/>
              </w:rPr>
              <w:t>金寨经济开发区金梧桐创业园综合楼16楼1615室</w:t>
            </w:r>
          </w:p>
        </w:tc>
      </w:tr>
      <w:tr w14:paraId="373BD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9" w:type="dxa"/>
            <w:vAlign w:val="top"/>
          </w:tcPr>
          <w:p w14:paraId="0DC105C9">
            <w:pPr>
              <w:pStyle w:val="13"/>
              <w:spacing w:before="212" w:line="183" w:lineRule="auto"/>
              <w:ind w:left="355"/>
              <w:rPr>
                <w:color w:val="auto"/>
                <w:highlight w:val="none"/>
              </w:rPr>
            </w:pPr>
            <w:r>
              <w:rPr>
                <w:b/>
                <w:bCs/>
                <w:color w:val="auto"/>
                <w:spacing w:val="-3"/>
                <w:highlight w:val="none"/>
              </w:rPr>
              <w:t>3</w:t>
            </w:r>
          </w:p>
        </w:tc>
        <w:tc>
          <w:tcPr>
            <w:tcW w:w="1504" w:type="dxa"/>
            <w:vAlign w:val="top"/>
          </w:tcPr>
          <w:p w14:paraId="543942F0">
            <w:pPr>
              <w:pStyle w:val="13"/>
              <w:spacing w:before="174" w:line="220" w:lineRule="auto"/>
              <w:ind w:left="159"/>
              <w:rPr>
                <w:color w:val="auto"/>
                <w:highlight w:val="none"/>
              </w:rPr>
            </w:pPr>
            <w:r>
              <w:rPr>
                <w:color w:val="auto"/>
                <w:spacing w:val="-3"/>
                <w:highlight w:val="none"/>
              </w:rPr>
              <w:t>征集有效期</w:t>
            </w:r>
          </w:p>
        </w:tc>
        <w:tc>
          <w:tcPr>
            <w:tcW w:w="7325" w:type="dxa"/>
            <w:vAlign w:val="top"/>
          </w:tcPr>
          <w:p w14:paraId="7C4D864F">
            <w:pPr>
              <w:pStyle w:val="13"/>
              <w:spacing w:before="174" w:line="220" w:lineRule="auto"/>
              <w:ind w:left="127"/>
              <w:rPr>
                <w:rFonts w:hint="default"/>
                <w:color w:val="auto"/>
                <w:highlight w:val="none"/>
                <w:lang w:val="en-US"/>
              </w:rPr>
            </w:pPr>
            <w:r>
              <w:rPr>
                <w:color w:val="auto"/>
                <w:spacing w:val="-3"/>
                <w:highlight w:val="none"/>
              </w:rPr>
              <w:t>响应文件提交截止日后</w:t>
            </w:r>
            <w:r>
              <w:rPr>
                <w:rFonts w:hint="eastAsia"/>
                <w:color w:val="auto"/>
                <w:spacing w:val="-3"/>
                <w:highlight w:val="none"/>
                <w:lang w:val="en-US" w:eastAsia="zh-CN"/>
              </w:rPr>
              <w:t>30天</w:t>
            </w:r>
          </w:p>
        </w:tc>
      </w:tr>
      <w:tr w14:paraId="255E9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9" w:type="dxa"/>
            <w:vAlign w:val="top"/>
          </w:tcPr>
          <w:p w14:paraId="458AD044">
            <w:pPr>
              <w:pStyle w:val="13"/>
              <w:spacing w:before="213" w:line="183" w:lineRule="auto"/>
              <w:ind w:left="349"/>
              <w:rPr>
                <w:color w:val="auto"/>
                <w:highlight w:val="none"/>
              </w:rPr>
            </w:pPr>
            <w:r>
              <w:rPr>
                <w:b/>
                <w:bCs/>
                <w:color w:val="auto"/>
                <w:spacing w:val="-3"/>
                <w:highlight w:val="none"/>
              </w:rPr>
              <w:t>4</w:t>
            </w:r>
          </w:p>
        </w:tc>
        <w:tc>
          <w:tcPr>
            <w:tcW w:w="1504" w:type="dxa"/>
            <w:vAlign w:val="top"/>
          </w:tcPr>
          <w:p w14:paraId="6FA14946">
            <w:pPr>
              <w:pStyle w:val="13"/>
              <w:spacing w:before="175" w:line="220" w:lineRule="auto"/>
              <w:ind w:left="280"/>
              <w:rPr>
                <w:color w:val="auto"/>
                <w:highlight w:val="none"/>
              </w:rPr>
            </w:pPr>
            <w:r>
              <w:rPr>
                <w:color w:val="auto"/>
                <w:spacing w:val="-4"/>
                <w:highlight w:val="none"/>
              </w:rPr>
              <w:t>项目类型</w:t>
            </w:r>
          </w:p>
        </w:tc>
        <w:tc>
          <w:tcPr>
            <w:tcW w:w="7325" w:type="dxa"/>
            <w:vAlign w:val="top"/>
          </w:tcPr>
          <w:p w14:paraId="5AEC43F4">
            <w:pPr>
              <w:pStyle w:val="13"/>
              <w:spacing w:before="175" w:line="220" w:lineRule="auto"/>
              <w:ind w:left="114"/>
              <w:rPr>
                <w:color w:val="auto"/>
                <w:highlight w:val="none"/>
              </w:rPr>
            </w:pPr>
            <w:r>
              <w:rPr>
                <w:color w:val="auto"/>
                <w:spacing w:val="-4"/>
                <w:highlight w:val="none"/>
              </w:rPr>
              <w:t>服务类</w:t>
            </w:r>
          </w:p>
        </w:tc>
      </w:tr>
      <w:tr w14:paraId="0425F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9" w:type="dxa"/>
            <w:vAlign w:val="top"/>
          </w:tcPr>
          <w:p w14:paraId="79593A40">
            <w:pPr>
              <w:pStyle w:val="13"/>
              <w:spacing w:before="214" w:line="182" w:lineRule="auto"/>
              <w:ind w:left="355"/>
              <w:rPr>
                <w:color w:val="auto"/>
                <w:highlight w:val="none"/>
              </w:rPr>
            </w:pPr>
            <w:r>
              <w:rPr>
                <w:b/>
                <w:bCs/>
                <w:color w:val="auto"/>
                <w:spacing w:val="-3"/>
                <w:highlight w:val="none"/>
              </w:rPr>
              <w:t>5</w:t>
            </w:r>
          </w:p>
        </w:tc>
        <w:tc>
          <w:tcPr>
            <w:tcW w:w="1504" w:type="dxa"/>
            <w:vAlign w:val="top"/>
          </w:tcPr>
          <w:p w14:paraId="1596686D">
            <w:pPr>
              <w:pStyle w:val="13"/>
              <w:spacing w:before="175" w:line="221" w:lineRule="auto"/>
              <w:ind w:left="280"/>
              <w:rPr>
                <w:color w:val="auto"/>
                <w:highlight w:val="none"/>
              </w:rPr>
            </w:pPr>
            <w:r>
              <w:rPr>
                <w:color w:val="auto"/>
                <w:spacing w:val="-4"/>
                <w:highlight w:val="none"/>
              </w:rPr>
              <w:t>项目名称</w:t>
            </w:r>
          </w:p>
        </w:tc>
        <w:tc>
          <w:tcPr>
            <w:tcW w:w="7325" w:type="dxa"/>
            <w:vAlign w:val="top"/>
          </w:tcPr>
          <w:p w14:paraId="4A9DC17D">
            <w:pPr>
              <w:pStyle w:val="13"/>
              <w:spacing w:before="175" w:line="220" w:lineRule="auto"/>
              <w:ind w:left="130"/>
              <w:rPr>
                <w:color w:val="auto"/>
                <w:highlight w:val="none"/>
              </w:rPr>
            </w:pPr>
            <w:r>
              <w:rPr>
                <w:rFonts w:hint="eastAsia"/>
                <w:color w:val="auto"/>
                <w:highlight w:val="none"/>
              </w:rPr>
              <w:t>2025-202</w:t>
            </w:r>
            <w:r>
              <w:rPr>
                <w:rFonts w:hint="eastAsia"/>
                <w:color w:val="auto"/>
                <w:highlight w:val="none"/>
                <w:lang w:val="en-US" w:eastAsia="zh-CN"/>
              </w:rPr>
              <w:t>7</w:t>
            </w:r>
            <w:r>
              <w:rPr>
                <w:rFonts w:hint="eastAsia"/>
                <w:color w:val="auto"/>
                <w:highlight w:val="none"/>
              </w:rPr>
              <w:t>年度金寨县行政事业单位公务用车维修保养服务框架协议项目</w:t>
            </w:r>
          </w:p>
        </w:tc>
      </w:tr>
      <w:tr w14:paraId="3D1C6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9" w:type="dxa"/>
            <w:vAlign w:val="top"/>
          </w:tcPr>
          <w:p w14:paraId="4CF6F987">
            <w:pPr>
              <w:pStyle w:val="13"/>
              <w:spacing w:before="213" w:line="183" w:lineRule="auto"/>
              <w:ind w:left="352"/>
              <w:rPr>
                <w:color w:val="auto"/>
                <w:highlight w:val="none"/>
              </w:rPr>
            </w:pPr>
            <w:r>
              <w:rPr>
                <w:b/>
                <w:bCs/>
                <w:color w:val="auto"/>
                <w:spacing w:val="-3"/>
                <w:highlight w:val="none"/>
              </w:rPr>
              <w:t>6</w:t>
            </w:r>
          </w:p>
        </w:tc>
        <w:tc>
          <w:tcPr>
            <w:tcW w:w="1504" w:type="dxa"/>
            <w:vAlign w:val="top"/>
          </w:tcPr>
          <w:p w14:paraId="6AE69A0F">
            <w:pPr>
              <w:pStyle w:val="13"/>
              <w:spacing w:before="176" w:line="220" w:lineRule="auto"/>
              <w:ind w:left="280"/>
              <w:rPr>
                <w:color w:val="auto"/>
                <w:highlight w:val="none"/>
              </w:rPr>
            </w:pPr>
            <w:r>
              <w:rPr>
                <w:color w:val="auto"/>
                <w:spacing w:val="-4"/>
                <w:highlight w:val="none"/>
              </w:rPr>
              <w:t>项目编号</w:t>
            </w:r>
          </w:p>
        </w:tc>
        <w:tc>
          <w:tcPr>
            <w:tcW w:w="7325" w:type="dxa"/>
            <w:vAlign w:val="top"/>
          </w:tcPr>
          <w:p w14:paraId="082FCA25">
            <w:pPr>
              <w:pStyle w:val="13"/>
              <w:spacing w:before="212" w:line="184" w:lineRule="auto"/>
              <w:ind w:left="111"/>
              <w:rPr>
                <w:rFonts w:hint="eastAsia" w:eastAsia="宋体"/>
                <w:color w:val="auto"/>
                <w:highlight w:val="none"/>
                <w:lang w:eastAsia="zh-CN"/>
              </w:rPr>
            </w:pPr>
            <w:r>
              <w:rPr>
                <w:rFonts w:hint="eastAsia"/>
                <w:color w:val="auto"/>
                <w:spacing w:val="-1"/>
                <w:highlight w:val="none"/>
                <w:lang w:eastAsia="zh-CN"/>
              </w:rPr>
              <w:t>KJXY202504100394</w:t>
            </w:r>
          </w:p>
        </w:tc>
      </w:tr>
      <w:tr w14:paraId="7FE64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9" w:type="dxa"/>
            <w:vAlign w:val="top"/>
          </w:tcPr>
          <w:p w14:paraId="06061F44">
            <w:pPr>
              <w:spacing w:line="250" w:lineRule="auto"/>
              <w:rPr>
                <w:rFonts w:ascii="Arial"/>
                <w:color w:val="auto"/>
                <w:sz w:val="21"/>
                <w:highlight w:val="none"/>
              </w:rPr>
            </w:pPr>
          </w:p>
          <w:p w14:paraId="4D05F6FE">
            <w:pPr>
              <w:spacing w:line="250" w:lineRule="auto"/>
              <w:rPr>
                <w:rFonts w:ascii="Arial"/>
                <w:color w:val="auto"/>
                <w:sz w:val="21"/>
                <w:highlight w:val="none"/>
              </w:rPr>
            </w:pPr>
          </w:p>
          <w:p w14:paraId="41A8ECDD">
            <w:pPr>
              <w:spacing w:line="251" w:lineRule="auto"/>
              <w:rPr>
                <w:rFonts w:ascii="Arial"/>
                <w:color w:val="auto"/>
                <w:sz w:val="21"/>
                <w:highlight w:val="none"/>
              </w:rPr>
            </w:pPr>
          </w:p>
          <w:p w14:paraId="33108911">
            <w:pPr>
              <w:pStyle w:val="13"/>
              <w:spacing w:before="78" w:line="182" w:lineRule="auto"/>
              <w:ind w:left="356"/>
              <w:rPr>
                <w:color w:val="auto"/>
                <w:highlight w:val="none"/>
              </w:rPr>
            </w:pPr>
            <w:r>
              <w:rPr>
                <w:b/>
                <w:bCs/>
                <w:color w:val="auto"/>
                <w:spacing w:val="-3"/>
                <w:highlight w:val="none"/>
              </w:rPr>
              <w:t>7</w:t>
            </w:r>
          </w:p>
        </w:tc>
        <w:tc>
          <w:tcPr>
            <w:tcW w:w="1504" w:type="dxa"/>
            <w:vAlign w:val="top"/>
          </w:tcPr>
          <w:p w14:paraId="14162AAC">
            <w:pPr>
              <w:spacing w:line="247" w:lineRule="auto"/>
              <w:rPr>
                <w:rFonts w:ascii="Arial"/>
                <w:color w:val="auto"/>
                <w:sz w:val="21"/>
                <w:highlight w:val="none"/>
              </w:rPr>
            </w:pPr>
          </w:p>
          <w:p w14:paraId="065F13AE">
            <w:pPr>
              <w:spacing w:line="247" w:lineRule="auto"/>
              <w:rPr>
                <w:rFonts w:ascii="Arial"/>
                <w:color w:val="auto"/>
                <w:sz w:val="21"/>
                <w:highlight w:val="none"/>
              </w:rPr>
            </w:pPr>
          </w:p>
          <w:p w14:paraId="76C27F81">
            <w:pPr>
              <w:spacing w:line="247" w:lineRule="auto"/>
              <w:rPr>
                <w:rFonts w:ascii="Arial"/>
                <w:color w:val="auto"/>
                <w:sz w:val="21"/>
                <w:highlight w:val="none"/>
              </w:rPr>
            </w:pPr>
          </w:p>
          <w:p w14:paraId="059A18EB">
            <w:pPr>
              <w:pStyle w:val="13"/>
              <w:spacing w:before="78" w:line="220" w:lineRule="auto"/>
              <w:ind w:left="276"/>
              <w:rPr>
                <w:color w:val="auto"/>
                <w:highlight w:val="none"/>
              </w:rPr>
            </w:pPr>
            <w:r>
              <w:rPr>
                <w:color w:val="auto"/>
                <w:spacing w:val="-3"/>
                <w:highlight w:val="none"/>
              </w:rPr>
              <w:t>付款方式</w:t>
            </w:r>
          </w:p>
        </w:tc>
        <w:tc>
          <w:tcPr>
            <w:tcW w:w="7325" w:type="dxa"/>
            <w:vAlign w:val="top"/>
          </w:tcPr>
          <w:p w14:paraId="6759F79F">
            <w:pPr>
              <w:pStyle w:val="14"/>
              <w:widowControl w:val="0"/>
              <w:spacing w:before="0" w:beforeAutospacing="0" w:after="0" w:afterAutospacing="0" w:line="440" w:lineRule="exact"/>
              <w:jc w:val="both"/>
              <w:rPr>
                <w:color w:val="auto"/>
                <w:highlight w:val="none"/>
              </w:rPr>
            </w:pPr>
            <w:r>
              <w:rPr>
                <w:rFonts w:hint="eastAsia" w:eastAsia="宋体" w:cs="宋体"/>
                <w:b w:val="0"/>
                <w:bCs w:val="0"/>
                <w:snapToGrid w:val="0"/>
                <w:color w:val="auto"/>
                <w:kern w:val="0"/>
                <w:sz w:val="24"/>
                <w:szCs w:val="24"/>
                <w:highlight w:val="none"/>
                <w:lang w:val="en-US" w:eastAsia="zh-CN" w:bidi="ar-SA"/>
              </w:rPr>
              <w:t>1、</w:t>
            </w:r>
            <w:r>
              <w:rPr>
                <w:rFonts w:hint="eastAsia" w:ascii="宋体" w:hAnsi="宋体" w:eastAsia="宋体" w:cs="宋体"/>
                <w:b w:val="0"/>
                <w:bCs w:val="0"/>
                <w:snapToGrid w:val="0"/>
                <w:color w:val="auto"/>
                <w:kern w:val="0"/>
                <w:sz w:val="24"/>
                <w:szCs w:val="24"/>
                <w:highlight w:val="none"/>
                <w:lang w:val="en-US" w:eastAsia="en-US" w:bidi="ar-SA"/>
              </w:rPr>
              <w:t>相应的车属单位组织相关人员对维修后的车辆按照国家和行业相关技术标准和规范要求进行验收。2、对于二级以上车辆维护、总成修理或整车修理，报修车辆维修竣工后，维修企业应填制运输管理机构统一印制的《机动车维修竣工出厂合格证》，未签发机动车维修竣工出厂合格证的车辆，不得交付使用，采购人或车辆所属单位可以拒绝接车、拒绝付费。3、所需修理的车辆维修完毕后，经车属单位验收合格后，维修费用须凭支付申请书、报修单、结算单等相关单据以及合法发票，</w:t>
            </w:r>
            <w:r>
              <w:rPr>
                <w:rFonts w:hint="eastAsia" w:ascii="宋体" w:hAnsi="宋体" w:eastAsia="宋体" w:cs="宋体"/>
                <w:b w:val="0"/>
                <w:bCs w:val="0"/>
                <w:snapToGrid w:val="0"/>
                <w:color w:val="auto"/>
                <w:kern w:val="0"/>
                <w:sz w:val="24"/>
                <w:szCs w:val="24"/>
                <w:highlight w:val="none"/>
                <w:lang w:val="en-US" w:eastAsia="zh-CN" w:bidi="ar-SA"/>
              </w:rPr>
              <w:t>7</w:t>
            </w:r>
            <w:r>
              <w:rPr>
                <w:rFonts w:hint="eastAsia" w:ascii="宋体" w:hAnsi="宋体" w:eastAsia="宋体" w:cs="宋体"/>
                <w:b w:val="0"/>
                <w:bCs w:val="0"/>
                <w:snapToGrid w:val="0"/>
                <w:color w:val="auto"/>
                <w:kern w:val="0"/>
                <w:sz w:val="24"/>
                <w:szCs w:val="24"/>
                <w:highlight w:val="none"/>
                <w:lang w:val="en-US" w:eastAsia="en-US" w:bidi="ar-SA"/>
              </w:rPr>
              <w:t>个工作日内按财政支付的有关规定办理支付，不得使用现金支付维修费用。未经报批自行送修的车辆，车属单位有权不予结算维修费用。</w:t>
            </w:r>
            <w:r>
              <w:rPr>
                <w:rFonts w:ascii="宋体" w:hAnsi="宋体" w:eastAsia="宋体" w:cs="宋体"/>
                <w:b/>
                <w:bCs/>
                <w:snapToGrid w:val="0"/>
                <w:color w:val="auto"/>
                <w:kern w:val="0"/>
                <w:sz w:val="24"/>
                <w:szCs w:val="24"/>
                <w:highlight w:val="none"/>
                <w:lang w:val="en-US" w:eastAsia="en-US" w:bidi="ar-SA"/>
              </w:rPr>
              <w:t>（供应商提交的响应文件中如有关于付款条件的表述与征集文件规 定不符，将被视为实质性不响应，将导致响应无效）</w:t>
            </w:r>
          </w:p>
        </w:tc>
      </w:tr>
      <w:tr w14:paraId="3C313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9" w:type="dxa"/>
            <w:vAlign w:val="top"/>
          </w:tcPr>
          <w:p w14:paraId="087C3268">
            <w:pPr>
              <w:spacing w:line="355" w:lineRule="auto"/>
              <w:rPr>
                <w:rFonts w:ascii="Arial"/>
                <w:color w:val="auto"/>
                <w:sz w:val="21"/>
                <w:highlight w:val="none"/>
              </w:rPr>
            </w:pPr>
          </w:p>
          <w:p w14:paraId="5DF3BAB6">
            <w:pPr>
              <w:pStyle w:val="13"/>
              <w:spacing w:before="78" w:line="183" w:lineRule="auto"/>
              <w:ind w:left="351"/>
              <w:rPr>
                <w:color w:val="auto"/>
                <w:highlight w:val="none"/>
              </w:rPr>
            </w:pPr>
            <w:r>
              <w:rPr>
                <w:b/>
                <w:bCs/>
                <w:color w:val="auto"/>
                <w:spacing w:val="-3"/>
                <w:highlight w:val="none"/>
              </w:rPr>
              <w:t>8</w:t>
            </w:r>
          </w:p>
        </w:tc>
        <w:tc>
          <w:tcPr>
            <w:tcW w:w="1504" w:type="dxa"/>
            <w:vAlign w:val="top"/>
          </w:tcPr>
          <w:p w14:paraId="763E3A48">
            <w:pPr>
              <w:pStyle w:val="13"/>
              <w:spacing w:before="176" w:line="290" w:lineRule="auto"/>
              <w:ind w:left="652" w:right="148" w:hanging="497"/>
              <w:rPr>
                <w:color w:val="auto"/>
                <w:highlight w:val="none"/>
              </w:rPr>
            </w:pPr>
            <w:r>
              <w:rPr>
                <w:color w:val="auto"/>
                <w:spacing w:val="-2"/>
                <w:highlight w:val="none"/>
              </w:rPr>
              <w:t>框架协议期</w:t>
            </w:r>
            <w:r>
              <w:rPr>
                <w:color w:val="auto"/>
                <w:highlight w:val="none"/>
              </w:rPr>
              <w:t xml:space="preserve"> 限</w:t>
            </w:r>
          </w:p>
        </w:tc>
        <w:tc>
          <w:tcPr>
            <w:tcW w:w="7325" w:type="dxa"/>
            <w:vAlign w:val="top"/>
          </w:tcPr>
          <w:p w14:paraId="509ECDC5">
            <w:pPr>
              <w:spacing w:line="318" w:lineRule="auto"/>
              <w:rPr>
                <w:rFonts w:ascii="Arial"/>
                <w:color w:val="auto"/>
                <w:sz w:val="21"/>
                <w:highlight w:val="none"/>
              </w:rPr>
            </w:pPr>
          </w:p>
          <w:p w14:paraId="31C13882">
            <w:pPr>
              <w:pStyle w:val="13"/>
              <w:spacing w:before="175" w:line="220" w:lineRule="auto"/>
              <w:ind w:left="130"/>
              <w:rPr>
                <w:color w:val="auto"/>
                <w:highlight w:val="none"/>
              </w:rPr>
            </w:pPr>
            <w:r>
              <w:rPr>
                <w:rFonts w:ascii="宋体" w:hAnsi="宋体" w:eastAsia="宋体" w:cs="宋体"/>
                <w:color w:val="auto"/>
                <w:highlight w:val="none"/>
              </w:rPr>
              <w:t>24个月</w:t>
            </w:r>
            <w:r>
              <w:rPr>
                <w:rFonts w:hint="eastAsia" w:ascii="宋体" w:hAnsi="宋体" w:eastAsia="宋体" w:cs="宋体"/>
                <w:color w:val="auto"/>
                <w:highlight w:val="none"/>
                <w:lang w:eastAsia="zh-CN"/>
              </w:rPr>
              <w:t>（自2025年7月1日起至2027年6月30日止）</w:t>
            </w:r>
            <w:r>
              <w:rPr>
                <w:rFonts w:ascii="宋体" w:hAnsi="宋体" w:eastAsia="宋体" w:cs="宋体"/>
                <w:color w:val="auto"/>
                <w:highlight w:val="none"/>
              </w:rPr>
              <w:t>。</w:t>
            </w:r>
          </w:p>
        </w:tc>
      </w:tr>
      <w:tr w14:paraId="29E45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9" w:type="dxa"/>
            <w:vAlign w:val="top"/>
          </w:tcPr>
          <w:p w14:paraId="4154B19E">
            <w:pPr>
              <w:spacing w:line="356" w:lineRule="auto"/>
              <w:rPr>
                <w:rFonts w:ascii="Arial"/>
                <w:color w:val="auto"/>
                <w:sz w:val="21"/>
                <w:highlight w:val="none"/>
              </w:rPr>
            </w:pPr>
          </w:p>
          <w:p w14:paraId="7316D8C5">
            <w:pPr>
              <w:pStyle w:val="13"/>
              <w:spacing w:before="78" w:line="183" w:lineRule="auto"/>
              <w:ind w:left="351"/>
              <w:rPr>
                <w:color w:val="auto"/>
                <w:highlight w:val="none"/>
              </w:rPr>
            </w:pPr>
            <w:r>
              <w:rPr>
                <w:b/>
                <w:bCs/>
                <w:color w:val="auto"/>
                <w:spacing w:val="-3"/>
                <w:highlight w:val="none"/>
              </w:rPr>
              <w:t>9</w:t>
            </w:r>
          </w:p>
        </w:tc>
        <w:tc>
          <w:tcPr>
            <w:tcW w:w="1504" w:type="dxa"/>
            <w:vAlign w:val="top"/>
          </w:tcPr>
          <w:p w14:paraId="18FEFA4D">
            <w:pPr>
              <w:pStyle w:val="13"/>
              <w:spacing w:before="178" w:line="289" w:lineRule="auto"/>
              <w:ind w:left="278" w:right="148" w:hanging="109"/>
              <w:rPr>
                <w:color w:val="auto"/>
                <w:highlight w:val="none"/>
              </w:rPr>
            </w:pPr>
            <w:r>
              <w:rPr>
                <w:color w:val="auto"/>
                <w:spacing w:val="-5"/>
                <w:highlight w:val="none"/>
              </w:rPr>
              <w:t>响应文件份</w:t>
            </w:r>
            <w:r>
              <w:rPr>
                <w:color w:val="auto"/>
                <w:spacing w:val="2"/>
                <w:highlight w:val="none"/>
              </w:rPr>
              <w:t xml:space="preserve"> </w:t>
            </w:r>
            <w:r>
              <w:rPr>
                <w:color w:val="auto"/>
                <w:spacing w:val="-3"/>
                <w:highlight w:val="none"/>
              </w:rPr>
              <w:t>数及要求</w:t>
            </w:r>
          </w:p>
        </w:tc>
        <w:tc>
          <w:tcPr>
            <w:tcW w:w="7325" w:type="dxa"/>
            <w:vAlign w:val="top"/>
          </w:tcPr>
          <w:p w14:paraId="4CB12EDB">
            <w:pPr>
              <w:spacing w:line="319" w:lineRule="auto"/>
              <w:rPr>
                <w:rFonts w:ascii="Arial"/>
                <w:color w:val="auto"/>
                <w:sz w:val="21"/>
                <w:highlight w:val="none"/>
              </w:rPr>
            </w:pPr>
          </w:p>
          <w:p w14:paraId="79CCDD87">
            <w:pPr>
              <w:pStyle w:val="13"/>
              <w:spacing w:before="78" w:line="219" w:lineRule="auto"/>
              <w:ind w:left="114"/>
              <w:rPr>
                <w:color w:val="auto"/>
                <w:highlight w:val="none"/>
              </w:rPr>
            </w:pPr>
            <w:r>
              <w:rPr>
                <w:color w:val="auto"/>
                <w:spacing w:val="2"/>
                <w:highlight w:val="none"/>
              </w:rPr>
              <w:t>加密电子版投标文件壹份（通过徽采云交易系统上传）</w:t>
            </w:r>
          </w:p>
        </w:tc>
      </w:tr>
      <w:tr w14:paraId="2AA0B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9" w:type="dxa"/>
            <w:vAlign w:val="top"/>
          </w:tcPr>
          <w:p w14:paraId="4D51BC5C">
            <w:pPr>
              <w:spacing w:line="355" w:lineRule="auto"/>
              <w:rPr>
                <w:rFonts w:ascii="Arial"/>
                <w:color w:val="auto"/>
                <w:sz w:val="21"/>
                <w:highlight w:val="none"/>
              </w:rPr>
            </w:pPr>
          </w:p>
          <w:p w14:paraId="312990A2">
            <w:pPr>
              <w:pStyle w:val="13"/>
              <w:spacing w:before="78" w:line="184" w:lineRule="auto"/>
              <w:ind w:left="308"/>
              <w:rPr>
                <w:color w:val="auto"/>
                <w:highlight w:val="none"/>
              </w:rPr>
            </w:pPr>
            <w:r>
              <w:rPr>
                <w:b/>
                <w:bCs/>
                <w:color w:val="auto"/>
                <w:spacing w:val="-15"/>
                <w:highlight w:val="none"/>
              </w:rPr>
              <w:t>10</w:t>
            </w:r>
          </w:p>
        </w:tc>
        <w:tc>
          <w:tcPr>
            <w:tcW w:w="1504" w:type="dxa"/>
            <w:vAlign w:val="top"/>
          </w:tcPr>
          <w:p w14:paraId="67455A95">
            <w:pPr>
              <w:pStyle w:val="13"/>
              <w:spacing w:before="179" w:line="289" w:lineRule="auto"/>
              <w:ind w:left="155" w:right="148" w:firstLine="1"/>
              <w:rPr>
                <w:color w:val="auto"/>
                <w:highlight w:val="none"/>
              </w:rPr>
            </w:pPr>
            <w:r>
              <w:rPr>
                <w:color w:val="auto"/>
                <w:spacing w:val="-3"/>
                <w:highlight w:val="none"/>
              </w:rPr>
              <w:t>递交响应文</w:t>
            </w:r>
            <w:r>
              <w:rPr>
                <w:color w:val="auto"/>
                <w:spacing w:val="3"/>
                <w:highlight w:val="none"/>
              </w:rPr>
              <w:t xml:space="preserve"> </w:t>
            </w:r>
            <w:r>
              <w:rPr>
                <w:color w:val="auto"/>
                <w:spacing w:val="-2"/>
                <w:highlight w:val="none"/>
              </w:rPr>
              <w:t>件注意事项</w:t>
            </w:r>
          </w:p>
        </w:tc>
        <w:tc>
          <w:tcPr>
            <w:tcW w:w="7325" w:type="dxa"/>
            <w:vAlign w:val="top"/>
          </w:tcPr>
          <w:p w14:paraId="722F2EAD">
            <w:pPr>
              <w:spacing w:line="319" w:lineRule="auto"/>
              <w:rPr>
                <w:rFonts w:ascii="Arial"/>
                <w:color w:val="auto"/>
                <w:sz w:val="21"/>
                <w:highlight w:val="none"/>
              </w:rPr>
            </w:pPr>
          </w:p>
          <w:p w14:paraId="5A9CF043">
            <w:pPr>
              <w:pStyle w:val="13"/>
              <w:spacing w:before="78" w:line="220" w:lineRule="auto"/>
              <w:ind w:left="114"/>
              <w:rPr>
                <w:color w:val="auto"/>
                <w:highlight w:val="none"/>
              </w:rPr>
            </w:pPr>
            <w:r>
              <w:rPr>
                <w:color w:val="auto"/>
                <w:spacing w:val="2"/>
                <w:highlight w:val="none"/>
              </w:rPr>
              <w:t>加密电子版响应文件必须在响应截止时间前网上递交</w:t>
            </w:r>
          </w:p>
        </w:tc>
      </w:tr>
      <w:tr w14:paraId="05DEC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9" w:type="dxa"/>
            <w:vAlign w:val="top"/>
          </w:tcPr>
          <w:p w14:paraId="7002CC62">
            <w:pPr>
              <w:pStyle w:val="13"/>
              <w:spacing w:before="217" w:line="184" w:lineRule="auto"/>
              <w:ind w:left="308"/>
              <w:rPr>
                <w:color w:val="auto"/>
                <w:highlight w:val="none"/>
              </w:rPr>
            </w:pPr>
            <w:r>
              <w:rPr>
                <w:b/>
                <w:bCs/>
                <w:color w:val="auto"/>
                <w:spacing w:val="-15"/>
                <w:highlight w:val="none"/>
              </w:rPr>
              <w:t>11</w:t>
            </w:r>
          </w:p>
        </w:tc>
        <w:tc>
          <w:tcPr>
            <w:tcW w:w="1504" w:type="dxa"/>
            <w:vAlign w:val="top"/>
          </w:tcPr>
          <w:p w14:paraId="04DE5219">
            <w:pPr>
              <w:pStyle w:val="13"/>
              <w:spacing w:before="180" w:line="220" w:lineRule="auto"/>
              <w:ind w:left="155"/>
              <w:rPr>
                <w:color w:val="auto"/>
                <w:highlight w:val="none"/>
              </w:rPr>
            </w:pPr>
            <w:r>
              <w:rPr>
                <w:color w:val="auto"/>
                <w:spacing w:val="-2"/>
                <w:highlight w:val="none"/>
              </w:rPr>
              <w:t>代理服务费</w:t>
            </w:r>
          </w:p>
        </w:tc>
        <w:tc>
          <w:tcPr>
            <w:tcW w:w="7325" w:type="dxa"/>
            <w:vAlign w:val="top"/>
          </w:tcPr>
          <w:p w14:paraId="58C91625">
            <w:pPr>
              <w:pStyle w:val="13"/>
              <w:spacing w:before="180" w:line="219" w:lineRule="auto"/>
              <w:ind w:left="114"/>
              <w:rPr>
                <w:color w:val="auto"/>
                <w:highlight w:val="none"/>
              </w:rPr>
            </w:pPr>
            <w:r>
              <w:rPr>
                <w:color w:val="auto"/>
                <w:spacing w:val="-1"/>
                <w:highlight w:val="none"/>
              </w:rPr>
              <w:t>集中采购项目不收费。</w:t>
            </w:r>
          </w:p>
        </w:tc>
      </w:tr>
      <w:tr w14:paraId="692F1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9" w:type="dxa"/>
            <w:vAlign w:val="top"/>
          </w:tcPr>
          <w:p w14:paraId="21F70B24">
            <w:pPr>
              <w:pStyle w:val="13"/>
              <w:spacing w:before="217" w:line="184" w:lineRule="auto"/>
              <w:ind w:left="308"/>
              <w:rPr>
                <w:color w:val="auto"/>
                <w:highlight w:val="none"/>
              </w:rPr>
            </w:pPr>
            <w:r>
              <w:rPr>
                <w:b/>
                <w:bCs/>
                <w:color w:val="auto"/>
                <w:spacing w:val="-15"/>
                <w:highlight w:val="none"/>
              </w:rPr>
              <w:t>12</w:t>
            </w:r>
          </w:p>
        </w:tc>
        <w:tc>
          <w:tcPr>
            <w:tcW w:w="1504" w:type="dxa"/>
            <w:vAlign w:val="top"/>
          </w:tcPr>
          <w:p w14:paraId="05E52EAF">
            <w:pPr>
              <w:pStyle w:val="13"/>
              <w:spacing w:before="180" w:line="221" w:lineRule="auto"/>
              <w:ind w:left="160"/>
              <w:rPr>
                <w:color w:val="auto"/>
                <w:highlight w:val="none"/>
              </w:rPr>
            </w:pPr>
            <w:r>
              <w:rPr>
                <w:color w:val="auto"/>
                <w:spacing w:val="-3"/>
                <w:highlight w:val="none"/>
              </w:rPr>
              <w:t>履约保证金</w:t>
            </w:r>
          </w:p>
        </w:tc>
        <w:tc>
          <w:tcPr>
            <w:tcW w:w="7325" w:type="dxa"/>
            <w:vAlign w:val="top"/>
          </w:tcPr>
          <w:p w14:paraId="3D836250">
            <w:pPr>
              <w:pStyle w:val="13"/>
              <w:spacing w:before="148" w:line="220" w:lineRule="auto"/>
              <w:ind w:left="115"/>
              <w:rPr>
                <w:color w:val="auto"/>
                <w:highlight w:val="none"/>
              </w:rPr>
            </w:pPr>
            <w:r>
              <w:rPr>
                <w:color w:val="auto"/>
                <w:spacing w:val="-1"/>
                <w:highlight w:val="none"/>
              </w:rPr>
              <w:t>1、成交供应商在签订合同时应向采购人提交合同总价</w:t>
            </w:r>
            <w:r>
              <w:rPr>
                <w:color w:val="auto"/>
                <w:spacing w:val="-1"/>
                <w:highlight w:val="none"/>
                <w:u w:val="single" w:color="auto"/>
              </w:rPr>
              <w:t xml:space="preserve">  /  </w:t>
            </w:r>
            <w:r>
              <w:rPr>
                <w:color w:val="auto"/>
                <w:spacing w:val="-116"/>
                <w:highlight w:val="none"/>
              </w:rPr>
              <w:t xml:space="preserve"> </w:t>
            </w:r>
            <w:r>
              <w:rPr>
                <w:color w:val="auto"/>
                <w:spacing w:val="-1"/>
                <w:highlight w:val="none"/>
              </w:rPr>
              <w:t>%的履约保证金（最高缴纳比例不得超过合同金额的2.5%）。</w:t>
            </w:r>
          </w:p>
          <w:p w14:paraId="4C387888">
            <w:pPr>
              <w:pStyle w:val="13"/>
              <w:spacing w:before="145" w:line="279" w:lineRule="auto"/>
              <w:ind w:left="115" w:right="158" w:firstLine="1"/>
              <w:rPr>
                <w:color w:val="auto"/>
                <w:highlight w:val="none"/>
              </w:rPr>
            </w:pPr>
            <w:r>
              <w:rPr>
                <w:color w:val="auto"/>
                <w:spacing w:val="-2"/>
                <w:highlight w:val="none"/>
              </w:rPr>
              <w:t>2、成交供应商可以通过转账、网银支付、汇票、支票、保证保险、</w:t>
            </w:r>
            <w:r>
              <w:rPr>
                <w:color w:val="auto"/>
                <w:spacing w:val="6"/>
                <w:highlight w:val="none"/>
              </w:rPr>
              <w:t xml:space="preserve"> </w:t>
            </w:r>
            <w:r>
              <w:rPr>
                <w:color w:val="auto"/>
                <w:spacing w:val="-1"/>
                <w:highlight w:val="none"/>
              </w:rPr>
              <w:t>担保保函、银行履约保函等方式提交履约保证金。</w:t>
            </w:r>
          </w:p>
          <w:p w14:paraId="3D868FA3">
            <w:pPr>
              <w:pStyle w:val="13"/>
              <w:spacing w:before="168" w:line="219" w:lineRule="auto"/>
              <w:ind w:left="132"/>
              <w:rPr>
                <w:color w:val="auto"/>
                <w:highlight w:val="none"/>
              </w:rPr>
            </w:pPr>
            <w:r>
              <w:rPr>
                <w:color w:val="auto"/>
                <w:spacing w:val="-1"/>
                <w:highlight w:val="none"/>
              </w:rPr>
              <w:t>3、项目验收结束后应及时退还履约保证金。</w:t>
            </w:r>
          </w:p>
        </w:tc>
      </w:tr>
    </w:tbl>
    <w:p w14:paraId="23289B83">
      <w:pPr>
        <w:pStyle w:val="6"/>
        <w:rPr>
          <w:color w:val="auto"/>
          <w:highlight w:val="none"/>
        </w:rPr>
      </w:pPr>
    </w:p>
    <w:tbl>
      <w:tblPr>
        <w:tblStyle w:val="12"/>
        <w:tblW w:w="9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1501"/>
        <w:gridCol w:w="7309"/>
      </w:tblGrid>
      <w:tr w14:paraId="13128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trPr>
        <w:tc>
          <w:tcPr>
            <w:tcW w:w="808" w:type="dxa"/>
            <w:vAlign w:val="top"/>
          </w:tcPr>
          <w:p w14:paraId="5BF67077">
            <w:pPr>
              <w:spacing w:line="351" w:lineRule="auto"/>
              <w:rPr>
                <w:rFonts w:ascii="Arial"/>
                <w:color w:val="auto"/>
                <w:sz w:val="21"/>
                <w:highlight w:val="none"/>
              </w:rPr>
            </w:pPr>
          </w:p>
          <w:p w14:paraId="7A6A7A9B">
            <w:pPr>
              <w:pStyle w:val="13"/>
              <w:spacing w:before="78" w:line="184" w:lineRule="auto"/>
              <w:ind w:left="308"/>
              <w:rPr>
                <w:color w:val="auto"/>
                <w:highlight w:val="none"/>
              </w:rPr>
            </w:pPr>
            <w:r>
              <w:rPr>
                <w:b/>
                <w:bCs/>
                <w:color w:val="auto"/>
                <w:spacing w:val="-15"/>
                <w:highlight w:val="none"/>
              </w:rPr>
              <w:t>13</w:t>
            </w:r>
          </w:p>
        </w:tc>
        <w:tc>
          <w:tcPr>
            <w:tcW w:w="1501" w:type="dxa"/>
            <w:vAlign w:val="top"/>
          </w:tcPr>
          <w:p w14:paraId="751C8617">
            <w:pPr>
              <w:spacing w:line="315" w:lineRule="auto"/>
              <w:rPr>
                <w:rFonts w:ascii="Arial"/>
                <w:color w:val="auto"/>
                <w:sz w:val="21"/>
                <w:highlight w:val="none"/>
              </w:rPr>
            </w:pPr>
          </w:p>
          <w:p w14:paraId="0AD304D4">
            <w:pPr>
              <w:pStyle w:val="13"/>
              <w:spacing w:before="78" w:line="220" w:lineRule="auto"/>
              <w:ind w:left="155"/>
              <w:rPr>
                <w:color w:val="auto"/>
                <w:highlight w:val="none"/>
              </w:rPr>
            </w:pPr>
            <w:r>
              <w:rPr>
                <w:color w:val="auto"/>
                <w:spacing w:val="-2"/>
                <w:highlight w:val="none"/>
              </w:rPr>
              <w:t>勘察及对接</w:t>
            </w:r>
          </w:p>
        </w:tc>
        <w:tc>
          <w:tcPr>
            <w:tcW w:w="7309" w:type="dxa"/>
            <w:vAlign w:val="top"/>
          </w:tcPr>
          <w:p w14:paraId="7FB6D6BC">
            <w:pPr>
              <w:pStyle w:val="13"/>
              <w:spacing w:before="176" w:line="290" w:lineRule="auto"/>
              <w:ind w:left="137" w:right="106" w:hanging="24"/>
              <w:rPr>
                <w:color w:val="auto"/>
                <w:highlight w:val="none"/>
              </w:rPr>
            </w:pPr>
            <w:r>
              <w:rPr>
                <w:color w:val="auto"/>
                <w:spacing w:val="4"/>
                <w:highlight w:val="none"/>
              </w:rPr>
              <w:t>请各供应商联系采购单位自行勘踏，采购人免费提供项目实施过程</w:t>
            </w:r>
            <w:r>
              <w:rPr>
                <w:color w:val="auto"/>
                <w:spacing w:val="7"/>
                <w:highlight w:val="none"/>
              </w:rPr>
              <w:t xml:space="preserve"> </w:t>
            </w:r>
            <w:r>
              <w:rPr>
                <w:color w:val="auto"/>
                <w:spacing w:val="-4"/>
                <w:highlight w:val="none"/>
              </w:rPr>
              <w:t>中各项对接协调服务。</w:t>
            </w:r>
          </w:p>
        </w:tc>
      </w:tr>
      <w:tr w14:paraId="0CEDF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0" w:hRule="atLeast"/>
        </w:trPr>
        <w:tc>
          <w:tcPr>
            <w:tcW w:w="808" w:type="dxa"/>
            <w:vAlign w:val="top"/>
          </w:tcPr>
          <w:p w14:paraId="4488F461">
            <w:pPr>
              <w:spacing w:line="242" w:lineRule="auto"/>
              <w:rPr>
                <w:rFonts w:ascii="Arial"/>
                <w:color w:val="auto"/>
                <w:sz w:val="21"/>
                <w:highlight w:val="none"/>
              </w:rPr>
            </w:pPr>
          </w:p>
          <w:p w14:paraId="6FEECF0C">
            <w:pPr>
              <w:spacing w:line="242" w:lineRule="auto"/>
              <w:rPr>
                <w:rFonts w:ascii="Arial"/>
                <w:color w:val="auto"/>
                <w:sz w:val="21"/>
                <w:highlight w:val="none"/>
              </w:rPr>
            </w:pPr>
          </w:p>
          <w:p w14:paraId="14E23F1E">
            <w:pPr>
              <w:spacing w:line="242" w:lineRule="auto"/>
              <w:rPr>
                <w:rFonts w:ascii="Arial"/>
                <w:color w:val="auto"/>
                <w:sz w:val="21"/>
                <w:highlight w:val="none"/>
              </w:rPr>
            </w:pPr>
          </w:p>
          <w:p w14:paraId="69849ECE">
            <w:pPr>
              <w:spacing w:line="242" w:lineRule="auto"/>
              <w:rPr>
                <w:rFonts w:ascii="Arial"/>
                <w:color w:val="auto"/>
                <w:sz w:val="21"/>
                <w:highlight w:val="none"/>
              </w:rPr>
            </w:pPr>
          </w:p>
          <w:p w14:paraId="4A0566B4">
            <w:pPr>
              <w:spacing w:line="242" w:lineRule="auto"/>
              <w:rPr>
                <w:rFonts w:ascii="Arial"/>
                <w:color w:val="auto"/>
                <w:sz w:val="21"/>
                <w:highlight w:val="none"/>
              </w:rPr>
            </w:pPr>
          </w:p>
          <w:p w14:paraId="72056592">
            <w:pPr>
              <w:spacing w:line="242" w:lineRule="auto"/>
              <w:rPr>
                <w:rFonts w:ascii="Arial"/>
                <w:color w:val="auto"/>
                <w:sz w:val="21"/>
                <w:highlight w:val="none"/>
              </w:rPr>
            </w:pPr>
          </w:p>
          <w:p w14:paraId="40CCF522">
            <w:pPr>
              <w:spacing w:line="242" w:lineRule="auto"/>
              <w:rPr>
                <w:rFonts w:ascii="Arial"/>
                <w:color w:val="auto"/>
                <w:sz w:val="21"/>
                <w:highlight w:val="none"/>
              </w:rPr>
            </w:pPr>
          </w:p>
          <w:p w14:paraId="70876B5C">
            <w:pPr>
              <w:spacing w:line="242" w:lineRule="auto"/>
              <w:rPr>
                <w:rFonts w:ascii="Arial"/>
                <w:color w:val="auto"/>
                <w:sz w:val="21"/>
                <w:highlight w:val="none"/>
              </w:rPr>
            </w:pPr>
          </w:p>
          <w:p w14:paraId="67BC12CC">
            <w:pPr>
              <w:spacing w:line="242" w:lineRule="auto"/>
              <w:rPr>
                <w:rFonts w:ascii="Arial"/>
                <w:color w:val="auto"/>
                <w:sz w:val="21"/>
                <w:highlight w:val="none"/>
              </w:rPr>
            </w:pPr>
          </w:p>
          <w:p w14:paraId="55356FDD">
            <w:pPr>
              <w:spacing w:line="242" w:lineRule="auto"/>
              <w:rPr>
                <w:rFonts w:ascii="Arial"/>
                <w:color w:val="auto"/>
                <w:sz w:val="21"/>
                <w:highlight w:val="none"/>
              </w:rPr>
            </w:pPr>
          </w:p>
          <w:p w14:paraId="4FE4DB65">
            <w:pPr>
              <w:spacing w:line="242" w:lineRule="auto"/>
              <w:rPr>
                <w:rFonts w:ascii="Arial"/>
                <w:color w:val="auto"/>
                <w:sz w:val="21"/>
                <w:highlight w:val="none"/>
              </w:rPr>
            </w:pPr>
          </w:p>
          <w:p w14:paraId="065229E3">
            <w:pPr>
              <w:spacing w:line="242" w:lineRule="auto"/>
              <w:rPr>
                <w:rFonts w:ascii="Arial"/>
                <w:color w:val="auto"/>
                <w:sz w:val="21"/>
                <w:highlight w:val="none"/>
              </w:rPr>
            </w:pPr>
          </w:p>
          <w:p w14:paraId="12C023FF">
            <w:pPr>
              <w:spacing w:line="242" w:lineRule="auto"/>
              <w:rPr>
                <w:rFonts w:ascii="Arial"/>
                <w:color w:val="auto"/>
                <w:sz w:val="21"/>
                <w:highlight w:val="none"/>
              </w:rPr>
            </w:pPr>
          </w:p>
          <w:p w14:paraId="51CD1E8C">
            <w:pPr>
              <w:spacing w:line="243" w:lineRule="auto"/>
              <w:rPr>
                <w:rFonts w:ascii="Arial"/>
                <w:color w:val="auto"/>
                <w:sz w:val="21"/>
                <w:highlight w:val="none"/>
              </w:rPr>
            </w:pPr>
          </w:p>
          <w:p w14:paraId="56FF685F">
            <w:pPr>
              <w:spacing w:line="243" w:lineRule="auto"/>
              <w:rPr>
                <w:rFonts w:ascii="Arial"/>
                <w:color w:val="auto"/>
                <w:sz w:val="21"/>
                <w:highlight w:val="none"/>
              </w:rPr>
            </w:pPr>
          </w:p>
          <w:p w14:paraId="28683123">
            <w:pPr>
              <w:spacing w:line="243" w:lineRule="auto"/>
              <w:rPr>
                <w:rFonts w:ascii="Arial"/>
                <w:color w:val="auto"/>
                <w:sz w:val="21"/>
                <w:highlight w:val="none"/>
              </w:rPr>
            </w:pPr>
          </w:p>
          <w:p w14:paraId="5C8D4200">
            <w:pPr>
              <w:spacing w:line="243" w:lineRule="auto"/>
              <w:rPr>
                <w:rFonts w:ascii="Arial"/>
                <w:color w:val="auto"/>
                <w:sz w:val="21"/>
                <w:highlight w:val="none"/>
              </w:rPr>
            </w:pPr>
          </w:p>
          <w:p w14:paraId="0D59F951">
            <w:pPr>
              <w:spacing w:line="243" w:lineRule="auto"/>
              <w:rPr>
                <w:rFonts w:ascii="Arial"/>
                <w:color w:val="auto"/>
                <w:sz w:val="21"/>
                <w:highlight w:val="none"/>
              </w:rPr>
            </w:pPr>
          </w:p>
          <w:p w14:paraId="72DC032D">
            <w:pPr>
              <w:spacing w:line="243" w:lineRule="auto"/>
              <w:rPr>
                <w:rFonts w:ascii="Arial"/>
                <w:color w:val="auto"/>
                <w:sz w:val="21"/>
                <w:highlight w:val="none"/>
              </w:rPr>
            </w:pPr>
          </w:p>
          <w:p w14:paraId="2BAE60F3">
            <w:pPr>
              <w:spacing w:line="243" w:lineRule="auto"/>
              <w:rPr>
                <w:rFonts w:ascii="Arial"/>
                <w:color w:val="auto"/>
                <w:sz w:val="21"/>
                <w:highlight w:val="none"/>
              </w:rPr>
            </w:pPr>
          </w:p>
          <w:p w14:paraId="6A4F282B">
            <w:pPr>
              <w:spacing w:line="243" w:lineRule="auto"/>
              <w:rPr>
                <w:rFonts w:ascii="Arial"/>
                <w:color w:val="auto"/>
                <w:sz w:val="21"/>
                <w:highlight w:val="none"/>
              </w:rPr>
            </w:pPr>
          </w:p>
          <w:p w14:paraId="5E52BC4D">
            <w:pPr>
              <w:spacing w:line="243" w:lineRule="auto"/>
              <w:rPr>
                <w:rFonts w:ascii="Arial"/>
                <w:color w:val="auto"/>
                <w:sz w:val="21"/>
                <w:highlight w:val="none"/>
              </w:rPr>
            </w:pPr>
          </w:p>
          <w:p w14:paraId="6E126B0F">
            <w:pPr>
              <w:spacing w:line="243" w:lineRule="auto"/>
              <w:rPr>
                <w:rFonts w:ascii="Arial"/>
                <w:color w:val="auto"/>
                <w:sz w:val="21"/>
                <w:highlight w:val="none"/>
              </w:rPr>
            </w:pPr>
          </w:p>
          <w:p w14:paraId="78D978B8">
            <w:pPr>
              <w:spacing w:line="243" w:lineRule="auto"/>
              <w:rPr>
                <w:rFonts w:ascii="Arial"/>
                <w:color w:val="auto"/>
                <w:sz w:val="21"/>
                <w:highlight w:val="none"/>
              </w:rPr>
            </w:pPr>
          </w:p>
          <w:p w14:paraId="37091983">
            <w:pPr>
              <w:pStyle w:val="13"/>
              <w:spacing w:before="78" w:line="184" w:lineRule="auto"/>
              <w:ind w:left="308"/>
              <w:rPr>
                <w:color w:val="auto"/>
                <w:highlight w:val="none"/>
              </w:rPr>
            </w:pPr>
            <w:r>
              <w:rPr>
                <w:b/>
                <w:bCs/>
                <w:color w:val="auto"/>
                <w:spacing w:val="-15"/>
                <w:highlight w:val="none"/>
              </w:rPr>
              <w:t>14</w:t>
            </w:r>
          </w:p>
        </w:tc>
        <w:tc>
          <w:tcPr>
            <w:tcW w:w="1501" w:type="dxa"/>
            <w:vAlign w:val="top"/>
          </w:tcPr>
          <w:p w14:paraId="6FF80DA5">
            <w:pPr>
              <w:spacing w:line="242" w:lineRule="auto"/>
              <w:rPr>
                <w:rFonts w:ascii="Arial"/>
                <w:color w:val="auto"/>
                <w:sz w:val="21"/>
                <w:highlight w:val="none"/>
              </w:rPr>
            </w:pPr>
          </w:p>
          <w:p w14:paraId="00EA6D20">
            <w:pPr>
              <w:spacing w:line="243" w:lineRule="auto"/>
              <w:rPr>
                <w:rFonts w:ascii="Arial"/>
                <w:color w:val="auto"/>
                <w:sz w:val="21"/>
                <w:highlight w:val="none"/>
              </w:rPr>
            </w:pPr>
          </w:p>
          <w:p w14:paraId="205E8340">
            <w:pPr>
              <w:spacing w:line="243" w:lineRule="auto"/>
              <w:rPr>
                <w:rFonts w:ascii="Arial"/>
                <w:color w:val="auto"/>
                <w:sz w:val="21"/>
                <w:highlight w:val="none"/>
              </w:rPr>
            </w:pPr>
          </w:p>
          <w:p w14:paraId="1AC30FA0">
            <w:pPr>
              <w:spacing w:line="243" w:lineRule="auto"/>
              <w:rPr>
                <w:rFonts w:ascii="Arial"/>
                <w:color w:val="auto"/>
                <w:sz w:val="21"/>
                <w:highlight w:val="none"/>
              </w:rPr>
            </w:pPr>
          </w:p>
          <w:p w14:paraId="5CCC3BAB">
            <w:pPr>
              <w:spacing w:line="243" w:lineRule="auto"/>
              <w:rPr>
                <w:rFonts w:ascii="Arial"/>
                <w:color w:val="auto"/>
                <w:sz w:val="21"/>
                <w:highlight w:val="none"/>
              </w:rPr>
            </w:pPr>
          </w:p>
          <w:p w14:paraId="5F02D9C4">
            <w:pPr>
              <w:spacing w:line="243" w:lineRule="auto"/>
              <w:rPr>
                <w:rFonts w:ascii="Arial"/>
                <w:color w:val="auto"/>
                <w:sz w:val="21"/>
                <w:highlight w:val="none"/>
              </w:rPr>
            </w:pPr>
          </w:p>
          <w:p w14:paraId="75C4AC88">
            <w:pPr>
              <w:spacing w:line="243" w:lineRule="auto"/>
              <w:rPr>
                <w:rFonts w:ascii="Arial"/>
                <w:color w:val="auto"/>
                <w:sz w:val="21"/>
                <w:highlight w:val="none"/>
              </w:rPr>
            </w:pPr>
          </w:p>
          <w:p w14:paraId="05D69427">
            <w:pPr>
              <w:spacing w:line="243" w:lineRule="auto"/>
              <w:rPr>
                <w:rFonts w:ascii="Arial"/>
                <w:color w:val="auto"/>
                <w:sz w:val="21"/>
                <w:highlight w:val="none"/>
              </w:rPr>
            </w:pPr>
          </w:p>
          <w:p w14:paraId="5895FC0E">
            <w:pPr>
              <w:spacing w:line="243" w:lineRule="auto"/>
              <w:rPr>
                <w:rFonts w:ascii="Arial"/>
                <w:color w:val="auto"/>
                <w:sz w:val="21"/>
                <w:highlight w:val="none"/>
              </w:rPr>
            </w:pPr>
          </w:p>
          <w:p w14:paraId="3768CFE3">
            <w:pPr>
              <w:spacing w:line="243" w:lineRule="auto"/>
              <w:rPr>
                <w:rFonts w:ascii="Arial"/>
                <w:color w:val="auto"/>
                <w:sz w:val="21"/>
                <w:highlight w:val="none"/>
              </w:rPr>
            </w:pPr>
          </w:p>
          <w:p w14:paraId="66FD9DC7">
            <w:pPr>
              <w:spacing w:line="243" w:lineRule="auto"/>
              <w:rPr>
                <w:rFonts w:ascii="Arial"/>
                <w:color w:val="auto"/>
                <w:sz w:val="21"/>
                <w:highlight w:val="none"/>
              </w:rPr>
            </w:pPr>
          </w:p>
          <w:p w14:paraId="4A75C113">
            <w:pPr>
              <w:spacing w:line="243" w:lineRule="auto"/>
              <w:rPr>
                <w:rFonts w:ascii="Arial"/>
                <w:color w:val="auto"/>
                <w:sz w:val="21"/>
                <w:highlight w:val="none"/>
              </w:rPr>
            </w:pPr>
          </w:p>
          <w:p w14:paraId="5E6798EA">
            <w:pPr>
              <w:spacing w:line="243" w:lineRule="auto"/>
              <w:rPr>
                <w:rFonts w:ascii="Arial"/>
                <w:color w:val="auto"/>
                <w:sz w:val="21"/>
                <w:highlight w:val="none"/>
              </w:rPr>
            </w:pPr>
          </w:p>
          <w:p w14:paraId="48D508DE">
            <w:pPr>
              <w:spacing w:line="243" w:lineRule="auto"/>
              <w:rPr>
                <w:rFonts w:ascii="Arial"/>
                <w:color w:val="auto"/>
                <w:sz w:val="21"/>
                <w:highlight w:val="none"/>
              </w:rPr>
            </w:pPr>
          </w:p>
          <w:p w14:paraId="51517B0E">
            <w:pPr>
              <w:spacing w:line="243" w:lineRule="auto"/>
              <w:rPr>
                <w:rFonts w:ascii="Arial"/>
                <w:color w:val="auto"/>
                <w:sz w:val="21"/>
                <w:highlight w:val="none"/>
              </w:rPr>
            </w:pPr>
          </w:p>
          <w:p w14:paraId="7FE73E15">
            <w:pPr>
              <w:spacing w:line="243" w:lineRule="auto"/>
              <w:rPr>
                <w:rFonts w:ascii="Arial"/>
                <w:color w:val="auto"/>
                <w:sz w:val="21"/>
                <w:highlight w:val="none"/>
              </w:rPr>
            </w:pPr>
          </w:p>
          <w:p w14:paraId="74280B0A">
            <w:pPr>
              <w:spacing w:line="243" w:lineRule="auto"/>
              <w:rPr>
                <w:rFonts w:ascii="Arial"/>
                <w:color w:val="auto"/>
                <w:sz w:val="21"/>
                <w:highlight w:val="none"/>
              </w:rPr>
            </w:pPr>
          </w:p>
          <w:p w14:paraId="44B3CE3D">
            <w:pPr>
              <w:spacing w:line="243" w:lineRule="auto"/>
              <w:rPr>
                <w:rFonts w:ascii="Arial"/>
                <w:color w:val="auto"/>
                <w:sz w:val="21"/>
                <w:highlight w:val="none"/>
              </w:rPr>
            </w:pPr>
          </w:p>
          <w:p w14:paraId="1EE088D7">
            <w:pPr>
              <w:spacing w:line="243" w:lineRule="auto"/>
              <w:rPr>
                <w:rFonts w:ascii="Arial"/>
                <w:color w:val="auto"/>
                <w:sz w:val="21"/>
                <w:highlight w:val="none"/>
              </w:rPr>
            </w:pPr>
          </w:p>
          <w:p w14:paraId="21593530">
            <w:pPr>
              <w:spacing w:line="243" w:lineRule="auto"/>
              <w:rPr>
                <w:rFonts w:ascii="Arial"/>
                <w:color w:val="auto"/>
                <w:sz w:val="21"/>
                <w:highlight w:val="none"/>
              </w:rPr>
            </w:pPr>
          </w:p>
          <w:p w14:paraId="14B935C2">
            <w:pPr>
              <w:spacing w:line="243" w:lineRule="auto"/>
              <w:rPr>
                <w:rFonts w:ascii="Arial"/>
                <w:color w:val="auto"/>
                <w:sz w:val="21"/>
                <w:highlight w:val="none"/>
              </w:rPr>
            </w:pPr>
          </w:p>
          <w:p w14:paraId="2BB924BA">
            <w:pPr>
              <w:spacing w:line="243" w:lineRule="auto"/>
              <w:rPr>
                <w:rFonts w:ascii="Arial"/>
                <w:color w:val="auto"/>
                <w:sz w:val="21"/>
                <w:highlight w:val="none"/>
              </w:rPr>
            </w:pPr>
          </w:p>
          <w:p w14:paraId="1E99B7D9">
            <w:pPr>
              <w:pStyle w:val="13"/>
              <w:spacing w:before="79" w:line="221" w:lineRule="auto"/>
              <w:ind w:left="155"/>
              <w:rPr>
                <w:color w:val="auto"/>
                <w:highlight w:val="none"/>
              </w:rPr>
            </w:pPr>
            <w:r>
              <w:rPr>
                <w:color w:val="auto"/>
                <w:spacing w:val="-2"/>
                <w:highlight w:val="none"/>
              </w:rPr>
              <w:t>对中小型企</w:t>
            </w:r>
          </w:p>
          <w:p w14:paraId="58BD49E7">
            <w:pPr>
              <w:pStyle w:val="13"/>
              <w:spacing w:before="151" w:line="219" w:lineRule="auto"/>
              <w:ind w:left="155"/>
              <w:rPr>
                <w:color w:val="auto"/>
                <w:highlight w:val="none"/>
              </w:rPr>
            </w:pPr>
            <w:r>
              <w:rPr>
                <w:color w:val="auto"/>
                <w:spacing w:val="-2"/>
                <w:highlight w:val="none"/>
              </w:rPr>
              <w:t>业产品的价</w:t>
            </w:r>
          </w:p>
          <w:p w14:paraId="3143E930">
            <w:pPr>
              <w:pStyle w:val="13"/>
              <w:spacing w:before="155" w:line="220" w:lineRule="auto"/>
              <w:ind w:left="396"/>
              <w:rPr>
                <w:color w:val="auto"/>
                <w:highlight w:val="none"/>
              </w:rPr>
            </w:pPr>
            <w:r>
              <w:rPr>
                <w:color w:val="auto"/>
                <w:spacing w:val="-4"/>
                <w:highlight w:val="none"/>
              </w:rPr>
              <w:t>格扣除</w:t>
            </w:r>
          </w:p>
        </w:tc>
        <w:tc>
          <w:tcPr>
            <w:tcW w:w="7309" w:type="dxa"/>
            <w:vAlign w:val="top"/>
          </w:tcPr>
          <w:p w14:paraId="625E527E">
            <w:pPr>
              <w:pStyle w:val="13"/>
              <w:spacing w:before="174" w:line="336" w:lineRule="auto"/>
              <w:ind w:left="113" w:right="106" w:firstLine="482"/>
              <w:jc w:val="both"/>
              <w:rPr>
                <w:rFonts w:hint="eastAsia"/>
                <w:color w:val="auto"/>
                <w:highlight w:val="none"/>
              </w:rPr>
            </w:pPr>
            <w:r>
              <w:rPr>
                <w:rFonts w:hint="eastAsia"/>
                <w:color w:val="auto"/>
                <w:highlight w:val="none"/>
              </w:rPr>
              <w:t>专门面向中小企业的项目不享受价格扣除。</w:t>
            </w:r>
          </w:p>
          <w:p w14:paraId="29A3A7E2">
            <w:pPr>
              <w:pStyle w:val="13"/>
              <w:spacing w:before="174" w:line="336" w:lineRule="auto"/>
              <w:ind w:left="113" w:right="106" w:firstLine="482"/>
              <w:jc w:val="both"/>
              <w:rPr>
                <w:color w:val="auto"/>
                <w:highlight w:val="none"/>
              </w:rPr>
            </w:pPr>
            <w:r>
              <w:rPr>
                <w:color w:val="auto"/>
                <w:highlight w:val="none"/>
              </w:rPr>
              <w:t>依据财政部 工业和信息化部《关于印发〈政府采购促进</w:t>
            </w:r>
            <w:r>
              <w:rPr>
                <w:color w:val="auto"/>
                <w:spacing w:val="-1"/>
                <w:highlight w:val="none"/>
              </w:rPr>
              <w:t>中小企</w:t>
            </w:r>
            <w:r>
              <w:rPr>
                <w:color w:val="auto"/>
                <w:highlight w:val="none"/>
              </w:rPr>
              <w:t xml:space="preserve"> </w:t>
            </w:r>
            <w:r>
              <w:rPr>
                <w:color w:val="auto"/>
                <w:spacing w:val="1"/>
                <w:highlight w:val="none"/>
              </w:rPr>
              <w:t>业发展管理办法〉的通知》（财库〔2020〕46</w:t>
            </w:r>
            <w:r>
              <w:rPr>
                <w:color w:val="auto"/>
                <w:spacing w:val="-32"/>
                <w:highlight w:val="none"/>
              </w:rPr>
              <w:t xml:space="preserve"> </w:t>
            </w:r>
            <w:r>
              <w:rPr>
                <w:color w:val="auto"/>
                <w:spacing w:val="1"/>
                <w:highlight w:val="none"/>
              </w:rPr>
              <w:t>号）和《安徽省财政</w:t>
            </w:r>
            <w:r>
              <w:rPr>
                <w:color w:val="auto"/>
                <w:highlight w:val="none"/>
              </w:rPr>
              <w:t xml:space="preserve"> 厅关于进一步优化政府采购营商环境的通知》（皖财购〔2022〕556 </w:t>
            </w:r>
            <w:r>
              <w:rPr>
                <w:color w:val="auto"/>
                <w:spacing w:val="1"/>
                <w:highlight w:val="none"/>
              </w:rPr>
              <w:t>号）规定,对小微企业报价给予</w:t>
            </w:r>
            <w:r>
              <w:rPr>
                <w:color w:val="auto"/>
                <w:spacing w:val="-31"/>
                <w:highlight w:val="none"/>
              </w:rPr>
              <w:t xml:space="preserve"> </w:t>
            </w:r>
            <w:r>
              <w:rPr>
                <w:color w:val="auto"/>
                <w:spacing w:val="1"/>
                <w:highlight w:val="none"/>
              </w:rPr>
              <w:t>10%-20%（本项目采购人确定的比例</w:t>
            </w:r>
            <w:r>
              <w:rPr>
                <w:color w:val="auto"/>
                <w:highlight w:val="none"/>
              </w:rPr>
              <w:t xml:space="preserve"> </w:t>
            </w:r>
            <w:r>
              <w:rPr>
                <w:color w:val="auto"/>
                <w:spacing w:val="5"/>
                <w:highlight w:val="none"/>
              </w:rPr>
              <w:t>为</w:t>
            </w:r>
            <w:r>
              <w:rPr>
                <w:rFonts w:hint="eastAsia"/>
                <w:color w:val="auto"/>
                <w:spacing w:val="5"/>
                <w:highlight w:val="none"/>
                <w:lang w:val="en-US" w:eastAsia="zh-CN"/>
              </w:rPr>
              <w:t>10</w:t>
            </w:r>
            <w:r>
              <w:rPr>
                <w:color w:val="auto"/>
                <w:spacing w:val="5"/>
                <w:highlight w:val="none"/>
              </w:rPr>
              <w:t>%）</w:t>
            </w:r>
            <w:r>
              <w:rPr>
                <w:color w:val="auto"/>
                <w:spacing w:val="-67"/>
                <w:highlight w:val="none"/>
              </w:rPr>
              <w:t xml:space="preserve"> </w:t>
            </w:r>
            <w:r>
              <w:rPr>
                <w:color w:val="auto"/>
                <w:spacing w:val="5"/>
                <w:highlight w:val="none"/>
              </w:rPr>
              <w:t>的扣除，用扣除后的价格参加评审；工程项目为</w:t>
            </w:r>
            <w:r>
              <w:rPr>
                <w:color w:val="auto"/>
                <w:spacing w:val="-34"/>
                <w:highlight w:val="none"/>
              </w:rPr>
              <w:t xml:space="preserve"> </w:t>
            </w:r>
            <w:r>
              <w:rPr>
                <w:color w:val="auto"/>
                <w:spacing w:val="5"/>
                <w:highlight w:val="none"/>
              </w:rPr>
              <w:t>3%-5%</w:t>
            </w:r>
            <w:r>
              <w:rPr>
                <w:color w:val="auto"/>
                <w:highlight w:val="none"/>
              </w:rPr>
              <w:t xml:space="preserve"> </w:t>
            </w:r>
            <w:r>
              <w:rPr>
                <w:color w:val="auto"/>
                <w:spacing w:val="4"/>
                <w:highlight w:val="none"/>
              </w:rPr>
              <w:t>（本项目采购人确定的比例为 / %）的扣除，用扣除后的价格</w:t>
            </w:r>
            <w:r>
              <w:rPr>
                <w:color w:val="auto"/>
                <w:spacing w:val="3"/>
                <w:highlight w:val="none"/>
              </w:rPr>
              <w:t>参加</w:t>
            </w:r>
            <w:r>
              <w:rPr>
                <w:color w:val="auto"/>
                <w:highlight w:val="none"/>
              </w:rPr>
              <w:t xml:space="preserve"> </w:t>
            </w:r>
            <w:r>
              <w:rPr>
                <w:color w:val="auto"/>
                <w:spacing w:val="4"/>
                <w:highlight w:val="none"/>
              </w:rPr>
              <w:t>评审。参加本次采购活动的小微企业应当在响应文件中提供有效的</w:t>
            </w:r>
            <w:r>
              <w:rPr>
                <w:color w:val="auto"/>
                <w:spacing w:val="6"/>
                <w:highlight w:val="none"/>
              </w:rPr>
              <w:t xml:space="preserve"> </w:t>
            </w:r>
            <w:r>
              <w:rPr>
                <w:color w:val="auto"/>
                <w:spacing w:val="4"/>
                <w:highlight w:val="none"/>
              </w:rPr>
              <w:t>《中小企业声明函》，并对其真实性负责。企业划型标准按照《关</w:t>
            </w:r>
            <w:r>
              <w:rPr>
                <w:color w:val="auto"/>
                <w:spacing w:val="6"/>
                <w:highlight w:val="none"/>
              </w:rPr>
              <w:t xml:space="preserve"> </w:t>
            </w:r>
            <w:r>
              <w:rPr>
                <w:color w:val="auto"/>
                <w:highlight w:val="none"/>
              </w:rPr>
              <w:t xml:space="preserve">于印发中小企业划型标准规定的通知》（工信部联企业〔2011〕300 </w:t>
            </w:r>
            <w:r>
              <w:rPr>
                <w:color w:val="auto"/>
                <w:spacing w:val="-2"/>
                <w:highlight w:val="none"/>
              </w:rPr>
              <w:t>号）规定执行。</w:t>
            </w:r>
          </w:p>
          <w:p w14:paraId="0662D5E1">
            <w:pPr>
              <w:pStyle w:val="13"/>
              <w:spacing w:before="38" w:line="335" w:lineRule="auto"/>
              <w:ind w:left="113" w:right="106" w:firstLine="480"/>
              <w:jc w:val="both"/>
              <w:rPr>
                <w:color w:val="auto"/>
                <w:highlight w:val="none"/>
              </w:rPr>
            </w:pPr>
            <w:r>
              <w:rPr>
                <w:color w:val="auto"/>
                <w:spacing w:val="4"/>
                <w:highlight w:val="none"/>
              </w:rPr>
              <w:t>接受大中型企业与小微企业组成联合体或者允许大中型企业向</w:t>
            </w:r>
            <w:r>
              <w:rPr>
                <w:color w:val="auto"/>
                <w:spacing w:val="14"/>
                <w:highlight w:val="none"/>
              </w:rPr>
              <w:t xml:space="preserve"> </w:t>
            </w:r>
            <w:r>
              <w:rPr>
                <w:color w:val="auto"/>
                <w:spacing w:val="4"/>
                <w:highlight w:val="none"/>
              </w:rPr>
              <w:t>一家或者多家小微企业分包的采购项目，对于联合协议或者分包意</w:t>
            </w:r>
            <w:r>
              <w:rPr>
                <w:color w:val="auto"/>
                <w:spacing w:val="6"/>
                <w:highlight w:val="none"/>
              </w:rPr>
              <w:t xml:space="preserve"> </w:t>
            </w:r>
            <w:r>
              <w:rPr>
                <w:color w:val="auto"/>
                <w:spacing w:val="5"/>
                <w:highlight w:val="none"/>
              </w:rPr>
              <w:t>向协议约定小微企业的合同份额占到合同总金额</w:t>
            </w:r>
            <w:r>
              <w:rPr>
                <w:color w:val="auto"/>
                <w:spacing w:val="-28"/>
                <w:highlight w:val="none"/>
              </w:rPr>
              <w:t xml:space="preserve"> </w:t>
            </w:r>
            <w:r>
              <w:rPr>
                <w:color w:val="auto"/>
                <w:spacing w:val="5"/>
                <w:highlight w:val="none"/>
              </w:rPr>
              <w:t>30%以上的，采购</w:t>
            </w:r>
            <w:r>
              <w:rPr>
                <w:color w:val="auto"/>
                <w:highlight w:val="none"/>
              </w:rPr>
              <w:t xml:space="preserve"> </w:t>
            </w:r>
            <w:r>
              <w:rPr>
                <w:color w:val="auto"/>
                <w:spacing w:val="5"/>
                <w:highlight w:val="none"/>
              </w:rPr>
              <w:t>人、采购代理机构应当对联合体或者大中型企业的报价给予</w:t>
            </w:r>
            <w:r>
              <w:rPr>
                <w:color w:val="auto"/>
                <w:spacing w:val="-33"/>
                <w:highlight w:val="none"/>
              </w:rPr>
              <w:t xml:space="preserve"> </w:t>
            </w:r>
            <w:r>
              <w:rPr>
                <w:color w:val="auto"/>
                <w:spacing w:val="5"/>
                <w:highlight w:val="none"/>
              </w:rPr>
              <w:t>4%-6%</w:t>
            </w:r>
            <w:r>
              <w:rPr>
                <w:color w:val="auto"/>
                <w:highlight w:val="none"/>
              </w:rPr>
              <w:t xml:space="preserve"> （本项目采购人确定的比例为 /  %）的扣除，用扣除后的价格参加 </w:t>
            </w:r>
            <w:r>
              <w:rPr>
                <w:color w:val="auto"/>
                <w:spacing w:val="4"/>
                <w:highlight w:val="none"/>
              </w:rPr>
              <w:t>评审；工程项目为</w:t>
            </w:r>
            <w:r>
              <w:rPr>
                <w:color w:val="auto"/>
                <w:spacing w:val="-12"/>
                <w:highlight w:val="none"/>
              </w:rPr>
              <w:t xml:space="preserve"> </w:t>
            </w:r>
            <w:r>
              <w:rPr>
                <w:color w:val="auto"/>
                <w:spacing w:val="4"/>
                <w:highlight w:val="none"/>
              </w:rPr>
              <w:t>1%-2%（本项目采购人确定的比例为 / %）的扣</w:t>
            </w:r>
            <w:r>
              <w:rPr>
                <w:color w:val="auto"/>
                <w:highlight w:val="none"/>
              </w:rPr>
              <w:t xml:space="preserve"> </w:t>
            </w:r>
            <w:r>
              <w:rPr>
                <w:color w:val="auto"/>
                <w:spacing w:val="4"/>
                <w:highlight w:val="none"/>
              </w:rPr>
              <w:t>除，用扣除后的价格参加评审。组成联合体或者接受分包的小微企</w:t>
            </w:r>
            <w:r>
              <w:rPr>
                <w:color w:val="auto"/>
                <w:spacing w:val="6"/>
                <w:highlight w:val="none"/>
              </w:rPr>
              <w:t xml:space="preserve"> </w:t>
            </w:r>
            <w:r>
              <w:rPr>
                <w:color w:val="auto"/>
                <w:spacing w:val="13"/>
                <w:highlight w:val="none"/>
              </w:rPr>
              <w:t>业与联合体内其他企业、分包企业之间存在直接控股、管理</w:t>
            </w:r>
            <w:r>
              <w:rPr>
                <w:color w:val="auto"/>
                <w:spacing w:val="12"/>
                <w:highlight w:val="none"/>
              </w:rPr>
              <w:t>关系</w:t>
            </w:r>
            <w:r>
              <w:rPr>
                <w:color w:val="auto"/>
                <w:highlight w:val="none"/>
              </w:rPr>
              <w:t xml:space="preserve"> </w:t>
            </w:r>
            <w:r>
              <w:rPr>
                <w:color w:val="auto"/>
                <w:spacing w:val="-1"/>
                <w:highlight w:val="none"/>
              </w:rPr>
              <w:t>的，不享受价格扣除优惠政策。</w:t>
            </w:r>
          </w:p>
          <w:p w14:paraId="36B45277">
            <w:pPr>
              <w:pStyle w:val="13"/>
              <w:spacing w:before="36" w:line="334" w:lineRule="auto"/>
              <w:ind w:left="113" w:right="106" w:firstLine="486"/>
              <w:jc w:val="both"/>
              <w:rPr>
                <w:color w:val="auto"/>
                <w:highlight w:val="none"/>
              </w:rPr>
            </w:pPr>
            <w:r>
              <w:rPr>
                <w:color w:val="auto"/>
                <w:spacing w:val="3"/>
                <w:highlight w:val="none"/>
              </w:rPr>
              <w:t>《政府采购促进中小企业发展管理办法》第四条规定“</w:t>
            </w:r>
            <w:r>
              <w:rPr>
                <w:color w:val="auto"/>
                <w:spacing w:val="-88"/>
                <w:highlight w:val="none"/>
              </w:rPr>
              <w:t xml:space="preserve"> </w:t>
            </w:r>
            <w:r>
              <w:rPr>
                <w:color w:val="auto"/>
                <w:spacing w:val="3"/>
                <w:highlight w:val="none"/>
              </w:rPr>
              <w:t>…在货</w:t>
            </w:r>
            <w:r>
              <w:rPr>
                <w:color w:val="auto"/>
                <w:highlight w:val="none"/>
              </w:rPr>
              <w:t xml:space="preserve"> </w:t>
            </w:r>
            <w:r>
              <w:rPr>
                <w:color w:val="auto"/>
                <w:spacing w:val="4"/>
                <w:highlight w:val="none"/>
              </w:rPr>
              <w:t>物采购项目中，供应商提供的货物既有中小企业制造货物，也有大</w:t>
            </w:r>
            <w:r>
              <w:rPr>
                <w:color w:val="auto"/>
                <w:spacing w:val="6"/>
                <w:highlight w:val="none"/>
              </w:rPr>
              <w:t xml:space="preserve"> </w:t>
            </w:r>
            <w:r>
              <w:rPr>
                <w:color w:val="auto"/>
                <w:spacing w:val="4"/>
                <w:highlight w:val="none"/>
              </w:rPr>
              <w:t>型企业制造货物的，不享受本办法规定的中小企业扶持政策。以联</w:t>
            </w:r>
            <w:r>
              <w:rPr>
                <w:color w:val="auto"/>
                <w:spacing w:val="6"/>
                <w:highlight w:val="none"/>
              </w:rPr>
              <w:t xml:space="preserve"> </w:t>
            </w:r>
            <w:r>
              <w:rPr>
                <w:color w:val="auto"/>
                <w:spacing w:val="4"/>
                <w:highlight w:val="none"/>
              </w:rPr>
              <w:t>合体形式参加政府采购活动，联合体各方均为中小企业的，联合体</w:t>
            </w:r>
            <w:r>
              <w:rPr>
                <w:color w:val="auto"/>
                <w:spacing w:val="6"/>
                <w:highlight w:val="none"/>
              </w:rPr>
              <w:t xml:space="preserve"> </w:t>
            </w:r>
            <w:r>
              <w:rPr>
                <w:color w:val="auto"/>
                <w:spacing w:val="4"/>
                <w:highlight w:val="none"/>
              </w:rPr>
              <w:t>视同中小企业。其中，联合体各方均为小微企业的，联合体视同小</w:t>
            </w:r>
            <w:r>
              <w:rPr>
                <w:color w:val="auto"/>
                <w:spacing w:val="6"/>
                <w:highlight w:val="none"/>
              </w:rPr>
              <w:t xml:space="preserve"> </w:t>
            </w:r>
            <w:r>
              <w:rPr>
                <w:color w:val="auto"/>
                <w:spacing w:val="-2"/>
                <w:highlight w:val="none"/>
              </w:rPr>
              <w:t>微企业</w:t>
            </w:r>
            <w:r>
              <w:rPr>
                <w:color w:val="auto"/>
                <w:spacing w:val="-87"/>
                <w:highlight w:val="none"/>
              </w:rPr>
              <w:t xml:space="preserve"> </w:t>
            </w:r>
            <w:r>
              <w:rPr>
                <w:color w:val="auto"/>
                <w:spacing w:val="-2"/>
                <w:highlight w:val="none"/>
              </w:rPr>
              <w:t>”。</w:t>
            </w:r>
          </w:p>
          <w:p w14:paraId="3D1E94B7">
            <w:pPr>
              <w:pStyle w:val="13"/>
              <w:spacing w:before="33" w:line="290" w:lineRule="auto"/>
              <w:ind w:left="134" w:right="108" w:firstLine="460"/>
              <w:rPr>
                <w:color w:val="auto"/>
                <w:highlight w:val="none"/>
              </w:rPr>
            </w:pPr>
            <w:r>
              <w:rPr>
                <w:color w:val="auto"/>
                <w:highlight w:val="none"/>
              </w:rPr>
              <w:t xml:space="preserve">根据财政部 司法部《关于政府采购支持监狱企业发展有关问题 </w:t>
            </w:r>
            <w:r>
              <w:rPr>
                <w:color w:val="auto"/>
                <w:spacing w:val="-1"/>
                <w:highlight w:val="none"/>
              </w:rPr>
              <w:t>的通知》</w:t>
            </w:r>
            <w:r>
              <w:rPr>
                <w:color w:val="auto"/>
                <w:spacing w:val="-64"/>
                <w:highlight w:val="none"/>
              </w:rPr>
              <w:t xml:space="preserve"> </w:t>
            </w:r>
            <w:r>
              <w:rPr>
                <w:color w:val="auto"/>
                <w:spacing w:val="-1"/>
                <w:highlight w:val="none"/>
              </w:rPr>
              <w:t>(财库〔2014〕68</w:t>
            </w:r>
            <w:r>
              <w:rPr>
                <w:color w:val="auto"/>
                <w:spacing w:val="-42"/>
                <w:highlight w:val="none"/>
              </w:rPr>
              <w:t xml:space="preserve"> </w:t>
            </w:r>
            <w:r>
              <w:rPr>
                <w:color w:val="auto"/>
                <w:spacing w:val="-1"/>
                <w:highlight w:val="none"/>
              </w:rPr>
              <w:t>号)，监狱企业视同小型、微型企业</w:t>
            </w:r>
            <w:r>
              <w:rPr>
                <w:color w:val="auto"/>
                <w:spacing w:val="-2"/>
                <w:highlight w:val="none"/>
              </w:rPr>
              <w:t>。监</w:t>
            </w:r>
          </w:p>
        </w:tc>
      </w:tr>
    </w:tbl>
    <w:p w14:paraId="1E9166AD">
      <w:pPr>
        <w:pStyle w:val="6"/>
        <w:rPr>
          <w:color w:val="auto"/>
          <w:highlight w:val="none"/>
        </w:rPr>
      </w:pPr>
    </w:p>
    <w:p w14:paraId="2BF8E066">
      <w:pPr>
        <w:rPr>
          <w:color w:val="auto"/>
          <w:highlight w:val="none"/>
        </w:rPr>
        <w:sectPr>
          <w:footerReference r:id="rId8" w:type="default"/>
          <w:pgSz w:w="11910" w:h="16840"/>
          <w:pgMar w:top="1060" w:right="1113" w:bottom="859" w:left="1173" w:header="0" w:footer="682" w:gutter="0"/>
          <w:cols w:space="720" w:num="1"/>
        </w:sectPr>
      </w:pPr>
    </w:p>
    <w:tbl>
      <w:tblPr>
        <w:tblStyle w:val="12"/>
        <w:tblW w:w="9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1501"/>
        <w:gridCol w:w="7309"/>
      </w:tblGrid>
      <w:tr w14:paraId="57F99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3" w:hRule="atLeast"/>
        </w:trPr>
        <w:tc>
          <w:tcPr>
            <w:tcW w:w="808" w:type="dxa"/>
            <w:vAlign w:val="top"/>
          </w:tcPr>
          <w:p w14:paraId="4560E19F">
            <w:pPr>
              <w:rPr>
                <w:rFonts w:ascii="Arial"/>
                <w:color w:val="auto"/>
                <w:sz w:val="21"/>
                <w:highlight w:val="none"/>
              </w:rPr>
            </w:pPr>
          </w:p>
        </w:tc>
        <w:tc>
          <w:tcPr>
            <w:tcW w:w="1501" w:type="dxa"/>
            <w:vAlign w:val="top"/>
          </w:tcPr>
          <w:p w14:paraId="2C503855">
            <w:pPr>
              <w:rPr>
                <w:rFonts w:ascii="Arial"/>
                <w:color w:val="auto"/>
                <w:sz w:val="21"/>
                <w:highlight w:val="none"/>
              </w:rPr>
            </w:pPr>
          </w:p>
        </w:tc>
        <w:tc>
          <w:tcPr>
            <w:tcW w:w="7309" w:type="dxa"/>
            <w:vAlign w:val="top"/>
          </w:tcPr>
          <w:p w14:paraId="294E8D8C">
            <w:pPr>
              <w:pStyle w:val="13"/>
              <w:spacing w:before="181" w:line="335" w:lineRule="auto"/>
              <w:ind w:left="113" w:right="106" w:firstLine="1"/>
              <w:jc w:val="both"/>
              <w:rPr>
                <w:color w:val="auto"/>
                <w:highlight w:val="none"/>
              </w:rPr>
            </w:pPr>
            <w:r>
              <w:rPr>
                <w:color w:val="auto"/>
                <w:spacing w:val="4"/>
                <w:highlight w:val="none"/>
              </w:rPr>
              <w:t>狱企业是指由司法部认定的为罪犯、戒毒人员提供生产项目和劳动 对象，且全部产权属于司法部监狱管理局、戒毒管理局、直属煤矿</w:t>
            </w:r>
            <w:r>
              <w:rPr>
                <w:color w:val="auto"/>
                <w:spacing w:val="6"/>
                <w:highlight w:val="none"/>
              </w:rPr>
              <w:t xml:space="preserve"> </w:t>
            </w:r>
            <w:r>
              <w:rPr>
                <w:color w:val="auto"/>
                <w:spacing w:val="-2"/>
                <w:highlight w:val="none"/>
              </w:rPr>
              <w:t>管理局，各省、</w:t>
            </w:r>
            <w:r>
              <w:rPr>
                <w:color w:val="auto"/>
                <w:spacing w:val="-60"/>
                <w:highlight w:val="none"/>
              </w:rPr>
              <w:t xml:space="preserve"> </w:t>
            </w:r>
            <w:r>
              <w:rPr>
                <w:color w:val="auto"/>
                <w:spacing w:val="-2"/>
                <w:highlight w:val="none"/>
              </w:rPr>
              <w:t>自治区、直辖市监狱管理局、戒毒管理局，各地(设</w:t>
            </w:r>
            <w:r>
              <w:rPr>
                <w:color w:val="auto"/>
                <w:highlight w:val="none"/>
              </w:rPr>
              <w:t xml:space="preserve"> 区的市)监狱、强制隔离戒毒所、戒毒康复所，以及新疆生产建设兵 </w:t>
            </w:r>
            <w:r>
              <w:rPr>
                <w:color w:val="auto"/>
                <w:spacing w:val="13"/>
                <w:highlight w:val="none"/>
              </w:rPr>
              <w:t>团监狱管理局、戒毒管理局的企业。监狱企业参加政府采购</w:t>
            </w:r>
            <w:r>
              <w:rPr>
                <w:color w:val="auto"/>
                <w:spacing w:val="12"/>
                <w:highlight w:val="none"/>
              </w:rPr>
              <w:t>活动</w:t>
            </w:r>
            <w:r>
              <w:rPr>
                <w:color w:val="auto"/>
                <w:highlight w:val="none"/>
              </w:rPr>
              <w:t xml:space="preserve"> </w:t>
            </w:r>
            <w:r>
              <w:rPr>
                <w:color w:val="auto"/>
                <w:spacing w:val="8"/>
                <w:highlight w:val="none"/>
              </w:rPr>
              <w:t xml:space="preserve">时，提供由省级以上监狱管理局、戒毒管理局(含新疆生产建设兵 </w:t>
            </w:r>
            <w:r>
              <w:rPr>
                <w:color w:val="auto"/>
                <w:spacing w:val="17"/>
                <w:highlight w:val="none"/>
              </w:rPr>
              <w:t>团)出具的属于监狱企业的证明文件，不再提供《中小企业声明</w:t>
            </w:r>
            <w:r>
              <w:rPr>
                <w:color w:val="auto"/>
                <w:spacing w:val="6"/>
                <w:highlight w:val="none"/>
              </w:rPr>
              <w:t xml:space="preserve"> </w:t>
            </w:r>
            <w:r>
              <w:rPr>
                <w:color w:val="auto"/>
                <w:spacing w:val="-3"/>
                <w:highlight w:val="none"/>
              </w:rPr>
              <w:t>函》。</w:t>
            </w:r>
          </w:p>
          <w:p w14:paraId="0115167A">
            <w:pPr>
              <w:pStyle w:val="13"/>
              <w:spacing w:before="32" w:line="334" w:lineRule="auto"/>
              <w:ind w:left="113" w:right="106" w:firstLine="480"/>
              <w:jc w:val="both"/>
              <w:rPr>
                <w:color w:val="auto"/>
                <w:highlight w:val="none"/>
              </w:rPr>
            </w:pPr>
            <w:r>
              <w:rPr>
                <w:color w:val="auto"/>
                <w:spacing w:val="-1"/>
                <w:highlight w:val="none"/>
              </w:rPr>
              <w:t>根据财政部</w:t>
            </w:r>
            <w:r>
              <w:rPr>
                <w:color w:val="auto"/>
                <w:spacing w:val="31"/>
                <w:highlight w:val="none"/>
              </w:rPr>
              <w:t xml:space="preserve"> </w:t>
            </w:r>
            <w:r>
              <w:rPr>
                <w:color w:val="auto"/>
                <w:spacing w:val="-1"/>
                <w:highlight w:val="none"/>
              </w:rPr>
              <w:t>民政部《中国残疾人联合会关于促进残</w:t>
            </w:r>
            <w:r>
              <w:rPr>
                <w:color w:val="auto"/>
                <w:spacing w:val="-2"/>
                <w:highlight w:val="none"/>
              </w:rPr>
              <w:t>疾人就业政</w:t>
            </w:r>
            <w:r>
              <w:rPr>
                <w:color w:val="auto"/>
                <w:highlight w:val="none"/>
              </w:rPr>
              <w:t xml:space="preserve"> </w:t>
            </w:r>
            <w:r>
              <w:rPr>
                <w:color w:val="auto"/>
                <w:spacing w:val="3"/>
                <w:highlight w:val="none"/>
              </w:rPr>
              <w:t>府采购政策的通知》</w:t>
            </w:r>
            <w:r>
              <w:rPr>
                <w:color w:val="auto"/>
                <w:spacing w:val="-56"/>
                <w:highlight w:val="none"/>
              </w:rPr>
              <w:t xml:space="preserve"> </w:t>
            </w:r>
            <w:r>
              <w:rPr>
                <w:color w:val="auto"/>
                <w:spacing w:val="3"/>
                <w:highlight w:val="none"/>
              </w:rPr>
              <w:t>(财库〔2017〕141</w:t>
            </w:r>
            <w:r>
              <w:rPr>
                <w:color w:val="auto"/>
                <w:spacing w:val="-38"/>
                <w:highlight w:val="none"/>
              </w:rPr>
              <w:t xml:space="preserve"> </w:t>
            </w:r>
            <w:r>
              <w:rPr>
                <w:color w:val="auto"/>
                <w:spacing w:val="3"/>
                <w:highlight w:val="none"/>
              </w:rPr>
              <w:t>号)，残疾人企业视</w:t>
            </w:r>
            <w:r>
              <w:rPr>
                <w:color w:val="auto"/>
                <w:spacing w:val="2"/>
                <w:highlight w:val="none"/>
              </w:rPr>
              <w:t>同为小</w:t>
            </w:r>
            <w:r>
              <w:rPr>
                <w:color w:val="auto"/>
                <w:highlight w:val="none"/>
              </w:rPr>
              <w:t xml:space="preserve"> </w:t>
            </w:r>
            <w:r>
              <w:rPr>
                <w:color w:val="auto"/>
                <w:spacing w:val="4"/>
                <w:highlight w:val="none"/>
              </w:rPr>
              <w:t>型、微型企业，符合条件的残疾人福利性单位在参加政府采购活动</w:t>
            </w:r>
            <w:r>
              <w:rPr>
                <w:color w:val="auto"/>
                <w:spacing w:val="6"/>
                <w:highlight w:val="none"/>
              </w:rPr>
              <w:t xml:space="preserve"> </w:t>
            </w:r>
            <w:r>
              <w:rPr>
                <w:color w:val="auto"/>
                <w:spacing w:val="2"/>
                <w:highlight w:val="none"/>
              </w:rPr>
              <w:t>时，提供</w:t>
            </w:r>
            <w:r>
              <w:rPr>
                <w:color w:val="auto"/>
                <w:spacing w:val="-18"/>
                <w:highlight w:val="none"/>
              </w:rPr>
              <w:t xml:space="preserve"> </w:t>
            </w:r>
            <w:r>
              <w:rPr>
                <w:color w:val="auto"/>
                <w:spacing w:val="2"/>
                <w:highlight w:val="none"/>
              </w:rPr>
              <w:t>141</w:t>
            </w:r>
            <w:r>
              <w:rPr>
                <w:color w:val="auto"/>
                <w:spacing w:val="-40"/>
                <w:highlight w:val="none"/>
              </w:rPr>
              <w:t xml:space="preserve"> </w:t>
            </w:r>
            <w:r>
              <w:rPr>
                <w:color w:val="auto"/>
                <w:spacing w:val="2"/>
                <w:highlight w:val="none"/>
              </w:rPr>
              <w:t>号文规定的《残疾人福利性单位声明函》，不再提供</w:t>
            </w:r>
            <w:r>
              <w:rPr>
                <w:color w:val="auto"/>
                <w:highlight w:val="none"/>
              </w:rPr>
              <w:t xml:space="preserve"> </w:t>
            </w:r>
            <w:r>
              <w:rPr>
                <w:color w:val="auto"/>
                <w:spacing w:val="4"/>
                <w:highlight w:val="none"/>
              </w:rPr>
              <w:t>《中小企业声明函》。残疾人福利性单位属于小型、微型企业的，</w:t>
            </w:r>
            <w:r>
              <w:rPr>
                <w:color w:val="auto"/>
                <w:spacing w:val="6"/>
                <w:highlight w:val="none"/>
              </w:rPr>
              <w:t xml:space="preserve"> </w:t>
            </w:r>
            <w:r>
              <w:rPr>
                <w:color w:val="auto"/>
                <w:spacing w:val="-2"/>
                <w:highlight w:val="none"/>
              </w:rPr>
              <w:t>不重复享受政策。</w:t>
            </w:r>
          </w:p>
          <w:p w14:paraId="77DE9C3A">
            <w:pPr>
              <w:pStyle w:val="13"/>
              <w:spacing w:before="35" w:line="290" w:lineRule="auto"/>
              <w:ind w:left="119" w:right="106" w:firstLine="475"/>
              <w:rPr>
                <w:color w:val="auto"/>
                <w:highlight w:val="none"/>
              </w:rPr>
            </w:pPr>
            <w:r>
              <w:rPr>
                <w:b/>
                <w:bCs/>
                <w:color w:val="auto"/>
                <w:spacing w:val="2"/>
                <w:highlight w:val="none"/>
              </w:rPr>
              <w:t>供应商提供的声明函等证明材料如有虚假，一经发现，将报监</w:t>
            </w:r>
            <w:r>
              <w:rPr>
                <w:color w:val="auto"/>
                <w:highlight w:val="none"/>
              </w:rPr>
              <w:t xml:space="preserve"> </w:t>
            </w:r>
            <w:r>
              <w:rPr>
                <w:b/>
                <w:bCs/>
                <w:color w:val="auto"/>
                <w:spacing w:val="-4"/>
                <w:highlight w:val="none"/>
              </w:rPr>
              <w:t>管部门严肃查处。</w:t>
            </w:r>
          </w:p>
        </w:tc>
      </w:tr>
      <w:tr w14:paraId="01319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1" w:hRule="atLeast"/>
        </w:trPr>
        <w:tc>
          <w:tcPr>
            <w:tcW w:w="808" w:type="dxa"/>
            <w:vAlign w:val="top"/>
          </w:tcPr>
          <w:p w14:paraId="18E389A2">
            <w:pPr>
              <w:spacing w:line="242" w:lineRule="auto"/>
              <w:rPr>
                <w:rFonts w:ascii="Arial"/>
                <w:color w:val="auto"/>
                <w:sz w:val="21"/>
                <w:highlight w:val="none"/>
              </w:rPr>
            </w:pPr>
          </w:p>
          <w:p w14:paraId="61F713EC">
            <w:pPr>
              <w:spacing w:line="242" w:lineRule="auto"/>
              <w:rPr>
                <w:rFonts w:ascii="Arial"/>
                <w:color w:val="auto"/>
                <w:sz w:val="21"/>
                <w:highlight w:val="none"/>
              </w:rPr>
            </w:pPr>
          </w:p>
          <w:p w14:paraId="34F1CC9A">
            <w:pPr>
              <w:spacing w:line="242" w:lineRule="auto"/>
              <w:rPr>
                <w:rFonts w:ascii="Arial"/>
                <w:color w:val="auto"/>
                <w:sz w:val="21"/>
                <w:highlight w:val="none"/>
              </w:rPr>
            </w:pPr>
          </w:p>
          <w:p w14:paraId="6AFB17CA">
            <w:pPr>
              <w:spacing w:line="242" w:lineRule="auto"/>
              <w:rPr>
                <w:rFonts w:ascii="Arial"/>
                <w:color w:val="auto"/>
                <w:sz w:val="21"/>
                <w:highlight w:val="none"/>
              </w:rPr>
            </w:pPr>
          </w:p>
          <w:p w14:paraId="7E70B735">
            <w:pPr>
              <w:spacing w:line="242" w:lineRule="auto"/>
              <w:rPr>
                <w:rFonts w:ascii="Arial"/>
                <w:color w:val="auto"/>
                <w:sz w:val="21"/>
                <w:highlight w:val="none"/>
              </w:rPr>
            </w:pPr>
          </w:p>
          <w:p w14:paraId="6F896288">
            <w:pPr>
              <w:spacing w:line="242" w:lineRule="auto"/>
              <w:rPr>
                <w:rFonts w:ascii="Arial"/>
                <w:color w:val="auto"/>
                <w:sz w:val="21"/>
                <w:highlight w:val="none"/>
              </w:rPr>
            </w:pPr>
          </w:p>
          <w:p w14:paraId="0524555A">
            <w:pPr>
              <w:spacing w:line="242" w:lineRule="auto"/>
              <w:rPr>
                <w:rFonts w:ascii="Arial"/>
                <w:color w:val="auto"/>
                <w:sz w:val="21"/>
                <w:highlight w:val="none"/>
              </w:rPr>
            </w:pPr>
          </w:p>
          <w:p w14:paraId="35403739">
            <w:pPr>
              <w:spacing w:line="242" w:lineRule="auto"/>
              <w:rPr>
                <w:rFonts w:ascii="Arial"/>
                <w:color w:val="auto"/>
                <w:sz w:val="21"/>
                <w:highlight w:val="none"/>
              </w:rPr>
            </w:pPr>
          </w:p>
          <w:p w14:paraId="02BDF048">
            <w:pPr>
              <w:spacing w:line="242" w:lineRule="auto"/>
              <w:rPr>
                <w:rFonts w:ascii="Arial"/>
                <w:color w:val="auto"/>
                <w:sz w:val="21"/>
                <w:highlight w:val="none"/>
              </w:rPr>
            </w:pPr>
          </w:p>
          <w:p w14:paraId="57D9EA24">
            <w:pPr>
              <w:spacing w:line="242" w:lineRule="auto"/>
              <w:rPr>
                <w:rFonts w:ascii="Arial"/>
                <w:color w:val="auto"/>
                <w:sz w:val="21"/>
                <w:highlight w:val="none"/>
              </w:rPr>
            </w:pPr>
          </w:p>
          <w:p w14:paraId="64CB41C4">
            <w:pPr>
              <w:spacing w:line="242" w:lineRule="auto"/>
              <w:rPr>
                <w:rFonts w:ascii="Arial"/>
                <w:color w:val="auto"/>
                <w:sz w:val="21"/>
                <w:highlight w:val="none"/>
              </w:rPr>
            </w:pPr>
          </w:p>
          <w:p w14:paraId="4E6AA4E6">
            <w:pPr>
              <w:spacing w:line="243" w:lineRule="auto"/>
              <w:rPr>
                <w:rFonts w:ascii="Arial"/>
                <w:color w:val="auto"/>
                <w:sz w:val="21"/>
                <w:highlight w:val="none"/>
              </w:rPr>
            </w:pPr>
          </w:p>
          <w:p w14:paraId="3335E074">
            <w:pPr>
              <w:spacing w:line="243" w:lineRule="auto"/>
              <w:rPr>
                <w:rFonts w:ascii="Arial"/>
                <w:color w:val="auto"/>
                <w:sz w:val="21"/>
                <w:highlight w:val="none"/>
              </w:rPr>
            </w:pPr>
          </w:p>
          <w:p w14:paraId="518791B9">
            <w:pPr>
              <w:spacing w:line="243" w:lineRule="auto"/>
              <w:rPr>
                <w:rFonts w:ascii="Arial"/>
                <w:color w:val="auto"/>
                <w:sz w:val="21"/>
                <w:highlight w:val="none"/>
              </w:rPr>
            </w:pPr>
          </w:p>
          <w:p w14:paraId="23880A8F">
            <w:pPr>
              <w:spacing w:line="243" w:lineRule="auto"/>
              <w:rPr>
                <w:rFonts w:ascii="Arial"/>
                <w:color w:val="auto"/>
                <w:sz w:val="21"/>
                <w:highlight w:val="none"/>
              </w:rPr>
            </w:pPr>
          </w:p>
          <w:p w14:paraId="5DB97B07">
            <w:pPr>
              <w:pStyle w:val="13"/>
              <w:spacing w:before="78" w:line="184" w:lineRule="auto"/>
              <w:ind w:left="308"/>
              <w:rPr>
                <w:color w:val="auto"/>
                <w:highlight w:val="none"/>
              </w:rPr>
            </w:pPr>
            <w:r>
              <w:rPr>
                <w:b/>
                <w:bCs/>
                <w:color w:val="auto"/>
                <w:spacing w:val="-15"/>
                <w:highlight w:val="none"/>
              </w:rPr>
              <w:t>15</w:t>
            </w:r>
          </w:p>
        </w:tc>
        <w:tc>
          <w:tcPr>
            <w:tcW w:w="1501" w:type="dxa"/>
            <w:vAlign w:val="top"/>
          </w:tcPr>
          <w:p w14:paraId="556124DB">
            <w:pPr>
              <w:spacing w:line="241" w:lineRule="auto"/>
              <w:rPr>
                <w:rFonts w:ascii="Arial"/>
                <w:color w:val="auto"/>
                <w:sz w:val="21"/>
                <w:highlight w:val="none"/>
              </w:rPr>
            </w:pPr>
          </w:p>
          <w:p w14:paraId="42007B96">
            <w:pPr>
              <w:spacing w:line="241" w:lineRule="auto"/>
              <w:rPr>
                <w:rFonts w:ascii="Arial"/>
                <w:color w:val="auto"/>
                <w:sz w:val="21"/>
                <w:highlight w:val="none"/>
              </w:rPr>
            </w:pPr>
          </w:p>
          <w:p w14:paraId="3CED0463">
            <w:pPr>
              <w:spacing w:line="241" w:lineRule="auto"/>
              <w:rPr>
                <w:rFonts w:ascii="Arial"/>
                <w:color w:val="auto"/>
                <w:sz w:val="21"/>
                <w:highlight w:val="none"/>
              </w:rPr>
            </w:pPr>
          </w:p>
          <w:p w14:paraId="74034901">
            <w:pPr>
              <w:spacing w:line="241" w:lineRule="auto"/>
              <w:rPr>
                <w:rFonts w:ascii="Arial"/>
                <w:color w:val="auto"/>
                <w:sz w:val="21"/>
                <w:highlight w:val="none"/>
              </w:rPr>
            </w:pPr>
          </w:p>
          <w:p w14:paraId="2CDD25CA">
            <w:pPr>
              <w:spacing w:line="241" w:lineRule="auto"/>
              <w:rPr>
                <w:rFonts w:ascii="Arial"/>
                <w:color w:val="auto"/>
                <w:sz w:val="21"/>
                <w:highlight w:val="none"/>
              </w:rPr>
            </w:pPr>
          </w:p>
          <w:p w14:paraId="09419160">
            <w:pPr>
              <w:spacing w:line="241" w:lineRule="auto"/>
              <w:rPr>
                <w:rFonts w:ascii="Arial"/>
                <w:color w:val="auto"/>
                <w:sz w:val="21"/>
                <w:highlight w:val="none"/>
              </w:rPr>
            </w:pPr>
          </w:p>
          <w:p w14:paraId="5F5FB579">
            <w:pPr>
              <w:spacing w:line="241" w:lineRule="auto"/>
              <w:rPr>
                <w:rFonts w:ascii="Arial"/>
                <w:color w:val="auto"/>
                <w:sz w:val="21"/>
                <w:highlight w:val="none"/>
              </w:rPr>
            </w:pPr>
          </w:p>
          <w:p w14:paraId="0EBE83CD">
            <w:pPr>
              <w:spacing w:line="241" w:lineRule="auto"/>
              <w:rPr>
                <w:rFonts w:ascii="Arial"/>
                <w:color w:val="auto"/>
                <w:sz w:val="21"/>
                <w:highlight w:val="none"/>
              </w:rPr>
            </w:pPr>
          </w:p>
          <w:p w14:paraId="64046E8A">
            <w:pPr>
              <w:spacing w:line="241" w:lineRule="auto"/>
              <w:rPr>
                <w:rFonts w:ascii="Arial"/>
                <w:color w:val="auto"/>
                <w:sz w:val="21"/>
                <w:highlight w:val="none"/>
              </w:rPr>
            </w:pPr>
          </w:p>
          <w:p w14:paraId="26B04A28">
            <w:pPr>
              <w:spacing w:line="242" w:lineRule="auto"/>
              <w:rPr>
                <w:rFonts w:ascii="Arial"/>
                <w:color w:val="auto"/>
                <w:sz w:val="21"/>
                <w:highlight w:val="none"/>
              </w:rPr>
            </w:pPr>
          </w:p>
          <w:p w14:paraId="4A71098A">
            <w:pPr>
              <w:spacing w:line="242" w:lineRule="auto"/>
              <w:rPr>
                <w:rFonts w:ascii="Arial"/>
                <w:color w:val="auto"/>
                <w:sz w:val="21"/>
                <w:highlight w:val="none"/>
              </w:rPr>
            </w:pPr>
          </w:p>
          <w:p w14:paraId="649EA2FA">
            <w:pPr>
              <w:spacing w:line="242" w:lineRule="auto"/>
              <w:rPr>
                <w:rFonts w:ascii="Arial"/>
                <w:color w:val="auto"/>
                <w:sz w:val="21"/>
                <w:highlight w:val="none"/>
              </w:rPr>
            </w:pPr>
          </w:p>
          <w:p w14:paraId="1C1030DB">
            <w:pPr>
              <w:spacing w:line="242" w:lineRule="auto"/>
              <w:rPr>
                <w:rFonts w:ascii="Arial"/>
                <w:color w:val="auto"/>
                <w:sz w:val="21"/>
                <w:highlight w:val="none"/>
              </w:rPr>
            </w:pPr>
          </w:p>
          <w:p w14:paraId="62A320AA">
            <w:pPr>
              <w:spacing w:line="242" w:lineRule="auto"/>
              <w:rPr>
                <w:rFonts w:ascii="Arial"/>
                <w:color w:val="auto"/>
                <w:sz w:val="21"/>
                <w:highlight w:val="none"/>
              </w:rPr>
            </w:pPr>
          </w:p>
          <w:p w14:paraId="255DE0FA">
            <w:pPr>
              <w:pStyle w:val="13"/>
              <w:spacing w:before="78" w:line="325" w:lineRule="auto"/>
              <w:ind w:left="637" w:right="148" w:hanging="481"/>
              <w:rPr>
                <w:color w:val="auto"/>
                <w:highlight w:val="none"/>
              </w:rPr>
            </w:pPr>
            <w:r>
              <w:rPr>
                <w:color w:val="auto"/>
                <w:spacing w:val="-2"/>
                <w:highlight w:val="none"/>
              </w:rPr>
              <w:t>相关政策要</w:t>
            </w:r>
            <w:r>
              <w:rPr>
                <w:color w:val="auto"/>
                <w:highlight w:val="none"/>
              </w:rPr>
              <w:t xml:space="preserve"> 求</w:t>
            </w:r>
          </w:p>
        </w:tc>
        <w:tc>
          <w:tcPr>
            <w:tcW w:w="7309" w:type="dxa"/>
            <w:vAlign w:val="top"/>
          </w:tcPr>
          <w:p w14:paraId="3EDEC8D2">
            <w:pPr>
              <w:pStyle w:val="13"/>
              <w:spacing w:before="176" w:line="330" w:lineRule="auto"/>
              <w:ind w:left="113" w:right="106" w:firstLine="498"/>
              <w:rPr>
                <w:color w:val="auto"/>
                <w:highlight w:val="none"/>
              </w:rPr>
            </w:pPr>
            <w:r>
              <w:rPr>
                <w:color w:val="auto"/>
                <w:spacing w:val="2"/>
                <w:highlight w:val="none"/>
              </w:rPr>
              <w:t>1、根据《安徽省财政厅</w:t>
            </w:r>
            <w:r>
              <w:rPr>
                <w:color w:val="auto"/>
                <w:spacing w:val="49"/>
                <w:highlight w:val="none"/>
              </w:rPr>
              <w:t xml:space="preserve"> </w:t>
            </w:r>
            <w:r>
              <w:rPr>
                <w:color w:val="auto"/>
                <w:spacing w:val="2"/>
                <w:highlight w:val="none"/>
              </w:rPr>
              <w:t>中国人民银行合肥中心支行关于推进</w:t>
            </w:r>
            <w:r>
              <w:rPr>
                <w:color w:val="auto"/>
                <w:highlight w:val="none"/>
              </w:rPr>
              <w:t xml:space="preserve"> </w:t>
            </w:r>
            <w:r>
              <w:rPr>
                <w:color w:val="auto"/>
                <w:spacing w:val="1"/>
                <w:highlight w:val="none"/>
              </w:rPr>
              <w:t>政府采购线上合同信用融资工作的通知》（皖财购[202</w:t>
            </w:r>
            <w:r>
              <w:rPr>
                <w:color w:val="auto"/>
                <w:highlight w:val="none"/>
              </w:rPr>
              <w:t>2]1053</w:t>
            </w:r>
            <w:r>
              <w:rPr>
                <w:color w:val="auto"/>
                <w:spacing w:val="-42"/>
                <w:highlight w:val="none"/>
              </w:rPr>
              <w:t xml:space="preserve"> </w:t>
            </w:r>
            <w:r>
              <w:rPr>
                <w:color w:val="auto"/>
                <w:highlight w:val="none"/>
              </w:rPr>
              <w:t xml:space="preserve">号） </w:t>
            </w:r>
            <w:r>
              <w:rPr>
                <w:color w:val="auto"/>
                <w:spacing w:val="-1"/>
                <w:highlight w:val="none"/>
              </w:rPr>
              <w:t>文件规定，本次采购落实政府采购线上合同信用融资相关政策。</w:t>
            </w:r>
          </w:p>
          <w:p w14:paraId="148079A0">
            <w:pPr>
              <w:pStyle w:val="13"/>
              <w:spacing w:before="30" w:line="335" w:lineRule="auto"/>
              <w:ind w:left="112" w:right="106" w:firstLine="469"/>
              <w:rPr>
                <w:color w:val="auto"/>
                <w:highlight w:val="none"/>
              </w:rPr>
            </w:pPr>
            <w:r>
              <w:rPr>
                <w:color w:val="auto"/>
                <w:spacing w:val="3"/>
                <w:highlight w:val="none"/>
              </w:rPr>
              <w:t>“政采贷</w:t>
            </w:r>
            <w:r>
              <w:rPr>
                <w:color w:val="auto"/>
                <w:spacing w:val="-69"/>
                <w:highlight w:val="none"/>
              </w:rPr>
              <w:t xml:space="preserve"> </w:t>
            </w:r>
            <w:r>
              <w:rPr>
                <w:color w:val="auto"/>
                <w:spacing w:val="3"/>
                <w:highlight w:val="none"/>
              </w:rPr>
              <w:t>”融资指引：有融资需求的中标（成交）人在取得政</w:t>
            </w:r>
            <w:r>
              <w:rPr>
                <w:color w:val="auto"/>
                <w:highlight w:val="none"/>
              </w:rPr>
              <w:t xml:space="preserve"> </w:t>
            </w:r>
            <w:r>
              <w:rPr>
                <w:color w:val="auto"/>
                <w:spacing w:val="7"/>
                <w:highlight w:val="none"/>
              </w:rPr>
              <w:t>府采购</w:t>
            </w:r>
            <w:r>
              <w:rPr>
                <w:color w:val="auto"/>
                <w:spacing w:val="51"/>
                <w:highlight w:val="none"/>
              </w:rPr>
              <w:t xml:space="preserve"> </w:t>
            </w:r>
            <w:r>
              <w:rPr>
                <w:color w:val="auto"/>
                <w:spacing w:val="7"/>
                <w:highlight w:val="none"/>
              </w:rPr>
              <w:t>中标（成交）通知书后，可访问安徽省政府采购网</w:t>
            </w:r>
            <w:r>
              <w:rPr>
                <w:color w:val="auto"/>
                <w:spacing w:val="6"/>
                <w:highlight w:val="none"/>
              </w:rPr>
              <w:t>“政采</w:t>
            </w:r>
            <w:r>
              <w:rPr>
                <w:color w:val="auto"/>
                <w:highlight w:val="none"/>
              </w:rPr>
              <w:t xml:space="preserve"> </w:t>
            </w:r>
            <w:r>
              <w:rPr>
                <w:color w:val="auto"/>
                <w:spacing w:val="-1"/>
                <w:highlight w:val="none"/>
              </w:rPr>
              <w:t>贷</w:t>
            </w:r>
            <w:r>
              <w:rPr>
                <w:color w:val="auto"/>
                <w:spacing w:val="-86"/>
                <w:highlight w:val="none"/>
              </w:rPr>
              <w:t xml:space="preserve"> </w:t>
            </w:r>
            <w:r>
              <w:rPr>
                <w:color w:val="auto"/>
                <w:spacing w:val="-1"/>
                <w:highlight w:val="none"/>
              </w:rPr>
              <w:t>”栏目， 查看和联系第三方平台或者金融机构，商洽融资事项，</w:t>
            </w:r>
            <w:r>
              <w:rPr>
                <w:color w:val="auto"/>
                <w:highlight w:val="none"/>
              </w:rPr>
              <w:t xml:space="preserve"> </w:t>
            </w:r>
            <w:r>
              <w:rPr>
                <w:color w:val="auto"/>
                <w:spacing w:val="13"/>
                <w:highlight w:val="none"/>
              </w:rPr>
              <w:t>确定融资意向。中标（成交）人签署政府采购中标（成交）合同</w:t>
            </w:r>
            <w:r>
              <w:rPr>
                <w:color w:val="auto"/>
                <w:highlight w:val="none"/>
              </w:rPr>
              <w:t xml:space="preserve"> 后，登录“徽采云金 融服务模块，选择意向产品进行申请，并填写</w:t>
            </w:r>
            <w:r>
              <w:rPr>
                <w:color w:val="auto"/>
                <w:spacing w:val="2"/>
                <w:highlight w:val="none"/>
              </w:rPr>
              <w:t xml:space="preserve"> </w:t>
            </w:r>
            <w:r>
              <w:rPr>
                <w:color w:val="auto"/>
                <w:spacing w:val="-1"/>
                <w:highlight w:val="none"/>
              </w:rPr>
              <w:t>相关信息，“徽采云</w:t>
            </w:r>
            <w:r>
              <w:rPr>
                <w:color w:val="auto"/>
                <w:spacing w:val="-69"/>
                <w:highlight w:val="none"/>
              </w:rPr>
              <w:t xml:space="preserve"> </w:t>
            </w:r>
            <w:r>
              <w:rPr>
                <w:color w:val="auto"/>
                <w:spacing w:val="-1"/>
                <w:highlight w:val="none"/>
              </w:rPr>
              <w:t>”</w:t>
            </w:r>
            <w:r>
              <w:rPr>
                <w:color w:val="auto"/>
                <w:spacing w:val="-20"/>
                <w:highlight w:val="none"/>
              </w:rPr>
              <w:t xml:space="preserve"> </w:t>
            </w:r>
            <w:r>
              <w:rPr>
                <w:color w:val="auto"/>
                <w:spacing w:val="-1"/>
                <w:highlight w:val="none"/>
              </w:rPr>
              <w:t>金融服务模块将中标（成交）人融资申请信</w:t>
            </w:r>
            <w:r>
              <w:rPr>
                <w:color w:val="auto"/>
                <w:highlight w:val="none"/>
              </w:rPr>
              <w:t xml:space="preserve"> </w:t>
            </w:r>
            <w:r>
              <w:rPr>
                <w:color w:val="auto"/>
                <w:spacing w:val="-1"/>
                <w:highlight w:val="none"/>
              </w:rPr>
              <w:t>息推送第三方平台、意向金融机构。</w:t>
            </w:r>
          </w:p>
          <w:p w14:paraId="2BD39219">
            <w:pPr>
              <w:pStyle w:val="13"/>
              <w:spacing w:before="34" w:line="330" w:lineRule="auto"/>
              <w:ind w:left="113" w:right="106" w:firstLine="483"/>
              <w:rPr>
                <w:color w:val="auto"/>
                <w:highlight w:val="none"/>
              </w:rPr>
            </w:pPr>
            <w:r>
              <w:rPr>
                <w:color w:val="auto"/>
                <w:highlight w:val="none"/>
              </w:rPr>
              <w:t>2、根据《安徽省财政厅关于推广使用政府采购电子保函业</w:t>
            </w:r>
            <w:r>
              <w:rPr>
                <w:color w:val="auto"/>
                <w:spacing w:val="-1"/>
                <w:highlight w:val="none"/>
              </w:rPr>
              <w:t>务的</w:t>
            </w:r>
            <w:r>
              <w:rPr>
                <w:color w:val="auto"/>
                <w:highlight w:val="none"/>
              </w:rPr>
              <w:t xml:space="preserve"> </w:t>
            </w:r>
            <w:r>
              <w:rPr>
                <w:color w:val="auto"/>
                <w:spacing w:val="1"/>
                <w:highlight w:val="none"/>
              </w:rPr>
              <w:t>通知》 皖财购函〔2023〕257</w:t>
            </w:r>
            <w:r>
              <w:rPr>
                <w:color w:val="auto"/>
                <w:spacing w:val="-31"/>
                <w:highlight w:val="none"/>
              </w:rPr>
              <w:t xml:space="preserve"> </w:t>
            </w:r>
            <w:r>
              <w:rPr>
                <w:color w:val="auto"/>
                <w:spacing w:val="1"/>
                <w:highlight w:val="none"/>
              </w:rPr>
              <w:t>号，本次采购落实政府采购电子保函</w:t>
            </w:r>
            <w:r>
              <w:rPr>
                <w:color w:val="auto"/>
                <w:highlight w:val="none"/>
              </w:rPr>
              <w:t xml:space="preserve"> </w:t>
            </w:r>
            <w:r>
              <w:rPr>
                <w:color w:val="auto"/>
                <w:spacing w:val="-2"/>
                <w:highlight w:val="none"/>
              </w:rPr>
              <w:t>业务相关政策。</w:t>
            </w:r>
          </w:p>
          <w:p w14:paraId="108332AC">
            <w:pPr>
              <w:pStyle w:val="13"/>
              <w:spacing w:before="34" w:line="330" w:lineRule="auto"/>
              <w:ind w:left="125" w:right="106" w:firstLine="497"/>
              <w:jc w:val="both"/>
              <w:rPr>
                <w:color w:val="auto"/>
                <w:highlight w:val="none"/>
              </w:rPr>
            </w:pPr>
            <w:r>
              <w:rPr>
                <w:color w:val="auto"/>
                <w:spacing w:val="3"/>
                <w:highlight w:val="none"/>
              </w:rPr>
              <w:t>电子保函指引：中标（成交）人可访问安徽省政府采购网“融</w:t>
            </w:r>
            <w:r>
              <w:rPr>
                <w:color w:val="auto"/>
                <w:spacing w:val="12"/>
                <w:highlight w:val="none"/>
              </w:rPr>
              <w:t xml:space="preserve"> </w:t>
            </w:r>
            <w:r>
              <w:rPr>
                <w:color w:val="auto"/>
                <w:spacing w:val="8"/>
                <w:highlight w:val="none"/>
              </w:rPr>
              <w:t>资/保函</w:t>
            </w:r>
            <w:r>
              <w:rPr>
                <w:color w:val="auto"/>
                <w:spacing w:val="-56"/>
                <w:highlight w:val="none"/>
              </w:rPr>
              <w:t xml:space="preserve"> </w:t>
            </w:r>
            <w:r>
              <w:rPr>
                <w:color w:val="auto"/>
                <w:spacing w:val="8"/>
                <w:highlight w:val="none"/>
              </w:rPr>
              <w:t>”栏目，</w:t>
            </w:r>
            <w:r>
              <w:rPr>
                <w:color w:val="auto"/>
                <w:spacing w:val="-68"/>
                <w:highlight w:val="none"/>
              </w:rPr>
              <w:t xml:space="preserve"> </w:t>
            </w:r>
            <w:r>
              <w:rPr>
                <w:color w:val="auto"/>
                <w:spacing w:val="8"/>
                <w:highlight w:val="none"/>
              </w:rPr>
              <w:t>申请办理电子保函（包括:履约保函、预付款保</w:t>
            </w:r>
            <w:r>
              <w:rPr>
                <w:color w:val="auto"/>
                <w:highlight w:val="none"/>
              </w:rPr>
              <w:t xml:space="preserve"> </w:t>
            </w:r>
            <w:r>
              <w:rPr>
                <w:color w:val="auto"/>
                <w:spacing w:val="-7"/>
                <w:highlight w:val="none"/>
              </w:rPr>
              <w:t>函）。</w:t>
            </w:r>
          </w:p>
          <w:p w14:paraId="2C711173">
            <w:pPr>
              <w:pStyle w:val="13"/>
              <w:spacing w:before="32" w:line="219" w:lineRule="auto"/>
              <w:ind w:left="599"/>
              <w:rPr>
                <w:color w:val="auto"/>
                <w:highlight w:val="none"/>
              </w:rPr>
            </w:pPr>
            <w:r>
              <w:rPr>
                <w:color w:val="auto"/>
                <w:highlight w:val="none"/>
              </w:rPr>
              <w:t>3、根据《安徽省财政厅关于贯彻落实政府绿色采购有</w:t>
            </w:r>
            <w:r>
              <w:rPr>
                <w:color w:val="auto"/>
                <w:spacing w:val="-1"/>
                <w:highlight w:val="none"/>
              </w:rPr>
              <w:t>关政策的</w:t>
            </w:r>
          </w:p>
        </w:tc>
      </w:tr>
    </w:tbl>
    <w:p w14:paraId="725238F3">
      <w:pPr>
        <w:pStyle w:val="6"/>
        <w:spacing w:line="239" w:lineRule="exact"/>
        <w:rPr>
          <w:color w:val="auto"/>
          <w:sz w:val="20"/>
          <w:highlight w:val="none"/>
        </w:rPr>
      </w:pPr>
    </w:p>
    <w:p w14:paraId="4BFAF7A0">
      <w:pPr>
        <w:spacing w:line="239" w:lineRule="exact"/>
        <w:rPr>
          <w:color w:val="auto"/>
          <w:sz w:val="20"/>
          <w:szCs w:val="20"/>
          <w:highlight w:val="none"/>
        </w:rPr>
        <w:sectPr>
          <w:footerReference r:id="rId9" w:type="default"/>
          <w:pgSz w:w="11910" w:h="16840"/>
          <w:pgMar w:top="1060" w:right="1113" w:bottom="861" w:left="1173" w:header="0" w:footer="682" w:gutter="0"/>
          <w:cols w:space="720" w:num="1"/>
        </w:sectPr>
      </w:pPr>
    </w:p>
    <w:tbl>
      <w:tblPr>
        <w:tblStyle w:val="12"/>
        <w:tblW w:w="9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1501"/>
        <w:gridCol w:w="7309"/>
      </w:tblGrid>
      <w:tr w14:paraId="341FD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5" w:hRule="atLeast"/>
        </w:trPr>
        <w:tc>
          <w:tcPr>
            <w:tcW w:w="808" w:type="dxa"/>
            <w:vAlign w:val="top"/>
          </w:tcPr>
          <w:p w14:paraId="152D4CC8">
            <w:pPr>
              <w:rPr>
                <w:rFonts w:ascii="Arial"/>
                <w:color w:val="auto"/>
                <w:sz w:val="21"/>
                <w:highlight w:val="none"/>
              </w:rPr>
            </w:pPr>
          </w:p>
        </w:tc>
        <w:tc>
          <w:tcPr>
            <w:tcW w:w="1501" w:type="dxa"/>
            <w:vAlign w:val="top"/>
          </w:tcPr>
          <w:p w14:paraId="7188A35A">
            <w:pPr>
              <w:rPr>
                <w:rFonts w:ascii="Arial"/>
                <w:color w:val="auto"/>
                <w:sz w:val="21"/>
                <w:highlight w:val="none"/>
              </w:rPr>
            </w:pPr>
          </w:p>
        </w:tc>
        <w:tc>
          <w:tcPr>
            <w:tcW w:w="7309" w:type="dxa"/>
            <w:vAlign w:val="top"/>
          </w:tcPr>
          <w:p w14:paraId="516F4A8B">
            <w:pPr>
              <w:pStyle w:val="13"/>
              <w:spacing w:before="178" w:line="325" w:lineRule="auto"/>
              <w:ind w:left="114" w:right="108"/>
              <w:rPr>
                <w:color w:val="auto"/>
                <w:highlight w:val="none"/>
              </w:rPr>
            </w:pPr>
            <w:r>
              <w:rPr>
                <w:color w:val="auto"/>
                <w:spacing w:val="-2"/>
                <w:highlight w:val="none"/>
              </w:rPr>
              <w:t>通知》</w:t>
            </w:r>
            <w:r>
              <w:rPr>
                <w:color w:val="auto"/>
                <w:spacing w:val="67"/>
                <w:highlight w:val="none"/>
              </w:rPr>
              <w:t xml:space="preserve"> </w:t>
            </w:r>
            <w:r>
              <w:rPr>
                <w:color w:val="auto"/>
                <w:spacing w:val="-2"/>
                <w:highlight w:val="none"/>
              </w:rPr>
              <w:t>(皖财购〔2023〕853 号)规定，本次采购落实政府绿色采购</w:t>
            </w:r>
            <w:r>
              <w:rPr>
                <w:color w:val="auto"/>
                <w:highlight w:val="none"/>
              </w:rPr>
              <w:t xml:space="preserve"> </w:t>
            </w:r>
            <w:r>
              <w:rPr>
                <w:color w:val="auto"/>
                <w:spacing w:val="-2"/>
                <w:highlight w:val="none"/>
              </w:rPr>
              <w:t>相关政策。</w:t>
            </w:r>
          </w:p>
          <w:p w14:paraId="3F5EA7B8">
            <w:pPr>
              <w:pStyle w:val="13"/>
              <w:spacing w:before="36" w:line="219" w:lineRule="auto"/>
              <w:ind w:left="606"/>
              <w:rPr>
                <w:color w:val="auto"/>
                <w:highlight w:val="none"/>
              </w:rPr>
            </w:pPr>
            <w:r>
              <w:rPr>
                <w:color w:val="auto"/>
                <w:spacing w:val="-2"/>
                <w:highlight w:val="none"/>
              </w:rPr>
              <w:t>（1）抓好节能产品采购政策落实；</w:t>
            </w:r>
          </w:p>
          <w:p w14:paraId="72958FB1">
            <w:pPr>
              <w:pStyle w:val="13"/>
              <w:spacing w:before="154" w:line="219" w:lineRule="auto"/>
              <w:ind w:left="606"/>
              <w:rPr>
                <w:color w:val="auto"/>
                <w:highlight w:val="none"/>
              </w:rPr>
            </w:pPr>
            <w:r>
              <w:rPr>
                <w:color w:val="auto"/>
                <w:spacing w:val="-2"/>
                <w:highlight w:val="none"/>
              </w:rPr>
              <w:t>（2）严格落实环境标志产品采购政策；</w:t>
            </w:r>
          </w:p>
          <w:p w14:paraId="3877ED3E">
            <w:pPr>
              <w:pStyle w:val="13"/>
              <w:spacing w:before="154" w:line="219" w:lineRule="auto"/>
              <w:ind w:left="606"/>
              <w:rPr>
                <w:color w:val="auto"/>
                <w:highlight w:val="none"/>
              </w:rPr>
            </w:pPr>
            <w:r>
              <w:rPr>
                <w:color w:val="auto"/>
                <w:spacing w:val="-1"/>
                <w:highlight w:val="none"/>
              </w:rPr>
              <w:t>（3）加大绿色建材产品在政府采购工程中使用；</w:t>
            </w:r>
          </w:p>
          <w:p w14:paraId="19F32F10">
            <w:pPr>
              <w:pStyle w:val="13"/>
              <w:spacing w:before="157" w:line="219" w:lineRule="auto"/>
              <w:ind w:left="606"/>
              <w:rPr>
                <w:color w:val="auto"/>
                <w:highlight w:val="none"/>
              </w:rPr>
            </w:pPr>
            <w:r>
              <w:rPr>
                <w:color w:val="auto"/>
                <w:spacing w:val="-2"/>
                <w:highlight w:val="none"/>
              </w:rPr>
              <w:t>（4）落实绿色包装政府采购需求标准；</w:t>
            </w:r>
          </w:p>
          <w:p w14:paraId="5CF0D8A8">
            <w:pPr>
              <w:pStyle w:val="13"/>
              <w:spacing w:before="155" w:line="219" w:lineRule="auto"/>
              <w:ind w:left="606"/>
              <w:rPr>
                <w:color w:val="auto"/>
                <w:highlight w:val="none"/>
              </w:rPr>
            </w:pPr>
            <w:r>
              <w:rPr>
                <w:color w:val="auto"/>
                <w:spacing w:val="-2"/>
                <w:highlight w:val="none"/>
              </w:rPr>
              <w:t>（5）加大新能源汽车采购力度；</w:t>
            </w:r>
          </w:p>
          <w:p w14:paraId="642B4349">
            <w:pPr>
              <w:pStyle w:val="13"/>
              <w:spacing w:before="154" w:line="219" w:lineRule="auto"/>
              <w:ind w:left="606"/>
              <w:rPr>
                <w:color w:val="auto"/>
                <w:highlight w:val="none"/>
              </w:rPr>
            </w:pPr>
            <w:r>
              <w:rPr>
                <w:color w:val="auto"/>
                <w:spacing w:val="-2"/>
                <w:highlight w:val="none"/>
              </w:rPr>
              <w:t>（6）鼓励供应商绿色转型发展。</w:t>
            </w:r>
          </w:p>
        </w:tc>
      </w:tr>
    </w:tbl>
    <w:p w14:paraId="61593E95">
      <w:pPr>
        <w:pStyle w:val="6"/>
        <w:rPr>
          <w:color w:val="auto"/>
          <w:highlight w:val="none"/>
        </w:rPr>
      </w:pPr>
    </w:p>
    <w:p w14:paraId="3AEE72A1">
      <w:pPr>
        <w:rPr>
          <w:color w:val="auto"/>
          <w:highlight w:val="none"/>
        </w:rPr>
        <w:sectPr>
          <w:footerReference r:id="rId10" w:type="default"/>
          <w:pgSz w:w="11910" w:h="16840"/>
          <w:pgMar w:top="1060" w:right="1113" w:bottom="861" w:left="1173" w:header="0" w:footer="682" w:gutter="0"/>
          <w:cols w:space="720" w:num="1"/>
        </w:sectPr>
      </w:pPr>
    </w:p>
    <w:p w14:paraId="1047C784">
      <w:pPr>
        <w:spacing w:before="55" w:line="218" w:lineRule="auto"/>
        <w:ind w:left="3480"/>
        <w:outlineLvl w:val="0"/>
        <w:rPr>
          <w:rFonts w:ascii="黑体" w:hAnsi="黑体" w:eastAsia="黑体" w:cs="黑体"/>
          <w:color w:val="auto"/>
          <w:sz w:val="28"/>
          <w:szCs w:val="28"/>
          <w:highlight w:val="none"/>
        </w:rPr>
      </w:pPr>
      <w:bookmarkStart w:id="27" w:name="bookmark5"/>
      <w:bookmarkEnd w:id="27"/>
      <w:r>
        <w:rPr>
          <w:rFonts w:ascii="黑体" w:hAnsi="黑体" w:eastAsia="黑体" w:cs="黑体"/>
          <w:color w:val="auto"/>
          <w:spacing w:val="-2"/>
          <w:sz w:val="28"/>
          <w:szCs w:val="28"/>
          <w:highlight w:val="none"/>
        </w:rPr>
        <w:t>第三章 征集邀请</w:t>
      </w:r>
    </w:p>
    <w:p w14:paraId="55BEEC8C">
      <w:pPr>
        <w:pStyle w:val="6"/>
        <w:spacing w:line="311" w:lineRule="auto"/>
        <w:rPr>
          <w:color w:val="auto"/>
          <w:highlight w:val="none"/>
        </w:rPr>
      </w:pPr>
    </w:p>
    <w:p w14:paraId="382CFABF">
      <w:pPr>
        <w:pStyle w:val="6"/>
        <w:spacing w:line="312" w:lineRule="auto"/>
        <w:rPr>
          <w:color w:val="auto"/>
          <w:highlight w:val="none"/>
        </w:rPr>
      </w:pPr>
    </w:p>
    <w:p w14:paraId="54D133D8">
      <w:pPr>
        <w:pStyle w:val="6"/>
        <w:spacing w:line="312" w:lineRule="auto"/>
        <w:rPr>
          <w:color w:val="auto"/>
          <w:highlight w:val="none"/>
        </w:rPr>
      </w:pPr>
    </w:p>
    <w:p w14:paraId="1D431292">
      <w:pPr>
        <w:spacing w:before="78" w:line="219" w:lineRule="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各潜在供应商：</w:t>
      </w:r>
    </w:p>
    <w:p w14:paraId="773D8C61">
      <w:pPr>
        <w:pStyle w:val="6"/>
        <w:spacing w:line="320" w:lineRule="auto"/>
        <w:rPr>
          <w:color w:val="auto"/>
          <w:highlight w:val="none"/>
        </w:rPr>
      </w:pPr>
    </w:p>
    <w:p w14:paraId="5C915E5F">
      <w:pPr>
        <w:spacing w:before="78" w:line="530" w:lineRule="auto"/>
        <w:ind w:left="23" w:firstLine="469"/>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u w:val="single" w:color="auto"/>
        </w:rPr>
        <w:t>2025-2027年度金寨县行政事业单位公务用车维修保养服务框架协议项目</w:t>
      </w:r>
      <w:r>
        <w:rPr>
          <w:rFonts w:ascii="宋体" w:hAnsi="宋体" w:eastAsia="宋体" w:cs="宋体"/>
          <w:color w:val="auto"/>
          <w:spacing w:val="-1"/>
          <w:sz w:val="24"/>
          <w:szCs w:val="24"/>
          <w:highlight w:val="none"/>
          <w:u w:val="single" w:color="auto"/>
        </w:rPr>
        <w:t xml:space="preserve">（订立封闭式框架协议 </w:t>
      </w:r>
      <w:r>
        <w:rPr>
          <w:rFonts w:ascii="宋体" w:hAnsi="宋体" w:eastAsia="宋体" w:cs="宋体"/>
          <w:color w:val="auto"/>
          <w:spacing w:val="-8"/>
          <w:sz w:val="24"/>
          <w:szCs w:val="24"/>
          <w:highlight w:val="none"/>
          <w:u w:val="single" w:color="auto"/>
        </w:rPr>
        <w:t xml:space="preserve">) </w:t>
      </w:r>
      <w:r>
        <w:rPr>
          <w:rFonts w:ascii="宋体" w:hAnsi="宋体" w:eastAsia="宋体" w:cs="宋体"/>
          <w:color w:val="auto"/>
          <w:spacing w:val="-8"/>
          <w:sz w:val="24"/>
          <w:szCs w:val="24"/>
          <w:highlight w:val="none"/>
        </w:rPr>
        <w:t>征集公告已发布，现邀请符合条件的潜在供应商，于本项目征集公告发布之日起至响应</w:t>
      </w:r>
      <w:r>
        <w:rPr>
          <w:rFonts w:ascii="宋体" w:hAnsi="宋体" w:eastAsia="宋体" w:cs="宋体"/>
          <w:color w:val="auto"/>
          <w:spacing w:val="-15"/>
          <w:sz w:val="24"/>
          <w:szCs w:val="24"/>
          <w:highlight w:val="none"/>
        </w:rPr>
        <w:t>文件提交截止时间前，按照征集公告要求，提</w:t>
      </w:r>
      <w:r>
        <w:rPr>
          <w:rFonts w:ascii="宋体" w:hAnsi="宋体" w:eastAsia="宋体" w:cs="宋体"/>
          <w:color w:val="auto"/>
          <w:spacing w:val="-16"/>
          <w:sz w:val="24"/>
          <w:szCs w:val="24"/>
          <w:highlight w:val="none"/>
        </w:rPr>
        <w:t>交加入框架协议的申请。</w:t>
      </w:r>
    </w:p>
    <w:p w14:paraId="730F807A">
      <w:pPr>
        <w:pStyle w:val="6"/>
        <w:spacing w:line="267" w:lineRule="auto"/>
        <w:rPr>
          <w:color w:val="auto"/>
          <w:highlight w:val="none"/>
        </w:rPr>
      </w:pPr>
    </w:p>
    <w:p w14:paraId="541B7BA6">
      <w:pPr>
        <w:pStyle w:val="6"/>
        <w:spacing w:line="267" w:lineRule="auto"/>
        <w:rPr>
          <w:color w:val="auto"/>
          <w:highlight w:val="none"/>
        </w:rPr>
      </w:pPr>
    </w:p>
    <w:p w14:paraId="42B6C76D">
      <w:pPr>
        <w:pStyle w:val="6"/>
        <w:spacing w:line="267" w:lineRule="auto"/>
        <w:rPr>
          <w:color w:val="auto"/>
          <w:highlight w:val="none"/>
        </w:rPr>
      </w:pPr>
    </w:p>
    <w:p w14:paraId="42833967">
      <w:pPr>
        <w:spacing w:before="79" w:line="424" w:lineRule="auto"/>
        <w:ind w:left="5876" w:leftChars="2798" w:right="294" w:firstLine="3"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lang w:val="en-US" w:eastAsia="zh-CN"/>
        </w:rPr>
        <w:t>金寨县机关事务管理服务中心</w:t>
      </w:r>
      <w:r>
        <w:rPr>
          <w:rFonts w:hint="eastAsia" w:ascii="宋体" w:hAnsi="宋体" w:eastAsia="宋体" w:cs="宋体"/>
          <w:color w:val="auto"/>
          <w:spacing w:val="-12"/>
          <w:sz w:val="24"/>
          <w:szCs w:val="24"/>
          <w:highlight w:val="none"/>
          <w:lang w:eastAsia="zh-CN"/>
        </w:rPr>
        <w:t>202</w:t>
      </w:r>
      <w:r>
        <w:rPr>
          <w:rFonts w:hint="eastAsia" w:ascii="宋体" w:hAnsi="宋体" w:eastAsia="宋体" w:cs="宋体"/>
          <w:color w:val="auto"/>
          <w:spacing w:val="-12"/>
          <w:sz w:val="24"/>
          <w:szCs w:val="24"/>
          <w:highlight w:val="none"/>
          <w:lang w:val="en-US" w:eastAsia="zh-CN"/>
        </w:rPr>
        <w:t>5</w:t>
      </w:r>
      <w:r>
        <w:rPr>
          <w:rFonts w:hint="eastAsia" w:ascii="宋体" w:hAnsi="宋体" w:eastAsia="宋体" w:cs="宋体"/>
          <w:color w:val="auto"/>
          <w:spacing w:val="-12"/>
          <w:sz w:val="24"/>
          <w:szCs w:val="24"/>
          <w:highlight w:val="none"/>
          <w:lang w:eastAsia="zh-CN"/>
        </w:rPr>
        <w:t>年</w:t>
      </w:r>
      <w:r>
        <w:rPr>
          <w:rFonts w:hint="eastAsia" w:ascii="宋体" w:hAnsi="宋体" w:eastAsia="宋体" w:cs="宋体"/>
          <w:color w:val="auto"/>
          <w:spacing w:val="-12"/>
          <w:sz w:val="24"/>
          <w:szCs w:val="24"/>
          <w:highlight w:val="none"/>
          <w:lang w:val="en-US" w:eastAsia="zh-CN"/>
        </w:rPr>
        <w:t>4</w:t>
      </w:r>
      <w:r>
        <w:rPr>
          <w:rFonts w:hint="eastAsia" w:ascii="宋体" w:hAnsi="宋体" w:eastAsia="宋体" w:cs="宋体"/>
          <w:color w:val="auto"/>
          <w:spacing w:val="-12"/>
          <w:sz w:val="24"/>
          <w:szCs w:val="24"/>
          <w:highlight w:val="none"/>
          <w:lang w:eastAsia="zh-CN"/>
        </w:rPr>
        <w:t>月</w:t>
      </w:r>
      <w:r>
        <w:rPr>
          <w:rFonts w:hint="eastAsia" w:ascii="宋体" w:hAnsi="宋体" w:eastAsia="宋体" w:cs="宋体"/>
          <w:color w:val="auto"/>
          <w:spacing w:val="-12"/>
          <w:sz w:val="24"/>
          <w:szCs w:val="24"/>
          <w:highlight w:val="none"/>
          <w:lang w:val="en-US" w:eastAsia="zh-CN"/>
        </w:rPr>
        <w:t>11</w:t>
      </w:r>
      <w:r>
        <w:rPr>
          <w:rFonts w:hint="eastAsia" w:ascii="宋体" w:hAnsi="宋体" w:eastAsia="宋体" w:cs="宋体"/>
          <w:color w:val="auto"/>
          <w:spacing w:val="-12"/>
          <w:sz w:val="24"/>
          <w:szCs w:val="24"/>
          <w:highlight w:val="none"/>
          <w:lang w:eastAsia="zh-CN"/>
        </w:rPr>
        <w:t>日</w:t>
      </w:r>
    </w:p>
    <w:p w14:paraId="3C61FC90">
      <w:pPr>
        <w:spacing w:line="424" w:lineRule="auto"/>
        <w:rPr>
          <w:rFonts w:ascii="宋体" w:hAnsi="宋体" w:eastAsia="宋体" w:cs="宋体"/>
          <w:color w:val="auto"/>
          <w:sz w:val="24"/>
          <w:szCs w:val="24"/>
          <w:highlight w:val="none"/>
        </w:rPr>
        <w:sectPr>
          <w:footerReference r:id="rId11" w:type="default"/>
          <w:pgSz w:w="11910" w:h="16840"/>
          <w:pgMar w:top="1046" w:right="1100" w:bottom="861" w:left="1475" w:header="0" w:footer="682" w:gutter="0"/>
          <w:cols w:space="720" w:num="1"/>
        </w:sectPr>
      </w:pPr>
    </w:p>
    <w:p w14:paraId="66A5024D">
      <w:pPr>
        <w:spacing w:before="55" w:line="219" w:lineRule="auto"/>
        <w:ind w:left="3204"/>
        <w:outlineLvl w:val="0"/>
        <w:rPr>
          <w:rFonts w:ascii="黑体" w:hAnsi="黑体" w:eastAsia="黑体" w:cs="黑体"/>
          <w:color w:val="auto"/>
          <w:sz w:val="28"/>
          <w:szCs w:val="28"/>
          <w:highlight w:val="none"/>
        </w:rPr>
      </w:pPr>
      <w:bookmarkStart w:id="28" w:name="bookmark7"/>
      <w:bookmarkEnd w:id="28"/>
      <w:r>
        <w:rPr>
          <w:rFonts w:ascii="黑体" w:hAnsi="黑体" w:eastAsia="黑体" w:cs="黑体"/>
          <w:color w:val="auto"/>
          <w:spacing w:val="-2"/>
          <w:sz w:val="28"/>
          <w:szCs w:val="28"/>
          <w:highlight w:val="none"/>
        </w:rPr>
        <w:t>第四章 资格审查材料</w:t>
      </w:r>
    </w:p>
    <w:p w14:paraId="517A997F">
      <w:pPr>
        <w:pStyle w:val="6"/>
        <w:spacing w:line="318" w:lineRule="auto"/>
        <w:rPr>
          <w:color w:val="auto"/>
          <w:highlight w:val="none"/>
        </w:rPr>
      </w:pPr>
    </w:p>
    <w:p w14:paraId="76BDC362">
      <w:pPr>
        <w:pStyle w:val="6"/>
        <w:spacing w:line="319" w:lineRule="auto"/>
        <w:rPr>
          <w:color w:val="auto"/>
          <w:highlight w:val="none"/>
        </w:rPr>
      </w:pPr>
    </w:p>
    <w:p w14:paraId="58306579">
      <w:pPr>
        <w:spacing w:before="78" w:line="457" w:lineRule="auto"/>
        <w:ind w:left="3" w:firstLine="497"/>
        <w:jc w:val="both"/>
        <w:rPr>
          <w:rFonts w:ascii="宋体" w:hAnsi="宋体" w:eastAsia="宋体" w:cs="宋体"/>
          <w:color w:val="auto"/>
          <w:spacing w:val="8"/>
          <w:sz w:val="24"/>
          <w:szCs w:val="24"/>
          <w:highlight w:val="none"/>
        </w:rPr>
      </w:pPr>
      <w:r>
        <w:rPr>
          <w:rFonts w:ascii="宋体" w:hAnsi="宋体" w:eastAsia="宋体" w:cs="宋体"/>
          <w:color w:val="auto"/>
          <w:spacing w:val="4"/>
          <w:sz w:val="22"/>
          <w:szCs w:val="22"/>
          <w:highlight w:val="none"/>
        </w:rPr>
        <w:t>1</w:t>
      </w:r>
      <w:r>
        <w:rPr>
          <w:rFonts w:hint="eastAsia" w:ascii="宋体" w:hAnsi="宋体" w:eastAsia="宋体" w:cs="宋体"/>
          <w:color w:val="auto"/>
          <w:spacing w:val="4"/>
          <w:sz w:val="22"/>
          <w:szCs w:val="22"/>
          <w:highlight w:val="none"/>
          <w:lang w:eastAsia="zh-CN"/>
        </w:rPr>
        <w:t>、</w:t>
      </w:r>
      <w:r>
        <w:rPr>
          <w:rFonts w:ascii="宋体" w:hAnsi="宋体" w:eastAsia="宋体" w:cs="宋体"/>
          <w:color w:val="auto"/>
          <w:spacing w:val="4"/>
          <w:sz w:val="24"/>
          <w:szCs w:val="24"/>
          <w:highlight w:val="none"/>
        </w:rPr>
        <w:t>满足《中华人民共和国政府采购法》第二十</w:t>
      </w:r>
      <w:r>
        <w:rPr>
          <w:rFonts w:ascii="宋体" w:hAnsi="宋体" w:eastAsia="宋体" w:cs="宋体"/>
          <w:color w:val="auto"/>
          <w:spacing w:val="3"/>
          <w:sz w:val="24"/>
          <w:szCs w:val="24"/>
          <w:highlight w:val="none"/>
        </w:rPr>
        <w:t>二条规定</w:t>
      </w:r>
      <w:r>
        <w:rPr>
          <w:rFonts w:ascii="宋体" w:hAnsi="宋体" w:eastAsia="宋体" w:cs="宋体"/>
          <w:color w:val="auto"/>
          <w:spacing w:val="61"/>
          <w:sz w:val="24"/>
          <w:szCs w:val="24"/>
          <w:highlight w:val="none"/>
        </w:rPr>
        <w:t xml:space="preserve"> </w:t>
      </w:r>
      <w:r>
        <w:rPr>
          <w:rFonts w:ascii="宋体" w:hAnsi="宋体" w:eastAsia="宋体" w:cs="宋体"/>
          <w:color w:val="auto"/>
          <w:spacing w:val="3"/>
          <w:sz w:val="24"/>
          <w:szCs w:val="24"/>
          <w:highlight w:val="none"/>
        </w:rPr>
        <w:t>(响应文件中须提供有效</w:t>
      </w:r>
      <w:r>
        <w:rPr>
          <w:rFonts w:ascii="宋体" w:hAnsi="宋体" w:eastAsia="宋体" w:cs="宋体"/>
          <w:color w:val="auto"/>
          <w:sz w:val="24"/>
          <w:szCs w:val="24"/>
          <w:highlight w:val="none"/>
        </w:rPr>
        <w:t xml:space="preserve"> </w:t>
      </w:r>
      <w:r>
        <w:rPr>
          <w:rFonts w:ascii="宋体" w:hAnsi="宋体" w:eastAsia="宋体" w:cs="宋体"/>
          <w:color w:val="auto"/>
          <w:spacing w:val="8"/>
          <w:sz w:val="24"/>
          <w:szCs w:val="24"/>
          <w:highlight w:val="none"/>
        </w:rPr>
        <w:t>期内的营业执照</w:t>
      </w:r>
      <w:r>
        <w:rPr>
          <w:rFonts w:ascii="宋体" w:hAnsi="宋体" w:eastAsia="宋体" w:cs="宋体"/>
          <w:color w:val="auto"/>
          <w:spacing w:val="82"/>
          <w:sz w:val="24"/>
          <w:szCs w:val="24"/>
          <w:highlight w:val="none"/>
        </w:rPr>
        <w:t xml:space="preserve"> </w:t>
      </w:r>
      <w:r>
        <w:rPr>
          <w:rFonts w:ascii="宋体" w:hAnsi="宋体" w:eastAsia="宋体" w:cs="宋体"/>
          <w:color w:val="auto"/>
          <w:spacing w:val="8"/>
          <w:sz w:val="24"/>
          <w:szCs w:val="24"/>
          <w:highlight w:val="none"/>
        </w:rPr>
        <w:t>(或事业单位法人登记证书)</w:t>
      </w:r>
      <w:r>
        <w:rPr>
          <w:rFonts w:ascii="宋体" w:hAnsi="宋体" w:eastAsia="宋体" w:cs="宋体"/>
          <w:color w:val="auto"/>
          <w:spacing w:val="51"/>
          <w:sz w:val="24"/>
          <w:szCs w:val="24"/>
          <w:highlight w:val="none"/>
        </w:rPr>
        <w:t xml:space="preserve"> </w:t>
      </w:r>
      <w:r>
        <w:rPr>
          <w:rFonts w:ascii="宋体" w:hAnsi="宋体" w:eastAsia="宋体" w:cs="宋体"/>
          <w:color w:val="auto"/>
          <w:spacing w:val="8"/>
          <w:sz w:val="24"/>
          <w:szCs w:val="24"/>
          <w:highlight w:val="none"/>
        </w:rPr>
        <w:t>的清晰影印件或扫描件</w:t>
      </w:r>
      <w:r>
        <w:rPr>
          <w:rFonts w:hint="eastAsia" w:ascii="宋体" w:hAnsi="宋体" w:eastAsia="宋体" w:cs="宋体"/>
          <w:color w:val="auto"/>
          <w:spacing w:val="8"/>
          <w:sz w:val="24"/>
          <w:szCs w:val="24"/>
          <w:highlight w:val="none"/>
          <w:lang w:eastAsia="zh-CN"/>
        </w:rPr>
        <w:t>，</w:t>
      </w:r>
      <w:r>
        <w:rPr>
          <w:rFonts w:ascii="宋体" w:hAnsi="宋体" w:eastAsia="宋体" w:cs="宋体"/>
          <w:color w:val="auto"/>
          <w:spacing w:val="8"/>
          <w:sz w:val="24"/>
          <w:szCs w:val="24"/>
          <w:highlight w:val="none"/>
        </w:rPr>
        <w:t>否则申请无效) ；</w:t>
      </w:r>
    </w:p>
    <w:p w14:paraId="45D9D997">
      <w:pPr>
        <w:spacing w:before="78" w:line="457" w:lineRule="auto"/>
        <w:ind w:left="3" w:firstLine="497"/>
        <w:jc w:val="both"/>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综合维修企业具有有效期内</w:t>
      </w:r>
      <w:r>
        <w:rPr>
          <w:rFonts w:hint="eastAsia" w:ascii="宋体" w:hAnsi="宋体" w:eastAsia="宋体" w:cs="宋体"/>
          <w:color w:val="auto"/>
          <w:spacing w:val="8"/>
          <w:sz w:val="24"/>
          <w:szCs w:val="24"/>
          <w:highlight w:val="none"/>
          <w:lang w:val="en-US" w:eastAsia="zh-CN"/>
        </w:rPr>
        <w:t>三</w:t>
      </w:r>
      <w:r>
        <w:rPr>
          <w:rFonts w:hint="eastAsia" w:ascii="宋体" w:hAnsi="宋体" w:eastAsia="宋体" w:cs="宋体"/>
          <w:color w:val="auto"/>
          <w:spacing w:val="8"/>
          <w:sz w:val="24"/>
          <w:szCs w:val="24"/>
          <w:highlight w:val="none"/>
        </w:rPr>
        <w:t>类</w:t>
      </w:r>
      <w:r>
        <w:rPr>
          <w:rFonts w:hint="eastAsia" w:ascii="宋体" w:hAnsi="宋体" w:eastAsia="宋体" w:cs="宋体"/>
          <w:color w:val="auto"/>
          <w:spacing w:val="8"/>
          <w:sz w:val="24"/>
          <w:szCs w:val="24"/>
          <w:highlight w:val="none"/>
          <w:lang w:val="en-US" w:eastAsia="zh-CN"/>
        </w:rPr>
        <w:t>及以上</w:t>
      </w:r>
      <w:r>
        <w:rPr>
          <w:rFonts w:hint="eastAsia" w:ascii="宋体" w:hAnsi="宋体" w:eastAsia="宋体" w:cs="宋体"/>
          <w:color w:val="auto"/>
          <w:spacing w:val="8"/>
          <w:sz w:val="24"/>
          <w:szCs w:val="24"/>
          <w:highlight w:val="none"/>
        </w:rPr>
        <w:t>汽车维修经营资质证书或备案证明材料</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须提供维修资质证书或证明文件的原版扫描件，否则申请无效;</w:t>
      </w:r>
    </w:p>
    <w:p w14:paraId="7F4F85B5">
      <w:pPr>
        <w:spacing w:before="78" w:line="457" w:lineRule="auto"/>
        <w:ind w:left="3" w:firstLine="497"/>
        <w:jc w:val="both"/>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val="en-US" w:eastAsia="zh-CN"/>
        </w:rPr>
        <w:t>3</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为方便维修须在</w:t>
      </w:r>
      <w:r>
        <w:rPr>
          <w:rFonts w:hint="eastAsia" w:ascii="宋体" w:hAnsi="宋体" w:eastAsia="宋体" w:cs="宋体"/>
          <w:color w:val="auto"/>
          <w:spacing w:val="8"/>
          <w:sz w:val="24"/>
          <w:szCs w:val="24"/>
          <w:highlight w:val="none"/>
          <w:lang w:val="en-US" w:eastAsia="zh-CN"/>
        </w:rPr>
        <w:t>金寨县</w:t>
      </w:r>
      <w:r>
        <w:rPr>
          <w:rFonts w:hint="eastAsia" w:ascii="宋体" w:hAnsi="宋体" w:eastAsia="宋体" w:cs="宋体"/>
          <w:color w:val="auto"/>
          <w:spacing w:val="8"/>
          <w:sz w:val="24"/>
          <w:szCs w:val="24"/>
          <w:highlight w:val="none"/>
        </w:rPr>
        <w:t>有固定维保场所</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须提供房屋产权证书或有效期内租赁合同</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lang w:val="en-US" w:eastAsia="zh-CN"/>
        </w:rPr>
        <w:t>租赁期限不少于1年</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的原版扫描件</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否则申请无效</w:t>
      </w:r>
      <w:r>
        <w:rPr>
          <w:rFonts w:hint="eastAsia" w:ascii="宋体" w:hAnsi="宋体" w:eastAsia="宋体" w:cs="宋体"/>
          <w:color w:val="auto"/>
          <w:spacing w:val="8"/>
          <w:sz w:val="24"/>
          <w:szCs w:val="24"/>
          <w:highlight w:val="none"/>
          <w:lang w:eastAsia="zh-CN"/>
        </w:rPr>
        <w:t>。</w:t>
      </w:r>
    </w:p>
    <w:p w14:paraId="7696D590">
      <w:pPr>
        <w:spacing w:before="78" w:line="457" w:lineRule="auto"/>
        <w:ind w:left="3" w:firstLine="497"/>
        <w:jc w:val="both"/>
        <w:rPr>
          <w:rFonts w:ascii="宋体" w:hAnsi="宋体" w:eastAsia="宋体" w:cs="宋体"/>
          <w:color w:val="auto"/>
          <w:spacing w:val="8"/>
          <w:sz w:val="24"/>
          <w:szCs w:val="24"/>
          <w:highlight w:val="none"/>
        </w:rPr>
        <w:sectPr>
          <w:footerReference r:id="rId12" w:type="default"/>
          <w:pgSz w:w="11910" w:h="16840"/>
          <w:pgMar w:top="1046" w:right="1364" w:bottom="861" w:left="1472" w:header="0" w:footer="682" w:gutter="0"/>
          <w:cols w:space="720" w:num="1"/>
        </w:sectPr>
      </w:pPr>
    </w:p>
    <w:p w14:paraId="19EB56AC">
      <w:pPr>
        <w:spacing w:before="55" w:line="218" w:lineRule="auto"/>
        <w:ind w:left="2746"/>
        <w:outlineLvl w:val="0"/>
        <w:rPr>
          <w:rFonts w:ascii="黑体" w:hAnsi="黑体" w:eastAsia="黑体" w:cs="黑体"/>
          <w:color w:val="auto"/>
          <w:sz w:val="28"/>
          <w:szCs w:val="28"/>
          <w:highlight w:val="none"/>
        </w:rPr>
      </w:pPr>
      <w:bookmarkStart w:id="29" w:name="bookmark9"/>
      <w:bookmarkEnd w:id="29"/>
      <w:bookmarkStart w:id="30" w:name="bookmark10"/>
      <w:bookmarkEnd w:id="30"/>
      <w:r>
        <w:rPr>
          <w:rFonts w:ascii="黑体" w:hAnsi="黑体" w:eastAsia="黑体" w:cs="黑体"/>
          <w:color w:val="auto"/>
          <w:spacing w:val="-2"/>
          <w:sz w:val="28"/>
          <w:szCs w:val="28"/>
          <w:highlight w:val="none"/>
        </w:rPr>
        <w:t>第五章 资格审查方法和标准</w:t>
      </w:r>
    </w:p>
    <w:p w14:paraId="2B8FF5B5">
      <w:pPr>
        <w:pStyle w:val="6"/>
        <w:spacing w:line="278" w:lineRule="auto"/>
        <w:rPr>
          <w:color w:val="auto"/>
          <w:highlight w:val="none"/>
        </w:rPr>
      </w:pPr>
    </w:p>
    <w:p w14:paraId="43F33DA1">
      <w:pPr>
        <w:spacing w:line="560" w:lineRule="exact"/>
        <w:ind w:firstLine="600" w:firstLineChars="200"/>
        <w:rPr>
          <w:rFonts w:ascii="黑体" w:hAnsi="黑体" w:eastAsia="黑体" w:cs="方正黑体_GBK"/>
          <w:color w:val="auto"/>
          <w:sz w:val="30"/>
          <w:szCs w:val="30"/>
          <w:highlight w:val="none"/>
        </w:rPr>
      </w:pPr>
      <w:r>
        <w:rPr>
          <w:rFonts w:hint="eastAsia" w:ascii="黑体" w:hAnsi="黑体" w:eastAsia="黑体" w:cs="方正黑体_GBK"/>
          <w:color w:val="auto"/>
          <w:sz w:val="30"/>
          <w:szCs w:val="30"/>
          <w:highlight w:val="none"/>
        </w:rPr>
        <w:t>一、总则</w:t>
      </w:r>
    </w:p>
    <w:p w14:paraId="075B67ED">
      <w:pPr>
        <w:spacing w:line="560" w:lineRule="exact"/>
        <w:ind w:firstLine="600" w:firstLineChars="200"/>
        <w:rPr>
          <w:rFonts w:ascii="仿宋_GB2312" w:hAnsi="CESI宋体-GB2312" w:eastAsia="仿宋_GB2312" w:cs="CESI宋体-GB2312"/>
          <w:color w:val="auto"/>
          <w:sz w:val="30"/>
          <w:szCs w:val="30"/>
          <w:highlight w:val="none"/>
        </w:rPr>
      </w:pPr>
      <w:r>
        <w:rPr>
          <w:rFonts w:hint="eastAsia" w:ascii="仿宋_GB2312" w:hAnsi="CESI宋体-GB2312" w:eastAsia="仿宋_GB2312" w:cs="CESI宋体-GB2312"/>
          <w:color w:val="auto"/>
          <w:sz w:val="30"/>
          <w:szCs w:val="30"/>
          <w:highlight w:val="none"/>
        </w:rPr>
        <w:t>本项目将按照征集文件的相关要求及本章的规定评审。</w:t>
      </w:r>
    </w:p>
    <w:p w14:paraId="11B2FFD2">
      <w:pPr>
        <w:spacing w:line="560" w:lineRule="exact"/>
        <w:ind w:firstLine="600" w:firstLineChars="200"/>
        <w:rPr>
          <w:rFonts w:ascii="黑体" w:hAnsi="黑体" w:eastAsia="黑体" w:cs="方正黑体_GBK"/>
          <w:color w:val="auto"/>
          <w:sz w:val="30"/>
          <w:szCs w:val="30"/>
          <w:highlight w:val="none"/>
        </w:rPr>
      </w:pPr>
      <w:r>
        <w:rPr>
          <w:rFonts w:hint="eastAsia" w:ascii="黑体" w:hAnsi="黑体" w:eastAsia="黑体" w:cs="方正黑体_GBK"/>
          <w:color w:val="auto"/>
          <w:sz w:val="30"/>
          <w:szCs w:val="30"/>
          <w:highlight w:val="none"/>
        </w:rPr>
        <w:t>二、评审方法</w:t>
      </w:r>
    </w:p>
    <w:p w14:paraId="6956943D">
      <w:pPr>
        <w:spacing w:line="560" w:lineRule="exact"/>
        <w:ind w:firstLine="600" w:firstLineChars="200"/>
        <w:rPr>
          <w:rFonts w:ascii="仿宋_GB2312" w:hAnsi="CESI宋体-GB2312" w:eastAsia="仿宋_GB2312" w:cs="CESI宋体-GB2312"/>
          <w:color w:val="auto"/>
          <w:sz w:val="30"/>
          <w:szCs w:val="30"/>
          <w:highlight w:val="none"/>
        </w:rPr>
      </w:pPr>
      <w:r>
        <w:rPr>
          <w:rFonts w:hint="eastAsia" w:ascii="仿宋_GB2312" w:hAnsi="CESI宋体-GB2312" w:eastAsia="仿宋_GB2312" w:cs="CESI宋体-GB2312"/>
          <w:color w:val="auto"/>
          <w:sz w:val="30"/>
          <w:szCs w:val="30"/>
          <w:highlight w:val="none"/>
        </w:rPr>
        <w:t>依据政府采购相关法律法规规定，对供应商进行资格审查和符合性审查。</w:t>
      </w:r>
    </w:p>
    <w:p w14:paraId="4E24FF08">
      <w:pPr>
        <w:spacing w:line="560" w:lineRule="exact"/>
        <w:ind w:firstLine="602" w:firstLineChars="200"/>
        <w:rPr>
          <w:rFonts w:ascii="楷体_GB2312" w:hAnsi="CESI宋体-GB2312" w:eastAsia="楷体_GB2312" w:cs="CESI宋体-GB2312"/>
          <w:b/>
          <w:bCs/>
          <w:color w:val="auto"/>
          <w:sz w:val="30"/>
          <w:szCs w:val="30"/>
          <w:highlight w:val="none"/>
        </w:rPr>
      </w:pPr>
      <w:r>
        <w:rPr>
          <w:rFonts w:hint="eastAsia" w:ascii="楷体_GB2312" w:hAnsi="CESI宋体-GB2312" w:eastAsia="楷体_GB2312" w:cs="CESI宋体-GB2312"/>
          <w:b/>
          <w:bCs/>
          <w:color w:val="auto"/>
          <w:sz w:val="30"/>
          <w:szCs w:val="30"/>
          <w:highlight w:val="none"/>
        </w:rPr>
        <w:t>（一）资格审查</w:t>
      </w:r>
    </w:p>
    <w:p w14:paraId="73D6D45A">
      <w:pPr>
        <w:spacing w:line="560" w:lineRule="exact"/>
        <w:ind w:firstLine="600" w:firstLineChars="200"/>
        <w:rPr>
          <w:rFonts w:hint="eastAsia" w:ascii="仿宋_GB2312" w:hAnsi="CESI宋体-GB2312" w:eastAsia="仿宋_GB2312" w:cs="CESI宋体-GB2312"/>
          <w:color w:val="auto"/>
          <w:sz w:val="30"/>
          <w:szCs w:val="30"/>
          <w:highlight w:val="none"/>
        </w:rPr>
      </w:pPr>
      <w:r>
        <w:rPr>
          <w:rFonts w:hint="eastAsia" w:ascii="仿宋_GB2312" w:hAnsi="CESI宋体-GB2312" w:eastAsia="仿宋_GB2312" w:cs="CESI宋体-GB2312"/>
          <w:color w:val="auto"/>
          <w:sz w:val="30"/>
          <w:szCs w:val="30"/>
          <w:highlight w:val="none"/>
        </w:rPr>
        <w:t>资格审查指标通过标准:供应商须通过资格审查表中的全部评审指标。资格审查表如下:</w:t>
      </w:r>
    </w:p>
    <w:tbl>
      <w:tblPr>
        <w:tblStyle w:val="9"/>
        <w:tblpPr w:leftFromText="180" w:rightFromText="180" w:vertAnchor="text" w:horzAnchor="page" w:tblpX="2078" w:tblpY="4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266"/>
        <w:gridCol w:w="2581"/>
        <w:gridCol w:w="4167"/>
      </w:tblGrid>
      <w:tr w14:paraId="1CC0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0" w:type="dxa"/>
            <w:gridSpan w:val="4"/>
            <w:shd w:val="clear" w:color="auto" w:fill="auto"/>
            <w:noWrap/>
            <w:vAlign w:val="center"/>
          </w:tcPr>
          <w:p w14:paraId="4C38BC82">
            <w:pPr>
              <w:widowControl/>
              <w:spacing w:line="360" w:lineRule="exact"/>
              <w:jc w:val="center"/>
              <w:textAlignment w:val="center"/>
              <w:rPr>
                <w:rFonts w:ascii="宋体" w:hAnsi="宋体" w:eastAsia="宋体" w:cs="宋体"/>
                <w:b/>
                <w:bCs/>
                <w:color w:val="auto"/>
                <w:sz w:val="24"/>
                <w:szCs w:val="24"/>
                <w:highlight w:val="none"/>
              </w:rPr>
            </w:pPr>
            <w:r>
              <w:rPr>
                <w:rFonts w:hint="eastAsia" w:ascii="宋体" w:hAnsi="宋体" w:eastAsia="宋体" w:cs="方正黑体_GBK"/>
                <w:b/>
                <w:bCs/>
                <w:color w:val="auto"/>
                <w:kern w:val="0"/>
                <w:sz w:val="24"/>
                <w:szCs w:val="24"/>
                <w:highlight w:val="none"/>
                <w:lang w:bidi="ar"/>
              </w:rPr>
              <w:t>资格审查表</w:t>
            </w:r>
          </w:p>
        </w:tc>
      </w:tr>
      <w:tr w14:paraId="7C49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6" w:type="dxa"/>
            <w:shd w:val="clear" w:color="auto" w:fill="auto"/>
            <w:noWrap/>
            <w:vAlign w:val="center"/>
          </w:tcPr>
          <w:p w14:paraId="196F66E4">
            <w:pPr>
              <w:widowControl/>
              <w:spacing w:line="36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1266" w:type="dxa"/>
            <w:shd w:val="clear" w:color="auto" w:fill="auto"/>
            <w:noWrap/>
            <w:vAlign w:val="center"/>
          </w:tcPr>
          <w:p w14:paraId="4C1F7C49">
            <w:pPr>
              <w:widowControl/>
              <w:spacing w:line="36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评审指标</w:t>
            </w:r>
          </w:p>
        </w:tc>
        <w:tc>
          <w:tcPr>
            <w:tcW w:w="2581" w:type="dxa"/>
            <w:shd w:val="clear" w:color="auto" w:fill="auto"/>
            <w:noWrap/>
            <w:vAlign w:val="center"/>
          </w:tcPr>
          <w:p w14:paraId="4302DBF9">
            <w:pPr>
              <w:widowControl/>
              <w:spacing w:line="36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评审标准</w:t>
            </w:r>
          </w:p>
        </w:tc>
        <w:tc>
          <w:tcPr>
            <w:tcW w:w="4167" w:type="dxa"/>
            <w:shd w:val="clear" w:color="auto" w:fill="auto"/>
            <w:noWrap/>
            <w:vAlign w:val="center"/>
          </w:tcPr>
          <w:p w14:paraId="1FC7E091">
            <w:pPr>
              <w:widowControl/>
              <w:spacing w:line="36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格式及材料要求</w:t>
            </w:r>
          </w:p>
        </w:tc>
      </w:tr>
      <w:tr w14:paraId="17E2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6" w:type="dxa"/>
            <w:shd w:val="clear" w:color="auto" w:fill="auto"/>
            <w:noWrap/>
            <w:vAlign w:val="center"/>
          </w:tcPr>
          <w:p w14:paraId="2C179067">
            <w:pPr>
              <w:widowControl/>
              <w:spacing w:line="36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1266" w:type="dxa"/>
            <w:shd w:val="clear" w:color="auto" w:fill="auto"/>
            <w:noWrap/>
            <w:vAlign w:val="center"/>
          </w:tcPr>
          <w:p w14:paraId="0C4F9EDC">
            <w:pPr>
              <w:widowControl/>
              <w:spacing w:line="360" w:lineRule="exact"/>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营业执照</w:t>
            </w:r>
          </w:p>
        </w:tc>
        <w:tc>
          <w:tcPr>
            <w:tcW w:w="2581" w:type="dxa"/>
            <w:shd w:val="clear" w:color="auto" w:fill="auto"/>
            <w:noWrap/>
            <w:vAlign w:val="center"/>
          </w:tcPr>
          <w:p w14:paraId="12B9DA7F">
            <w:pPr>
              <w:widowControl/>
              <w:spacing w:line="360" w:lineRule="exact"/>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合法有效</w:t>
            </w:r>
          </w:p>
        </w:tc>
        <w:tc>
          <w:tcPr>
            <w:tcW w:w="4167" w:type="dxa"/>
            <w:vMerge w:val="restart"/>
            <w:shd w:val="clear" w:color="auto" w:fill="auto"/>
            <w:vAlign w:val="center"/>
          </w:tcPr>
          <w:p w14:paraId="19A1358B">
            <w:pPr>
              <w:widowControl/>
              <w:spacing w:line="360" w:lineRule="exact"/>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提供有效的供应商营业执照（或事业单位法人登记证书）和税务登记证的影印件或扫描件，应完整的体现出营业执照（或事业单位法人登记证书）和税务登记证的全部内容。已办理“三证合一”登记的，响应文件中提供营业执照（或事业单位法人登记证书）影印件或扫描件即可。</w:t>
            </w:r>
          </w:p>
        </w:tc>
      </w:tr>
      <w:tr w14:paraId="73B0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6" w:type="dxa"/>
            <w:shd w:val="clear" w:color="auto" w:fill="auto"/>
            <w:noWrap/>
            <w:vAlign w:val="center"/>
          </w:tcPr>
          <w:p w14:paraId="329BE4AA">
            <w:pPr>
              <w:widowControl/>
              <w:spacing w:line="36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1266" w:type="dxa"/>
            <w:shd w:val="clear" w:color="auto" w:fill="auto"/>
            <w:noWrap/>
            <w:vAlign w:val="center"/>
          </w:tcPr>
          <w:p w14:paraId="7F2C45D1">
            <w:pPr>
              <w:widowControl/>
              <w:spacing w:line="360" w:lineRule="exact"/>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税务登记证</w:t>
            </w:r>
          </w:p>
        </w:tc>
        <w:tc>
          <w:tcPr>
            <w:tcW w:w="2581" w:type="dxa"/>
            <w:shd w:val="clear" w:color="auto" w:fill="auto"/>
            <w:noWrap/>
            <w:vAlign w:val="center"/>
          </w:tcPr>
          <w:p w14:paraId="690157EE">
            <w:pPr>
              <w:widowControl/>
              <w:spacing w:line="360" w:lineRule="exact"/>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合法有效</w:t>
            </w:r>
          </w:p>
        </w:tc>
        <w:tc>
          <w:tcPr>
            <w:tcW w:w="4167" w:type="dxa"/>
            <w:vMerge w:val="continue"/>
            <w:shd w:val="clear" w:color="auto" w:fill="auto"/>
            <w:vAlign w:val="center"/>
          </w:tcPr>
          <w:p w14:paraId="11094DB5">
            <w:pPr>
              <w:widowControl/>
              <w:spacing w:line="360" w:lineRule="exact"/>
              <w:jc w:val="left"/>
              <w:rPr>
                <w:rFonts w:ascii="宋体" w:hAnsi="宋体" w:eastAsia="宋体" w:cs="宋体"/>
                <w:color w:val="auto"/>
                <w:sz w:val="24"/>
                <w:szCs w:val="24"/>
                <w:highlight w:val="none"/>
              </w:rPr>
            </w:pPr>
          </w:p>
        </w:tc>
      </w:tr>
      <w:tr w14:paraId="7626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6" w:type="dxa"/>
            <w:shd w:val="clear" w:color="auto" w:fill="auto"/>
            <w:noWrap/>
            <w:vAlign w:val="center"/>
          </w:tcPr>
          <w:p w14:paraId="00495661">
            <w:pPr>
              <w:widowControl/>
              <w:spacing w:line="36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1266" w:type="dxa"/>
            <w:shd w:val="clear" w:color="auto" w:fill="auto"/>
            <w:noWrap/>
            <w:vAlign w:val="center"/>
          </w:tcPr>
          <w:p w14:paraId="33DBD8BA">
            <w:pPr>
              <w:widowControl/>
              <w:spacing w:line="360" w:lineRule="exact"/>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响应授权书</w:t>
            </w:r>
          </w:p>
        </w:tc>
        <w:tc>
          <w:tcPr>
            <w:tcW w:w="2581" w:type="dxa"/>
            <w:shd w:val="clear" w:color="auto" w:fill="auto"/>
            <w:noWrap/>
            <w:vAlign w:val="center"/>
          </w:tcPr>
          <w:p w14:paraId="7E99AC99">
            <w:pPr>
              <w:widowControl/>
              <w:spacing w:line="360" w:lineRule="exact"/>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合法有效</w:t>
            </w:r>
          </w:p>
        </w:tc>
        <w:tc>
          <w:tcPr>
            <w:tcW w:w="4167" w:type="dxa"/>
            <w:shd w:val="clear" w:color="auto" w:fill="auto"/>
            <w:vAlign w:val="center"/>
          </w:tcPr>
          <w:p w14:paraId="467D7769">
            <w:pPr>
              <w:widowControl/>
              <w:spacing w:line="360" w:lineRule="exact"/>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符合格式要求</w:t>
            </w:r>
          </w:p>
        </w:tc>
      </w:tr>
      <w:tr w14:paraId="2CDE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6" w:type="dxa"/>
            <w:shd w:val="clear" w:color="auto" w:fill="auto"/>
            <w:noWrap/>
            <w:vAlign w:val="center"/>
          </w:tcPr>
          <w:p w14:paraId="41207656">
            <w:pPr>
              <w:widowControl/>
              <w:spacing w:line="36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c>
          <w:tcPr>
            <w:tcW w:w="1266" w:type="dxa"/>
            <w:shd w:val="clear" w:color="auto" w:fill="auto"/>
            <w:noWrap/>
            <w:vAlign w:val="center"/>
          </w:tcPr>
          <w:p w14:paraId="5907EA2B">
            <w:pPr>
              <w:widowControl/>
              <w:spacing w:line="360" w:lineRule="exact"/>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声明函</w:t>
            </w:r>
          </w:p>
        </w:tc>
        <w:tc>
          <w:tcPr>
            <w:tcW w:w="2581" w:type="dxa"/>
            <w:shd w:val="clear" w:color="auto" w:fill="auto"/>
            <w:vAlign w:val="center"/>
          </w:tcPr>
          <w:p w14:paraId="2F8CEC1D">
            <w:pPr>
              <w:widowControl/>
              <w:spacing w:line="360" w:lineRule="exact"/>
              <w:jc w:val="left"/>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无重大违法记录声明函、无不良信用记录声明函</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中小企业声明函</w:t>
            </w:r>
          </w:p>
        </w:tc>
        <w:tc>
          <w:tcPr>
            <w:tcW w:w="4167" w:type="dxa"/>
            <w:shd w:val="clear" w:color="auto" w:fill="auto"/>
            <w:vAlign w:val="center"/>
          </w:tcPr>
          <w:p w14:paraId="699332EE">
            <w:pPr>
              <w:widowControl/>
              <w:spacing w:line="360" w:lineRule="exact"/>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符合格式要求</w:t>
            </w:r>
          </w:p>
        </w:tc>
      </w:tr>
      <w:tr w14:paraId="22E2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6" w:type="dxa"/>
            <w:shd w:val="clear" w:color="auto" w:fill="auto"/>
            <w:noWrap/>
            <w:vAlign w:val="center"/>
          </w:tcPr>
          <w:p w14:paraId="16EC983C">
            <w:pPr>
              <w:widowControl/>
              <w:spacing w:line="360" w:lineRule="exact"/>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1266" w:type="dxa"/>
            <w:shd w:val="clear" w:color="auto" w:fill="auto"/>
            <w:noWrap/>
            <w:vAlign w:val="center"/>
          </w:tcPr>
          <w:p w14:paraId="777650B6">
            <w:pPr>
              <w:widowControl/>
              <w:spacing w:line="360" w:lineRule="exact"/>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其他要求</w:t>
            </w:r>
          </w:p>
        </w:tc>
        <w:tc>
          <w:tcPr>
            <w:tcW w:w="6748" w:type="dxa"/>
            <w:gridSpan w:val="2"/>
            <w:shd w:val="clear" w:color="auto" w:fill="auto"/>
            <w:vAlign w:val="center"/>
          </w:tcPr>
          <w:p w14:paraId="1E43CB5C">
            <w:pPr>
              <w:widowControl/>
              <w:spacing w:line="360" w:lineRule="exact"/>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符合法律、行政法规规定的其他条件或征集文件列明的其他要求。</w:t>
            </w:r>
          </w:p>
        </w:tc>
      </w:tr>
    </w:tbl>
    <w:p w14:paraId="78BDD56A">
      <w:pPr>
        <w:spacing w:line="560" w:lineRule="exact"/>
        <w:ind w:firstLine="600" w:firstLineChars="200"/>
        <w:rPr>
          <w:rFonts w:hint="eastAsia" w:ascii="仿宋_GB2312" w:hAnsi="CESI宋体-GB2312" w:eastAsia="仿宋_GB2312" w:cs="CESI宋体-GB2312"/>
          <w:color w:val="auto"/>
          <w:sz w:val="30"/>
          <w:szCs w:val="30"/>
          <w:highlight w:val="none"/>
        </w:rPr>
      </w:pPr>
    </w:p>
    <w:p w14:paraId="0B027E6C">
      <w:pPr>
        <w:spacing w:line="560" w:lineRule="exact"/>
        <w:ind w:firstLine="602" w:firstLineChars="200"/>
        <w:jc w:val="left"/>
        <w:rPr>
          <w:rFonts w:ascii="楷体_GB2312" w:hAnsi="CESI宋体-GB2312" w:eastAsia="楷体_GB2312" w:cs="CESI宋体-GB2312"/>
          <w:b/>
          <w:bCs/>
          <w:color w:val="auto"/>
          <w:sz w:val="30"/>
          <w:szCs w:val="30"/>
          <w:highlight w:val="none"/>
        </w:rPr>
      </w:pPr>
      <w:r>
        <w:rPr>
          <w:rFonts w:hint="eastAsia" w:ascii="楷体_GB2312" w:hAnsi="CESI宋体-GB2312" w:eastAsia="楷体_GB2312" w:cs="CESI宋体-GB2312"/>
          <w:b/>
          <w:bCs/>
          <w:color w:val="auto"/>
          <w:sz w:val="30"/>
          <w:szCs w:val="30"/>
          <w:highlight w:val="none"/>
        </w:rPr>
        <w:t>（二）符合性审查</w:t>
      </w:r>
    </w:p>
    <w:p w14:paraId="2C222890">
      <w:pPr>
        <w:spacing w:line="560" w:lineRule="exact"/>
        <w:ind w:firstLine="600" w:firstLineChars="200"/>
        <w:jc w:val="left"/>
        <w:rPr>
          <w:rFonts w:ascii="仿宋_GB2312" w:hAnsi="CESI宋体-GB2312" w:eastAsia="仿宋_GB2312" w:cs="CESI宋体-GB2312"/>
          <w:color w:val="auto"/>
          <w:sz w:val="30"/>
          <w:szCs w:val="30"/>
          <w:highlight w:val="none"/>
        </w:rPr>
      </w:pPr>
      <w:r>
        <w:rPr>
          <w:rFonts w:hint="eastAsia" w:ascii="仿宋_GB2312" w:hAnsi="CESI宋体-GB2312" w:eastAsia="仿宋_GB2312" w:cs="CESI宋体-GB2312"/>
          <w:color w:val="auto"/>
          <w:sz w:val="30"/>
          <w:szCs w:val="30"/>
          <w:highlight w:val="none"/>
        </w:rPr>
        <w:t>符合性审查指标通过标准:供应商须通过符合性审查表中的全部评审指标。</w:t>
      </w:r>
    </w:p>
    <w:tbl>
      <w:tblPr>
        <w:tblStyle w:val="9"/>
        <w:tblW w:w="0" w:type="auto"/>
        <w:tblInd w:w="91" w:type="dxa"/>
        <w:tblLayout w:type="autofit"/>
        <w:tblCellMar>
          <w:top w:w="0" w:type="dxa"/>
          <w:left w:w="108" w:type="dxa"/>
          <w:bottom w:w="0" w:type="dxa"/>
          <w:right w:w="108" w:type="dxa"/>
        </w:tblCellMar>
      </w:tblPr>
      <w:tblGrid>
        <w:gridCol w:w="696"/>
        <w:gridCol w:w="2642"/>
        <w:gridCol w:w="3289"/>
        <w:gridCol w:w="2120"/>
      </w:tblGrid>
      <w:tr w14:paraId="35329543">
        <w:tblPrEx>
          <w:tblCellMar>
            <w:top w:w="0" w:type="dxa"/>
            <w:left w:w="108" w:type="dxa"/>
            <w:bottom w:w="0" w:type="dxa"/>
            <w:right w:w="108" w:type="dxa"/>
          </w:tblCellMar>
        </w:tblPrEx>
        <w:trPr>
          <w:trHeight w:val="6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EF13">
            <w:pPr>
              <w:widowControl/>
              <w:spacing w:line="360" w:lineRule="exact"/>
              <w:jc w:val="center"/>
              <w:textAlignment w:val="center"/>
              <w:rPr>
                <w:rFonts w:ascii="宋体" w:hAnsi="宋体" w:eastAsia="宋体" w:cs="宋体"/>
                <w:b/>
                <w:bCs/>
                <w:color w:val="auto"/>
                <w:sz w:val="24"/>
                <w:szCs w:val="24"/>
                <w:highlight w:val="none"/>
              </w:rPr>
            </w:pPr>
            <w:r>
              <w:rPr>
                <w:rFonts w:hint="eastAsia" w:ascii="宋体" w:hAnsi="宋体" w:eastAsia="宋体" w:cs="方正黑体_GBK"/>
                <w:b/>
                <w:bCs/>
                <w:color w:val="auto"/>
                <w:kern w:val="0"/>
                <w:sz w:val="24"/>
                <w:szCs w:val="24"/>
                <w:highlight w:val="none"/>
                <w:lang w:bidi="ar"/>
              </w:rPr>
              <w:t>符合性审查表</w:t>
            </w:r>
          </w:p>
        </w:tc>
      </w:tr>
      <w:tr w14:paraId="7A8AA153">
        <w:tblPrEx>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A286">
            <w:pPr>
              <w:widowControl/>
              <w:spacing w:line="36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C58A">
            <w:pPr>
              <w:widowControl/>
              <w:spacing w:line="36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评审指标 </w:t>
            </w:r>
          </w:p>
        </w:tc>
        <w:tc>
          <w:tcPr>
            <w:tcW w:w="3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2720">
            <w:pPr>
              <w:widowControl/>
              <w:spacing w:line="36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评审标准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B998">
            <w:pPr>
              <w:widowControl/>
              <w:spacing w:line="36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格式及材料要求</w:t>
            </w:r>
          </w:p>
        </w:tc>
      </w:tr>
      <w:tr w14:paraId="7AE2A2F6">
        <w:tblPrEx>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2530">
            <w:pPr>
              <w:widowControl/>
              <w:spacing w:line="360" w:lineRule="exact"/>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5E0C">
            <w:pPr>
              <w:pStyle w:val="13"/>
              <w:spacing w:line="36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rPr>
              <w:t>供应商名称</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0EF5">
            <w:pPr>
              <w:pStyle w:val="13"/>
              <w:spacing w:line="360" w:lineRule="exact"/>
              <w:rPr>
                <w:rFonts w:ascii="宋体" w:hAnsi="宋体" w:eastAsia="宋体" w:cs="宋体"/>
                <w:color w:val="auto"/>
                <w:kern w:val="0"/>
                <w:sz w:val="24"/>
                <w:szCs w:val="24"/>
                <w:highlight w:val="none"/>
                <w:lang w:eastAsia="zh-CN" w:bidi="ar"/>
              </w:rPr>
            </w:pPr>
            <w:r>
              <w:rPr>
                <w:rFonts w:hint="eastAsia" w:ascii="宋体" w:hAnsi="宋体" w:eastAsia="宋体" w:cs="宋体"/>
                <w:color w:val="auto"/>
                <w:spacing w:val="-2"/>
                <w:sz w:val="24"/>
                <w:szCs w:val="24"/>
                <w:highlight w:val="none"/>
                <w:lang w:eastAsia="zh-CN"/>
              </w:rPr>
              <w:t>与营业执照、资质证书等一致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2A22">
            <w:pPr>
              <w:widowControl/>
              <w:spacing w:line="360" w:lineRule="exact"/>
              <w:jc w:val="center"/>
              <w:textAlignment w:val="center"/>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符合征集文件要求</w:t>
            </w:r>
          </w:p>
        </w:tc>
      </w:tr>
      <w:tr w14:paraId="570B0C40">
        <w:tblPrEx>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3EC1">
            <w:pPr>
              <w:widowControl/>
              <w:spacing w:line="360" w:lineRule="exact"/>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9E4F">
            <w:pPr>
              <w:pStyle w:val="13"/>
              <w:spacing w:line="360" w:lineRule="exact"/>
              <w:jc w:val="center"/>
              <w:rPr>
                <w:rFonts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法定代表人或</w:t>
            </w:r>
          </w:p>
          <w:p w14:paraId="7BC47D89">
            <w:pPr>
              <w:pStyle w:val="13"/>
              <w:spacing w:line="36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授权委托人资格</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7678">
            <w:pPr>
              <w:pStyle w:val="13"/>
              <w:spacing w:line="360" w:lineRule="exact"/>
              <w:rPr>
                <w:rFonts w:ascii="宋体" w:hAnsi="宋体" w:eastAsia="宋体" w:cs="宋体"/>
                <w:color w:val="auto"/>
                <w:kern w:val="0"/>
                <w:sz w:val="24"/>
                <w:szCs w:val="24"/>
                <w:highlight w:val="none"/>
                <w:lang w:eastAsia="zh-CN" w:bidi="ar"/>
              </w:rPr>
            </w:pPr>
            <w:r>
              <w:rPr>
                <w:rFonts w:hint="eastAsia" w:ascii="宋体" w:hAnsi="宋体" w:eastAsia="宋体" w:cs="宋体"/>
                <w:color w:val="auto"/>
                <w:spacing w:val="-2"/>
                <w:sz w:val="24"/>
                <w:szCs w:val="24"/>
                <w:highlight w:val="none"/>
              </w:rPr>
              <w:t>符合</w:t>
            </w:r>
            <w:r>
              <w:rPr>
                <w:rFonts w:hint="eastAsia" w:ascii="宋体" w:hAnsi="宋体" w:eastAsia="宋体" w:cs="宋体"/>
                <w:color w:val="auto"/>
                <w:spacing w:val="-2"/>
                <w:sz w:val="24"/>
                <w:szCs w:val="24"/>
                <w:highlight w:val="none"/>
                <w:lang w:eastAsia="zh-CN"/>
              </w:rPr>
              <w:t>征集</w:t>
            </w:r>
            <w:r>
              <w:rPr>
                <w:rFonts w:hint="eastAsia" w:ascii="宋体" w:hAnsi="宋体" w:eastAsia="宋体" w:cs="宋体"/>
                <w:color w:val="auto"/>
                <w:spacing w:val="-2"/>
                <w:sz w:val="24"/>
                <w:szCs w:val="24"/>
                <w:highlight w:val="none"/>
              </w:rPr>
              <w:t>文件要求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7497">
            <w:pPr>
              <w:widowControl/>
              <w:spacing w:line="360" w:lineRule="exact"/>
              <w:jc w:val="center"/>
              <w:textAlignment w:val="center"/>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符合文件格式要求</w:t>
            </w:r>
          </w:p>
        </w:tc>
      </w:tr>
      <w:tr w14:paraId="377E4E83">
        <w:tblPrEx>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9B64">
            <w:pPr>
              <w:widowControl/>
              <w:spacing w:line="360" w:lineRule="exact"/>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263D">
            <w:pPr>
              <w:pStyle w:val="13"/>
              <w:spacing w:line="36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响应</w:t>
            </w:r>
            <w:r>
              <w:rPr>
                <w:rFonts w:hint="eastAsia" w:ascii="宋体" w:hAnsi="宋体" w:eastAsia="宋体" w:cs="宋体"/>
                <w:color w:val="auto"/>
                <w:spacing w:val="-1"/>
                <w:sz w:val="24"/>
                <w:szCs w:val="24"/>
                <w:highlight w:val="none"/>
              </w:rPr>
              <w:t>文件盖章</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4F5E">
            <w:pPr>
              <w:pStyle w:val="13"/>
              <w:spacing w:line="360" w:lineRule="exact"/>
              <w:rPr>
                <w:rFonts w:ascii="宋体" w:hAnsi="宋体" w:eastAsia="宋体" w:cs="宋体"/>
                <w:color w:val="auto"/>
                <w:kern w:val="0"/>
                <w:sz w:val="24"/>
                <w:szCs w:val="24"/>
                <w:highlight w:val="none"/>
                <w:lang w:eastAsia="zh-CN" w:bidi="ar"/>
              </w:rPr>
            </w:pPr>
            <w:r>
              <w:rPr>
                <w:rFonts w:hint="eastAsia" w:ascii="宋体" w:hAnsi="宋体" w:eastAsia="宋体" w:cs="宋体"/>
                <w:color w:val="auto"/>
                <w:spacing w:val="-1"/>
                <w:sz w:val="24"/>
                <w:szCs w:val="24"/>
                <w:highlight w:val="none"/>
                <w:lang w:eastAsia="zh-CN"/>
              </w:rPr>
              <w:t>按征集文件要求加盖公章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43CC">
            <w:pPr>
              <w:widowControl/>
              <w:spacing w:line="360" w:lineRule="exact"/>
              <w:jc w:val="center"/>
              <w:textAlignment w:val="center"/>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符合征集文件要求</w:t>
            </w:r>
          </w:p>
        </w:tc>
      </w:tr>
      <w:tr w14:paraId="62DE7017">
        <w:tblPrEx>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EBE1">
            <w:pPr>
              <w:widowControl/>
              <w:spacing w:line="360" w:lineRule="exact"/>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7D2B">
            <w:pPr>
              <w:pStyle w:val="13"/>
              <w:spacing w:line="36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响应</w:t>
            </w:r>
            <w:r>
              <w:rPr>
                <w:rFonts w:hint="eastAsia" w:ascii="宋体" w:hAnsi="宋体" w:eastAsia="宋体" w:cs="宋体"/>
                <w:color w:val="auto"/>
                <w:spacing w:val="-2"/>
                <w:sz w:val="24"/>
                <w:szCs w:val="24"/>
                <w:highlight w:val="none"/>
              </w:rPr>
              <w:t>文件签署</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9940">
            <w:pPr>
              <w:pStyle w:val="13"/>
              <w:spacing w:line="360" w:lineRule="exact"/>
              <w:rPr>
                <w:rFonts w:ascii="宋体" w:hAnsi="宋体" w:eastAsia="宋体" w:cs="宋体"/>
                <w:color w:val="auto"/>
                <w:kern w:val="0"/>
                <w:sz w:val="24"/>
                <w:szCs w:val="24"/>
                <w:highlight w:val="none"/>
                <w:lang w:eastAsia="zh-CN" w:bidi="ar"/>
              </w:rPr>
            </w:pPr>
            <w:r>
              <w:rPr>
                <w:rFonts w:hint="eastAsia" w:ascii="宋体" w:hAnsi="宋体" w:eastAsia="宋体" w:cs="宋体"/>
                <w:color w:val="auto"/>
                <w:spacing w:val="-2"/>
                <w:sz w:val="24"/>
                <w:szCs w:val="24"/>
                <w:highlight w:val="none"/>
                <w:lang w:eastAsia="zh-CN"/>
              </w:rPr>
              <w:t>按征集文件规定格式进行签字(签章)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56D1">
            <w:pPr>
              <w:widowControl/>
              <w:spacing w:line="360" w:lineRule="exact"/>
              <w:jc w:val="center"/>
              <w:textAlignment w:val="center"/>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符合征集文件要求</w:t>
            </w:r>
          </w:p>
        </w:tc>
      </w:tr>
      <w:tr w14:paraId="2BCDB68D">
        <w:tblPrEx>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5410">
            <w:pPr>
              <w:widowControl/>
              <w:spacing w:line="360" w:lineRule="exact"/>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B978">
            <w:pPr>
              <w:pStyle w:val="13"/>
              <w:spacing w:line="36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响应</w:t>
            </w:r>
            <w:r>
              <w:rPr>
                <w:rFonts w:hint="eastAsia" w:ascii="宋体" w:hAnsi="宋体" w:eastAsia="宋体" w:cs="宋体"/>
                <w:color w:val="auto"/>
                <w:spacing w:val="-4"/>
                <w:sz w:val="24"/>
                <w:szCs w:val="24"/>
                <w:highlight w:val="none"/>
              </w:rPr>
              <w:t>文件格式</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B453">
            <w:pPr>
              <w:pStyle w:val="13"/>
              <w:spacing w:line="360" w:lineRule="exact"/>
              <w:rPr>
                <w:rFonts w:ascii="宋体" w:hAnsi="宋体" w:eastAsia="宋体" w:cs="宋体"/>
                <w:color w:val="auto"/>
                <w:kern w:val="0"/>
                <w:sz w:val="24"/>
                <w:szCs w:val="24"/>
                <w:highlight w:val="none"/>
                <w:lang w:eastAsia="zh-CN" w:bidi="ar"/>
              </w:rPr>
            </w:pPr>
            <w:r>
              <w:rPr>
                <w:rFonts w:hint="eastAsia" w:ascii="宋体" w:hAnsi="宋体" w:eastAsia="宋体" w:cs="宋体"/>
                <w:color w:val="auto"/>
                <w:spacing w:val="3"/>
                <w:sz w:val="24"/>
                <w:szCs w:val="24"/>
                <w:highlight w:val="none"/>
              </w:rPr>
              <w:t>按规定格式填写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87E9">
            <w:pPr>
              <w:widowControl/>
              <w:spacing w:line="360" w:lineRule="exact"/>
              <w:jc w:val="center"/>
              <w:textAlignment w:val="center"/>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符合文件格式要求</w:t>
            </w:r>
          </w:p>
        </w:tc>
      </w:tr>
      <w:tr w14:paraId="358FB78E">
        <w:tblPrEx>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FF25">
            <w:pPr>
              <w:widowControl/>
              <w:spacing w:line="360" w:lineRule="exact"/>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6</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651C">
            <w:pPr>
              <w:pStyle w:val="13"/>
              <w:spacing w:line="36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响应</w:t>
            </w:r>
            <w:r>
              <w:rPr>
                <w:rFonts w:hint="eastAsia" w:ascii="宋体" w:hAnsi="宋体" w:eastAsia="宋体" w:cs="宋体"/>
                <w:color w:val="auto"/>
                <w:spacing w:val="-4"/>
                <w:sz w:val="24"/>
                <w:szCs w:val="24"/>
                <w:highlight w:val="none"/>
              </w:rPr>
              <w:t>方案及报价</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FE58">
            <w:pPr>
              <w:pStyle w:val="13"/>
              <w:spacing w:line="360" w:lineRule="exact"/>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报价按照征集文件中规定的方式报价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CB55">
            <w:pPr>
              <w:widowControl/>
              <w:spacing w:line="360" w:lineRule="exact"/>
              <w:jc w:val="center"/>
              <w:textAlignment w:val="center"/>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符合文件格式要求</w:t>
            </w:r>
          </w:p>
        </w:tc>
      </w:tr>
      <w:tr w14:paraId="3A41AD17">
        <w:tblPrEx>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2F13">
            <w:pPr>
              <w:widowControl/>
              <w:spacing w:line="360" w:lineRule="exact"/>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7</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0A70">
            <w:pPr>
              <w:pStyle w:val="13"/>
              <w:spacing w:line="36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项目要求</w:t>
            </w:r>
            <w:r>
              <w:rPr>
                <w:rFonts w:hint="eastAsia" w:cs="宋体"/>
                <w:color w:val="auto"/>
                <w:spacing w:val="-7"/>
                <w:sz w:val="24"/>
                <w:szCs w:val="24"/>
                <w:highlight w:val="none"/>
                <w:lang w:eastAsia="zh-CN"/>
              </w:rPr>
              <w:t>、</w:t>
            </w:r>
            <w:r>
              <w:rPr>
                <w:rFonts w:hint="eastAsia" w:ascii="宋体" w:hAnsi="宋体" w:eastAsia="宋体" w:cs="宋体"/>
                <w:color w:val="auto"/>
                <w:spacing w:val="-7"/>
                <w:sz w:val="24"/>
                <w:szCs w:val="24"/>
                <w:highlight w:val="none"/>
                <w:lang w:eastAsia="zh-CN"/>
              </w:rPr>
              <w:t xml:space="preserve"> 服务要求</w:t>
            </w:r>
            <w:r>
              <w:rPr>
                <w:rFonts w:hint="eastAsia" w:cs="宋体"/>
                <w:color w:val="auto"/>
                <w:spacing w:val="-7"/>
                <w:sz w:val="24"/>
                <w:szCs w:val="24"/>
                <w:highlight w:val="none"/>
                <w:lang w:eastAsia="zh-CN"/>
              </w:rPr>
              <w:t>、</w:t>
            </w:r>
            <w:r>
              <w:rPr>
                <w:rFonts w:hint="eastAsia" w:ascii="宋体" w:hAnsi="宋体" w:eastAsia="宋体" w:cs="宋体"/>
                <w:color w:val="auto"/>
                <w:spacing w:val="-7"/>
                <w:sz w:val="24"/>
                <w:szCs w:val="24"/>
                <w:highlight w:val="none"/>
                <w:lang w:eastAsia="zh-CN"/>
              </w:rPr>
              <w:t>确定第二阶段成交供应商方式</w:t>
            </w:r>
            <w:r>
              <w:rPr>
                <w:rFonts w:hint="eastAsia" w:cs="宋体"/>
                <w:color w:val="auto"/>
                <w:spacing w:val="-7"/>
                <w:sz w:val="24"/>
                <w:szCs w:val="24"/>
                <w:highlight w:val="none"/>
                <w:lang w:eastAsia="zh-CN"/>
              </w:rPr>
              <w:t>、</w:t>
            </w:r>
            <w:r>
              <w:rPr>
                <w:rFonts w:hint="eastAsia" w:ascii="宋体" w:hAnsi="宋体" w:eastAsia="宋体" w:cs="宋体"/>
                <w:color w:val="auto"/>
                <w:spacing w:val="-7"/>
                <w:sz w:val="24"/>
                <w:szCs w:val="24"/>
                <w:highlight w:val="none"/>
                <w:lang w:eastAsia="zh-CN"/>
              </w:rPr>
              <w:t>计费标准及结算方式</w:t>
            </w:r>
            <w:r>
              <w:rPr>
                <w:rFonts w:hint="eastAsia" w:cs="宋体"/>
                <w:color w:val="auto"/>
                <w:spacing w:val="-7"/>
                <w:sz w:val="24"/>
                <w:szCs w:val="24"/>
                <w:highlight w:val="none"/>
                <w:lang w:eastAsia="zh-CN"/>
              </w:rPr>
              <w:t>、</w:t>
            </w:r>
            <w:r>
              <w:rPr>
                <w:rFonts w:hint="eastAsia" w:ascii="宋体" w:hAnsi="宋体" w:eastAsia="宋体" w:cs="宋体"/>
                <w:color w:val="auto"/>
                <w:spacing w:val="-7"/>
                <w:sz w:val="24"/>
                <w:szCs w:val="24"/>
                <w:highlight w:val="none"/>
                <w:lang w:eastAsia="zh-CN"/>
              </w:rPr>
              <w:t>服务标准</w:t>
            </w:r>
            <w:r>
              <w:rPr>
                <w:rFonts w:hint="eastAsia" w:cs="宋体"/>
                <w:color w:val="auto"/>
                <w:spacing w:val="-7"/>
                <w:sz w:val="24"/>
                <w:szCs w:val="24"/>
                <w:highlight w:val="none"/>
                <w:lang w:eastAsia="zh-CN"/>
              </w:rPr>
              <w:t>、</w:t>
            </w:r>
            <w:r>
              <w:rPr>
                <w:rFonts w:hint="eastAsia" w:ascii="宋体" w:hAnsi="宋体" w:eastAsia="宋体" w:cs="宋体"/>
                <w:color w:val="auto"/>
                <w:spacing w:val="-7"/>
                <w:sz w:val="24"/>
                <w:szCs w:val="24"/>
                <w:highlight w:val="none"/>
                <w:lang w:eastAsia="zh-CN"/>
              </w:rPr>
              <w:t>其他服务要求</w:t>
            </w:r>
            <w:r>
              <w:rPr>
                <w:rFonts w:hint="eastAsia" w:ascii="宋体" w:hAnsi="宋体" w:eastAsia="宋体" w:cs="宋体"/>
                <w:color w:val="auto"/>
                <w:spacing w:val="-4"/>
                <w:sz w:val="24"/>
                <w:szCs w:val="24"/>
                <w:highlight w:val="none"/>
                <w:lang w:eastAsia="zh-CN"/>
              </w:rPr>
              <w:t>等</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E81B">
            <w:pPr>
              <w:pStyle w:val="13"/>
              <w:spacing w:line="360" w:lineRule="exact"/>
              <w:rPr>
                <w:rFonts w:ascii="宋体" w:hAnsi="宋体" w:eastAsia="宋体" w:cs="宋体"/>
                <w:color w:val="auto"/>
                <w:kern w:val="0"/>
                <w:sz w:val="24"/>
                <w:szCs w:val="24"/>
                <w:highlight w:val="none"/>
                <w:lang w:eastAsia="zh-CN" w:bidi="ar"/>
              </w:rPr>
            </w:pPr>
            <w:r>
              <w:rPr>
                <w:rFonts w:hint="eastAsia" w:ascii="宋体" w:hAnsi="宋体" w:eastAsia="宋体" w:cs="宋体"/>
                <w:color w:val="auto"/>
                <w:spacing w:val="-3"/>
                <w:sz w:val="24"/>
                <w:szCs w:val="24"/>
                <w:highlight w:val="none"/>
              </w:rPr>
              <w:t>符合</w:t>
            </w:r>
            <w:r>
              <w:rPr>
                <w:rFonts w:hint="eastAsia" w:ascii="宋体" w:hAnsi="宋体" w:eastAsia="宋体" w:cs="宋体"/>
                <w:color w:val="auto"/>
                <w:spacing w:val="-3"/>
                <w:sz w:val="24"/>
                <w:szCs w:val="24"/>
                <w:highlight w:val="none"/>
                <w:lang w:eastAsia="zh-CN"/>
              </w:rPr>
              <w:t>征集</w:t>
            </w:r>
            <w:r>
              <w:rPr>
                <w:rFonts w:hint="eastAsia" w:ascii="宋体" w:hAnsi="宋体" w:eastAsia="宋体" w:cs="宋体"/>
                <w:color w:val="auto"/>
                <w:spacing w:val="-3"/>
                <w:sz w:val="24"/>
                <w:szCs w:val="24"/>
                <w:highlight w:val="none"/>
              </w:rPr>
              <w:t>文件的要求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3E59">
            <w:pPr>
              <w:widowControl/>
              <w:spacing w:line="360" w:lineRule="exact"/>
              <w:jc w:val="center"/>
              <w:textAlignment w:val="center"/>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符合征集文件要求</w:t>
            </w:r>
          </w:p>
        </w:tc>
      </w:tr>
      <w:tr w14:paraId="6337A936">
        <w:tblPrEx>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9641">
            <w:pPr>
              <w:widowControl/>
              <w:spacing w:line="360" w:lineRule="exact"/>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8</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E454">
            <w:pPr>
              <w:pStyle w:val="13"/>
              <w:spacing w:line="360" w:lineRule="exact"/>
              <w:jc w:val="center"/>
              <w:rPr>
                <w:rFonts w:ascii="宋体" w:hAnsi="宋体" w:eastAsia="宋体" w:cs="宋体"/>
                <w:color w:val="auto"/>
                <w:kern w:val="0"/>
                <w:sz w:val="24"/>
                <w:szCs w:val="24"/>
                <w:highlight w:val="none"/>
                <w:lang w:eastAsia="zh-CN" w:bidi="ar"/>
              </w:rPr>
            </w:pPr>
            <w:r>
              <w:rPr>
                <w:rFonts w:hint="eastAsia" w:ascii="宋体" w:hAnsi="宋体" w:eastAsia="宋体" w:cs="宋体"/>
                <w:color w:val="auto"/>
                <w:spacing w:val="-5"/>
                <w:sz w:val="24"/>
                <w:szCs w:val="24"/>
                <w:highlight w:val="none"/>
              </w:rPr>
              <w:t>实质性要求</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B4A3">
            <w:pPr>
              <w:pStyle w:val="13"/>
              <w:spacing w:line="360" w:lineRule="exact"/>
              <w:rPr>
                <w:rFonts w:ascii="宋体" w:hAnsi="宋体" w:eastAsia="宋体" w:cs="宋体"/>
                <w:color w:val="auto"/>
                <w:kern w:val="0"/>
                <w:sz w:val="24"/>
                <w:szCs w:val="24"/>
                <w:highlight w:val="none"/>
                <w:lang w:eastAsia="zh-CN" w:bidi="ar"/>
              </w:rPr>
            </w:pPr>
            <w:r>
              <w:rPr>
                <w:rFonts w:hint="eastAsia" w:ascii="宋体" w:hAnsi="宋体" w:eastAsia="宋体" w:cs="宋体"/>
                <w:color w:val="auto"/>
                <w:sz w:val="24"/>
                <w:szCs w:val="24"/>
                <w:highlight w:val="none"/>
                <w:lang w:eastAsia="zh-CN"/>
              </w:rPr>
              <w:t>实质性响应征集文件要求并按征集文件要求提供实质性要</w:t>
            </w:r>
            <w:r>
              <w:rPr>
                <w:rFonts w:hint="eastAsia" w:ascii="宋体" w:hAnsi="宋体" w:eastAsia="宋体" w:cs="宋体"/>
                <w:color w:val="auto"/>
                <w:spacing w:val="-5"/>
                <w:sz w:val="24"/>
                <w:szCs w:val="24"/>
                <w:highlight w:val="none"/>
                <w:lang w:eastAsia="zh-CN"/>
              </w:rPr>
              <w:t>求证明材料。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2E2F">
            <w:pPr>
              <w:widowControl/>
              <w:spacing w:line="360" w:lineRule="exact"/>
              <w:jc w:val="center"/>
              <w:textAlignment w:val="center"/>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符合征集文件要求</w:t>
            </w:r>
          </w:p>
        </w:tc>
      </w:tr>
      <w:tr w14:paraId="18F75283">
        <w:tblPrEx>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44FC">
            <w:pPr>
              <w:widowControl/>
              <w:spacing w:line="360" w:lineRule="exact"/>
              <w:jc w:val="center"/>
              <w:textAlignment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9</w:t>
            </w:r>
          </w:p>
        </w:tc>
        <w:tc>
          <w:tcPr>
            <w:tcW w:w="2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413C">
            <w:pPr>
              <w:pStyle w:val="13"/>
              <w:spacing w:line="360" w:lineRule="exact"/>
              <w:jc w:val="center"/>
              <w:rPr>
                <w:rFonts w:ascii="宋体" w:hAnsi="宋体" w:eastAsia="宋体" w:cs="宋体"/>
                <w:color w:val="auto"/>
                <w:kern w:val="0"/>
                <w:sz w:val="24"/>
                <w:szCs w:val="24"/>
                <w:highlight w:val="none"/>
                <w:lang w:eastAsia="zh-CN" w:bidi="ar"/>
              </w:rPr>
            </w:pPr>
            <w:r>
              <w:rPr>
                <w:rFonts w:hint="eastAsia" w:ascii="宋体" w:hAnsi="宋体" w:eastAsia="宋体" w:cs="宋体"/>
                <w:color w:val="auto"/>
                <w:spacing w:val="-8"/>
                <w:sz w:val="24"/>
                <w:szCs w:val="24"/>
                <w:highlight w:val="none"/>
              </w:rPr>
              <w:t>其他</w:t>
            </w:r>
          </w:p>
        </w:tc>
        <w:tc>
          <w:tcPr>
            <w:tcW w:w="3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E017">
            <w:pPr>
              <w:pStyle w:val="13"/>
              <w:spacing w:line="360" w:lineRule="exact"/>
              <w:rPr>
                <w:rFonts w:ascii="宋体" w:hAnsi="宋体" w:eastAsia="宋体" w:cs="宋体"/>
                <w:color w:val="auto"/>
                <w:kern w:val="0"/>
                <w:sz w:val="24"/>
                <w:szCs w:val="24"/>
                <w:highlight w:val="none"/>
                <w:lang w:eastAsia="zh-CN" w:bidi="ar"/>
              </w:rPr>
            </w:pPr>
            <w:r>
              <w:rPr>
                <w:rFonts w:hint="eastAsia" w:ascii="宋体" w:hAnsi="宋体" w:eastAsia="宋体" w:cs="宋体"/>
                <w:color w:val="auto"/>
                <w:spacing w:val="-1"/>
                <w:sz w:val="24"/>
                <w:szCs w:val="24"/>
                <w:highlight w:val="none"/>
                <w:lang w:eastAsia="zh-CN"/>
              </w:rPr>
              <w:t>不符合法律法规和征集文件中规定的其它无效响应</w:t>
            </w:r>
            <w:r>
              <w:rPr>
                <w:rFonts w:hint="eastAsia" w:ascii="宋体" w:hAnsi="宋体" w:eastAsia="宋体" w:cs="宋体"/>
                <w:color w:val="auto"/>
                <w:spacing w:val="-3"/>
                <w:sz w:val="24"/>
                <w:szCs w:val="24"/>
                <w:highlight w:val="none"/>
                <w:lang w:eastAsia="zh-CN"/>
              </w:rPr>
              <w:t>的情形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0DA6">
            <w:pPr>
              <w:widowControl/>
              <w:spacing w:line="360" w:lineRule="exact"/>
              <w:jc w:val="center"/>
              <w:textAlignment w:val="center"/>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符合征集文件要求</w:t>
            </w:r>
          </w:p>
        </w:tc>
      </w:tr>
    </w:tbl>
    <w:p w14:paraId="0E16693D">
      <w:pPr>
        <w:spacing w:before="239" w:line="219" w:lineRule="auto"/>
        <w:ind w:left="473"/>
        <w:rPr>
          <w:rFonts w:ascii="宋体" w:hAnsi="宋体" w:eastAsia="宋体" w:cs="宋体"/>
          <w:color w:val="auto"/>
          <w:sz w:val="24"/>
          <w:szCs w:val="24"/>
          <w:highlight w:val="none"/>
        </w:rPr>
      </w:pPr>
    </w:p>
    <w:p w14:paraId="305F3559">
      <w:pPr>
        <w:spacing w:line="219" w:lineRule="auto"/>
        <w:rPr>
          <w:rFonts w:ascii="宋体" w:hAnsi="宋体" w:eastAsia="宋体" w:cs="宋体"/>
          <w:color w:val="auto"/>
          <w:sz w:val="24"/>
          <w:szCs w:val="24"/>
          <w:highlight w:val="none"/>
        </w:rPr>
        <w:sectPr>
          <w:footerReference r:id="rId13" w:type="default"/>
          <w:pgSz w:w="11910" w:h="16840"/>
          <w:pgMar w:top="1060" w:right="1529" w:bottom="861" w:left="1510" w:header="0" w:footer="682" w:gutter="0"/>
          <w:cols w:space="720" w:num="1"/>
        </w:sectPr>
      </w:pPr>
    </w:p>
    <w:p w14:paraId="4CC71BEF">
      <w:pPr>
        <w:spacing w:before="55" w:line="218" w:lineRule="auto"/>
        <w:ind w:left="2833"/>
        <w:outlineLvl w:val="0"/>
        <w:rPr>
          <w:rFonts w:ascii="黑体" w:hAnsi="黑体" w:eastAsia="黑体" w:cs="黑体"/>
          <w:color w:val="auto"/>
          <w:sz w:val="28"/>
          <w:szCs w:val="28"/>
          <w:highlight w:val="none"/>
        </w:rPr>
      </w:pPr>
      <w:bookmarkStart w:id="31" w:name="bookmark12"/>
      <w:bookmarkEnd w:id="31"/>
      <w:bookmarkStart w:id="32" w:name="bookmark11"/>
      <w:bookmarkEnd w:id="32"/>
      <w:r>
        <w:rPr>
          <w:rFonts w:ascii="黑体" w:hAnsi="黑体" w:eastAsia="黑体" w:cs="黑体"/>
          <w:color w:val="auto"/>
          <w:spacing w:val="-2"/>
          <w:sz w:val="28"/>
          <w:szCs w:val="28"/>
          <w:highlight w:val="none"/>
        </w:rPr>
        <w:t>第六章 第一阶段入围评审办法</w:t>
      </w:r>
    </w:p>
    <w:p w14:paraId="1C50DDB5">
      <w:pPr>
        <w:spacing w:before="159" w:line="221" w:lineRule="auto"/>
        <w:rPr>
          <w:rFonts w:ascii="宋体" w:hAnsi="宋体" w:eastAsia="宋体" w:cs="宋体"/>
          <w:color w:val="auto"/>
          <w:spacing w:val="-2"/>
          <w:sz w:val="24"/>
          <w:szCs w:val="24"/>
          <w:highlight w:val="none"/>
        </w:rPr>
      </w:pPr>
    </w:p>
    <w:p w14:paraId="34863523">
      <w:pPr>
        <w:spacing w:line="560" w:lineRule="exact"/>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一、评审方法及标准</w:t>
      </w:r>
    </w:p>
    <w:p w14:paraId="4553FD3E">
      <w:pPr>
        <w:spacing w:line="56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次采用质量优先法确定第一阶段入围供应商。质量优先法是指对满足采购需求且响应报价不超过最高限制单价的货物、服务进行质量综合评分，按照质量评分从高到低排序，根据征集文件规定的淘汰率或者入围供应商数量上限， 确定入围供应商的评审方法。</w:t>
      </w:r>
    </w:p>
    <w:p w14:paraId="438319B7">
      <w:pPr>
        <w:spacing w:line="560" w:lineRule="exact"/>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二、入围供应商数量上限</w:t>
      </w:r>
    </w:p>
    <w:p w14:paraId="1A88BD97">
      <w:pPr>
        <w:spacing w:line="56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选取9家维修企业作为入围供应商。当合格供应商≥12家时，将确定综合得分前9名的供应商为入围供应商;当3≤合格供应商＜12家时，按20%的淘汰率确定入围供应商家数（向上取整，例如9家供应商通过资格审查、符合性审查，按20%淘汰比例应该淘汰1.2家，向上取整淘汰2家)，按综合总得分从低到高顺序进行淘汰。如出现得分并列时，则由评审小组采用随机抽取的方式确定供应商排序。当合格供应商少于3家，本次采购活动终止，重新征集。</w:t>
      </w:r>
    </w:p>
    <w:p w14:paraId="03E1D802">
      <w:pPr>
        <w:spacing w:before="317" w:line="421" w:lineRule="auto"/>
        <w:ind w:left="551" w:right="404" w:firstLine="480"/>
        <w:jc w:val="both"/>
        <w:rPr>
          <w:rFonts w:ascii="宋体" w:hAnsi="宋体" w:eastAsia="宋体" w:cs="宋体"/>
          <w:b/>
          <w:bCs/>
          <w:color w:val="auto"/>
          <w:spacing w:val="-2"/>
          <w:sz w:val="24"/>
          <w:szCs w:val="24"/>
          <w:highlight w:val="none"/>
        </w:rPr>
      </w:pPr>
      <w:r>
        <w:rPr>
          <w:rFonts w:ascii="宋体" w:hAnsi="宋体" w:eastAsia="宋体" w:cs="宋体"/>
          <w:b/>
          <w:bCs/>
          <w:color w:val="auto"/>
          <w:spacing w:val="-2"/>
          <w:sz w:val="24"/>
          <w:szCs w:val="24"/>
          <w:highlight w:val="none"/>
        </w:rPr>
        <w:t>三、评审细则</w:t>
      </w:r>
    </w:p>
    <w:p w14:paraId="013011B4">
      <w:pPr>
        <w:rPr>
          <w:rFonts w:ascii="宋体" w:hAnsi="宋体" w:eastAsia="宋体" w:cs="宋体"/>
          <w:b/>
          <w:bCs/>
          <w:color w:val="auto"/>
          <w:spacing w:val="-2"/>
          <w:sz w:val="24"/>
          <w:szCs w:val="24"/>
          <w:highlight w:val="none"/>
        </w:rPr>
      </w:pPr>
      <w:r>
        <w:rPr>
          <w:rFonts w:ascii="宋体" w:hAnsi="宋体" w:eastAsia="宋体" w:cs="宋体"/>
          <w:b/>
          <w:bCs/>
          <w:color w:val="auto"/>
          <w:spacing w:val="-2"/>
          <w:sz w:val="24"/>
          <w:szCs w:val="24"/>
          <w:highlight w:val="none"/>
        </w:rPr>
        <w:br w:type="page"/>
      </w:r>
    </w:p>
    <w:p w14:paraId="471CA224">
      <w:pPr>
        <w:pStyle w:val="2"/>
        <w:rPr>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016"/>
        <w:gridCol w:w="810"/>
        <w:gridCol w:w="6754"/>
        <w:gridCol w:w="885"/>
      </w:tblGrid>
      <w:tr w14:paraId="463B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2"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31FCDB7">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8F8E252">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6754" w:type="dxa"/>
            <w:tcBorders>
              <w:top w:val="single" w:color="auto" w:sz="4" w:space="0"/>
              <w:left w:val="single" w:color="auto" w:sz="4" w:space="0"/>
              <w:bottom w:val="single" w:color="auto" w:sz="4" w:space="0"/>
              <w:right w:val="single" w:color="auto" w:sz="4" w:space="0"/>
            </w:tcBorders>
            <w:noWrap w:val="0"/>
            <w:vAlign w:val="center"/>
          </w:tcPr>
          <w:p w14:paraId="168FA923">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0DC5717">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02D9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016" w:type="dxa"/>
            <w:vMerge w:val="restart"/>
            <w:tcBorders>
              <w:left w:val="single" w:color="auto" w:sz="4" w:space="0"/>
              <w:right w:val="single" w:color="auto" w:sz="4" w:space="0"/>
            </w:tcBorders>
            <w:noWrap w:val="0"/>
            <w:vAlign w:val="center"/>
          </w:tcPr>
          <w:p w14:paraId="27619999">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b/>
                <w:bCs/>
                <w:color w:val="auto"/>
                <w:sz w:val="24"/>
                <w:szCs w:val="24"/>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EA95BD6">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服务小组</w:t>
            </w:r>
          </w:p>
        </w:tc>
        <w:tc>
          <w:tcPr>
            <w:tcW w:w="6754" w:type="dxa"/>
            <w:tcBorders>
              <w:top w:val="single" w:color="auto" w:sz="4" w:space="0"/>
              <w:left w:val="single" w:color="auto" w:sz="4" w:space="0"/>
              <w:bottom w:val="single" w:color="auto" w:sz="4" w:space="0"/>
              <w:right w:val="single" w:color="auto" w:sz="4" w:space="0"/>
            </w:tcBorders>
            <w:noWrap w:val="0"/>
            <w:vAlign w:val="center"/>
          </w:tcPr>
          <w:p w14:paraId="6097CDD4">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投标供应商为本项目成立的专门服务小组人员中：</w:t>
            </w:r>
          </w:p>
          <w:p w14:paraId="7375770C">
            <w:pPr>
              <w:keepNext w:val="0"/>
              <w:keepLines w:val="0"/>
              <w:pageBreakBefore w:val="0"/>
              <w:widowControl/>
              <w:kinsoku w:val="0"/>
              <w:wordWrap/>
              <w:overflowPunct/>
              <w:topLinePunct w:val="0"/>
              <w:autoSpaceDE w:val="0"/>
              <w:autoSpaceDN w:val="0"/>
              <w:bidi w:val="0"/>
              <w:adjustRightInd w:val="0"/>
              <w:snapToGrid w:val="0"/>
              <w:spacing w:line="400" w:lineRule="exact"/>
              <w:rPr>
                <w:rFonts w:hint="default" w:eastAsia="宋体"/>
                <w:color w:val="auto"/>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拟派主要管理人员具有</w:t>
            </w:r>
            <w:r>
              <w:rPr>
                <w:rFonts w:hint="eastAsia" w:ascii="宋体" w:hAnsi="宋体" w:eastAsia="宋体" w:cs="宋体"/>
                <w:color w:val="auto"/>
                <w:sz w:val="24"/>
                <w:szCs w:val="24"/>
                <w:highlight w:val="none"/>
                <w:lang w:val="en-US" w:eastAsia="zh-CN"/>
              </w:rPr>
              <w:t>维修</w:t>
            </w:r>
            <w:r>
              <w:rPr>
                <w:rFonts w:hint="eastAsia" w:ascii="宋体" w:hAnsi="宋体" w:eastAsia="宋体" w:cs="宋体"/>
                <w:color w:val="auto"/>
                <w:sz w:val="24"/>
                <w:szCs w:val="24"/>
                <w:highlight w:val="none"/>
              </w:rPr>
              <w:t>高级及以上职称的得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分，最高得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拟配备团队人员（不含项目负责人）每有一人具有中级</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汽车维修相关专业职称或职业资格或岗位证书的人员得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拟配备团队人员（不含项目负责人）中每有一人具有类似服务经验的，得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投标文件中须提供管理人员和</w:t>
            </w:r>
            <w:r>
              <w:rPr>
                <w:rFonts w:hint="eastAsia" w:ascii="宋体" w:hAnsi="宋体" w:eastAsia="宋体" w:cs="宋体"/>
                <w:color w:val="auto"/>
                <w:sz w:val="24"/>
                <w:szCs w:val="24"/>
                <w:highlight w:val="none"/>
                <w:lang w:val="en-US" w:eastAsia="zh-CN"/>
              </w:rPr>
              <w:t>团队</w:t>
            </w:r>
            <w:r>
              <w:rPr>
                <w:rFonts w:hint="eastAsia" w:ascii="宋体" w:hAnsi="宋体" w:eastAsia="宋体" w:cs="宋体"/>
                <w:color w:val="auto"/>
                <w:sz w:val="24"/>
                <w:szCs w:val="24"/>
                <w:highlight w:val="none"/>
              </w:rPr>
              <w:t>人员的名单；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两项投标文件中须提供相关人员的职称证书扫描件或影印件。一人同时具有中级和高级证书的，按高分计算一次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第3项投标文件中须提供类似服务经验的证明材料，未提供的不得分。</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43EA585">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0-8</w:t>
            </w:r>
          </w:p>
        </w:tc>
      </w:tr>
      <w:tr w14:paraId="674E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016" w:type="dxa"/>
            <w:vMerge w:val="continue"/>
            <w:tcBorders>
              <w:left w:val="single" w:color="auto" w:sz="4" w:space="0"/>
              <w:right w:val="single" w:color="auto" w:sz="4" w:space="0"/>
            </w:tcBorders>
            <w:noWrap w:val="0"/>
            <w:vAlign w:val="center"/>
          </w:tcPr>
          <w:p w14:paraId="43676FAC">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b/>
                <w:bCs/>
                <w:color w:val="auto"/>
                <w:sz w:val="24"/>
                <w:szCs w:val="24"/>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DCE204A">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生产经营条件</w:t>
            </w:r>
          </w:p>
        </w:tc>
        <w:tc>
          <w:tcPr>
            <w:tcW w:w="6754" w:type="dxa"/>
            <w:tcBorders>
              <w:top w:val="single" w:color="auto" w:sz="4" w:space="0"/>
              <w:left w:val="single" w:color="auto" w:sz="4" w:space="0"/>
              <w:bottom w:val="single" w:color="auto" w:sz="4" w:space="0"/>
              <w:right w:val="single" w:color="auto" w:sz="4" w:space="0"/>
            </w:tcBorders>
            <w:noWrap w:val="0"/>
            <w:vAlign w:val="center"/>
          </w:tcPr>
          <w:p w14:paraId="1F6662D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生产经营厂房（不含停车场）建筑面积</w:t>
            </w:r>
            <w:r>
              <w:rPr>
                <w:rFonts w:hint="eastAsia" w:ascii="宋体" w:hAnsi="宋体" w:eastAsia="宋体" w:cs="宋体"/>
                <w:color w:val="auto"/>
                <w:sz w:val="24"/>
                <w:szCs w:val="24"/>
                <w:highlight w:val="none"/>
                <w:lang w:val="en-US" w:eastAsia="zh-CN"/>
              </w:rPr>
              <w:t>应符合最新版《汽车维修业经营业务条件》（GB_T 16739）规定的面积，提供证明材料中厂房面积达到200平方及以上的得3分，达到800平方及以上的得6分，200平方（不含本数）以下的不得分。</w:t>
            </w:r>
          </w:p>
          <w:p w14:paraId="3C1026C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投标文件中须提供能体现生产经营厂房面积的房产证或租赁合同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租赁期限不少于1年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等相关证明材料</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扫描件或影印件（标注清晰）；证明材料中无法体现面积的不得分。不提供或提供不全的不得分。</w:t>
            </w:r>
          </w:p>
          <w:p w14:paraId="726AB0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2、生产经营厂房中，设有动力蓄电池存放专用场地，且划分新、旧件单独存放区的，</w:t>
            </w:r>
            <w:r>
              <w:rPr>
                <w:rFonts w:hint="eastAsia" w:ascii="宋体" w:hAnsi="宋体" w:eastAsia="宋体" w:cs="宋体"/>
                <w:color w:val="auto"/>
                <w:sz w:val="24"/>
                <w:szCs w:val="24"/>
                <w:highlight w:val="none"/>
              </w:rPr>
              <w:t>须提供能体现</w:t>
            </w:r>
            <w:r>
              <w:rPr>
                <w:rFonts w:hint="eastAsia" w:ascii="宋体" w:hAnsi="宋体" w:eastAsia="宋体" w:cs="宋体"/>
                <w:color w:val="auto"/>
                <w:sz w:val="24"/>
                <w:szCs w:val="24"/>
                <w:highlight w:val="none"/>
                <w:lang w:val="en-US" w:eastAsia="zh-CN"/>
              </w:rPr>
              <w:t>该场所</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照片或</w:t>
            </w:r>
            <w:r>
              <w:rPr>
                <w:rFonts w:hint="eastAsia" w:ascii="宋体" w:hAnsi="宋体" w:eastAsia="宋体" w:cs="宋体"/>
                <w:color w:val="auto"/>
                <w:sz w:val="24"/>
                <w:szCs w:val="24"/>
                <w:highlight w:val="none"/>
              </w:rPr>
              <w:t>相关证明材料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得2分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不提供或提供不全的不得分。</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D009D1A">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0-8</w:t>
            </w:r>
          </w:p>
        </w:tc>
      </w:tr>
      <w:tr w14:paraId="7A94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016" w:type="dxa"/>
            <w:vMerge w:val="continue"/>
            <w:tcBorders>
              <w:left w:val="single" w:color="auto" w:sz="4" w:space="0"/>
              <w:right w:val="single" w:color="auto" w:sz="4" w:space="0"/>
            </w:tcBorders>
            <w:noWrap w:val="0"/>
            <w:vAlign w:val="center"/>
          </w:tcPr>
          <w:p w14:paraId="4A17A223">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b/>
                <w:bCs/>
                <w:color w:val="auto"/>
                <w:sz w:val="24"/>
                <w:szCs w:val="24"/>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F92C073">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维修设施设备</w:t>
            </w:r>
          </w:p>
        </w:tc>
        <w:tc>
          <w:tcPr>
            <w:tcW w:w="6754" w:type="dxa"/>
            <w:tcBorders>
              <w:top w:val="single" w:color="auto" w:sz="4" w:space="0"/>
              <w:left w:val="single" w:color="auto" w:sz="4" w:space="0"/>
              <w:bottom w:val="single" w:color="auto" w:sz="4" w:space="0"/>
              <w:right w:val="single" w:color="auto" w:sz="4" w:space="0"/>
            </w:tcBorders>
            <w:noWrap w:val="0"/>
            <w:vAlign w:val="center"/>
          </w:tcPr>
          <w:p w14:paraId="412D24C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具有①四轮定位仪或转向轮定位仪、②汽车故障电脑诊断仪、③车身整形设备、④喷烤漆房及设备、⑤车架校正设备、⑥汽车空调制冷剂回收净化加注设备、⑦汽油喷油器清洗及流量测量、⑧抢修服务车、⑨平板拖车，</w:t>
            </w:r>
            <w:r>
              <w:rPr>
                <w:rFonts w:hint="eastAsia" w:ascii="宋体" w:hAnsi="宋体" w:eastAsia="宋体" w:cs="宋体"/>
                <w:color w:val="auto"/>
                <w:sz w:val="24"/>
                <w:szCs w:val="24"/>
                <w:highlight w:val="none"/>
              </w:rPr>
              <w:t>须提供设备清单、</w:t>
            </w:r>
            <w:r>
              <w:rPr>
                <w:rFonts w:hint="eastAsia" w:ascii="宋体" w:hAnsi="宋体" w:eastAsia="宋体" w:cs="宋体"/>
                <w:color w:val="auto"/>
                <w:sz w:val="24"/>
                <w:szCs w:val="24"/>
                <w:highlight w:val="none"/>
                <w:lang w:eastAsia="zh-CN"/>
              </w:rPr>
              <w:t>购置发票、</w:t>
            </w:r>
            <w:r>
              <w:rPr>
                <w:rFonts w:hint="eastAsia" w:ascii="宋体" w:hAnsi="宋体" w:eastAsia="宋体" w:cs="宋体"/>
                <w:color w:val="auto"/>
                <w:sz w:val="24"/>
                <w:szCs w:val="24"/>
                <w:highlight w:val="none"/>
              </w:rPr>
              <w:t>现场实物照片（或</w:t>
            </w:r>
            <w:r>
              <w:rPr>
                <w:rFonts w:hint="eastAsia" w:ascii="宋体" w:hAnsi="宋体" w:eastAsia="宋体" w:cs="宋体"/>
                <w:color w:val="auto"/>
                <w:sz w:val="24"/>
                <w:szCs w:val="24"/>
                <w:highlight w:val="none"/>
                <w:lang w:eastAsia="zh-CN"/>
              </w:rPr>
              <w:t>购置合同、租赁合同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扫描件或影印件。每</w:t>
            </w:r>
            <w:r>
              <w:rPr>
                <w:rFonts w:hint="eastAsia" w:ascii="宋体" w:hAnsi="宋体" w:eastAsia="宋体" w:cs="宋体"/>
                <w:color w:val="auto"/>
                <w:sz w:val="24"/>
                <w:szCs w:val="24"/>
                <w:highlight w:val="none"/>
                <w:lang w:val="en-US" w:eastAsia="zh-CN"/>
              </w:rPr>
              <w:t>提供1</w:t>
            </w:r>
            <w:r>
              <w:rPr>
                <w:rFonts w:hint="eastAsia" w:ascii="宋体" w:hAnsi="宋体" w:eastAsia="宋体" w:cs="宋体"/>
                <w:color w:val="auto"/>
                <w:sz w:val="24"/>
                <w:szCs w:val="24"/>
                <w:highlight w:val="none"/>
              </w:rPr>
              <w:t>项得1分，最多得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分，没有的不得分。</w:t>
            </w:r>
          </w:p>
          <w:p w14:paraId="0FE08181">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、具有举升机（两柱）1台的得1分，每多1台加2分，本项最多得5分，没有的不得分。</w:t>
            </w:r>
          </w:p>
          <w:p w14:paraId="2C3222AE">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、具有举升机（四柱）的，每提供1台得2分，最多得6分，没有的不得分。</w:t>
            </w:r>
          </w:p>
          <w:p w14:paraId="43C5A3A7">
            <w:pPr>
              <w:pStyle w:val="2"/>
              <w:ind w:left="0" w:leftChars="0" w:firstLine="0" w:firstLineChars="0"/>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投标文件中须提供举升机须提供</w:t>
            </w:r>
            <w:r>
              <w:rPr>
                <w:rFonts w:hint="eastAsia" w:ascii="宋体" w:hAnsi="宋体" w:eastAsia="宋体" w:cs="宋体"/>
                <w:color w:val="auto"/>
                <w:sz w:val="24"/>
                <w:szCs w:val="24"/>
                <w:highlight w:val="none"/>
                <w:lang w:eastAsia="zh-CN"/>
              </w:rPr>
              <w:t>购置发票、</w:t>
            </w:r>
            <w:r>
              <w:rPr>
                <w:rFonts w:hint="eastAsia" w:ascii="宋体" w:hAnsi="宋体" w:eastAsia="宋体" w:cs="宋体"/>
                <w:color w:val="auto"/>
                <w:sz w:val="24"/>
                <w:szCs w:val="24"/>
                <w:highlight w:val="none"/>
              </w:rPr>
              <w:t>现场实物照片（或</w:t>
            </w:r>
            <w:r>
              <w:rPr>
                <w:rFonts w:hint="eastAsia" w:ascii="宋体" w:hAnsi="宋体" w:eastAsia="宋体" w:cs="宋体"/>
                <w:color w:val="auto"/>
                <w:sz w:val="24"/>
                <w:szCs w:val="24"/>
                <w:highlight w:val="none"/>
                <w:lang w:eastAsia="zh-CN"/>
              </w:rPr>
              <w:t>购置合同、租赁合同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扫描件或影印件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未提供的不得分</w:t>
            </w:r>
            <w:r>
              <w:rPr>
                <w:rFonts w:hint="eastAsia" w:ascii="宋体" w:hAnsi="宋体" w:eastAsia="宋体" w:cs="宋体"/>
                <w:color w:val="auto"/>
                <w:sz w:val="24"/>
                <w:szCs w:val="24"/>
                <w:highlight w:val="none"/>
              </w:rPr>
              <w:t>。</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02563B5">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0-20</w:t>
            </w:r>
          </w:p>
        </w:tc>
      </w:tr>
      <w:tr w14:paraId="62F5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016" w:type="dxa"/>
            <w:vMerge w:val="continue"/>
            <w:tcBorders>
              <w:left w:val="single" w:color="auto" w:sz="4" w:space="0"/>
              <w:right w:val="single" w:color="auto" w:sz="4" w:space="0"/>
            </w:tcBorders>
            <w:noWrap w:val="0"/>
            <w:vAlign w:val="center"/>
          </w:tcPr>
          <w:p w14:paraId="5BADF248">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b/>
                <w:bCs/>
                <w:color w:val="auto"/>
                <w:sz w:val="24"/>
                <w:szCs w:val="24"/>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2DE7440">
            <w:pPr>
              <w:pStyle w:val="7"/>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w:t>
            </w:r>
          </w:p>
          <w:p w14:paraId="776F4679">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6754" w:type="dxa"/>
            <w:tcBorders>
              <w:top w:val="single" w:color="auto" w:sz="4" w:space="0"/>
              <w:left w:val="single" w:color="auto" w:sz="4" w:space="0"/>
              <w:bottom w:val="single" w:color="auto" w:sz="4" w:space="0"/>
              <w:right w:val="single" w:color="auto" w:sz="4" w:space="0"/>
            </w:tcBorders>
            <w:noWrap w:val="0"/>
            <w:vAlign w:val="center"/>
          </w:tcPr>
          <w:p w14:paraId="0A0F9720">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供应商具有类似项目业绩的，每提供一个得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p w14:paraId="7A3C75A3">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文件中须提供中标（成交）通知书及合同关键页的清晰扫描件，需明确体现服务内容等关键信息，如无法体现的需另附业主盖章的证明材料，否则不得分。</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90E60EB">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0-9</w:t>
            </w:r>
          </w:p>
        </w:tc>
      </w:tr>
      <w:tr w14:paraId="6058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016" w:type="dxa"/>
            <w:vMerge w:val="continue"/>
            <w:tcBorders>
              <w:left w:val="single" w:color="auto" w:sz="4" w:space="0"/>
              <w:right w:val="single" w:color="auto" w:sz="4" w:space="0"/>
            </w:tcBorders>
            <w:noWrap w:val="0"/>
            <w:vAlign w:val="center"/>
          </w:tcPr>
          <w:p w14:paraId="42984CDE">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b/>
                <w:bCs/>
                <w:color w:val="auto"/>
                <w:sz w:val="24"/>
                <w:szCs w:val="24"/>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280C4EC">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整体服务方案</w:t>
            </w:r>
          </w:p>
        </w:tc>
        <w:tc>
          <w:tcPr>
            <w:tcW w:w="6754" w:type="dxa"/>
            <w:tcBorders>
              <w:top w:val="single" w:color="auto" w:sz="4" w:space="0"/>
              <w:left w:val="single" w:color="auto" w:sz="4" w:space="0"/>
              <w:bottom w:val="single" w:color="auto" w:sz="4" w:space="0"/>
              <w:right w:val="single" w:color="auto" w:sz="4" w:space="0"/>
            </w:tcBorders>
            <w:noWrap w:val="0"/>
            <w:vAlign w:val="center"/>
          </w:tcPr>
          <w:p w14:paraId="28B6B93B">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b/>
                <w:bCs/>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供应商根据项目采购需求提供项目</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sz w:val="24"/>
                <w:szCs w:val="24"/>
                <w:highlight w:val="none"/>
              </w:rPr>
              <w:t>整体服务方案</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，包括但不限于：①服务方案内容的全面性</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②项目组人员分工明确</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③责任划定、服务时效</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服务质量</w:t>
            </w:r>
            <w:r>
              <w:rPr>
                <w:rFonts w:hint="eastAsia" w:ascii="宋体" w:hAnsi="宋体" w:eastAsia="宋体" w:cs="宋体"/>
                <w:color w:val="auto"/>
                <w:kern w:val="0"/>
                <w:sz w:val="24"/>
                <w:szCs w:val="24"/>
                <w:highlight w:val="none"/>
                <w:lang w:bidi="ar"/>
              </w:rPr>
              <w:t>保证措施</w:t>
            </w:r>
            <w:r>
              <w:rPr>
                <w:rFonts w:hint="eastAsia" w:ascii="宋体" w:hAnsi="宋体" w:eastAsia="宋体" w:cs="宋体"/>
                <w:color w:val="auto"/>
                <w:kern w:val="0"/>
                <w:sz w:val="24"/>
                <w:szCs w:val="24"/>
                <w:highlight w:val="none"/>
                <w:lang w:eastAsia="zh-CN" w:bidi="ar"/>
              </w:rPr>
              <w:t>。</w:t>
            </w:r>
          </w:p>
          <w:p w14:paraId="13F698A1">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根据供应商提供的项目服务方案中针对上述各小项内容的体现情况，由评审小组按顺序分别进行评审:</w:t>
            </w:r>
          </w:p>
          <w:p w14:paraId="65597C3D">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(1)方案中</w:t>
            </w:r>
            <w:r>
              <w:rPr>
                <w:rFonts w:hint="eastAsia" w:ascii="宋体" w:hAnsi="宋体" w:eastAsia="宋体" w:cs="宋体"/>
                <w:color w:val="auto"/>
                <w:kern w:val="0"/>
                <w:sz w:val="24"/>
                <w:szCs w:val="24"/>
                <w:highlight w:val="none"/>
                <w:lang w:eastAsia="zh-CN" w:bidi="ar"/>
              </w:rPr>
              <w:t>每</w:t>
            </w:r>
            <w:r>
              <w:rPr>
                <w:rFonts w:hint="eastAsia" w:ascii="宋体" w:hAnsi="宋体" w:eastAsia="宋体" w:cs="宋体"/>
                <w:color w:val="auto"/>
                <w:kern w:val="0"/>
                <w:sz w:val="24"/>
                <w:szCs w:val="24"/>
                <w:highlight w:val="none"/>
                <w:lang w:bidi="ar"/>
              </w:rPr>
              <w:t>小项内容符合项目实际需求，逻辑清晰，措施规范全面的，</w:t>
            </w:r>
            <w:r>
              <w:rPr>
                <w:rFonts w:hint="eastAsia" w:ascii="宋体" w:hAnsi="宋体" w:eastAsia="宋体" w:cs="宋体"/>
                <w:color w:val="auto"/>
                <w:kern w:val="0"/>
                <w:sz w:val="24"/>
                <w:szCs w:val="24"/>
                <w:highlight w:val="none"/>
                <w:lang w:eastAsia="zh-CN" w:bidi="ar"/>
              </w:rPr>
              <w:t>每</w:t>
            </w:r>
            <w:r>
              <w:rPr>
                <w:rFonts w:hint="eastAsia" w:ascii="宋体" w:hAnsi="宋体" w:eastAsia="宋体" w:cs="宋体"/>
                <w:color w:val="auto"/>
                <w:kern w:val="0"/>
                <w:sz w:val="24"/>
                <w:szCs w:val="24"/>
                <w:highlight w:val="none"/>
                <w:lang w:bidi="ar"/>
              </w:rPr>
              <w:t>小项得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分；</w:t>
            </w:r>
          </w:p>
          <w:p w14:paraId="1BEDFE02">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(2)方案中</w:t>
            </w:r>
            <w:r>
              <w:rPr>
                <w:rFonts w:hint="eastAsia" w:ascii="宋体" w:hAnsi="宋体" w:eastAsia="宋体" w:cs="宋体"/>
                <w:color w:val="auto"/>
                <w:kern w:val="0"/>
                <w:sz w:val="24"/>
                <w:szCs w:val="24"/>
                <w:highlight w:val="none"/>
                <w:lang w:eastAsia="zh-CN" w:bidi="ar"/>
              </w:rPr>
              <w:t>每</w:t>
            </w:r>
            <w:r>
              <w:rPr>
                <w:rFonts w:hint="eastAsia" w:ascii="宋体" w:hAnsi="宋体" w:eastAsia="宋体" w:cs="宋体"/>
                <w:color w:val="auto"/>
                <w:kern w:val="0"/>
                <w:sz w:val="24"/>
                <w:szCs w:val="24"/>
                <w:highlight w:val="none"/>
                <w:lang w:bidi="ar"/>
              </w:rPr>
              <w:t>小项内容与项目实际需求有出入，逻辑不清晰，措施缺失的，</w:t>
            </w:r>
            <w:r>
              <w:rPr>
                <w:rFonts w:hint="eastAsia" w:ascii="宋体" w:hAnsi="宋体" w:eastAsia="宋体" w:cs="宋体"/>
                <w:color w:val="auto"/>
                <w:kern w:val="0"/>
                <w:sz w:val="24"/>
                <w:szCs w:val="24"/>
                <w:highlight w:val="none"/>
                <w:lang w:eastAsia="zh-CN" w:bidi="ar"/>
              </w:rPr>
              <w:t>每</w:t>
            </w:r>
            <w:r>
              <w:rPr>
                <w:rFonts w:hint="eastAsia" w:ascii="宋体" w:hAnsi="宋体" w:eastAsia="宋体" w:cs="宋体"/>
                <w:color w:val="auto"/>
                <w:kern w:val="0"/>
                <w:sz w:val="24"/>
                <w:szCs w:val="24"/>
                <w:highlight w:val="none"/>
                <w:lang w:bidi="ar"/>
              </w:rPr>
              <w:t>小项得</w:t>
            </w:r>
            <w:r>
              <w:rPr>
                <w:rFonts w:hint="eastAsia" w:ascii="宋体" w:hAnsi="宋体" w:eastAsia="宋体" w:cs="宋体"/>
                <w:color w:val="auto"/>
                <w:kern w:val="0"/>
                <w:sz w:val="24"/>
                <w:szCs w:val="24"/>
                <w:highlight w:val="none"/>
                <w:lang w:val="en-US" w:eastAsia="zh-CN" w:bidi="ar"/>
              </w:rPr>
              <w:t>0.5</w:t>
            </w:r>
            <w:r>
              <w:rPr>
                <w:rFonts w:hint="eastAsia" w:ascii="宋体" w:hAnsi="宋体" w:eastAsia="宋体" w:cs="宋体"/>
                <w:color w:val="auto"/>
                <w:kern w:val="0"/>
                <w:sz w:val="24"/>
                <w:szCs w:val="24"/>
                <w:highlight w:val="none"/>
                <w:lang w:bidi="ar"/>
              </w:rPr>
              <w:t>分；</w:t>
            </w:r>
          </w:p>
          <w:p w14:paraId="2FED001B">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(3)未提供方案或未体现</w:t>
            </w:r>
            <w:r>
              <w:rPr>
                <w:rFonts w:hint="eastAsia" w:ascii="宋体" w:hAnsi="宋体" w:eastAsia="宋体" w:cs="宋体"/>
                <w:color w:val="auto"/>
                <w:kern w:val="0"/>
                <w:sz w:val="24"/>
                <w:szCs w:val="24"/>
                <w:highlight w:val="none"/>
                <w:lang w:eastAsia="zh-CN" w:bidi="ar"/>
              </w:rPr>
              <w:t>每</w:t>
            </w:r>
            <w:r>
              <w:rPr>
                <w:rFonts w:hint="eastAsia" w:ascii="宋体" w:hAnsi="宋体" w:eastAsia="宋体" w:cs="宋体"/>
                <w:color w:val="auto"/>
                <w:kern w:val="0"/>
                <w:sz w:val="24"/>
                <w:szCs w:val="24"/>
                <w:highlight w:val="none"/>
                <w:lang w:bidi="ar"/>
              </w:rPr>
              <w:t>小项内容的，</w:t>
            </w:r>
            <w:r>
              <w:rPr>
                <w:rFonts w:hint="eastAsia" w:ascii="宋体" w:hAnsi="宋体" w:eastAsia="宋体" w:cs="宋体"/>
                <w:color w:val="auto"/>
                <w:kern w:val="0"/>
                <w:sz w:val="24"/>
                <w:szCs w:val="24"/>
                <w:highlight w:val="none"/>
                <w:lang w:eastAsia="zh-CN" w:bidi="ar"/>
              </w:rPr>
              <w:t>每</w:t>
            </w:r>
            <w:r>
              <w:rPr>
                <w:rFonts w:hint="eastAsia" w:ascii="宋体" w:hAnsi="宋体" w:eastAsia="宋体" w:cs="宋体"/>
                <w:color w:val="auto"/>
                <w:kern w:val="0"/>
                <w:sz w:val="24"/>
                <w:szCs w:val="24"/>
                <w:highlight w:val="none"/>
                <w:lang w:bidi="ar"/>
              </w:rPr>
              <w:t>小项不得分。</w:t>
            </w:r>
          </w:p>
          <w:p w14:paraId="260AF720">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bidi="ar"/>
              </w:rPr>
              <w:t>本项最高得</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分。</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3E1DCAA">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0-3</w:t>
            </w:r>
          </w:p>
        </w:tc>
      </w:tr>
      <w:tr w14:paraId="6A43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016" w:type="dxa"/>
            <w:vMerge w:val="continue"/>
            <w:tcBorders>
              <w:left w:val="single" w:color="auto" w:sz="4" w:space="0"/>
              <w:right w:val="single" w:color="auto" w:sz="4" w:space="0"/>
            </w:tcBorders>
            <w:noWrap w:val="0"/>
            <w:vAlign w:val="center"/>
          </w:tcPr>
          <w:p w14:paraId="7AC529A0">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b/>
                <w:bCs/>
                <w:color w:val="auto"/>
                <w:sz w:val="24"/>
                <w:szCs w:val="24"/>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8F23CAA">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经营管理</w:t>
            </w:r>
            <w:r>
              <w:rPr>
                <w:rFonts w:hint="eastAsia" w:ascii="宋体" w:hAnsi="宋体" w:eastAsia="宋体" w:cs="宋体"/>
                <w:color w:val="auto"/>
                <w:sz w:val="24"/>
                <w:szCs w:val="24"/>
                <w:highlight w:val="none"/>
              </w:rPr>
              <w:t>方案</w:t>
            </w:r>
          </w:p>
        </w:tc>
        <w:tc>
          <w:tcPr>
            <w:tcW w:w="6754" w:type="dxa"/>
            <w:tcBorders>
              <w:top w:val="single" w:color="auto" w:sz="4" w:space="0"/>
              <w:left w:val="single" w:color="auto" w:sz="4" w:space="0"/>
              <w:bottom w:val="single" w:color="auto" w:sz="4" w:space="0"/>
              <w:right w:val="single" w:color="auto" w:sz="4" w:space="0"/>
            </w:tcBorders>
            <w:noWrap w:val="0"/>
            <w:vAlign w:val="center"/>
          </w:tcPr>
          <w:p w14:paraId="5450CFB6">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供应商根据项目采购需求提供项目“</w:t>
            </w:r>
            <w:r>
              <w:rPr>
                <w:rFonts w:hint="eastAsia" w:ascii="宋体" w:hAnsi="宋体" w:eastAsia="宋体" w:cs="宋体"/>
                <w:color w:val="auto"/>
                <w:sz w:val="24"/>
                <w:szCs w:val="24"/>
                <w:highlight w:val="none"/>
                <w:lang w:val="en-US" w:eastAsia="zh-CN"/>
              </w:rPr>
              <w:t>经营管理</w:t>
            </w:r>
            <w:r>
              <w:rPr>
                <w:rFonts w:hint="eastAsia" w:ascii="宋体" w:hAnsi="宋体" w:eastAsia="宋体" w:cs="宋体"/>
                <w:color w:val="auto"/>
                <w:sz w:val="24"/>
                <w:szCs w:val="24"/>
                <w:highlight w:val="none"/>
              </w:rPr>
              <w:t>方案</w:t>
            </w:r>
            <w:r>
              <w:rPr>
                <w:rFonts w:hint="eastAsia" w:ascii="宋体" w:hAnsi="宋体" w:eastAsia="宋体" w:cs="宋体"/>
                <w:color w:val="auto"/>
                <w:kern w:val="0"/>
                <w:sz w:val="24"/>
                <w:szCs w:val="24"/>
                <w:highlight w:val="none"/>
                <w:lang w:bidi="ar"/>
              </w:rPr>
              <w:t>”，包括但不限于：</w:t>
            </w:r>
          </w:p>
          <w:p w14:paraId="7E07960A">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①</w:t>
            </w:r>
            <w:r>
              <w:rPr>
                <w:rFonts w:hint="eastAsia" w:ascii="宋体" w:hAnsi="宋体" w:eastAsia="宋体" w:cs="宋体"/>
                <w:color w:val="auto"/>
                <w:kern w:val="0"/>
                <w:sz w:val="24"/>
                <w:szCs w:val="24"/>
                <w:highlight w:val="none"/>
                <w:lang w:val="en-US" w:eastAsia="zh-CN" w:bidi="ar"/>
              </w:rPr>
              <w:t>规范的业务工作流程；</w:t>
            </w:r>
          </w:p>
          <w:p w14:paraId="74CA2288">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②</w:t>
            </w:r>
            <w:r>
              <w:rPr>
                <w:rFonts w:hint="eastAsia" w:ascii="宋体" w:hAnsi="宋体" w:eastAsia="宋体" w:cs="宋体"/>
                <w:color w:val="auto"/>
                <w:kern w:val="0"/>
                <w:sz w:val="24"/>
                <w:szCs w:val="24"/>
                <w:highlight w:val="none"/>
                <w:lang w:val="en-US" w:eastAsia="zh-CN" w:bidi="ar"/>
              </w:rPr>
              <w:t>车辆维修经营、质保、价格等公示制度；</w:t>
            </w:r>
          </w:p>
          <w:p w14:paraId="1A53D87C">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③人员</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财务</w:t>
            </w:r>
            <w:r>
              <w:rPr>
                <w:rFonts w:hint="eastAsia" w:ascii="宋体" w:hAnsi="宋体" w:eastAsia="宋体" w:cs="宋体"/>
                <w:color w:val="auto"/>
                <w:kern w:val="0"/>
                <w:sz w:val="24"/>
                <w:szCs w:val="24"/>
                <w:highlight w:val="none"/>
                <w:lang w:val="en-US" w:eastAsia="zh-CN" w:bidi="ar"/>
              </w:rPr>
              <w:t>管理</w:t>
            </w:r>
            <w:r>
              <w:rPr>
                <w:rFonts w:hint="eastAsia" w:ascii="宋体" w:hAnsi="宋体" w:eastAsia="宋体" w:cs="宋体"/>
                <w:color w:val="auto"/>
                <w:kern w:val="0"/>
                <w:sz w:val="24"/>
                <w:szCs w:val="24"/>
                <w:highlight w:val="none"/>
                <w:lang w:bidi="ar"/>
              </w:rPr>
              <w:t>制度</w:t>
            </w:r>
            <w:r>
              <w:rPr>
                <w:rFonts w:hint="eastAsia" w:ascii="宋体" w:hAnsi="宋体" w:eastAsia="宋体" w:cs="宋体"/>
                <w:color w:val="auto"/>
                <w:kern w:val="0"/>
                <w:sz w:val="24"/>
                <w:szCs w:val="24"/>
                <w:highlight w:val="none"/>
                <w:lang w:eastAsia="zh-CN" w:bidi="ar"/>
              </w:rPr>
              <w:t>。</w:t>
            </w:r>
          </w:p>
          <w:p w14:paraId="335E4795">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根据供应商提供的项目服务方案中针对上述各小项内容的体现情况，由评审小组按顺序分别进行评审:</w:t>
            </w:r>
          </w:p>
          <w:p w14:paraId="1D27EFDE">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(1)方案中每小项内容符合项目实际需求，逻辑清晰，措施规范全面的，每小项得1分；</w:t>
            </w:r>
          </w:p>
          <w:p w14:paraId="1C8BF25A">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(2)方案中每小项内容与项目实际需求有出入，逻辑不清晰，措施缺失的，每小项得0.5分；</w:t>
            </w:r>
          </w:p>
          <w:p w14:paraId="16AA1B82">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(3)未提供方案或未体现每小项内容的，每小项不得分。</w:t>
            </w:r>
          </w:p>
          <w:p w14:paraId="3CC9F315">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本项最高得</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分。</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549D99F">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0-3</w:t>
            </w:r>
          </w:p>
        </w:tc>
      </w:tr>
      <w:tr w14:paraId="4CD1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016" w:type="dxa"/>
            <w:vMerge w:val="continue"/>
            <w:tcBorders>
              <w:left w:val="single" w:color="auto" w:sz="4" w:space="0"/>
              <w:right w:val="single" w:color="auto" w:sz="4" w:space="0"/>
            </w:tcBorders>
            <w:noWrap w:val="0"/>
            <w:vAlign w:val="center"/>
          </w:tcPr>
          <w:p w14:paraId="246D48A8">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b/>
                <w:bCs/>
                <w:color w:val="auto"/>
                <w:sz w:val="24"/>
                <w:szCs w:val="24"/>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1B058DC">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质量管理</w:t>
            </w:r>
            <w:r>
              <w:rPr>
                <w:rFonts w:hint="eastAsia" w:ascii="宋体" w:hAnsi="宋体" w:eastAsia="宋体" w:cs="宋体"/>
                <w:color w:val="auto"/>
                <w:sz w:val="24"/>
                <w:szCs w:val="24"/>
                <w:highlight w:val="none"/>
              </w:rPr>
              <w:t>方案</w:t>
            </w:r>
          </w:p>
        </w:tc>
        <w:tc>
          <w:tcPr>
            <w:tcW w:w="6754" w:type="dxa"/>
            <w:tcBorders>
              <w:top w:val="single" w:color="auto" w:sz="4" w:space="0"/>
              <w:left w:val="single" w:color="auto" w:sz="4" w:space="0"/>
              <w:bottom w:val="single" w:color="auto" w:sz="4" w:space="0"/>
              <w:right w:val="single" w:color="auto" w:sz="4" w:space="0"/>
            </w:tcBorders>
            <w:noWrap w:val="0"/>
            <w:vAlign w:val="center"/>
          </w:tcPr>
          <w:p w14:paraId="552EA8CA">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供应商根据项目采购需求提供项目“</w:t>
            </w:r>
            <w:r>
              <w:rPr>
                <w:rFonts w:hint="eastAsia" w:ascii="宋体" w:hAnsi="宋体" w:eastAsia="宋体" w:cs="宋体"/>
                <w:color w:val="auto"/>
                <w:sz w:val="24"/>
                <w:szCs w:val="24"/>
                <w:highlight w:val="none"/>
                <w:lang w:val="en-US" w:eastAsia="zh-CN"/>
              </w:rPr>
              <w:t>质量管理</w:t>
            </w:r>
            <w:r>
              <w:rPr>
                <w:rFonts w:hint="eastAsia" w:ascii="宋体" w:hAnsi="宋体" w:eastAsia="宋体" w:cs="宋体"/>
                <w:color w:val="auto"/>
                <w:sz w:val="24"/>
                <w:szCs w:val="24"/>
                <w:highlight w:val="none"/>
              </w:rPr>
              <w:t>方案</w:t>
            </w:r>
            <w:r>
              <w:rPr>
                <w:rFonts w:hint="eastAsia" w:ascii="宋体" w:hAnsi="宋体" w:eastAsia="宋体" w:cs="宋体"/>
                <w:color w:val="auto"/>
                <w:kern w:val="0"/>
                <w:sz w:val="24"/>
                <w:szCs w:val="24"/>
                <w:highlight w:val="none"/>
                <w:lang w:bidi="ar"/>
              </w:rPr>
              <w:t>”，包括但不限于：</w:t>
            </w:r>
          </w:p>
          <w:p w14:paraId="41B03E7A">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①汽车维修质量承诺、检验、竣工出厂合格证管理、汽车维修档案管理、计量管理、设备管理、配件管理和人员培训制度</w:t>
            </w:r>
            <w:r>
              <w:rPr>
                <w:rFonts w:hint="eastAsia" w:ascii="宋体" w:hAnsi="宋体" w:eastAsia="宋体" w:cs="宋体"/>
                <w:color w:val="auto"/>
                <w:kern w:val="0"/>
                <w:sz w:val="24"/>
                <w:szCs w:val="24"/>
                <w:highlight w:val="none"/>
                <w:lang w:eastAsia="zh-CN" w:bidi="ar"/>
              </w:rPr>
              <w:t>；</w:t>
            </w:r>
          </w:p>
          <w:p w14:paraId="2C8B00FB">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②新能源汽车维修作业方案和安全防护措施方案</w:t>
            </w:r>
            <w:r>
              <w:rPr>
                <w:rFonts w:hint="eastAsia" w:ascii="宋体" w:hAnsi="宋体" w:eastAsia="宋体" w:cs="宋体"/>
                <w:color w:val="auto"/>
                <w:kern w:val="0"/>
                <w:sz w:val="24"/>
                <w:szCs w:val="24"/>
                <w:highlight w:val="none"/>
                <w:lang w:eastAsia="zh-CN" w:bidi="ar"/>
              </w:rPr>
              <w:t>；</w:t>
            </w:r>
          </w:p>
          <w:p w14:paraId="422D1366">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③技术、工艺等维修能力</w:t>
            </w:r>
            <w:r>
              <w:rPr>
                <w:rFonts w:hint="eastAsia" w:ascii="宋体" w:hAnsi="宋体" w:eastAsia="宋体" w:cs="宋体"/>
                <w:color w:val="auto"/>
                <w:kern w:val="0"/>
                <w:sz w:val="24"/>
                <w:szCs w:val="24"/>
                <w:highlight w:val="none"/>
                <w:lang w:eastAsia="zh-CN" w:bidi="ar"/>
              </w:rPr>
              <w:t>。</w:t>
            </w:r>
          </w:p>
          <w:p w14:paraId="00CD26A6">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根据供应商提供的项目服务方案中针对上述各小项内容的体现情况，由评审小组按顺序分别进行评审:</w:t>
            </w:r>
          </w:p>
          <w:p w14:paraId="4738C20B">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(1)方案中每小项内容符合项目实际需求，逻辑清晰，措施规范全面的，每小项得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分；</w:t>
            </w:r>
          </w:p>
          <w:p w14:paraId="7057DF77">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(2)方案中每小项内容与项目实际需求有出入，逻辑不清晰，措施缺失的，每小项得</w:t>
            </w:r>
            <w:r>
              <w:rPr>
                <w:rFonts w:hint="eastAsia" w:ascii="宋体" w:hAnsi="宋体" w:eastAsia="宋体" w:cs="宋体"/>
                <w:color w:val="auto"/>
                <w:kern w:val="0"/>
                <w:sz w:val="24"/>
                <w:szCs w:val="24"/>
                <w:highlight w:val="none"/>
                <w:lang w:val="en-US" w:eastAsia="zh-CN" w:bidi="ar"/>
              </w:rPr>
              <w:t>0.5</w:t>
            </w:r>
            <w:r>
              <w:rPr>
                <w:rFonts w:hint="eastAsia" w:ascii="宋体" w:hAnsi="宋体" w:eastAsia="宋体" w:cs="宋体"/>
                <w:color w:val="auto"/>
                <w:kern w:val="0"/>
                <w:sz w:val="24"/>
                <w:szCs w:val="24"/>
                <w:highlight w:val="none"/>
                <w:lang w:bidi="ar"/>
              </w:rPr>
              <w:t>分；</w:t>
            </w:r>
          </w:p>
          <w:p w14:paraId="1EABD85D">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(3)未提供方案或未体现每小项内容的，每小项不得分。</w:t>
            </w:r>
          </w:p>
          <w:p w14:paraId="0E76EA62">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本项最高得</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分。</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31A15DF">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0-3</w:t>
            </w:r>
          </w:p>
        </w:tc>
      </w:tr>
      <w:tr w14:paraId="020F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016" w:type="dxa"/>
            <w:vMerge w:val="continue"/>
            <w:tcBorders>
              <w:left w:val="single" w:color="auto" w:sz="4" w:space="0"/>
              <w:right w:val="single" w:color="auto" w:sz="4" w:space="0"/>
            </w:tcBorders>
            <w:noWrap w:val="0"/>
            <w:vAlign w:val="center"/>
          </w:tcPr>
          <w:p w14:paraId="2A5781FE">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b/>
                <w:bCs/>
                <w:color w:val="auto"/>
                <w:sz w:val="24"/>
                <w:szCs w:val="24"/>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24BFA7A">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应急处理方案</w:t>
            </w:r>
          </w:p>
        </w:tc>
        <w:tc>
          <w:tcPr>
            <w:tcW w:w="6754" w:type="dxa"/>
            <w:tcBorders>
              <w:top w:val="single" w:color="auto" w:sz="4" w:space="0"/>
              <w:left w:val="single" w:color="auto" w:sz="4" w:space="0"/>
              <w:bottom w:val="single" w:color="auto" w:sz="4" w:space="0"/>
              <w:right w:val="single" w:color="auto" w:sz="4" w:space="0"/>
            </w:tcBorders>
            <w:noWrap w:val="0"/>
            <w:vAlign w:val="center"/>
          </w:tcPr>
          <w:p w14:paraId="03240E27">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供应商根据项目采购需求提供项目“应急处理方案”，包括但不限于：</w:t>
            </w:r>
          </w:p>
          <w:p w14:paraId="16C227A9">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①遇到车辆故障或事故</w:t>
            </w:r>
            <w:r>
              <w:rPr>
                <w:rFonts w:hint="eastAsia" w:ascii="宋体" w:hAnsi="宋体" w:eastAsia="宋体" w:cs="宋体"/>
                <w:color w:val="auto"/>
                <w:kern w:val="0"/>
                <w:sz w:val="24"/>
                <w:szCs w:val="24"/>
                <w:highlight w:val="none"/>
                <w:lang w:eastAsia="zh-CN" w:bidi="ar"/>
              </w:rPr>
              <w:t>的</w:t>
            </w:r>
            <w:r>
              <w:rPr>
                <w:rFonts w:hint="eastAsia" w:ascii="宋体" w:hAnsi="宋体" w:eastAsia="宋体" w:cs="宋体"/>
                <w:color w:val="auto"/>
                <w:kern w:val="0"/>
                <w:sz w:val="24"/>
                <w:szCs w:val="24"/>
                <w:highlight w:val="none"/>
                <w:lang w:val="en-US" w:eastAsia="zh-CN" w:bidi="ar"/>
              </w:rPr>
              <w:t>应急救援方案；</w:t>
            </w:r>
          </w:p>
          <w:p w14:paraId="57E8D001">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②</w:t>
            </w:r>
            <w:r>
              <w:rPr>
                <w:rFonts w:hint="eastAsia" w:ascii="宋体" w:hAnsi="宋体" w:eastAsia="宋体" w:cs="宋体"/>
                <w:color w:val="auto"/>
                <w:kern w:val="0"/>
                <w:sz w:val="24"/>
                <w:szCs w:val="24"/>
                <w:highlight w:val="none"/>
                <w:lang w:val="en-US" w:eastAsia="zh-CN" w:bidi="ar"/>
              </w:rPr>
              <w:t>以往遇到突发事件可以承揽同时修理多辆以上车辆的案例和方案；</w:t>
            </w:r>
          </w:p>
          <w:p w14:paraId="0F68F938">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③</w:t>
            </w:r>
            <w:r>
              <w:rPr>
                <w:rFonts w:hint="eastAsia" w:ascii="宋体" w:hAnsi="宋体" w:eastAsia="宋体" w:cs="宋体"/>
                <w:color w:val="auto"/>
                <w:kern w:val="0"/>
                <w:sz w:val="24"/>
                <w:szCs w:val="24"/>
                <w:highlight w:val="none"/>
                <w:lang w:val="en-US" w:eastAsia="zh-CN" w:bidi="ar"/>
              </w:rPr>
              <w:t>其他</w:t>
            </w:r>
            <w:r>
              <w:rPr>
                <w:rFonts w:hint="eastAsia" w:ascii="宋体" w:hAnsi="宋体" w:eastAsia="宋体" w:cs="宋体"/>
                <w:color w:val="auto"/>
                <w:kern w:val="0"/>
                <w:sz w:val="24"/>
                <w:szCs w:val="24"/>
                <w:highlight w:val="none"/>
                <w:lang w:bidi="ar"/>
              </w:rPr>
              <w:t>紧急突发情况</w:t>
            </w:r>
            <w:r>
              <w:rPr>
                <w:rFonts w:hint="eastAsia" w:ascii="宋体" w:hAnsi="宋体" w:eastAsia="宋体" w:cs="宋体"/>
                <w:color w:val="auto"/>
                <w:kern w:val="0"/>
                <w:sz w:val="24"/>
                <w:szCs w:val="24"/>
                <w:highlight w:val="none"/>
                <w:lang w:val="en-US" w:eastAsia="zh-CN" w:bidi="ar"/>
              </w:rPr>
              <w:t>应急救援方案。</w:t>
            </w:r>
          </w:p>
          <w:p w14:paraId="698ADDCD">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根据供应商提供的项目服务方案中针对上述各小项内容的体现情况，由评审小组按顺序分别进行评审:</w:t>
            </w:r>
          </w:p>
          <w:p w14:paraId="62F03354">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(1)方案中每小项内容符合项目实际需求，逻辑清晰，措施规范全面的，每小项得1分；</w:t>
            </w:r>
          </w:p>
          <w:p w14:paraId="6226974D">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(2)方案中每小项内容与项目实际需求有出入，逻辑不清晰，措施缺失的，每小项得0.5分；</w:t>
            </w:r>
          </w:p>
          <w:p w14:paraId="13320772">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(3)未提供方案或未体现每小项内容的，每小项不得分。</w:t>
            </w:r>
          </w:p>
          <w:p w14:paraId="01315023">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本项最高得</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分。</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F4AC5A6">
            <w:pPr>
              <w:keepNext w:val="0"/>
              <w:keepLines w:val="0"/>
              <w:pageBreakBefore w:val="0"/>
              <w:widowControl/>
              <w:tabs>
                <w:tab w:val="left" w:pos="491"/>
              </w:tabs>
              <w:kinsoku w:val="0"/>
              <w:wordWrap/>
              <w:overflowPunct/>
              <w:topLinePunct w:val="0"/>
              <w:autoSpaceDE w:val="0"/>
              <w:autoSpaceDN w:val="0"/>
              <w:bidi w:val="0"/>
              <w:adjustRightInd w:val="0"/>
              <w:snapToGrid w:val="0"/>
              <w:spacing w:line="400" w:lineRule="exact"/>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0-3</w:t>
            </w:r>
          </w:p>
        </w:tc>
      </w:tr>
      <w:tr w14:paraId="6F96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016" w:type="dxa"/>
            <w:vMerge w:val="continue"/>
            <w:tcBorders>
              <w:left w:val="single" w:color="auto" w:sz="4" w:space="0"/>
              <w:right w:val="single" w:color="auto" w:sz="4" w:space="0"/>
            </w:tcBorders>
            <w:noWrap w:val="0"/>
            <w:vAlign w:val="center"/>
          </w:tcPr>
          <w:p w14:paraId="7AB48310">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b/>
                <w:bCs/>
                <w:color w:val="auto"/>
                <w:sz w:val="24"/>
                <w:szCs w:val="24"/>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49D3C67">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售后服务方案</w:t>
            </w:r>
          </w:p>
        </w:tc>
        <w:tc>
          <w:tcPr>
            <w:tcW w:w="6754" w:type="dxa"/>
            <w:tcBorders>
              <w:top w:val="single" w:color="auto" w:sz="4" w:space="0"/>
              <w:left w:val="single" w:color="auto" w:sz="4" w:space="0"/>
              <w:bottom w:val="single" w:color="auto" w:sz="4" w:space="0"/>
              <w:right w:val="single" w:color="auto" w:sz="4" w:space="0"/>
            </w:tcBorders>
            <w:noWrap w:val="0"/>
            <w:vAlign w:val="center"/>
          </w:tcPr>
          <w:p w14:paraId="55C962F7">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供应商根据项目采购需求提供项目“</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kern w:val="0"/>
                <w:sz w:val="24"/>
                <w:szCs w:val="24"/>
                <w:highlight w:val="none"/>
                <w:lang w:bidi="ar"/>
              </w:rPr>
              <w:t>服务方案”，包括但不限于：</w:t>
            </w:r>
          </w:p>
          <w:p w14:paraId="0A9239C5">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①</w:t>
            </w:r>
            <w:r>
              <w:rPr>
                <w:rFonts w:hint="eastAsia" w:ascii="宋体" w:hAnsi="宋体" w:eastAsia="宋体" w:cs="宋体"/>
                <w:color w:val="auto"/>
                <w:kern w:val="0"/>
                <w:sz w:val="24"/>
                <w:szCs w:val="24"/>
                <w:highlight w:val="none"/>
                <w:lang w:val="en-US" w:eastAsia="zh-CN" w:bidi="ar"/>
              </w:rPr>
              <w:t>完善的售后服务体系</w:t>
            </w:r>
          </w:p>
          <w:p w14:paraId="472642A2">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②保养维修后定期的回访</w:t>
            </w:r>
          </w:p>
          <w:p w14:paraId="5D475373">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③保养维修后遇到同类问题的</w:t>
            </w:r>
            <w:r>
              <w:rPr>
                <w:rFonts w:hint="eastAsia" w:ascii="宋体" w:hAnsi="宋体" w:eastAsia="宋体" w:cs="宋体"/>
                <w:color w:val="auto"/>
                <w:kern w:val="0"/>
                <w:sz w:val="24"/>
                <w:szCs w:val="24"/>
                <w:highlight w:val="none"/>
                <w:lang w:val="en-US" w:eastAsia="zh-CN" w:bidi="ar"/>
              </w:rPr>
              <w:t>解决方案</w:t>
            </w:r>
          </w:p>
          <w:p w14:paraId="5B5B7A7B">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根据供应商提供的项目服务方案中针对上述各小项内容的体现情况，由评审小组按顺序分别进行评审:</w:t>
            </w:r>
          </w:p>
          <w:p w14:paraId="21DE35AA">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(1)方案中每小项内容符合项目实际需求，逻辑清晰，措施规范全面的，每小项得1分；</w:t>
            </w:r>
          </w:p>
          <w:p w14:paraId="44E9DE1D">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(2)方案中每小项内容与项目实际需求有出入，逻辑不清晰，措施缺失的，每小项得0.5分；</w:t>
            </w:r>
          </w:p>
          <w:p w14:paraId="6496BA9C">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(3)未提供方案或未体现每小项内容的，每小项不得分。</w:t>
            </w:r>
          </w:p>
          <w:p w14:paraId="577A2894">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本项最高得</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分。</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13A83BA">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0-3</w:t>
            </w:r>
          </w:p>
        </w:tc>
      </w:tr>
      <w:tr w14:paraId="7D1F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826" w:type="dxa"/>
            <w:gridSpan w:val="2"/>
            <w:vMerge w:val="restart"/>
            <w:tcBorders>
              <w:left w:val="single" w:color="auto" w:sz="4" w:space="0"/>
              <w:right w:val="single" w:color="auto" w:sz="4" w:space="0"/>
            </w:tcBorders>
            <w:noWrap w:val="0"/>
            <w:vAlign w:val="center"/>
          </w:tcPr>
          <w:p w14:paraId="21AC08A2">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商务报价</w:t>
            </w:r>
          </w:p>
        </w:tc>
        <w:tc>
          <w:tcPr>
            <w:tcW w:w="6754" w:type="dxa"/>
            <w:tcBorders>
              <w:top w:val="single" w:color="auto" w:sz="4" w:space="0"/>
              <w:left w:val="single" w:color="auto" w:sz="4" w:space="0"/>
              <w:bottom w:val="single" w:color="auto" w:sz="4" w:space="0"/>
              <w:right w:val="single" w:color="auto" w:sz="4" w:space="0"/>
            </w:tcBorders>
            <w:noWrap w:val="0"/>
            <w:vAlign w:val="center"/>
          </w:tcPr>
          <w:p w14:paraId="171AD718">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、工时费优惠率投标报价8分</w:t>
            </w:r>
          </w:p>
          <w:p w14:paraId="0F9B7E85">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（1）工时费优惠率投标报价上限为90% (含)，超过90% 视为无效投标</w:t>
            </w:r>
            <w:r>
              <w:rPr>
                <w:rFonts w:hint="eastAsia" w:ascii="宋体" w:hAnsi="宋体" w:eastAsia="宋体" w:cs="宋体"/>
                <w:color w:val="auto"/>
                <w:kern w:val="0"/>
                <w:sz w:val="24"/>
                <w:szCs w:val="24"/>
                <w:highlight w:val="none"/>
                <w:lang w:eastAsia="zh-CN" w:bidi="ar"/>
              </w:rPr>
              <w:t>。</w:t>
            </w:r>
          </w:p>
          <w:p w14:paraId="66AFA88F">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经评审满足招标文件要求且不高于最高上限的投标供应商费率报价中最低费率为评标基准价，其得分为满分8分。其他投标供应商的工时费优惠率投标报价分统一按照下列公式计算（四舍五入保留至小数点后两位数）：工时费优惠率投标报价得分＝（评标基准价/投标报价）×8％×100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601313D">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0-40</w:t>
            </w:r>
          </w:p>
        </w:tc>
      </w:tr>
      <w:tr w14:paraId="4511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826" w:type="dxa"/>
            <w:gridSpan w:val="2"/>
            <w:vMerge w:val="continue"/>
            <w:tcBorders>
              <w:left w:val="single" w:color="auto" w:sz="4" w:space="0"/>
              <w:right w:val="single" w:color="auto" w:sz="4" w:space="0"/>
            </w:tcBorders>
            <w:noWrap w:val="0"/>
            <w:vAlign w:val="center"/>
          </w:tcPr>
          <w:p w14:paraId="77DFB8EE">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sz w:val="24"/>
                <w:szCs w:val="24"/>
                <w:highlight w:val="none"/>
              </w:rPr>
            </w:pPr>
          </w:p>
        </w:tc>
        <w:tc>
          <w:tcPr>
            <w:tcW w:w="6754" w:type="dxa"/>
            <w:tcBorders>
              <w:top w:val="single" w:color="auto" w:sz="4" w:space="0"/>
              <w:left w:val="single" w:color="auto" w:sz="4" w:space="0"/>
              <w:bottom w:val="single" w:color="auto" w:sz="4" w:space="0"/>
              <w:right w:val="single" w:color="auto" w:sz="4" w:space="0"/>
            </w:tcBorders>
            <w:noWrap w:val="0"/>
            <w:vAlign w:val="center"/>
          </w:tcPr>
          <w:p w14:paraId="2D9666CA">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2、材料管理费率投标报价8分</w:t>
            </w:r>
          </w:p>
          <w:p w14:paraId="2208AB8F">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（1）材料管理费率投标报价上限为15%(含)，超过15% 视为无效投标</w:t>
            </w:r>
          </w:p>
          <w:p w14:paraId="7AE19EA7">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经评审满足招标文件要求且不高于最高上限的投标供应商费率报价中最低费率为评标基准价格，其得分为满分8分。其他投标供应商的材料管理费率投标报价分统一按照下列公式计算（四舍五入保留至小数点后两位数）：材料管理费率投标报价得分＝（评标基准价/投标报价）×8％×100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89CCC3F">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b/>
                <w:bCs/>
                <w:color w:val="auto"/>
                <w:sz w:val="24"/>
                <w:szCs w:val="24"/>
                <w:highlight w:val="none"/>
                <w:lang w:val="en-US" w:eastAsia="zh-CN"/>
              </w:rPr>
            </w:pPr>
          </w:p>
        </w:tc>
      </w:tr>
      <w:tr w14:paraId="56D5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826" w:type="dxa"/>
            <w:gridSpan w:val="2"/>
            <w:vMerge w:val="continue"/>
            <w:tcBorders>
              <w:left w:val="single" w:color="auto" w:sz="4" w:space="0"/>
              <w:right w:val="single" w:color="auto" w:sz="4" w:space="0"/>
            </w:tcBorders>
            <w:noWrap w:val="0"/>
            <w:vAlign w:val="center"/>
          </w:tcPr>
          <w:p w14:paraId="5D177C03">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sz w:val="24"/>
                <w:szCs w:val="24"/>
                <w:highlight w:val="none"/>
              </w:rPr>
            </w:pPr>
          </w:p>
        </w:tc>
        <w:tc>
          <w:tcPr>
            <w:tcW w:w="6754" w:type="dxa"/>
            <w:tcBorders>
              <w:top w:val="single" w:color="auto" w:sz="4" w:space="0"/>
              <w:left w:val="single" w:color="auto" w:sz="4" w:space="0"/>
              <w:bottom w:val="single" w:color="auto" w:sz="4" w:space="0"/>
              <w:right w:val="single" w:color="auto" w:sz="4" w:space="0"/>
            </w:tcBorders>
            <w:noWrap w:val="0"/>
            <w:vAlign w:val="center"/>
          </w:tcPr>
          <w:p w14:paraId="689C02F7">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3、部分维修项目综合报价16分</w:t>
            </w:r>
          </w:p>
          <w:p w14:paraId="40B64470">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（1）投标人按采购人列举的维修项目报出各维修项目的综合单价和总价，综合单价含材料费、工时费、管理费、税金等所有费用。</w:t>
            </w:r>
          </w:p>
          <w:p w14:paraId="6622E470">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（2）经评审满足招标文件要求且综合报价总价最低的价格作为评标基准价，其得分为满分14分。其他投标供应商的综合报价得分统一按照下列公式计算（四舍五入保留至小数点后两位数）： </w:t>
            </w:r>
          </w:p>
          <w:p w14:paraId="633083A5">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部分维修项目综合报价得分＝（评标基准价/磋商报价）×16 ％×100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E4927A4">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b/>
                <w:bCs/>
                <w:color w:val="auto"/>
                <w:sz w:val="24"/>
                <w:szCs w:val="24"/>
                <w:highlight w:val="none"/>
                <w:lang w:val="en-US" w:eastAsia="zh-CN"/>
              </w:rPr>
            </w:pPr>
          </w:p>
        </w:tc>
      </w:tr>
      <w:tr w14:paraId="1513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826" w:type="dxa"/>
            <w:gridSpan w:val="2"/>
            <w:vMerge w:val="continue"/>
            <w:tcBorders>
              <w:left w:val="single" w:color="auto" w:sz="4" w:space="0"/>
              <w:right w:val="single" w:color="auto" w:sz="4" w:space="0"/>
            </w:tcBorders>
            <w:noWrap w:val="0"/>
            <w:vAlign w:val="center"/>
          </w:tcPr>
          <w:p w14:paraId="6F40BF51">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color w:val="auto"/>
                <w:sz w:val="24"/>
                <w:szCs w:val="24"/>
                <w:highlight w:val="none"/>
              </w:rPr>
            </w:pPr>
          </w:p>
        </w:tc>
        <w:tc>
          <w:tcPr>
            <w:tcW w:w="6754" w:type="dxa"/>
            <w:tcBorders>
              <w:top w:val="single" w:color="auto" w:sz="4" w:space="0"/>
              <w:left w:val="single" w:color="auto" w:sz="4" w:space="0"/>
              <w:bottom w:val="single" w:color="auto" w:sz="4" w:space="0"/>
              <w:right w:val="single" w:color="auto" w:sz="4" w:space="0"/>
            </w:tcBorders>
            <w:noWrap w:val="0"/>
            <w:vAlign w:val="center"/>
          </w:tcPr>
          <w:p w14:paraId="0559A09A">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4、部分轮胎综合报价8分</w:t>
            </w:r>
          </w:p>
          <w:p w14:paraId="09E51E10">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（1）投标人按采购人列举的轮胎品牌及规格型号报出各品牌轮胎及规格型号的综合单价和总价，综合单价含材料费、工时费、管理费、税金等所有费用。</w:t>
            </w:r>
          </w:p>
          <w:p w14:paraId="29D4551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（2）经评审满足招标文件要求且综合报价总价最低的价格作为评标基准价，其得分为满分14 分。其他投标供应商的综合报价得分统一按照下列公式计算（四舍五入保留至小数点后两位数）： </w:t>
            </w:r>
          </w:p>
          <w:p w14:paraId="7567A43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轮胎综合报价得分＝（评标基准价/磋商报价）×8％×100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0EE0E87">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宋体" w:hAnsi="宋体" w:eastAsia="宋体" w:cs="宋体"/>
                <w:b/>
                <w:bCs/>
                <w:color w:val="auto"/>
                <w:sz w:val="24"/>
                <w:szCs w:val="24"/>
                <w:highlight w:val="none"/>
                <w:lang w:val="en-US" w:eastAsia="zh-CN"/>
              </w:rPr>
            </w:pPr>
          </w:p>
        </w:tc>
      </w:tr>
    </w:tbl>
    <w:p w14:paraId="095A5AC8">
      <w:pPr>
        <w:spacing w:line="400" w:lineRule="exact"/>
        <w:ind w:firstLine="480" w:firstLineChars="200"/>
        <w:rPr>
          <w:rFonts w:ascii="仿宋_GB2312" w:hAnsi="CESI宋体-GB2312" w:eastAsia="仿宋_GB2312" w:cs="CESI宋体-GB2312"/>
          <w:color w:val="auto"/>
          <w:sz w:val="24"/>
          <w:szCs w:val="24"/>
          <w:highlight w:val="none"/>
        </w:rPr>
      </w:pPr>
      <w:r>
        <w:rPr>
          <w:rFonts w:hint="eastAsia" w:ascii="仿宋_GB2312" w:hAnsi="CESI宋体-GB2312" w:eastAsia="仿宋_GB2312" w:cs="CESI宋体-GB2312"/>
          <w:color w:val="auto"/>
          <w:sz w:val="24"/>
          <w:szCs w:val="24"/>
          <w:highlight w:val="none"/>
        </w:rPr>
        <w:t>注：</w:t>
      </w:r>
      <w:r>
        <w:rPr>
          <w:rFonts w:hint="eastAsia" w:ascii="仿宋_GB2312" w:hAnsi="CESI宋体-GB2312" w:eastAsia="仿宋_GB2312" w:cs="CESI宋体-GB2312"/>
          <w:b/>
          <w:bCs/>
          <w:color w:val="auto"/>
          <w:sz w:val="24"/>
          <w:szCs w:val="24"/>
          <w:highlight w:val="none"/>
        </w:rPr>
        <w:t>1、技术标分汇总方法：</w:t>
      </w:r>
      <w:r>
        <w:rPr>
          <w:rFonts w:hint="eastAsia" w:ascii="仿宋_GB2312" w:hAnsi="CESI宋体-GB2312" w:eastAsia="仿宋_GB2312" w:cs="CESI宋体-GB2312"/>
          <w:color w:val="auto"/>
          <w:sz w:val="24"/>
          <w:szCs w:val="24"/>
          <w:highlight w:val="none"/>
        </w:rPr>
        <w:t>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3CC19F75">
      <w:pPr>
        <w:spacing w:line="400" w:lineRule="exact"/>
        <w:ind w:firstLine="482" w:firstLineChars="200"/>
        <w:rPr>
          <w:rFonts w:hint="eastAsia" w:ascii="仿宋_GB2312" w:hAnsi="CESI宋体-GB2312" w:eastAsia="仿宋_GB2312" w:cs="CESI宋体-GB2312"/>
          <w:color w:val="auto"/>
          <w:sz w:val="24"/>
          <w:szCs w:val="24"/>
          <w:highlight w:val="none"/>
        </w:rPr>
      </w:pPr>
      <w:r>
        <w:rPr>
          <w:rFonts w:hint="eastAsia" w:ascii="仿宋_GB2312" w:hAnsi="CESI宋体-GB2312" w:eastAsia="仿宋_GB2312" w:cs="CESI宋体-GB2312"/>
          <w:b/>
          <w:bCs/>
          <w:color w:val="auto"/>
          <w:sz w:val="24"/>
          <w:szCs w:val="24"/>
          <w:highlight w:val="none"/>
        </w:rPr>
        <w:t>2、得分汇总：</w:t>
      </w:r>
      <w:r>
        <w:rPr>
          <w:rFonts w:hint="eastAsia" w:ascii="仿宋_GB2312" w:hAnsi="CESI宋体-GB2312" w:eastAsia="仿宋_GB2312" w:cs="CESI宋体-GB2312"/>
          <w:color w:val="auto"/>
          <w:sz w:val="24"/>
          <w:szCs w:val="24"/>
          <w:highlight w:val="none"/>
        </w:rPr>
        <w:t>（1）将每个有效响应供应商的技术标分之和加上根据上述标准计算出的价格分，即为该</w:t>
      </w:r>
      <w:r>
        <w:rPr>
          <w:rFonts w:hint="eastAsia" w:ascii="仿宋_GB2312" w:hAnsi="CESI宋体-GB2312" w:eastAsia="仿宋_GB2312" w:cs="CESI宋体-GB2312"/>
          <w:color w:val="auto"/>
          <w:sz w:val="24"/>
          <w:szCs w:val="24"/>
          <w:highlight w:val="none"/>
          <w:lang w:val="en-US" w:eastAsia="zh-CN"/>
        </w:rPr>
        <w:t>响应</w:t>
      </w:r>
      <w:r>
        <w:rPr>
          <w:rFonts w:hint="eastAsia" w:ascii="仿宋_GB2312" w:hAnsi="CESI宋体-GB2312" w:eastAsia="仿宋_GB2312" w:cs="CESI宋体-GB2312"/>
          <w:color w:val="auto"/>
          <w:sz w:val="24"/>
          <w:szCs w:val="24"/>
          <w:highlight w:val="none"/>
        </w:rPr>
        <w:t>供应商的综合总得分。（2）按照有效响应供应商综合总得分由高到低依次排出排名。综合总得分相同的，按技术指标重要性：</w:t>
      </w:r>
      <w:r>
        <w:rPr>
          <w:rFonts w:hint="eastAsia" w:ascii="仿宋_GB2312" w:hAnsi="CESI宋体-GB2312" w:eastAsia="仿宋_GB2312" w:cs="CESI宋体-GB2312"/>
          <w:b/>
          <w:bCs/>
          <w:color w:val="auto"/>
          <w:sz w:val="24"/>
          <w:szCs w:val="24"/>
          <w:highlight w:val="none"/>
        </w:rPr>
        <w:t>商务报价</w:t>
      </w:r>
      <w:r>
        <w:rPr>
          <w:rFonts w:hint="eastAsia" w:ascii="仿宋_GB2312" w:hAnsi="CESI宋体-GB2312" w:eastAsia="仿宋_GB2312" w:cs="CESI宋体-GB2312"/>
          <w:b/>
          <w:bCs/>
          <w:color w:val="auto"/>
          <w:sz w:val="24"/>
          <w:szCs w:val="24"/>
          <w:highlight w:val="none"/>
          <w:lang w:eastAsia="zh-CN"/>
        </w:rPr>
        <w:t>、</w:t>
      </w:r>
      <w:r>
        <w:rPr>
          <w:rFonts w:hint="eastAsia" w:ascii="仿宋_GB2312" w:hAnsi="CESI宋体-GB2312" w:eastAsia="仿宋_GB2312" w:cs="CESI宋体-GB2312"/>
          <w:b/>
          <w:bCs/>
          <w:color w:val="auto"/>
          <w:sz w:val="24"/>
          <w:szCs w:val="24"/>
          <w:highlight w:val="none"/>
        </w:rPr>
        <w:t>服务小组、生产经营条件、维修设施设备、投标供应商业绩、整体服务方案、经营管理方案、质量管理方案、应急处理方案、售后服务方案</w:t>
      </w:r>
      <w:r>
        <w:rPr>
          <w:rFonts w:hint="eastAsia" w:ascii="仿宋_GB2312" w:hAnsi="CESI宋体-GB2312" w:eastAsia="仿宋_GB2312" w:cs="CESI宋体-GB2312"/>
          <w:color w:val="auto"/>
          <w:sz w:val="24"/>
          <w:szCs w:val="24"/>
          <w:highlight w:val="none"/>
        </w:rPr>
        <w:t>依次进行排序，得分高的优先（如先按商务报价分排序，商务报价分高的优先；如果商务报价分相同，以服务小组得分高的优先</w:t>
      </w:r>
      <w:r>
        <w:rPr>
          <w:rFonts w:hint="eastAsia" w:ascii="仿宋_GB2312" w:hAnsi="CESI宋体-GB2312" w:eastAsia="仿宋_GB2312" w:cs="CESI宋体-GB2312"/>
          <w:color w:val="auto"/>
          <w:sz w:val="24"/>
          <w:szCs w:val="24"/>
          <w:highlight w:val="none"/>
          <w:lang w:eastAsia="zh-CN"/>
        </w:rPr>
        <w:t>，依次类推</w:t>
      </w:r>
      <w:r>
        <w:rPr>
          <w:rFonts w:hint="eastAsia" w:ascii="仿宋_GB2312" w:hAnsi="CESI宋体-GB2312" w:eastAsia="仿宋_GB2312" w:cs="CESI宋体-GB2312"/>
          <w:color w:val="auto"/>
          <w:sz w:val="24"/>
          <w:szCs w:val="24"/>
          <w:highlight w:val="none"/>
        </w:rPr>
        <w:t>） 。若上述得分均相同的，则由评审委员会按照随机抽取</w:t>
      </w:r>
      <w:r>
        <w:rPr>
          <w:rFonts w:hint="eastAsia" w:ascii="仿宋_GB2312" w:hAnsi="CESI宋体-GB2312" w:eastAsia="仿宋_GB2312" w:cs="CESI宋体-GB2312"/>
          <w:color w:val="auto"/>
          <w:sz w:val="24"/>
          <w:szCs w:val="24"/>
          <w:highlight w:val="none"/>
          <w:lang w:eastAsia="zh-CN"/>
        </w:rPr>
        <w:t>方式</w:t>
      </w:r>
      <w:r>
        <w:rPr>
          <w:rFonts w:hint="eastAsia" w:ascii="仿宋_GB2312" w:hAnsi="CESI宋体-GB2312" w:eastAsia="仿宋_GB2312" w:cs="CESI宋体-GB2312"/>
          <w:color w:val="auto"/>
          <w:sz w:val="24"/>
          <w:szCs w:val="24"/>
          <w:highlight w:val="none"/>
        </w:rPr>
        <w:t>确认入围供应商排名。</w:t>
      </w:r>
    </w:p>
    <w:p w14:paraId="04A95EF9">
      <w:pPr>
        <w:pStyle w:val="6"/>
        <w:rPr>
          <w:color w:val="auto"/>
          <w:highlight w:val="none"/>
        </w:rPr>
      </w:pPr>
    </w:p>
    <w:p w14:paraId="1F5F1438">
      <w:pPr>
        <w:rPr>
          <w:color w:val="auto"/>
          <w:highlight w:val="none"/>
        </w:rPr>
        <w:sectPr>
          <w:footerReference r:id="rId14" w:type="default"/>
          <w:pgSz w:w="11910" w:h="16840"/>
          <w:pgMar w:top="1090" w:right="1212" w:bottom="861" w:left="1282" w:header="0" w:footer="682" w:gutter="0"/>
          <w:cols w:space="720" w:num="1"/>
        </w:sectPr>
      </w:pPr>
    </w:p>
    <w:p w14:paraId="5B39A85F">
      <w:pPr>
        <w:pStyle w:val="6"/>
        <w:rPr>
          <w:color w:val="auto"/>
          <w:highlight w:val="none"/>
        </w:rPr>
      </w:pPr>
    </w:p>
    <w:p w14:paraId="6B46E886">
      <w:pPr>
        <w:pStyle w:val="6"/>
        <w:spacing w:line="241" w:lineRule="auto"/>
        <w:rPr>
          <w:color w:val="auto"/>
          <w:highlight w:val="none"/>
        </w:rPr>
      </w:pPr>
    </w:p>
    <w:p w14:paraId="32462FC0">
      <w:pPr>
        <w:spacing w:before="91" w:line="218" w:lineRule="auto"/>
        <w:ind w:left="2082"/>
        <w:outlineLvl w:val="0"/>
        <w:rPr>
          <w:rFonts w:ascii="黑体" w:hAnsi="黑体" w:eastAsia="黑体" w:cs="黑体"/>
          <w:color w:val="auto"/>
          <w:sz w:val="28"/>
          <w:szCs w:val="28"/>
          <w:highlight w:val="none"/>
        </w:rPr>
      </w:pPr>
      <w:bookmarkStart w:id="33" w:name="bookmark15"/>
      <w:bookmarkEnd w:id="33"/>
      <w:bookmarkStart w:id="34" w:name="bookmark13"/>
      <w:bookmarkEnd w:id="34"/>
      <w:r>
        <w:rPr>
          <w:rFonts w:ascii="黑体" w:hAnsi="黑体" w:eastAsia="黑体" w:cs="黑体"/>
          <w:color w:val="auto"/>
          <w:spacing w:val="-1"/>
          <w:sz w:val="28"/>
          <w:szCs w:val="28"/>
          <w:highlight w:val="none"/>
        </w:rPr>
        <w:t>第七章 确定第二阶段成交供应商的方式</w:t>
      </w:r>
    </w:p>
    <w:p w14:paraId="10B820AD">
      <w:pPr>
        <w:pStyle w:val="6"/>
        <w:spacing w:line="311" w:lineRule="auto"/>
        <w:rPr>
          <w:color w:val="auto"/>
          <w:highlight w:val="none"/>
        </w:rPr>
      </w:pPr>
    </w:p>
    <w:p w14:paraId="46EE5433">
      <w:pPr>
        <w:spacing w:before="78" w:line="426" w:lineRule="auto"/>
        <w:ind w:firstLine="48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第一阶段入围框架协议签订后，由</w:t>
      </w:r>
      <w:r>
        <w:rPr>
          <w:rFonts w:hint="eastAsia" w:ascii="宋体" w:hAnsi="宋体" w:eastAsia="宋体" w:cs="宋体"/>
          <w:color w:val="auto"/>
          <w:sz w:val="24"/>
          <w:szCs w:val="24"/>
          <w:highlight w:val="none"/>
        </w:rPr>
        <w:t>金寨县机关事务管理服务中心</w:t>
      </w:r>
      <w:r>
        <w:rPr>
          <w:rFonts w:ascii="宋体" w:hAnsi="宋体" w:eastAsia="宋体" w:cs="宋体"/>
          <w:color w:val="auto"/>
          <w:spacing w:val="-1"/>
          <w:sz w:val="24"/>
          <w:szCs w:val="24"/>
          <w:highlight w:val="none"/>
        </w:rPr>
        <w:t>根据项目属性以及服务商报价、</w:t>
      </w:r>
      <w:r>
        <w:rPr>
          <w:rFonts w:ascii="宋体" w:hAnsi="宋体" w:eastAsia="宋体" w:cs="宋体"/>
          <w:color w:val="auto"/>
          <w:spacing w:val="-70"/>
          <w:sz w:val="24"/>
          <w:szCs w:val="24"/>
          <w:highlight w:val="none"/>
        </w:rPr>
        <w:t xml:space="preserve"> </w:t>
      </w:r>
      <w:r>
        <w:rPr>
          <w:rFonts w:ascii="宋体" w:hAnsi="宋体" w:eastAsia="宋体" w:cs="宋体"/>
          <w:color w:val="auto"/>
          <w:spacing w:val="-1"/>
          <w:sz w:val="24"/>
          <w:szCs w:val="24"/>
          <w:highlight w:val="none"/>
        </w:rPr>
        <w:t>日常服务质量和每个项</w:t>
      </w:r>
      <w:r>
        <w:rPr>
          <w:rFonts w:ascii="宋体" w:hAnsi="宋体" w:eastAsia="宋体" w:cs="宋体"/>
          <w:color w:val="auto"/>
          <w:spacing w:val="-2"/>
          <w:sz w:val="24"/>
          <w:szCs w:val="24"/>
          <w:highlight w:val="none"/>
        </w:rPr>
        <w:t>目实际需要等因素，在第一阶段入围供</w:t>
      </w:r>
      <w:r>
        <w:rPr>
          <w:rFonts w:ascii="宋体" w:hAnsi="宋体" w:eastAsia="宋体" w:cs="宋体"/>
          <w:color w:val="auto"/>
          <w:spacing w:val="-1"/>
          <w:sz w:val="24"/>
          <w:szCs w:val="24"/>
          <w:highlight w:val="none"/>
        </w:rPr>
        <w:t>应商中通过</w:t>
      </w:r>
      <w:r>
        <w:rPr>
          <w:rFonts w:ascii="宋体" w:hAnsi="宋体" w:eastAsia="宋体" w:cs="宋体"/>
          <w:b/>
          <w:bCs/>
          <w:color w:val="auto"/>
          <w:spacing w:val="-1"/>
          <w:sz w:val="24"/>
          <w:szCs w:val="24"/>
          <w:highlight w:val="none"/>
        </w:rPr>
        <w:t>直接选定</w:t>
      </w:r>
      <w:r>
        <w:rPr>
          <w:rFonts w:ascii="宋体" w:hAnsi="宋体" w:eastAsia="宋体" w:cs="宋体"/>
          <w:color w:val="auto"/>
          <w:spacing w:val="-1"/>
          <w:sz w:val="24"/>
          <w:szCs w:val="24"/>
          <w:highlight w:val="none"/>
        </w:rPr>
        <w:t>方式确定第二阶段成交供应商。</w:t>
      </w:r>
    </w:p>
    <w:p w14:paraId="05DAB45D">
      <w:pPr>
        <w:spacing w:line="426" w:lineRule="auto"/>
        <w:rPr>
          <w:rFonts w:ascii="宋体" w:hAnsi="宋体" w:eastAsia="宋体" w:cs="宋体"/>
          <w:color w:val="auto"/>
          <w:sz w:val="24"/>
          <w:szCs w:val="24"/>
          <w:highlight w:val="none"/>
        </w:rPr>
      </w:pPr>
    </w:p>
    <w:p w14:paraId="04DB6D4C">
      <w:pPr>
        <w:spacing w:line="426" w:lineRule="auto"/>
        <w:rPr>
          <w:rFonts w:ascii="宋体" w:hAnsi="宋体" w:eastAsia="宋体" w:cs="宋体"/>
          <w:color w:val="auto"/>
          <w:sz w:val="24"/>
          <w:szCs w:val="24"/>
          <w:highlight w:val="none"/>
        </w:rPr>
        <w:sectPr>
          <w:footerReference r:id="rId15" w:type="default"/>
          <w:pgSz w:w="11910" w:h="16840"/>
          <w:pgMar w:top="1431" w:right="1558" w:bottom="861" w:left="1473" w:header="0" w:footer="682" w:gutter="0"/>
          <w:cols w:space="720" w:num="1"/>
        </w:sectPr>
      </w:pPr>
    </w:p>
    <w:p w14:paraId="60B41C49">
      <w:pPr>
        <w:spacing w:before="55" w:line="219" w:lineRule="auto"/>
        <w:ind w:left="3168"/>
        <w:outlineLvl w:val="0"/>
        <w:rPr>
          <w:rFonts w:ascii="黑体" w:hAnsi="黑体" w:eastAsia="黑体" w:cs="黑体"/>
          <w:color w:val="auto"/>
          <w:sz w:val="28"/>
          <w:szCs w:val="28"/>
          <w:highlight w:val="none"/>
        </w:rPr>
      </w:pPr>
      <w:bookmarkStart w:id="35" w:name="bookmark14"/>
      <w:bookmarkEnd w:id="35"/>
      <w:r>
        <w:rPr>
          <w:rFonts w:ascii="黑体" w:hAnsi="黑体" w:eastAsia="黑体" w:cs="黑体"/>
          <w:color w:val="auto"/>
          <w:spacing w:val="-2"/>
          <w:sz w:val="28"/>
          <w:szCs w:val="28"/>
          <w:highlight w:val="none"/>
        </w:rPr>
        <w:t>第八章 采购需求</w:t>
      </w:r>
    </w:p>
    <w:p w14:paraId="172D61DF">
      <w:pPr>
        <w:pStyle w:val="6"/>
        <w:spacing w:line="358" w:lineRule="auto"/>
        <w:rPr>
          <w:color w:val="auto"/>
          <w:highlight w:val="none"/>
        </w:rPr>
      </w:pPr>
    </w:p>
    <w:p w14:paraId="0CBA6ECC">
      <w:pPr>
        <w:pStyle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w:t>
      </w:r>
      <w:r>
        <w:rPr>
          <w:rFonts w:hint="eastAsia" w:ascii="宋体" w:hAnsi="宋体" w:eastAsia="宋体" w:cs="宋体"/>
          <w:b/>
          <w:bCs/>
          <w:color w:val="auto"/>
          <w:sz w:val="24"/>
          <w:szCs w:val="24"/>
          <w:highlight w:val="none"/>
          <w:lang w:val="en-US" w:eastAsia="zh-CN"/>
        </w:rPr>
        <w:t>要求</w:t>
      </w:r>
      <w:r>
        <w:rPr>
          <w:rFonts w:hint="eastAsia" w:ascii="宋体" w:hAnsi="宋体" w:eastAsia="宋体" w:cs="宋体"/>
          <w:b/>
          <w:bCs/>
          <w:color w:val="auto"/>
          <w:sz w:val="24"/>
          <w:szCs w:val="24"/>
          <w:highlight w:val="none"/>
        </w:rPr>
        <w:t>：</w:t>
      </w:r>
    </w:p>
    <w:p w14:paraId="11EE46EF">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基本情况</w:t>
      </w:r>
      <w:r>
        <w:rPr>
          <w:rFonts w:hint="eastAsia" w:ascii="宋体" w:hAnsi="宋体" w:eastAsia="宋体" w:cs="宋体"/>
          <w:b/>
          <w:bCs/>
          <w:color w:val="auto"/>
          <w:sz w:val="24"/>
          <w:szCs w:val="24"/>
          <w:highlight w:val="none"/>
        </w:rPr>
        <w:t>：</w:t>
      </w:r>
      <w:bookmarkStart w:id="36" w:name="_Hlk162427081"/>
      <w:r>
        <w:rPr>
          <w:rFonts w:hint="eastAsia" w:ascii="宋体" w:hAnsi="宋体" w:eastAsia="宋体" w:cs="宋体"/>
          <w:color w:val="auto"/>
          <w:sz w:val="24"/>
          <w:szCs w:val="24"/>
          <w:highlight w:val="none"/>
        </w:rPr>
        <w:t>为规范公务用车维修与保养，降低车辆运行成本，根据《安徽省党政机关公务用车管理实施办法》、《政府采购框架协议采购方式管理暂行办法》有关规定，现采用封闭式框架协议对金寨县行政事业单位公务（业务）用车维修保养服务进行采购。金寨县所属公务用车根据工作需求自主选择供应商进行维修保养，征集人不保证业务量。金寨县机关与事业单位、国有企业所有车辆共约500辆，包括中巴、商务、轿车、越野车型，拟选定9家车辆维修企业为金寨县公务用车定点维修服务单位。</w:t>
      </w:r>
    </w:p>
    <w:bookmarkEnd w:id="36"/>
    <w:p w14:paraId="502E7E54">
      <w:pPr>
        <w:pStyle w:val="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（二）服务期限：</w:t>
      </w:r>
      <w:r>
        <w:rPr>
          <w:rFonts w:hint="eastAsia" w:ascii="宋体" w:hAnsi="宋体" w:eastAsia="宋体" w:cs="宋体"/>
          <w:color w:val="auto"/>
          <w:sz w:val="24"/>
          <w:szCs w:val="24"/>
          <w:highlight w:val="none"/>
        </w:rPr>
        <w:t>自框架协议生效之日起</w:t>
      </w:r>
      <w:r>
        <w:rPr>
          <w:rFonts w:hint="eastAsia" w:ascii="宋体" w:hAnsi="宋体" w:eastAsia="宋体" w:cs="宋体"/>
          <w:color w:val="auto"/>
          <w:sz w:val="24"/>
          <w:szCs w:val="24"/>
          <w:highlight w:val="none"/>
          <w:lang w:val="en-US" w:eastAsia="zh-CN"/>
        </w:rPr>
        <w:t>24个月（自2025年7月1日起至2027年6月30日止）</w:t>
      </w:r>
      <w:r>
        <w:rPr>
          <w:rFonts w:hint="eastAsia" w:ascii="宋体" w:hAnsi="宋体" w:eastAsia="宋体" w:cs="宋体"/>
          <w:color w:val="auto"/>
          <w:sz w:val="24"/>
          <w:szCs w:val="24"/>
          <w:highlight w:val="none"/>
        </w:rPr>
        <w:t>。</w:t>
      </w:r>
    </w:p>
    <w:p w14:paraId="17AEA23D">
      <w:pPr>
        <w:pStyle w:val="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（三）入围供应商的清退和补充规则：</w:t>
      </w:r>
      <w:r>
        <w:rPr>
          <w:rFonts w:hint="eastAsia" w:ascii="宋体" w:hAnsi="宋体" w:eastAsia="宋体" w:cs="宋体"/>
          <w:color w:val="auto"/>
          <w:sz w:val="24"/>
          <w:szCs w:val="24"/>
          <w:highlight w:val="none"/>
        </w:rPr>
        <w:t>入围供应商无正当理由，不得主动放弃入围资格或者退出框架协议。集中采购机构或者主管预算单位应当在收到退出申请2个工作日内，发布入围供应商退出公告。供应商有《办法》第十九条第一款第一项至三项情形之一（1.恶意串通谋取入围或者合同成交的；2.提供虚假材料谋取入围或者合同成交的；3.无正当理由拒不接受合同授予的），以及无正当理由放弃封闭式框架协议入围资格或者退出封闭式框架协议的，依照政府采购法等有关法律、行政法规追究法律责任。</w:t>
      </w:r>
    </w:p>
    <w:p w14:paraId="3F2F3D15">
      <w:pPr>
        <w:pStyle w:val="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（四）适用框架协议的采购人或者服务对象范围：</w:t>
      </w:r>
      <w:r>
        <w:rPr>
          <w:rFonts w:hint="eastAsia" w:ascii="宋体" w:hAnsi="宋体" w:eastAsia="宋体" w:cs="宋体"/>
          <w:color w:val="auto"/>
          <w:sz w:val="24"/>
          <w:szCs w:val="24"/>
          <w:highlight w:val="none"/>
        </w:rPr>
        <w:t>六安市金寨县各行政机关、事业单位及团体组织。</w:t>
      </w:r>
    </w:p>
    <w:p w14:paraId="355175DD">
      <w:pPr>
        <w:pStyle w:val="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）履行合同的地域范围：</w:t>
      </w:r>
      <w:r>
        <w:rPr>
          <w:rFonts w:hint="eastAsia" w:ascii="宋体" w:hAnsi="宋体" w:eastAsia="宋体" w:cs="宋体"/>
          <w:color w:val="auto"/>
          <w:sz w:val="24"/>
          <w:szCs w:val="24"/>
          <w:highlight w:val="none"/>
        </w:rPr>
        <w:t>金寨县内。</w:t>
      </w:r>
    </w:p>
    <w:p w14:paraId="02E00150">
      <w:pPr>
        <w:pStyle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 服务要求</w:t>
      </w:r>
    </w:p>
    <w:p w14:paraId="4B1159A3">
      <w:pPr>
        <w:pStyle w:val="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（一）本项目主要采购内容</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包括但不限于对公务车辆进行日常维修、定期保养，总成修理、专项修理及发动机等主要部分大修，轮胎修补更换等车辆维修保养的全部工作内容。新购置的车辆，在保修期内，属于“三包”范围内的应在汽车生产厂家指定的企业进行维护保养；保险公司负责理赔维修的车辆，按保险招标有关规定执行。</w:t>
      </w:r>
    </w:p>
    <w:p w14:paraId="1BC92400">
      <w:pPr>
        <w:pStyle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（二）服务人员：</w:t>
      </w:r>
    </w:p>
    <w:p w14:paraId="219E0C0B">
      <w:pPr>
        <w:pStyle w:val="2"/>
        <w:rPr>
          <w:rFonts w:hint="eastAsia" w:ascii="宋体" w:hAnsi="宋体" w:eastAsia="宋体" w:cs="宋体"/>
          <w:b/>
          <w:bCs/>
          <w:color w:val="auto"/>
          <w:sz w:val="24"/>
          <w:szCs w:val="24"/>
          <w:highlight w:val="none"/>
        </w:rPr>
      </w:pPr>
      <w:r>
        <w:rPr>
          <w:rFonts w:hint="eastAsia" w:ascii="宋体" w:hAnsi="宋体" w:eastAsia="宋体" w:cs="宋体"/>
          <w:sz w:val="24"/>
          <w:szCs w:val="24"/>
          <w:highlight w:val="none"/>
          <w:lang w:val="en-US" w:eastAsia="zh-CN"/>
        </w:rPr>
        <w:t>服务人员应符合最新版《汽车维修业经营业务条件》（GB/T 16739）规定：</w:t>
      </w:r>
    </w:p>
    <w:p w14:paraId="36311940">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应具有技术负责人员、安全生产管理人员、质量检验人员、业务接待人员以及从事机修、电器、钣金和涂漆的维修技术人员。</w:t>
      </w:r>
    </w:p>
    <w:p w14:paraId="637D57CF">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技术负责人员应熟悉汽车维修业务，掌握汽车维修及相关政策法规和技术规范，具有汽车维修或相关专业大专及以上学历，或者具有汽车维修或相关专业中级及以上专业技术职称。</w:t>
      </w:r>
    </w:p>
    <w:p w14:paraId="069D72F7">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安全生产管理人员应熟知国家安全生产法律法规，并具有汽车维修安全生产作业知识和安全生产管理能力。</w:t>
      </w:r>
    </w:p>
    <w:p w14:paraId="66F529A5">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质量检验人员应熟悉汽车维修检测作业规范，掌握汽车维修故障诊断和质量检验的相关技术，熟悉汽车维修服务收费标准及相关政策法规和技术规范，具有高中及以上学历，并持有与承修车型种类相适应的机动车驾驶证。</w:t>
      </w:r>
    </w:p>
    <w:p w14:paraId="6D2AA107">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机修、电器、钣金和涂漆的维修技术人员应熟悉所从事工种的维修技术和操作规范，了解汽车维修及相关政策法规，并具有初中及以上学历。</w:t>
      </w:r>
    </w:p>
    <w:p w14:paraId="7E41996A">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提供履约人员名单身份证号、学历、职称、机动车驾驶证等信息，</w:t>
      </w:r>
      <w:r>
        <w:rPr>
          <w:rFonts w:hint="eastAsia" w:ascii="宋体" w:hAnsi="宋体" w:eastAsia="宋体" w:cs="宋体"/>
          <w:color w:val="auto"/>
          <w:sz w:val="24"/>
          <w:szCs w:val="24"/>
          <w:highlight w:val="none"/>
        </w:rPr>
        <w:t>履约过程中人员更换须向采购人书面申请，未经采购人同意不得擅自更换。</w:t>
      </w:r>
    </w:p>
    <w:p w14:paraId="3F328BBE">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维保场所位置和相关要求：</w:t>
      </w:r>
      <w:r>
        <w:rPr>
          <w:rFonts w:hint="eastAsia" w:ascii="宋体" w:hAnsi="宋体" w:eastAsia="宋体" w:cs="宋体"/>
          <w:color w:val="auto"/>
          <w:sz w:val="24"/>
          <w:szCs w:val="24"/>
          <w:highlight w:val="none"/>
          <w:lang w:val="en-US" w:eastAsia="zh-CN"/>
        </w:rPr>
        <w:t>有固定的维保场所，维保场所面积应满足《汽车维修业开业条件》规定。</w:t>
      </w:r>
    </w:p>
    <w:p w14:paraId="08CA5407">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（四）维修设备要求：</w:t>
      </w:r>
      <w:r>
        <w:rPr>
          <w:rFonts w:hint="eastAsia" w:ascii="宋体" w:hAnsi="宋体" w:eastAsia="宋体" w:cs="宋体"/>
          <w:color w:val="auto"/>
          <w:sz w:val="24"/>
          <w:szCs w:val="24"/>
          <w:highlight w:val="none"/>
          <w:lang w:val="en-US" w:eastAsia="zh-CN"/>
        </w:rPr>
        <w:t>有可以满足汽车维修的相应设备，应满足《汽车维修业开业条件》规定，须同时提供维修设备清单和设备照片。</w:t>
      </w:r>
    </w:p>
    <w:p w14:paraId="17612434">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（五）服务车辆要求：</w:t>
      </w:r>
      <w:r>
        <w:rPr>
          <w:rFonts w:hint="eastAsia" w:ascii="宋体" w:hAnsi="宋体" w:eastAsia="宋体" w:cs="宋体"/>
          <w:color w:val="auto"/>
          <w:sz w:val="24"/>
          <w:szCs w:val="24"/>
          <w:highlight w:val="none"/>
          <w:lang w:val="en-US" w:eastAsia="zh-CN"/>
        </w:rPr>
        <w:t>有提供维修服务的车辆。</w:t>
      </w:r>
    </w:p>
    <w:p w14:paraId="039DEE1E">
      <w:pPr>
        <w:pStyle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三、确定第二阶段成交供应商方式</w:t>
      </w:r>
    </w:p>
    <w:p w14:paraId="677EFFA3">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采用直接选定法委托。即第二阶段成交供应商由采购人或者服务对象依据入围产品价格、质量以及服务便利性、用户评价等因素，从第一阶段入围供应商中直接选定。</w:t>
      </w:r>
    </w:p>
    <w:p w14:paraId="2E2F0481">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四、计费标准及结算方式</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val="en-US" w:eastAsia="zh-CN"/>
        </w:rPr>
        <w:t>因在徽采云电子投标响应系统中无法分项填写下列报价（费率），因此响应供应商在系统中填写的相关报价（费率）不作为商务评审的审查依据，审查依据以各供应商在响应文件中的报价表为准。</w:t>
      </w:r>
    </w:p>
    <w:p w14:paraId="6A020DB8">
      <w:pPr>
        <w:pStyle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（一）计费标准</w:t>
      </w:r>
    </w:p>
    <w:p w14:paraId="4285FA44">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本项目按费率和实际服务综合报价作为商务评审的依据，分为四项报价：1、工时费优惠率；2、材料管理费率；3、部分维修项目综合报价；4、部分轮胎综合报价。</w:t>
      </w:r>
    </w:p>
    <w:p w14:paraId="325AAD33">
      <w:pPr>
        <w:pStyle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1、工时费优惠率 </w:t>
      </w:r>
    </w:p>
    <w:p w14:paraId="23550459">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1）工时费优惠率，即工时费的折扣率。</w:t>
      </w:r>
    </w:p>
    <w:p w14:paraId="41639A97">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工时费 = 工时定额 ×工时单价</w:t>
      </w:r>
    </w:p>
    <w:p w14:paraId="7806ACD7">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对工时费以优惠率报价。例如：工时定额×工时单价按基准收费为 100，投标人拟收80，则工时费优惠率为 80%；工时定额 × 工时单价按基准收费为 100，投标人拟收 60，则工时费优惠率为 60%。</w:t>
      </w:r>
    </w:p>
    <w:p w14:paraId="7050E6AD">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2）工时费优惠率投标报价上限为 90% (含)，超过 90% 视为无效投标。 </w:t>
      </w:r>
    </w:p>
    <w:p w14:paraId="3B319FE8">
      <w:pPr>
        <w:pStyle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2、材料管理费率 </w:t>
      </w:r>
    </w:p>
    <w:p w14:paraId="6A7A4F4D">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1）材料管理费率是指维修企业向市场采购车辆维修所需配件、材料(含辅助材料)而发生的运杂费、保管费、税收和合理利润等的加成率，即：材料费=材料进货价×(1+材料管理费率)。</w:t>
      </w:r>
    </w:p>
    <w:p w14:paraId="0DA18069">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2）材料管理费率投标报价上限为 15%(含)，超过 15% 视为无效投标。 </w:t>
      </w:r>
    </w:p>
    <w:p w14:paraId="4F6B2D65">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3）维修费=工时费+材料费。</w:t>
      </w:r>
    </w:p>
    <w:p w14:paraId="5610202F">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4）中标确定的费率为完成维修、保养等本项目全部工作内容的费率，采购人不予支付其他任何额外费用或向任何第三方支付任何费用。 </w:t>
      </w:r>
    </w:p>
    <w:p w14:paraId="6BA850BE">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工时费（乘以优惠率后）已包含完成维修、保养所需的全部工时价格，含人工费、安装费、管理费、税收、合理利润等，中标后费率不予调增。</w:t>
      </w:r>
    </w:p>
    <w:p w14:paraId="7D13205E">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材料费已包含材料本身(含辅助材料)及运杂费、保管费、税收和合理利润等，中标后费率不予任何调增。</w:t>
      </w:r>
    </w:p>
    <w:p w14:paraId="6F100337">
      <w:pPr>
        <w:pStyle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3、部分维修项目综合报价</w:t>
      </w:r>
    </w:p>
    <w:p w14:paraId="1AAC1DAF">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按采购人列举的维修项目报出各维修项目的综合单价和总价，综合单价含材料费、工时费、管理费、税金等所有费用，结算时按中标供应商投标时的各维修项目的综合单价和各维修项目的实际数量据实结算。采购人不予支付其他任何额外费用或向任何第三方支付任何费用。</w:t>
      </w:r>
    </w:p>
    <w:p w14:paraId="45E969D1">
      <w:pPr>
        <w:pStyle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4、部分轮胎综合报价</w:t>
      </w:r>
    </w:p>
    <w:p w14:paraId="1525CA12">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按采购人列举的轮胎品牌及规格型号报出各品牌轮胎及规格型号的综合单价和总价，综合单价含材料费、工时费、管理费、税金等所有费用。结算时按中标供应商投标时的各品牌轮胎及规格型号的综合单价和更换各品牌轮胎及规格型号的实际数量据实结算。采购人不予支付其他任何额外费用或向任何第三方支付任何费用。</w:t>
      </w:r>
    </w:p>
    <w:p w14:paraId="1CB8DAEB">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（二）工时定额和工时单价按照投标人公布并报道路运输管理机构备案的机动车维修工时定额和收费标准，优惠后计算，或工时定额按安徽省交通厅、安徽省物价局 2002 年《安徽省汽车维修行业工时定额》规定的乙等标准为基准，工时单价按安徽省物价局、交通厅皖价经费字[2000]028 号文件规定的标准为基准。</w:t>
      </w:r>
    </w:p>
    <w:p w14:paraId="00E6F9DD">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（三）投标人必须按要求进行报价，报价不符合要求，如出现漏项、缺项等不完整的，视同未实质性响应招标文件要求，投标无效。</w:t>
      </w:r>
    </w:p>
    <w:p w14:paraId="051C191D">
      <w:pPr>
        <w:pStyle w:val="2"/>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采购资金的支付方式、时间和条件</w:t>
      </w:r>
    </w:p>
    <w:p w14:paraId="29014D59">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1、相应的车属单位组织相关人员对维修后的车辆按照国家和行业相关技术标准和规范要求进行验收。</w:t>
      </w:r>
    </w:p>
    <w:p w14:paraId="7D12579B">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二级以上车辆维护、总成修理或整车修理，报修车辆维修竣工后，维修企业应填制运输管理机构统一印制的《机动车维修竣工出厂合格证》，未签发机动车维修竣工出厂合格证的车辆，不得交付使用，采购人或车辆所属单位可以拒绝接车、拒绝付费。</w:t>
      </w:r>
    </w:p>
    <w:p w14:paraId="48866746">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3、所需修理的车辆维修完毕后，经车属单位验收合格后，维修费用须凭支付申请书、报修单、结算单等相关单据以及合法发票，7 个工作日内按财政支付的有关规定办理支付，不得使用现金支付维修费用。未经报批自行送修的车辆，车属单位有权不予结算维修费用。</w:t>
      </w:r>
    </w:p>
    <w:p w14:paraId="39CD44D8">
      <w:pPr>
        <w:pStyle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五、服务标准</w:t>
      </w:r>
    </w:p>
    <w:p w14:paraId="4CDA2C61">
      <w:pPr>
        <w:pStyle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供应商应严格执行</w:t>
      </w:r>
      <w:r>
        <w:rPr>
          <w:rFonts w:hint="eastAsia" w:ascii="宋体" w:hAnsi="宋体" w:eastAsia="宋体" w:cs="宋体"/>
          <w:color w:val="auto"/>
          <w:sz w:val="24"/>
          <w:szCs w:val="24"/>
          <w:highlight w:val="none"/>
        </w:rPr>
        <w:t>《机动车维修管理规定》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中华人民共和国交通运输部令2023 年 第 14 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第十九条“</w:t>
      </w:r>
      <w:r>
        <w:rPr>
          <w:rFonts w:hint="eastAsia" w:ascii="宋体" w:hAnsi="宋体" w:eastAsia="宋体" w:cs="宋体"/>
          <w:color w:val="auto"/>
          <w:sz w:val="24"/>
          <w:szCs w:val="24"/>
          <w:highlight w:val="none"/>
        </w:rPr>
        <w:t>机动车维修经营者应当按照备案的经营范围开展维修服务。</w:t>
      </w:r>
      <w:r>
        <w:rPr>
          <w:rFonts w:hint="eastAsia" w:ascii="宋体" w:hAnsi="宋体" w:eastAsia="宋体" w:cs="宋体"/>
          <w:color w:val="auto"/>
          <w:sz w:val="24"/>
          <w:szCs w:val="24"/>
          <w:highlight w:val="none"/>
          <w:lang w:eastAsia="zh-CN"/>
        </w:rPr>
        <w:t>”</w:t>
      </w:r>
    </w:p>
    <w:p w14:paraId="7F9188BA">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1、遵守《交通运输部关于修改〈机动车维修管理规定〉的决定》（中华人民共和国交通运输部令 2023 年第 14 号）以及其他相关法律法规规定。 新能源汽车电池、电机、电控系统，按照国家工信部及厂商维保手册要求进行维保。</w:t>
      </w:r>
    </w:p>
    <w:p w14:paraId="0F84EB69">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2、对于二级以上车辆维护、总成修理、专项修理及发动机维修等实行竣工出厂质量保证期制度，中标人不得超资格范围维修车辆。</w:t>
      </w:r>
    </w:p>
    <w:p w14:paraId="59260108">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3、保修期内车辆，因维修质量造成的机械故障、机械事故及由此造成的经济损失，由负责维修车辆的中标人承担。</w:t>
      </w:r>
    </w:p>
    <w:p w14:paraId="64F66550">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4、维修企业提供维修服务；周末、节假日随时有人值班维修，免加班费。</w:t>
      </w:r>
    </w:p>
    <w:p w14:paraId="32720E60">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5、车辆随到随修，故障车进入维修企业厂区内随时有人接待并安排人员检修。</w:t>
      </w:r>
    </w:p>
    <w:p w14:paraId="2C1ACB68">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6、保证一般常用、易损配件库存充裕，随时更换；非易损件损坏需更换，国产车不超过 2 天。维修质量和质保期按照《交通运输部关于修改〈机动车维修管理规定〉的决定》（中华人民共和国交通运输部令 2023 年第 14 号）执行。</w:t>
      </w:r>
    </w:p>
    <w:p w14:paraId="20A2F61D">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7、本县主城区内出现故障、车辆无法行驶，维修企业人员 30 分钟内赶到现场，确因故障无法维修须免费拖车及救援。</w:t>
      </w:r>
    </w:p>
    <w:p w14:paraId="39C79B9C">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8、所更换的配件必须为原厂正品新配件，杜绝假冒伪劣配件装车。</w:t>
      </w:r>
    </w:p>
    <w:p w14:paraId="75D4B369">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9、积极协助采购人办理车辆更换大件（如：发动机、车辆等）的有关编码更新手续。</w:t>
      </w:r>
    </w:p>
    <w:p w14:paraId="136F0E37">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10、车辆质保期结束后，将车辆送县机动车综合性能检测线检测，保证符合国家《机动车安全运行技术条件》的标准要求（因重大交通事故造成车辆严重损坏者除外）。</w:t>
      </w:r>
    </w:p>
    <w:p w14:paraId="294C2FFD">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11、须建立维修车辆维修档案，实行“一车一档”档案管理，维修档案内容包括：车辆所属单位、驾驶员姓名、车牌号、维修内容、更换配件名称、配件金额、维修工时金额等，否则将不予以认可和支付。 同时按照公车管理要求，维修内容明细须录入安徽省公车监督管理平台，加入平台费用由入围供应商自行承担</w:t>
      </w:r>
      <w:r>
        <w:rPr>
          <w:rFonts w:hint="eastAsia" w:ascii="宋体" w:hAnsi="宋体" w:eastAsia="宋体" w:cs="宋体"/>
          <w:b/>
          <w:bCs/>
          <w:color w:val="auto"/>
          <w:sz w:val="24"/>
          <w:szCs w:val="24"/>
          <w:highlight w:val="none"/>
        </w:rPr>
        <w:t>（此条提供承诺函，须实质响应）</w:t>
      </w:r>
      <w:r>
        <w:rPr>
          <w:rFonts w:hint="eastAsia" w:ascii="宋体" w:hAnsi="宋体" w:eastAsia="宋体" w:cs="宋体"/>
          <w:color w:val="auto"/>
          <w:sz w:val="24"/>
          <w:szCs w:val="24"/>
          <w:highlight w:val="none"/>
        </w:rPr>
        <w:t>。</w:t>
      </w:r>
    </w:p>
    <w:p w14:paraId="1C6E52F9">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12、妥善保管好更换的旧件，出厂时交送修方处理，未经送修方同意不得擅自丢弃；可以维修的部件不得以换代修；不得与任何人串通，虚假修车或虚报 维修项目等。</w:t>
      </w:r>
    </w:p>
    <w:p w14:paraId="2498BC29">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13、车辆维修后免费提供添加玻璃水和洗车服务。小型车辆（除中巴、大巴外）四轮定位免费。</w:t>
      </w:r>
    </w:p>
    <w:p w14:paraId="44C8F024">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14、如有需要，可免费提供上门取车维修和上门交车服务。</w:t>
      </w:r>
    </w:p>
    <w:p w14:paraId="59DE1E16">
      <w:pPr>
        <w:pStyle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六、其他服务要求：</w:t>
      </w:r>
    </w:p>
    <w:p w14:paraId="1CA9B00C">
      <w:pPr>
        <w:pStyle w:val="2"/>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1、中标单位必须开设 24 小时报修服务电话，确保公务车辆能及时报修，抛锚车辆能及时得到救助。在接到送修方报修电话后，城区范围及周边乡镇 0.5-1 小时内维修人员抵达故障现场，其他乡镇 2-3 小时内维修人员抵达故障现场。</w:t>
      </w:r>
    </w:p>
    <w:p w14:paraId="707CCDD4">
      <w:pPr>
        <w:pStyle w:val="2"/>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2、对电话报修的异地车辆无法现场实施修复的，中标人须及时组织拖车施救服务，拖车的费用应低于市场平均价格水平并经采购人审核后据实结算。</w:t>
      </w:r>
    </w:p>
    <w:p w14:paraId="39683EE2">
      <w:pPr>
        <w:pStyle w:val="2"/>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需维修、保养的车辆，由中标人从采购人车辆放置处自提（取车）到修理厂，自采购人（含采购人方的司机）将车辆钥匙交于中标人的时刻起，车辆的交通安全责任、交通违法责任、车辆的保全责任等随即转移到中标人，一切后续过程中发生的交通安全责任、事故责任、交通违法责任、车辆损失责任等经济法律责任均由中标人承担，直至车辆维修、保养等工作完成送达采购人指定地点和指定人员，责任承担回归到采购人。即使车辆已经送达、归还采购人，但在中标人控制车辆期间所发生的一切采购人不知情的经济、法律责任仍应当由中标人承担，无论何种理由均不予减轻或免除。</w:t>
      </w:r>
    </w:p>
    <w:p w14:paraId="36762FF4">
      <w:pPr>
        <w:pStyle w:val="2"/>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4、中标维修企业必须保质、保量、高效的完成维修、保养等工作，保证采购人正常公务使用，若确属车辆故障复杂无法及时修理的，中标人必须及时通知采购人，以便采购人采取应急措施。</w:t>
      </w:r>
    </w:p>
    <w:p w14:paraId="15C97357">
      <w:pPr>
        <w:pStyle w:val="2"/>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对常规配件、易损易耗件、常用物料进行适当储备，做好备品备件的管理工作，各项零部件、配件、物料应优先选用原厂优质产品或一等品，或国内知名品牌优质产品或一等品，若出现使用假冒伪劣、三无产品或其他材料原因导致车辆故障、维修事故、机械事故等，中标维修企业承担全部责任。</w:t>
      </w:r>
    </w:p>
    <w:p w14:paraId="5DCCF734">
      <w:pPr>
        <w:pStyle w:val="2"/>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6、中标维修企业必须加强技术人员队伍建设，培养维修技术能手，确保不因技术能力造成维修等工作延迟、失误或无法完成工作任务。</w:t>
      </w:r>
    </w:p>
    <w:p w14:paraId="7D659D92">
      <w:pPr>
        <w:pStyle w:val="2"/>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7、中标维修企业对承修车辆应当建立完善的档案管理制度（一车一档，包括纸质档案和电子档案），每季度结束后的第一周内向相应的车属单位报送季度维修、保养情况报表。</w:t>
      </w:r>
    </w:p>
    <w:p w14:paraId="0E77231E">
      <w:pPr>
        <w:pStyle w:val="2"/>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档案内容包括但不限于：车辆所属单位、驾驶员姓名、牌号、保养记录、维修时间、维修内容、更换配件名称、配件来源情况、配件价格、维修总额、行驶里程数等。采购人有权对维修企业实施定期或不定期监督检查。</w:t>
      </w:r>
    </w:p>
    <w:p w14:paraId="0EEE65EB">
      <w:pPr>
        <w:pStyle w:val="2"/>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8、中标维修企业必须根据车辆档案信息，及时提醒车辆保养，避免出现保养超期。</w:t>
      </w:r>
    </w:p>
    <w:p w14:paraId="23D483B8">
      <w:pPr>
        <w:pStyle w:val="2"/>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9、中标人应当妥善保管维修、保养过程中更换下来的旧件，维修保养车辆竣工出厂时交相应的车属单位人员见证或处理，未经相应的车属单位人员见证或同意不得擅自丢弃，否则视为其未更换零配件或部件，不予结算相应的费用；对可以维修的零部件，不得以换代修。</w:t>
      </w:r>
    </w:p>
    <w:p w14:paraId="0E9A1768">
      <w:pPr>
        <w:pStyle w:val="2"/>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10、中标维修企业不得与任何人串通，虚假修车或虚报维修项目，损害单位利益的，一经发现将报政府采购主管部门严厉处罚，并解除合同，未结算费用不予结算，履约保证金不予退还。</w:t>
      </w:r>
    </w:p>
    <w:p w14:paraId="5D75FDE1">
      <w:pPr>
        <w:pStyle w:val="2"/>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11、履约过程中具体的工作流程由中标维修企业根据招标文件要求和投标文件方案进行优化，经采购人批准实行，并作为采购人对中标维修企业工作管理的依据。</w:t>
      </w:r>
    </w:p>
    <w:p w14:paraId="0894E806">
      <w:pPr>
        <w:pStyle w:val="2"/>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12、中标维修企业必须提供专业、优质、高效、快捷的服务，全面履行各项服务职责和承诺。若出现不履约或者服务态度差、服务效率低下、无法达到服务要求、拒绝服务等情形，采购人有权扣除中标人部分或全部履约保证金，情节严重的，采购人有权解除合同，</w:t>
      </w:r>
    </w:p>
    <w:p w14:paraId="604998A3">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并上报政府采购和公共资源交易等监管部门严肃查处。</w:t>
      </w:r>
    </w:p>
    <w:p w14:paraId="35675172">
      <w:pPr>
        <w:pStyle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监督检查</w:t>
      </w:r>
    </w:p>
    <w:p w14:paraId="424663BF">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（1）征集人可以按照征集公告及申请文件的约定对入围供应商承诺的服务、价格和实际提供的服务、价格以及其它有关事项进行监督检查；</w:t>
      </w:r>
    </w:p>
    <w:p w14:paraId="4968BB3B">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（2）征集人可以要求入围供应商对不符合征集公告及申请文件约定的行为进行调整。</w:t>
      </w:r>
    </w:p>
    <w:p w14:paraId="2E4253E0">
      <w:pPr>
        <w:pStyle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八、附件 </w:t>
      </w:r>
    </w:p>
    <w:p w14:paraId="30BE272C">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1、部分维修项目报价表 </w:t>
      </w:r>
    </w:p>
    <w:p w14:paraId="2033B5F2">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2、分轮胎报价表</w:t>
      </w:r>
    </w:p>
    <w:p w14:paraId="51A41647">
      <w:pPr>
        <w:pStyle w:val="2"/>
        <w:rPr>
          <w:rFonts w:hint="eastAsia"/>
          <w:highlight w:val="none"/>
        </w:rPr>
        <w:sectPr>
          <w:footerReference r:id="rId16" w:type="default"/>
          <w:pgSz w:w="11910" w:h="16840"/>
          <w:pgMar w:top="1431" w:right="1763" w:bottom="861" w:left="1654" w:header="0" w:footer="682" w:gutter="0"/>
          <w:cols w:space="720" w:num="1"/>
        </w:sectPr>
      </w:pPr>
    </w:p>
    <w:tbl>
      <w:tblPr>
        <w:tblStyle w:val="9"/>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9"/>
        <w:gridCol w:w="1609"/>
        <w:gridCol w:w="589"/>
        <w:gridCol w:w="963"/>
        <w:gridCol w:w="1330"/>
        <w:gridCol w:w="866"/>
        <w:gridCol w:w="1330"/>
        <w:gridCol w:w="959"/>
        <w:gridCol w:w="959"/>
        <w:gridCol w:w="1145"/>
        <w:gridCol w:w="959"/>
        <w:gridCol w:w="866"/>
        <w:gridCol w:w="1330"/>
        <w:gridCol w:w="588"/>
        <w:gridCol w:w="590"/>
      </w:tblGrid>
      <w:tr w14:paraId="4532C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4355" w:type="dxa"/>
            <w:gridSpan w:val="15"/>
            <w:tcBorders>
              <w:top w:val="nil"/>
              <w:left w:val="nil"/>
              <w:bottom w:val="nil"/>
              <w:right w:val="nil"/>
            </w:tcBorders>
            <w:shd w:val="clear" w:color="auto" w:fill="auto"/>
            <w:noWrap/>
            <w:vAlign w:val="center"/>
          </w:tcPr>
          <w:p w14:paraId="31D90EFE">
            <w:pPr>
              <w:rPr>
                <w:rFonts w:hint="eastAsia" w:ascii="宋体" w:hAnsi="宋体" w:eastAsia="宋体" w:cs="宋体"/>
                <w:b/>
                <w:bCs/>
                <w:i w:val="0"/>
                <w:iCs w:val="0"/>
                <w:color w:val="000000"/>
                <w:sz w:val="21"/>
                <w:szCs w:val="21"/>
                <w:highlight w:val="none"/>
                <w:u w:val="none"/>
              </w:rPr>
            </w:pPr>
            <w:r>
              <w:rPr>
                <w:rFonts w:hint="eastAsia" w:ascii="宋体" w:hAnsi="宋体" w:eastAsia="宋体" w:cs="宋体"/>
                <w:color w:val="auto"/>
                <w:sz w:val="24"/>
                <w:szCs w:val="24"/>
                <w:highlight w:val="none"/>
              </w:rPr>
              <w:br w:type="page"/>
            </w:r>
            <w:r>
              <w:rPr>
                <w:rFonts w:hint="eastAsia" w:ascii="宋体" w:hAnsi="宋体" w:eastAsia="宋体" w:cs="宋体"/>
                <w:b/>
                <w:bCs/>
                <w:i w:val="0"/>
                <w:iCs w:val="0"/>
                <w:snapToGrid w:val="0"/>
                <w:color w:val="000000"/>
                <w:kern w:val="0"/>
                <w:sz w:val="21"/>
                <w:szCs w:val="21"/>
                <w:highlight w:val="none"/>
                <w:u w:val="none"/>
                <w:lang w:val="en-US" w:eastAsia="zh-CN" w:bidi="ar"/>
              </w:rPr>
              <w:t xml:space="preserve">   金寨县公务用车定点维修部分项目报价表    </w:t>
            </w:r>
            <w:r>
              <w:rPr>
                <w:rStyle w:val="15"/>
                <w:snapToGrid w:val="0"/>
                <w:color w:val="000000"/>
                <w:sz w:val="21"/>
                <w:szCs w:val="21"/>
                <w:highlight w:val="none"/>
                <w:lang w:val="en-US" w:eastAsia="zh-CN" w:bidi="ar"/>
              </w:rPr>
              <w:t xml:space="preserve">单价：元   </w:t>
            </w:r>
          </w:p>
        </w:tc>
      </w:tr>
      <w:tr w14:paraId="72102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5872">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9D88">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配件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E1AC">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数量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9368">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品牌型号</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4557">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车型及结算价格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E04B">
            <w:pPr>
              <w:keepNext w:val="0"/>
              <w:keepLines w:val="0"/>
              <w:widowControl/>
              <w:suppressLineNumbers w:val="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snapToGrid w:val="0"/>
                <w:color w:val="000000"/>
                <w:kern w:val="0"/>
                <w:sz w:val="21"/>
                <w:szCs w:val="21"/>
                <w:highlight w:val="none"/>
                <w:u w:val="none"/>
                <w:lang w:val="en-US" w:eastAsia="zh-CN" w:bidi="ar"/>
              </w:rPr>
              <w:t>备注</w:t>
            </w:r>
          </w:p>
        </w:tc>
      </w:tr>
      <w:tr w14:paraId="5AB6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AEDC">
            <w:pPr>
              <w:jc w:val="center"/>
              <w:rPr>
                <w:rFonts w:hint="eastAsia" w:ascii="宋体" w:hAnsi="宋体" w:eastAsia="宋体" w:cs="宋体"/>
                <w:b/>
                <w:bCs/>
                <w:i w:val="0"/>
                <w:iCs w:val="0"/>
                <w:color w:val="000000"/>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7FBF">
            <w:pPr>
              <w:jc w:val="center"/>
              <w:rPr>
                <w:rFonts w:hint="eastAsia" w:ascii="宋体" w:hAnsi="宋体" w:eastAsia="宋体" w:cs="宋体"/>
                <w:b/>
                <w:bCs/>
                <w:i w:val="0"/>
                <w:iCs w:val="0"/>
                <w:color w:val="000000"/>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1ED8">
            <w:pPr>
              <w:jc w:val="center"/>
              <w:rPr>
                <w:rFonts w:hint="eastAsia" w:ascii="宋体" w:hAnsi="宋体" w:eastAsia="宋体" w:cs="宋体"/>
                <w:b/>
                <w:bCs/>
                <w:i w:val="0"/>
                <w:iCs w:val="0"/>
                <w:color w:val="000000"/>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0003">
            <w:pPr>
              <w:jc w:val="center"/>
              <w:rPr>
                <w:rFonts w:hint="eastAsia" w:ascii="宋体" w:hAnsi="宋体" w:eastAsia="宋体" w:cs="宋体"/>
                <w:b/>
                <w:bCs/>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4D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江淮瑞风商务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15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江淮A60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19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江淮大众思皓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59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奇瑞星途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C73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奇瑞瑞虎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C8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大众帕萨特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23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别克君越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44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别克GL8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76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广汽传祺商务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D0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合计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A51F">
            <w:pPr>
              <w:rPr>
                <w:rFonts w:hint="eastAsia" w:ascii="宋体" w:hAnsi="宋体" w:eastAsia="宋体" w:cs="宋体"/>
                <w:b/>
                <w:bCs/>
                <w:i w:val="0"/>
                <w:iCs w:val="0"/>
                <w:color w:val="000000"/>
                <w:sz w:val="21"/>
                <w:szCs w:val="21"/>
                <w:highlight w:val="none"/>
                <w:u w:val="none"/>
              </w:rPr>
            </w:pPr>
          </w:p>
        </w:tc>
      </w:tr>
      <w:tr w14:paraId="017B9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82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6C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98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8F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全合成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07B2">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85DF">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51C8">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F8EB">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0ECF">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76F3">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AB95">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1D3A">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6B0B">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A977">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BBED">
            <w:pPr>
              <w:rPr>
                <w:rFonts w:hint="eastAsia" w:ascii="宋体" w:hAnsi="宋体" w:eastAsia="宋体" w:cs="宋体"/>
                <w:i w:val="0"/>
                <w:iCs w:val="0"/>
                <w:color w:val="000000"/>
                <w:sz w:val="21"/>
                <w:szCs w:val="21"/>
                <w:highlight w:val="none"/>
                <w:u w:val="none"/>
              </w:rPr>
            </w:pPr>
          </w:p>
        </w:tc>
      </w:tr>
      <w:tr w14:paraId="3D1FE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07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24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E6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2D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9214">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3E7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79B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E346">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511A">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25E8">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BF8A">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06A6">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0AC9">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E35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748F">
            <w:pPr>
              <w:rPr>
                <w:rFonts w:hint="eastAsia" w:ascii="宋体" w:hAnsi="宋体" w:eastAsia="宋体" w:cs="宋体"/>
                <w:i w:val="0"/>
                <w:iCs w:val="0"/>
                <w:color w:val="000000"/>
                <w:sz w:val="21"/>
                <w:szCs w:val="21"/>
                <w:highlight w:val="none"/>
                <w:u w:val="none"/>
              </w:rPr>
            </w:pPr>
          </w:p>
        </w:tc>
      </w:tr>
      <w:tr w14:paraId="362CA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97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3D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01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67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DC1A">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77C3">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2DE1">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32F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19AF">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A7C4">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0D16">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B169">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4A4E">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D74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2918">
            <w:pPr>
              <w:rPr>
                <w:rFonts w:hint="eastAsia" w:ascii="宋体" w:hAnsi="宋体" w:eastAsia="宋体" w:cs="宋体"/>
                <w:i w:val="0"/>
                <w:iCs w:val="0"/>
                <w:color w:val="000000"/>
                <w:sz w:val="21"/>
                <w:szCs w:val="21"/>
                <w:highlight w:val="none"/>
                <w:u w:val="none"/>
              </w:rPr>
            </w:pPr>
          </w:p>
        </w:tc>
      </w:tr>
      <w:tr w14:paraId="46DE3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01D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A9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空调滤芯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92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7F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2CF5">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AC7B">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D0F7">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E46A">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8EB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CCC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2C46">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A93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AE18">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281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DF77">
            <w:pPr>
              <w:rPr>
                <w:rFonts w:hint="eastAsia" w:ascii="宋体" w:hAnsi="宋体" w:eastAsia="宋体" w:cs="宋体"/>
                <w:i w:val="0"/>
                <w:iCs w:val="0"/>
                <w:color w:val="000000"/>
                <w:sz w:val="21"/>
                <w:szCs w:val="21"/>
                <w:highlight w:val="none"/>
                <w:u w:val="none"/>
              </w:rPr>
            </w:pPr>
          </w:p>
        </w:tc>
      </w:tr>
      <w:tr w14:paraId="5247A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A1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3A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前刹车片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82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D5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A774">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57C1">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4134">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574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4F64">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0BD7">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72EF">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472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784B">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08A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2B2A">
            <w:pPr>
              <w:rPr>
                <w:rFonts w:hint="eastAsia" w:ascii="宋体" w:hAnsi="宋体" w:eastAsia="宋体" w:cs="宋体"/>
                <w:i w:val="0"/>
                <w:iCs w:val="0"/>
                <w:color w:val="000000"/>
                <w:sz w:val="21"/>
                <w:szCs w:val="21"/>
                <w:highlight w:val="none"/>
                <w:u w:val="none"/>
              </w:rPr>
            </w:pPr>
          </w:p>
        </w:tc>
      </w:tr>
      <w:tr w14:paraId="6566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D7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82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后刹车片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68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4个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36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A63A">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B332">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97F2">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20E8">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DD47">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9A8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7888">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E206">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04B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6E1A">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B53A">
            <w:pPr>
              <w:rPr>
                <w:rFonts w:hint="eastAsia" w:ascii="宋体" w:hAnsi="宋体" w:eastAsia="宋体" w:cs="宋体"/>
                <w:i w:val="0"/>
                <w:iCs w:val="0"/>
                <w:color w:val="000000"/>
                <w:sz w:val="21"/>
                <w:szCs w:val="21"/>
                <w:highlight w:val="none"/>
                <w:u w:val="none"/>
              </w:rPr>
            </w:pPr>
          </w:p>
        </w:tc>
      </w:tr>
      <w:tr w14:paraId="6CD44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4D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01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刹车总成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97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05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28B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DB14">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F585">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5F1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36E6">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B86B">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25D4">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3347">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7327">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0698">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6DF4">
            <w:pPr>
              <w:rPr>
                <w:rFonts w:hint="eastAsia" w:ascii="宋体" w:hAnsi="宋体" w:eastAsia="宋体" w:cs="宋体"/>
                <w:i w:val="0"/>
                <w:iCs w:val="0"/>
                <w:color w:val="000000"/>
                <w:sz w:val="21"/>
                <w:szCs w:val="21"/>
                <w:highlight w:val="none"/>
                <w:u w:val="none"/>
              </w:rPr>
            </w:pPr>
          </w:p>
        </w:tc>
      </w:tr>
      <w:tr w14:paraId="0A8F8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64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7F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刹车分泵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D7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DD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A86B">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9ABD">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2EBD">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551B">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533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5745">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5583">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94E8">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4C93">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E313">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13D7">
            <w:pPr>
              <w:rPr>
                <w:rFonts w:hint="eastAsia" w:ascii="宋体" w:hAnsi="宋体" w:eastAsia="宋体" w:cs="宋体"/>
                <w:i w:val="0"/>
                <w:iCs w:val="0"/>
                <w:color w:val="000000"/>
                <w:sz w:val="21"/>
                <w:szCs w:val="21"/>
                <w:highlight w:val="none"/>
                <w:u w:val="none"/>
              </w:rPr>
            </w:pPr>
          </w:p>
        </w:tc>
      </w:tr>
      <w:tr w14:paraId="2B95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CE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57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前刹车盘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39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73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56B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089E">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118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21B3">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8A14">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5461">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E5F7">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5C9D">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E187">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9CE6">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9A21">
            <w:pPr>
              <w:rPr>
                <w:rFonts w:hint="eastAsia" w:ascii="宋体" w:hAnsi="宋体" w:eastAsia="宋体" w:cs="宋体"/>
                <w:i w:val="0"/>
                <w:iCs w:val="0"/>
                <w:color w:val="000000"/>
                <w:sz w:val="21"/>
                <w:szCs w:val="21"/>
                <w:highlight w:val="none"/>
                <w:u w:val="none"/>
              </w:rPr>
            </w:pPr>
          </w:p>
        </w:tc>
      </w:tr>
      <w:tr w14:paraId="77D49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3F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8C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后刹车盘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3D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86C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15DA">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9141">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8095">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FD1D">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9733">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5728">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B0D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3417">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648E">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8F21">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9C43">
            <w:pPr>
              <w:rPr>
                <w:rFonts w:hint="eastAsia" w:ascii="宋体" w:hAnsi="宋体" w:eastAsia="宋体" w:cs="宋体"/>
                <w:i w:val="0"/>
                <w:iCs w:val="0"/>
                <w:color w:val="000000"/>
                <w:sz w:val="21"/>
                <w:szCs w:val="21"/>
                <w:highlight w:val="none"/>
                <w:u w:val="none"/>
              </w:rPr>
            </w:pPr>
          </w:p>
        </w:tc>
      </w:tr>
      <w:tr w14:paraId="0E69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EE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47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火花塞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0D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71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607B">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1677">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C8A4">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B958">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43F5">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E5F2">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F3DF">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4EC8">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F845">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2714">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5E56">
            <w:pPr>
              <w:rPr>
                <w:rFonts w:hint="eastAsia" w:ascii="宋体" w:hAnsi="宋体" w:eastAsia="宋体" w:cs="宋体"/>
                <w:i w:val="0"/>
                <w:iCs w:val="0"/>
                <w:color w:val="000000"/>
                <w:sz w:val="21"/>
                <w:szCs w:val="21"/>
                <w:highlight w:val="none"/>
                <w:u w:val="none"/>
              </w:rPr>
            </w:pPr>
          </w:p>
        </w:tc>
      </w:tr>
      <w:tr w14:paraId="7F5C2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41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3D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点火线圈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9B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F9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A373">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3C9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8E48">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72E7">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7AB1">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891E">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7A5A">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F139">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6AB9">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8A33">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B813">
            <w:pPr>
              <w:rPr>
                <w:rFonts w:hint="eastAsia" w:ascii="宋体" w:hAnsi="宋体" w:eastAsia="宋体" w:cs="宋体"/>
                <w:i w:val="0"/>
                <w:iCs w:val="0"/>
                <w:color w:val="000000"/>
                <w:sz w:val="21"/>
                <w:szCs w:val="21"/>
                <w:highlight w:val="none"/>
                <w:u w:val="none"/>
              </w:rPr>
            </w:pPr>
          </w:p>
        </w:tc>
      </w:tr>
      <w:tr w14:paraId="7E3FA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69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AB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B5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31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C9CF">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12FD">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1E56">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B9EE">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23FA">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C448">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6CD6">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CE5B">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C9A6">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5B96">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CFD8">
            <w:pPr>
              <w:rPr>
                <w:rFonts w:hint="eastAsia" w:ascii="宋体" w:hAnsi="宋体" w:eastAsia="宋体" w:cs="宋体"/>
                <w:i w:val="0"/>
                <w:iCs w:val="0"/>
                <w:color w:val="000000"/>
                <w:sz w:val="21"/>
                <w:szCs w:val="21"/>
                <w:highlight w:val="none"/>
                <w:u w:val="none"/>
              </w:rPr>
            </w:pPr>
          </w:p>
        </w:tc>
      </w:tr>
      <w:tr w14:paraId="0DA6D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669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9C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电瓶（启停）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3A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42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C598">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599A">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0CE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BD1D">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C009">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2E33">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265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1442">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CD44">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D55E">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6A40">
            <w:pPr>
              <w:rPr>
                <w:rFonts w:hint="eastAsia" w:ascii="宋体" w:hAnsi="宋体" w:eastAsia="宋体" w:cs="宋体"/>
                <w:i w:val="0"/>
                <w:iCs w:val="0"/>
                <w:color w:val="000000"/>
                <w:sz w:val="21"/>
                <w:szCs w:val="21"/>
                <w:highlight w:val="none"/>
                <w:u w:val="none"/>
              </w:rPr>
            </w:pPr>
          </w:p>
        </w:tc>
      </w:tr>
      <w:tr w14:paraId="0021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78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81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变速箱油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E7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4B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1F6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DBBF">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16D3">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A4D9">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C59E">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FB2D">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E92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C93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27A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AD15">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51C3">
            <w:pPr>
              <w:rPr>
                <w:rFonts w:hint="eastAsia" w:ascii="宋体" w:hAnsi="宋体" w:eastAsia="宋体" w:cs="宋体"/>
                <w:i w:val="0"/>
                <w:iCs w:val="0"/>
                <w:color w:val="000000"/>
                <w:sz w:val="21"/>
                <w:szCs w:val="21"/>
                <w:highlight w:val="none"/>
                <w:u w:val="none"/>
              </w:rPr>
            </w:pPr>
          </w:p>
        </w:tc>
      </w:tr>
      <w:tr w14:paraId="3DC5F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1B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D2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15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B2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CFA9">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B251">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F8A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6A55">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3122">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286E">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C79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F5DD">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D80A">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CD07">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8DFF">
            <w:pPr>
              <w:rPr>
                <w:rFonts w:hint="eastAsia" w:ascii="宋体" w:hAnsi="宋体" w:eastAsia="宋体" w:cs="宋体"/>
                <w:i w:val="0"/>
                <w:iCs w:val="0"/>
                <w:color w:val="000000"/>
                <w:sz w:val="21"/>
                <w:szCs w:val="21"/>
                <w:highlight w:val="none"/>
                <w:u w:val="none"/>
              </w:rPr>
            </w:pPr>
          </w:p>
        </w:tc>
      </w:tr>
      <w:tr w14:paraId="1DE69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04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A2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雨刮器片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C7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E0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EF05">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32A3">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D9D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6382">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CF64">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74D8">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3B7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C432">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369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A0DE">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33B7">
            <w:pPr>
              <w:rPr>
                <w:rFonts w:hint="eastAsia" w:ascii="宋体" w:hAnsi="宋体" w:eastAsia="宋体" w:cs="宋体"/>
                <w:i w:val="0"/>
                <w:iCs w:val="0"/>
                <w:color w:val="000000"/>
                <w:sz w:val="21"/>
                <w:szCs w:val="21"/>
                <w:highlight w:val="none"/>
                <w:u w:val="none"/>
              </w:rPr>
            </w:pPr>
          </w:p>
        </w:tc>
      </w:tr>
      <w:tr w14:paraId="1E7DE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2B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EB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空调压缩机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63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FF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29E7">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E05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F559">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4AC2">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706E">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1CFF">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04C8">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71FD">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D108">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3C2A">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13F7">
            <w:pPr>
              <w:rPr>
                <w:rFonts w:hint="eastAsia" w:ascii="宋体" w:hAnsi="宋体" w:eastAsia="宋体" w:cs="宋体"/>
                <w:i w:val="0"/>
                <w:iCs w:val="0"/>
                <w:color w:val="000000"/>
                <w:sz w:val="21"/>
                <w:szCs w:val="21"/>
                <w:highlight w:val="none"/>
                <w:u w:val="none"/>
              </w:rPr>
            </w:pPr>
          </w:p>
        </w:tc>
      </w:tr>
      <w:tr w14:paraId="6839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A2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20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减震器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57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FE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A709">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F24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517F">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294D">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881E">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AD52">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0A8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20D8">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B5C9">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BD6D">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BC06">
            <w:pPr>
              <w:rPr>
                <w:rFonts w:hint="eastAsia" w:ascii="宋体" w:hAnsi="宋体" w:eastAsia="宋体" w:cs="宋体"/>
                <w:i w:val="0"/>
                <w:iCs w:val="0"/>
                <w:color w:val="000000"/>
                <w:sz w:val="21"/>
                <w:szCs w:val="21"/>
                <w:highlight w:val="none"/>
                <w:u w:val="none"/>
              </w:rPr>
            </w:pPr>
          </w:p>
        </w:tc>
      </w:tr>
      <w:tr w14:paraId="19CD0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22D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94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下摆臂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1A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DC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BF0B">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1CB6">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1985">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CCD3">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B678">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0FBD">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7E2A">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EE39">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941A">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80AF">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149F">
            <w:pPr>
              <w:rPr>
                <w:rFonts w:hint="eastAsia" w:ascii="宋体" w:hAnsi="宋体" w:eastAsia="宋体" w:cs="宋体"/>
                <w:i w:val="0"/>
                <w:iCs w:val="0"/>
                <w:color w:val="000000"/>
                <w:sz w:val="21"/>
                <w:szCs w:val="21"/>
                <w:highlight w:val="none"/>
                <w:u w:val="none"/>
              </w:rPr>
            </w:pPr>
          </w:p>
        </w:tc>
      </w:tr>
      <w:tr w14:paraId="6CA1B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01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58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平面轴承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1E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A1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A926">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DBB5">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AEAF">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A748">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D15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1D25">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63A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B28E">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9E2D">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4066">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6D3E">
            <w:pPr>
              <w:rPr>
                <w:rFonts w:hint="eastAsia" w:ascii="宋体" w:hAnsi="宋体" w:eastAsia="宋体" w:cs="宋体"/>
                <w:i w:val="0"/>
                <w:iCs w:val="0"/>
                <w:color w:val="000000"/>
                <w:sz w:val="21"/>
                <w:szCs w:val="21"/>
                <w:highlight w:val="none"/>
                <w:u w:val="none"/>
              </w:rPr>
            </w:pPr>
          </w:p>
        </w:tc>
      </w:tr>
      <w:tr w14:paraId="1E805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39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56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防冻液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D2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AF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5FCB">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C33E">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E3AA">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1145">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42FD">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C24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AD9D">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8D88">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D569">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FD5A">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74EE">
            <w:pPr>
              <w:rPr>
                <w:rFonts w:hint="eastAsia" w:ascii="宋体" w:hAnsi="宋体" w:eastAsia="宋体" w:cs="宋体"/>
                <w:i w:val="0"/>
                <w:iCs w:val="0"/>
                <w:color w:val="000000"/>
                <w:sz w:val="21"/>
                <w:szCs w:val="21"/>
                <w:highlight w:val="none"/>
                <w:u w:val="none"/>
              </w:rPr>
            </w:pPr>
          </w:p>
        </w:tc>
      </w:tr>
      <w:tr w14:paraId="2E03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3C7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C8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起动机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26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742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9C03">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717F">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B1B4">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6C4D">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79E8">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07FB">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879A">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1862">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2C81">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EC1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B39C">
            <w:pPr>
              <w:rPr>
                <w:rFonts w:hint="eastAsia" w:ascii="宋体" w:hAnsi="宋体" w:eastAsia="宋体" w:cs="宋体"/>
                <w:i w:val="0"/>
                <w:iCs w:val="0"/>
                <w:color w:val="000000"/>
                <w:sz w:val="21"/>
                <w:szCs w:val="21"/>
                <w:highlight w:val="none"/>
                <w:u w:val="none"/>
              </w:rPr>
            </w:pPr>
          </w:p>
        </w:tc>
      </w:tr>
      <w:tr w14:paraId="09643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48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48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汽油泵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AF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17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859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8C75">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7367">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319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1CED">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2A5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9916">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7F89">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CF94">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F317">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AA8B">
            <w:pPr>
              <w:rPr>
                <w:rFonts w:hint="eastAsia" w:ascii="宋体" w:hAnsi="宋体" w:eastAsia="宋体" w:cs="宋体"/>
                <w:i w:val="0"/>
                <w:iCs w:val="0"/>
                <w:color w:val="000000"/>
                <w:sz w:val="21"/>
                <w:szCs w:val="21"/>
                <w:highlight w:val="none"/>
                <w:u w:val="none"/>
              </w:rPr>
            </w:pPr>
          </w:p>
        </w:tc>
      </w:tr>
      <w:tr w14:paraId="03AF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78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3F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节温器总成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40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70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1D4A">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FF08">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74DA">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3CB1">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3B17">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67AF">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FDEA">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5B9E">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AA0E">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A51D">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E972">
            <w:pPr>
              <w:rPr>
                <w:rFonts w:hint="eastAsia" w:ascii="宋体" w:hAnsi="宋体" w:eastAsia="宋体" w:cs="宋体"/>
                <w:i w:val="0"/>
                <w:iCs w:val="0"/>
                <w:color w:val="000000"/>
                <w:sz w:val="21"/>
                <w:szCs w:val="21"/>
                <w:highlight w:val="none"/>
                <w:u w:val="none"/>
              </w:rPr>
            </w:pPr>
          </w:p>
        </w:tc>
      </w:tr>
      <w:tr w14:paraId="2101C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67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59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喷油嘴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5E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44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50F1">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9859">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0787">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4B25">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F8C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C90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2D4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20D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3F82">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46F6">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C10E">
            <w:pPr>
              <w:rPr>
                <w:rFonts w:hint="eastAsia" w:ascii="宋体" w:hAnsi="宋体" w:eastAsia="宋体" w:cs="宋体"/>
                <w:i w:val="0"/>
                <w:iCs w:val="0"/>
                <w:color w:val="000000"/>
                <w:sz w:val="21"/>
                <w:szCs w:val="21"/>
                <w:highlight w:val="none"/>
                <w:u w:val="none"/>
              </w:rPr>
            </w:pPr>
          </w:p>
        </w:tc>
      </w:tr>
      <w:tr w14:paraId="06AA3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DC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D9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废气阀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2F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43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C754">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32FA">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9AE1">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DCEB">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3A3D">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5DBB">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CFB8">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642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6FB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FBE7">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2DE7">
            <w:pPr>
              <w:rPr>
                <w:rFonts w:hint="eastAsia" w:ascii="宋体" w:hAnsi="宋体" w:eastAsia="宋体" w:cs="宋体"/>
                <w:i w:val="0"/>
                <w:iCs w:val="0"/>
                <w:color w:val="000000"/>
                <w:sz w:val="21"/>
                <w:szCs w:val="21"/>
                <w:highlight w:val="none"/>
                <w:u w:val="none"/>
              </w:rPr>
            </w:pPr>
          </w:p>
        </w:tc>
      </w:tr>
      <w:tr w14:paraId="41877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71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DD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碳罐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5E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D3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A45B">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EC22">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71E2">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9551">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66F6">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1FA5">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E5A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1D5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14B4">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88A1">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64E2">
            <w:pPr>
              <w:rPr>
                <w:rFonts w:hint="eastAsia" w:ascii="宋体" w:hAnsi="宋体" w:eastAsia="宋体" w:cs="宋体"/>
                <w:i w:val="0"/>
                <w:iCs w:val="0"/>
                <w:color w:val="000000"/>
                <w:sz w:val="21"/>
                <w:szCs w:val="21"/>
                <w:highlight w:val="none"/>
                <w:u w:val="none"/>
              </w:rPr>
            </w:pPr>
          </w:p>
        </w:tc>
      </w:tr>
      <w:tr w14:paraId="68A65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93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3C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三元催化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A2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D3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A4F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D5D3">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E895">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4C76">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AD2A">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DCF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DC99">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143D">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3A6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B0D3">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D28C">
            <w:pPr>
              <w:rPr>
                <w:rFonts w:hint="eastAsia" w:ascii="宋体" w:hAnsi="宋体" w:eastAsia="宋体" w:cs="宋体"/>
                <w:i w:val="0"/>
                <w:iCs w:val="0"/>
                <w:color w:val="000000"/>
                <w:sz w:val="21"/>
                <w:szCs w:val="21"/>
                <w:highlight w:val="none"/>
                <w:u w:val="none"/>
              </w:rPr>
            </w:pPr>
          </w:p>
        </w:tc>
      </w:tr>
      <w:tr w14:paraId="6B1C5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88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D9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氟利昂</w:t>
            </w:r>
            <w:r>
              <w:rPr>
                <w:rStyle w:val="16"/>
                <w:snapToGrid w:val="0"/>
                <w:color w:val="000000"/>
                <w:sz w:val="21"/>
                <w:szCs w:val="21"/>
                <w:highlight w:val="none"/>
                <w:lang w:val="en-US" w:eastAsia="zh-CN" w:bidi="ar"/>
              </w:rPr>
              <w:t>（250克）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FD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24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4E8F">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42C2">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3C23">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6A21">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B46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0A02">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789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AED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8C08">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ED37">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8D29">
            <w:pPr>
              <w:rPr>
                <w:rFonts w:hint="eastAsia" w:ascii="宋体" w:hAnsi="宋体" w:eastAsia="宋体" w:cs="宋体"/>
                <w:i w:val="0"/>
                <w:iCs w:val="0"/>
                <w:color w:val="000000"/>
                <w:sz w:val="21"/>
                <w:szCs w:val="21"/>
                <w:highlight w:val="none"/>
                <w:u w:val="none"/>
              </w:rPr>
            </w:pPr>
          </w:p>
        </w:tc>
      </w:tr>
      <w:tr w14:paraId="1866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E8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E2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冷凝器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C1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DF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156B">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7035">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8DF9">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DC25">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5CE3">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F098">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7684">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34C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D212">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9EFA">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6E2E">
            <w:pPr>
              <w:rPr>
                <w:rFonts w:hint="eastAsia" w:ascii="宋体" w:hAnsi="宋体" w:eastAsia="宋体" w:cs="宋体"/>
                <w:i w:val="0"/>
                <w:iCs w:val="0"/>
                <w:color w:val="000000"/>
                <w:sz w:val="21"/>
                <w:szCs w:val="21"/>
                <w:highlight w:val="none"/>
                <w:u w:val="none"/>
              </w:rPr>
            </w:pPr>
          </w:p>
        </w:tc>
      </w:tr>
      <w:tr w14:paraId="17AE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7D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1C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四轮定位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54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672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BFE9">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ABD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D4E0">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C2C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64F1">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E1A6">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04DA">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A27A">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952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30D4">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B609">
            <w:pPr>
              <w:rPr>
                <w:rFonts w:hint="eastAsia" w:ascii="宋体" w:hAnsi="宋体" w:eastAsia="宋体" w:cs="宋体"/>
                <w:i w:val="0"/>
                <w:iCs w:val="0"/>
                <w:color w:val="000000"/>
                <w:sz w:val="21"/>
                <w:szCs w:val="21"/>
                <w:highlight w:val="none"/>
                <w:u w:val="none"/>
              </w:rPr>
            </w:pPr>
          </w:p>
        </w:tc>
      </w:tr>
      <w:tr w14:paraId="59590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0B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1F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正时皮带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DB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C1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52AC">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6E0D">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9C16">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64CB">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D428">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888D">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AEE6">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DCD8">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0E82">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D283">
            <w:pP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AAFA">
            <w:pPr>
              <w:rPr>
                <w:rFonts w:hint="eastAsia" w:ascii="宋体" w:hAnsi="宋体" w:eastAsia="宋体" w:cs="宋体"/>
                <w:i w:val="0"/>
                <w:iCs w:val="0"/>
                <w:color w:val="000000"/>
                <w:sz w:val="21"/>
                <w:szCs w:val="21"/>
                <w:highlight w:val="none"/>
                <w:u w:val="none"/>
              </w:rPr>
            </w:pPr>
          </w:p>
        </w:tc>
      </w:tr>
      <w:tr w14:paraId="7AB65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85A0">
            <w:pPr>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1F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合计</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DF1DE0">
            <w:pPr>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14:paraId="481444D9">
            <w:pPr>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14:paraId="6DE20CFE">
            <w:pPr>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14:paraId="3C1C95DF">
            <w:pPr>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14:paraId="4403F342">
            <w:pPr>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14:paraId="77C39701">
            <w:pPr>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14:paraId="6F0001E3">
            <w:pPr>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14:paraId="737D28FD">
            <w:pPr>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14:paraId="5326FDE5">
            <w:pPr>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14:paraId="63B075A0">
            <w:pPr>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14:paraId="4927C4A0">
            <w:pPr>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nil"/>
              <w:bottom w:val="single" w:color="000000" w:sz="4" w:space="0"/>
              <w:right w:val="nil"/>
            </w:tcBorders>
            <w:shd w:val="clear" w:color="auto" w:fill="auto"/>
            <w:noWrap/>
            <w:vAlign w:val="center"/>
          </w:tcPr>
          <w:p w14:paraId="627C4226">
            <w:pPr>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A7FFCA">
            <w:pPr>
              <w:jc w:val="center"/>
              <w:rPr>
                <w:rFonts w:hint="eastAsia" w:ascii="宋体" w:hAnsi="宋体" w:eastAsia="宋体" w:cs="宋体"/>
                <w:i w:val="0"/>
                <w:iCs w:val="0"/>
                <w:color w:val="000000"/>
                <w:sz w:val="21"/>
                <w:szCs w:val="21"/>
                <w:highlight w:val="none"/>
                <w:u w:val="none"/>
              </w:rPr>
            </w:pPr>
          </w:p>
        </w:tc>
      </w:tr>
      <w:tr w14:paraId="6704F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4355" w:type="dxa"/>
            <w:gridSpan w:val="15"/>
            <w:tcBorders>
              <w:top w:val="nil"/>
              <w:left w:val="nil"/>
              <w:bottom w:val="nil"/>
              <w:right w:val="nil"/>
            </w:tcBorders>
            <w:shd w:val="clear" w:color="auto" w:fill="auto"/>
            <w:vAlign w:val="center"/>
          </w:tcPr>
          <w:p w14:paraId="397D063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说明：1、各投标供应商按上表要求报出各项目、各品牌、各车型的综合单价和总价，综合单价即为最终结算价格，含材料费、工时费、管理费、税金等所有费用，未按要求进行报价的、报价不完整的、不全面的，视同未响应招标文件要求，投标无效。2、表中未列明的维修项目及车型以中标人投标时的工时费优惠率、材料管理费率计算维修费用。</w:t>
            </w:r>
          </w:p>
        </w:tc>
      </w:tr>
    </w:tbl>
    <w:p w14:paraId="08FE3E5E">
      <w:pPr>
        <w:pStyle w:val="2"/>
        <w:rPr>
          <w:rFonts w:hint="eastAsia" w:ascii="宋体" w:hAnsi="宋体" w:eastAsia="宋体" w:cs="宋体"/>
          <w:color w:val="auto"/>
          <w:sz w:val="24"/>
          <w:szCs w:val="24"/>
          <w:highlight w:val="none"/>
        </w:rPr>
      </w:pPr>
    </w:p>
    <w:p w14:paraId="48826D0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C3D3CB1">
      <w:pPr>
        <w:pStyle w:val="2"/>
        <w:rPr>
          <w:rFonts w:hint="eastAsia" w:ascii="宋体" w:hAnsi="宋体" w:eastAsia="宋体" w:cs="宋体"/>
          <w:color w:val="auto"/>
          <w:sz w:val="24"/>
          <w:szCs w:val="24"/>
          <w:highlight w:val="none"/>
        </w:rPr>
      </w:pPr>
    </w:p>
    <w:tbl>
      <w:tblPr>
        <w:tblStyle w:val="9"/>
        <w:tblW w:w="144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3"/>
        <w:gridCol w:w="1285"/>
        <w:gridCol w:w="763"/>
        <w:gridCol w:w="1220"/>
        <w:gridCol w:w="1220"/>
        <w:gridCol w:w="1121"/>
        <w:gridCol w:w="1121"/>
        <w:gridCol w:w="1121"/>
        <w:gridCol w:w="1121"/>
        <w:gridCol w:w="1121"/>
        <w:gridCol w:w="1121"/>
        <w:gridCol w:w="1121"/>
        <w:gridCol w:w="629"/>
        <w:gridCol w:w="763"/>
      </w:tblGrid>
      <w:tr w14:paraId="3AEEF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4490" w:type="dxa"/>
            <w:gridSpan w:val="14"/>
            <w:tcBorders>
              <w:top w:val="nil"/>
              <w:left w:val="nil"/>
              <w:bottom w:val="nil"/>
              <w:right w:val="nil"/>
            </w:tcBorders>
            <w:shd w:val="clear" w:color="auto" w:fill="auto"/>
            <w:noWrap/>
            <w:vAlign w:val="center"/>
          </w:tcPr>
          <w:p w14:paraId="20AC0A60">
            <w:pPr>
              <w:keepNext w:val="0"/>
              <w:keepLines w:val="0"/>
              <w:widowControl/>
              <w:suppressLineNumbers w:val="0"/>
              <w:jc w:val="center"/>
              <w:textAlignment w:val="center"/>
              <w:rPr>
                <w:rFonts w:hint="eastAsia" w:ascii="宋体" w:hAnsi="宋体" w:eastAsia="宋体" w:cs="宋体"/>
                <w:b/>
                <w:bCs/>
                <w:i w:val="0"/>
                <w:iCs w:val="0"/>
                <w:color w:val="000000"/>
                <w:sz w:val="36"/>
                <w:szCs w:val="36"/>
                <w:highlight w:val="none"/>
                <w:u w:val="none"/>
              </w:rPr>
            </w:pPr>
            <w:r>
              <w:rPr>
                <w:rFonts w:hint="eastAsia" w:ascii="宋体" w:hAnsi="宋体" w:eastAsia="宋体" w:cs="宋体"/>
                <w:b/>
                <w:bCs/>
                <w:i w:val="0"/>
                <w:iCs w:val="0"/>
                <w:snapToGrid w:val="0"/>
                <w:color w:val="000000"/>
                <w:kern w:val="0"/>
                <w:sz w:val="36"/>
                <w:szCs w:val="36"/>
                <w:highlight w:val="none"/>
                <w:u w:val="none"/>
                <w:lang w:val="en-US" w:eastAsia="zh-CN" w:bidi="ar"/>
              </w:rPr>
              <w:t xml:space="preserve">  轮胎分项报价表</w:t>
            </w:r>
            <w:r>
              <w:rPr>
                <w:rFonts w:hint="eastAsia" w:ascii="宋体" w:hAnsi="宋体" w:eastAsia="宋体" w:cs="宋体"/>
                <w:i w:val="0"/>
                <w:iCs w:val="0"/>
                <w:snapToGrid w:val="0"/>
                <w:color w:val="000000"/>
                <w:kern w:val="0"/>
                <w:sz w:val="24"/>
                <w:szCs w:val="24"/>
                <w:highlight w:val="none"/>
                <w:u w:val="none"/>
                <w:lang w:val="en-US" w:eastAsia="zh-CN" w:bidi="ar"/>
              </w:rPr>
              <w:t>（部分轮胎）</w:t>
            </w:r>
            <w:r>
              <w:rPr>
                <w:rStyle w:val="17"/>
                <w:snapToGrid w:val="0"/>
                <w:color w:val="000000"/>
                <w:highlight w:val="none"/>
                <w:lang w:val="en-US" w:eastAsia="zh-CN" w:bidi="ar"/>
              </w:rPr>
              <w:t xml:space="preserve">    </w:t>
            </w:r>
            <w:r>
              <w:rPr>
                <w:rFonts w:hint="eastAsia" w:ascii="宋体" w:hAnsi="宋体" w:eastAsia="宋体" w:cs="宋体"/>
                <w:i w:val="0"/>
                <w:iCs w:val="0"/>
                <w:snapToGrid w:val="0"/>
                <w:color w:val="000000"/>
                <w:kern w:val="0"/>
                <w:sz w:val="24"/>
                <w:szCs w:val="24"/>
                <w:highlight w:val="none"/>
                <w:u w:val="none"/>
                <w:lang w:val="en-US" w:eastAsia="zh-CN" w:bidi="ar"/>
              </w:rPr>
              <w:t xml:space="preserve">单价：元   </w:t>
            </w:r>
          </w:p>
        </w:tc>
      </w:tr>
      <w:tr w14:paraId="0635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5DC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464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品牌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B91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数量</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9B2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轮胎规格型号及结算价格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4A71">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备注</w:t>
            </w:r>
          </w:p>
        </w:tc>
      </w:tr>
      <w:tr w14:paraId="43550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44BC">
            <w:pPr>
              <w:jc w:val="center"/>
              <w:rPr>
                <w:rFonts w:hint="eastAsia" w:ascii="宋体" w:hAnsi="宋体" w:eastAsia="宋体" w:cs="宋体"/>
                <w:b/>
                <w:bCs/>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A638">
            <w:pPr>
              <w:jc w:val="center"/>
              <w:rPr>
                <w:rFonts w:hint="eastAsia" w:ascii="宋体" w:hAnsi="宋体" w:eastAsia="宋体" w:cs="宋体"/>
                <w:b/>
                <w:bCs/>
                <w:i w:val="0"/>
                <w:iCs w:val="0"/>
                <w:color w:val="000000"/>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6FEB">
            <w:pPr>
              <w:jc w:val="cente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27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215/55 R17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B5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215/60 R16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C1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225/55R17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88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225/55R19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AE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225/60R17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34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225/60R18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7E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225/65R17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81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235/60R18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B4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245/65R17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8C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合计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3821">
            <w:pPr>
              <w:rPr>
                <w:rFonts w:hint="eastAsia" w:ascii="宋体" w:hAnsi="宋体" w:eastAsia="宋体" w:cs="宋体"/>
                <w:b/>
                <w:bCs/>
                <w:i w:val="0"/>
                <w:iCs w:val="0"/>
                <w:color w:val="000000"/>
                <w:sz w:val="24"/>
                <w:szCs w:val="24"/>
                <w:highlight w:val="none"/>
                <w:u w:val="none"/>
              </w:rPr>
            </w:pPr>
          </w:p>
        </w:tc>
      </w:tr>
      <w:tr w14:paraId="41496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9C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14F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米其林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90A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6739">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5A5E">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B6A4">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27AF">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D458">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190D">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CE3B">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6E34">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0DC2">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F7C8">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E1A1">
            <w:pPr>
              <w:rPr>
                <w:rFonts w:hint="eastAsia" w:ascii="宋体" w:hAnsi="宋体" w:eastAsia="宋体" w:cs="宋体"/>
                <w:i w:val="0"/>
                <w:iCs w:val="0"/>
                <w:color w:val="000000"/>
                <w:sz w:val="24"/>
                <w:szCs w:val="24"/>
                <w:highlight w:val="none"/>
                <w:u w:val="none"/>
              </w:rPr>
            </w:pPr>
          </w:p>
        </w:tc>
      </w:tr>
      <w:tr w14:paraId="0FBDD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2C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13C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马牌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DB2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4A81">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E44B">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BCC3">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3E44">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4B2E">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847F">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1731">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3314">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8538">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349C">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62EB">
            <w:pPr>
              <w:rPr>
                <w:rFonts w:hint="eastAsia" w:ascii="宋体" w:hAnsi="宋体" w:eastAsia="宋体" w:cs="宋体"/>
                <w:i w:val="0"/>
                <w:iCs w:val="0"/>
                <w:color w:val="000000"/>
                <w:sz w:val="24"/>
                <w:szCs w:val="24"/>
                <w:highlight w:val="none"/>
                <w:u w:val="none"/>
              </w:rPr>
            </w:pPr>
          </w:p>
        </w:tc>
      </w:tr>
      <w:tr w14:paraId="0FC66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9E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23C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普林斯通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F89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C2AA">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2C78">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854A">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3BC2">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4603">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3AB4">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6EC3">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2B32">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9DC4">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7CA5">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CC85">
            <w:pPr>
              <w:rPr>
                <w:rFonts w:hint="eastAsia" w:ascii="宋体" w:hAnsi="宋体" w:eastAsia="宋体" w:cs="宋体"/>
                <w:i w:val="0"/>
                <w:iCs w:val="0"/>
                <w:color w:val="000000"/>
                <w:sz w:val="24"/>
                <w:szCs w:val="24"/>
                <w:highlight w:val="none"/>
                <w:u w:val="none"/>
              </w:rPr>
            </w:pPr>
          </w:p>
        </w:tc>
      </w:tr>
      <w:tr w14:paraId="5356E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D3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11E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佳通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532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07E5">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7A49">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FE8E">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1A96">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7A02">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6FE1">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2531">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15D7">
            <w:pPr>
              <w:rPr>
                <w:rFonts w:hint="eastAsia" w:ascii="宋体" w:hAnsi="宋体" w:eastAsia="宋体" w:cs="宋体"/>
                <w:b/>
                <w:bCs/>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79D5">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43C4">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B371">
            <w:pPr>
              <w:rPr>
                <w:rFonts w:hint="eastAsia" w:ascii="宋体" w:hAnsi="宋体" w:eastAsia="宋体" w:cs="宋体"/>
                <w:i w:val="0"/>
                <w:iCs w:val="0"/>
                <w:color w:val="000000"/>
                <w:sz w:val="24"/>
                <w:szCs w:val="24"/>
                <w:highlight w:val="none"/>
                <w:u w:val="none"/>
              </w:rPr>
            </w:pPr>
          </w:p>
        </w:tc>
      </w:tr>
      <w:tr w14:paraId="554AF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18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DFD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朝阳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9FE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CB72">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CA3D">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A480">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EA94">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5302">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B3D8">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C750">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FBEA">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A5FC">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6725">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BC43">
            <w:pPr>
              <w:rPr>
                <w:rFonts w:hint="eastAsia" w:ascii="宋体" w:hAnsi="宋体" w:eastAsia="宋体" w:cs="宋体"/>
                <w:i w:val="0"/>
                <w:iCs w:val="0"/>
                <w:color w:val="000000"/>
                <w:sz w:val="24"/>
                <w:szCs w:val="24"/>
                <w:highlight w:val="none"/>
                <w:u w:val="none"/>
              </w:rPr>
            </w:pPr>
          </w:p>
        </w:tc>
      </w:tr>
      <w:tr w14:paraId="3C8A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5A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251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韩泰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B3C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E249">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5D18">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DBEE">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DA13">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8CCC">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2DB3">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B285">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DE53">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98A0">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3E10">
            <w:pP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CF2F">
            <w:pPr>
              <w:rPr>
                <w:rFonts w:hint="eastAsia" w:ascii="宋体" w:hAnsi="宋体" w:eastAsia="宋体" w:cs="宋体"/>
                <w:i w:val="0"/>
                <w:iCs w:val="0"/>
                <w:color w:val="000000"/>
                <w:sz w:val="24"/>
                <w:szCs w:val="24"/>
                <w:highlight w:val="none"/>
                <w:u w:val="none"/>
              </w:rPr>
            </w:pPr>
          </w:p>
        </w:tc>
      </w:tr>
      <w:tr w14:paraId="22F76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4A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合计</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C1BE">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24DE">
            <w:pPr>
              <w:rPr>
                <w:rFonts w:hint="eastAsia" w:ascii="宋体" w:hAnsi="宋体" w:eastAsia="宋体" w:cs="宋体"/>
                <w:i w:val="0"/>
                <w:iCs w:val="0"/>
                <w:color w:val="000000"/>
                <w:sz w:val="24"/>
                <w:szCs w:val="24"/>
                <w:highlight w:val="none"/>
                <w:u w:val="none"/>
              </w:rPr>
            </w:pPr>
          </w:p>
        </w:tc>
      </w:tr>
      <w:tr w14:paraId="11261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4490" w:type="dxa"/>
            <w:gridSpan w:val="14"/>
            <w:tcBorders>
              <w:top w:val="nil"/>
              <w:left w:val="nil"/>
              <w:bottom w:val="nil"/>
              <w:right w:val="nil"/>
            </w:tcBorders>
            <w:shd w:val="clear" w:color="auto" w:fill="auto"/>
            <w:vAlign w:val="center"/>
          </w:tcPr>
          <w:p w14:paraId="0F334B0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说明：1、各投标供应商按上表要求报出各项目、各品牌、各车型的综合单价和总价，综合单价即为最终结算价格，含材料费、工时费、管理费、税金等所有费用，未按要求进行报价的、报价不完整的、不全面的，视同未响应招标文件要求，投标无效。2、表中未列明的维修项目及车型以中标人投标时的工时费优惠率、材料管理费率计算维修费用。</w:t>
            </w:r>
          </w:p>
        </w:tc>
      </w:tr>
    </w:tbl>
    <w:p w14:paraId="1384953D">
      <w:pPr>
        <w:pStyle w:val="2"/>
        <w:rPr>
          <w:rFonts w:hint="eastAsia" w:ascii="宋体" w:hAnsi="宋体" w:eastAsia="宋体" w:cs="宋体"/>
          <w:color w:val="auto"/>
          <w:sz w:val="24"/>
          <w:szCs w:val="24"/>
          <w:highlight w:val="none"/>
          <w:lang w:val="en-US" w:eastAsia="zh-CN"/>
        </w:rPr>
        <w:sectPr>
          <w:pgSz w:w="16840" w:h="11911" w:orient="landscape"/>
          <w:pgMar w:top="1655" w:right="1429" w:bottom="1763" w:left="862" w:header="0" w:footer="680" w:gutter="0"/>
          <w:cols w:space="0" w:num="1"/>
          <w:rtlGutter w:val="0"/>
          <w:docGrid w:linePitch="0" w:charSpace="0"/>
        </w:sectPr>
      </w:pPr>
    </w:p>
    <w:p w14:paraId="2415805A">
      <w:pPr>
        <w:pStyle w:val="6"/>
        <w:spacing w:line="271" w:lineRule="auto"/>
        <w:rPr>
          <w:color w:val="auto"/>
          <w:highlight w:val="none"/>
        </w:rPr>
      </w:pPr>
    </w:p>
    <w:p w14:paraId="3482A8BF">
      <w:pPr>
        <w:pStyle w:val="6"/>
        <w:spacing w:line="272" w:lineRule="auto"/>
        <w:rPr>
          <w:color w:val="auto"/>
          <w:highlight w:val="none"/>
        </w:rPr>
      </w:pPr>
    </w:p>
    <w:p w14:paraId="4C2079AB">
      <w:pPr>
        <w:spacing w:before="91" w:line="218" w:lineRule="auto"/>
        <w:ind w:left="3005"/>
        <w:outlineLvl w:val="0"/>
        <w:rPr>
          <w:rFonts w:ascii="黑体" w:hAnsi="黑体" w:eastAsia="黑体" w:cs="黑体"/>
          <w:color w:val="auto"/>
          <w:sz w:val="28"/>
          <w:szCs w:val="28"/>
          <w:highlight w:val="none"/>
        </w:rPr>
      </w:pPr>
      <w:bookmarkStart w:id="37" w:name="bookmark19"/>
      <w:bookmarkEnd w:id="37"/>
      <w:bookmarkStart w:id="38" w:name="bookmark16"/>
      <w:bookmarkEnd w:id="38"/>
      <w:bookmarkStart w:id="39" w:name="bookmark17"/>
      <w:bookmarkEnd w:id="39"/>
      <w:r>
        <w:rPr>
          <w:rFonts w:ascii="黑体" w:hAnsi="黑体" w:eastAsia="黑体" w:cs="黑体"/>
          <w:color w:val="auto"/>
          <w:spacing w:val="-2"/>
          <w:sz w:val="28"/>
          <w:szCs w:val="28"/>
          <w:highlight w:val="none"/>
        </w:rPr>
        <w:t>第九章 用户反馈和评价机制</w:t>
      </w:r>
    </w:p>
    <w:p w14:paraId="450EF6A3">
      <w:pPr>
        <w:pStyle w:val="6"/>
        <w:spacing w:line="311" w:lineRule="auto"/>
        <w:rPr>
          <w:color w:val="auto"/>
          <w:highlight w:val="none"/>
        </w:rPr>
      </w:pPr>
    </w:p>
    <w:p w14:paraId="7BD2961E">
      <w:pPr>
        <w:spacing w:before="78" w:line="426" w:lineRule="auto"/>
        <w:ind w:firstLine="481"/>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征集人接受采购人和服务对象对入围供应商履行框</w:t>
      </w:r>
      <w:r>
        <w:rPr>
          <w:rFonts w:ascii="宋体" w:hAnsi="宋体" w:eastAsia="宋体" w:cs="宋体"/>
          <w:color w:val="auto"/>
          <w:spacing w:val="-1"/>
          <w:sz w:val="24"/>
          <w:szCs w:val="24"/>
          <w:highlight w:val="none"/>
        </w:rPr>
        <w:t>架协议和采购合同情况的反馈与评</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价，并将用户反馈和评价情况向采购人和服务对象公开，可作为第二阶段直接选定成交供应</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商的参考。</w:t>
      </w:r>
    </w:p>
    <w:p w14:paraId="5A0330CA">
      <w:pPr>
        <w:spacing w:line="426" w:lineRule="auto"/>
        <w:rPr>
          <w:rFonts w:ascii="宋体" w:hAnsi="宋体" w:eastAsia="宋体" w:cs="宋体"/>
          <w:color w:val="auto"/>
          <w:sz w:val="24"/>
          <w:szCs w:val="24"/>
          <w:highlight w:val="none"/>
        </w:rPr>
        <w:sectPr>
          <w:footerReference r:id="rId17" w:type="default"/>
          <w:pgSz w:w="11911" w:h="16840"/>
          <w:pgMar w:top="1429" w:right="1763" w:bottom="862" w:left="1655" w:header="0" w:footer="680" w:gutter="0"/>
          <w:cols w:space="0" w:num="1"/>
          <w:rtlGutter w:val="0"/>
          <w:docGrid w:linePitch="0" w:charSpace="0"/>
        </w:sectPr>
      </w:pPr>
    </w:p>
    <w:p w14:paraId="08F79B9C">
      <w:pPr>
        <w:spacing w:before="131" w:line="219" w:lineRule="auto"/>
        <w:ind w:left="2059"/>
        <w:outlineLvl w:val="0"/>
        <w:rPr>
          <w:rFonts w:ascii="黑体" w:hAnsi="黑体" w:eastAsia="黑体" w:cs="黑体"/>
          <w:color w:val="auto"/>
          <w:sz w:val="28"/>
          <w:szCs w:val="28"/>
          <w:highlight w:val="none"/>
        </w:rPr>
      </w:pPr>
      <w:bookmarkStart w:id="40" w:name="bookmark18"/>
      <w:bookmarkEnd w:id="40"/>
      <w:r>
        <w:rPr>
          <w:rFonts w:ascii="黑体" w:hAnsi="黑体" w:eastAsia="黑体" w:cs="黑体"/>
          <w:color w:val="auto"/>
          <w:spacing w:val="-2"/>
          <w:sz w:val="28"/>
          <w:szCs w:val="28"/>
          <w:highlight w:val="none"/>
        </w:rPr>
        <w:t>第十章 框架协议和采购合同</w:t>
      </w:r>
    </w:p>
    <w:p w14:paraId="467314B5">
      <w:pPr>
        <w:pStyle w:val="6"/>
        <w:spacing w:line="245" w:lineRule="auto"/>
        <w:rPr>
          <w:color w:val="auto"/>
          <w:highlight w:val="none"/>
        </w:rPr>
      </w:pPr>
    </w:p>
    <w:p w14:paraId="118D02BA">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4"/>
          <w:szCs w:val="24"/>
          <w:highlight w:val="none"/>
          <w:lang w:val="en-US" w:eastAsia="zh-CN" w:bidi="ar"/>
        </w:rPr>
        <w:t>本项目框架协议及采购合同依据征集公告及征集文件确定的事项进行签订。</w:t>
      </w:r>
    </w:p>
    <w:p w14:paraId="45B8A3D6">
      <w:pPr>
        <w:pStyle w:val="6"/>
        <w:spacing w:line="245" w:lineRule="auto"/>
        <w:rPr>
          <w:color w:val="auto"/>
          <w:highlight w:val="none"/>
        </w:rPr>
      </w:pPr>
    </w:p>
    <w:p w14:paraId="0E2D0558">
      <w:pPr>
        <w:pStyle w:val="6"/>
        <w:spacing w:line="246" w:lineRule="auto"/>
        <w:rPr>
          <w:color w:val="auto"/>
          <w:highlight w:val="none"/>
        </w:rPr>
      </w:pPr>
    </w:p>
    <w:p w14:paraId="5F477666">
      <w:pPr>
        <w:pStyle w:val="6"/>
        <w:spacing w:line="246" w:lineRule="auto"/>
        <w:rPr>
          <w:color w:val="auto"/>
          <w:highlight w:val="none"/>
        </w:rPr>
      </w:pPr>
    </w:p>
    <w:p w14:paraId="10B23402">
      <w:pPr>
        <w:pStyle w:val="6"/>
        <w:spacing w:line="246" w:lineRule="auto"/>
        <w:rPr>
          <w:color w:val="auto"/>
          <w:highlight w:val="none"/>
        </w:rPr>
      </w:pPr>
    </w:p>
    <w:p w14:paraId="58B08D59">
      <w:pPr>
        <w:spacing w:before="101" w:line="225" w:lineRule="auto"/>
        <w:ind w:left="3319"/>
        <w:rPr>
          <w:rFonts w:ascii="宋体" w:hAnsi="宋体" w:eastAsia="宋体" w:cs="宋体"/>
          <w:color w:val="auto"/>
          <w:sz w:val="31"/>
          <w:szCs w:val="31"/>
          <w:highlight w:val="none"/>
        </w:rPr>
      </w:pPr>
      <w:r>
        <w:rPr>
          <w:rFonts w:ascii="宋体" w:hAnsi="宋体" w:eastAsia="宋体" w:cs="宋体"/>
          <w:color w:val="auto"/>
          <w:spacing w:val="5"/>
          <w:sz w:val="31"/>
          <w:szCs w:val="31"/>
          <w:highlight w:val="none"/>
        </w:rPr>
        <w:t>框架协议</w:t>
      </w:r>
    </w:p>
    <w:p w14:paraId="4B115DDB">
      <w:pPr>
        <w:pStyle w:val="6"/>
        <w:spacing w:line="249" w:lineRule="auto"/>
        <w:rPr>
          <w:color w:val="auto"/>
          <w:highlight w:val="none"/>
        </w:rPr>
      </w:pPr>
    </w:p>
    <w:p w14:paraId="0990EDD1">
      <w:pPr>
        <w:pStyle w:val="6"/>
        <w:spacing w:line="249" w:lineRule="auto"/>
        <w:rPr>
          <w:color w:val="auto"/>
          <w:highlight w:val="none"/>
        </w:rPr>
      </w:pPr>
    </w:p>
    <w:p w14:paraId="48B18273">
      <w:pPr>
        <w:pStyle w:val="6"/>
        <w:spacing w:line="249" w:lineRule="auto"/>
        <w:rPr>
          <w:color w:val="auto"/>
          <w:highlight w:val="none"/>
        </w:rPr>
      </w:pPr>
    </w:p>
    <w:p w14:paraId="2D89E9CB">
      <w:pPr>
        <w:pStyle w:val="6"/>
        <w:spacing w:line="249" w:lineRule="auto"/>
        <w:rPr>
          <w:color w:val="auto"/>
          <w:highlight w:val="none"/>
        </w:rPr>
      </w:pPr>
    </w:p>
    <w:p w14:paraId="35D2F66D">
      <w:pPr>
        <w:pStyle w:val="6"/>
        <w:spacing w:line="249" w:lineRule="auto"/>
        <w:rPr>
          <w:color w:val="auto"/>
          <w:highlight w:val="none"/>
        </w:rPr>
      </w:pPr>
    </w:p>
    <w:p w14:paraId="02109857">
      <w:pPr>
        <w:pStyle w:val="6"/>
        <w:spacing w:line="249" w:lineRule="auto"/>
        <w:rPr>
          <w:color w:val="auto"/>
          <w:highlight w:val="none"/>
        </w:rPr>
      </w:pPr>
    </w:p>
    <w:p w14:paraId="33A3AFC8">
      <w:pPr>
        <w:pStyle w:val="6"/>
        <w:spacing w:line="249" w:lineRule="auto"/>
        <w:rPr>
          <w:color w:val="auto"/>
          <w:highlight w:val="none"/>
        </w:rPr>
      </w:pPr>
    </w:p>
    <w:p w14:paraId="7B605487">
      <w:pPr>
        <w:pStyle w:val="6"/>
        <w:spacing w:line="249" w:lineRule="auto"/>
        <w:rPr>
          <w:color w:val="auto"/>
          <w:highlight w:val="none"/>
        </w:rPr>
      </w:pPr>
    </w:p>
    <w:p w14:paraId="072EC1CD">
      <w:pPr>
        <w:pStyle w:val="6"/>
        <w:spacing w:line="249" w:lineRule="auto"/>
        <w:rPr>
          <w:color w:val="auto"/>
          <w:highlight w:val="none"/>
        </w:rPr>
      </w:pPr>
    </w:p>
    <w:p w14:paraId="60D87726">
      <w:pPr>
        <w:pStyle w:val="6"/>
        <w:spacing w:line="249" w:lineRule="auto"/>
        <w:rPr>
          <w:color w:val="auto"/>
          <w:highlight w:val="none"/>
        </w:rPr>
      </w:pPr>
    </w:p>
    <w:p w14:paraId="1A180779">
      <w:pPr>
        <w:pStyle w:val="6"/>
        <w:spacing w:line="249" w:lineRule="auto"/>
        <w:rPr>
          <w:color w:val="auto"/>
          <w:highlight w:val="none"/>
        </w:rPr>
      </w:pPr>
    </w:p>
    <w:p w14:paraId="1F6591B5">
      <w:pPr>
        <w:pStyle w:val="6"/>
        <w:spacing w:line="249" w:lineRule="auto"/>
        <w:rPr>
          <w:color w:val="auto"/>
          <w:highlight w:val="none"/>
        </w:rPr>
      </w:pPr>
    </w:p>
    <w:p w14:paraId="6272DB20">
      <w:pPr>
        <w:pStyle w:val="6"/>
        <w:spacing w:line="249" w:lineRule="auto"/>
        <w:rPr>
          <w:color w:val="auto"/>
          <w:highlight w:val="none"/>
        </w:rPr>
      </w:pPr>
    </w:p>
    <w:p w14:paraId="3B79933A">
      <w:pPr>
        <w:pStyle w:val="6"/>
        <w:spacing w:line="249" w:lineRule="auto"/>
        <w:rPr>
          <w:color w:val="auto"/>
          <w:highlight w:val="none"/>
        </w:rPr>
      </w:pPr>
    </w:p>
    <w:p w14:paraId="0E877842">
      <w:pPr>
        <w:pStyle w:val="6"/>
        <w:spacing w:line="249" w:lineRule="auto"/>
        <w:rPr>
          <w:color w:val="auto"/>
          <w:highlight w:val="none"/>
        </w:rPr>
      </w:pPr>
    </w:p>
    <w:p w14:paraId="12F6FD80">
      <w:pPr>
        <w:pStyle w:val="6"/>
        <w:spacing w:line="249" w:lineRule="auto"/>
        <w:rPr>
          <w:color w:val="auto"/>
          <w:highlight w:val="none"/>
        </w:rPr>
      </w:pPr>
    </w:p>
    <w:p w14:paraId="7519695D">
      <w:pPr>
        <w:pStyle w:val="6"/>
        <w:spacing w:line="249" w:lineRule="auto"/>
        <w:rPr>
          <w:color w:val="auto"/>
          <w:highlight w:val="none"/>
        </w:rPr>
      </w:pPr>
    </w:p>
    <w:p w14:paraId="784C1C0B">
      <w:pPr>
        <w:pStyle w:val="6"/>
        <w:spacing w:line="249" w:lineRule="auto"/>
        <w:rPr>
          <w:color w:val="auto"/>
          <w:highlight w:val="none"/>
        </w:rPr>
      </w:pPr>
    </w:p>
    <w:p w14:paraId="59013AFC">
      <w:pPr>
        <w:pStyle w:val="6"/>
        <w:spacing w:line="250" w:lineRule="auto"/>
        <w:rPr>
          <w:color w:val="auto"/>
          <w:highlight w:val="none"/>
        </w:rPr>
      </w:pPr>
    </w:p>
    <w:p w14:paraId="321956A4">
      <w:pPr>
        <w:pStyle w:val="6"/>
        <w:spacing w:line="250" w:lineRule="auto"/>
        <w:rPr>
          <w:color w:val="auto"/>
          <w:highlight w:val="none"/>
        </w:rPr>
      </w:pPr>
    </w:p>
    <w:p w14:paraId="11D417FC">
      <w:pPr>
        <w:pStyle w:val="6"/>
        <w:spacing w:line="250" w:lineRule="auto"/>
        <w:rPr>
          <w:color w:val="auto"/>
          <w:highlight w:val="none"/>
        </w:rPr>
      </w:pPr>
    </w:p>
    <w:p w14:paraId="699B3271">
      <w:pPr>
        <w:pStyle w:val="6"/>
        <w:spacing w:line="250" w:lineRule="auto"/>
        <w:rPr>
          <w:color w:val="auto"/>
          <w:highlight w:val="none"/>
        </w:rPr>
      </w:pPr>
    </w:p>
    <w:p w14:paraId="1A6CDE7B">
      <w:pPr>
        <w:pStyle w:val="6"/>
        <w:spacing w:line="250" w:lineRule="auto"/>
        <w:rPr>
          <w:color w:val="auto"/>
          <w:highlight w:val="none"/>
        </w:rPr>
      </w:pPr>
    </w:p>
    <w:p w14:paraId="0E9FB1C1">
      <w:pPr>
        <w:keepNext w:val="0"/>
        <w:keepLines w:val="0"/>
        <w:pageBreakBefore w:val="0"/>
        <w:widowControl/>
        <w:kinsoku w:val="0"/>
        <w:wordWrap/>
        <w:overflowPunct/>
        <w:topLinePunct w:val="0"/>
        <w:autoSpaceDE w:val="0"/>
        <w:autoSpaceDN w:val="0"/>
        <w:bidi w:val="0"/>
        <w:adjustRightInd w:val="0"/>
        <w:snapToGrid w:val="0"/>
        <w:spacing w:before="78" w:line="600" w:lineRule="auto"/>
        <w:ind w:right="0" w:rightChars="0"/>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项目名称：</w:t>
      </w:r>
      <w:r>
        <w:rPr>
          <w:rFonts w:hint="eastAsia" w:ascii="宋体" w:hAnsi="宋体" w:eastAsia="宋体" w:cs="宋体"/>
          <w:color w:val="auto"/>
          <w:spacing w:val="5"/>
          <w:sz w:val="24"/>
          <w:szCs w:val="24"/>
          <w:highlight w:val="none"/>
          <w:u w:val="single" w:color="auto"/>
          <w:lang w:val="en-US" w:eastAsia="zh-CN"/>
        </w:rPr>
        <w:t>2025-2027年度金寨县行政事业单位公务用车维修保养服务框架协议项目</w:t>
      </w:r>
    </w:p>
    <w:p w14:paraId="06F229FD">
      <w:pPr>
        <w:keepNext w:val="0"/>
        <w:keepLines w:val="0"/>
        <w:pageBreakBefore w:val="0"/>
        <w:widowControl/>
        <w:kinsoku w:val="0"/>
        <w:wordWrap/>
        <w:overflowPunct/>
        <w:topLinePunct w:val="0"/>
        <w:autoSpaceDE w:val="0"/>
        <w:autoSpaceDN w:val="0"/>
        <w:bidi w:val="0"/>
        <w:adjustRightInd w:val="0"/>
        <w:snapToGrid w:val="0"/>
        <w:spacing w:before="34" w:line="600" w:lineRule="auto"/>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项目编号：</w:t>
      </w:r>
      <w:r>
        <w:rPr>
          <w:rFonts w:hint="eastAsia" w:ascii="宋体" w:hAnsi="宋体" w:eastAsia="宋体" w:cs="宋体"/>
          <w:color w:val="auto"/>
          <w:spacing w:val="-3"/>
          <w:sz w:val="24"/>
          <w:szCs w:val="24"/>
          <w:highlight w:val="none"/>
          <w:u w:val="single" w:color="auto"/>
          <w:lang w:eastAsia="zh-CN"/>
        </w:rPr>
        <w:t>KJXY202504100394</w:t>
      </w:r>
      <w:r>
        <w:rPr>
          <w:rFonts w:ascii="宋体" w:hAnsi="宋体" w:eastAsia="宋体" w:cs="宋体"/>
          <w:color w:val="auto"/>
          <w:sz w:val="24"/>
          <w:szCs w:val="24"/>
          <w:highlight w:val="none"/>
          <w:u w:val="single" w:color="auto"/>
        </w:rPr>
        <w:t xml:space="preserve"> </w:t>
      </w:r>
    </w:p>
    <w:p w14:paraId="6D2EACCE">
      <w:pPr>
        <w:keepNext w:val="0"/>
        <w:keepLines w:val="0"/>
        <w:pageBreakBefore w:val="0"/>
        <w:widowControl/>
        <w:kinsoku w:val="0"/>
        <w:wordWrap/>
        <w:overflowPunct/>
        <w:topLinePunct w:val="0"/>
        <w:autoSpaceDE w:val="0"/>
        <w:autoSpaceDN w:val="0"/>
        <w:bidi w:val="0"/>
        <w:adjustRightInd w:val="0"/>
        <w:snapToGrid w:val="0"/>
        <w:spacing w:before="78" w:line="600" w:lineRule="auto"/>
        <w:ind w:left="4" w:right="1800" w:firstLine="3"/>
        <w:textAlignment w:val="baseline"/>
        <w:rPr>
          <w:rFonts w:hint="eastAsia" w:ascii="宋体" w:hAnsi="宋体" w:eastAsia="宋体" w:cs="宋体"/>
          <w:color w:val="auto"/>
          <w:spacing w:val="-3"/>
          <w:sz w:val="24"/>
          <w:szCs w:val="24"/>
          <w:highlight w:val="none"/>
          <w:u w:val="single" w:color="auto"/>
          <w:lang w:val="en-US" w:eastAsia="zh-CN"/>
        </w:rPr>
      </w:pPr>
      <w:r>
        <w:rPr>
          <w:rFonts w:ascii="宋体" w:hAnsi="宋体" w:eastAsia="宋体" w:cs="宋体"/>
          <w:color w:val="auto"/>
          <w:spacing w:val="-3"/>
          <w:sz w:val="24"/>
          <w:szCs w:val="24"/>
          <w:highlight w:val="none"/>
        </w:rPr>
        <w:t>征</w:t>
      </w:r>
      <w:r>
        <w:rPr>
          <w:rFonts w:hint="eastAsia" w:ascii="宋体" w:hAnsi="宋体" w:eastAsia="宋体" w:cs="宋体"/>
          <w:color w:val="auto"/>
          <w:spacing w:val="-3"/>
          <w:sz w:val="24"/>
          <w:szCs w:val="24"/>
          <w:highlight w:val="none"/>
          <w:lang w:val="en-US" w:eastAsia="zh-CN"/>
        </w:rPr>
        <w:t xml:space="preserve">  </w:t>
      </w:r>
      <w:r>
        <w:rPr>
          <w:rFonts w:ascii="宋体" w:hAnsi="宋体" w:eastAsia="宋体" w:cs="宋体"/>
          <w:color w:val="auto"/>
          <w:spacing w:val="-3"/>
          <w:sz w:val="24"/>
          <w:szCs w:val="24"/>
          <w:highlight w:val="none"/>
        </w:rPr>
        <w:t>集</w:t>
      </w:r>
      <w:r>
        <w:rPr>
          <w:rFonts w:hint="eastAsia" w:ascii="宋体" w:hAnsi="宋体" w:eastAsia="宋体" w:cs="宋体"/>
          <w:color w:val="auto"/>
          <w:spacing w:val="-3"/>
          <w:sz w:val="24"/>
          <w:szCs w:val="24"/>
          <w:highlight w:val="none"/>
          <w:lang w:val="en-US" w:eastAsia="zh-CN"/>
        </w:rPr>
        <w:t xml:space="preserve">  </w:t>
      </w:r>
      <w:r>
        <w:rPr>
          <w:rFonts w:ascii="宋体" w:hAnsi="宋体" w:eastAsia="宋体" w:cs="宋体"/>
          <w:color w:val="auto"/>
          <w:spacing w:val="-3"/>
          <w:sz w:val="24"/>
          <w:szCs w:val="24"/>
          <w:highlight w:val="none"/>
        </w:rPr>
        <w:t>人（甲方</w:t>
      </w:r>
      <w:r>
        <w:rPr>
          <w:rFonts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color="auto"/>
          <w:lang w:val="en-US" w:eastAsia="zh-CN"/>
        </w:rPr>
        <w:t>金寨县机关事务管理服务中心</w:t>
      </w:r>
    </w:p>
    <w:p w14:paraId="3C5B5B46">
      <w:pPr>
        <w:keepNext w:val="0"/>
        <w:keepLines w:val="0"/>
        <w:pageBreakBefore w:val="0"/>
        <w:widowControl/>
        <w:kinsoku w:val="0"/>
        <w:wordWrap/>
        <w:overflowPunct/>
        <w:topLinePunct w:val="0"/>
        <w:autoSpaceDE w:val="0"/>
        <w:autoSpaceDN w:val="0"/>
        <w:bidi w:val="0"/>
        <w:adjustRightInd w:val="0"/>
        <w:snapToGrid w:val="0"/>
        <w:spacing w:before="78" w:line="600" w:lineRule="auto"/>
        <w:ind w:left="4" w:right="1800" w:firstLine="3"/>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入围供应商（乙方</w:t>
      </w:r>
      <w:r>
        <w:rPr>
          <w:rFonts w:ascii="宋体" w:hAnsi="宋体" w:eastAsia="宋体" w:cs="宋体"/>
          <w:color w:val="auto"/>
          <w:spacing w:val="-4"/>
          <w:sz w:val="24"/>
          <w:szCs w:val="24"/>
          <w:highlight w:val="none"/>
        </w:rPr>
        <w:t>）：</w:t>
      </w:r>
      <w:r>
        <w:rPr>
          <w:rFonts w:ascii="宋体" w:hAnsi="宋体" w:eastAsia="宋体" w:cs="宋体"/>
          <w:color w:val="auto"/>
          <w:sz w:val="24"/>
          <w:szCs w:val="24"/>
          <w:highlight w:val="none"/>
          <w:u w:val="single" w:color="auto"/>
        </w:rPr>
        <w:t xml:space="preserve">                                   </w:t>
      </w:r>
    </w:p>
    <w:p w14:paraId="5F4E2FFC">
      <w:pPr>
        <w:spacing w:line="60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签订地点：金寨县</w:t>
      </w:r>
    </w:p>
    <w:p w14:paraId="7901F16B">
      <w:pPr>
        <w:spacing w:line="360" w:lineRule="auto"/>
        <w:rPr>
          <w:rFonts w:ascii="宋体" w:hAnsi="宋体" w:eastAsia="宋体" w:cs="宋体"/>
          <w:color w:val="auto"/>
          <w:sz w:val="24"/>
          <w:szCs w:val="24"/>
          <w:highlight w:val="none"/>
        </w:rPr>
        <w:sectPr>
          <w:footerReference r:id="rId18" w:type="default"/>
          <w:pgSz w:w="11911" w:h="16840"/>
          <w:pgMar w:top="1429" w:right="1763" w:bottom="862" w:left="1655" w:header="0" w:footer="680" w:gutter="0"/>
          <w:cols w:space="0" w:num="1"/>
          <w:rtlGutter w:val="0"/>
          <w:docGrid w:linePitch="0" w:charSpace="0"/>
        </w:sectPr>
      </w:pPr>
    </w:p>
    <w:p w14:paraId="12745931">
      <w:pPr>
        <w:spacing w:before="240" w:line="219" w:lineRule="auto"/>
        <w:ind w:left="51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甲方：</w:t>
      </w:r>
      <w:r>
        <w:rPr>
          <w:rFonts w:hint="eastAsia" w:ascii="宋体" w:hAnsi="宋体" w:eastAsia="宋体" w:cs="宋体"/>
          <w:color w:val="auto"/>
          <w:spacing w:val="-1"/>
          <w:sz w:val="24"/>
          <w:szCs w:val="24"/>
          <w:highlight w:val="none"/>
          <w:lang w:val="en-US" w:eastAsia="zh-CN"/>
        </w:rPr>
        <w:t xml:space="preserve">金寨县机关事务管理服务中心       </w:t>
      </w:r>
      <w:r>
        <w:rPr>
          <w:rFonts w:ascii="宋体" w:hAnsi="宋体" w:eastAsia="宋体" w:cs="宋体"/>
          <w:color w:val="auto"/>
          <w:spacing w:val="-2"/>
          <w:sz w:val="24"/>
          <w:szCs w:val="24"/>
          <w:highlight w:val="none"/>
        </w:rPr>
        <w:t xml:space="preserve">        乙方：</w:t>
      </w:r>
    </w:p>
    <w:p w14:paraId="2D6EBB72">
      <w:pPr>
        <w:spacing w:before="233" w:line="220" w:lineRule="auto"/>
        <w:ind w:left="480"/>
        <w:rPr>
          <w:rFonts w:ascii="宋体" w:hAnsi="宋体" w:eastAsia="宋体" w:cs="宋体"/>
          <w:color w:val="auto"/>
          <w:sz w:val="24"/>
          <w:szCs w:val="24"/>
          <w:highlight w:val="none"/>
        </w:rPr>
      </w:pPr>
      <w:r>
        <w:rPr>
          <w:rFonts w:ascii="宋体" w:hAnsi="宋体" w:eastAsia="宋体" w:cs="宋体"/>
          <w:color w:val="auto"/>
          <w:sz w:val="24"/>
          <w:szCs w:val="24"/>
          <w:highlight w:val="none"/>
        </w:rPr>
        <w:t>住所地：</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 xml:space="preserve">      住所地：</w:t>
      </w:r>
    </w:p>
    <w:p w14:paraId="5322B037">
      <w:pPr>
        <w:spacing w:before="234" w:line="220" w:lineRule="auto"/>
        <w:ind w:left="481"/>
        <w:rPr>
          <w:rFonts w:ascii="宋体" w:hAnsi="宋体" w:eastAsia="宋体" w:cs="宋体"/>
          <w:color w:val="auto"/>
          <w:sz w:val="24"/>
          <w:szCs w:val="24"/>
          <w:highlight w:val="none"/>
        </w:rPr>
      </w:pPr>
      <w:r>
        <w:rPr>
          <w:rFonts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杜主任</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 xml:space="preserve">        联系人：</w:t>
      </w:r>
    </w:p>
    <w:p w14:paraId="64CF4D2C">
      <w:pPr>
        <w:spacing w:before="235" w:line="222" w:lineRule="auto"/>
        <w:ind w:left="50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电话：0564-</w:t>
      </w:r>
      <w:r>
        <w:rPr>
          <w:rFonts w:hint="eastAsia" w:ascii="宋体" w:hAnsi="宋体" w:eastAsia="宋体" w:cs="宋体"/>
          <w:color w:val="auto"/>
          <w:spacing w:val="-3"/>
          <w:sz w:val="24"/>
          <w:szCs w:val="24"/>
          <w:highlight w:val="none"/>
          <w:lang w:val="en-US" w:eastAsia="zh-CN"/>
        </w:rPr>
        <w:t xml:space="preserve">7350323 </w:t>
      </w:r>
      <w:r>
        <w:rPr>
          <w:rFonts w:ascii="宋体" w:hAnsi="宋体" w:eastAsia="宋体" w:cs="宋体"/>
          <w:color w:val="auto"/>
          <w:spacing w:val="-3"/>
          <w:sz w:val="24"/>
          <w:szCs w:val="24"/>
          <w:highlight w:val="none"/>
        </w:rPr>
        <w:t xml:space="preserve">               </w:t>
      </w:r>
      <w:r>
        <w:rPr>
          <w:rFonts w:ascii="宋体" w:hAnsi="宋体" w:eastAsia="宋体" w:cs="宋体"/>
          <w:color w:val="auto"/>
          <w:spacing w:val="-4"/>
          <w:sz w:val="24"/>
          <w:szCs w:val="24"/>
          <w:highlight w:val="none"/>
        </w:rPr>
        <w:t xml:space="preserve">            电话：</w:t>
      </w:r>
    </w:p>
    <w:p w14:paraId="054EACA2">
      <w:pPr>
        <w:spacing w:before="228" w:line="392" w:lineRule="auto"/>
        <w:ind w:left="2" w:right="137" w:firstLine="509"/>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甲乙双方根据《中华人民共和国政府采购法》《中</w:t>
      </w:r>
      <w:r>
        <w:rPr>
          <w:rFonts w:ascii="宋体" w:hAnsi="宋体" w:eastAsia="宋体" w:cs="宋体"/>
          <w:color w:val="auto"/>
          <w:spacing w:val="-3"/>
          <w:sz w:val="24"/>
          <w:szCs w:val="24"/>
          <w:highlight w:val="none"/>
        </w:rPr>
        <w:t>华人民共和国民法典》等相关法律法规，</w:t>
      </w:r>
      <w:r>
        <w:rPr>
          <w:rFonts w:ascii="宋体" w:hAnsi="宋体" w:eastAsia="宋体" w:cs="宋体"/>
          <w:color w:val="auto"/>
          <w:sz w:val="24"/>
          <w:szCs w:val="24"/>
          <w:highlight w:val="none"/>
        </w:rPr>
        <w:t xml:space="preserve"> 以及本项目征集文件等规定，经平等协商，自愿就本项目相关事</w:t>
      </w:r>
      <w:r>
        <w:rPr>
          <w:rFonts w:ascii="宋体" w:hAnsi="宋体" w:eastAsia="宋体" w:cs="宋体"/>
          <w:color w:val="auto"/>
          <w:spacing w:val="-1"/>
          <w:sz w:val="24"/>
          <w:szCs w:val="24"/>
          <w:highlight w:val="none"/>
        </w:rPr>
        <w:t>项达成一致，并签署本框架协</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议，具体内容如下：</w:t>
      </w:r>
    </w:p>
    <w:p w14:paraId="5BD7762A">
      <w:pPr>
        <w:spacing w:before="32" w:line="220" w:lineRule="auto"/>
        <w:ind w:left="48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一、第一阶段入围产品</w:t>
      </w:r>
    </w:p>
    <w:p w14:paraId="48C2EC83">
      <w:pPr>
        <w:spacing w:before="234" w:line="219" w:lineRule="auto"/>
        <w:ind w:left="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1、本项目采购需求及最高限价详见本项目</w:t>
      </w:r>
      <w:r>
        <w:rPr>
          <w:rFonts w:ascii="宋体" w:hAnsi="宋体" w:eastAsia="宋体" w:cs="宋体"/>
          <w:color w:val="auto"/>
          <w:spacing w:val="-2"/>
          <w:sz w:val="24"/>
          <w:szCs w:val="24"/>
          <w:highlight w:val="none"/>
        </w:rPr>
        <w:t>征集文件。</w:t>
      </w:r>
    </w:p>
    <w:p w14:paraId="0A4EBD63">
      <w:pPr>
        <w:spacing w:before="235" w:line="364" w:lineRule="auto"/>
        <w:ind w:right="201" w:firstLine="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2、入围服务内容、服务标准</w:t>
      </w:r>
      <w:r>
        <w:rPr>
          <w:rFonts w:hint="eastAsia" w:ascii="宋体" w:hAnsi="宋体" w:eastAsia="宋体" w:cs="宋体"/>
          <w:color w:val="auto"/>
          <w:spacing w:val="-1"/>
          <w:sz w:val="24"/>
          <w:szCs w:val="24"/>
          <w:highlight w:val="none"/>
          <w:lang w:eastAsia="zh-CN"/>
        </w:rPr>
        <w:t>：</w:t>
      </w:r>
      <w:r>
        <w:rPr>
          <w:rFonts w:hint="eastAsia" w:ascii="宋体" w:hAnsi="宋体" w:eastAsia="宋体" w:cs="宋体"/>
          <w:b/>
          <w:bCs/>
          <w:color w:val="auto"/>
          <w:sz w:val="24"/>
          <w:szCs w:val="24"/>
          <w:highlight w:val="none"/>
          <w:lang w:val="en-US" w:eastAsia="zh-CN"/>
        </w:rPr>
        <w:t>服务标准详见征集文件</w:t>
      </w:r>
      <w:r>
        <w:rPr>
          <w:rFonts w:ascii="宋体" w:hAnsi="宋体" w:eastAsia="宋体" w:cs="宋体"/>
          <w:color w:val="auto"/>
          <w:spacing w:val="-1"/>
          <w:sz w:val="24"/>
          <w:szCs w:val="24"/>
          <w:highlight w:val="none"/>
        </w:rPr>
        <w:t>。</w:t>
      </w:r>
    </w:p>
    <w:p w14:paraId="15F51247">
      <w:pPr>
        <w:spacing w:before="235" w:line="219"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3、协议价格</w:t>
      </w:r>
      <w:r>
        <w:rPr>
          <w:rFonts w:ascii="宋体" w:hAnsi="宋体" w:eastAsia="宋体" w:cs="宋体"/>
          <w:color w:val="auto"/>
          <w:spacing w:val="-16"/>
          <w:sz w:val="24"/>
          <w:szCs w:val="24"/>
          <w:highlight w:val="none"/>
        </w:rPr>
        <w:t>：（</w:t>
      </w:r>
      <w:r>
        <w:rPr>
          <w:rFonts w:ascii="宋体" w:hAnsi="宋体" w:eastAsia="宋体" w:cs="宋体"/>
          <w:color w:val="auto"/>
          <w:spacing w:val="1"/>
          <w:sz w:val="24"/>
          <w:szCs w:val="24"/>
          <w:highlight w:val="none"/>
        </w:rPr>
        <w:t>根据项目情况编辑）。</w:t>
      </w:r>
    </w:p>
    <w:p w14:paraId="471C5B6A">
      <w:pPr>
        <w:spacing w:before="237" w:line="219" w:lineRule="auto"/>
        <w:ind w:left="484"/>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二、入围产品升级换代规则：</w:t>
      </w:r>
      <w:r>
        <w:rPr>
          <w:rFonts w:ascii="宋体" w:hAnsi="宋体" w:eastAsia="宋体" w:cs="宋体"/>
          <w:color w:val="auto"/>
          <w:spacing w:val="-2"/>
          <w:sz w:val="24"/>
          <w:szCs w:val="24"/>
          <w:highlight w:val="none"/>
        </w:rPr>
        <w:t>本项目不适用。</w:t>
      </w:r>
    </w:p>
    <w:p w14:paraId="5506A6D6">
      <w:pPr>
        <w:spacing w:before="234" w:line="340" w:lineRule="auto"/>
        <w:ind w:right="186" w:firstLine="480"/>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三、确定第二阶段成交供应商的方式:</w:t>
      </w:r>
      <w:r>
        <w:rPr>
          <w:rFonts w:ascii="宋体" w:hAnsi="宋体" w:eastAsia="宋体" w:cs="宋体"/>
          <w:color w:val="auto"/>
          <w:spacing w:val="-1"/>
          <w:sz w:val="24"/>
          <w:szCs w:val="24"/>
          <w:highlight w:val="none"/>
        </w:rPr>
        <w:t>第一阶段入围框架协议签订后，由采购人根据项目属性以及供应商报价、</w:t>
      </w:r>
      <w:r>
        <w:rPr>
          <w:rFonts w:ascii="宋体" w:hAnsi="宋体" w:eastAsia="宋体" w:cs="宋体"/>
          <w:color w:val="auto"/>
          <w:spacing w:val="-69"/>
          <w:sz w:val="24"/>
          <w:szCs w:val="24"/>
          <w:highlight w:val="none"/>
        </w:rPr>
        <w:t xml:space="preserve"> </w:t>
      </w:r>
      <w:r>
        <w:rPr>
          <w:rFonts w:ascii="宋体" w:hAnsi="宋体" w:eastAsia="宋体" w:cs="宋体"/>
          <w:color w:val="auto"/>
          <w:spacing w:val="-1"/>
          <w:sz w:val="24"/>
          <w:szCs w:val="24"/>
          <w:highlight w:val="none"/>
        </w:rPr>
        <w:t>日常服务质量和每个项目</w:t>
      </w:r>
      <w:r>
        <w:rPr>
          <w:rFonts w:ascii="宋体" w:hAnsi="宋体" w:eastAsia="宋体" w:cs="宋体"/>
          <w:color w:val="auto"/>
          <w:spacing w:val="-2"/>
          <w:sz w:val="24"/>
          <w:szCs w:val="24"/>
          <w:highlight w:val="none"/>
        </w:rPr>
        <w:t>实际需要等因素，在第一阶段入围供应商中通过</w:t>
      </w:r>
      <w:r>
        <w:rPr>
          <w:rFonts w:ascii="宋体" w:hAnsi="宋体" w:eastAsia="宋体" w:cs="宋体"/>
          <w:color w:val="auto"/>
          <w:spacing w:val="-1"/>
          <w:sz w:val="24"/>
          <w:szCs w:val="24"/>
          <w:highlight w:val="none"/>
        </w:rPr>
        <w:t>直接选定方式确定第二阶段成交供应商。</w:t>
      </w:r>
    </w:p>
    <w:p w14:paraId="24BF6CD2">
      <w:pPr>
        <w:spacing w:before="233" w:line="219" w:lineRule="auto"/>
        <w:ind w:left="503"/>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四、适用框架协议的采购人（或者服务对象）范围，以及</w:t>
      </w:r>
      <w:r>
        <w:rPr>
          <w:rFonts w:ascii="宋体" w:hAnsi="宋体" w:eastAsia="宋体" w:cs="宋体"/>
          <w:b/>
          <w:bCs/>
          <w:color w:val="auto"/>
          <w:spacing w:val="-2"/>
          <w:sz w:val="24"/>
          <w:szCs w:val="24"/>
          <w:highlight w:val="none"/>
        </w:rPr>
        <w:t>履行合同的地域范围:</w:t>
      </w:r>
    </w:p>
    <w:p w14:paraId="6424EF9B">
      <w:pPr>
        <w:spacing w:before="236" w:line="219" w:lineRule="auto"/>
        <w:ind w:left="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金寨县各国家机关、事业单位和团体组织；金寨县范围内</w:t>
      </w:r>
    </w:p>
    <w:p w14:paraId="56C65BE5">
      <w:pPr>
        <w:spacing w:before="235" w:line="385" w:lineRule="auto"/>
        <w:ind w:left="24" w:right="189" w:firstLine="460"/>
        <w:rPr>
          <w:rFonts w:ascii="宋体" w:hAnsi="宋体" w:eastAsia="宋体" w:cs="宋体"/>
          <w:color w:val="auto"/>
          <w:sz w:val="24"/>
          <w:szCs w:val="24"/>
          <w:highlight w:val="none"/>
          <w:u w:val="single"/>
        </w:rPr>
      </w:pPr>
      <w:r>
        <w:rPr>
          <w:rFonts w:ascii="宋体" w:hAnsi="宋体" w:eastAsia="宋体" w:cs="宋体"/>
          <w:b/>
          <w:bCs/>
          <w:color w:val="auto"/>
          <w:spacing w:val="-1"/>
          <w:sz w:val="24"/>
          <w:szCs w:val="24"/>
          <w:highlight w:val="none"/>
        </w:rPr>
        <w:t>五、资金支付方式、时间和条件:</w:t>
      </w:r>
      <w:r>
        <w:rPr>
          <w:rFonts w:hint="eastAsia"/>
          <w:b w:val="0"/>
          <w:bCs w:val="0"/>
          <w:color w:val="FF0000"/>
          <w:sz w:val="24"/>
          <w:szCs w:val="24"/>
          <w:highlight w:val="none"/>
        </w:rPr>
        <w:t>1、相应的车属单位组织相关人员对维修后的车辆按照国家和行业相关技术标准和规范要求进行验收。2、对于二级以上车辆维护、总成修理或整车修理，报修车辆维修竣工后，维修企业应填制运输管理机构统一印制的《机动车维修竣工出厂合格证》，未签发机动车维修竣工出厂合格证的车辆，不得交付使用，采购人或车辆所属单位可以拒绝接车、拒绝付费。3、所需修理的车辆维修完毕后，经车属单位验收合格后，维修费用须凭支付申请书、报修单、结算单等相关单据以及合法发票，</w:t>
      </w:r>
      <w:r>
        <w:rPr>
          <w:rFonts w:hint="eastAsia"/>
          <w:b/>
          <w:bCs/>
          <w:color w:val="FF0000"/>
          <w:sz w:val="24"/>
          <w:szCs w:val="24"/>
          <w:highlight w:val="none"/>
          <w:lang w:val="en-US" w:eastAsia="zh-CN"/>
        </w:rPr>
        <w:t>7</w:t>
      </w:r>
      <w:r>
        <w:rPr>
          <w:rFonts w:hint="eastAsia"/>
          <w:b/>
          <w:bCs/>
          <w:color w:val="FF0000"/>
          <w:sz w:val="24"/>
          <w:szCs w:val="24"/>
          <w:highlight w:val="none"/>
        </w:rPr>
        <w:t>个工作日内</w:t>
      </w:r>
      <w:r>
        <w:rPr>
          <w:rFonts w:hint="eastAsia"/>
          <w:b w:val="0"/>
          <w:bCs w:val="0"/>
          <w:color w:val="FF0000"/>
          <w:sz w:val="24"/>
          <w:szCs w:val="24"/>
          <w:highlight w:val="none"/>
        </w:rPr>
        <w:t>按财政支付的有关规定办理支付，不得使用现金支付维修费用。未经报批自行送修的车辆，车属单位有权不予结算维修费用。</w:t>
      </w:r>
    </w:p>
    <w:p w14:paraId="4393F3E6">
      <w:pPr>
        <w:spacing w:before="39" w:line="220" w:lineRule="auto"/>
        <w:ind w:left="48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六、框架协议期限</w:t>
      </w:r>
    </w:p>
    <w:p w14:paraId="5CD00776">
      <w:pPr>
        <w:spacing w:before="39" w:line="310" w:lineRule="auto"/>
        <w:ind w:right="80" w:firstLine="484"/>
        <w:rPr>
          <w:rFonts w:ascii="宋体" w:hAnsi="宋体" w:eastAsia="宋体" w:cs="宋体"/>
          <w:color w:val="auto"/>
          <w:sz w:val="24"/>
          <w:szCs w:val="24"/>
          <w:highlight w:val="none"/>
        </w:rPr>
      </w:pPr>
      <w:r>
        <w:rPr>
          <w:rFonts w:ascii="宋体" w:hAnsi="宋体" w:eastAsia="宋体" w:cs="宋体"/>
          <w:color w:val="auto"/>
          <w:sz w:val="24"/>
          <w:szCs w:val="24"/>
          <w:highlight w:val="none"/>
        </w:rPr>
        <w:t>自签订本项目框架协议之日起</w:t>
      </w:r>
      <w:r>
        <w:rPr>
          <w:rFonts w:hint="eastAsia" w:ascii="宋体" w:hAnsi="宋体" w:eastAsia="宋体" w:cs="宋体"/>
          <w:color w:val="auto"/>
          <w:sz w:val="24"/>
          <w:szCs w:val="24"/>
          <w:highlight w:val="none"/>
          <w:lang w:val="en-US" w:eastAsia="zh-CN"/>
        </w:rPr>
        <w:t>24个月</w:t>
      </w:r>
      <w:r>
        <w:rPr>
          <w:rFonts w:hint="eastAsia" w:ascii="宋体" w:hAnsi="宋体" w:eastAsia="宋体" w:cs="宋体"/>
          <w:color w:val="auto"/>
          <w:sz w:val="24"/>
          <w:szCs w:val="24"/>
          <w:highlight w:val="none"/>
          <w:lang w:eastAsia="zh-CN"/>
        </w:rPr>
        <w:t>（自2025年7月1日起至2027年6月30日止）</w:t>
      </w:r>
      <w:r>
        <w:rPr>
          <w:rFonts w:ascii="宋体" w:hAnsi="宋体" w:eastAsia="宋体" w:cs="宋体"/>
          <w:color w:val="auto"/>
          <w:sz w:val="24"/>
          <w:szCs w:val="24"/>
          <w:highlight w:val="none"/>
        </w:rPr>
        <w:t>。</w:t>
      </w:r>
    </w:p>
    <w:p w14:paraId="6F5D506F">
      <w:pPr>
        <w:spacing w:before="233" w:line="220" w:lineRule="auto"/>
        <w:ind w:left="480"/>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七、框架协议项目履约管理</w:t>
      </w:r>
    </w:p>
    <w:p w14:paraId="6866AE70">
      <w:pPr>
        <w:spacing w:before="39" w:line="310" w:lineRule="auto"/>
        <w:ind w:right="80" w:firstLine="484"/>
        <w:rPr>
          <w:rFonts w:ascii="宋体" w:hAnsi="宋体" w:eastAsia="宋体" w:cs="宋体"/>
          <w:color w:val="auto"/>
          <w:sz w:val="24"/>
          <w:szCs w:val="24"/>
          <w:highlight w:val="none"/>
        </w:rPr>
      </w:pPr>
      <w:r>
        <w:rPr>
          <w:rFonts w:ascii="宋体" w:hAnsi="宋体" w:eastAsia="宋体" w:cs="宋体"/>
          <w:color w:val="auto"/>
          <w:sz w:val="24"/>
          <w:szCs w:val="24"/>
          <w:highlight w:val="none"/>
        </w:rPr>
        <w:t>1、甲方有权按本项目征集文件、本框架协议等文件文本对乙方的履约行为进行监督和检查。</w:t>
      </w:r>
    </w:p>
    <w:p w14:paraId="3FFE6ECC">
      <w:pPr>
        <w:spacing w:before="39" w:line="310" w:lineRule="auto"/>
        <w:ind w:right="80" w:firstLine="484"/>
        <w:rPr>
          <w:rFonts w:ascii="宋体" w:hAnsi="宋体" w:eastAsia="宋体" w:cs="宋体"/>
          <w:color w:val="auto"/>
          <w:sz w:val="24"/>
          <w:szCs w:val="24"/>
          <w:highlight w:val="none"/>
        </w:rPr>
      </w:pPr>
      <w:r>
        <w:rPr>
          <w:rFonts w:ascii="宋体" w:hAnsi="宋体" w:eastAsia="宋体" w:cs="宋体"/>
          <w:color w:val="auto"/>
          <w:sz w:val="24"/>
          <w:szCs w:val="24"/>
          <w:highlight w:val="none"/>
        </w:rPr>
        <w:t>如发现乙方违反征集文件、本框架协议的有关规定或承诺，甲方有权依照相关规定、征集文件、 本框架协议，追究乙方的违约责任，并有权通过有关媒体予以公告或其他形式予以披露,直至停 止乙方的入围资格,情节严重的,列入政府采购不良供应商名单。</w:t>
      </w:r>
    </w:p>
    <w:p w14:paraId="46D81D6B">
      <w:pPr>
        <w:spacing w:before="39" w:line="310" w:lineRule="auto"/>
        <w:ind w:right="80" w:firstLine="484"/>
        <w:rPr>
          <w:rFonts w:ascii="宋体" w:hAnsi="宋体" w:eastAsia="宋体" w:cs="宋体"/>
          <w:color w:val="auto"/>
          <w:sz w:val="24"/>
          <w:szCs w:val="24"/>
          <w:highlight w:val="none"/>
        </w:rPr>
      </w:pPr>
      <w:r>
        <w:rPr>
          <w:rFonts w:ascii="宋体" w:hAnsi="宋体" w:eastAsia="宋体" w:cs="宋体"/>
          <w:color w:val="auto"/>
          <w:sz w:val="24"/>
          <w:szCs w:val="24"/>
          <w:highlight w:val="none"/>
        </w:rPr>
        <w:t>2、甲方有权根据国家有关政策，产品发布周期和市场调查</w:t>
      </w:r>
      <w:r>
        <w:rPr>
          <w:rFonts w:ascii="宋体" w:hAnsi="宋体" w:eastAsia="宋体" w:cs="宋体"/>
          <w:color w:val="auto"/>
          <w:spacing w:val="-1"/>
          <w:sz w:val="24"/>
          <w:szCs w:val="24"/>
          <w:highlight w:val="none"/>
        </w:rPr>
        <w:t>结果适时组织补充采购或重新采</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购。</w:t>
      </w:r>
    </w:p>
    <w:p w14:paraId="602F1B58">
      <w:pPr>
        <w:spacing w:before="233" w:line="220"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七、协议方的权利和义务</w:t>
      </w:r>
    </w:p>
    <w:p w14:paraId="4DDDCD60">
      <w:pPr>
        <w:spacing w:before="234" w:line="220" w:lineRule="auto"/>
        <w:ind w:left="49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（一）甲方的权利和义务</w:t>
      </w:r>
    </w:p>
    <w:p w14:paraId="6B49CB55">
      <w:pPr>
        <w:spacing w:before="232" w:line="309" w:lineRule="auto"/>
        <w:ind w:left="8" w:right="80" w:firstLine="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1、甲方就组织本项目的合法有效性负责, 包括甲方在必要情形下将采取符合法律规定及本</w:t>
      </w:r>
      <w:r>
        <w:rPr>
          <w:rFonts w:ascii="宋体" w:hAnsi="宋体" w:eastAsia="宋体" w:cs="宋体"/>
          <w:color w:val="auto"/>
          <w:spacing w:val="12"/>
          <w:sz w:val="24"/>
          <w:szCs w:val="24"/>
          <w:highlight w:val="none"/>
        </w:rPr>
        <w:t xml:space="preserve"> </w:t>
      </w:r>
      <w:r>
        <w:rPr>
          <w:rFonts w:ascii="宋体" w:hAnsi="宋体" w:eastAsia="宋体" w:cs="宋体"/>
          <w:color w:val="auto"/>
          <w:sz w:val="24"/>
          <w:szCs w:val="24"/>
          <w:highlight w:val="none"/>
        </w:rPr>
        <w:t>次征集文件规定的适当可行的必要措施,尽</w:t>
      </w:r>
      <w:r>
        <w:rPr>
          <w:rFonts w:ascii="宋体" w:hAnsi="宋体" w:eastAsia="宋体" w:cs="宋体"/>
          <w:color w:val="auto"/>
          <w:spacing w:val="-1"/>
          <w:sz w:val="24"/>
          <w:szCs w:val="24"/>
          <w:highlight w:val="none"/>
        </w:rPr>
        <w:t>力保证甲方组织本项目的合法有效性。</w:t>
      </w:r>
    </w:p>
    <w:p w14:paraId="414DB736">
      <w:pPr>
        <w:spacing w:before="238" w:line="309" w:lineRule="auto"/>
        <w:ind w:left="7" w:right="200" w:firstLine="477"/>
        <w:rPr>
          <w:rFonts w:ascii="宋体" w:hAnsi="宋体" w:eastAsia="宋体" w:cs="宋体"/>
          <w:color w:val="auto"/>
          <w:sz w:val="24"/>
          <w:szCs w:val="24"/>
          <w:highlight w:val="none"/>
        </w:rPr>
      </w:pPr>
      <w:r>
        <w:rPr>
          <w:rFonts w:ascii="宋体" w:hAnsi="宋体" w:eastAsia="宋体" w:cs="宋体"/>
          <w:color w:val="auto"/>
          <w:sz w:val="24"/>
          <w:szCs w:val="24"/>
          <w:highlight w:val="none"/>
        </w:rPr>
        <w:t>2、甲方将依照有关法规、规章的规定,要求采购人按照本</w:t>
      </w:r>
      <w:r>
        <w:rPr>
          <w:rFonts w:ascii="宋体" w:hAnsi="宋体" w:eastAsia="宋体" w:cs="宋体"/>
          <w:color w:val="auto"/>
          <w:spacing w:val="-1"/>
          <w:sz w:val="24"/>
          <w:szCs w:val="24"/>
          <w:highlight w:val="none"/>
        </w:rPr>
        <w:t>项目征集文件、本框架协议所确</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定的产品和服务范围向乙方采购有关服务。</w:t>
      </w:r>
    </w:p>
    <w:p w14:paraId="0EBC0F19">
      <w:pPr>
        <w:spacing w:before="237" w:line="310" w:lineRule="auto"/>
        <w:ind w:left="2" w:right="200" w:firstLine="483"/>
        <w:rPr>
          <w:rFonts w:ascii="宋体" w:hAnsi="宋体" w:eastAsia="宋体" w:cs="宋体"/>
          <w:color w:val="auto"/>
          <w:sz w:val="24"/>
          <w:szCs w:val="24"/>
          <w:highlight w:val="none"/>
        </w:rPr>
      </w:pPr>
      <w:r>
        <w:rPr>
          <w:rFonts w:ascii="宋体" w:hAnsi="宋体" w:eastAsia="宋体" w:cs="宋体"/>
          <w:color w:val="auto"/>
          <w:sz w:val="24"/>
          <w:szCs w:val="24"/>
          <w:highlight w:val="none"/>
        </w:rPr>
        <w:t>3、甲方就本项目的任何及/或全部事项相关的活动及/</w:t>
      </w:r>
      <w:r>
        <w:rPr>
          <w:rFonts w:ascii="宋体" w:hAnsi="宋体" w:eastAsia="宋体" w:cs="宋体"/>
          <w:color w:val="auto"/>
          <w:spacing w:val="-1"/>
          <w:sz w:val="24"/>
          <w:szCs w:val="24"/>
          <w:highlight w:val="none"/>
        </w:rPr>
        <w:t>或行为,均应当严格遵循政府采购依</w:t>
      </w:r>
      <w:r>
        <w:rPr>
          <w:rFonts w:ascii="宋体" w:hAnsi="宋体" w:eastAsia="宋体" w:cs="宋体"/>
          <w:color w:val="auto"/>
          <w:sz w:val="24"/>
          <w:szCs w:val="24"/>
          <w:highlight w:val="none"/>
        </w:rPr>
        <w:t xml:space="preserve"> 法所应当遵循的公开透明原则、公平竞争原则、</w:t>
      </w:r>
      <w:r>
        <w:rPr>
          <w:rFonts w:ascii="宋体" w:hAnsi="宋体" w:eastAsia="宋体" w:cs="宋体"/>
          <w:color w:val="auto"/>
          <w:spacing w:val="-1"/>
          <w:sz w:val="24"/>
          <w:szCs w:val="24"/>
          <w:highlight w:val="none"/>
        </w:rPr>
        <w:t>公正原则和诚实信用原则。</w:t>
      </w:r>
    </w:p>
    <w:p w14:paraId="7D8AADA9">
      <w:pPr>
        <w:spacing w:before="232" w:line="310" w:lineRule="auto"/>
        <w:ind w:right="200"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4、甲方(及其代表的采购人)有权根据实际使用需要及乙方在响应文</w:t>
      </w:r>
      <w:r>
        <w:rPr>
          <w:rFonts w:ascii="宋体" w:hAnsi="宋体" w:eastAsia="宋体" w:cs="宋体"/>
          <w:color w:val="auto"/>
          <w:spacing w:val="-1"/>
          <w:sz w:val="24"/>
          <w:szCs w:val="24"/>
          <w:highlight w:val="none"/>
        </w:rPr>
        <w:t>件中的承诺,确定最终</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采购的数量、配置和相关服务的内容。</w:t>
      </w:r>
    </w:p>
    <w:p w14:paraId="12A20FD4">
      <w:pPr>
        <w:spacing w:before="234" w:line="340" w:lineRule="auto"/>
        <w:ind w:left="2" w:right="80" w:firstLine="483"/>
        <w:rPr>
          <w:rFonts w:ascii="宋体" w:hAnsi="宋体" w:eastAsia="宋体" w:cs="宋体"/>
          <w:color w:val="auto"/>
          <w:sz w:val="24"/>
          <w:szCs w:val="24"/>
          <w:highlight w:val="none"/>
        </w:rPr>
      </w:pPr>
      <w:r>
        <w:rPr>
          <w:rFonts w:ascii="宋体" w:hAnsi="宋体" w:eastAsia="宋体" w:cs="宋体"/>
          <w:color w:val="auto"/>
          <w:sz w:val="24"/>
          <w:szCs w:val="24"/>
          <w:highlight w:val="none"/>
        </w:rPr>
        <w:t>5、甲方有权建立用户反馈和评价机制，接受采购人和</w:t>
      </w:r>
      <w:r>
        <w:rPr>
          <w:rFonts w:ascii="宋体" w:hAnsi="宋体" w:eastAsia="宋体" w:cs="宋体"/>
          <w:color w:val="auto"/>
          <w:spacing w:val="-1"/>
          <w:sz w:val="24"/>
          <w:szCs w:val="24"/>
          <w:highlight w:val="none"/>
        </w:rPr>
        <w:t>服务对象对入围供应商履行框架协议</w:t>
      </w:r>
      <w:r>
        <w:rPr>
          <w:rFonts w:ascii="宋体" w:hAnsi="宋体" w:eastAsia="宋体" w:cs="宋体"/>
          <w:color w:val="auto"/>
          <w:sz w:val="24"/>
          <w:szCs w:val="24"/>
          <w:highlight w:val="none"/>
        </w:rPr>
        <w:t xml:space="preserve"> 和采购合同情况的反馈与评价，并将用户反馈和评价情况向采购人</w:t>
      </w:r>
      <w:r>
        <w:rPr>
          <w:rFonts w:ascii="宋体" w:hAnsi="宋体" w:eastAsia="宋体" w:cs="宋体"/>
          <w:color w:val="auto"/>
          <w:spacing w:val="-1"/>
          <w:sz w:val="24"/>
          <w:szCs w:val="24"/>
          <w:highlight w:val="none"/>
        </w:rPr>
        <w:t>和服务对象公开，作为第二</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阶段直接选定成交供应商及代理商的参考。</w:t>
      </w:r>
    </w:p>
    <w:p w14:paraId="4C3AD6A9">
      <w:pPr>
        <w:spacing w:before="240" w:line="220" w:lineRule="auto"/>
        <w:ind w:left="4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（二）乙方的权利和义务</w:t>
      </w:r>
    </w:p>
    <w:p w14:paraId="09243D08">
      <w:pPr>
        <w:spacing w:before="232" w:line="217" w:lineRule="auto"/>
        <w:ind w:left="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1.乙方在甲方公布本项目的入围结果后,取得为采购人提供服务的有效资格。</w:t>
      </w:r>
    </w:p>
    <w:p w14:paraId="73587AD8">
      <w:pPr>
        <w:spacing w:before="239" w:line="394" w:lineRule="auto"/>
        <w:ind w:firstLine="483"/>
        <w:rPr>
          <w:rFonts w:ascii="宋体" w:hAnsi="宋体" w:eastAsia="宋体" w:cs="宋体"/>
          <w:color w:val="auto"/>
          <w:sz w:val="24"/>
          <w:szCs w:val="24"/>
          <w:highlight w:val="none"/>
        </w:rPr>
      </w:pPr>
      <w:r>
        <w:rPr>
          <w:rFonts w:ascii="宋体" w:hAnsi="宋体" w:eastAsia="宋体" w:cs="宋体"/>
          <w:color w:val="auto"/>
          <w:sz w:val="24"/>
          <w:szCs w:val="24"/>
          <w:highlight w:val="none"/>
        </w:rPr>
        <w:t>2.乙方作为本项目相关服务的提供商,应按照本项目征集文</w:t>
      </w:r>
      <w:r>
        <w:rPr>
          <w:rFonts w:ascii="宋体" w:hAnsi="宋体" w:eastAsia="宋体" w:cs="宋体"/>
          <w:color w:val="auto"/>
          <w:spacing w:val="-1"/>
          <w:sz w:val="24"/>
          <w:szCs w:val="24"/>
          <w:highlight w:val="none"/>
        </w:rPr>
        <w:t>件的要求,由其自身提供</w:t>
      </w:r>
      <w:r>
        <w:rPr>
          <w:rFonts w:hint="eastAsia" w:ascii="宋体" w:hAnsi="宋体" w:eastAsia="宋体" w:cs="宋体"/>
          <w:color w:val="auto"/>
          <w:spacing w:val="-1"/>
          <w:sz w:val="24"/>
          <w:szCs w:val="24"/>
          <w:highlight w:val="none"/>
          <w:u w:val="single"/>
        </w:rPr>
        <w:t>2025-2027年度金寨县行政事业单位公务用车维修保养服务框架协议项目</w:t>
      </w:r>
      <w:r>
        <w:rPr>
          <w:rFonts w:ascii="宋体" w:hAnsi="宋体" w:eastAsia="宋体" w:cs="宋体"/>
          <w:color w:val="auto"/>
          <w:sz w:val="24"/>
          <w:szCs w:val="24"/>
          <w:highlight w:val="none"/>
        </w:rPr>
        <w:t>。甲方及</w:t>
      </w:r>
      <w:r>
        <w:rPr>
          <w:rFonts w:ascii="宋体" w:hAnsi="宋体" w:eastAsia="宋体" w:cs="宋体"/>
          <w:color w:val="auto"/>
          <w:spacing w:val="-1"/>
          <w:sz w:val="24"/>
          <w:szCs w:val="24"/>
          <w:highlight w:val="none"/>
        </w:rPr>
        <w:t>采购人有权要求乙方作为服务提供商承担法律</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及征集文件规定、响应文件承诺和本框架协议约定的相关责任(包括但不限于服务质</w:t>
      </w:r>
      <w:r>
        <w:rPr>
          <w:rFonts w:ascii="宋体" w:hAnsi="宋体" w:eastAsia="宋体" w:cs="宋体"/>
          <w:color w:val="auto"/>
          <w:spacing w:val="-2"/>
          <w:sz w:val="24"/>
          <w:szCs w:val="24"/>
          <w:highlight w:val="none"/>
        </w:rPr>
        <w:t>量相关责任、</w:t>
      </w:r>
      <w:r>
        <w:rPr>
          <w:rFonts w:ascii="宋体" w:hAnsi="宋体" w:eastAsia="宋体" w:cs="宋体"/>
          <w:color w:val="auto"/>
          <w:sz w:val="24"/>
          <w:szCs w:val="24"/>
          <w:highlight w:val="none"/>
        </w:rPr>
        <w:t>响应文件中应答的服务责任、违约责任、赔偿责任等)。乙方提供的服务</w:t>
      </w:r>
      <w:r>
        <w:rPr>
          <w:rFonts w:ascii="宋体" w:hAnsi="宋体" w:eastAsia="宋体" w:cs="宋体"/>
          <w:color w:val="auto"/>
          <w:spacing w:val="-1"/>
          <w:sz w:val="24"/>
          <w:szCs w:val="24"/>
          <w:highlight w:val="none"/>
        </w:rPr>
        <w:t>应皆为符合国家标准和征集文件要求的服务,乙方承诺为各采购人提供符合或高于国家标准和征集文件全部</w:t>
      </w:r>
      <w:r>
        <w:rPr>
          <w:rFonts w:ascii="宋体" w:hAnsi="宋体" w:eastAsia="宋体" w:cs="宋体"/>
          <w:color w:val="auto"/>
          <w:spacing w:val="-2"/>
          <w:sz w:val="24"/>
          <w:szCs w:val="24"/>
          <w:highlight w:val="none"/>
        </w:rPr>
        <w:t>要求的服务。</w:t>
      </w:r>
    </w:p>
    <w:p w14:paraId="0C3776C6">
      <w:pPr>
        <w:spacing w:before="36" w:line="387" w:lineRule="auto"/>
        <w:ind w:left="12" w:right="201" w:firstLine="473"/>
        <w:rPr>
          <w:rFonts w:ascii="宋体" w:hAnsi="宋体" w:eastAsia="宋体" w:cs="宋体"/>
          <w:color w:val="auto"/>
          <w:sz w:val="24"/>
          <w:szCs w:val="24"/>
          <w:highlight w:val="none"/>
        </w:rPr>
      </w:pPr>
      <w:r>
        <w:rPr>
          <w:rFonts w:ascii="宋体" w:hAnsi="宋体" w:eastAsia="宋体" w:cs="宋体"/>
          <w:color w:val="auto"/>
          <w:sz w:val="24"/>
          <w:szCs w:val="24"/>
          <w:highlight w:val="none"/>
        </w:rPr>
        <w:t>3.若乙方在响应时承诺的售后服务标准高于乙方的标准</w:t>
      </w:r>
      <w:r>
        <w:rPr>
          <w:rFonts w:ascii="宋体" w:hAnsi="宋体" w:eastAsia="宋体" w:cs="宋体"/>
          <w:color w:val="auto"/>
          <w:spacing w:val="-1"/>
          <w:sz w:val="24"/>
          <w:szCs w:val="24"/>
          <w:highlight w:val="none"/>
        </w:rPr>
        <w:t>售后服务标准,乙方承诺应按照响应</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时承诺的售后服务标准提供服务而不另行收费。</w:t>
      </w:r>
    </w:p>
    <w:p w14:paraId="2837DF86">
      <w:pPr>
        <w:spacing w:before="35" w:line="390" w:lineRule="auto"/>
        <w:ind w:left="1" w:right="201" w:firstLine="478"/>
        <w:rPr>
          <w:rFonts w:ascii="宋体" w:hAnsi="宋体" w:eastAsia="宋体" w:cs="宋体"/>
          <w:color w:val="auto"/>
          <w:sz w:val="24"/>
          <w:szCs w:val="24"/>
          <w:highlight w:val="none"/>
        </w:rPr>
      </w:pPr>
      <w:r>
        <w:rPr>
          <w:rFonts w:ascii="宋体" w:hAnsi="宋体" w:eastAsia="宋体" w:cs="宋体"/>
          <w:color w:val="auto"/>
          <w:sz w:val="24"/>
          <w:szCs w:val="24"/>
          <w:highlight w:val="none"/>
        </w:rPr>
        <w:t>4.乙方保证依据征集文件要求和乙方响应文件的承诺,及时向各采购</w:t>
      </w:r>
      <w:r>
        <w:rPr>
          <w:rFonts w:ascii="宋体" w:hAnsi="宋体" w:eastAsia="宋体" w:cs="宋体"/>
          <w:color w:val="auto"/>
          <w:spacing w:val="-1"/>
          <w:sz w:val="24"/>
          <w:szCs w:val="24"/>
          <w:highlight w:val="none"/>
        </w:rPr>
        <w:t>人提供高质量的服务，</w:t>
      </w:r>
      <w:r>
        <w:rPr>
          <w:rFonts w:ascii="宋体" w:hAnsi="宋体" w:eastAsia="宋体" w:cs="宋体"/>
          <w:color w:val="auto"/>
          <w:sz w:val="24"/>
          <w:szCs w:val="24"/>
          <w:highlight w:val="none"/>
        </w:rPr>
        <w:t xml:space="preserve"> 成交价格不高于响应报价,若实际存在任何该等附加或额外条款,无论</w:t>
      </w:r>
      <w:r>
        <w:rPr>
          <w:rFonts w:ascii="宋体" w:hAnsi="宋体" w:eastAsia="宋体" w:cs="宋体"/>
          <w:color w:val="auto"/>
          <w:spacing w:val="-1"/>
          <w:sz w:val="24"/>
          <w:szCs w:val="24"/>
          <w:highlight w:val="none"/>
        </w:rPr>
        <w:t>签署的情形如何,除非经甲</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方书面认可,均应当被视为是无效。</w:t>
      </w:r>
    </w:p>
    <w:p w14:paraId="5CAAD9C5">
      <w:pPr>
        <w:spacing w:before="40" w:line="385" w:lineRule="auto"/>
        <w:ind w:right="201" w:firstLine="484"/>
        <w:rPr>
          <w:rFonts w:ascii="宋体" w:hAnsi="宋体" w:eastAsia="宋体" w:cs="宋体"/>
          <w:color w:val="auto"/>
          <w:sz w:val="24"/>
          <w:szCs w:val="24"/>
          <w:highlight w:val="none"/>
        </w:rPr>
      </w:pPr>
      <w:r>
        <w:rPr>
          <w:rFonts w:ascii="宋体" w:hAnsi="宋体" w:eastAsia="宋体" w:cs="宋体"/>
          <w:color w:val="auto"/>
          <w:sz w:val="24"/>
          <w:szCs w:val="24"/>
          <w:highlight w:val="none"/>
        </w:rPr>
        <w:t>5.当采购人投诉乙方提供的服务存在质量问题时,乙方</w:t>
      </w:r>
      <w:r>
        <w:rPr>
          <w:rFonts w:ascii="宋体" w:hAnsi="宋体" w:eastAsia="宋体" w:cs="宋体"/>
          <w:color w:val="auto"/>
          <w:spacing w:val="-1"/>
          <w:sz w:val="24"/>
          <w:szCs w:val="24"/>
          <w:highlight w:val="none"/>
        </w:rPr>
        <w:t>承诺按照本框架协议、征集文件、响</w:t>
      </w:r>
      <w:r>
        <w:rPr>
          <w:rFonts w:ascii="宋体" w:hAnsi="宋体" w:eastAsia="宋体" w:cs="宋体"/>
          <w:color w:val="auto"/>
          <w:sz w:val="24"/>
          <w:szCs w:val="24"/>
          <w:highlight w:val="none"/>
        </w:rPr>
        <w:t xml:space="preserve"> 应文件和国家有关强制性规范中的相关规定</w:t>
      </w:r>
      <w:r>
        <w:rPr>
          <w:rFonts w:ascii="宋体" w:hAnsi="宋体" w:eastAsia="宋体" w:cs="宋体"/>
          <w:color w:val="auto"/>
          <w:spacing w:val="-1"/>
          <w:sz w:val="24"/>
          <w:szCs w:val="24"/>
          <w:highlight w:val="none"/>
        </w:rPr>
        <w:t>、约定、承诺进行处理。</w:t>
      </w:r>
    </w:p>
    <w:p w14:paraId="6B6C5210">
      <w:pPr>
        <w:spacing w:before="37" w:line="390" w:lineRule="auto"/>
        <w:ind w:left="2" w:right="321"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6.乙方承诺在响应文件中的服务报价为响应人为采购人提供</w:t>
      </w:r>
      <w:r>
        <w:rPr>
          <w:rFonts w:ascii="宋体" w:hAnsi="宋体" w:eastAsia="宋体" w:cs="宋体"/>
          <w:color w:val="auto"/>
          <w:spacing w:val="-1"/>
          <w:sz w:val="24"/>
          <w:szCs w:val="24"/>
          <w:highlight w:val="none"/>
        </w:rPr>
        <w:t>相应服务的最终报价（根据项</w:t>
      </w:r>
      <w:r>
        <w:rPr>
          <w:rFonts w:ascii="宋体" w:hAnsi="宋体" w:eastAsia="宋体" w:cs="宋体"/>
          <w:color w:val="auto"/>
          <w:sz w:val="24"/>
          <w:szCs w:val="24"/>
          <w:highlight w:val="none"/>
        </w:rPr>
        <w:t xml:space="preserve"> 目情况编辑）,包含任何响应人可能涉及的费用。采购人采购相应</w:t>
      </w:r>
      <w:r>
        <w:rPr>
          <w:rFonts w:ascii="宋体" w:hAnsi="宋体" w:eastAsia="宋体" w:cs="宋体"/>
          <w:color w:val="auto"/>
          <w:spacing w:val="-1"/>
          <w:sz w:val="24"/>
          <w:szCs w:val="24"/>
          <w:highlight w:val="none"/>
        </w:rPr>
        <w:t>服务时,只需支付乙方在响应</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文件中明确报出的服务价格,而不用支付任何额外的其他费用。</w:t>
      </w:r>
    </w:p>
    <w:p w14:paraId="52D0DC2B">
      <w:pPr>
        <w:spacing w:before="37" w:line="395" w:lineRule="auto"/>
        <w:ind w:right="201" w:firstLine="486"/>
        <w:rPr>
          <w:rFonts w:ascii="宋体" w:hAnsi="宋体" w:eastAsia="宋体" w:cs="宋体"/>
          <w:color w:val="auto"/>
          <w:sz w:val="24"/>
          <w:szCs w:val="24"/>
          <w:highlight w:val="none"/>
        </w:rPr>
      </w:pPr>
      <w:r>
        <w:rPr>
          <w:rFonts w:ascii="宋体" w:hAnsi="宋体" w:eastAsia="宋体" w:cs="宋体"/>
          <w:color w:val="auto"/>
          <w:sz w:val="24"/>
          <w:szCs w:val="24"/>
          <w:highlight w:val="none"/>
        </w:rPr>
        <w:t>7.乙方接受并配合征集人和采购人开展的价格行情调</w:t>
      </w:r>
      <w:r>
        <w:rPr>
          <w:rFonts w:ascii="宋体" w:hAnsi="宋体" w:eastAsia="宋体" w:cs="宋体"/>
          <w:color w:val="auto"/>
          <w:spacing w:val="-1"/>
          <w:sz w:val="24"/>
          <w:szCs w:val="24"/>
          <w:highlight w:val="none"/>
        </w:rPr>
        <w:t>查工作,接受对乙方提供服务的价格进</w:t>
      </w:r>
      <w:r>
        <w:rPr>
          <w:rFonts w:ascii="宋体" w:hAnsi="宋体" w:eastAsia="宋体" w:cs="宋体"/>
          <w:color w:val="auto"/>
          <w:sz w:val="24"/>
          <w:szCs w:val="24"/>
          <w:highlight w:val="none"/>
        </w:rPr>
        <w:t xml:space="preserve"> 行监测及综合分析。如采购人或其他相关方向征集人书面反映乙方的某</w:t>
      </w:r>
      <w:r>
        <w:rPr>
          <w:rFonts w:ascii="宋体" w:hAnsi="宋体" w:eastAsia="宋体" w:cs="宋体"/>
          <w:color w:val="auto"/>
          <w:spacing w:val="-1"/>
          <w:sz w:val="24"/>
          <w:szCs w:val="24"/>
          <w:highlight w:val="none"/>
        </w:rPr>
        <w:t>项服务价格高于乙方针</w:t>
      </w:r>
      <w:r>
        <w:rPr>
          <w:rFonts w:ascii="宋体" w:hAnsi="宋体" w:eastAsia="宋体" w:cs="宋体"/>
          <w:color w:val="auto"/>
          <w:sz w:val="24"/>
          <w:szCs w:val="24"/>
          <w:highlight w:val="none"/>
        </w:rPr>
        <w:t xml:space="preserve">  对其他采购对象提供的平均市场价格,经核实属实的，应立即予以纠正，</w:t>
      </w:r>
      <w:r>
        <w:rPr>
          <w:rFonts w:ascii="宋体" w:hAnsi="宋体" w:eastAsia="宋体" w:cs="宋体"/>
          <w:color w:val="auto"/>
          <w:spacing w:val="-1"/>
          <w:sz w:val="24"/>
          <w:szCs w:val="24"/>
          <w:highlight w:val="none"/>
        </w:rPr>
        <w:t>若在征集人规定期限内</w:t>
      </w:r>
      <w:r>
        <w:rPr>
          <w:rFonts w:ascii="宋体" w:hAnsi="宋体" w:eastAsia="宋体" w:cs="宋体"/>
          <w:color w:val="auto"/>
          <w:sz w:val="24"/>
          <w:szCs w:val="24"/>
          <w:highlight w:val="none"/>
        </w:rPr>
        <w:t xml:space="preserve"> 不能按照规定标准做到价格下调。乙方将接受征集人强制降价或暂停提</w:t>
      </w:r>
      <w:r>
        <w:rPr>
          <w:rFonts w:ascii="宋体" w:hAnsi="宋体" w:eastAsia="宋体" w:cs="宋体"/>
          <w:color w:val="auto"/>
          <w:spacing w:val="-1"/>
          <w:sz w:val="24"/>
          <w:szCs w:val="24"/>
          <w:highlight w:val="none"/>
        </w:rPr>
        <w:t>供该项服务的资格，直</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至终止全部服务的提供资格。</w:t>
      </w:r>
    </w:p>
    <w:p w14:paraId="3DB0755C">
      <w:pPr>
        <w:spacing w:before="33" w:line="387" w:lineRule="auto"/>
        <w:ind w:right="321" w:firstLine="481"/>
        <w:rPr>
          <w:rFonts w:ascii="宋体" w:hAnsi="宋体" w:eastAsia="宋体" w:cs="宋体"/>
          <w:color w:val="auto"/>
          <w:sz w:val="24"/>
          <w:szCs w:val="24"/>
          <w:highlight w:val="none"/>
        </w:rPr>
      </w:pPr>
      <w:r>
        <w:rPr>
          <w:rFonts w:ascii="宋体" w:hAnsi="宋体" w:eastAsia="宋体" w:cs="宋体"/>
          <w:color w:val="auto"/>
          <w:sz w:val="24"/>
          <w:szCs w:val="24"/>
          <w:highlight w:val="none"/>
        </w:rPr>
        <w:t>8.乙方保证:不同采购人采购同类服务获得的优惠价格和服务,</w:t>
      </w:r>
      <w:r>
        <w:rPr>
          <w:rFonts w:ascii="宋体" w:hAnsi="宋体" w:eastAsia="宋体" w:cs="宋体"/>
          <w:color w:val="auto"/>
          <w:spacing w:val="-1"/>
          <w:sz w:val="24"/>
          <w:szCs w:val="24"/>
          <w:highlight w:val="none"/>
        </w:rPr>
        <w:t>可以作为参照案例执行；本</w:t>
      </w:r>
      <w:r>
        <w:rPr>
          <w:rFonts w:ascii="宋体" w:hAnsi="宋体" w:eastAsia="宋体" w:cs="宋体"/>
          <w:color w:val="auto"/>
          <w:sz w:val="24"/>
          <w:szCs w:val="24"/>
          <w:highlight w:val="none"/>
        </w:rPr>
        <w:t>框架协议的采购服务价格低于同行业、同类型、同等规模公开采购</w:t>
      </w:r>
      <w:r>
        <w:rPr>
          <w:rFonts w:ascii="宋体" w:hAnsi="宋体" w:eastAsia="宋体" w:cs="宋体"/>
          <w:color w:val="auto"/>
          <w:spacing w:val="-1"/>
          <w:sz w:val="24"/>
          <w:szCs w:val="24"/>
          <w:highlight w:val="none"/>
        </w:rPr>
        <w:t>项目的实际成交价格。</w:t>
      </w:r>
    </w:p>
    <w:p w14:paraId="3374345A">
      <w:pPr>
        <w:spacing w:before="36" w:line="390" w:lineRule="auto"/>
        <w:ind w:left="3" w:right="201" w:firstLine="478"/>
        <w:rPr>
          <w:rFonts w:ascii="宋体" w:hAnsi="宋体" w:eastAsia="宋体" w:cs="宋体"/>
          <w:color w:val="auto"/>
          <w:sz w:val="24"/>
          <w:szCs w:val="24"/>
          <w:highlight w:val="none"/>
        </w:rPr>
      </w:pPr>
      <w:r>
        <w:rPr>
          <w:rFonts w:ascii="宋体" w:hAnsi="宋体" w:eastAsia="宋体" w:cs="宋体"/>
          <w:color w:val="auto"/>
          <w:sz w:val="24"/>
          <w:szCs w:val="24"/>
          <w:highlight w:val="none"/>
        </w:rPr>
        <w:t>9.乙方承诺服从征集人对乙方进行履约管理。承诺并知晓:若乙</w:t>
      </w:r>
      <w:r>
        <w:rPr>
          <w:rFonts w:ascii="宋体" w:hAnsi="宋体" w:eastAsia="宋体" w:cs="宋体"/>
          <w:color w:val="auto"/>
          <w:spacing w:val="-1"/>
          <w:sz w:val="24"/>
          <w:szCs w:val="24"/>
          <w:highlight w:val="none"/>
        </w:rPr>
        <w:t>方不按征集文件约定进行履</w:t>
      </w:r>
      <w:r>
        <w:rPr>
          <w:rFonts w:ascii="宋体" w:hAnsi="宋体" w:eastAsia="宋体" w:cs="宋体"/>
          <w:color w:val="auto"/>
          <w:sz w:val="24"/>
          <w:szCs w:val="24"/>
          <w:highlight w:val="none"/>
        </w:rPr>
        <w:t xml:space="preserve"> 约，或出现质量和服务等问题时,征集人将通过约谈和公示机制</w:t>
      </w:r>
      <w:r>
        <w:rPr>
          <w:rFonts w:ascii="宋体" w:hAnsi="宋体" w:eastAsia="宋体" w:cs="宋体"/>
          <w:color w:val="auto"/>
          <w:spacing w:val="-1"/>
          <w:sz w:val="24"/>
          <w:szCs w:val="24"/>
          <w:highlight w:val="none"/>
        </w:rPr>
        <w:t>,对严重违反征集文件规定的情</w:t>
      </w:r>
      <w:r>
        <w:rPr>
          <w:rFonts w:ascii="宋体" w:hAnsi="宋体" w:eastAsia="宋体" w:cs="宋体"/>
          <w:color w:val="auto"/>
          <w:sz w:val="24"/>
          <w:szCs w:val="24"/>
          <w:highlight w:val="none"/>
        </w:rPr>
        <w:t xml:space="preserve">  形,暂停入围资格、在相关媒体曝光,直至提请财政部门列入政</w:t>
      </w:r>
      <w:r>
        <w:rPr>
          <w:rFonts w:ascii="宋体" w:hAnsi="宋体" w:eastAsia="宋体" w:cs="宋体"/>
          <w:color w:val="auto"/>
          <w:spacing w:val="-1"/>
          <w:sz w:val="24"/>
          <w:szCs w:val="24"/>
          <w:highlight w:val="none"/>
        </w:rPr>
        <w:t>府采购严重违法失信行为记录名</w:t>
      </w:r>
      <w:r>
        <w:rPr>
          <w:rFonts w:ascii="宋体" w:hAnsi="宋体" w:eastAsia="宋体" w:cs="宋体"/>
          <w:color w:val="auto"/>
          <w:spacing w:val="-6"/>
          <w:sz w:val="24"/>
          <w:szCs w:val="24"/>
          <w:highlight w:val="none"/>
        </w:rPr>
        <w:t>单。</w:t>
      </w:r>
    </w:p>
    <w:p w14:paraId="3F4E34E4">
      <w:pPr>
        <w:keepNext w:val="0"/>
        <w:keepLines w:val="0"/>
        <w:pageBreakBefore w:val="0"/>
        <w:widowControl/>
        <w:kinsoku w:val="0"/>
        <w:wordWrap/>
        <w:overflowPunct/>
        <w:topLinePunct w:val="0"/>
        <w:autoSpaceDE w:val="0"/>
        <w:autoSpaceDN w:val="0"/>
        <w:bidi w:val="0"/>
        <w:adjustRightInd w:val="0"/>
        <w:snapToGrid w:val="0"/>
        <w:spacing w:before="230" w:line="500" w:lineRule="exact"/>
        <w:ind w:left="3" w:firstLine="495"/>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10.在本次框架协议采购的执行有效期内。乙方在特定时间举办的促销活动和推出的优惠政</w:t>
      </w:r>
      <w:r>
        <w:rPr>
          <w:rFonts w:ascii="宋体" w:hAnsi="宋体" w:eastAsia="宋体" w:cs="宋体"/>
          <w:color w:val="auto"/>
          <w:spacing w:val="12"/>
          <w:sz w:val="24"/>
          <w:szCs w:val="24"/>
          <w:highlight w:val="none"/>
        </w:rPr>
        <w:t xml:space="preserve"> </w:t>
      </w:r>
      <w:r>
        <w:rPr>
          <w:rFonts w:ascii="宋体" w:hAnsi="宋体" w:eastAsia="宋体" w:cs="宋体"/>
          <w:color w:val="auto"/>
          <w:sz w:val="24"/>
          <w:szCs w:val="24"/>
          <w:highlight w:val="none"/>
        </w:rPr>
        <w:t>策，如涉及响应的服务产品的,采购人有权参</w:t>
      </w:r>
      <w:r>
        <w:rPr>
          <w:rFonts w:ascii="宋体" w:hAnsi="宋体" w:eastAsia="宋体" w:cs="宋体"/>
          <w:color w:val="auto"/>
          <w:spacing w:val="-1"/>
          <w:sz w:val="24"/>
          <w:szCs w:val="24"/>
          <w:highlight w:val="none"/>
        </w:rPr>
        <w:t>加促销活动并享受优惠政策。</w:t>
      </w:r>
    </w:p>
    <w:p w14:paraId="4CAA67B2">
      <w:pPr>
        <w:keepNext w:val="0"/>
        <w:keepLines w:val="0"/>
        <w:pageBreakBefore w:val="0"/>
        <w:widowControl/>
        <w:kinsoku w:val="0"/>
        <w:wordWrap/>
        <w:overflowPunct/>
        <w:topLinePunct w:val="0"/>
        <w:autoSpaceDE w:val="0"/>
        <w:autoSpaceDN w:val="0"/>
        <w:bidi w:val="0"/>
        <w:adjustRightInd w:val="0"/>
        <w:snapToGrid w:val="0"/>
        <w:spacing w:before="36" w:line="500" w:lineRule="exact"/>
        <w:ind w:firstLine="499"/>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11.乙方保证在提供服务时遵从甲方关于本项目的采购程序, 按征集文件规定的方式与各采</w:t>
      </w:r>
      <w:r>
        <w:rPr>
          <w:rFonts w:ascii="宋体" w:hAnsi="宋体" w:eastAsia="宋体" w:cs="宋体"/>
          <w:color w:val="auto"/>
          <w:spacing w:val="13"/>
          <w:sz w:val="24"/>
          <w:szCs w:val="24"/>
          <w:highlight w:val="none"/>
        </w:rPr>
        <w:t xml:space="preserve"> </w:t>
      </w:r>
      <w:r>
        <w:rPr>
          <w:rFonts w:ascii="宋体" w:hAnsi="宋体" w:eastAsia="宋体" w:cs="宋体"/>
          <w:color w:val="auto"/>
          <w:sz w:val="24"/>
          <w:szCs w:val="24"/>
          <w:highlight w:val="none"/>
        </w:rPr>
        <w:t>购人签订合同/协议,妥善保管合同/协议, 保证不会将合同及/或其中的权利</w:t>
      </w:r>
      <w:r>
        <w:rPr>
          <w:rFonts w:ascii="宋体" w:hAnsi="宋体" w:eastAsia="宋体" w:cs="宋体"/>
          <w:color w:val="auto"/>
          <w:spacing w:val="-1"/>
          <w:sz w:val="24"/>
          <w:szCs w:val="24"/>
          <w:highlight w:val="none"/>
        </w:rPr>
        <w:t>、义务转让,保证不</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会转包、分包。</w:t>
      </w:r>
    </w:p>
    <w:p w14:paraId="10116E03">
      <w:pPr>
        <w:keepNext w:val="0"/>
        <w:keepLines w:val="0"/>
        <w:pageBreakBefore w:val="0"/>
        <w:widowControl/>
        <w:kinsoku w:val="0"/>
        <w:wordWrap/>
        <w:overflowPunct/>
        <w:topLinePunct w:val="0"/>
        <w:autoSpaceDE w:val="0"/>
        <w:autoSpaceDN w:val="0"/>
        <w:bidi w:val="0"/>
        <w:adjustRightInd w:val="0"/>
        <w:snapToGrid w:val="0"/>
        <w:spacing w:before="34" w:line="500" w:lineRule="exact"/>
        <w:ind w:firstLine="499"/>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12.乙方同意:除非乙方另外递交书面特别声明文件并经甲方书面确认外,甲方为实施政府采</w:t>
      </w:r>
      <w:r>
        <w:rPr>
          <w:rFonts w:ascii="宋体" w:hAnsi="宋体" w:eastAsia="宋体" w:cs="宋体"/>
          <w:color w:val="auto"/>
          <w:spacing w:val="13"/>
          <w:sz w:val="24"/>
          <w:szCs w:val="24"/>
          <w:highlight w:val="none"/>
        </w:rPr>
        <w:t xml:space="preserve"> </w:t>
      </w:r>
      <w:r>
        <w:rPr>
          <w:rFonts w:ascii="宋体" w:hAnsi="宋体" w:eastAsia="宋体" w:cs="宋体"/>
          <w:color w:val="auto"/>
          <w:sz w:val="24"/>
          <w:szCs w:val="24"/>
          <w:highlight w:val="none"/>
        </w:rPr>
        <w:t>购工作的需要可以在相关政府采购业务网站和相关文件上公布乙方入围的</w:t>
      </w:r>
      <w:r>
        <w:rPr>
          <w:rFonts w:ascii="宋体" w:hAnsi="宋体" w:eastAsia="宋体" w:cs="宋体"/>
          <w:color w:val="auto"/>
          <w:spacing w:val="-1"/>
          <w:sz w:val="24"/>
          <w:szCs w:val="24"/>
          <w:highlight w:val="none"/>
        </w:rPr>
        <w:t>服务类型、价格、优</w:t>
      </w:r>
      <w:r>
        <w:rPr>
          <w:rFonts w:ascii="宋体" w:hAnsi="宋体" w:eastAsia="宋体" w:cs="宋体"/>
          <w:color w:val="auto"/>
          <w:sz w:val="24"/>
          <w:szCs w:val="24"/>
          <w:highlight w:val="none"/>
        </w:rPr>
        <w:t xml:space="preserve">  惠情况以及其他相关信息；所公布的信息无需事先经过乙方审查同意,任何</w:t>
      </w:r>
      <w:r>
        <w:rPr>
          <w:rFonts w:ascii="宋体" w:hAnsi="宋体" w:eastAsia="宋体" w:cs="宋体"/>
          <w:color w:val="auto"/>
          <w:spacing w:val="-1"/>
          <w:sz w:val="24"/>
          <w:szCs w:val="24"/>
          <w:highlight w:val="none"/>
        </w:rPr>
        <w:t>在政府采购有关的官</w:t>
      </w:r>
      <w:r>
        <w:rPr>
          <w:rFonts w:ascii="宋体" w:hAnsi="宋体" w:eastAsia="宋体" w:cs="宋体"/>
          <w:color w:val="auto"/>
          <w:sz w:val="24"/>
          <w:szCs w:val="24"/>
          <w:highlight w:val="none"/>
        </w:rPr>
        <w:t xml:space="preserve"> 方媒体上的信息公布均属于或均被视为符合法律程序的信息公布,均不属于</w:t>
      </w:r>
      <w:r>
        <w:rPr>
          <w:rFonts w:ascii="宋体" w:hAnsi="宋体" w:eastAsia="宋体" w:cs="宋体"/>
          <w:color w:val="auto"/>
          <w:spacing w:val="-1"/>
          <w:sz w:val="24"/>
          <w:szCs w:val="24"/>
          <w:highlight w:val="none"/>
        </w:rPr>
        <w:t>对有关保密义务的违</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反。</w:t>
      </w:r>
    </w:p>
    <w:p w14:paraId="1A6A3D01">
      <w:pPr>
        <w:keepNext w:val="0"/>
        <w:keepLines w:val="0"/>
        <w:pageBreakBefore w:val="0"/>
        <w:widowControl/>
        <w:kinsoku w:val="0"/>
        <w:wordWrap/>
        <w:overflowPunct/>
        <w:topLinePunct w:val="0"/>
        <w:autoSpaceDE w:val="0"/>
        <w:autoSpaceDN w:val="0"/>
        <w:bidi w:val="0"/>
        <w:adjustRightInd w:val="0"/>
        <w:snapToGrid w:val="0"/>
        <w:spacing w:before="34" w:line="500" w:lineRule="exact"/>
        <w:ind w:left="3" w:right="120" w:firstLine="495"/>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13.乙方应当保存与入围服务有关的统一正式对外报价(包括公司内部文件、官网信息发布</w:t>
      </w:r>
      <w:r>
        <w:rPr>
          <w:rFonts w:ascii="宋体" w:hAnsi="宋体" w:eastAsia="宋体" w:cs="宋体"/>
          <w:color w:val="auto"/>
          <w:spacing w:val="12"/>
          <w:sz w:val="24"/>
          <w:szCs w:val="24"/>
          <w:highlight w:val="none"/>
        </w:rPr>
        <w:t xml:space="preserve"> </w:t>
      </w:r>
      <w:r>
        <w:rPr>
          <w:rFonts w:ascii="宋体" w:hAnsi="宋体" w:eastAsia="宋体" w:cs="宋体"/>
          <w:color w:val="auto"/>
          <w:spacing w:val="-1"/>
          <w:sz w:val="24"/>
          <w:szCs w:val="24"/>
          <w:highlight w:val="none"/>
        </w:rPr>
        <w:t>等各类形式)等信息，并随时可以提供给甲方审查。</w:t>
      </w:r>
    </w:p>
    <w:p w14:paraId="5CCD354D">
      <w:pPr>
        <w:keepNext w:val="0"/>
        <w:keepLines w:val="0"/>
        <w:pageBreakBefore w:val="0"/>
        <w:widowControl/>
        <w:kinsoku w:val="0"/>
        <w:wordWrap/>
        <w:overflowPunct/>
        <w:topLinePunct w:val="0"/>
        <w:autoSpaceDE w:val="0"/>
        <w:autoSpaceDN w:val="0"/>
        <w:bidi w:val="0"/>
        <w:adjustRightInd w:val="0"/>
        <w:snapToGrid w:val="0"/>
        <w:spacing w:before="34" w:line="500" w:lineRule="exact"/>
        <w:ind w:left="4" w:firstLine="494"/>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14.乙方入围的某类型服务如出现无法继续提供的情况时,需向甲方提交书面材料,申请暂停</w:t>
      </w:r>
      <w:r>
        <w:rPr>
          <w:rFonts w:ascii="宋体" w:hAnsi="宋体" w:eastAsia="宋体" w:cs="宋体"/>
          <w:color w:val="auto"/>
          <w:spacing w:val="13"/>
          <w:sz w:val="24"/>
          <w:szCs w:val="24"/>
          <w:highlight w:val="none"/>
        </w:rPr>
        <w:t xml:space="preserve"> </w:t>
      </w:r>
      <w:r>
        <w:rPr>
          <w:rFonts w:ascii="宋体" w:hAnsi="宋体" w:eastAsia="宋体" w:cs="宋体"/>
          <w:color w:val="auto"/>
          <w:spacing w:val="-1"/>
          <w:sz w:val="24"/>
          <w:szCs w:val="24"/>
          <w:highlight w:val="none"/>
        </w:rPr>
        <w:t>或替换该类型的产品（服务）。</w:t>
      </w:r>
    </w:p>
    <w:p w14:paraId="6B0EF5CE">
      <w:pPr>
        <w:keepNext w:val="0"/>
        <w:keepLines w:val="0"/>
        <w:pageBreakBefore w:val="0"/>
        <w:widowControl/>
        <w:kinsoku w:val="0"/>
        <w:wordWrap/>
        <w:overflowPunct/>
        <w:topLinePunct w:val="0"/>
        <w:autoSpaceDE w:val="0"/>
        <w:autoSpaceDN w:val="0"/>
        <w:bidi w:val="0"/>
        <w:adjustRightInd w:val="0"/>
        <w:snapToGrid w:val="0"/>
        <w:spacing w:before="37" w:line="500" w:lineRule="exact"/>
        <w:ind w:firstLine="499"/>
        <w:jc w:val="both"/>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15.乙方承诺:甲方已充分提示及要求乙方,乙方亦已经保证:乙方在本项目下的任何行为均</w:t>
      </w:r>
      <w:r>
        <w:rPr>
          <w:rFonts w:ascii="宋体" w:hAnsi="宋体" w:eastAsia="宋体" w:cs="宋体"/>
          <w:color w:val="auto"/>
          <w:spacing w:val="6"/>
          <w:sz w:val="24"/>
          <w:szCs w:val="24"/>
          <w:highlight w:val="none"/>
        </w:rPr>
        <w:t xml:space="preserve">  </w:t>
      </w:r>
      <w:r>
        <w:rPr>
          <w:rFonts w:ascii="宋体" w:hAnsi="宋体" w:eastAsia="宋体" w:cs="宋体"/>
          <w:color w:val="auto"/>
          <w:sz w:val="24"/>
          <w:szCs w:val="24"/>
          <w:highlight w:val="none"/>
        </w:rPr>
        <w:t>将严格遵守法律、法规的规定,包括但不限于应当符合有关依法纳税、环境</w:t>
      </w:r>
      <w:r>
        <w:rPr>
          <w:rFonts w:ascii="宋体" w:hAnsi="宋体" w:eastAsia="宋体" w:cs="宋体"/>
          <w:color w:val="auto"/>
          <w:spacing w:val="-1"/>
          <w:sz w:val="24"/>
          <w:szCs w:val="24"/>
          <w:highlight w:val="none"/>
        </w:rPr>
        <w:t>保护、知识产权、童</w:t>
      </w:r>
      <w:r>
        <w:rPr>
          <w:rFonts w:ascii="宋体" w:hAnsi="宋体" w:eastAsia="宋体" w:cs="宋体"/>
          <w:color w:val="auto"/>
          <w:sz w:val="24"/>
          <w:szCs w:val="24"/>
          <w:highlight w:val="none"/>
        </w:rPr>
        <w:t xml:space="preserve"> 工禁用、劳动保护、劳动保险与待遇等各方面的规定。尽管乙方已做出上</w:t>
      </w:r>
      <w:r>
        <w:rPr>
          <w:rFonts w:ascii="宋体" w:hAnsi="宋体" w:eastAsia="宋体" w:cs="宋体"/>
          <w:color w:val="auto"/>
          <w:spacing w:val="-1"/>
          <w:sz w:val="24"/>
          <w:szCs w:val="24"/>
          <w:highlight w:val="none"/>
        </w:rPr>
        <w:t>述保证，若一旦发生</w:t>
      </w:r>
      <w:r>
        <w:rPr>
          <w:rFonts w:ascii="宋体" w:hAnsi="宋体" w:eastAsia="宋体" w:cs="宋体"/>
          <w:color w:val="auto"/>
          <w:sz w:val="24"/>
          <w:szCs w:val="24"/>
          <w:highlight w:val="none"/>
        </w:rPr>
        <w:t xml:space="preserve">  违反法律、法规、承诺之任何情形,均属乙方单方面之因素、原因、责任,</w:t>
      </w:r>
      <w:r>
        <w:rPr>
          <w:rFonts w:ascii="宋体" w:hAnsi="宋体" w:eastAsia="宋体" w:cs="宋体"/>
          <w:color w:val="auto"/>
          <w:spacing w:val="-1"/>
          <w:sz w:val="24"/>
          <w:szCs w:val="24"/>
          <w:highlight w:val="none"/>
        </w:rPr>
        <w:t>任何情况下乙方均应</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当承担相应的法律责任。</w:t>
      </w:r>
    </w:p>
    <w:p w14:paraId="6EA8DA86">
      <w:pPr>
        <w:keepNext w:val="0"/>
        <w:keepLines w:val="0"/>
        <w:pageBreakBefore w:val="0"/>
        <w:widowControl/>
        <w:kinsoku w:val="0"/>
        <w:wordWrap/>
        <w:overflowPunct/>
        <w:topLinePunct w:val="0"/>
        <w:autoSpaceDE w:val="0"/>
        <w:autoSpaceDN w:val="0"/>
        <w:bidi w:val="0"/>
        <w:adjustRightInd w:val="0"/>
        <w:snapToGrid w:val="0"/>
        <w:spacing w:before="36" w:line="500" w:lineRule="exact"/>
        <w:ind w:left="485"/>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八、其他规定</w:t>
      </w:r>
    </w:p>
    <w:p w14:paraId="0CCB15A8">
      <w:pPr>
        <w:keepNext w:val="0"/>
        <w:keepLines w:val="0"/>
        <w:pageBreakBefore w:val="0"/>
        <w:widowControl/>
        <w:kinsoku w:val="0"/>
        <w:wordWrap/>
        <w:overflowPunct/>
        <w:topLinePunct w:val="0"/>
        <w:autoSpaceDE w:val="0"/>
        <w:autoSpaceDN w:val="0"/>
        <w:bidi w:val="0"/>
        <w:adjustRightInd w:val="0"/>
        <w:snapToGrid w:val="0"/>
        <w:spacing w:before="235" w:line="500" w:lineRule="exact"/>
        <w:ind w:left="1" w:firstLine="497"/>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1、本次框架协议采购将使用统一的采购合同文本，采购人、服务对象和供应商不得擅自改</w:t>
      </w:r>
      <w:r>
        <w:rPr>
          <w:rFonts w:ascii="宋体" w:hAnsi="宋体" w:eastAsia="宋体" w:cs="宋体"/>
          <w:color w:val="auto"/>
          <w:spacing w:val="11"/>
          <w:sz w:val="24"/>
          <w:szCs w:val="24"/>
          <w:highlight w:val="none"/>
        </w:rPr>
        <w:t xml:space="preserve"> </w:t>
      </w:r>
      <w:r>
        <w:rPr>
          <w:rFonts w:ascii="宋体" w:hAnsi="宋体" w:eastAsia="宋体" w:cs="宋体"/>
          <w:color w:val="auto"/>
          <w:spacing w:val="-1"/>
          <w:sz w:val="24"/>
          <w:szCs w:val="24"/>
          <w:highlight w:val="none"/>
        </w:rPr>
        <w:t>变框架协议约定的合同实质性条款。</w:t>
      </w:r>
    </w:p>
    <w:p w14:paraId="3957D088">
      <w:pPr>
        <w:keepNext w:val="0"/>
        <w:keepLines w:val="0"/>
        <w:pageBreakBefore w:val="0"/>
        <w:widowControl/>
        <w:kinsoku w:val="0"/>
        <w:wordWrap/>
        <w:overflowPunct/>
        <w:topLinePunct w:val="0"/>
        <w:autoSpaceDE w:val="0"/>
        <w:autoSpaceDN w:val="0"/>
        <w:bidi w:val="0"/>
        <w:adjustRightInd w:val="0"/>
        <w:snapToGrid w:val="0"/>
        <w:spacing w:before="235" w:line="500" w:lineRule="exact"/>
        <w:ind w:left="1" w:firstLine="482"/>
        <w:textAlignment w:val="baseline"/>
        <w:rPr>
          <w:rFonts w:ascii="宋体" w:hAnsi="宋体" w:eastAsia="宋体" w:cs="宋体"/>
          <w:color w:val="auto"/>
          <w:spacing w:val="-2"/>
          <w:sz w:val="24"/>
          <w:szCs w:val="24"/>
          <w:highlight w:val="none"/>
        </w:rPr>
      </w:pPr>
      <w:r>
        <w:rPr>
          <w:rFonts w:ascii="宋体" w:hAnsi="宋体" w:eastAsia="宋体" w:cs="宋体"/>
          <w:color w:val="auto"/>
          <w:sz w:val="24"/>
          <w:szCs w:val="24"/>
          <w:highlight w:val="none"/>
        </w:rPr>
        <w:t>2、协议双方应通过友好协商解决因解释、执行本协议所发</w:t>
      </w:r>
      <w:r>
        <w:rPr>
          <w:rFonts w:ascii="宋体" w:hAnsi="宋体" w:eastAsia="宋体" w:cs="宋体"/>
          <w:color w:val="auto"/>
          <w:spacing w:val="-1"/>
          <w:sz w:val="24"/>
          <w:szCs w:val="24"/>
          <w:highlight w:val="none"/>
        </w:rPr>
        <w:t>生的和本协议有关的一切争议。</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如果经协商在任何一方认为所需的合理时间内不能达成协议，按以下第</w:t>
      </w:r>
      <w:r>
        <w:rPr>
          <w:rFonts w:ascii="宋体" w:hAnsi="宋体" w:eastAsia="宋体" w:cs="宋体"/>
          <w:color w:val="auto"/>
          <w:spacing w:val="-1"/>
          <w:sz w:val="24"/>
          <w:szCs w:val="24"/>
          <w:highlight w:val="none"/>
          <w:u w:val="single" w:color="auto"/>
        </w:rPr>
        <w:t xml:space="preserve"> (②</w:t>
      </w:r>
      <w:r>
        <w:rPr>
          <w:rFonts w:ascii="宋体" w:hAnsi="宋体" w:eastAsia="宋体" w:cs="宋体"/>
          <w:color w:val="auto"/>
          <w:spacing w:val="35"/>
          <w:sz w:val="24"/>
          <w:szCs w:val="24"/>
          <w:highlight w:val="none"/>
          <w:u w:val="single" w:color="auto"/>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项方式处</w:t>
      </w:r>
      <w:r>
        <w:rPr>
          <w:rFonts w:ascii="宋体" w:hAnsi="宋体" w:eastAsia="宋体" w:cs="宋体"/>
          <w:color w:val="auto"/>
          <w:spacing w:val="-2"/>
          <w:sz w:val="24"/>
          <w:szCs w:val="24"/>
          <w:highlight w:val="none"/>
        </w:rPr>
        <w:t>理：</w:t>
      </w:r>
    </w:p>
    <w:p w14:paraId="26D8790D">
      <w:pPr>
        <w:keepNext w:val="0"/>
        <w:keepLines w:val="0"/>
        <w:pageBreakBefore w:val="0"/>
        <w:widowControl/>
        <w:kinsoku w:val="0"/>
        <w:wordWrap/>
        <w:overflowPunct/>
        <w:topLinePunct w:val="0"/>
        <w:autoSpaceDE w:val="0"/>
        <w:autoSpaceDN w:val="0"/>
        <w:bidi w:val="0"/>
        <w:adjustRightInd w:val="0"/>
        <w:snapToGrid w:val="0"/>
        <w:spacing w:before="235" w:line="500" w:lineRule="exact"/>
        <w:ind w:left="1" w:firstLine="482"/>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①</w:t>
      </w:r>
      <w:r>
        <w:rPr>
          <w:rFonts w:ascii="宋体" w:hAnsi="宋体" w:eastAsia="宋体" w:cs="宋体"/>
          <w:color w:val="auto"/>
          <w:sz w:val="24"/>
          <w:szCs w:val="24"/>
          <w:highlight w:val="none"/>
        </w:rPr>
        <w:t xml:space="preserve"> 根据《中华人民共和国仲裁法》的规定向</w:t>
      </w:r>
      <w:r>
        <w:rPr>
          <w:rFonts w:ascii="宋体" w:hAnsi="宋体" w:eastAsia="宋体" w:cs="宋体"/>
          <w:color w:val="auto"/>
          <w:sz w:val="24"/>
          <w:szCs w:val="24"/>
          <w:highlight w:val="none"/>
          <w:u w:val="single" w:color="auto"/>
        </w:rPr>
        <w:t xml:space="preserve"> / </w:t>
      </w:r>
      <w:r>
        <w:rPr>
          <w:rFonts w:ascii="宋体" w:hAnsi="宋体" w:eastAsia="宋体" w:cs="宋体"/>
          <w:color w:val="auto"/>
          <w:sz w:val="24"/>
          <w:szCs w:val="24"/>
          <w:highlight w:val="none"/>
        </w:rPr>
        <w:t xml:space="preserve">   申请仲裁。</w:t>
      </w:r>
    </w:p>
    <w:p w14:paraId="52228185">
      <w:pPr>
        <w:keepNext w:val="0"/>
        <w:keepLines w:val="0"/>
        <w:pageBreakBefore w:val="0"/>
        <w:widowControl/>
        <w:kinsoku w:val="0"/>
        <w:wordWrap/>
        <w:overflowPunct/>
        <w:topLinePunct w:val="0"/>
        <w:autoSpaceDE w:val="0"/>
        <w:autoSpaceDN w:val="0"/>
        <w:bidi w:val="0"/>
        <w:adjustRightInd w:val="0"/>
        <w:snapToGrid w:val="0"/>
        <w:spacing w:before="235" w:line="500" w:lineRule="exact"/>
        <w:ind w:left="1" w:firstLine="482"/>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②向</w:t>
      </w:r>
      <w:r>
        <w:rPr>
          <w:rFonts w:hint="eastAsia" w:ascii="宋体" w:hAnsi="宋体" w:eastAsia="宋体" w:cs="宋体"/>
          <w:color w:val="auto"/>
          <w:sz w:val="24"/>
          <w:szCs w:val="24"/>
          <w:highlight w:val="none"/>
          <w:u w:val="single" w:color="auto"/>
          <w:lang w:val="en-US" w:eastAsia="zh-CN"/>
        </w:rPr>
        <w:t>金寨县</w:t>
      </w:r>
      <w:r>
        <w:rPr>
          <w:rFonts w:ascii="宋体" w:hAnsi="宋体" w:eastAsia="宋体" w:cs="宋体"/>
          <w:color w:val="auto"/>
          <w:spacing w:val="-1"/>
          <w:sz w:val="24"/>
          <w:szCs w:val="24"/>
          <w:highlight w:val="none"/>
          <w:u w:val="single" w:color="auto"/>
        </w:rPr>
        <w:t>人民法院</w:t>
      </w:r>
      <w:r>
        <w:rPr>
          <w:rFonts w:ascii="宋体" w:hAnsi="宋体" w:eastAsia="宋体" w:cs="宋体"/>
          <w:color w:val="auto"/>
          <w:spacing w:val="-1"/>
          <w:sz w:val="24"/>
          <w:szCs w:val="24"/>
          <w:highlight w:val="none"/>
        </w:rPr>
        <w:t>起诉。</w:t>
      </w:r>
    </w:p>
    <w:p w14:paraId="1ED0E99A">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宋体" w:hAnsi="宋体" w:eastAsia="宋体" w:cs="宋体"/>
          <w:color w:val="auto"/>
          <w:sz w:val="24"/>
          <w:szCs w:val="24"/>
          <w:highlight w:val="none"/>
        </w:rPr>
        <w:sectPr>
          <w:footerReference r:id="rId19" w:type="default"/>
          <w:pgSz w:w="11911" w:h="16840"/>
          <w:pgMar w:top="1429" w:right="1763" w:bottom="862" w:left="1655" w:header="0" w:footer="680" w:gutter="0"/>
          <w:cols w:space="0" w:num="1"/>
          <w:rtlGutter w:val="0"/>
          <w:docGrid w:linePitch="0" w:charSpace="0"/>
        </w:sectPr>
      </w:pPr>
    </w:p>
    <w:p w14:paraId="30811DC9">
      <w:pPr>
        <w:spacing w:before="12"/>
        <w:rPr>
          <w:color w:val="auto"/>
          <w:highlight w:val="none"/>
        </w:rPr>
      </w:pPr>
    </w:p>
    <w:p w14:paraId="0432FA5F">
      <w:pPr>
        <w:spacing w:before="11"/>
        <w:rPr>
          <w:color w:val="auto"/>
          <w:highlight w:val="none"/>
        </w:rPr>
      </w:pPr>
    </w:p>
    <w:p w14:paraId="46E21F1F">
      <w:pPr>
        <w:spacing w:before="11"/>
        <w:rPr>
          <w:color w:val="auto"/>
          <w:highlight w:val="none"/>
        </w:rPr>
      </w:pPr>
    </w:p>
    <w:tbl>
      <w:tblPr>
        <w:tblStyle w:val="12"/>
        <w:tblW w:w="849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256"/>
        <w:gridCol w:w="4237"/>
      </w:tblGrid>
      <w:tr w14:paraId="20C27E7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201" w:hRule="atLeast"/>
        </w:trPr>
        <w:tc>
          <w:tcPr>
            <w:tcW w:w="4256" w:type="dxa"/>
            <w:vAlign w:val="top"/>
          </w:tcPr>
          <w:p w14:paraId="622E5F84">
            <w:pPr>
              <w:pStyle w:val="13"/>
              <w:spacing w:line="219" w:lineRule="auto"/>
              <w:ind w:left="30"/>
              <w:rPr>
                <w:color w:val="auto"/>
                <w:highlight w:val="none"/>
              </w:rPr>
            </w:pPr>
            <w:r>
              <w:rPr>
                <w:color w:val="auto"/>
                <w:spacing w:val="4"/>
                <w:highlight w:val="none"/>
              </w:rPr>
              <w:t>甲 方</w:t>
            </w:r>
            <w:r>
              <w:rPr>
                <w:color w:val="auto"/>
                <w:spacing w:val="-33"/>
                <w:highlight w:val="none"/>
              </w:rPr>
              <w:t>：（</w:t>
            </w:r>
            <w:r>
              <w:rPr>
                <w:color w:val="auto"/>
                <w:spacing w:val="4"/>
                <w:highlight w:val="none"/>
              </w:rPr>
              <w:t>盖章）</w:t>
            </w:r>
          </w:p>
          <w:p w14:paraId="5859C47F">
            <w:pPr>
              <w:spacing w:line="297" w:lineRule="auto"/>
              <w:rPr>
                <w:rFonts w:ascii="Arial"/>
                <w:color w:val="auto"/>
                <w:sz w:val="21"/>
                <w:highlight w:val="none"/>
              </w:rPr>
            </w:pPr>
          </w:p>
          <w:p w14:paraId="52E0F534">
            <w:pPr>
              <w:spacing w:line="297" w:lineRule="auto"/>
              <w:rPr>
                <w:rFonts w:ascii="Arial"/>
                <w:color w:val="auto"/>
                <w:sz w:val="21"/>
                <w:highlight w:val="none"/>
              </w:rPr>
            </w:pPr>
          </w:p>
          <w:p w14:paraId="5D3553D0">
            <w:pPr>
              <w:spacing w:line="297" w:lineRule="auto"/>
              <w:rPr>
                <w:rFonts w:ascii="Arial"/>
                <w:color w:val="auto"/>
                <w:sz w:val="21"/>
                <w:highlight w:val="none"/>
              </w:rPr>
            </w:pPr>
          </w:p>
          <w:p w14:paraId="1CFD9967">
            <w:pPr>
              <w:spacing w:line="298" w:lineRule="auto"/>
              <w:rPr>
                <w:rFonts w:ascii="Arial"/>
                <w:color w:val="auto"/>
                <w:sz w:val="21"/>
                <w:highlight w:val="none"/>
              </w:rPr>
            </w:pPr>
          </w:p>
          <w:p w14:paraId="5A459DF7">
            <w:pPr>
              <w:pStyle w:val="13"/>
              <w:spacing w:before="78" w:line="220" w:lineRule="auto"/>
              <w:ind w:left="30"/>
              <w:rPr>
                <w:color w:val="auto"/>
                <w:highlight w:val="none"/>
              </w:rPr>
            </w:pPr>
            <w:r>
              <w:rPr>
                <w:color w:val="auto"/>
                <w:spacing w:val="-3"/>
                <w:highlight w:val="none"/>
              </w:rPr>
              <w:t>甲方法定代表人或授权委托人（签字）</w:t>
            </w:r>
          </w:p>
        </w:tc>
        <w:tc>
          <w:tcPr>
            <w:tcW w:w="4237" w:type="dxa"/>
            <w:vAlign w:val="top"/>
          </w:tcPr>
          <w:p w14:paraId="692C770B">
            <w:pPr>
              <w:pStyle w:val="13"/>
              <w:spacing w:line="219" w:lineRule="auto"/>
              <w:ind w:left="322"/>
              <w:rPr>
                <w:color w:val="auto"/>
                <w:highlight w:val="none"/>
              </w:rPr>
            </w:pPr>
            <w:r>
              <w:rPr>
                <w:color w:val="auto"/>
                <w:spacing w:val="1"/>
                <w:highlight w:val="none"/>
              </w:rPr>
              <w:t>乙方</w:t>
            </w:r>
            <w:r>
              <w:rPr>
                <w:color w:val="auto"/>
                <w:spacing w:val="-18"/>
                <w:highlight w:val="none"/>
              </w:rPr>
              <w:t>：（</w:t>
            </w:r>
            <w:r>
              <w:rPr>
                <w:color w:val="auto"/>
                <w:spacing w:val="1"/>
                <w:highlight w:val="none"/>
              </w:rPr>
              <w:t>盖章）</w:t>
            </w:r>
          </w:p>
          <w:p w14:paraId="05D1BE27">
            <w:pPr>
              <w:spacing w:line="297" w:lineRule="auto"/>
              <w:rPr>
                <w:rFonts w:ascii="Arial"/>
                <w:color w:val="auto"/>
                <w:sz w:val="21"/>
                <w:highlight w:val="none"/>
              </w:rPr>
            </w:pPr>
          </w:p>
          <w:p w14:paraId="355E218A">
            <w:pPr>
              <w:spacing w:line="297" w:lineRule="auto"/>
              <w:rPr>
                <w:rFonts w:ascii="Arial"/>
                <w:color w:val="auto"/>
                <w:sz w:val="21"/>
                <w:highlight w:val="none"/>
              </w:rPr>
            </w:pPr>
          </w:p>
          <w:p w14:paraId="144653E2">
            <w:pPr>
              <w:spacing w:line="297" w:lineRule="auto"/>
              <w:rPr>
                <w:rFonts w:ascii="Arial"/>
                <w:color w:val="auto"/>
                <w:sz w:val="21"/>
                <w:highlight w:val="none"/>
              </w:rPr>
            </w:pPr>
          </w:p>
          <w:p w14:paraId="727E7DCA">
            <w:pPr>
              <w:spacing w:line="298" w:lineRule="auto"/>
              <w:rPr>
                <w:rFonts w:ascii="Arial"/>
                <w:color w:val="auto"/>
                <w:sz w:val="21"/>
                <w:highlight w:val="none"/>
              </w:rPr>
            </w:pPr>
          </w:p>
          <w:p w14:paraId="07D5BD70">
            <w:pPr>
              <w:pStyle w:val="13"/>
              <w:spacing w:before="78" w:line="220" w:lineRule="auto"/>
              <w:jc w:val="right"/>
              <w:rPr>
                <w:color w:val="auto"/>
                <w:highlight w:val="none"/>
              </w:rPr>
            </w:pPr>
            <w:r>
              <w:rPr>
                <w:color w:val="auto"/>
                <w:spacing w:val="-10"/>
                <w:highlight w:val="none"/>
              </w:rPr>
              <w:t>乙方法定代表人或授权委托人（签字）</w:t>
            </w:r>
          </w:p>
        </w:tc>
      </w:tr>
      <w:tr w14:paraId="1AE0459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01" w:hRule="atLeast"/>
        </w:trPr>
        <w:tc>
          <w:tcPr>
            <w:tcW w:w="4256" w:type="dxa"/>
            <w:vAlign w:val="top"/>
          </w:tcPr>
          <w:p w14:paraId="533E6C7B">
            <w:pPr>
              <w:spacing w:line="320" w:lineRule="auto"/>
              <w:rPr>
                <w:rFonts w:ascii="Arial"/>
                <w:color w:val="auto"/>
                <w:sz w:val="21"/>
                <w:highlight w:val="none"/>
              </w:rPr>
            </w:pPr>
          </w:p>
          <w:p w14:paraId="7804FA35">
            <w:pPr>
              <w:pStyle w:val="13"/>
              <w:spacing w:before="78" w:line="222" w:lineRule="auto"/>
              <w:ind w:left="30"/>
              <w:rPr>
                <w:color w:val="auto"/>
                <w:highlight w:val="none"/>
              </w:rPr>
            </w:pPr>
            <w:r>
              <w:rPr>
                <w:color w:val="auto"/>
                <w:spacing w:val="-9"/>
                <w:highlight w:val="none"/>
              </w:rPr>
              <w:t>甲方地址：</w:t>
            </w:r>
          </w:p>
        </w:tc>
        <w:tc>
          <w:tcPr>
            <w:tcW w:w="4237" w:type="dxa"/>
            <w:vAlign w:val="top"/>
          </w:tcPr>
          <w:p w14:paraId="385BBF4F">
            <w:pPr>
              <w:spacing w:line="320" w:lineRule="auto"/>
              <w:rPr>
                <w:rFonts w:ascii="Arial"/>
                <w:color w:val="auto"/>
                <w:sz w:val="21"/>
                <w:highlight w:val="none"/>
              </w:rPr>
            </w:pPr>
          </w:p>
          <w:p w14:paraId="790CEFC4">
            <w:pPr>
              <w:pStyle w:val="13"/>
              <w:spacing w:before="78" w:line="222" w:lineRule="auto"/>
              <w:ind w:left="442"/>
              <w:rPr>
                <w:color w:val="auto"/>
                <w:highlight w:val="none"/>
              </w:rPr>
            </w:pPr>
            <w:r>
              <w:rPr>
                <w:color w:val="auto"/>
                <w:spacing w:val="-6"/>
                <w:highlight w:val="none"/>
              </w:rPr>
              <w:t>乙方地址：</w:t>
            </w:r>
          </w:p>
        </w:tc>
      </w:tr>
      <w:tr w14:paraId="2E8209B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99" w:hRule="atLeast"/>
        </w:trPr>
        <w:tc>
          <w:tcPr>
            <w:tcW w:w="4256" w:type="dxa"/>
            <w:vAlign w:val="top"/>
          </w:tcPr>
          <w:p w14:paraId="0C24BACF">
            <w:pPr>
              <w:spacing w:line="288" w:lineRule="auto"/>
              <w:rPr>
                <w:rFonts w:ascii="Arial"/>
                <w:color w:val="auto"/>
                <w:sz w:val="21"/>
                <w:highlight w:val="none"/>
              </w:rPr>
            </w:pPr>
          </w:p>
          <w:p w14:paraId="239288C5">
            <w:pPr>
              <w:spacing w:line="289" w:lineRule="auto"/>
              <w:rPr>
                <w:rFonts w:ascii="Arial"/>
                <w:color w:val="auto"/>
                <w:sz w:val="21"/>
                <w:highlight w:val="none"/>
              </w:rPr>
            </w:pPr>
          </w:p>
          <w:p w14:paraId="6B3FE166">
            <w:pPr>
              <w:pStyle w:val="13"/>
              <w:spacing w:before="78" w:line="222" w:lineRule="auto"/>
              <w:ind w:left="30"/>
              <w:rPr>
                <w:color w:val="auto"/>
                <w:highlight w:val="none"/>
              </w:rPr>
            </w:pPr>
            <w:r>
              <w:rPr>
                <w:color w:val="auto"/>
                <w:spacing w:val="-6"/>
                <w:highlight w:val="none"/>
              </w:rPr>
              <w:t>甲方联系人及电话</w:t>
            </w:r>
          </w:p>
        </w:tc>
        <w:tc>
          <w:tcPr>
            <w:tcW w:w="4237" w:type="dxa"/>
            <w:vAlign w:val="top"/>
          </w:tcPr>
          <w:p w14:paraId="0DC9158A">
            <w:pPr>
              <w:spacing w:line="288" w:lineRule="auto"/>
              <w:rPr>
                <w:rFonts w:ascii="Arial"/>
                <w:color w:val="auto"/>
                <w:sz w:val="21"/>
                <w:highlight w:val="none"/>
              </w:rPr>
            </w:pPr>
          </w:p>
          <w:p w14:paraId="2BE0332F">
            <w:pPr>
              <w:spacing w:line="289" w:lineRule="auto"/>
              <w:rPr>
                <w:rFonts w:ascii="Arial"/>
                <w:color w:val="auto"/>
                <w:sz w:val="21"/>
                <w:highlight w:val="none"/>
              </w:rPr>
            </w:pPr>
          </w:p>
          <w:p w14:paraId="10514F73">
            <w:pPr>
              <w:pStyle w:val="13"/>
              <w:spacing w:before="78" w:line="222" w:lineRule="auto"/>
              <w:ind w:left="442"/>
              <w:rPr>
                <w:color w:val="auto"/>
                <w:highlight w:val="none"/>
              </w:rPr>
            </w:pPr>
            <w:r>
              <w:rPr>
                <w:color w:val="auto"/>
                <w:spacing w:val="-4"/>
                <w:highlight w:val="none"/>
              </w:rPr>
              <w:t>乙方联系人及电话</w:t>
            </w:r>
          </w:p>
        </w:tc>
      </w:tr>
      <w:tr w14:paraId="0FC6A5D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40" w:hRule="atLeast"/>
        </w:trPr>
        <w:tc>
          <w:tcPr>
            <w:tcW w:w="4256" w:type="dxa"/>
            <w:vAlign w:val="top"/>
          </w:tcPr>
          <w:p w14:paraId="5135355F">
            <w:pPr>
              <w:spacing w:line="319" w:lineRule="auto"/>
              <w:rPr>
                <w:rFonts w:ascii="Arial"/>
                <w:color w:val="auto"/>
                <w:sz w:val="21"/>
                <w:highlight w:val="none"/>
              </w:rPr>
            </w:pPr>
          </w:p>
          <w:p w14:paraId="7688596F">
            <w:pPr>
              <w:pStyle w:val="13"/>
              <w:spacing w:before="78" w:line="177" w:lineRule="auto"/>
              <w:rPr>
                <w:color w:val="auto"/>
                <w:highlight w:val="none"/>
              </w:rPr>
            </w:pPr>
            <w:r>
              <w:rPr>
                <w:color w:val="auto"/>
                <w:spacing w:val="-9"/>
                <w:highlight w:val="none"/>
              </w:rPr>
              <w:t>年</w:t>
            </w:r>
            <w:r>
              <w:rPr>
                <w:color w:val="auto"/>
                <w:spacing w:val="2"/>
                <w:highlight w:val="none"/>
              </w:rPr>
              <w:t xml:space="preserve">      </w:t>
            </w:r>
            <w:r>
              <w:rPr>
                <w:color w:val="auto"/>
                <w:spacing w:val="-9"/>
                <w:highlight w:val="none"/>
              </w:rPr>
              <w:t>月</w:t>
            </w:r>
            <w:r>
              <w:rPr>
                <w:color w:val="auto"/>
                <w:spacing w:val="13"/>
                <w:highlight w:val="none"/>
              </w:rPr>
              <w:t xml:space="preserve">    </w:t>
            </w:r>
            <w:r>
              <w:rPr>
                <w:color w:val="auto"/>
                <w:spacing w:val="-9"/>
                <w:highlight w:val="none"/>
              </w:rPr>
              <w:t>日</w:t>
            </w:r>
          </w:p>
        </w:tc>
        <w:tc>
          <w:tcPr>
            <w:tcW w:w="4237" w:type="dxa"/>
            <w:vAlign w:val="top"/>
          </w:tcPr>
          <w:p w14:paraId="7E727DA5">
            <w:pPr>
              <w:spacing w:line="319" w:lineRule="auto"/>
              <w:rPr>
                <w:rFonts w:ascii="Arial"/>
                <w:color w:val="auto"/>
                <w:sz w:val="21"/>
                <w:highlight w:val="none"/>
              </w:rPr>
            </w:pPr>
          </w:p>
          <w:p w14:paraId="4D9390E5">
            <w:pPr>
              <w:pStyle w:val="13"/>
              <w:spacing w:before="78" w:line="177" w:lineRule="auto"/>
              <w:ind w:left="424"/>
              <w:rPr>
                <w:color w:val="auto"/>
                <w:highlight w:val="none"/>
              </w:rPr>
            </w:pPr>
            <w:r>
              <w:rPr>
                <w:color w:val="auto"/>
                <w:spacing w:val="-9"/>
                <w:highlight w:val="none"/>
              </w:rPr>
              <w:t>年</w:t>
            </w:r>
            <w:r>
              <w:rPr>
                <w:color w:val="auto"/>
                <w:spacing w:val="5"/>
                <w:highlight w:val="none"/>
              </w:rPr>
              <w:t xml:space="preserve">   </w:t>
            </w:r>
            <w:r>
              <w:rPr>
                <w:color w:val="auto"/>
                <w:spacing w:val="-9"/>
                <w:highlight w:val="none"/>
              </w:rPr>
              <w:t>月</w:t>
            </w:r>
            <w:r>
              <w:rPr>
                <w:color w:val="auto"/>
                <w:spacing w:val="12"/>
                <w:highlight w:val="none"/>
              </w:rPr>
              <w:t xml:space="preserve">    </w:t>
            </w:r>
            <w:r>
              <w:rPr>
                <w:color w:val="auto"/>
                <w:spacing w:val="-9"/>
                <w:highlight w:val="none"/>
              </w:rPr>
              <w:t>日</w:t>
            </w:r>
          </w:p>
        </w:tc>
      </w:tr>
    </w:tbl>
    <w:p w14:paraId="39E93451">
      <w:pPr>
        <w:pStyle w:val="6"/>
        <w:rPr>
          <w:color w:val="auto"/>
          <w:highlight w:val="none"/>
        </w:rPr>
      </w:pPr>
    </w:p>
    <w:p w14:paraId="432A6189">
      <w:pPr>
        <w:rPr>
          <w:color w:val="auto"/>
          <w:highlight w:val="none"/>
        </w:rPr>
        <w:sectPr>
          <w:footerReference r:id="rId20" w:type="default"/>
          <w:pgSz w:w="11911" w:h="16840"/>
          <w:pgMar w:top="1429" w:right="1763" w:bottom="862" w:left="1655" w:header="0" w:footer="680" w:gutter="0"/>
          <w:cols w:space="0" w:num="1"/>
          <w:rtlGutter w:val="0"/>
          <w:docGrid w:linePitch="0" w:charSpace="0"/>
        </w:sectPr>
      </w:pPr>
    </w:p>
    <w:p w14:paraId="17931D73">
      <w:pPr>
        <w:pStyle w:val="6"/>
        <w:spacing w:line="248" w:lineRule="auto"/>
        <w:rPr>
          <w:color w:val="auto"/>
          <w:highlight w:val="none"/>
        </w:rPr>
      </w:pPr>
    </w:p>
    <w:p w14:paraId="19AE866C">
      <w:pPr>
        <w:pStyle w:val="6"/>
        <w:spacing w:line="248" w:lineRule="auto"/>
        <w:rPr>
          <w:color w:val="auto"/>
          <w:highlight w:val="none"/>
        </w:rPr>
      </w:pPr>
    </w:p>
    <w:p w14:paraId="06A4C287">
      <w:pPr>
        <w:pStyle w:val="6"/>
        <w:spacing w:line="249" w:lineRule="auto"/>
        <w:rPr>
          <w:color w:val="auto"/>
          <w:highlight w:val="none"/>
        </w:rPr>
      </w:pPr>
    </w:p>
    <w:p w14:paraId="5EA8EC3F">
      <w:pPr>
        <w:pStyle w:val="6"/>
        <w:spacing w:line="249" w:lineRule="auto"/>
        <w:rPr>
          <w:color w:val="auto"/>
          <w:highlight w:val="none"/>
        </w:rPr>
      </w:pPr>
    </w:p>
    <w:p w14:paraId="3D05DF39">
      <w:pPr>
        <w:pStyle w:val="6"/>
        <w:spacing w:line="249" w:lineRule="auto"/>
        <w:rPr>
          <w:color w:val="auto"/>
          <w:highlight w:val="none"/>
        </w:rPr>
      </w:pPr>
    </w:p>
    <w:p w14:paraId="1179CCFB">
      <w:pPr>
        <w:spacing w:before="130" w:line="220" w:lineRule="auto"/>
        <w:ind w:left="1575"/>
        <w:rPr>
          <w:rFonts w:ascii="宋体" w:hAnsi="宋体" w:eastAsia="宋体" w:cs="宋体"/>
          <w:color w:val="auto"/>
          <w:sz w:val="40"/>
          <w:szCs w:val="40"/>
          <w:highlight w:val="none"/>
        </w:rPr>
      </w:pPr>
      <w:r>
        <w:rPr>
          <w:rFonts w:ascii="宋体" w:hAnsi="宋体" w:eastAsia="宋体" w:cs="宋体"/>
          <w:b/>
          <w:bCs/>
          <w:color w:val="auto"/>
          <w:spacing w:val="-5"/>
          <w:sz w:val="40"/>
          <w:szCs w:val="40"/>
          <w:highlight w:val="none"/>
        </w:rPr>
        <w:t>六安市政府采购合同参考范本</w:t>
      </w:r>
    </w:p>
    <w:p w14:paraId="5C1DE3AE">
      <w:pPr>
        <w:pStyle w:val="6"/>
        <w:spacing w:line="256" w:lineRule="auto"/>
        <w:rPr>
          <w:color w:val="auto"/>
          <w:highlight w:val="none"/>
        </w:rPr>
      </w:pPr>
    </w:p>
    <w:p w14:paraId="59527C22">
      <w:pPr>
        <w:spacing w:before="91" w:line="221" w:lineRule="auto"/>
        <w:ind w:left="3484"/>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（服务类）</w:t>
      </w:r>
    </w:p>
    <w:p w14:paraId="6FD082BF">
      <w:pPr>
        <w:pStyle w:val="6"/>
        <w:spacing w:line="266" w:lineRule="auto"/>
        <w:rPr>
          <w:color w:val="auto"/>
          <w:highlight w:val="none"/>
        </w:rPr>
      </w:pPr>
    </w:p>
    <w:p w14:paraId="3E276F63">
      <w:pPr>
        <w:pStyle w:val="6"/>
        <w:spacing w:line="266" w:lineRule="auto"/>
        <w:rPr>
          <w:color w:val="auto"/>
          <w:highlight w:val="none"/>
        </w:rPr>
      </w:pPr>
    </w:p>
    <w:p w14:paraId="22FD7322">
      <w:pPr>
        <w:pStyle w:val="6"/>
        <w:spacing w:line="266" w:lineRule="auto"/>
        <w:rPr>
          <w:color w:val="auto"/>
          <w:highlight w:val="none"/>
        </w:rPr>
      </w:pPr>
    </w:p>
    <w:p w14:paraId="68F1007E">
      <w:pPr>
        <w:pStyle w:val="6"/>
        <w:spacing w:line="266" w:lineRule="auto"/>
        <w:rPr>
          <w:color w:val="auto"/>
          <w:highlight w:val="none"/>
        </w:rPr>
      </w:pPr>
    </w:p>
    <w:p w14:paraId="327D151B">
      <w:pPr>
        <w:pStyle w:val="6"/>
        <w:spacing w:line="266" w:lineRule="auto"/>
        <w:rPr>
          <w:color w:val="auto"/>
          <w:highlight w:val="none"/>
        </w:rPr>
      </w:pPr>
    </w:p>
    <w:p w14:paraId="07CC3E14">
      <w:pPr>
        <w:pStyle w:val="6"/>
        <w:spacing w:line="266" w:lineRule="auto"/>
        <w:rPr>
          <w:color w:val="auto"/>
          <w:highlight w:val="none"/>
        </w:rPr>
      </w:pPr>
    </w:p>
    <w:p w14:paraId="541A761A">
      <w:pPr>
        <w:pStyle w:val="6"/>
        <w:spacing w:line="266" w:lineRule="auto"/>
        <w:rPr>
          <w:color w:val="auto"/>
          <w:highlight w:val="none"/>
        </w:rPr>
      </w:pPr>
    </w:p>
    <w:p w14:paraId="1DADA65D">
      <w:pPr>
        <w:pStyle w:val="6"/>
        <w:spacing w:line="267" w:lineRule="auto"/>
        <w:rPr>
          <w:color w:val="auto"/>
          <w:highlight w:val="none"/>
        </w:rPr>
      </w:pPr>
    </w:p>
    <w:p w14:paraId="3F83CEE3">
      <w:pPr>
        <w:spacing w:before="78" w:line="219" w:lineRule="auto"/>
        <w:ind w:left="3275"/>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第一部分</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合同书</w:t>
      </w:r>
    </w:p>
    <w:p w14:paraId="57C32267">
      <w:pPr>
        <w:pStyle w:val="6"/>
        <w:spacing w:line="272" w:lineRule="auto"/>
        <w:rPr>
          <w:color w:val="auto"/>
          <w:highlight w:val="none"/>
        </w:rPr>
      </w:pPr>
    </w:p>
    <w:p w14:paraId="6F34A90F">
      <w:pPr>
        <w:pStyle w:val="6"/>
        <w:spacing w:line="272" w:lineRule="auto"/>
        <w:rPr>
          <w:color w:val="auto"/>
          <w:highlight w:val="none"/>
        </w:rPr>
      </w:pPr>
    </w:p>
    <w:p w14:paraId="2183B294">
      <w:pPr>
        <w:pStyle w:val="6"/>
        <w:spacing w:line="272" w:lineRule="auto"/>
        <w:rPr>
          <w:color w:val="auto"/>
          <w:highlight w:val="none"/>
        </w:rPr>
      </w:pPr>
    </w:p>
    <w:p w14:paraId="6C0DFC16">
      <w:pPr>
        <w:pStyle w:val="6"/>
        <w:spacing w:line="272" w:lineRule="auto"/>
        <w:rPr>
          <w:color w:val="auto"/>
          <w:highlight w:val="none"/>
        </w:rPr>
      </w:pPr>
    </w:p>
    <w:p w14:paraId="3260A2AA">
      <w:pPr>
        <w:pStyle w:val="6"/>
        <w:spacing w:line="272" w:lineRule="auto"/>
        <w:rPr>
          <w:color w:val="auto"/>
          <w:highlight w:val="none"/>
        </w:rPr>
      </w:pPr>
    </w:p>
    <w:p w14:paraId="462EE52F">
      <w:pPr>
        <w:pStyle w:val="6"/>
        <w:spacing w:line="272" w:lineRule="auto"/>
        <w:rPr>
          <w:color w:val="auto"/>
          <w:highlight w:val="none"/>
        </w:rPr>
      </w:pPr>
    </w:p>
    <w:p w14:paraId="1C903714">
      <w:pPr>
        <w:pStyle w:val="6"/>
        <w:spacing w:line="273" w:lineRule="auto"/>
        <w:rPr>
          <w:color w:val="auto"/>
          <w:highlight w:val="none"/>
        </w:rPr>
      </w:pPr>
    </w:p>
    <w:p w14:paraId="0A0F56A2">
      <w:pPr>
        <w:spacing w:before="78" w:line="524" w:lineRule="auto"/>
        <w:ind w:left="1097" w:right="5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项目名称：</w:t>
      </w:r>
      <w:r>
        <w:rPr>
          <w:rFonts w:hint="eastAsia" w:ascii="宋体" w:hAnsi="宋体" w:eastAsia="宋体" w:cs="宋体"/>
          <w:color w:val="auto"/>
          <w:spacing w:val="-1"/>
          <w:sz w:val="24"/>
          <w:szCs w:val="24"/>
          <w:highlight w:val="none"/>
          <w:u w:val="single" w:color="auto"/>
        </w:rPr>
        <w:t>2025-2027年度金寨县行政事业单位公务用车维修保养服务框架协议项目</w:t>
      </w:r>
    </w:p>
    <w:p w14:paraId="003BF728">
      <w:pPr>
        <w:spacing w:before="35" w:line="219" w:lineRule="auto"/>
        <w:ind w:left="1097"/>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rPr>
        <w:t>项目编号：</w:t>
      </w:r>
      <w:r>
        <w:rPr>
          <w:rFonts w:hint="eastAsia" w:ascii="宋体" w:hAnsi="宋体" w:eastAsia="宋体" w:cs="宋体"/>
          <w:color w:val="auto"/>
          <w:spacing w:val="-1"/>
          <w:sz w:val="24"/>
          <w:szCs w:val="24"/>
          <w:highlight w:val="none"/>
          <w:u w:val="single" w:color="auto"/>
          <w:lang w:eastAsia="zh-CN"/>
        </w:rPr>
        <w:t>KJXY202504100394</w:t>
      </w:r>
    </w:p>
    <w:p w14:paraId="09AB526D">
      <w:pPr>
        <w:pStyle w:val="6"/>
        <w:spacing w:line="336" w:lineRule="auto"/>
        <w:rPr>
          <w:color w:val="auto"/>
          <w:highlight w:val="none"/>
        </w:rPr>
      </w:pPr>
    </w:p>
    <w:p w14:paraId="52B5019E">
      <w:pPr>
        <w:spacing w:before="79" w:line="219" w:lineRule="auto"/>
        <w:ind w:left="1124"/>
        <w:rPr>
          <w:rFonts w:hint="default" w:ascii="宋体" w:hAnsi="宋体" w:eastAsia="宋体" w:cs="宋体"/>
          <w:color w:val="auto"/>
          <w:sz w:val="24"/>
          <w:szCs w:val="24"/>
          <w:highlight w:val="none"/>
          <w:lang w:val="en-US" w:eastAsia="zh-CN"/>
        </w:rPr>
      </w:pPr>
      <w:r>
        <w:rPr>
          <w:rFonts w:ascii="宋体" w:hAnsi="宋体" w:eastAsia="宋体" w:cs="宋体"/>
          <w:color w:val="auto"/>
          <w:spacing w:val="-2"/>
          <w:sz w:val="24"/>
          <w:szCs w:val="24"/>
          <w:highlight w:val="none"/>
        </w:rPr>
        <w:t>甲方(采购人)：</w:t>
      </w:r>
      <w:r>
        <w:rPr>
          <w:rFonts w:hint="eastAsia" w:ascii="宋体" w:hAnsi="宋体" w:eastAsia="宋体" w:cs="宋体"/>
          <w:color w:val="auto"/>
          <w:spacing w:val="-2"/>
          <w:sz w:val="24"/>
          <w:szCs w:val="24"/>
          <w:highlight w:val="none"/>
          <w:u w:val="single" w:color="auto"/>
          <w:lang w:val="en-US" w:eastAsia="zh-CN"/>
        </w:rPr>
        <w:t>金寨县机关事务管理服务中心</w:t>
      </w:r>
    </w:p>
    <w:p w14:paraId="508087F3">
      <w:pPr>
        <w:pStyle w:val="6"/>
        <w:spacing w:line="333" w:lineRule="auto"/>
        <w:rPr>
          <w:color w:val="auto"/>
          <w:highlight w:val="none"/>
        </w:rPr>
      </w:pPr>
    </w:p>
    <w:p w14:paraId="4ABC96E2">
      <w:pPr>
        <w:spacing w:before="79" w:line="219" w:lineRule="auto"/>
        <w:ind w:left="111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乙方(成交供应商):</w:t>
      </w:r>
      <w:r>
        <w:rPr>
          <w:rFonts w:ascii="宋体" w:hAnsi="宋体" w:eastAsia="宋体" w:cs="宋体"/>
          <w:color w:val="auto"/>
          <w:sz w:val="24"/>
          <w:szCs w:val="24"/>
          <w:highlight w:val="none"/>
          <w:u w:val="single" w:color="auto"/>
        </w:rPr>
        <w:t xml:space="preserve">               </w:t>
      </w:r>
    </w:p>
    <w:p w14:paraId="491A5A67">
      <w:pPr>
        <w:pStyle w:val="6"/>
        <w:spacing w:line="335" w:lineRule="auto"/>
        <w:rPr>
          <w:color w:val="auto"/>
          <w:highlight w:val="none"/>
        </w:rPr>
      </w:pPr>
    </w:p>
    <w:p w14:paraId="1787F5BC">
      <w:pPr>
        <w:spacing w:before="78" w:line="220" w:lineRule="auto"/>
        <w:ind w:left="1093"/>
        <w:rPr>
          <w:rFonts w:hint="default" w:ascii="宋体" w:hAnsi="宋体" w:eastAsia="宋体" w:cs="宋体"/>
          <w:color w:val="auto"/>
          <w:sz w:val="24"/>
          <w:szCs w:val="24"/>
          <w:highlight w:val="none"/>
          <w:lang w:val="en-US" w:eastAsia="zh-CN"/>
        </w:rPr>
      </w:pPr>
      <w:r>
        <w:rPr>
          <w:rFonts w:ascii="宋体" w:hAnsi="宋体" w:eastAsia="宋体" w:cs="宋体"/>
          <w:color w:val="auto"/>
          <w:spacing w:val="-2"/>
          <w:sz w:val="24"/>
          <w:szCs w:val="24"/>
          <w:highlight w:val="none"/>
        </w:rPr>
        <w:t>签 订</w:t>
      </w:r>
      <w:r>
        <w:rPr>
          <w:rFonts w:ascii="宋体" w:hAnsi="宋体" w:eastAsia="宋体" w:cs="宋体"/>
          <w:color w:val="auto"/>
          <w:spacing w:val="11"/>
          <w:sz w:val="24"/>
          <w:szCs w:val="24"/>
          <w:highlight w:val="none"/>
        </w:rPr>
        <w:t xml:space="preserve"> </w:t>
      </w:r>
      <w:r>
        <w:rPr>
          <w:rFonts w:ascii="宋体" w:hAnsi="宋体" w:eastAsia="宋体" w:cs="宋体"/>
          <w:color w:val="auto"/>
          <w:spacing w:val="-2"/>
          <w:sz w:val="24"/>
          <w:szCs w:val="24"/>
          <w:highlight w:val="none"/>
        </w:rPr>
        <w:t>地：</w:t>
      </w:r>
      <w:r>
        <w:rPr>
          <w:rFonts w:hint="eastAsia" w:ascii="宋体" w:hAnsi="宋体" w:eastAsia="宋体" w:cs="宋体"/>
          <w:color w:val="auto"/>
          <w:spacing w:val="-2"/>
          <w:sz w:val="24"/>
          <w:szCs w:val="24"/>
          <w:highlight w:val="none"/>
          <w:u w:val="single" w:color="auto"/>
          <w:lang w:val="en-US" w:eastAsia="zh-CN"/>
        </w:rPr>
        <w:t>金寨县</w:t>
      </w:r>
    </w:p>
    <w:p w14:paraId="490C542C">
      <w:pPr>
        <w:pStyle w:val="6"/>
        <w:spacing w:line="334" w:lineRule="auto"/>
        <w:rPr>
          <w:color w:val="auto"/>
          <w:highlight w:val="none"/>
        </w:rPr>
      </w:pPr>
    </w:p>
    <w:p w14:paraId="4D386E61">
      <w:pPr>
        <w:spacing w:before="79" w:line="220" w:lineRule="auto"/>
        <w:ind w:left="109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签订日期：</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99"/>
          <w:sz w:val="24"/>
          <w:szCs w:val="24"/>
          <w:highlight w:val="none"/>
        </w:rPr>
        <w:t xml:space="preserve"> </w:t>
      </w:r>
      <w:r>
        <w:rPr>
          <w:rFonts w:ascii="宋体" w:hAnsi="宋体" w:eastAsia="宋体" w:cs="宋体"/>
          <w:color w:val="auto"/>
          <w:spacing w:val="-2"/>
          <w:sz w:val="24"/>
          <w:szCs w:val="24"/>
          <w:highlight w:val="none"/>
        </w:rPr>
        <w:t>年</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2"/>
          <w:sz w:val="24"/>
          <w:szCs w:val="24"/>
          <w:highlight w:val="none"/>
        </w:rPr>
        <w:t>月</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2"/>
          <w:sz w:val="24"/>
          <w:szCs w:val="24"/>
          <w:highlight w:val="none"/>
        </w:rPr>
        <w:t>日</w:t>
      </w:r>
    </w:p>
    <w:p w14:paraId="35F4B3B8">
      <w:pPr>
        <w:spacing w:line="220" w:lineRule="auto"/>
        <w:rPr>
          <w:rFonts w:ascii="宋体" w:hAnsi="宋体" w:eastAsia="宋体" w:cs="宋体"/>
          <w:color w:val="auto"/>
          <w:sz w:val="24"/>
          <w:szCs w:val="24"/>
          <w:highlight w:val="none"/>
        </w:rPr>
        <w:sectPr>
          <w:footerReference r:id="rId21" w:type="default"/>
          <w:pgSz w:w="11911" w:h="16840"/>
          <w:pgMar w:top="1429" w:right="1763" w:bottom="862" w:left="1655" w:header="0" w:footer="680" w:gutter="0"/>
          <w:cols w:space="0" w:num="1"/>
          <w:rtlGutter w:val="0"/>
          <w:docGrid w:linePitch="0" w:charSpace="0"/>
        </w:sectPr>
      </w:pPr>
    </w:p>
    <w:p w14:paraId="3B254073">
      <w:pPr>
        <w:tabs>
          <w:tab w:val="left" w:pos="2031"/>
        </w:tabs>
        <w:spacing w:before="49" w:line="391" w:lineRule="auto"/>
        <w:ind w:left="1" w:right="201" w:firstLine="469"/>
        <w:jc w:val="both"/>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65"/>
          <w:sz w:val="24"/>
          <w:szCs w:val="24"/>
          <w:highlight w:val="none"/>
        </w:rPr>
        <w:t xml:space="preserve"> </w:t>
      </w:r>
      <w:r>
        <w:rPr>
          <w:rFonts w:ascii="宋体" w:hAnsi="宋体" w:eastAsia="宋体" w:cs="宋体"/>
          <w:color w:val="auto"/>
          <w:spacing w:val="-2"/>
          <w:sz w:val="24"/>
          <w:szCs w:val="24"/>
          <w:highlight w:val="none"/>
        </w:rPr>
        <w:t>(以下简称：甲方) 通过</w:t>
      </w:r>
      <w:r>
        <w:rPr>
          <w:rFonts w:hint="eastAsia" w:ascii="宋体" w:hAnsi="宋体" w:eastAsia="宋体" w:cs="宋体"/>
          <w:color w:val="auto"/>
          <w:spacing w:val="-2"/>
          <w:sz w:val="24"/>
          <w:szCs w:val="24"/>
          <w:highlight w:val="none"/>
          <w:u w:val="single" w:color="auto"/>
          <w:lang w:val="en-US" w:eastAsia="zh-CN"/>
        </w:rPr>
        <w:t>金寨县</w:t>
      </w:r>
      <w:r>
        <w:rPr>
          <w:rFonts w:ascii="宋体" w:hAnsi="宋体" w:eastAsia="宋体" w:cs="宋体"/>
          <w:color w:val="auto"/>
          <w:spacing w:val="-2"/>
          <w:sz w:val="24"/>
          <w:szCs w:val="24"/>
          <w:highlight w:val="none"/>
          <w:u w:val="single" w:color="auto"/>
        </w:rPr>
        <w:t>政府采购中心</w:t>
      </w:r>
      <w:r>
        <w:rPr>
          <w:rFonts w:ascii="宋体" w:hAnsi="宋体" w:eastAsia="宋体" w:cs="宋体"/>
          <w:color w:val="auto"/>
          <w:spacing w:val="-2"/>
          <w:sz w:val="24"/>
          <w:szCs w:val="24"/>
          <w:highlight w:val="none"/>
        </w:rPr>
        <w:t>组织的</w:t>
      </w:r>
      <w:r>
        <w:rPr>
          <w:rFonts w:ascii="宋体" w:hAnsi="宋体" w:eastAsia="宋体" w:cs="宋体"/>
          <w:color w:val="auto"/>
          <w:spacing w:val="-2"/>
          <w:sz w:val="24"/>
          <w:szCs w:val="24"/>
          <w:highlight w:val="none"/>
          <w:u w:val="single" w:color="auto"/>
        </w:rPr>
        <w:t>框</w:t>
      </w:r>
      <w:r>
        <w:rPr>
          <w:rFonts w:ascii="宋体" w:hAnsi="宋体" w:eastAsia="宋体" w:cs="宋体"/>
          <w:color w:val="auto"/>
          <w:spacing w:val="-3"/>
          <w:sz w:val="24"/>
          <w:szCs w:val="24"/>
          <w:highlight w:val="none"/>
          <w:u w:val="single" w:color="auto"/>
        </w:rPr>
        <w:t>架协议</w:t>
      </w:r>
      <w:r>
        <w:rPr>
          <w:rFonts w:ascii="宋体" w:hAnsi="宋体" w:eastAsia="宋体" w:cs="宋体"/>
          <w:color w:val="auto"/>
          <w:spacing w:val="-3"/>
          <w:sz w:val="24"/>
          <w:szCs w:val="24"/>
          <w:highlight w:val="none"/>
        </w:rPr>
        <w:t>方式采购活动，经</w:t>
      </w:r>
      <w:r>
        <w:rPr>
          <w:rFonts w:ascii="宋体" w:hAnsi="宋体" w:eastAsia="宋体" w:cs="宋体"/>
          <w:color w:val="auto"/>
          <w:spacing w:val="-3"/>
          <w:sz w:val="24"/>
          <w:szCs w:val="24"/>
          <w:highlight w:val="none"/>
          <w:u w:val="single" w:color="auto"/>
        </w:rPr>
        <w:t>评审小组</w:t>
      </w:r>
      <w:r>
        <w:rPr>
          <w:rFonts w:ascii="宋体" w:hAnsi="宋体" w:eastAsia="宋体" w:cs="宋体"/>
          <w:color w:val="auto"/>
          <w:spacing w:val="-3"/>
          <w:sz w:val="24"/>
          <w:szCs w:val="24"/>
          <w:highlight w:val="none"/>
        </w:rPr>
        <w:t>评定，</w:t>
      </w:r>
      <w:r>
        <w:rPr>
          <w:rFonts w:ascii="宋体" w:hAnsi="宋体" w:eastAsia="宋体" w:cs="宋体"/>
          <w:color w:val="auto"/>
          <w:spacing w:val="-70"/>
          <w:sz w:val="24"/>
          <w:szCs w:val="24"/>
          <w:highlight w:val="none"/>
        </w:rPr>
        <w:t xml:space="preserve"> </w:t>
      </w:r>
      <w:r>
        <w:rPr>
          <w:rFonts w:ascii="宋体" w:hAnsi="宋体" w:eastAsia="宋体" w:cs="宋体"/>
          <w:color w:val="auto"/>
          <w:spacing w:val="-3"/>
          <w:sz w:val="24"/>
          <w:szCs w:val="24"/>
          <w:highlight w:val="none"/>
        </w:rPr>
        <w:t>(</w:t>
      </w:r>
      <w:r>
        <w:rPr>
          <w:rFonts w:ascii="宋体" w:hAnsi="宋体" w:eastAsia="宋体" w:cs="宋体"/>
          <w:color w:val="auto"/>
          <w:spacing w:val="-3"/>
          <w:sz w:val="24"/>
          <w:szCs w:val="24"/>
          <w:highlight w:val="none"/>
          <w:u w:val="single" w:color="auto"/>
        </w:rPr>
        <w:t>成交供应商名称)</w:t>
      </w:r>
      <w:r>
        <w:rPr>
          <w:rFonts w:ascii="宋体" w:hAnsi="宋体" w:eastAsia="宋体" w:cs="宋体"/>
          <w:color w:val="auto"/>
          <w:spacing w:val="51"/>
          <w:sz w:val="24"/>
          <w:szCs w:val="24"/>
          <w:highlight w:val="none"/>
        </w:rPr>
        <w:t xml:space="preserve"> </w:t>
      </w:r>
      <w:r>
        <w:rPr>
          <w:rFonts w:ascii="宋体" w:hAnsi="宋体" w:eastAsia="宋体" w:cs="宋体"/>
          <w:color w:val="auto"/>
          <w:spacing w:val="-3"/>
          <w:sz w:val="24"/>
          <w:szCs w:val="24"/>
          <w:highlight w:val="none"/>
        </w:rPr>
        <w:t>(以下简称：乙</w:t>
      </w:r>
      <w:r>
        <w:rPr>
          <w:rFonts w:ascii="宋体" w:hAnsi="宋体" w:eastAsia="宋体" w:cs="宋体"/>
          <w:color w:val="auto"/>
          <w:spacing w:val="-4"/>
          <w:sz w:val="24"/>
          <w:szCs w:val="24"/>
          <w:highlight w:val="none"/>
        </w:rPr>
        <w:t>方)</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为本项目成交供应商，现按照</w:t>
      </w:r>
      <w:r>
        <w:rPr>
          <w:rFonts w:hint="eastAsia" w:ascii="宋体" w:hAnsi="宋体" w:eastAsia="宋体" w:cs="宋体"/>
          <w:color w:val="auto"/>
          <w:spacing w:val="-1"/>
          <w:sz w:val="24"/>
          <w:szCs w:val="24"/>
          <w:highlight w:val="none"/>
          <w:lang w:eastAsia="zh-CN"/>
        </w:rPr>
        <w:t>征集文件</w:t>
      </w:r>
      <w:r>
        <w:rPr>
          <w:rFonts w:ascii="宋体" w:hAnsi="宋体" w:eastAsia="宋体" w:cs="宋体"/>
          <w:color w:val="auto"/>
          <w:spacing w:val="-1"/>
          <w:sz w:val="24"/>
          <w:szCs w:val="24"/>
          <w:highlight w:val="none"/>
        </w:rPr>
        <w:t>确定的事项签订本合同。</w:t>
      </w:r>
    </w:p>
    <w:p w14:paraId="362C905B">
      <w:pPr>
        <w:spacing w:before="32" w:line="392" w:lineRule="auto"/>
        <w:ind w:right="201" w:firstLine="48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根据《中华人民共和国民法典》、《中华人民共和</w:t>
      </w:r>
      <w:r>
        <w:rPr>
          <w:rFonts w:ascii="宋体" w:hAnsi="宋体" w:eastAsia="宋体" w:cs="宋体"/>
          <w:color w:val="auto"/>
          <w:spacing w:val="-1"/>
          <w:sz w:val="24"/>
          <w:szCs w:val="24"/>
          <w:highlight w:val="none"/>
        </w:rPr>
        <w:t>国政府采购法》等相关法</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律法规之规定，按照平等、</w:t>
      </w:r>
      <w:r>
        <w:rPr>
          <w:rFonts w:ascii="宋体" w:hAnsi="宋体" w:eastAsia="宋体" w:cs="宋体"/>
          <w:color w:val="auto"/>
          <w:spacing w:val="-61"/>
          <w:sz w:val="24"/>
          <w:szCs w:val="24"/>
          <w:highlight w:val="none"/>
        </w:rPr>
        <w:t xml:space="preserve"> </w:t>
      </w:r>
      <w:r>
        <w:rPr>
          <w:rFonts w:ascii="宋体" w:hAnsi="宋体" w:eastAsia="宋体" w:cs="宋体"/>
          <w:color w:val="auto"/>
          <w:spacing w:val="-2"/>
          <w:sz w:val="24"/>
          <w:szCs w:val="24"/>
          <w:highlight w:val="none"/>
        </w:rPr>
        <w:t>自愿、公平和诚实信用的原则，经甲方和乙方协商一</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致，约定以下合同条款，以兹共同遵守、全面履行。</w:t>
      </w:r>
    </w:p>
    <w:p w14:paraId="614653D4">
      <w:pPr>
        <w:spacing w:before="32" w:line="220" w:lineRule="auto"/>
        <w:ind w:left="498"/>
        <w:outlineLvl w:val="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1.1 合同组成部分</w:t>
      </w:r>
    </w:p>
    <w:p w14:paraId="40080BF1">
      <w:pPr>
        <w:spacing w:before="232" w:line="391" w:lineRule="auto"/>
        <w:ind w:left="4" w:right="201" w:firstLine="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下列文件为本合同的组成部分，并构成一个整体，需综合解释、相互补充。</w:t>
      </w:r>
      <w:r>
        <w:rPr>
          <w:rFonts w:ascii="宋体" w:hAnsi="宋体" w:eastAsia="宋体" w:cs="宋体"/>
          <w:color w:val="auto"/>
          <w:spacing w:val="15"/>
          <w:sz w:val="24"/>
          <w:szCs w:val="24"/>
          <w:highlight w:val="none"/>
        </w:rPr>
        <w:t xml:space="preserve"> </w:t>
      </w:r>
      <w:r>
        <w:rPr>
          <w:rFonts w:ascii="宋体" w:hAnsi="宋体" w:eastAsia="宋体" w:cs="宋体"/>
          <w:color w:val="auto"/>
          <w:sz w:val="24"/>
          <w:szCs w:val="24"/>
          <w:highlight w:val="none"/>
        </w:rPr>
        <w:t>如果下列文件内容出现不一致的情形，那么在</w:t>
      </w:r>
      <w:r>
        <w:rPr>
          <w:rFonts w:ascii="宋体" w:hAnsi="宋体" w:eastAsia="宋体" w:cs="宋体"/>
          <w:color w:val="auto"/>
          <w:spacing w:val="-1"/>
          <w:sz w:val="24"/>
          <w:szCs w:val="24"/>
          <w:highlight w:val="none"/>
        </w:rPr>
        <w:t>保证按照</w:t>
      </w:r>
      <w:r>
        <w:rPr>
          <w:rFonts w:hint="eastAsia" w:ascii="宋体" w:hAnsi="宋体" w:eastAsia="宋体" w:cs="宋体"/>
          <w:color w:val="auto"/>
          <w:spacing w:val="-1"/>
          <w:sz w:val="24"/>
          <w:szCs w:val="24"/>
          <w:highlight w:val="none"/>
          <w:lang w:eastAsia="zh-CN"/>
        </w:rPr>
        <w:t>征集文件</w:t>
      </w:r>
      <w:r>
        <w:rPr>
          <w:rFonts w:ascii="宋体" w:hAnsi="宋体" w:eastAsia="宋体" w:cs="宋体"/>
          <w:color w:val="auto"/>
          <w:spacing w:val="-1"/>
          <w:sz w:val="24"/>
          <w:szCs w:val="24"/>
          <w:highlight w:val="none"/>
        </w:rPr>
        <w:t>确定的事项前提</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下，组成本合同的多个文件的优先适用顺序如下：</w:t>
      </w:r>
    </w:p>
    <w:p w14:paraId="34C0C36A">
      <w:pPr>
        <w:spacing w:before="37" w:line="219" w:lineRule="auto"/>
        <w:ind w:left="49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1.1.1 本合同及其补充合同、变更协议；</w:t>
      </w:r>
    </w:p>
    <w:p w14:paraId="2AAA679C">
      <w:pPr>
        <w:spacing w:before="236" w:line="219" w:lineRule="auto"/>
        <w:ind w:left="49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1.1.2 成交通知书；</w:t>
      </w:r>
    </w:p>
    <w:p w14:paraId="597CE384">
      <w:pPr>
        <w:spacing w:before="234" w:line="220" w:lineRule="auto"/>
        <w:ind w:left="49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1.1.3 响应文件(含澄清或者说明文件)；</w:t>
      </w:r>
    </w:p>
    <w:p w14:paraId="6A9C5C85">
      <w:pPr>
        <w:spacing w:before="235" w:line="220" w:lineRule="auto"/>
        <w:ind w:left="49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1.1.4 征集文件(含澄清或者修改文件)；</w:t>
      </w:r>
    </w:p>
    <w:p w14:paraId="47BB0E21">
      <w:pPr>
        <w:spacing w:before="235" w:line="219" w:lineRule="auto"/>
        <w:ind w:left="49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1.1.5 其他相关采购文件。</w:t>
      </w:r>
    </w:p>
    <w:p w14:paraId="18D83795">
      <w:pPr>
        <w:spacing w:before="233" w:line="220" w:lineRule="auto"/>
        <w:ind w:left="498"/>
        <w:outlineLvl w:val="0"/>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1.2</w:t>
      </w:r>
      <w:r>
        <w:rPr>
          <w:rFonts w:ascii="宋体" w:hAnsi="宋体" w:eastAsia="宋体" w:cs="宋体"/>
          <w:color w:val="auto"/>
          <w:spacing w:val="11"/>
          <w:sz w:val="24"/>
          <w:szCs w:val="24"/>
          <w:highlight w:val="none"/>
        </w:rPr>
        <w:t xml:space="preserve"> </w:t>
      </w:r>
      <w:r>
        <w:rPr>
          <w:rFonts w:ascii="宋体" w:hAnsi="宋体" w:eastAsia="宋体" w:cs="宋体"/>
          <w:color w:val="auto"/>
          <w:spacing w:val="-8"/>
          <w:sz w:val="24"/>
          <w:szCs w:val="24"/>
          <w:highlight w:val="none"/>
        </w:rPr>
        <w:t>服务</w:t>
      </w:r>
    </w:p>
    <w:p w14:paraId="0DC72B7A">
      <w:pPr>
        <w:spacing w:before="234" w:line="311" w:lineRule="auto"/>
        <w:ind w:left="4" w:right="201" w:firstLine="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1.2.1 服务名称：</w:t>
      </w:r>
      <w:r>
        <w:rPr>
          <w:rFonts w:hint="eastAsia" w:ascii="宋体" w:hAnsi="宋体" w:eastAsia="宋体" w:cs="宋体"/>
          <w:color w:val="auto"/>
          <w:spacing w:val="-1"/>
          <w:sz w:val="24"/>
          <w:szCs w:val="24"/>
          <w:highlight w:val="none"/>
        </w:rPr>
        <w:t>2025-2027年度金寨县行政事业单位公务用车维修保养服务框架协议项目</w:t>
      </w:r>
      <w:r>
        <w:rPr>
          <w:rFonts w:ascii="宋体" w:hAnsi="宋体" w:eastAsia="宋体" w:cs="宋体"/>
          <w:color w:val="auto"/>
          <w:spacing w:val="-5"/>
          <w:sz w:val="24"/>
          <w:szCs w:val="24"/>
          <w:highlight w:val="none"/>
        </w:rPr>
        <w:t>；</w:t>
      </w:r>
    </w:p>
    <w:p w14:paraId="13C67D54">
      <w:pPr>
        <w:spacing w:before="232" w:line="364" w:lineRule="auto"/>
        <w:ind w:firstLine="49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1.2.2 服务内容：本次为</w:t>
      </w:r>
      <w:r>
        <w:rPr>
          <w:rFonts w:hint="eastAsia" w:ascii="宋体" w:hAnsi="宋体" w:eastAsia="宋体" w:cs="宋体"/>
          <w:color w:val="auto"/>
          <w:spacing w:val="-2"/>
          <w:sz w:val="24"/>
          <w:szCs w:val="24"/>
          <w:highlight w:val="none"/>
        </w:rPr>
        <w:t>2025-2027年度金寨县行政事业单位公务用车维修保养服务框架协议项目</w:t>
      </w:r>
      <w:r>
        <w:rPr>
          <w:rFonts w:ascii="宋体" w:hAnsi="宋体" w:eastAsia="宋体" w:cs="宋体"/>
          <w:color w:val="auto"/>
          <w:spacing w:val="-2"/>
          <w:sz w:val="24"/>
          <w:szCs w:val="24"/>
          <w:highlight w:val="none"/>
        </w:rPr>
        <w:t>。</w:t>
      </w:r>
      <w:r>
        <w:rPr>
          <w:rFonts w:ascii="宋体" w:hAnsi="宋体" w:eastAsia="宋体" w:cs="宋体"/>
          <w:color w:val="auto"/>
          <w:spacing w:val="7"/>
          <w:sz w:val="24"/>
          <w:szCs w:val="24"/>
          <w:highlight w:val="none"/>
        </w:rPr>
        <w:t xml:space="preserve"> </w:t>
      </w:r>
    </w:p>
    <w:p w14:paraId="5D12A99F">
      <w:pPr>
        <w:spacing w:before="232" w:line="364" w:lineRule="auto"/>
        <w:ind w:firstLine="498"/>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1.2.3 服务质量：；</w:t>
      </w:r>
    </w:p>
    <w:p w14:paraId="52002FE7">
      <w:pPr>
        <w:spacing w:before="34" w:line="219" w:lineRule="auto"/>
        <w:ind w:left="499"/>
        <w:outlineLvl w:val="0"/>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1.3</w:t>
      </w:r>
      <w:r>
        <w:rPr>
          <w:rFonts w:ascii="宋体" w:hAnsi="宋体" w:eastAsia="宋体" w:cs="宋体"/>
          <w:color w:val="auto"/>
          <w:spacing w:val="11"/>
          <w:sz w:val="24"/>
          <w:szCs w:val="24"/>
          <w:highlight w:val="none"/>
        </w:rPr>
        <w:t xml:space="preserve"> </w:t>
      </w:r>
      <w:r>
        <w:rPr>
          <w:rFonts w:ascii="宋体" w:hAnsi="宋体" w:eastAsia="宋体" w:cs="宋体"/>
          <w:color w:val="auto"/>
          <w:spacing w:val="-8"/>
          <w:sz w:val="24"/>
          <w:szCs w:val="24"/>
          <w:highlight w:val="none"/>
        </w:rPr>
        <w:t>价款</w:t>
      </w:r>
    </w:p>
    <w:p w14:paraId="0E9ED3D5">
      <w:pPr>
        <w:spacing w:before="234" w:line="347" w:lineRule="auto"/>
        <w:ind w:left="483" w:right="359" w:hanging="1"/>
        <w:rPr>
          <w:rFonts w:ascii="宋体" w:hAnsi="宋体" w:eastAsia="宋体" w:cs="宋体"/>
          <w:color w:val="auto"/>
          <w:spacing w:val="-3"/>
          <w:sz w:val="24"/>
          <w:szCs w:val="24"/>
          <w:highlight w:val="none"/>
        </w:rPr>
      </w:pPr>
      <w:r>
        <w:rPr>
          <w:rFonts w:ascii="宋体" w:hAnsi="宋体" w:eastAsia="宋体" w:cs="宋体"/>
          <w:color w:val="auto"/>
          <w:spacing w:val="-4"/>
          <w:sz w:val="24"/>
          <w:szCs w:val="24"/>
          <w:highlight w:val="none"/>
        </w:rPr>
        <w:t>本合同总价为：本合同总价为：￥</w:t>
      </w:r>
      <w:r>
        <w:rPr>
          <w:rFonts w:ascii="宋体" w:hAnsi="宋体" w:eastAsia="宋体" w:cs="宋体"/>
          <w:color w:val="auto"/>
          <w:spacing w:val="-96"/>
          <w:sz w:val="24"/>
          <w:szCs w:val="24"/>
          <w:highlight w:val="none"/>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4"/>
          <w:sz w:val="24"/>
          <w:szCs w:val="24"/>
          <w:highlight w:val="none"/>
        </w:rPr>
        <w:t>元</w:t>
      </w:r>
      <w:r>
        <w:rPr>
          <w:rFonts w:ascii="宋体" w:hAnsi="宋体" w:eastAsia="宋体" w:cs="宋体"/>
          <w:color w:val="auto"/>
          <w:spacing w:val="52"/>
          <w:sz w:val="24"/>
          <w:szCs w:val="24"/>
          <w:highlight w:val="none"/>
        </w:rPr>
        <w:t xml:space="preserve"> </w:t>
      </w:r>
      <w:r>
        <w:rPr>
          <w:rFonts w:ascii="宋体" w:hAnsi="宋体" w:eastAsia="宋体" w:cs="宋体"/>
          <w:color w:val="auto"/>
          <w:spacing w:val="-4"/>
          <w:sz w:val="24"/>
          <w:szCs w:val="24"/>
          <w:highlight w:val="none"/>
        </w:rPr>
        <w:t>(大写：人</w:t>
      </w:r>
      <w:r>
        <w:rPr>
          <w:rFonts w:ascii="宋体" w:hAnsi="宋体" w:eastAsia="宋体" w:cs="宋体"/>
          <w:color w:val="auto"/>
          <w:spacing w:val="-5"/>
          <w:sz w:val="24"/>
          <w:szCs w:val="24"/>
          <w:highlight w:val="none"/>
        </w:rPr>
        <w:t>民币</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5"/>
          <w:sz w:val="24"/>
          <w:szCs w:val="24"/>
          <w:highlight w:val="none"/>
        </w:rPr>
        <w:t>元)。</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分项价格：</w:t>
      </w:r>
    </w:p>
    <w:p w14:paraId="4178854A">
      <w:pPr>
        <w:spacing w:before="234" w:line="347" w:lineRule="auto"/>
        <w:ind w:left="483" w:right="359" w:hanging="1"/>
        <w:rPr>
          <w:rFonts w:ascii="宋体" w:hAnsi="宋体" w:eastAsia="宋体" w:cs="宋体"/>
          <w:color w:val="auto"/>
          <w:spacing w:val="-3"/>
          <w:sz w:val="24"/>
          <w:szCs w:val="24"/>
          <w:highlight w:val="none"/>
        </w:rPr>
      </w:pPr>
    </w:p>
    <w:tbl>
      <w:tblPr>
        <w:tblStyle w:val="12"/>
        <w:tblW w:w="8287" w:type="dxa"/>
        <w:tblInd w:w="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1"/>
        <w:gridCol w:w="4279"/>
        <w:gridCol w:w="3047"/>
      </w:tblGrid>
      <w:tr w14:paraId="73C41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1" w:type="dxa"/>
            <w:vAlign w:val="top"/>
          </w:tcPr>
          <w:p w14:paraId="1D554BD9">
            <w:pPr>
              <w:pStyle w:val="13"/>
              <w:spacing w:before="141" w:line="222" w:lineRule="auto"/>
              <w:ind w:left="245"/>
              <w:rPr>
                <w:color w:val="auto"/>
                <w:highlight w:val="none"/>
              </w:rPr>
            </w:pPr>
            <w:r>
              <w:rPr>
                <w:color w:val="auto"/>
                <w:spacing w:val="-5"/>
                <w:highlight w:val="none"/>
              </w:rPr>
              <w:t>序号</w:t>
            </w:r>
          </w:p>
        </w:tc>
        <w:tc>
          <w:tcPr>
            <w:tcW w:w="4279" w:type="dxa"/>
            <w:vAlign w:val="top"/>
          </w:tcPr>
          <w:p w14:paraId="77976776">
            <w:pPr>
              <w:pStyle w:val="13"/>
              <w:spacing w:before="142" w:line="221" w:lineRule="auto"/>
              <w:ind w:left="1669"/>
              <w:rPr>
                <w:color w:val="auto"/>
                <w:highlight w:val="none"/>
              </w:rPr>
            </w:pPr>
            <w:r>
              <w:rPr>
                <w:color w:val="auto"/>
                <w:spacing w:val="-4"/>
                <w:highlight w:val="none"/>
              </w:rPr>
              <w:t>分项名称</w:t>
            </w:r>
          </w:p>
        </w:tc>
        <w:tc>
          <w:tcPr>
            <w:tcW w:w="3047" w:type="dxa"/>
            <w:vAlign w:val="top"/>
          </w:tcPr>
          <w:p w14:paraId="3C904C94">
            <w:pPr>
              <w:pStyle w:val="13"/>
              <w:spacing w:before="141" w:line="219" w:lineRule="auto"/>
              <w:ind w:left="1052"/>
              <w:rPr>
                <w:color w:val="auto"/>
                <w:highlight w:val="none"/>
              </w:rPr>
            </w:pPr>
            <w:r>
              <w:rPr>
                <w:color w:val="auto"/>
                <w:spacing w:val="-4"/>
                <w:highlight w:val="none"/>
              </w:rPr>
              <w:t>分项价格</w:t>
            </w:r>
          </w:p>
        </w:tc>
      </w:tr>
      <w:tr w14:paraId="58C91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61" w:type="dxa"/>
            <w:vAlign w:val="top"/>
          </w:tcPr>
          <w:p w14:paraId="1C786965">
            <w:pPr>
              <w:pStyle w:val="13"/>
              <w:spacing w:before="177" w:line="184" w:lineRule="auto"/>
              <w:ind w:left="444"/>
              <w:rPr>
                <w:color w:val="auto"/>
                <w:highlight w:val="none"/>
              </w:rPr>
            </w:pPr>
            <w:r>
              <w:rPr>
                <w:color w:val="auto"/>
                <w:highlight w:val="none"/>
              </w:rPr>
              <w:t>1</w:t>
            </w:r>
          </w:p>
        </w:tc>
        <w:tc>
          <w:tcPr>
            <w:tcW w:w="4279" w:type="dxa"/>
            <w:vAlign w:val="top"/>
          </w:tcPr>
          <w:p w14:paraId="118F1247">
            <w:pPr>
              <w:rPr>
                <w:rFonts w:ascii="Arial"/>
                <w:color w:val="auto"/>
                <w:sz w:val="21"/>
                <w:highlight w:val="none"/>
              </w:rPr>
            </w:pPr>
          </w:p>
        </w:tc>
        <w:tc>
          <w:tcPr>
            <w:tcW w:w="3047" w:type="dxa"/>
            <w:vAlign w:val="top"/>
          </w:tcPr>
          <w:p w14:paraId="62C20DD2">
            <w:pPr>
              <w:rPr>
                <w:rFonts w:ascii="Arial"/>
                <w:color w:val="auto"/>
                <w:sz w:val="21"/>
                <w:highlight w:val="none"/>
              </w:rPr>
            </w:pPr>
          </w:p>
        </w:tc>
      </w:tr>
      <w:tr w14:paraId="7693C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61" w:type="dxa"/>
            <w:vAlign w:val="top"/>
          </w:tcPr>
          <w:p w14:paraId="32154B84">
            <w:pPr>
              <w:pStyle w:val="13"/>
              <w:spacing w:before="179" w:line="183" w:lineRule="auto"/>
              <w:ind w:left="429"/>
              <w:rPr>
                <w:color w:val="auto"/>
                <w:highlight w:val="none"/>
              </w:rPr>
            </w:pPr>
            <w:r>
              <w:rPr>
                <w:color w:val="auto"/>
                <w:highlight w:val="none"/>
              </w:rPr>
              <w:t>2</w:t>
            </w:r>
          </w:p>
        </w:tc>
        <w:tc>
          <w:tcPr>
            <w:tcW w:w="4279" w:type="dxa"/>
            <w:vAlign w:val="top"/>
          </w:tcPr>
          <w:p w14:paraId="3FF4255A">
            <w:pPr>
              <w:rPr>
                <w:rFonts w:ascii="Arial"/>
                <w:color w:val="auto"/>
                <w:sz w:val="21"/>
                <w:highlight w:val="none"/>
              </w:rPr>
            </w:pPr>
          </w:p>
        </w:tc>
        <w:tc>
          <w:tcPr>
            <w:tcW w:w="3047" w:type="dxa"/>
            <w:vAlign w:val="top"/>
          </w:tcPr>
          <w:p w14:paraId="0E59D518">
            <w:pPr>
              <w:rPr>
                <w:rFonts w:ascii="Arial"/>
                <w:color w:val="auto"/>
                <w:sz w:val="21"/>
                <w:highlight w:val="none"/>
              </w:rPr>
            </w:pPr>
          </w:p>
        </w:tc>
      </w:tr>
      <w:tr w14:paraId="70A32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61" w:type="dxa"/>
            <w:vAlign w:val="top"/>
          </w:tcPr>
          <w:p w14:paraId="7DB9560E">
            <w:pPr>
              <w:pStyle w:val="13"/>
              <w:spacing w:before="180" w:line="183" w:lineRule="auto"/>
              <w:ind w:left="431"/>
              <w:rPr>
                <w:color w:val="auto"/>
                <w:highlight w:val="none"/>
              </w:rPr>
            </w:pPr>
            <w:r>
              <w:rPr>
                <w:color w:val="auto"/>
                <w:highlight w:val="none"/>
              </w:rPr>
              <w:t>3</w:t>
            </w:r>
          </w:p>
        </w:tc>
        <w:tc>
          <w:tcPr>
            <w:tcW w:w="4279" w:type="dxa"/>
            <w:vAlign w:val="top"/>
          </w:tcPr>
          <w:p w14:paraId="06BFB4CC">
            <w:pPr>
              <w:rPr>
                <w:rFonts w:ascii="Arial"/>
                <w:color w:val="auto"/>
                <w:sz w:val="21"/>
                <w:highlight w:val="none"/>
              </w:rPr>
            </w:pPr>
          </w:p>
        </w:tc>
        <w:tc>
          <w:tcPr>
            <w:tcW w:w="3047" w:type="dxa"/>
            <w:vAlign w:val="top"/>
          </w:tcPr>
          <w:p w14:paraId="61177D2C">
            <w:pPr>
              <w:rPr>
                <w:rFonts w:ascii="Arial"/>
                <w:color w:val="auto"/>
                <w:sz w:val="21"/>
                <w:highlight w:val="none"/>
              </w:rPr>
            </w:pPr>
          </w:p>
        </w:tc>
      </w:tr>
      <w:tr w14:paraId="568F8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61" w:type="dxa"/>
            <w:vAlign w:val="top"/>
          </w:tcPr>
          <w:p w14:paraId="69C7405F">
            <w:pPr>
              <w:pStyle w:val="13"/>
              <w:spacing w:before="143" w:line="232" w:lineRule="auto"/>
              <w:ind w:left="261"/>
              <w:rPr>
                <w:color w:val="auto"/>
                <w:highlight w:val="none"/>
              </w:rPr>
            </w:pPr>
            <w:r>
              <w:rPr>
                <w:color w:val="auto"/>
                <w:spacing w:val="-13"/>
                <w:highlight w:val="none"/>
              </w:rPr>
              <w:t>……</w:t>
            </w:r>
          </w:p>
        </w:tc>
        <w:tc>
          <w:tcPr>
            <w:tcW w:w="4279" w:type="dxa"/>
            <w:vAlign w:val="top"/>
          </w:tcPr>
          <w:p w14:paraId="780B339F">
            <w:pPr>
              <w:rPr>
                <w:rFonts w:ascii="Arial"/>
                <w:color w:val="auto"/>
                <w:sz w:val="21"/>
                <w:highlight w:val="none"/>
              </w:rPr>
            </w:pPr>
          </w:p>
        </w:tc>
        <w:tc>
          <w:tcPr>
            <w:tcW w:w="3047" w:type="dxa"/>
            <w:vAlign w:val="top"/>
          </w:tcPr>
          <w:p w14:paraId="3C7F791A">
            <w:pPr>
              <w:rPr>
                <w:rFonts w:ascii="Arial"/>
                <w:color w:val="auto"/>
                <w:sz w:val="21"/>
                <w:highlight w:val="none"/>
              </w:rPr>
            </w:pPr>
          </w:p>
        </w:tc>
      </w:tr>
      <w:tr w14:paraId="04194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240" w:type="dxa"/>
            <w:gridSpan w:val="2"/>
            <w:vAlign w:val="top"/>
          </w:tcPr>
          <w:p w14:paraId="1EE7B70C">
            <w:pPr>
              <w:pStyle w:val="13"/>
              <w:spacing w:before="146" w:line="219" w:lineRule="auto"/>
              <w:ind w:left="2330"/>
              <w:rPr>
                <w:color w:val="auto"/>
                <w:highlight w:val="none"/>
              </w:rPr>
            </w:pPr>
            <w:r>
              <w:rPr>
                <w:color w:val="auto"/>
                <w:spacing w:val="-7"/>
                <w:highlight w:val="none"/>
              </w:rPr>
              <w:t>总</w:t>
            </w:r>
            <w:r>
              <w:rPr>
                <w:color w:val="auto"/>
                <w:spacing w:val="11"/>
                <w:highlight w:val="none"/>
              </w:rPr>
              <w:t xml:space="preserve"> </w:t>
            </w:r>
            <w:r>
              <w:rPr>
                <w:color w:val="auto"/>
                <w:spacing w:val="-7"/>
                <w:highlight w:val="none"/>
              </w:rPr>
              <w:t>价</w:t>
            </w:r>
          </w:p>
        </w:tc>
        <w:tc>
          <w:tcPr>
            <w:tcW w:w="3047" w:type="dxa"/>
            <w:vAlign w:val="top"/>
          </w:tcPr>
          <w:p w14:paraId="311D22DA">
            <w:pPr>
              <w:rPr>
                <w:rFonts w:ascii="Arial"/>
                <w:color w:val="auto"/>
                <w:sz w:val="21"/>
                <w:highlight w:val="none"/>
              </w:rPr>
            </w:pPr>
          </w:p>
        </w:tc>
      </w:tr>
    </w:tbl>
    <w:p w14:paraId="0864F572">
      <w:pPr>
        <w:spacing w:before="211" w:line="220" w:lineRule="auto"/>
        <w:ind w:left="499"/>
        <w:outlineLvl w:val="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1.4 付款方式和发票开具方式</w:t>
      </w:r>
    </w:p>
    <w:p w14:paraId="35EB9202">
      <w:pPr>
        <w:spacing w:before="234" w:line="309" w:lineRule="auto"/>
        <w:ind w:left="25" w:right="200" w:firstLine="47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1.4.1 付款方式：</w:t>
      </w:r>
      <w:r>
        <w:rPr>
          <w:rFonts w:hint="eastAsia"/>
          <w:b w:val="0"/>
          <w:bCs w:val="0"/>
          <w:color w:val="FF0000"/>
          <w:sz w:val="24"/>
          <w:szCs w:val="24"/>
          <w:highlight w:val="none"/>
        </w:rPr>
        <w:t>1、相应的车属单位组织相关人员对维修后的车辆按照国家和行业相关技术标准和规范要求进行验收。2、对于二级以上车辆维护、总成修理或整车修理，报修车辆维修竣工后，维修企业应填制运输管理机构统一印制的《机动车维修竣工出厂合格证》，未签发机动车维修竣工出厂合格证的车辆，不得交付使用，采购人或车辆所属单位可以拒绝接车、拒绝付费。3、所需修理的车辆维修完毕后，经车属单位验收合格后，维修费用须凭支付申请书、报修单、结算单等相关单据以及合法发票，</w:t>
      </w:r>
      <w:r>
        <w:rPr>
          <w:rFonts w:hint="eastAsia"/>
          <w:b/>
          <w:bCs/>
          <w:color w:val="FF0000"/>
          <w:sz w:val="24"/>
          <w:szCs w:val="24"/>
          <w:highlight w:val="none"/>
          <w:lang w:val="en-US" w:eastAsia="zh-CN"/>
        </w:rPr>
        <w:t>7</w:t>
      </w:r>
      <w:r>
        <w:rPr>
          <w:rFonts w:hint="eastAsia"/>
          <w:b/>
          <w:bCs/>
          <w:color w:val="FF0000"/>
          <w:sz w:val="24"/>
          <w:szCs w:val="24"/>
          <w:highlight w:val="none"/>
        </w:rPr>
        <w:t>个工作日内</w:t>
      </w:r>
      <w:r>
        <w:rPr>
          <w:rFonts w:hint="eastAsia"/>
          <w:b w:val="0"/>
          <w:bCs w:val="0"/>
          <w:color w:val="FF0000"/>
          <w:sz w:val="24"/>
          <w:szCs w:val="24"/>
          <w:highlight w:val="none"/>
        </w:rPr>
        <w:t>按财政支付的有关规定办理支付，不得使用现金支付维修费用。未经报批自行送修的车辆，车属单位有权不予结算维修费用。</w:t>
      </w:r>
    </w:p>
    <w:p w14:paraId="718C583D">
      <w:pPr>
        <w:spacing w:before="237" w:line="220" w:lineRule="auto"/>
        <w:ind w:left="49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1.4.2 发票开具方式：增值税发票。</w:t>
      </w:r>
    </w:p>
    <w:p w14:paraId="0C3B12BA">
      <w:pPr>
        <w:spacing w:before="234" w:line="220" w:lineRule="auto"/>
        <w:ind w:left="499"/>
        <w:outlineLvl w:val="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1.5 服务期限、地点和方式</w:t>
      </w:r>
    </w:p>
    <w:p w14:paraId="061395BC">
      <w:pPr>
        <w:spacing w:before="233" w:line="220" w:lineRule="auto"/>
        <w:ind w:left="49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1.5.1 服务期限：自签订本项目框架协</w:t>
      </w:r>
      <w:r>
        <w:rPr>
          <w:rFonts w:ascii="宋体" w:hAnsi="宋体" w:eastAsia="宋体" w:cs="宋体"/>
          <w:color w:val="auto"/>
          <w:sz w:val="24"/>
          <w:szCs w:val="24"/>
          <w:highlight w:val="none"/>
        </w:rPr>
        <w:t>议之日起</w:t>
      </w:r>
      <w:r>
        <w:rPr>
          <w:rFonts w:hint="eastAsia" w:ascii="宋体" w:hAnsi="宋体" w:eastAsia="宋体" w:cs="宋体"/>
          <w:color w:val="auto"/>
          <w:sz w:val="24"/>
          <w:szCs w:val="24"/>
          <w:highlight w:val="none"/>
          <w:lang w:val="en-US" w:eastAsia="zh-CN"/>
        </w:rPr>
        <w:t>24个月（自2025年7月1日起至2027年6月30日止）</w:t>
      </w:r>
      <w:r>
        <w:rPr>
          <w:rFonts w:ascii="宋体" w:hAnsi="宋体" w:eastAsia="宋体" w:cs="宋体"/>
          <w:color w:val="auto"/>
          <w:sz w:val="24"/>
          <w:szCs w:val="24"/>
          <w:highlight w:val="none"/>
        </w:rPr>
        <w:t>；</w:t>
      </w:r>
    </w:p>
    <w:p w14:paraId="00A5D9C8">
      <w:pPr>
        <w:spacing w:before="235" w:line="220" w:lineRule="auto"/>
        <w:ind w:left="49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1.5.2 服务地点：</w:t>
      </w:r>
      <w:r>
        <w:rPr>
          <w:rFonts w:hint="eastAsia" w:ascii="宋体" w:hAnsi="宋体" w:eastAsia="宋体" w:cs="宋体"/>
          <w:color w:val="auto"/>
          <w:spacing w:val="-2"/>
          <w:sz w:val="24"/>
          <w:szCs w:val="24"/>
          <w:highlight w:val="none"/>
          <w:lang w:val="en-US" w:eastAsia="zh-CN"/>
        </w:rPr>
        <w:t>金寨县</w:t>
      </w:r>
      <w:r>
        <w:rPr>
          <w:rFonts w:ascii="宋体" w:hAnsi="宋体" w:eastAsia="宋体" w:cs="宋体"/>
          <w:color w:val="auto"/>
          <w:spacing w:val="-2"/>
          <w:sz w:val="24"/>
          <w:szCs w:val="24"/>
          <w:highlight w:val="none"/>
        </w:rPr>
        <w:t>；</w:t>
      </w:r>
    </w:p>
    <w:p w14:paraId="6FA44E88">
      <w:pPr>
        <w:spacing w:before="234" w:line="220" w:lineRule="auto"/>
        <w:ind w:left="499"/>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1.5.3 服务方式：全过程服务。</w:t>
      </w:r>
    </w:p>
    <w:p w14:paraId="18EF14F7">
      <w:pPr>
        <w:spacing w:before="234" w:line="220" w:lineRule="auto"/>
        <w:ind w:left="49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1.6 违约责任</w:t>
      </w:r>
    </w:p>
    <w:p w14:paraId="5F9195F4">
      <w:pPr>
        <w:spacing w:before="234" w:line="364" w:lineRule="auto"/>
        <w:ind w:right="179" w:firstLine="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1.6.1 除不可抗力外，如果乙方没有按照本合同约定的期限、地点和方式履</w:t>
      </w:r>
      <w:r>
        <w:rPr>
          <w:rFonts w:ascii="宋体" w:hAnsi="宋体" w:eastAsia="宋体" w:cs="宋体"/>
          <w:color w:val="auto"/>
          <w:spacing w:val="7"/>
          <w:sz w:val="24"/>
          <w:szCs w:val="24"/>
          <w:highlight w:val="none"/>
        </w:rPr>
        <w:t xml:space="preserve"> </w:t>
      </w:r>
      <w:r>
        <w:rPr>
          <w:rFonts w:ascii="宋体" w:hAnsi="宋体" w:eastAsia="宋体" w:cs="宋体"/>
          <w:color w:val="auto"/>
          <w:sz w:val="24"/>
          <w:szCs w:val="24"/>
          <w:highlight w:val="none"/>
        </w:rPr>
        <w:t>行，那么甲方可要求乙方支付违约金，违约金按每迟延</w:t>
      </w:r>
      <w:r>
        <w:rPr>
          <w:rFonts w:ascii="宋体" w:hAnsi="宋体" w:eastAsia="宋体" w:cs="宋体"/>
          <w:color w:val="auto"/>
          <w:spacing w:val="-1"/>
          <w:sz w:val="24"/>
          <w:szCs w:val="24"/>
          <w:highlight w:val="none"/>
        </w:rPr>
        <w:t>履行一日的应提供而未提</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供服务价格的</w:t>
      </w:r>
      <w:r>
        <w:rPr>
          <w:rFonts w:ascii="宋体" w:hAnsi="宋体" w:eastAsia="宋体" w:cs="宋体"/>
          <w:color w:val="auto"/>
          <w:spacing w:val="-48"/>
          <w:sz w:val="24"/>
          <w:szCs w:val="24"/>
          <w:highlight w:val="none"/>
        </w:rPr>
        <w:t xml:space="preserve"> </w:t>
      </w:r>
      <w:r>
        <w:rPr>
          <w:rFonts w:ascii="宋体" w:hAnsi="宋体" w:eastAsia="宋体" w:cs="宋体"/>
          <w:color w:val="auto"/>
          <w:spacing w:val="-1"/>
          <w:sz w:val="24"/>
          <w:szCs w:val="24"/>
          <w:highlight w:val="none"/>
          <w:u w:val="single" w:color="auto"/>
        </w:rPr>
        <w:t>0.5</w:t>
      </w:r>
      <w:r>
        <w:rPr>
          <w:rFonts w:ascii="宋体" w:hAnsi="宋体" w:eastAsia="宋体" w:cs="宋体"/>
          <w:color w:val="auto"/>
          <w:spacing w:val="-1"/>
          <w:sz w:val="24"/>
          <w:szCs w:val="24"/>
          <w:highlight w:val="none"/>
        </w:rPr>
        <w:t>%计算，最高限额为本合同总价的</w:t>
      </w:r>
      <w:r>
        <w:rPr>
          <w:rFonts w:ascii="宋体" w:hAnsi="宋体" w:eastAsia="宋体" w:cs="宋体"/>
          <w:color w:val="auto"/>
          <w:spacing w:val="-46"/>
          <w:sz w:val="24"/>
          <w:szCs w:val="24"/>
          <w:highlight w:val="none"/>
        </w:rPr>
        <w:t xml:space="preserve"> </w:t>
      </w:r>
      <w:r>
        <w:rPr>
          <w:rFonts w:ascii="宋体" w:hAnsi="宋体" w:eastAsia="宋体" w:cs="宋体"/>
          <w:color w:val="auto"/>
          <w:spacing w:val="-1"/>
          <w:sz w:val="24"/>
          <w:szCs w:val="24"/>
          <w:highlight w:val="none"/>
          <w:u w:val="single" w:color="auto"/>
        </w:rPr>
        <w:t>5</w:t>
      </w:r>
      <w:r>
        <w:rPr>
          <w:rFonts w:ascii="宋体" w:hAnsi="宋体" w:eastAsia="宋体" w:cs="宋体"/>
          <w:color w:val="auto"/>
          <w:spacing w:val="-1"/>
          <w:sz w:val="24"/>
          <w:szCs w:val="24"/>
          <w:highlight w:val="none"/>
        </w:rPr>
        <w:t>%；迟延履行的违约金计算</w:t>
      </w:r>
      <w:r>
        <w:rPr>
          <w:rFonts w:ascii="宋体" w:hAnsi="宋体" w:eastAsia="宋体" w:cs="宋体"/>
          <w:color w:val="auto"/>
          <w:sz w:val="24"/>
          <w:szCs w:val="24"/>
          <w:highlight w:val="none"/>
        </w:rPr>
        <w:t>数额达到前述最高限额之日起，甲方有权在要求乙方支</w:t>
      </w:r>
      <w:r>
        <w:rPr>
          <w:rFonts w:ascii="宋体" w:hAnsi="宋体" w:eastAsia="宋体" w:cs="宋体"/>
          <w:color w:val="auto"/>
          <w:spacing w:val="-1"/>
          <w:sz w:val="24"/>
          <w:szCs w:val="24"/>
          <w:highlight w:val="none"/>
        </w:rPr>
        <w:t>付违约金的同时，书面通</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知乙方解除本合同；</w:t>
      </w:r>
    </w:p>
    <w:p w14:paraId="4F9D72DE">
      <w:pPr>
        <w:spacing w:before="233" w:line="387" w:lineRule="auto"/>
        <w:ind w:left="20" w:right="179" w:firstLine="47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1.6.2 除不可抗力外，如果甲方没有按照本合同约定的付款方式付款，那么</w:t>
      </w:r>
      <w:r>
        <w:rPr>
          <w:rFonts w:ascii="宋体" w:hAnsi="宋体" w:eastAsia="宋体" w:cs="宋体"/>
          <w:color w:val="auto"/>
          <w:spacing w:val="7"/>
          <w:sz w:val="24"/>
          <w:szCs w:val="24"/>
          <w:highlight w:val="none"/>
        </w:rPr>
        <w:t xml:space="preserve"> </w:t>
      </w:r>
      <w:r>
        <w:rPr>
          <w:rFonts w:ascii="宋体" w:hAnsi="宋体" w:eastAsia="宋体" w:cs="宋体"/>
          <w:color w:val="auto"/>
          <w:spacing w:val="-1"/>
          <w:sz w:val="24"/>
          <w:szCs w:val="24"/>
          <w:highlight w:val="none"/>
        </w:rPr>
        <w:t>乙方可要求甲方支付违约金，违约金按每迟延付款一日的应付而未付</w:t>
      </w:r>
      <w:r>
        <w:rPr>
          <w:rFonts w:ascii="宋体" w:hAnsi="宋体" w:eastAsia="宋体" w:cs="宋体"/>
          <w:color w:val="auto"/>
          <w:spacing w:val="-2"/>
          <w:sz w:val="24"/>
          <w:szCs w:val="24"/>
          <w:highlight w:val="none"/>
        </w:rPr>
        <w:t>款的</w:t>
      </w:r>
      <w:r>
        <w:rPr>
          <w:rFonts w:ascii="宋体" w:hAnsi="宋体" w:eastAsia="宋体" w:cs="宋体"/>
          <w:color w:val="auto"/>
          <w:spacing w:val="-49"/>
          <w:sz w:val="24"/>
          <w:szCs w:val="24"/>
          <w:highlight w:val="none"/>
        </w:rPr>
        <w:t xml:space="preserve"> </w:t>
      </w:r>
      <w:r>
        <w:rPr>
          <w:rFonts w:ascii="宋体" w:hAnsi="宋体" w:eastAsia="宋体" w:cs="宋体"/>
          <w:color w:val="auto"/>
          <w:spacing w:val="-2"/>
          <w:sz w:val="24"/>
          <w:szCs w:val="24"/>
          <w:highlight w:val="none"/>
          <w:u w:val="single" w:color="auto"/>
        </w:rPr>
        <w:t>0.5</w:t>
      </w:r>
      <w:r>
        <w:rPr>
          <w:rFonts w:ascii="宋体" w:hAnsi="宋体" w:eastAsia="宋体" w:cs="宋体"/>
          <w:color w:val="auto"/>
          <w:spacing w:val="-2"/>
          <w:sz w:val="24"/>
          <w:szCs w:val="24"/>
          <w:highlight w:val="none"/>
        </w:rPr>
        <w:t>%</w:t>
      </w:r>
      <w:r>
        <w:rPr>
          <w:rFonts w:ascii="宋体" w:hAnsi="宋体" w:eastAsia="宋体" w:cs="宋体"/>
          <w:color w:val="auto"/>
          <w:spacing w:val="-1"/>
          <w:sz w:val="24"/>
          <w:szCs w:val="24"/>
          <w:highlight w:val="none"/>
        </w:rPr>
        <w:t>计算，最高限额为本合同总价的</w:t>
      </w:r>
      <w:r>
        <w:rPr>
          <w:rFonts w:ascii="宋体" w:hAnsi="宋体" w:eastAsia="宋体" w:cs="宋体"/>
          <w:color w:val="auto"/>
          <w:spacing w:val="-36"/>
          <w:sz w:val="24"/>
          <w:szCs w:val="24"/>
          <w:highlight w:val="none"/>
        </w:rPr>
        <w:t xml:space="preserve"> </w:t>
      </w:r>
      <w:r>
        <w:rPr>
          <w:rFonts w:ascii="宋体" w:hAnsi="宋体" w:eastAsia="宋体" w:cs="宋体"/>
          <w:color w:val="auto"/>
          <w:spacing w:val="-1"/>
          <w:sz w:val="24"/>
          <w:szCs w:val="24"/>
          <w:highlight w:val="none"/>
          <w:u w:val="single" w:color="auto"/>
        </w:rPr>
        <w:t>5</w:t>
      </w:r>
      <w:r>
        <w:rPr>
          <w:rFonts w:ascii="宋体" w:hAnsi="宋体" w:eastAsia="宋体" w:cs="宋体"/>
          <w:color w:val="auto"/>
          <w:spacing w:val="-1"/>
          <w:sz w:val="24"/>
          <w:szCs w:val="24"/>
          <w:highlight w:val="none"/>
        </w:rPr>
        <w:t>%；迟延付款的违约金计算数额达到前述最高</w:t>
      </w:r>
      <w:r>
        <w:rPr>
          <w:rFonts w:ascii="宋体" w:hAnsi="宋体" w:eastAsia="宋体" w:cs="宋体"/>
          <w:color w:val="auto"/>
          <w:spacing w:val="-2"/>
          <w:sz w:val="24"/>
          <w:szCs w:val="24"/>
          <w:highlight w:val="none"/>
        </w:rPr>
        <w:t>限额之日起，乙方有权在要求甲方支付违约金</w:t>
      </w:r>
      <w:r>
        <w:rPr>
          <w:rFonts w:ascii="宋体" w:hAnsi="宋体" w:eastAsia="宋体" w:cs="宋体"/>
          <w:color w:val="auto"/>
          <w:spacing w:val="-3"/>
          <w:sz w:val="24"/>
          <w:szCs w:val="24"/>
          <w:highlight w:val="none"/>
        </w:rPr>
        <w:t>的同时，书面通知甲方解除本合同；</w:t>
      </w:r>
    </w:p>
    <w:p w14:paraId="7ED9FE19">
      <w:pPr>
        <w:spacing w:before="233" w:line="387" w:lineRule="auto"/>
        <w:ind w:left="20" w:right="179" w:firstLine="478"/>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1.6.3 除不可抗力外，任何一方未能履行本合同约定的其他主要义务，经催 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 或者欺诈行为(即：以谎报事实或者隐瞒真相的方法来影响对方当事人在合同签订、履行过程中的行为)的，对方当事人可以书面通知违约方解除本合同；</w:t>
      </w:r>
    </w:p>
    <w:p w14:paraId="534E5269">
      <w:pPr>
        <w:spacing w:before="236" w:line="364" w:lineRule="auto"/>
        <w:ind w:right="179" w:firstLine="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1.6.4 任何一方按照前述约定要求违约方支付违约金的同时，仍有权要求违</w:t>
      </w:r>
      <w:r>
        <w:rPr>
          <w:rFonts w:ascii="宋体" w:hAnsi="宋体" w:eastAsia="宋体" w:cs="宋体"/>
          <w:color w:val="auto"/>
          <w:spacing w:val="7"/>
          <w:sz w:val="24"/>
          <w:szCs w:val="24"/>
          <w:highlight w:val="none"/>
        </w:rPr>
        <w:t xml:space="preserve"> </w:t>
      </w:r>
      <w:r>
        <w:rPr>
          <w:rFonts w:ascii="宋体" w:hAnsi="宋体" w:eastAsia="宋体" w:cs="宋体"/>
          <w:color w:val="auto"/>
          <w:sz w:val="24"/>
          <w:szCs w:val="24"/>
          <w:highlight w:val="none"/>
        </w:rPr>
        <w:t>约方继续履行合同、采取补救措施，并有权按照己方实际</w:t>
      </w:r>
      <w:r>
        <w:rPr>
          <w:rFonts w:ascii="宋体" w:hAnsi="宋体" w:eastAsia="宋体" w:cs="宋体"/>
          <w:color w:val="auto"/>
          <w:spacing w:val="-1"/>
          <w:sz w:val="24"/>
          <w:szCs w:val="24"/>
          <w:highlight w:val="none"/>
        </w:rPr>
        <w:t>损失情况要求违约方赔</w:t>
      </w:r>
      <w:r>
        <w:rPr>
          <w:rFonts w:ascii="宋体" w:hAnsi="宋体" w:eastAsia="宋体" w:cs="宋体"/>
          <w:color w:val="auto"/>
          <w:sz w:val="24"/>
          <w:szCs w:val="24"/>
          <w:highlight w:val="none"/>
        </w:rPr>
        <w:t xml:space="preserve"> 偿损失；任何一方按照前述约定要求解除本合同的同时，</w:t>
      </w:r>
      <w:r>
        <w:rPr>
          <w:rFonts w:ascii="宋体" w:hAnsi="宋体" w:eastAsia="宋体" w:cs="宋体"/>
          <w:color w:val="auto"/>
          <w:spacing w:val="-1"/>
          <w:sz w:val="24"/>
          <w:szCs w:val="24"/>
          <w:highlight w:val="none"/>
        </w:rPr>
        <w:t>仍有权要求违约方支付</w:t>
      </w:r>
      <w:r>
        <w:rPr>
          <w:rFonts w:ascii="宋体" w:hAnsi="宋体" w:eastAsia="宋体" w:cs="宋体"/>
          <w:color w:val="auto"/>
          <w:sz w:val="24"/>
          <w:szCs w:val="24"/>
          <w:highlight w:val="none"/>
        </w:rPr>
        <w:t xml:space="preserve"> 违约金和按照己方实际损失情况要求违约方赔偿损失；且</w:t>
      </w:r>
      <w:r>
        <w:rPr>
          <w:rFonts w:ascii="宋体" w:hAnsi="宋体" w:eastAsia="宋体" w:cs="宋体"/>
          <w:color w:val="auto"/>
          <w:spacing w:val="-1"/>
          <w:sz w:val="24"/>
          <w:szCs w:val="24"/>
          <w:highlight w:val="none"/>
        </w:rPr>
        <w:t>守约方行使的任何权利</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救济方式均不视为其放弃了其他法定或者约定的权利救济方式；</w:t>
      </w:r>
    </w:p>
    <w:p w14:paraId="21D653B7">
      <w:pPr>
        <w:spacing w:before="234" w:line="355" w:lineRule="auto"/>
        <w:ind w:right="179" w:firstLine="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1.6.5 除前述约定外， 除不可抗力外，任何一方未能履行本合同约定的义</w:t>
      </w:r>
      <w:r>
        <w:rPr>
          <w:rFonts w:ascii="宋体" w:hAnsi="宋体" w:eastAsia="宋体" w:cs="宋体"/>
          <w:color w:val="auto"/>
          <w:spacing w:val="3"/>
          <w:sz w:val="24"/>
          <w:szCs w:val="24"/>
          <w:highlight w:val="none"/>
        </w:rPr>
        <w:t xml:space="preserve">  </w:t>
      </w:r>
      <w:r>
        <w:rPr>
          <w:rFonts w:ascii="宋体" w:hAnsi="宋体" w:eastAsia="宋体" w:cs="宋体"/>
          <w:color w:val="auto"/>
          <w:sz w:val="24"/>
          <w:szCs w:val="24"/>
          <w:highlight w:val="none"/>
        </w:rPr>
        <w:t>务，对方当事人均有权要求继续履行、采取补救措施或</w:t>
      </w:r>
      <w:r>
        <w:rPr>
          <w:rFonts w:ascii="宋体" w:hAnsi="宋体" w:eastAsia="宋体" w:cs="宋体"/>
          <w:color w:val="auto"/>
          <w:spacing w:val="-1"/>
          <w:sz w:val="24"/>
          <w:szCs w:val="24"/>
          <w:highlight w:val="none"/>
        </w:rPr>
        <w:t>者赔偿损失等，且对方当</w:t>
      </w:r>
      <w:r>
        <w:rPr>
          <w:rFonts w:ascii="宋体" w:hAnsi="宋体" w:eastAsia="宋体" w:cs="宋体"/>
          <w:color w:val="auto"/>
          <w:sz w:val="24"/>
          <w:szCs w:val="24"/>
          <w:highlight w:val="none"/>
        </w:rPr>
        <w:t xml:space="preserve"> 事人行使的任何权利救济方式均不视为其放弃了其他法</w:t>
      </w:r>
      <w:r>
        <w:rPr>
          <w:rFonts w:ascii="宋体" w:hAnsi="宋体" w:eastAsia="宋体" w:cs="宋体"/>
          <w:color w:val="auto"/>
          <w:spacing w:val="-1"/>
          <w:sz w:val="24"/>
          <w:szCs w:val="24"/>
          <w:highlight w:val="none"/>
        </w:rPr>
        <w:t>定或者约定的权利救济方</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式；</w:t>
      </w:r>
    </w:p>
    <w:p w14:paraId="396B9C2A">
      <w:pPr>
        <w:spacing w:before="236" w:line="364" w:lineRule="auto"/>
        <w:ind w:right="179" w:firstLine="498"/>
        <w:rPr>
          <w:rFonts w:ascii="宋体" w:hAnsi="宋体" w:eastAsia="宋体" w:cs="宋体"/>
          <w:color w:val="auto"/>
          <w:sz w:val="24"/>
          <w:szCs w:val="24"/>
          <w:highlight w:val="none"/>
        </w:rPr>
      </w:pPr>
      <w:r>
        <w:rPr>
          <w:rFonts w:ascii="宋体" w:hAnsi="宋体" w:eastAsia="宋体" w:cs="宋体"/>
          <w:color w:val="auto"/>
          <w:sz w:val="24"/>
          <w:szCs w:val="24"/>
          <w:highlight w:val="none"/>
        </w:rPr>
        <w:t>1.6.6 如果出现政府采购监督管理部门在处理投诉事项期间，书面通知甲方 暂停采购活动的情形，或者询问或质疑事项可能影响成交结果的，导致甲方中止履行合同的情形，均不视为甲方违约。</w:t>
      </w:r>
    </w:p>
    <w:p w14:paraId="27353C08">
      <w:pPr>
        <w:spacing w:before="233" w:line="220" w:lineRule="auto"/>
        <w:ind w:left="493"/>
        <w:outlineLvl w:val="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1.7 合同争议的解决</w:t>
      </w:r>
    </w:p>
    <w:p w14:paraId="6C60DCB7">
      <w:pPr>
        <w:spacing w:before="235" w:line="385" w:lineRule="auto"/>
        <w:ind w:firstLine="47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本合同履行过程中发生的任何争议，双方当事人均可通过和解或者调解解决；</w:t>
      </w:r>
      <w:r>
        <w:rPr>
          <w:rFonts w:ascii="宋体" w:hAnsi="宋体" w:eastAsia="宋体" w:cs="宋体"/>
          <w:color w:val="auto"/>
          <w:spacing w:val="1"/>
          <w:sz w:val="24"/>
          <w:szCs w:val="24"/>
          <w:highlight w:val="none"/>
        </w:rPr>
        <w:t xml:space="preserve"> </w:t>
      </w:r>
      <w:r>
        <w:rPr>
          <w:rFonts w:ascii="宋体" w:hAnsi="宋体" w:eastAsia="宋体" w:cs="宋体"/>
          <w:color w:val="auto"/>
          <w:spacing w:val="-1"/>
          <w:sz w:val="24"/>
          <w:szCs w:val="24"/>
          <w:highlight w:val="none"/>
        </w:rPr>
        <w:t>不愿和解、调解或者和解、调解不成的，可</w:t>
      </w:r>
      <w:r>
        <w:rPr>
          <w:rFonts w:ascii="宋体" w:hAnsi="宋体" w:eastAsia="宋体" w:cs="宋体"/>
          <w:color w:val="auto"/>
          <w:spacing w:val="-2"/>
          <w:sz w:val="24"/>
          <w:szCs w:val="24"/>
          <w:highlight w:val="none"/>
        </w:rPr>
        <w:t>以选择下列</w:t>
      </w:r>
      <w:r>
        <w:rPr>
          <w:rFonts w:ascii="宋体" w:hAnsi="宋体" w:eastAsia="宋体" w:cs="宋体"/>
          <w:color w:val="auto"/>
          <w:spacing w:val="-60"/>
          <w:sz w:val="24"/>
          <w:szCs w:val="24"/>
          <w:highlight w:val="none"/>
        </w:rPr>
        <w:t xml:space="preserve"> </w:t>
      </w:r>
      <w:r>
        <w:rPr>
          <w:rFonts w:ascii="宋体" w:hAnsi="宋体" w:eastAsia="宋体" w:cs="宋体"/>
          <w:color w:val="auto"/>
          <w:spacing w:val="-93"/>
          <w:sz w:val="24"/>
          <w:szCs w:val="24"/>
          <w:highlight w:val="none"/>
          <w:u w:val="single" w:color="auto"/>
        </w:rPr>
        <w:t xml:space="preserve"> </w:t>
      </w:r>
      <w:r>
        <w:rPr>
          <w:rFonts w:ascii="宋体" w:hAnsi="宋体" w:eastAsia="宋体" w:cs="宋体"/>
          <w:color w:val="auto"/>
          <w:spacing w:val="-2"/>
          <w:sz w:val="24"/>
          <w:szCs w:val="24"/>
          <w:highlight w:val="none"/>
          <w:u w:val="single" w:color="auto"/>
        </w:rPr>
        <w:t>1.7.2</w:t>
      </w:r>
      <w:r>
        <w:rPr>
          <w:rFonts w:ascii="宋体" w:hAnsi="宋体" w:eastAsia="宋体" w:cs="宋体"/>
          <w:color w:val="auto"/>
          <w:spacing w:val="-51"/>
          <w:sz w:val="24"/>
          <w:szCs w:val="24"/>
          <w:highlight w:val="none"/>
          <w:u w:val="single" w:color="auto"/>
        </w:rPr>
        <w:t xml:space="preserve"> </w:t>
      </w:r>
      <w:r>
        <w:rPr>
          <w:rFonts w:ascii="宋体" w:hAnsi="宋体" w:eastAsia="宋体" w:cs="宋体"/>
          <w:color w:val="auto"/>
          <w:spacing w:val="-2"/>
          <w:sz w:val="24"/>
          <w:szCs w:val="24"/>
          <w:highlight w:val="none"/>
        </w:rPr>
        <w:t>种方式解决：</w:t>
      </w:r>
    </w:p>
    <w:p w14:paraId="68C2E708">
      <w:pPr>
        <w:spacing w:before="38"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1.7.1 将争议提交仲裁委员会依申请仲裁时其现行有效的仲裁规则裁决；</w:t>
      </w:r>
    </w:p>
    <w:p w14:paraId="40031D0E">
      <w:pPr>
        <w:spacing w:before="235" w:line="220" w:lineRule="auto"/>
        <w:ind w:left="49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1.7.2</w:t>
      </w:r>
      <w:r>
        <w:rPr>
          <w:rFonts w:ascii="宋体" w:hAnsi="宋体" w:eastAsia="宋体" w:cs="宋体"/>
          <w:color w:val="auto"/>
          <w:spacing w:val="51"/>
          <w:sz w:val="24"/>
          <w:szCs w:val="24"/>
          <w:highlight w:val="none"/>
        </w:rPr>
        <w:t xml:space="preserve"> </w:t>
      </w:r>
      <w:r>
        <w:rPr>
          <w:rFonts w:ascii="宋体" w:hAnsi="宋体" w:eastAsia="宋体" w:cs="宋体"/>
          <w:color w:val="auto"/>
          <w:spacing w:val="-4"/>
          <w:sz w:val="24"/>
          <w:szCs w:val="24"/>
          <w:highlight w:val="none"/>
        </w:rPr>
        <w:t>向</w:t>
      </w:r>
      <w:r>
        <w:rPr>
          <w:rFonts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金寨县 </w:t>
      </w:r>
      <w:r>
        <w:rPr>
          <w:rFonts w:ascii="宋体" w:hAnsi="宋体" w:eastAsia="宋体" w:cs="宋体"/>
          <w:color w:val="auto"/>
          <w:spacing w:val="-4"/>
          <w:sz w:val="24"/>
          <w:szCs w:val="24"/>
          <w:highlight w:val="none"/>
        </w:rPr>
        <w:t>人民法院起诉。</w:t>
      </w:r>
    </w:p>
    <w:p w14:paraId="076AB7C1">
      <w:pPr>
        <w:spacing w:before="232" w:line="221" w:lineRule="auto"/>
        <w:ind w:left="493"/>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1.8</w:t>
      </w:r>
      <w:r>
        <w:rPr>
          <w:rFonts w:ascii="宋体" w:hAnsi="宋体" w:eastAsia="宋体" w:cs="宋体"/>
          <w:color w:val="auto"/>
          <w:spacing w:val="13"/>
          <w:sz w:val="24"/>
          <w:szCs w:val="24"/>
          <w:highlight w:val="none"/>
        </w:rPr>
        <w:t xml:space="preserve"> </w:t>
      </w:r>
      <w:r>
        <w:rPr>
          <w:rFonts w:ascii="宋体" w:hAnsi="宋体" w:eastAsia="宋体" w:cs="宋体"/>
          <w:color w:val="auto"/>
          <w:spacing w:val="-6"/>
          <w:sz w:val="24"/>
          <w:szCs w:val="24"/>
          <w:highlight w:val="none"/>
        </w:rPr>
        <w:t>合同生效</w:t>
      </w:r>
    </w:p>
    <w:p w14:paraId="0366DBAD">
      <w:pPr>
        <w:spacing w:before="235" w:line="219" w:lineRule="auto"/>
        <w:ind w:left="47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本合同自双方当事人盖章时生效。</w:t>
      </w:r>
    </w:p>
    <w:p w14:paraId="5005E5E4">
      <w:pPr>
        <w:spacing w:before="48" w:line="219" w:lineRule="auto"/>
        <w:ind w:left="5"/>
        <w:rPr>
          <w:rFonts w:ascii="宋体" w:hAnsi="宋体" w:eastAsia="宋体" w:cs="宋体"/>
          <w:color w:val="auto"/>
          <w:spacing w:val="-3"/>
          <w:sz w:val="24"/>
          <w:szCs w:val="24"/>
          <w:highlight w:val="none"/>
        </w:rPr>
      </w:pPr>
    </w:p>
    <w:p w14:paraId="53974343">
      <w:pPr>
        <w:spacing w:before="48" w:line="219" w:lineRule="auto"/>
        <w:ind w:left="5"/>
        <w:rPr>
          <w:rFonts w:ascii="宋体" w:hAnsi="宋体" w:eastAsia="宋体" w:cs="宋体"/>
          <w:color w:val="auto"/>
          <w:spacing w:val="-3"/>
          <w:sz w:val="24"/>
          <w:szCs w:val="24"/>
          <w:highlight w:val="none"/>
        </w:rPr>
      </w:pPr>
    </w:p>
    <w:p w14:paraId="12684C19">
      <w:pPr>
        <w:spacing w:before="48" w:line="219" w:lineRule="auto"/>
        <w:ind w:left="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（签字盖章页）</w:t>
      </w:r>
    </w:p>
    <w:p w14:paraId="5C0E2050">
      <w:pPr>
        <w:pStyle w:val="6"/>
        <w:spacing w:line="304" w:lineRule="auto"/>
        <w:rPr>
          <w:color w:val="auto"/>
          <w:highlight w:val="none"/>
        </w:rPr>
      </w:pPr>
    </w:p>
    <w:p w14:paraId="0B51E633">
      <w:pPr>
        <w:pStyle w:val="6"/>
        <w:spacing w:line="305" w:lineRule="auto"/>
        <w:rPr>
          <w:color w:val="auto"/>
          <w:highlight w:val="none"/>
        </w:rPr>
      </w:pPr>
    </w:p>
    <w:p w14:paraId="66EDF115">
      <w:pPr>
        <w:spacing w:before="78" w:line="219" w:lineRule="auto"/>
        <w:ind w:left="132"/>
        <w:rPr>
          <w:rFonts w:ascii="黑体" w:hAnsi="黑体" w:eastAsia="黑体" w:cs="黑体"/>
          <w:color w:val="auto"/>
          <w:sz w:val="24"/>
          <w:szCs w:val="24"/>
          <w:highlight w:val="none"/>
        </w:rPr>
      </w:pPr>
      <w:r>
        <w:rPr>
          <w:rFonts w:ascii="黑体" w:hAnsi="黑体" w:eastAsia="黑体" w:cs="黑体"/>
          <w:color w:val="auto"/>
          <w:spacing w:val="-7"/>
          <w:sz w:val="24"/>
          <w:szCs w:val="24"/>
          <w:highlight w:val="none"/>
        </w:rPr>
        <w:t>甲方（</w:t>
      </w:r>
      <w:r>
        <w:rPr>
          <w:rFonts w:ascii="宋体" w:hAnsi="宋体" w:eastAsia="宋体" w:cs="宋体"/>
          <w:color w:val="auto"/>
          <w:spacing w:val="-7"/>
          <w:sz w:val="24"/>
          <w:szCs w:val="24"/>
          <w:highlight w:val="none"/>
        </w:rPr>
        <w:t>盖章</w:t>
      </w:r>
      <w:r>
        <w:rPr>
          <w:rFonts w:ascii="黑体" w:hAnsi="黑体" w:eastAsia="黑体" w:cs="黑体"/>
          <w:color w:val="auto"/>
          <w:sz w:val="24"/>
          <w:szCs w:val="24"/>
          <w:highlight w:val="none"/>
        </w:rPr>
        <w:t>）：</w:t>
      </w:r>
      <w:r>
        <w:rPr>
          <w:rFonts w:ascii="黑体" w:hAnsi="黑体" w:eastAsia="黑体" w:cs="黑体"/>
          <w:color w:val="auto"/>
          <w:sz w:val="24"/>
          <w:szCs w:val="24"/>
          <w:highlight w:val="none"/>
          <w:u w:val="single" w:color="auto"/>
        </w:rPr>
        <w:t xml:space="preserve">             </w:t>
      </w:r>
    </w:p>
    <w:p w14:paraId="7C5618AB">
      <w:pPr>
        <w:pStyle w:val="6"/>
        <w:spacing w:line="324" w:lineRule="auto"/>
        <w:rPr>
          <w:color w:val="auto"/>
          <w:highlight w:val="none"/>
        </w:rPr>
      </w:pPr>
    </w:p>
    <w:p w14:paraId="533D41CE">
      <w:pPr>
        <w:spacing w:before="78" w:line="220" w:lineRule="auto"/>
        <w:ind w:left="11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w:t>
      </w:r>
    </w:p>
    <w:p w14:paraId="175F8420">
      <w:pPr>
        <w:spacing w:before="311" w:line="220" w:lineRule="auto"/>
        <w:ind w:left="11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或授权代表签字：</w:t>
      </w:r>
    </w:p>
    <w:p w14:paraId="3444307C">
      <w:pPr>
        <w:pStyle w:val="6"/>
        <w:spacing w:line="322" w:lineRule="auto"/>
        <w:rPr>
          <w:color w:val="auto"/>
          <w:highlight w:val="none"/>
        </w:rPr>
      </w:pPr>
    </w:p>
    <w:p w14:paraId="0AB28895">
      <w:pPr>
        <w:spacing w:before="79" w:line="220" w:lineRule="auto"/>
        <w:ind w:left="150"/>
        <w:rPr>
          <w:rFonts w:ascii="宋体" w:hAnsi="宋体" w:eastAsia="宋体" w:cs="宋体"/>
          <w:color w:val="auto"/>
          <w:sz w:val="24"/>
          <w:szCs w:val="24"/>
          <w:highlight w:val="none"/>
        </w:rPr>
      </w:pPr>
      <w:r>
        <w:rPr>
          <w:rFonts w:ascii="宋体" w:hAnsi="宋体" w:eastAsia="宋体" w:cs="宋体"/>
          <w:color w:val="auto"/>
          <w:spacing w:val="-20"/>
          <w:sz w:val="24"/>
          <w:szCs w:val="24"/>
          <w:highlight w:val="none"/>
        </w:rPr>
        <w:t>日</w:t>
      </w:r>
      <w:r>
        <w:rPr>
          <w:rFonts w:ascii="宋体" w:hAnsi="宋体" w:eastAsia="宋体" w:cs="宋体"/>
          <w:color w:val="auto"/>
          <w:spacing w:val="4"/>
          <w:sz w:val="24"/>
          <w:szCs w:val="24"/>
          <w:highlight w:val="none"/>
        </w:rPr>
        <w:t xml:space="preserve">   </w:t>
      </w:r>
      <w:r>
        <w:rPr>
          <w:rFonts w:ascii="宋体" w:hAnsi="宋体" w:eastAsia="宋体" w:cs="宋体"/>
          <w:color w:val="auto"/>
          <w:spacing w:val="-20"/>
          <w:sz w:val="24"/>
          <w:szCs w:val="24"/>
          <w:highlight w:val="none"/>
        </w:rPr>
        <w:t>期</w:t>
      </w:r>
      <w:r>
        <w:rPr>
          <w:rFonts w:ascii="宋体" w:hAnsi="宋体" w:eastAsia="宋体" w:cs="宋体"/>
          <w:color w:val="auto"/>
          <w:spacing w:val="-89"/>
          <w:sz w:val="24"/>
          <w:szCs w:val="24"/>
          <w:highlight w:val="none"/>
        </w:rPr>
        <w:t xml:space="preserve"> </w:t>
      </w:r>
      <w:r>
        <w:rPr>
          <w:rFonts w:ascii="宋体" w:hAnsi="宋体" w:eastAsia="宋体" w:cs="宋体"/>
          <w:color w:val="auto"/>
          <w:spacing w:val="-20"/>
          <w:sz w:val="24"/>
          <w:szCs w:val="24"/>
          <w:highlight w:val="none"/>
        </w:rPr>
        <w:t>：</w:t>
      </w:r>
      <w:r>
        <w:rPr>
          <w:rFonts w:ascii="宋体" w:hAnsi="宋体" w:eastAsia="宋体" w:cs="宋体"/>
          <w:color w:val="auto"/>
          <w:spacing w:val="2"/>
          <w:sz w:val="24"/>
          <w:szCs w:val="24"/>
          <w:highlight w:val="none"/>
        </w:rPr>
        <w:t xml:space="preserve">     </w:t>
      </w:r>
      <w:r>
        <w:rPr>
          <w:rFonts w:ascii="宋体" w:hAnsi="宋体" w:eastAsia="宋体" w:cs="宋体"/>
          <w:color w:val="auto"/>
          <w:spacing w:val="-20"/>
          <w:sz w:val="24"/>
          <w:szCs w:val="24"/>
          <w:highlight w:val="none"/>
        </w:rPr>
        <w:t>年</w:t>
      </w:r>
      <w:r>
        <w:rPr>
          <w:rFonts w:ascii="宋体" w:hAnsi="宋体" w:eastAsia="宋体" w:cs="宋体"/>
          <w:color w:val="auto"/>
          <w:spacing w:val="3"/>
          <w:sz w:val="24"/>
          <w:szCs w:val="24"/>
          <w:highlight w:val="none"/>
        </w:rPr>
        <w:t xml:space="preserve">    </w:t>
      </w:r>
      <w:r>
        <w:rPr>
          <w:rFonts w:ascii="宋体" w:hAnsi="宋体" w:eastAsia="宋体" w:cs="宋体"/>
          <w:color w:val="auto"/>
          <w:spacing w:val="-20"/>
          <w:sz w:val="24"/>
          <w:szCs w:val="24"/>
          <w:highlight w:val="none"/>
        </w:rPr>
        <w:t>月</w:t>
      </w:r>
      <w:r>
        <w:rPr>
          <w:rFonts w:ascii="宋体" w:hAnsi="宋体" w:eastAsia="宋体" w:cs="宋体"/>
          <w:color w:val="auto"/>
          <w:spacing w:val="13"/>
          <w:sz w:val="24"/>
          <w:szCs w:val="24"/>
          <w:highlight w:val="none"/>
        </w:rPr>
        <w:t xml:space="preserve">    </w:t>
      </w:r>
      <w:r>
        <w:rPr>
          <w:rFonts w:ascii="宋体" w:hAnsi="宋体" w:eastAsia="宋体" w:cs="宋体"/>
          <w:color w:val="auto"/>
          <w:spacing w:val="-20"/>
          <w:sz w:val="24"/>
          <w:szCs w:val="24"/>
          <w:highlight w:val="none"/>
        </w:rPr>
        <w:t>日</w:t>
      </w:r>
    </w:p>
    <w:p w14:paraId="17B2310A">
      <w:pPr>
        <w:pStyle w:val="6"/>
        <w:spacing w:line="251" w:lineRule="auto"/>
        <w:rPr>
          <w:color w:val="auto"/>
          <w:highlight w:val="none"/>
        </w:rPr>
      </w:pPr>
    </w:p>
    <w:p w14:paraId="353DAF7A">
      <w:pPr>
        <w:pStyle w:val="6"/>
        <w:spacing w:line="251" w:lineRule="auto"/>
        <w:rPr>
          <w:color w:val="auto"/>
          <w:highlight w:val="none"/>
        </w:rPr>
      </w:pPr>
    </w:p>
    <w:p w14:paraId="043C58AF">
      <w:pPr>
        <w:pStyle w:val="6"/>
        <w:spacing w:line="252" w:lineRule="auto"/>
        <w:rPr>
          <w:color w:val="auto"/>
          <w:highlight w:val="none"/>
        </w:rPr>
      </w:pPr>
    </w:p>
    <w:p w14:paraId="110843EF">
      <w:pPr>
        <w:pStyle w:val="6"/>
        <w:spacing w:line="252" w:lineRule="auto"/>
        <w:rPr>
          <w:color w:val="auto"/>
          <w:highlight w:val="none"/>
        </w:rPr>
      </w:pPr>
    </w:p>
    <w:p w14:paraId="34DF0730">
      <w:pPr>
        <w:spacing w:before="78" w:line="219" w:lineRule="auto"/>
        <w:ind w:left="133"/>
        <w:rPr>
          <w:rFonts w:ascii="黑体" w:hAnsi="黑体" w:eastAsia="黑体" w:cs="黑体"/>
          <w:color w:val="auto"/>
          <w:sz w:val="24"/>
          <w:szCs w:val="24"/>
          <w:highlight w:val="none"/>
        </w:rPr>
      </w:pPr>
      <w:r>
        <w:rPr>
          <w:rFonts w:ascii="黑体" w:hAnsi="黑体" w:eastAsia="黑体" w:cs="黑体"/>
          <w:color w:val="auto"/>
          <w:spacing w:val="-7"/>
          <w:sz w:val="24"/>
          <w:szCs w:val="24"/>
          <w:highlight w:val="none"/>
        </w:rPr>
        <w:t>乙方（</w:t>
      </w:r>
      <w:r>
        <w:rPr>
          <w:rFonts w:ascii="宋体" w:hAnsi="宋体" w:eastAsia="宋体" w:cs="宋体"/>
          <w:color w:val="auto"/>
          <w:spacing w:val="-7"/>
          <w:sz w:val="24"/>
          <w:szCs w:val="24"/>
          <w:highlight w:val="none"/>
        </w:rPr>
        <w:t>盖章</w:t>
      </w:r>
      <w:r>
        <w:rPr>
          <w:rFonts w:ascii="黑体" w:hAnsi="黑体" w:eastAsia="黑体" w:cs="黑体"/>
          <w:color w:val="auto"/>
          <w:sz w:val="24"/>
          <w:szCs w:val="24"/>
          <w:highlight w:val="none"/>
        </w:rPr>
        <w:t>）：</w:t>
      </w:r>
      <w:r>
        <w:rPr>
          <w:rFonts w:ascii="黑体" w:hAnsi="黑体" w:eastAsia="黑体" w:cs="黑体"/>
          <w:color w:val="auto"/>
          <w:sz w:val="24"/>
          <w:szCs w:val="24"/>
          <w:highlight w:val="none"/>
          <w:u w:val="single" w:color="auto"/>
        </w:rPr>
        <w:t xml:space="preserve">             </w:t>
      </w:r>
    </w:p>
    <w:p w14:paraId="31818DB1">
      <w:pPr>
        <w:pStyle w:val="6"/>
        <w:spacing w:line="324" w:lineRule="auto"/>
        <w:rPr>
          <w:color w:val="auto"/>
          <w:highlight w:val="none"/>
        </w:rPr>
      </w:pPr>
    </w:p>
    <w:p w14:paraId="343560C4">
      <w:pPr>
        <w:spacing w:before="79" w:line="220" w:lineRule="auto"/>
        <w:ind w:left="11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w:t>
      </w:r>
    </w:p>
    <w:p w14:paraId="2691EC7A">
      <w:pPr>
        <w:spacing w:before="309" w:line="220" w:lineRule="auto"/>
        <w:ind w:left="11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或授权代表签字：</w:t>
      </w:r>
    </w:p>
    <w:p w14:paraId="549673BB">
      <w:pPr>
        <w:pStyle w:val="6"/>
        <w:spacing w:line="322" w:lineRule="auto"/>
        <w:rPr>
          <w:color w:val="auto"/>
          <w:highlight w:val="none"/>
        </w:rPr>
      </w:pPr>
    </w:p>
    <w:p w14:paraId="590EB285">
      <w:pPr>
        <w:spacing w:before="79" w:line="220" w:lineRule="auto"/>
        <w:ind w:left="150"/>
        <w:rPr>
          <w:rFonts w:ascii="宋体" w:hAnsi="宋体" w:eastAsia="宋体" w:cs="宋体"/>
          <w:color w:val="auto"/>
          <w:sz w:val="24"/>
          <w:szCs w:val="24"/>
          <w:highlight w:val="none"/>
        </w:rPr>
      </w:pPr>
      <w:r>
        <w:rPr>
          <w:rFonts w:ascii="宋体" w:hAnsi="宋体" w:eastAsia="宋体" w:cs="宋体"/>
          <w:color w:val="auto"/>
          <w:spacing w:val="-20"/>
          <w:sz w:val="24"/>
          <w:szCs w:val="24"/>
          <w:highlight w:val="none"/>
        </w:rPr>
        <w:t>日</w:t>
      </w:r>
      <w:r>
        <w:rPr>
          <w:rFonts w:ascii="宋体" w:hAnsi="宋体" w:eastAsia="宋体" w:cs="宋体"/>
          <w:color w:val="auto"/>
          <w:spacing w:val="4"/>
          <w:sz w:val="24"/>
          <w:szCs w:val="24"/>
          <w:highlight w:val="none"/>
        </w:rPr>
        <w:t xml:space="preserve">   </w:t>
      </w:r>
      <w:r>
        <w:rPr>
          <w:rFonts w:ascii="宋体" w:hAnsi="宋体" w:eastAsia="宋体" w:cs="宋体"/>
          <w:color w:val="auto"/>
          <w:spacing w:val="-20"/>
          <w:sz w:val="24"/>
          <w:szCs w:val="24"/>
          <w:highlight w:val="none"/>
        </w:rPr>
        <w:t>期</w:t>
      </w:r>
      <w:r>
        <w:rPr>
          <w:rFonts w:ascii="宋体" w:hAnsi="宋体" w:eastAsia="宋体" w:cs="宋体"/>
          <w:color w:val="auto"/>
          <w:spacing w:val="-89"/>
          <w:sz w:val="24"/>
          <w:szCs w:val="24"/>
          <w:highlight w:val="none"/>
        </w:rPr>
        <w:t xml:space="preserve"> </w:t>
      </w:r>
      <w:r>
        <w:rPr>
          <w:rFonts w:ascii="宋体" w:hAnsi="宋体" w:eastAsia="宋体" w:cs="宋体"/>
          <w:color w:val="auto"/>
          <w:spacing w:val="-20"/>
          <w:sz w:val="24"/>
          <w:szCs w:val="24"/>
          <w:highlight w:val="none"/>
        </w:rPr>
        <w:t>：</w:t>
      </w:r>
      <w:r>
        <w:rPr>
          <w:rFonts w:ascii="宋体" w:hAnsi="宋体" w:eastAsia="宋体" w:cs="宋体"/>
          <w:color w:val="auto"/>
          <w:spacing w:val="2"/>
          <w:sz w:val="24"/>
          <w:szCs w:val="24"/>
          <w:highlight w:val="none"/>
        </w:rPr>
        <w:t xml:space="preserve">     </w:t>
      </w:r>
      <w:r>
        <w:rPr>
          <w:rFonts w:ascii="宋体" w:hAnsi="宋体" w:eastAsia="宋体" w:cs="宋体"/>
          <w:color w:val="auto"/>
          <w:spacing w:val="-20"/>
          <w:sz w:val="24"/>
          <w:szCs w:val="24"/>
          <w:highlight w:val="none"/>
        </w:rPr>
        <w:t>年</w:t>
      </w:r>
      <w:r>
        <w:rPr>
          <w:rFonts w:ascii="宋体" w:hAnsi="宋体" w:eastAsia="宋体" w:cs="宋体"/>
          <w:color w:val="auto"/>
          <w:spacing w:val="3"/>
          <w:sz w:val="24"/>
          <w:szCs w:val="24"/>
          <w:highlight w:val="none"/>
        </w:rPr>
        <w:t xml:space="preserve">    </w:t>
      </w:r>
      <w:r>
        <w:rPr>
          <w:rFonts w:ascii="宋体" w:hAnsi="宋体" w:eastAsia="宋体" w:cs="宋体"/>
          <w:color w:val="auto"/>
          <w:spacing w:val="-20"/>
          <w:sz w:val="24"/>
          <w:szCs w:val="24"/>
          <w:highlight w:val="none"/>
        </w:rPr>
        <w:t>月</w:t>
      </w:r>
      <w:r>
        <w:rPr>
          <w:rFonts w:ascii="宋体" w:hAnsi="宋体" w:eastAsia="宋体" w:cs="宋体"/>
          <w:color w:val="auto"/>
          <w:spacing w:val="13"/>
          <w:sz w:val="24"/>
          <w:szCs w:val="24"/>
          <w:highlight w:val="none"/>
        </w:rPr>
        <w:t xml:space="preserve">    </w:t>
      </w:r>
      <w:r>
        <w:rPr>
          <w:rFonts w:ascii="宋体" w:hAnsi="宋体" w:eastAsia="宋体" w:cs="宋体"/>
          <w:color w:val="auto"/>
          <w:spacing w:val="-20"/>
          <w:sz w:val="24"/>
          <w:szCs w:val="24"/>
          <w:highlight w:val="none"/>
        </w:rPr>
        <w:t>日</w:t>
      </w:r>
    </w:p>
    <w:p w14:paraId="07272C42">
      <w:pPr>
        <w:spacing w:line="220" w:lineRule="auto"/>
        <w:rPr>
          <w:rFonts w:ascii="宋体" w:hAnsi="宋体" w:eastAsia="宋体" w:cs="宋体"/>
          <w:color w:val="auto"/>
          <w:sz w:val="24"/>
          <w:szCs w:val="24"/>
          <w:highlight w:val="none"/>
        </w:rPr>
        <w:sectPr>
          <w:footerReference r:id="rId22" w:type="default"/>
          <w:pgSz w:w="11911" w:h="16840"/>
          <w:pgMar w:top="1429" w:right="1763" w:bottom="862" w:left="1655" w:header="0" w:footer="680" w:gutter="0"/>
          <w:cols w:space="0" w:num="1"/>
          <w:rtlGutter w:val="0"/>
          <w:docGrid w:linePitch="0" w:charSpace="0"/>
        </w:sectPr>
      </w:pPr>
    </w:p>
    <w:p w14:paraId="4D784CE5">
      <w:pPr>
        <w:spacing w:before="48" w:line="220" w:lineRule="auto"/>
        <w:ind w:left="298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第二部分</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合同一般条款</w:t>
      </w:r>
    </w:p>
    <w:p w14:paraId="4BB3C602">
      <w:pPr>
        <w:keepNext w:val="0"/>
        <w:keepLines w:val="0"/>
        <w:pageBreakBefore w:val="0"/>
        <w:widowControl/>
        <w:kinsoku w:val="0"/>
        <w:wordWrap/>
        <w:overflowPunct/>
        <w:topLinePunct w:val="0"/>
        <w:autoSpaceDE w:val="0"/>
        <w:autoSpaceDN w:val="0"/>
        <w:bidi w:val="0"/>
        <w:adjustRightInd w:val="0"/>
        <w:snapToGrid w:val="0"/>
        <w:spacing w:before="193" w:line="400" w:lineRule="exact"/>
        <w:ind w:left="483"/>
        <w:textAlignment w:val="baseline"/>
        <w:outlineLvl w:val="0"/>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2.1</w:t>
      </w:r>
      <w:r>
        <w:rPr>
          <w:rFonts w:ascii="宋体" w:hAnsi="宋体" w:eastAsia="宋体" w:cs="宋体"/>
          <w:color w:val="auto"/>
          <w:spacing w:val="16"/>
          <w:sz w:val="24"/>
          <w:szCs w:val="24"/>
          <w:highlight w:val="none"/>
        </w:rPr>
        <w:t xml:space="preserve"> </w:t>
      </w:r>
      <w:r>
        <w:rPr>
          <w:rFonts w:ascii="宋体" w:hAnsi="宋体" w:eastAsia="宋体" w:cs="宋体"/>
          <w:color w:val="auto"/>
          <w:spacing w:val="-6"/>
          <w:sz w:val="24"/>
          <w:szCs w:val="24"/>
          <w:highlight w:val="none"/>
        </w:rPr>
        <w:t>定义</w:t>
      </w:r>
    </w:p>
    <w:p w14:paraId="78BA1E26">
      <w:pPr>
        <w:keepNext w:val="0"/>
        <w:keepLines w:val="0"/>
        <w:pageBreakBefore w:val="0"/>
        <w:widowControl/>
        <w:kinsoku w:val="0"/>
        <w:wordWrap/>
        <w:overflowPunct/>
        <w:topLinePunct w:val="0"/>
        <w:autoSpaceDE w:val="0"/>
        <w:autoSpaceDN w:val="0"/>
        <w:bidi w:val="0"/>
        <w:adjustRightInd w:val="0"/>
        <w:snapToGrid w:val="0"/>
        <w:spacing w:before="234" w:line="400" w:lineRule="exact"/>
        <w:ind w:left="481"/>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本合同中的下列词语应按以下内容进行解释：</w:t>
      </w:r>
    </w:p>
    <w:p w14:paraId="2A34A673">
      <w:pPr>
        <w:keepNext w:val="0"/>
        <w:keepLines w:val="0"/>
        <w:pageBreakBefore w:val="0"/>
        <w:widowControl/>
        <w:kinsoku w:val="0"/>
        <w:wordWrap/>
        <w:overflowPunct/>
        <w:topLinePunct w:val="0"/>
        <w:autoSpaceDE w:val="0"/>
        <w:autoSpaceDN w:val="0"/>
        <w:bidi w:val="0"/>
        <w:adjustRightInd w:val="0"/>
        <w:snapToGrid w:val="0"/>
        <w:spacing w:before="235" w:line="400" w:lineRule="exact"/>
        <w:ind w:left="2" w:firstLine="480"/>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2.1.1 “合同</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”系指采购人和成交供应商签订的载明双方当事人</w:t>
      </w:r>
      <w:r>
        <w:rPr>
          <w:rFonts w:ascii="宋体" w:hAnsi="宋体" w:eastAsia="宋体" w:cs="宋体"/>
          <w:color w:val="auto"/>
          <w:spacing w:val="-2"/>
          <w:sz w:val="24"/>
          <w:szCs w:val="24"/>
          <w:highlight w:val="none"/>
        </w:rPr>
        <w:t>所达成的协</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议，并包括所有的附件、附录和构成合同的其他文件。</w:t>
      </w:r>
    </w:p>
    <w:p w14:paraId="4B89867D">
      <w:pPr>
        <w:keepNext w:val="0"/>
        <w:keepLines w:val="0"/>
        <w:pageBreakBefore w:val="0"/>
        <w:widowControl/>
        <w:kinsoku w:val="0"/>
        <w:wordWrap/>
        <w:overflowPunct/>
        <w:topLinePunct w:val="0"/>
        <w:autoSpaceDE w:val="0"/>
        <w:autoSpaceDN w:val="0"/>
        <w:bidi w:val="0"/>
        <w:adjustRightInd w:val="0"/>
        <w:snapToGrid w:val="0"/>
        <w:spacing w:before="234" w:line="400" w:lineRule="exact"/>
        <w:ind w:right="56" w:firstLine="483"/>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2.1.2 “合同价</w:t>
      </w:r>
      <w:r>
        <w:rPr>
          <w:rFonts w:ascii="宋体" w:hAnsi="宋体" w:eastAsia="宋体" w:cs="宋体"/>
          <w:color w:val="auto"/>
          <w:spacing w:val="-78"/>
          <w:sz w:val="24"/>
          <w:szCs w:val="24"/>
          <w:highlight w:val="none"/>
        </w:rPr>
        <w:t xml:space="preserve"> </w:t>
      </w:r>
      <w:r>
        <w:rPr>
          <w:rFonts w:ascii="宋体" w:hAnsi="宋体" w:eastAsia="宋体" w:cs="宋体"/>
          <w:color w:val="auto"/>
          <w:spacing w:val="-3"/>
          <w:sz w:val="24"/>
          <w:szCs w:val="24"/>
          <w:highlight w:val="none"/>
        </w:rPr>
        <w:t>”系指根据合同约定，成交供应商在完全履行合同义务后，</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采购人应支付给成交供应商的价格。</w:t>
      </w:r>
    </w:p>
    <w:p w14:paraId="4EF75F6C">
      <w:pPr>
        <w:keepNext w:val="0"/>
        <w:keepLines w:val="0"/>
        <w:pageBreakBefore w:val="0"/>
        <w:widowControl/>
        <w:kinsoku w:val="0"/>
        <w:wordWrap/>
        <w:overflowPunct/>
        <w:topLinePunct w:val="0"/>
        <w:autoSpaceDE w:val="0"/>
        <w:autoSpaceDN w:val="0"/>
        <w:bidi w:val="0"/>
        <w:adjustRightInd w:val="0"/>
        <w:snapToGrid w:val="0"/>
        <w:spacing w:before="236" w:line="400" w:lineRule="exact"/>
        <w:ind w:firstLine="483"/>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2.1.3 “服务</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”系指成交供应商根据合同约定应向采购人履行的</w:t>
      </w:r>
      <w:r>
        <w:rPr>
          <w:rFonts w:ascii="宋体" w:hAnsi="宋体" w:eastAsia="宋体" w:cs="宋体"/>
          <w:color w:val="auto"/>
          <w:spacing w:val="-2"/>
          <w:sz w:val="24"/>
          <w:szCs w:val="24"/>
          <w:highlight w:val="none"/>
        </w:rPr>
        <w:t>除货物和工</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程以外的其他政府采购对象， 包括采购人自身需要的服务和向社会公众提供的</w:t>
      </w:r>
      <w:r>
        <w:rPr>
          <w:rFonts w:ascii="宋体" w:hAnsi="宋体" w:eastAsia="宋体" w:cs="宋体"/>
          <w:color w:val="auto"/>
          <w:spacing w:val="10"/>
          <w:sz w:val="24"/>
          <w:szCs w:val="24"/>
          <w:highlight w:val="none"/>
        </w:rPr>
        <w:t xml:space="preserve"> </w:t>
      </w:r>
      <w:r>
        <w:rPr>
          <w:rFonts w:ascii="宋体" w:hAnsi="宋体" w:eastAsia="宋体" w:cs="宋体"/>
          <w:color w:val="auto"/>
          <w:spacing w:val="-2"/>
          <w:sz w:val="24"/>
          <w:szCs w:val="24"/>
          <w:highlight w:val="none"/>
        </w:rPr>
        <w:t>公共服务。</w:t>
      </w:r>
    </w:p>
    <w:p w14:paraId="34B28A99">
      <w:pPr>
        <w:keepNext w:val="0"/>
        <w:keepLines w:val="0"/>
        <w:pageBreakBefore w:val="0"/>
        <w:widowControl/>
        <w:kinsoku w:val="0"/>
        <w:wordWrap/>
        <w:overflowPunct/>
        <w:topLinePunct w:val="0"/>
        <w:autoSpaceDE w:val="0"/>
        <w:autoSpaceDN w:val="0"/>
        <w:bidi w:val="0"/>
        <w:adjustRightInd w:val="0"/>
        <w:snapToGrid w:val="0"/>
        <w:spacing w:before="232" w:line="400" w:lineRule="exact"/>
        <w:ind w:firstLine="483"/>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2.1.4 “</w:t>
      </w:r>
      <w:r>
        <w:rPr>
          <w:rFonts w:ascii="宋体" w:hAnsi="宋体" w:eastAsia="宋体" w:cs="宋体"/>
          <w:color w:val="auto"/>
          <w:spacing w:val="-80"/>
          <w:sz w:val="24"/>
          <w:szCs w:val="24"/>
          <w:highlight w:val="none"/>
        </w:rPr>
        <w:t xml:space="preserve"> </w:t>
      </w:r>
      <w:r>
        <w:rPr>
          <w:rFonts w:ascii="宋体" w:hAnsi="宋体" w:eastAsia="宋体" w:cs="宋体"/>
          <w:color w:val="auto"/>
          <w:spacing w:val="-2"/>
          <w:sz w:val="24"/>
          <w:szCs w:val="24"/>
          <w:highlight w:val="none"/>
        </w:rPr>
        <w:t>甲方</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”系指与成交供应商签署合同的采购人；</w:t>
      </w:r>
      <w:r>
        <w:rPr>
          <w:rFonts w:ascii="宋体" w:hAnsi="宋体" w:eastAsia="宋体" w:cs="宋体"/>
          <w:color w:val="auto"/>
          <w:spacing w:val="-3"/>
          <w:sz w:val="24"/>
          <w:szCs w:val="24"/>
          <w:highlight w:val="none"/>
        </w:rPr>
        <w:t>采购人委托采购代理</w:t>
      </w:r>
      <w:r>
        <w:rPr>
          <w:rFonts w:ascii="宋体" w:hAnsi="宋体" w:eastAsia="宋体" w:cs="宋体"/>
          <w:color w:val="auto"/>
          <w:sz w:val="24"/>
          <w:szCs w:val="24"/>
          <w:highlight w:val="none"/>
        </w:rPr>
        <w:t xml:space="preserve"> 机构代表其与乙方签订合同的，采购人的授权</w:t>
      </w:r>
      <w:r>
        <w:rPr>
          <w:rFonts w:ascii="宋体" w:hAnsi="宋体" w:eastAsia="宋体" w:cs="宋体"/>
          <w:color w:val="auto"/>
          <w:spacing w:val="-1"/>
          <w:sz w:val="24"/>
          <w:szCs w:val="24"/>
          <w:highlight w:val="none"/>
        </w:rPr>
        <w:t>委托书作为合同附件。</w:t>
      </w:r>
    </w:p>
    <w:p w14:paraId="492E51E6">
      <w:pPr>
        <w:keepNext w:val="0"/>
        <w:keepLines w:val="0"/>
        <w:pageBreakBefore w:val="0"/>
        <w:widowControl/>
        <w:kinsoku w:val="0"/>
        <w:wordWrap/>
        <w:overflowPunct/>
        <w:topLinePunct w:val="0"/>
        <w:autoSpaceDE w:val="0"/>
        <w:autoSpaceDN w:val="0"/>
        <w:bidi w:val="0"/>
        <w:adjustRightInd w:val="0"/>
        <w:snapToGrid w:val="0"/>
        <w:spacing w:before="236" w:line="400" w:lineRule="exact"/>
        <w:ind w:firstLine="482"/>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2.1.5 “</w:t>
      </w:r>
      <w:r>
        <w:rPr>
          <w:rFonts w:ascii="宋体" w:hAnsi="宋体" w:eastAsia="宋体" w:cs="宋体"/>
          <w:color w:val="auto"/>
          <w:spacing w:val="-89"/>
          <w:sz w:val="24"/>
          <w:szCs w:val="24"/>
          <w:highlight w:val="none"/>
        </w:rPr>
        <w:t xml:space="preserve"> </w:t>
      </w:r>
      <w:r>
        <w:rPr>
          <w:rFonts w:ascii="宋体" w:hAnsi="宋体" w:eastAsia="宋体" w:cs="宋体"/>
          <w:color w:val="auto"/>
          <w:spacing w:val="-2"/>
          <w:sz w:val="24"/>
          <w:szCs w:val="24"/>
          <w:highlight w:val="none"/>
        </w:rPr>
        <w:t>乙方</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”系指根据合同约定提供服务的成交供应商；两个以上的自然</w:t>
      </w:r>
      <w:r>
        <w:rPr>
          <w:rFonts w:ascii="宋体" w:hAnsi="宋体" w:eastAsia="宋体" w:cs="宋体"/>
          <w:color w:val="auto"/>
          <w:sz w:val="24"/>
          <w:szCs w:val="24"/>
          <w:highlight w:val="none"/>
        </w:rPr>
        <w:t xml:space="preserve"> 人、法人或者其他组织组成一个联合体，以一个供应商的身份共同</w:t>
      </w:r>
      <w:r>
        <w:rPr>
          <w:rFonts w:ascii="宋体" w:hAnsi="宋体" w:eastAsia="宋体" w:cs="宋体"/>
          <w:color w:val="auto"/>
          <w:spacing w:val="-1"/>
          <w:sz w:val="24"/>
          <w:szCs w:val="24"/>
          <w:highlight w:val="none"/>
        </w:rPr>
        <w:t>参加政府采购</w:t>
      </w:r>
      <w:r>
        <w:rPr>
          <w:rFonts w:ascii="宋体" w:hAnsi="宋体" w:eastAsia="宋体" w:cs="宋体"/>
          <w:color w:val="auto"/>
          <w:sz w:val="24"/>
          <w:szCs w:val="24"/>
          <w:highlight w:val="none"/>
        </w:rPr>
        <w:t xml:space="preserve"> 的，联合体各方均应为乙方或者与乙方相同地位的合同当事人，并</w:t>
      </w:r>
      <w:r>
        <w:rPr>
          <w:rFonts w:ascii="宋体" w:hAnsi="宋体" w:eastAsia="宋体" w:cs="宋体"/>
          <w:color w:val="auto"/>
          <w:spacing w:val="-1"/>
          <w:sz w:val="24"/>
          <w:szCs w:val="24"/>
          <w:highlight w:val="none"/>
        </w:rPr>
        <w:t>就合同约定的</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事项对甲方承担连带责任。</w:t>
      </w:r>
    </w:p>
    <w:p w14:paraId="5A67D350">
      <w:pPr>
        <w:keepNext w:val="0"/>
        <w:keepLines w:val="0"/>
        <w:pageBreakBefore w:val="0"/>
        <w:widowControl/>
        <w:kinsoku w:val="0"/>
        <w:wordWrap/>
        <w:overflowPunct/>
        <w:topLinePunct w:val="0"/>
        <w:autoSpaceDE w:val="0"/>
        <w:autoSpaceDN w:val="0"/>
        <w:bidi w:val="0"/>
        <w:adjustRightInd w:val="0"/>
        <w:snapToGrid w:val="0"/>
        <w:spacing w:before="233" w:line="400" w:lineRule="exact"/>
        <w:ind w:left="483"/>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2.1.6 “现场</w:t>
      </w:r>
      <w:r>
        <w:rPr>
          <w:rFonts w:ascii="宋体" w:hAnsi="宋体" w:eastAsia="宋体" w:cs="宋体"/>
          <w:color w:val="auto"/>
          <w:spacing w:val="-86"/>
          <w:sz w:val="24"/>
          <w:szCs w:val="24"/>
          <w:highlight w:val="none"/>
        </w:rPr>
        <w:t xml:space="preserve"> </w:t>
      </w:r>
      <w:r>
        <w:rPr>
          <w:rFonts w:ascii="宋体" w:hAnsi="宋体" w:eastAsia="宋体" w:cs="宋体"/>
          <w:color w:val="auto"/>
          <w:spacing w:val="-2"/>
          <w:sz w:val="24"/>
          <w:szCs w:val="24"/>
          <w:highlight w:val="none"/>
        </w:rPr>
        <w:t>”系指合同约定提供服务的地点。</w:t>
      </w:r>
    </w:p>
    <w:p w14:paraId="5D05EE6C">
      <w:pPr>
        <w:keepNext w:val="0"/>
        <w:keepLines w:val="0"/>
        <w:pageBreakBefore w:val="0"/>
        <w:widowControl/>
        <w:kinsoku w:val="0"/>
        <w:wordWrap/>
        <w:overflowPunct/>
        <w:topLinePunct w:val="0"/>
        <w:autoSpaceDE w:val="0"/>
        <w:autoSpaceDN w:val="0"/>
        <w:bidi w:val="0"/>
        <w:adjustRightInd w:val="0"/>
        <w:snapToGrid w:val="0"/>
        <w:spacing w:before="235" w:line="400" w:lineRule="exact"/>
        <w:ind w:left="483"/>
        <w:textAlignment w:val="baseline"/>
        <w:outlineLvl w:val="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2.2 技术规范</w:t>
      </w:r>
    </w:p>
    <w:p w14:paraId="7604668D">
      <w:pPr>
        <w:keepNext w:val="0"/>
        <w:keepLines w:val="0"/>
        <w:pageBreakBefore w:val="0"/>
        <w:widowControl/>
        <w:kinsoku w:val="0"/>
        <w:wordWrap/>
        <w:overflowPunct/>
        <w:topLinePunct w:val="0"/>
        <w:autoSpaceDE w:val="0"/>
        <w:autoSpaceDN w:val="0"/>
        <w:bidi w:val="0"/>
        <w:adjustRightInd w:val="0"/>
        <w:snapToGrid w:val="0"/>
        <w:spacing w:before="233" w:line="400" w:lineRule="exact"/>
        <w:ind w:left="2" w:firstLine="483"/>
        <w:jc w:val="both"/>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货物所应遵守的技术规范应与</w:t>
      </w:r>
      <w:r>
        <w:rPr>
          <w:rFonts w:hint="eastAsia" w:ascii="宋体" w:hAnsi="宋体" w:eastAsia="宋体" w:cs="宋体"/>
          <w:color w:val="auto"/>
          <w:spacing w:val="3"/>
          <w:sz w:val="24"/>
          <w:szCs w:val="24"/>
          <w:highlight w:val="none"/>
          <w:lang w:eastAsia="zh-CN"/>
        </w:rPr>
        <w:t>征集文件</w:t>
      </w:r>
      <w:r>
        <w:rPr>
          <w:rFonts w:ascii="宋体" w:hAnsi="宋体" w:eastAsia="宋体" w:cs="宋体"/>
          <w:color w:val="auto"/>
          <w:spacing w:val="3"/>
          <w:sz w:val="24"/>
          <w:szCs w:val="24"/>
          <w:highlight w:val="none"/>
        </w:rPr>
        <w:t>规定的技术规范和技术规范附件(如</w:t>
      </w:r>
      <w:r>
        <w:rPr>
          <w:rFonts w:ascii="宋体" w:hAnsi="宋体" w:eastAsia="宋体" w:cs="宋体"/>
          <w:color w:val="auto"/>
          <w:spacing w:val="9"/>
          <w:sz w:val="24"/>
          <w:szCs w:val="24"/>
          <w:highlight w:val="none"/>
        </w:rPr>
        <w:t xml:space="preserve"> </w:t>
      </w:r>
      <w:r>
        <w:rPr>
          <w:rFonts w:ascii="宋体" w:hAnsi="宋体" w:eastAsia="宋体" w:cs="宋体"/>
          <w:color w:val="auto"/>
          <w:spacing w:val="3"/>
          <w:sz w:val="24"/>
          <w:szCs w:val="24"/>
          <w:highlight w:val="none"/>
        </w:rPr>
        <w:t>果有的话)及其技术规范偏差表(如果被甲方接受的话)相一致；如果</w:t>
      </w:r>
      <w:r>
        <w:rPr>
          <w:rFonts w:hint="eastAsia" w:ascii="宋体" w:hAnsi="宋体" w:eastAsia="宋体" w:cs="宋体"/>
          <w:color w:val="auto"/>
          <w:spacing w:val="3"/>
          <w:sz w:val="24"/>
          <w:szCs w:val="24"/>
          <w:highlight w:val="none"/>
          <w:lang w:eastAsia="zh-CN"/>
        </w:rPr>
        <w:t>征集文件</w:t>
      </w:r>
      <w:r>
        <w:rPr>
          <w:rFonts w:ascii="宋体" w:hAnsi="宋体" w:eastAsia="宋体" w:cs="宋体"/>
          <w:color w:val="auto"/>
          <w:spacing w:val="3"/>
          <w:sz w:val="24"/>
          <w:szCs w:val="24"/>
          <w:highlight w:val="none"/>
        </w:rPr>
        <w:t>中</w:t>
      </w:r>
      <w:r>
        <w:rPr>
          <w:rFonts w:ascii="宋体" w:hAnsi="宋体" w:eastAsia="宋体" w:cs="宋体"/>
          <w:color w:val="auto"/>
          <w:spacing w:val="4"/>
          <w:sz w:val="24"/>
          <w:szCs w:val="24"/>
          <w:highlight w:val="none"/>
        </w:rPr>
        <w:t xml:space="preserve"> </w:t>
      </w:r>
      <w:r>
        <w:rPr>
          <w:rFonts w:ascii="宋体" w:hAnsi="宋体" w:eastAsia="宋体" w:cs="宋体"/>
          <w:color w:val="auto"/>
          <w:sz w:val="24"/>
          <w:szCs w:val="24"/>
          <w:highlight w:val="none"/>
        </w:rPr>
        <w:t>没有技术规范的相应说明，那么应以国家有关部门最新颁布的</w:t>
      </w:r>
      <w:r>
        <w:rPr>
          <w:rFonts w:ascii="宋体" w:hAnsi="宋体" w:eastAsia="宋体" w:cs="宋体"/>
          <w:color w:val="auto"/>
          <w:spacing w:val="-1"/>
          <w:sz w:val="24"/>
          <w:szCs w:val="24"/>
          <w:highlight w:val="none"/>
        </w:rPr>
        <w:t>相应标准和规范为</w:t>
      </w:r>
      <w:r>
        <w:rPr>
          <w:rFonts w:ascii="宋体" w:hAnsi="宋体" w:eastAsia="宋体" w:cs="宋体"/>
          <w:color w:val="auto"/>
          <w:sz w:val="24"/>
          <w:szCs w:val="24"/>
          <w:highlight w:val="none"/>
        </w:rPr>
        <w:t xml:space="preserve"> </w:t>
      </w:r>
      <w:r>
        <w:rPr>
          <w:rFonts w:ascii="宋体" w:hAnsi="宋体" w:eastAsia="宋体" w:cs="宋体"/>
          <w:color w:val="auto"/>
          <w:spacing w:val="-6"/>
          <w:sz w:val="24"/>
          <w:szCs w:val="24"/>
          <w:highlight w:val="none"/>
        </w:rPr>
        <w:t>准。</w:t>
      </w:r>
    </w:p>
    <w:p w14:paraId="51E8A8CC">
      <w:pPr>
        <w:keepNext w:val="0"/>
        <w:keepLines w:val="0"/>
        <w:pageBreakBefore w:val="0"/>
        <w:widowControl/>
        <w:kinsoku w:val="0"/>
        <w:wordWrap/>
        <w:overflowPunct/>
        <w:topLinePunct w:val="0"/>
        <w:autoSpaceDE w:val="0"/>
        <w:autoSpaceDN w:val="0"/>
        <w:bidi w:val="0"/>
        <w:adjustRightInd w:val="0"/>
        <w:snapToGrid w:val="0"/>
        <w:spacing w:before="32" w:line="400" w:lineRule="exact"/>
        <w:ind w:left="483"/>
        <w:textAlignment w:val="baseline"/>
        <w:outlineLvl w:val="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2.3</w:t>
      </w:r>
      <w:r>
        <w:rPr>
          <w:rFonts w:ascii="宋体" w:hAnsi="宋体" w:eastAsia="宋体" w:cs="宋体"/>
          <w:color w:val="auto"/>
          <w:spacing w:val="14"/>
          <w:sz w:val="24"/>
          <w:szCs w:val="24"/>
          <w:highlight w:val="none"/>
        </w:rPr>
        <w:t xml:space="preserve"> </w:t>
      </w:r>
      <w:r>
        <w:rPr>
          <w:rFonts w:ascii="宋体" w:hAnsi="宋体" w:eastAsia="宋体" w:cs="宋体"/>
          <w:color w:val="auto"/>
          <w:spacing w:val="-4"/>
          <w:sz w:val="24"/>
          <w:szCs w:val="24"/>
          <w:highlight w:val="none"/>
        </w:rPr>
        <w:t>知识产权</w:t>
      </w:r>
    </w:p>
    <w:p w14:paraId="6087E072">
      <w:pPr>
        <w:keepNext w:val="0"/>
        <w:keepLines w:val="0"/>
        <w:pageBreakBefore w:val="0"/>
        <w:widowControl/>
        <w:kinsoku w:val="0"/>
        <w:wordWrap/>
        <w:overflowPunct/>
        <w:topLinePunct w:val="0"/>
        <w:autoSpaceDE w:val="0"/>
        <w:autoSpaceDN w:val="0"/>
        <w:bidi w:val="0"/>
        <w:adjustRightInd w:val="0"/>
        <w:snapToGrid w:val="0"/>
        <w:spacing w:before="234" w:line="400" w:lineRule="exact"/>
        <w:ind w:firstLine="483"/>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2.3.1 乙方应保证其提供的服务不受任何第三方提出的</w:t>
      </w:r>
      <w:r>
        <w:rPr>
          <w:rFonts w:ascii="宋体" w:hAnsi="宋体" w:eastAsia="宋体" w:cs="宋体"/>
          <w:color w:val="auto"/>
          <w:spacing w:val="-1"/>
          <w:sz w:val="24"/>
          <w:szCs w:val="24"/>
          <w:highlight w:val="none"/>
        </w:rPr>
        <w:t>侵犯其著作权、商标</w:t>
      </w:r>
      <w:r>
        <w:rPr>
          <w:rFonts w:ascii="宋体" w:hAnsi="宋体" w:eastAsia="宋体" w:cs="宋体"/>
          <w:color w:val="auto"/>
          <w:sz w:val="24"/>
          <w:szCs w:val="24"/>
          <w:highlight w:val="none"/>
        </w:rPr>
        <w:t xml:space="preserve"> 权、专利权等知识产权方面的起诉；如果任何第三方提出侵权指控，</w:t>
      </w:r>
      <w:r>
        <w:rPr>
          <w:rFonts w:ascii="宋体" w:hAnsi="宋体" w:eastAsia="宋体" w:cs="宋体"/>
          <w:color w:val="auto"/>
          <w:spacing w:val="-1"/>
          <w:sz w:val="24"/>
          <w:szCs w:val="24"/>
          <w:highlight w:val="none"/>
        </w:rPr>
        <w:t>那么乙方须</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与该第三方交涉并承担由此发生的一切责任、费用和赔偿；</w:t>
      </w:r>
    </w:p>
    <w:p w14:paraId="23156A9A">
      <w:pPr>
        <w:keepNext w:val="0"/>
        <w:keepLines w:val="0"/>
        <w:pageBreakBefore w:val="0"/>
        <w:widowControl/>
        <w:kinsoku w:val="0"/>
        <w:wordWrap/>
        <w:overflowPunct/>
        <w:topLinePunct w:val="0"/>
        <w:autoSpaceDE w:val="0"/>
        <w:autoSpaceDN w:val="0"/>
        <w:bidi w:val="0"/>
        <w:adjustRightInd w:val="0"/>
        <w:snapToGrid w:val="0"/>
        <w:spacing w:before="235" w:line="400" w:lineRule="exact"/>
        <w:ind w:left="2" w:firstLine="480"/>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2.3.2 具有知识产权的计算机软件等货物的知识产权归属， 详见</w:t>
      </w:r>
      <w:r>
        <w:rPr>
          <w:rFonts w:ascii="宋体" w:hAnsi="宋体" w:eastAsia="宋体" w:cs="宋体"/>
          <w:color w:val="auto"/>
          <w:spacing w:val="3"/>
          <w:sz w:val="24"/>
          <w:szCs w:val="24"/>
          <w:highlight w:val="none"/>
          <w:u w:val="single" w:color="auto"/>
        </w:rPr>
        <w:t>合同专用</w:t>
      </w:r>
      <w:r>
        <w:rPr>
          <w:rFonts w:ascii="宋体" w:hAnsi="宋体" w:eastAsia="宋体" w:cs="宋体"/>
          <w:color w:val="auto"/>
          <w:spacing w:val="3"/>
          <w:sz w:val="24"/>
          <w:szCs w:val="24"/>
          <w:highlight w:val="none"/>
        </w:rPr>
        <w:t xml:space="preserve"> </w:t>
      </w:r>
      <w:r>
        <w:rPr>
          <w:rFonts w:ascii="宋体" w:hAnsi="宋体" w:eastAsia="宋体" w:cs="宋体"/>
          <w:color w:val="auto"/>
          <w:spacing w:val="-8"/>
          <w:sz w:val="24"/>
          <w:szCs w:val="24"/>
          <w:highlight w:val="none"/>
          <w:u w:val="single" w:color="auto"/>
        </w:rPr>
        <w:t>条</w:t>
      </w:r>
      <w:r>
        <w:rPr>
          <w:rFonts w:ascii="宋体" w:hAnsi="宋体" w:eastAsia="宋体" w:cs="宋体"/>
          <w:color w:val="auto"/>
          <w:spacing w:val="11"/>
          <w:sz w:val="24"/>
          <w:szCs w:val="24"/>
          <w:highlight w:val="none"/>
          <w:u w:val="single" w:color="auto"/>
        </w:rPr>
        <w:t xml:space="preserve"> </w:t>
      </w:r>
      <w:r>
        <w:rPr>
          <w:rFonts w:ascii="宋体" w:hAnsi="宋体" w:eastAsia="宋体" w:cs="宋体"/>
          <w:color w:val="auto"/>
          <w:spacing w:val="-8"/>
          <w:sz w:val="24"/>
          <w:szCs w:val="24"/>
          <w:highlight w:val="none"/>
          <w:u w:val="single" w:color="auto"/>
        </w:rPr>
        <w:t>款</w:t>
      </w:r>
      <w:r>
        <w:rPr>
          <w:rFonts w:ascii="宋体" w:hAnsi="宋体" w:eastAsia="宋体" w:cs="宋体"/>
          <w:color w:val="auto"/>
          <w:spacing w:val="-8"/>
          <w:sz w:val="24"/>
          <w:szCs w:val="24"/>
          <w:highlight w:val="none"/>
        </w:rPr>
        <w:t>。</w:t>
      </w:r>
    </w:p>
    <w:p w14:paraId="03CF79B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color w:val="auto"/>
          <w:sz w:val="24"/>
          <w:szCs w:val="24"/>
          <w:highlight w:val="none"/>
        </w:rPr>
        <w:sectPr>
          <w:footerReference r:id="rId23" w:type="default"/>
          <w:pgSz w:w="11911" w:h="16840"/>
          <w:pgMar w:top="1429" w:right="1763" w:bottom="862" w:left="1655" w:header="0" w:footer="680" w:gutter="0"/>
          <w:cols w:space="0" w:num="1"/>
          <w:rtlGutter w:val="0"/>
          <w:docGrid w:linePitch="0" w:charSpace="0"/>
        </w:sectPr>
      </w:pPr>
    </w:p>
    <w:p w14:paraId="630ED0A1">
      <w:pPr>
        <w:keepNext w:val="0"/>
        <w:keepLines w:val="0"/>
        <w:pageBreakBefore w:val="0"/>
        <w:widowControl/>
        <w:kinsoku w:val="0"/>
        <w:wordWrap/>
        <w:overflowPunct/>
        <w:topLinePunct w:val="0"/>
        <w:autoSpaceDE w:val="0"/>
        <w:autoSpaceDN w:val="0"/>
        <w:bidi w:val="0"/>
        <w:adjustRightInd w:val="0"/>
        <w:snapToGrid w:val="0"/>
        <w:spacing w:before="48" w:line="400" w:lineRule="exact"/>
        <w:ind w:left="482"/>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2.4 履约检查和问题反馈</w:t>
      </w:r>
    </w:p>
    <w:p w14:paraId="73F85B64">
      <w:pPr>
        <w:keepNext w:val="0"/>
        <w:keepLines w:val="0"/>
        <w:pageBreakBefore w:val="0"/>
        <w:widowControl/>
        <w:kinsoku w:val="0"/>
        <w:wordWrap/>
        <w:overflowPunct/>
        <w:topLinePunct w:val="0"/>
        <w:autoSpaceDE w:val="0"/>
        <w:autoSpaceDN w:val="0"/>
        <w:bidi w:val="0"/>
        <w:adjustRightInd w:val="0"/>
        <w:snapToGrid w:val="0"/>
        <w:spacing w:before="234" w:line="400" w:lineRule="exact"/>
        <w:ind w:left="3" w:right="115" w:firstLine="479"/>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2.4.1</w:t>
      </w:r>
      <w:r>
        <w:rPr>
          <w:rFonts w:ascii="宋体" w:hAnsi="宋体" w:eastAsia="宋体" w:cs="宋体"/>
          <w:color w:val="auto"/>
          <w:spacing w:val="40"/>
          <w:sz w:val="24"/>
          <w:szCs w:val="24"/>
          <w:highlight w:val="none"/>
        </w:rPr>
        <w:t xml:space="preserve"> </w:t>
      </w:r>
      <w:r>
        <w:rPr>
          <w:rFonts w:ascii="宋体" w:hAnsi="宋体" w:eastAsia="宋体" w:cs="宋体"/>
          <w:color w:val="auto"/>
          <w:spacing w:val="-1"/>
          <w:sz w:val="24"/>
          <w:szCs w:val="24"/>
          <w:highlight w:val="none"/>
        </w:rPr>
        <w:t>甲方有权在其认为必要时，对乙方是</w:t>
      </w:r>
      <w:r>
        <w:rPr>
          <w:rFonts w:ascii="宋体" w:hAnsi="宋体" w:eastAsia="宋体" w:cs="宋体"/>
          <w:color w:val="auto"/>
          <w:spacing w:val="-2"/>
          <w:sz w:val="24"/>
          <w:szCs w:val="24"/>
          <w:highlight w:val="none"/>
        </w:rPr>
        <w:t>否能够按照合同约定提供服务进</w:t>
      </w:r>
      <w:r>
        <w:rPr>
          <w:rFonts w:ascii="宋体" w:hAnsi="宋体" w:eastAsia="宋体" w:cs="宋体"/>
          <w:color w:val="auto"/>
          <w:sz w:val="24"/>
          <w:szCs w:val="24"/>
          <w:highlight w:val="none"/>
        </w:rPr>
        <w:t xml:space="preserve"> 行履约检查，以确保乙方所提供的服务能够依约满足甲方</w:t>
      </w:r>
      <w:r>
        <w:rPr>
          <w:rFonts w:ascii="宋体" w:hAnsi="宋体" w:eastAsia="宋体" w:cs="宋体"/>
          <w:color w:val="auto"/>
          <w:spacing w:val="-1"/>
          <w:sz w:val="24"/>
          <w:szCs w:val="24"/>
          <w:highlight w:val="none"/>
        </w:rPr>
        <w:t>项目需求，但不得因履</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约检查妨碍乙方的正常工作，乙方应予积极配合；</w:t>
      </w:r>
    </w:p>
    <w:p w14:paraId="022AD4DA">
      <w:pPr>
        <w:keepNext w:val="0"/>
        <w:keepLines w:val="0"/>
        <w:pageBreakBefore w:val="0"/>
        <w:widowControl/>
        <w:kinsoku w:val="0"/>
        <w:wordWrap/>
        <w:overflowPunct/>
        <w:topLinePunct w:val="0"/>
        <w:autoSpaceDE w:val="0"/>
        <w:autoSpaceDN w:val="0"/>
        <w:bidi w:val="0"/>
        <w:adjustRightInd w:val="0"/>
        <w:snapToGrid w:val="0"/>
        <w:spacing w:before="234" w:line="400" w:lineRule="exact"/>
        <w:ind w:left="15" w:right="115" w:firstLine="467"/>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2.4.2 合同履行期间，甲方有权将履行过程中出现的问</w:t>
      </w:r>
      <w:r>
        <w:rPr>
          <w:rFonts w:ascii="宋体" w:hAnsi="宋体" w:eastAsia="宋体" w:cs="宋体"/>
          <w:color w:val="auto"/>
          <w:spacing w:val="-1"/>
          <w:sz w:val="24"/>
          <w:szCs w:val="24"/>
          <w:highlight w:val="none"/>
        </w:rPr>
        <w:t>题反馈给乙方，双方</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当事人应以书面形式约定需要完善和改进的内容。</w:t>
      </w:r>
    </w:p>
    <w:p w14:paraId="2B95434C">
      <w:pPr>
        <w:keepNext w:val="0"/>
        <w:keepLines w:val="0"/>
        <w:pageBreakBefore w:val="0"/>
        <w:widowControl/>
        <w:kinsoku w:val="0"/>
        <w:wordWrap/>
        <w:overflowPunct/>
        <w:topLinePunct w:val="0"/>
        <w:autoSpaceDE w:val="0"/>
        <w:autoSpaceDN w:val="0"/>
        <w:bidi w:val="0"/>
        <w:adjustRightInd w:val="0"/>
        <w:snapToGrid w:val="0"/>
        <w:spacing w:before="233" w:line="400" w:lineRule="exact"/>
        <w:ind w:left="482"/>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2.5 结算方式和付款条件详见</w:t>
      </w:r>
      <w:r>
        <w:rPr>
          <w:rFonts w:ascii="宋体" w:hAnsi="宋体" w:eastAsia="宋体" w:cs="宋体"/>
          <w:color w:val="auto"/>
          <w:spacing w:val="-1"/>
          <w:sz w:val="24"/>
          <w:szCs w:val="24"/>
          <w:highlight w:val="none"/>
          <w:u w:val="single" w:color="auto"/>
        </w:rPr>
        <w:t>合同专用条款</w:t>
      </w:r>
      <w:r>
        <w:rPr>
          <w:rFonts w:ascii="宋体" w:hAnsi="宋体" w:eastAsia="宋体" w:cs="宋体"/>
          <w:color w:val="auto"/>
          <w:spacing w:val="-1"/>
          <w:sz w:val="24"/>
          <w:szCs w:val="24"/>
          <w:highlight w:val="none"/>
        </w:rPr>
        <w:t>。</w:t>
      </w:r>
    </w:p>
    <w:p w14:paraId="23093B88">
      <w:pPr>
        <w:keepNext w:val="0"/>
        <w:keepLines w:val="0"/>
        <w:pageBreakBefore w:val="0"/>
        <w:widowControl/>
        <w:kinsoku w:val="0"/>
        <w:wordWrap/>
        <w:overflowPunct/>
        <w:topLinePunct w:val="0"/>
        <w:autoSpaceDE w:val="0"/>
        <w:autoSpaceDN w:val="0"/>
        <w:bidi w:val="0"/>
        <w:adjustRightInd w:val="0"/>
        <w:snapToGrid w:val="0"/>
        <w:spacing w:before="234" w:line="400" w:lineRule="exact"/>
        <w:ind w:left="482"/>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2.6 技术资料和保密义务</w:t>
      </w:r>
    </w:p>
    <w:p w14:paraId="09820ABE">
      <w:pPr>
        <w:keepNext w:val="0"/>
        <w:keepLines w:val="0"/>
        <w:pageBreakBefore w:val="0"/>
        <w:widowControl/>
        <w:kinsoku w:val="0"/>
        <w:wordWrap/>
        <w:overflowPunct/>
        <w:topLinePunct w:val="0"/>
        <w:autoSpaceDE w:val="0"/>
        <w:autoSpaceDN w:val="0"/>
        <w:bidi w:val="0"/>
        <w:adjustRightInd w:val="0"/>
        <w:snapToGrid w:val="0"/>
        <w:spacing w:before="235" w:line="400" w:lineRule="exact"/>
        <w:ind w:left="10" w:right="115" w:firstLine="472"/>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2.6.1 乙方有权依据合同约定和项目需要，向甲方了解</w:t>
      </w:r>
      <w:r>
        <w:rPr>
          <w:rFonts w:ascii="宋体" w:hAnsi="宋体" w:eastAsia="宋体" w:cs="宋体"/>
          <w:color w:val="auto"/>
          <w:spacing w:val="-1"/>
          <w:sz w:val="24"/>
          <w:szCs w:val="24"/>
          <w:highlight w:val="none"/>
        </w:rPr>
        <w:t>有关情况，调阅有关</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资料等，甲方应予积极配合；</w:t>
      </w:r>
    </w:p>
    <w:p w14:paraId="0F7E4B6F">
      <w:pPr>
        <w:keepNext w:val="0"/>
        <w:keepLines w:val="0"/>
        <w:pageBreakBefore w:val="0"/>
        <w:widowControl/>
        <w:kinsoku w:val="0"/>
        <w:wordWrap/>
        <w:overflowPunct/>
        <w:topLinePunct w:val="0"/>
        <w:autoSpaceDE w:val="0"/>
        <w:autoSpaceDN w:val="0"/>
        <w:bidi w:val="0"/>
        <w:adjustRightInd w:val="0"/>
        <w:snapToGrid w:val="0"/>
        <w:spacing w:before="236" w:line="400" w:lineRule="exact"/>
        <w:ind w:left="482"/>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2.6.2 乙方有义务妥善保管和保护由</w:t>
      </w:r>
      <w:r>
        <w:rPr>
          <w:rFonts w:ascii="宋体" w:hAnsi="宋体" w:eastAsia="宋体" w:cs="宋体"/>
          <w:color w:val="auto"/>
          <w:spacing w:val="-1"/>
          <w:sz w:val="24"/>
          <w:szCs w:val="24"/>
          <w:highlight w:val="none"/>
        </w:rPr>
        <w:t>甲方提供的前款信息和资料等；</w:t>
      </w:r>
    </w:p>
    <w:p w14:paraId="6681DF6D">
      <w:pPr>
        <w:keepNext w:val="0"/>
        <w:keepLines w:val="0"/>
        <w:pageBreakBefore w:val="0"/>
        <w:widowControl/>
        <w:kinsoku w:val="0"/>
        <w:wordWrap/>
        <w:overflowPunct/>
        <w:topLinePunct w:val="0"/>
        <w:autoSpaceDE w:val="0"/>
        <w:autoSpaceDN w:val="0"/>
        <w:bidi w:val="0"/>
        <w:adjustRightInd w:val="0"/>
        <w:snapToGrid w:val="0"/>
        <w:spacing w:before="234" w:line="400" w:lineRule="exact"/>
        <w:ind w:right="115" w:firstLine="481"/>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2.6.3 除非依照法律规定或者对方当事人的书面同意，</w:t>
      </w:r>
      <w:r>
        <w:rPr>
          <w:rFonts w:ascii="宋体" w:hAnsi="宋体" w:eastAsia="宋体" w:cs="宋体"/>
          <w:color w:val="auto"/>
          <w:spacing w:val="-1"/>
          <w:sz w:val="24"/>
          <w:szCs w:val="24"/>
          <w:highlight w:val="none"/>
        </w:rPr>
        <w:t>任何一方均应保证不</w:t>
      </w:r>
      <w:r>
        <w:rPr>
          <w:rFonts w:ascii="宋体" w:hAnsi="宋体" w:eastAsia="宋体" w:cs="宋体"/>
          <w:color w:val="auto"/>
          <w:sz w:val="24"/>
          <w:szCs w:val="24"/>
          <w:highlight w:val="none"/>
        </w:rPr>
        <w:t>向任何第三方提供或披露有关合同的或者履行合同过程中知悉的</w:t>
      </w:r>
      <w:r>
        <w:rPr>
          <w:rFonts w:ascii="宋体" w:hAnsi="宋体" w:eastAsia="宋体" w:cs="宋体"/>
          <w:color w:val="auto"/>
          <w:spacing w:val="-1"/>
          <w:sz w:val="24"/>
          <w:szCs w:val="24"/>
          <w:highlight w:val="none"/>
        </w:rPr>
        <w:t>对方当事人任何</w:t>
      </w:r>
      <w:r>
        <w:rPr>
          <w:rFonts w:ascii="宋体" w:hAnsi="宋体" w:eastAsia="宋体" w:cs="宋体"/>
          <w:color w:val="auto"/>
          <w:sz w:val="24"/>
          <w:szCs w:val="24"/>
          <w:highlight w:val="none"/>
        </w:rPr>
        <w:t xml:space="preserve"> 未公开的信息和资料，包括但不限于技术情报、技术资料、商业</w:t>
      </w:r>
      <w:r>
        <w:rPr>
          <w:rFonts w:ascii="宋体" w:hAnsi="宋体" w:eastAsia="宋体" w:cs="宋体"/>
          <w:color w:val="auto"/>
          <w:spacing w:val="-1"/>
          <w:sz w:val="24"/>
          <w:szCs w:val="24"/>
          <w:highlight w:val="none"/>
        </w:rPr>
        <w:t>秘密和商业信息</w:t>
      </w:r>
      <w:r>
        <w:rPr>
          <w:rFonts w:ascii="宋体" w:hAnsi="宋体" w:eastAsia="宋体" w:cs="宋体"/>
          <w:color w:val="auto"/>
          <w:sz w:val="24"/>
          <w:szCs w:val="24"/>
          <w:highlight w:val="none"/>
        </w:rPr>
        <w:t>等，并采取一切合理和必要措施和方式防止任何第三方接触到对</w:t>
      </w:r>
      <w:r>
        <w:rPr>
          <w:rFonts w:ascii="宋体" w:hAnsi="宋体" w:eastAsia="宋体" w:cs="宋体"/>
          <w:color w:val="auto"/>
          <w:spacing w:val="-1"/>
          <w:sz w:val="24"/>
          <w:szCs w:val="24"/>
          <w:highlight w:val="none"/>
        </w:rPr>
        <w:t>方当事人的上述</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保密信息和资料。</w:t>
      </w:r>
    </w:p>
    <w:p w14:paraId="609B70A8">
      <w:pPr>
        <w:keepNext w:val="0"/>
        <w:keepLines w:val="0"/>
        <w:pageBreakBefore w:val="0"/>
        <w:widowControl/>
        <w:kinsoku w:val="0"/>
        <w:wordWrap/>
        <w:overflowPunct/>
        <w:topLinePunct w:val="0"/>
        <w:autoSpaceDE w:val="0"/>
        <w:autoSpaceDN w:val="0"/>
        <w:bidi w:val="0"/>
        <w:adjustRightInd w:val="0"/>
        <w:snapToGrid w:val="0"/>
        <w:spacing w:before="234" w:line="400" w:lineRule="exact"/>
        <w:ind w:left="482"/>
        <w:textAlignment w:val="baseline"/>
        <w:outlineLvl w:val="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2.7 质量保证</w:t>
      </w:r>
    </w:p>
    <w:p w14:paraId="7178B5AD">
      <w:pPr>
        <w:keepNext w:val="0"/>
        <w:keepLines w:val="0"/>
        <w:pageBreakBefore w:val="0"/>
        <w:widowControl/>
        <w:kinsoku w:val="0"/>
        <w:wordWrap/>
        <w:overflowPunct/>
        <w:topLinePunct w:val="0"/>
        <w:autoSpaceDE w:val="0"/>
        <w:autoSpaceDN w:val="0"/>
        <w:bidi w:val="0"/>
        <w:adjustRightInd w:val="0"/>
        <w:snapToGrid w:val="0"/>
        <w:spacing w:before="234" w:line="400" w:lineRule="exact"/>
        <w:ind w:left="8" w:right="115" w:firstLine="474"/>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2.7.1 乙方应建立和完善履行合同的内部质量保证体系</w:t>
      </w:r>
      <w:r>
        <w:rPr>
          <w:rFonts w:ascii="宋体" w:hAnsi="宋体" w:eastAsia="宋体" w:cs="宋体"/>
          <w:color w:val="auto"/>
          <w:spacing w:val="-1"/>
          <w:sz w:val="24"/>
          <w:szCs w:val="24"/>
          <w:highlight w:val="none"/>
        </w:rPr>
        <w:t>，并提供相关内部规</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章制度给甲方，以便甲方进行监督检查；</w:t>
      </w:r>
    </w:p>
    <w:p w14:paraId="5A1FE35C">
      <w:pPr>
        <w:keepNext w:val="0"/>
        <w:keepLines w:val="0"/>
        <w:pageBreakBefore w:val="0"/>
        <w:widowControl/>
        <w:kinsoku w:val="0"/>
        <w:wordWrap/>
        <w:overflowPunct/>
        <w:topLinePunct w:val="0"/>
        <w:autoSpaceDE w:val="0"/>
        <w:autoSpaceDN w:val="0"/>
        <w:bidi w:val="0"/>
        <w:adjustRightInd w:val="0"/>
        <w:snapToGrid w:val="0"/>
        <w:spacing w:before="237" w:line="400" w:lineRule="exact"/>
        <w:ind w:right="115" w:firstLine="482"/>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2.7.2 乙方应保证履行合同的人员数量和素质、软件和</w:t>
      </w:r>
      <w:r>
        <w:rPr>
          <w:rFonts w:ascii="宋体" w:hAnsi="宋体" w:eastAsia="宋体" w:cs="宋体"/>
          <w:color w:val="auto"/>
          <w:spacing w:val="-1"/>
          <w:sz w:val="24"/>
          <w:szCs w:val="24"/>
          <w:highlight w:val="none"/>
        </w:rPr>
        <w:t>硬件设备的配置、场</w:t>
      </w:r>
      <w:r>
        <w:rPr>
          <w:rFonts w:ascii="宋体" w:hAnsi="宋体" w:eastAsia="宋体" w:cs="宋体"/>
          <w:color w:val="auto"/>
          <w:sz w:val="24"/>
          <w:szCs w:val="24"/>
          <w:highlight w:val="none"/>
        </w:rPr>
        <w:t xml:space="preserve"> 地、环境和设施等满足全面履行合同的要求，并</w:t>
      </w:r>
      <w:r>
        <w:rPr>
          <w:rFonts w:ascii="宋体" w:hAnsi="宋体" w:eastAsia="宋体" w:cs="宋体"/>
          <w:color w:val="auto"/>
          <w:spacing w:val="-1"/>
          <w:sz w:val="24"/>
          <w:szCs w:val="24"/>
          <w:highlight w:val="none"/>
        </w:rPr>
        <w:t>应接受甲方的监督检查。</w:t>
      </w:r>
    </w:p>
    <w:p w14:paraId="2ADBBDF2">
      <w:pPr>
        <w:keepNext w:val="0"/>
        <w:keepLines w:val="0"/>
        <w:pageBreakBefore w:val="0"/>
        <w:widowControl/>
        <w:kinsoku w:val="0"/>
        <w:wordWrap/>
        <w:overflowPunct/>
        <w:topLinePunct w:val="0"/>
        <w:autoSpaceDE w:val="0"/>
        <w:autoSpaceDN w:val="0"/>
        <w:bidi w:val="0"/>
        <w:adjustRightInd w:val="0"/>
        <w:snapToGrid w:val="0"/>
        <w:spacing w:before="232" w:line="400" w:lineRule="exact"/>
        <w:ind w:left="482"/>
        <w:textAlignment w:val="baseline"/>
        <w:outlineLvl w:val="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2.8 延迟履行</w:t>
      </w:r>
    </w:p>
    <w:p w14:paraId="51D669D5">
      <w:pPr>
        <w:keepNext w:val="0"/>
        <w:keepLines w:val="0"/>
        <w:pageBreakBefore w:val="0"/>
        <w:widowControl/>
        <w:kinsoku w:val="0"/>
        <w:wordWrap/>
        <w:overflowPunct/>
        <w:topLinePunct w:val="0"/>
        <w:autoSpaceDE w:val="0"/>
        <w:autoSpaceDN w:val="0"/>
        <w:bidi w:val="0"/>
        <w:adjustRightInd w:val="0"/>
        <w:snapToGrid w:val="0"/>
        <w:spacing w:before="231" w:line="400" w:lineRule="exact"/>
        <w:ind w:firstLine="479"/>
        <w:jc w:val="both"/>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在合同履行过程中，如果乙方遇到不能按时提供服务的情况，应</w:t>
      </w:r>
      <w:r>
        <w:rPr>
          <w:rFonts w:ascii="宋体" w:hAnsi="宋体" w:eastAsia="宋体" w:cs="宋体"/>
          <w:color w:val="auto"/>
          <w:spacing w:val="-1"/>
          <w:sz w:val="24"/>
          <w:szCs w:val="24"/>
          <w:highlight w:val="none"/>
        </w:rPr>
        <w:t>及时以书面</w:t>
      </w:r>
      <w:r>
        <w:rPr>
          <w:rFonts w:ascii="宋体" w:hAnsi="宋体" w:eastAsia="宋体" w:cs="宋体"/>
          <w:color w:val="auto"/>
          <w:sz w:val="24"/>
          <w:szCs w:val="24"/>
          <w:highlight w:val="none"/>
        </w:rPr>
        <w:t xml:space="preserve">  形式将不能按时提供服务的理由、预期延误时间通知甲方</w:t>
      </w:r>
      <w:r>
        <w:rPr>
          <w:rFonts w:ascii="宋体" w:hAnsi="宋体" w:eastAsia="宋体" w:cs="宋体"/>
          <w:color w:val="auto"/>
          <w:spacing w:val="-1"/>
          <w:sz w:val="24"/>
          <w:szCs w:val="24"/>
          <w:highlight w:val="none"/>
        </w:rPr>
        <w:t>；甲方收到乙方通知后,</w:t>
      </w:r>
      <w:r>
        <w:rPr>
          <w:rFonts w:ascii="宋体" w:hAnsi="宋体" w:eastAsia="宋体" w:cs="宋体"/>
          <w:color w:val="auto"/>
          <w:sz w:val="24"/>
          <w:szCs w:val="24"/>
          <w:highlight w:val="none"/>
        </w:rPr>
        <w:t xml:space="preserve"> 认为其理由正当的，可以书面形式酌情同意乙方可</w:t>
      </w:r>
      <w:r>
        <w:rPr>
          <w:rFonts w:ascii="宋体" w:hAnsi="宋体" w:eastAsia="宋体" w:cs="宋体"/>
          <w:color w:val="auto"/>
          <w:spacing w:val="-1"/>
          <w:sz w:val="24"/>
          <w:szCs w:val="24"/>
          <w:highlight w:val="none"/>
        </w:rPr>
        <w:t>以延长履行的具体时间。</w:t>
      </w:r>
    </w:p>
    <w:p w14:paraId="400A2F09">
      <w:pPr>
        <w:keepNext w:val="0"/>
        <w:keepLines w:val="0"/>
        <w:pageBreakBefore w:val="0"/>
        <w:widowControl/>
        <w:kinsoku w:val="0"/>
        <w:wordWrap/>
        <w:overflowPunct/>
        <w:topLinePunct w:val="0"/>
        <w:autoSpaceDE w:val="0"/>
        <w:autoSpaceDN w:val="0"/>
        <w:bidi w:val="0"/>
        <w:adjustRightInd w:val="0"/>
        <w:snapToGrid w:val="0"/>
        <w:spacing w:before="37" w:line="400" w:lineRule="exact"/>
        <w:ind w:left="482"/>
        <w:textAlignment w:val="baseline"/>
        <w:outlineLvl w:val="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2.9 合同变更</w:t>
      </w:r>
    </w:p>
    <w:p w14:paraId="125B25C3">
      <w:pPr>
        <w:keepNext w:val="0"/>
        <w:keepLines w:val="0"/>
        <w:pageBreakBefore w:val="0"/>
        <w:widowControl/>
        <w:kinsoku w:val="0"/>
        <w:wordWrap/>
        <w:overflowPunct/>
        <w:topLinePunct w:val="0"/>
        <w:autoSpaceDE w:val="0"/>
        <w:autoSpaceDN w:val="0"/>
        <w:bidi w:val="0"/>
        <w:adjustRightInd w:val="0"/>
        <w:snapToGrid w:val="0"/>
        <w:spacing w:before="233" w:line="400" w:lineRule="exact"/>
        <w:ind w:left="482"/>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2.9.1 双方当事人协商一致，可以签订书面补充合同的</w:t>
      </w:r>
      <w:r>
        <w:rPr>
          <w:rFonts w:ascii="宋体" w:hAnsi="宋体" w:eastAsia="宋体" w:cs="宋体"/>
          <w:color w:val="auto"/>
          <w:spacing w:val="-1"/>
          <w:sz w:val="24"/>
          <w:szCs w:val="24"/>
          <w:highlight w:val="none"/>
        </w:rPr>
        <w:t>形式变更合同，但不</w:t>
      </w:r>
    </w:p>
    <w:p w14:paraId="4EF01CD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color w:val="auto"/>
          <w:sz w:val="24"/>
          <w:szCs w:val="24"/>
          <w:highlight w:val="none"/>
        </w:rPr>
        <w:sectPr>
          <w:footerReference r:id="rId24" w:type="default"/>
          <w:pgSz w:w="11911" w:h="16840"/>
          <w:pgMar w:top="1429" w:right="1763" w:bottom="862" w:left="1655" w:header="0" w:footer="680" w:gutter="0"/>
          <w:cols w:space="0" w:num="1"/>
          <w:rtlGutter w:val="0"/>
          <w:docGrid w:linePitch="0" w:charSpace="0"/>
        </w:sectPr>
      </w:pPr>
    </w:p>
    <w:p w14:paraId="144CDDB5">
      <w:pPr>
        <w:keepNext w:val="0"/>
        <w:keepLines w:val="0"/>
        <w:pageBreakBefore w:val="0"/>
        <w:widowControl/>
        <w:kinsoku w:val="0"/>
        <w:wordWrap/>
        <w:overflowPunct/>
        <w:topLinePunct w:val="0"/>
        <w:autoSpaceDE w:val="0"/>
        <w:autoSpaceDN w:val="0"/>
        <w:bidi w:val="0"/>
        <w:adjustRightInd w:val="0"/>
        <w:snapToGrid w:val="0"/>
        <w:spacing w:before="48" w:line="400" w:lineRule="exact"/>
        <w:ind w:left="1"/>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得违背</w:t>
      </w:r>
      <w:r>
        <w:rPr>
          <w:rFonts w:hint="eastAsia" w:ascii="宋体" w:hAnsi="宋体" w:eastAsia="宋体" w:cs="宋体"/>
          <w:color w:val="auto"/>
          <w:spacing w:val="-1"/>
          <w:sz w:val="24"/>
          <w:szCs w:val="24"/>
          <w:highlight w:val="none"/>
          <w:lang w:eastAsia="zh-CN"/>
        </w:rPr>
        <w:t>征集文件</w:t>
      </w:r>
      <w:r>
        <w:rPr>
          <w:rFonts w:ascii="宋体" w:hAnsi="宋体" w:eastAsia="宋体" w:cs="宋体"/>
          <w:color w:val="auto"/>
          <w:spacing w:val="-1"/>
          <w:sz w:val="24"/>
          <w:szCs w:val="24"/>
          <w:highlight w:val="none"/>
        </w:rPr>
        <w:t>确定的事项；</w:t>
      </w:r>
    </w:p>
    <w:p w14:paraId="051A3907">
      <w:pPr>
        <w:keepNext w:val="0"/>
        <w:keepLines w:val="0"/>
        <w:pageBreakBefore w:val="0"/>
        <w:widowControl/>
        <w:kinsoku w:val="0"/>
        <w:wordWrap/>
        <w:overflowPunct/>
        <w:topLinePunct w:val="0"/>
        <w:autoSpaceDE w:val="0"/>
        <w:autoSpaceDN w:val="0"/>
        <w:bidi w:val="0"/>
        <w:adjustRightInd w:val="0"/>
        <w:snapToGrid w:val="0"/>
        <w:spacing w:before="234" w:line="400" w:lineRule="exact"/>
        <w:ind w:left="3" w:firstLine="480"/>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2.9.2 合同继续履行将损害国家利益和社会公共利益的</w:t>
      </w:r>
      <w:r>
        <w:rPr>
          <w:rFonts w:ascii="宋体" w:hAnsi="宋体" w:eastAsia="宋体" w:cs="宋体"/>
          <w:color w:val="auto"/>
          <w:spacing w:val="-1"/>
          <w:sz w:val="24"/>
          <w:szCs w:val="24"/>
          <w:highlight w:val="none"/>
        </w:rPr>
        <w:t>，双方当事人应当以</w:t>
      </w:r>
      <w:r>
        <w:rPr>
          <w:rFonts w:ascii="宋体" w:hAnsi="宋体" w:eastAsia="宋体" w:cs="宋体"/>
          <w:color w:val="auto"/>
          <w:sz w:val="24"/>
          <w:szCs w:val="24"/>
          <w:highlight w:val="none"/>
        </w:rPr>
        <w:t xml:space="preserve"> 书面形式变更合同。有过错的一方应当承担赔偿责任，双方</w:t>
      </w:r>
      <w:r>
        <w:rPr>
          <w:rFonts w:ascii="宋体" w:hAnsi="宋体" w:eastAsia="宋体" w:cs="宋体"/>
          <w:color w:val="auto"/>
          <w:spacing w:val="-1"/>
          <w:sz w:val="24"/>
          <w:szCs w:val="24"/>
          <w:highlight w:val="none"/>
        </w:rPr>
        <w:t>当事人都有过错的，</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各自承担相应的责任。</w:t>
      </w:r>
    </w:p>
    <w:p w14:paraId="78415651">
      <w:pPr>
        <w:keepNext w:val="0"/>
        <w:keepLines w:val="0"/>
        <w:pageBreakBefore w:val="0"/>
        <w:widowControl/>
        <w:kinsoku w:val="0"/>
        <w:wordWrap/>
        <w:overflowPunct/>
        <w:topLinePunct w:val="0"/>
        <w:autoSpaceDE w:val="0"/>
        <w:autoSpaceDN w:val="0"/>
        <w:bidi w:val="0"/>
        <w:adjustRightInd w:val="0"/>
        <w:snapToGrid w:val="0"/>
        <w:spacing w:before="35" w:line="400" w:lineRule="exact"/>
        <w:ind w:left="483"/>
        <w:textAlignment w:val="baseline"/>
        <w:outlineLvl w:val="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2.10 合同转让和分包</w:t>
      </w:r>
    </w:p>
    <w:p w14:paraId="577AC679">
      <w:pPr>
        <w:keepNext w:val="0"/>
        <w:keepLines w:val="0"/>
        <w:pageBreakBefore w:val="0"/>
        <w:widowControl/>
        <w:kinsoku w:val="0"/>
        <w:wordWrap/>
        <w:overflowPunct/>
        <w:topLinePunct w:val="0"/>
        <w:autoSpaceDE w:val="0"/>
        <w:autoSpaceDN w:val="0"/>
        <w:bidi w:val="0"/>
        <w:adjustRightInd w:val="0"/>
        <w:snapToGrid w:val="0"/>
        <w:spacing w:before="234" w:line="400" w:lineRule="exact"/>
        <w:ind w:left="2" w:firstLine="479"/>
        <w:jc w:val="both"/>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合同的权利义务依法不得转让，但经甲方同意，乙方可以依</w:t>
      </w:r>
      <w:r>
        <w:rPr>
          <w:rFonts w:ascii="宋体" w:hAnsi="宋体" w:eastAsia="宋体" w:cs="宋体"/>
          <w:color w:val="auto"/>
          <w:spacing w:val="-1"/>
          <w:sz w:val="24"/>
          <w:szCs w:val="24"/>
          <w:highlight w:val="none"/>
        </w:rPr>
        <w:t>法采取分包方式</w:t>
      </w:r>
      <w:r>
        <w:rPr>
          <w:rFonts w:ascii="宋体" w:hAnsi="宋体" w:eastAsia="宋体" w:cs="宋体"/>
          <w:color w:val="auto"/>
          <w:sz w:val="24"/>
          <w:szCs w:val="24"/>
          <w:highlight w:val="none"/>
        </w:rPr>
        <w:t xml:space="preserve"> 履行合同，即：依法可以将合同项下的部分非主体、非关键性</w:t>
      </w:r>
      <w:r>
        <w:rPr>
          <w:rFonts w:ascii="宋体" w:hAnsi="宋体" w:eastAsia="宋体" w:cs="宋体"/>
          <w:color w:val="auto"/>
          <w:spacing w:val="-1"/>
          <w:sz w:val="24"/>
          <w:szCs w:val="24"/>
          <w:highlight w:val="none"/>
        </w:rPr>
        <w:t>工作分包给他人完</w:t>
      </w:r>
      <w:r>
        <w:rPr>
          <w:rFonts w:ascii="宋体" w:hAnsi="宋体" w:eastAsia="宋体" w:cs="宋体"/>
          <w:color w:val="auto"/>
          <w:sz w:val="24"/>
          <w:szCs w:val="24"/>
          <w:highlight w:val="none"/>
        </w:rPr>
        <w:t xml:space="preserve"> 成，接受分包的人应当具备相应的资格条件，并不得再次分包</w:t>
      </w:r>
      <w:r>
        <w:rPr>
          <w:rFonts w:ascii="宋体" w:hAnsi="宋体" w:eastAsia="宋体" w:cs="宋体"/>
          <w:color w:val="auto"/>
          <w:spacing w:val="-1"/>
          <w:sz w:val="24"/>
          <w:szCs w:val="24"/>
          <w:highlight w:val="none"/>
        </w:rPr>
        <w:t>，且乙方应就分包</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项目向甲方负责，并与分包供应商就分包项目向甲方承担连带责任。</w:t>
      </w:r>
    </w:p>
    <w:p w14:paraId="0009F7EE">
      <w:pPr>
        <w:keepNext w:val="0"/>
        <w:keepLines w:val="0"/>
        <w:pageBreakBefore w:val="0"/>
        <w:widowControl/>
        <w:kinsoku w:val="0"/>
        <w:wordWrap/>
        <w:overflowPunct/>
        <w:topLinePunct w:val="0"/>
        <w:autoSpaceDE w:val="0"/>
        <w:autoSpaceDN w:val="0"/>
        <w:bidi w:val="0"/>
        <w:adjustRightInd w:val="0"/>
        <w:snapToGrid w:val="0"/>
        <w:spacing w:before="34" w:line="400" w:lineRule="exact"/>
        <w:ind w:left="483"/>
        <w:textAlignment w:val="baseline"/>
        <w:outlineLvl w:val="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2.11</w:t>
      </w:r>
      <w:r>
        <w:rPr>
          <w:rFonts w:ascii="宋体" w:hAnsi="宋体" w:eastAsia="宋体" w:cs="宋体"/>
          <w:color w:val="auto"/>
          <w:spacing w:val="18"/>
          <w:sz w:val="24"/>
          <w:szCs w:val="24"/>
          <w:highlight w:val="none"/>
        </w:rPr>
        <w:t xml:space="preserve"> </w:t>
      </w:r>
      <w:r>
        <w:rPr>
          <w:rFonts w:ascii="宋体" w:hAnsi="宋体" w:eastAsia="宋体" w:cs="宋体"/>
          <w:color w:val="auto"/>
          <w:spacing w:val="-4"/>
          <w:sz w:val="24"/>
          <w:szCs w:val="24"/>
          <w:highlight w:val="none"/>
        </w:rPr>
        <w:t>不可抗力</w:t>
      </w:r>
    </w:p>
    <w:p w14:paraId="4003767B">
      <w:pPr>
        <w:keepNext w:val="0"/>
        <w:keepLines w:val="0"/>
        <w:pageBreakBefore w:val="0"/>
        <w:widowControl/>
        <w:kinsoku w:val="0"/>
        <w:wordWrap/>
        <w:overflowPunct/>
        <w:topLinePunct w:val="0"/>
        <w:autoSpaceDE w:val="0"/>
        <w:autoSpaceDN w:val="0"/>
        <w:bidi w:val="0"/>
        <w:adjustRightInd w:val="0"/>
        <w:snapToGrid w:val="0"/>
        <w:spacing w:before="236" w:line="400" w:lineRule="exact"/>
        <w:ind w:left="4" w:firstLine="479"/>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 xml:space="preserve">2.11.1 如果任何一方遭遇法律规定的不可抗力，致使合同履行受阻时，履 </w:t>
      </w:r>
      <w:r>
        <w:rPr>
          <w:rFonts w:ascii="宋体" w:hAnsi="宋体" w:eastAsia="宋体" w:cs="宋体"/>
          <w:color w:val="auto"/>
          <w:spacing w:val="-1"/>
          <w:sz w:val="24"/>
          <w:szCs w:val="24"/>
          <w:highlight w:val="none"/>
        </w:rPr>
        <w:t>行合同的期限应予延长，延长的期限应相当于不可抗力所影响的时间；</w:t>
      </w:r>
    </w:p>
    <w:p w14:paraId="5D21F13D">
      <w:pPr>
        <w:keepNext w:val="0"/>
        <w:keepLines w:val="0"/>
        <w:pageBreakBefore w:val="0"/>
        <w:widowControl/>
        <w:kinsoku w:val="0"/>
        <w:wordWrap/>
        <w:overflowPunct/>
        <w:topLinePunct w:val="0"/>
        <w:autoSpaceDE w:val="0"/>
        <w:autoSpaceDN w:val="0"/>
        <w:bidi w:val="0"/>
        <w:adjustRightInd w:val="0"/>
        <w:snapToGrid w:val="0"/>
        <w:spacing w:before="232" w:line="400" w:lineRule="exact"/>
        <w:ind w:left="483"/>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2.11.2 因不可抗力致使不能实现合同</w:t>
      </w:r>
      <w:r>
        <w:rPr>
          <w:rFonts w:ascii="宋体" w:hAnsi="宋体" w:eastAsia="宋体" w:cs="宋体"/>
          <w:color w:val="auto"/>
          <w:spacing w:val="-1"/>
          <w:sz w:val="24"/>
          <w:szCs w:val="24"/>
          <w:highlight w:val="none"/>
        </w:rPr>
        <w:t>目的的，当事人可以解除合同；</w:t>
      </w:r>
    </w:p>
    <w:p w14:paraId="77F4AA5C">
      <w:pPr>
        <w:keepNext w:val="0"/>
        <w:keepLines w:val="0"/>
        <w:pageBreakBefore w:val="0"/>
        <w:widowControl/>
        <w:kinsoku w:val="0"/>
        <w:wordWrap/>
        <w:overflowPunct/>
        <w:topLinePunct w:val="0"/>
        <w:autoSpaceDE w:val="0"/>
        <w:autoSpaceDN w:val="0"/>
        <w:bidi w:val="0"/>
        <w:adjustRightInd w:val="0"/>
        <w:snapToGrid w:val="0"/>
        <w:spacing w:before="235" w:line="400" w:lineRule="exact"/>
        <w:ind w:left="6" w:firstLine="477"/>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2.11.3</w:t>
      </w:r>
      <w:r>
        <w:rPr>
          <w:rFonts w:ascii="宋体" w:hAnsi="宋体" w:eastAsia="宋体" w:cs="宋体"/>
          <w:color w:val="auto"/>
          <w:spacing w:val="41"/>
          <w:sz w:val="24"/>
          <w:szCs w:val="24"/>
          <w:highlight w:val="none"/>
        </w:rPr>
        <w:t xml:space="preserve"> </w:t>
      </w:r>
      <w:r>
        <w:rPr>
          <w:rFonts w:ascii="宋体" w:hAnsi="宋体" w:eastAsia="宋体" w:cs="宋体"/>
          <w:color w:val="auto"/>
          <w:spacing w:val="2"/>
          <w:sz w:val="24"/>
          <w:szCs w:val="24"/>
          <w:highlight w:val="none"/>
        </w:rPr>
        <w:t>因不可抗力致使合同有变更必要的，双方当事人应在</w:t>
      </w:r>
      <w:r>
        <w:rPr>
          <w:rFonts w:ascii="宋体" w:hAnsi="宋体" w:eastAsia="宋体" w:cs="宋体"/>
          <w:color w:val="auto"/>
          <w:spacing w:val="2"/>
          <w:sz w:val="24"/>
          <w:szCs w:val="24"/>
          <w:highlight w:val="none"/>
          <w:u w:val="single" w:color="auto"/>
        </w:rPr>
        <w:t>合同专用条款</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约定时间内以书面形式变更合同；</w:t>
      </w:r>
    </w:p>
    <w:p w14:paraId="0FB4DFEA">
      <w:pPr>
        <w:keepNext w:val="0"/>
        <w:keepLines w:val="0"/>
        <w:pageBreakBefore w:val="0"/>
        <w:widowControl/>
        <w:kinsoku w:val="0"/>
        <w:wordWrap/>
        <w:overflowPunct/>
        <w:topLinePunct w:val="0"/>
        <w:autoSpaceDE w:val="0"/>
        <w:autoSpaceDN w:val="0"/>
        <w:bidi w:val="0"/>
        <w:adjustRightInd w:val="0"/>
        <w:snapToGrid w:val="0"/>
        <w:spacing w:before="235" w:line="400" w:lineRule="exact"/>
        <w:ind w:left="12" w:firstLine="471"/>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2.11.4 受不可抗力影响的一方在不可抗力发生后，应在</w:t>
      </w:r>
      <w:r>
        <w:rPr>
          <w:rFonts w:ascii="宋体" w:hAnsi="宋体" w:eastAsia="宋体" w:cs="宋体"/>
          <w:color w:val="auto"/>
          <w:spacing w:val="3"/>
          <w:sz w:val="24"/>
          <w:szCs w:val="24"/>
          <w:highlight w:val="none"/>
          <w:u w:val="single" w:color="auto"/>
        </w:rPr>
        <w:t>合同专用条款</w:t>
      </w:r>
      <w:r>
        <w:rPr>
          <w:rFonts w:ascii="宋体" w:hAnsi="宋体" w:eastAsia="宋体" w:cs="宋体"/>
          <w:color w:val="auto"/>
          <w:spacing w:val="3"/>
          <w:sz w:val="24"/>
          <w:szCs w:val="24"/>
          <w:highlight w:val="none"/>
        </w:rPr>
        <w:t xml:space="preserve">约定 </w:t>
      </w:r>
      <w:r>
        <w:rPr>
          <w:rFonts w:ascii="宋体" w:hAnsi="宋体" w:eastAsia="宋体" w:cs="宋体"/>
          <w:color w:val="auto"/>
          <w:spacing w:val="-1"/>
          <w:sz w:val="24"/>
          <w:szCs w:val="24"/>
          <w:highlight w:val="none"/>
        </w:rPr>
        <w:t>时间内以书面形式通知对方当事人，并在</w:t>
      </w:r>
      <w:r>
        <w:rPr>
          <w:rFonts w:ascii="宋体" w:hAnsi="宋体" w:eastAsia="宋体" w:cs="宋体"/>
          <w:color w:val="auto"/>
          <w:spacing w:val="-1"/>
          <w:sz w:val="24"/>
          <w:szCs w:val="24"/>
          <w:highlight w:val="none"/>
          <w:u w:val="single" w:color="auto"/>
        </w:rPr>
        <w:t>合同专用条款</w:t>
      </w:r>
      <w:r>
        <w:rPr>
          <w:rFonts w:ascii="宋体" w:hAnsi="宋体" w:eastAsia="宋体" w:cs="宋体"/>
          <w:color w:val="auto"/>
          <w:spacing w:val="-1"/>
          <w:sz w:val="24"/>
          <w:szCs w:val="24"/>
          <w:highlight w:val="none"/>
        </w:rPr>
        <w:t>约定时间内，将有关部门</w:t>
      </w:r>
      <w:r>
        <w:rPr>
          <w:rFonts w:ascii="宋体" w:hAnsi="宋体" w:eastAsia="宋体" w:cs="宋体"/>
          <w:color w:val="auto"/>
          <w:spacing w:val="18"/>
          <w:sz w:val="24"/>
          <w:szCs w:val="24"/>
          <w:highlight w:val="none"/>
        </w:rPr>
        <w:t xml:space="preserve"> </w:t>
      </w:r>
      <w:r>
        <w:rPr>
          <w:rFonts w:ascii="宋体" w:hAnsi="宋体" w:eastAsia="宋体" w:cs="宋体"/>
          <w:color w:val="auto"/>
          <w:spacing w:val="-2"/>
          <w:sz w:val="24"/>
          <w:szCs w:val="24"/>
          <w:highlight w:val="none"/>
        </w:rPr>
        <w:t>出具的证明文件送达对方当事人。</w:t>
      </w:r>
    </w:p>
    <w:p w14:paraId="734B1C68">
      <w:pPr>
        <w:keepNext w:val="0"/>
        <w:keepLines w:val="0"/>
        <w:pageBreakBefore w:val="0"/>
        <w:widowControl/>
        <w:kinsoku w:val="0"/>
        <w:wordWrap/>
        <w:overflowPunct/>
        <w:topLinePunct w:val="0"/>
        <w:autoSpaceDE w:val="0"/>
        <w:autoSpaceDN w:val="0"/>
        <w:bidi w:val="0"/>
        <w:adjustRightInd w:val="0"/>
        <w:snapToGrid w:val="0"/>
        <w:spacing w:before="232" w:line="400" w:lineRule="exact"/>
        <w:ind w:left="483"/>
        <w:textAlignment w:val="baseline"/>
        <w:outlineLvl w:val="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2.12</w:t>
      </w:r>
      <w:r>
        <w:rPr>
          <w:rFonts w:ascii="宋体" w:hAnsi="宋体" w:eastAsia="宋体" w:cs="宋体"/>
          <w:color w:val="auto"/>
          <w:spacing w:val="10"/>
          <w:sz w:val="24"/>
          <w:szCs w:val="24"/>
          <w:highlight w:val="none"/>
        </w:rPr>
        <w:t xml:space="preserve"> </w:t>
      </w:r>
      <w:r>
        <w:rPr>
          <w:rFonts w:ascii="宋体" w:hAnsi="宋体" w:eastAsia="宋体" w:cs="宋体"/>
          <w:color w:val="auto"/>
          <w:spacing w:val="-4"/>
          <w:sz w:val="24"/>
          <w:szCs w:val="24"/>
          <w:highlight w:val="none"/>
        </w:rPr>
        <w:t>税费</w:t>
      </w:r>
    </w:p>
    <w:p w14:paraId="4FA14C96">
      <w:pPr>
        <w:keepNext w:val="0"/>
        <w:keepLines w:val="0"/>
        <w:pageBreakBefore w:val="0"/>
        <w:widowControl/>
        <w:kinsoku w:val="0"/>
        <w:wordWrap/>
        <w:overflowPunct/>
        <w:topLinePunct w:val="0"/>
        <w:autoSpaceDE w:val="0"/>
        <w:autoSpaceDN w:val="0"/>
        <w:bidi w:val="0"/>
        <w:adjustRightInd w:val="0"/>
        <w:snapToGrid w:val="0"/>
        <w:spacing w:before="234" w:line="400" w:lineRule="exact"/>
        <w:ind w:left="485"/>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与合同有关的一切税费，均按照中华人民共和国法律的相关规定缴纳。</w:t>
      </w:r>
    </w:p>
    <w:p w14:paraId="5C597DC7">
      <w:pPr>
        <w:keepNext w:val="0"/>
        <w:keepLines w:val="0"/>
        <w:pageBreakBefore w:val="0"/>
        <w:widowControl/>
        <w:kinsoku w:val="0"/>
        <w:wordWrap/>
        <w:overflowPunct/>
        <w:topLinePunct w:val="0"/>
        <w:autoSpaceDE w:val="0"/>
        <w:autoSpaceDN w:val="0"/>
        <w:bidi w:val="0"/>
        <w:adjustRightInd w:val="0"/>
        <w:snapToGrid w:val="0"/>
        <w:spacing w:before="235" w:line="400" w:lineRule="exact"/>
        <w:ind w:left="483"/>
        <w:textAlignment w:val="baseline"/>
        <w:outlineLvl w:val="0"/>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2.13</w:t>
      </w:r>
      <w:r>
        <w:rPr>
          <w:rFonts w:ascii="宋体" w:hAnsi="宋体" w:eastAsia="宋体" w:cs="宋体"/>
          <w:color w:val="auto"/>
          <w:spacing w:val="34"/>
          <w:sz w:val="24"/>
          <w:szCs w:val="24"/>
          <w:highlight w:val="none"/>
        </w:rPr>
        <w:t xml:space="preserve"> </w:t>
      </w:r>
      <w:r>
        <w:rPr>
          <w:rFonts w:ascii="宋体" w:hAnsi="宋体" w:eastAsia="宋体" w:cs="宋体"/>
          <w:color w:val="auto"/>
          <w:spacing w:val="-6"/>
          <w:sz w:val="24"/>
          <w:szCs w:val="24"/>
          <w:highlight w:val="none"/>
        </w:rPr>
        <w:t>乙方破产</w:t>
      </w:r>
    </w:p>
    <w:p w14:paraId="5D8C1E73">
      <w:pPr>
        <w:keepNext w:val="0"/>
        <w:keepLines w:val="0"/>
        <w:pageBreakBefore w:val="0"/>
        <w:widowControl/>
        <w:kinsoku w:val="0"/>
        <w:wordWrap/>
        <w:overflowPunct/>
        <w:topLinePunct w:val="0"/>
        <w:autoSpaceDE w:val="0"/>
        <w:autoSpaceDN w:val="0"/>
        <w:bidi w:val="0"/>
        <w:adjustRightInd w:val="0"/>
        <w:snapToGrid w:val="0"/>
        <w:spacing w:before="234" w:line="400" w:lineRule="exact"/>
        <w:ind w:firstLine="484"/>
        <w:jc w:val="both"/>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如果乙方破产导致合同无法履行时，甲方可以书面形</w:t>
      </w:r>
      <w:r>
        <w:rPr>
          <w:rFonts w:ascii="宋体" w:hAnsi="宋体" w:eastAsia="宋体" w:cs="宋体"/>
          <w:color w:val="auto"/>
          <w:spacing w:val="-1"/>
          <w:sz w:val="24"/>
          <w:szCs w:val="24"/>
          <w:highlight w:val="none"/>
        </w:rPr>
        <w:t>式通知乙方终止合同且</w:t>
      </w:r>
      <w:r>
        <w:rPr>
          <w:rFonts w:ascii="宋体" w:hAnsi="宋体" w:eastAsia="宋体" w:cs="宋体"/>
          <w:color w:val="auto"/>
          <w:sz w:val="24"/>
          <w:szCs w:val="24"/>
          <w:highlight w:val="none"/>
        </w:rPr>
        <w:t xml:space="preserve"> 不给予乙方任何补偿和赔偿，但合同的终止不损害或不影响甲方已经</w:t>
      </w:r>
      <w:r>
        <w:rPr>
          <w:rFonts w:ascii="宋体" w:hAnsi="宋体" w:eastAsia="宋体" w:cs="宋体"/>
          <w:color w:val="auto"/>
          <w:spacing w:val="-1"/>
          <w:sz w:val="24"/>
          <w:szCs w:val="24"/>
          <w:highlight w:val="none"/>
        </w:rPr>
        <w:t>采取或将要</w:t>
      </w:r>
      <w:r>
        <w:rPr>
          <w:rFonts w:ascii="宋体" w:hAnsi="宋体" w:eastAsia="宋体" w:cs="宋体"/>
          <w:color w:val="auto"/>
          <w:sz w:val="24"/>
          <w:szCs w:val="24"/>
          <w:highlight w:val="none"/>
        </w:rPr>
        <w:t xml:space="preserve"> 采取的任何要求乙方支付违约金、赔偿损失等的行</w:t>
      </w:r>
      <w:r>
        <w:rPr>
          <w:rFonts w:ascii="宋体" w:hAnsi="宋体" w:eastAsia="宋体" w:cs="宋体"/>
          <w:color w:val="auto"/>
          <w:spacing w:val="-1"/>
          <w:sz w:val="24"/>
          <w:szCs w:val="24"/>
          <w:highlight w:val="none"/>
        </w:rPr>
        <w:t>动或补救措施的权利。</w:t>
      </w:r>
    </w:p>
    <w:p w14:paraId="1B560AD3">
      <w:pPr>
        <w:keepNext w:val="0"/>
        <w:keepLines w:val="0"/>
        <w:pageBreakBefore w:val="0"/>
        <w:widowControl/>
        <w:kinsoku w:val="0"/>
        <w:wordWrap/>
        <w:overflowPunct/>
        <w:topLinePunct w:val="0"/>
        <w:autoSpaceDE w:val="0"/>
        <w:autoSpaceDN w:val="0"/>
        <w:bidi w:val="0"/>
        <w:adjustRightInd w:val="0"/>
        <w:snapToGrid w:val="0"/>
        <w:spacing w:before="33" w:line="400" w:lineRule="exact"/>
        <w:ind w:left="483"/>
        <w:textAlignment w:val="baseline"/>
        <w:outlineLvl w:val="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2.14 合同中止、终止</w:t>
      </w:r>
    </w:p>
    <w:p w14:paraId="5C93DAEB">
      <w:pPr>
        <w:keepNext w:val="0"/>
        <w:keepLines w:val="0"/>
        <w:pageBreakBefore w:val="0"/>
        <w:widowControl/>
        <w:kinsoku w:val="0"/>
        <w:wordWrap/>
        <w:overflowPunct/>
        <w:topLinePunct w:val="0"/>
        <w:autoSpaceDE w:val="0"/>
        <w:autoSpaceDN w:val="0"/>
        <w:bidi w:val="0"/>
        <w:adjustRightInd w:val="0"/>
        <w:snapToGrid w:val="0"/>
        <w:spacing w:before="234" w:line="400" w:lineRule="exact"/>
        <w:ind w:left="483"/>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2.14.1 双方当事人不得擅自中止或者终止合同；</w:t>
      </w:r>
    </w:p>
    <w:p w14:paraId="0C93162C">
      <w:pPr>
        <w:keepNext w:val="0"/>
        <w:keepLines w:val="0"/>
        <w:pageBreakBefore w:val="0"/>
        <w:widowControl/>
        <w:kinsoku w:val="0"/>
        <w:wordWrap/>
        <w:overflowPunct/>
        <w:topLinePunct w:val="0"/>
        <w:autoSpaceDE w:val="0"/>
        <w:autoSpaceDN w:val="0"/>
        <w:bidi w:val="0"/>
        <w:adjustRightInd w:val="0"/>
        <w:snapToGrid w:val="0"/>
        <w:spacing w:before="235" w:line="400" w:lineRule="exact"/>
        <w:jc w:val="right"/>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2.14.2 合同继续履行将损害国家利益和社会公共利益的，双方当事人应当</w:t>
      </w:r>
    </w:p>
    <w:p w14:paraId="7336D8E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color w:val="auto"/>
          <w:sz w:val="24"/>
          <w:szCs w:val="24"/>
          <w:highlight w:val="none"/>
        </w:rPr>
        <w:sectPr>
          <w:footerReference r:id="rId25" w:type="default"/>
          <w:pgSz w:w="11911" w:h="16840"/>
          <w:pgMar w:top="1429" w:right="1763" w:bottom="862" w:left="1655" w:header="0" w:footer="680" w:gutter="0"/>
          <w:cols w:space="0" w:num="1"/>
          <w:rtlGutter w:val="0"/>
          <w:docGrid w:linePitch="0" w:charSpace="0"/>
        </w:sectPr>
      </w:pPr>
    </w:p>
    <w:p w14:paraId="79E98145">
      <w:pPr>
        <w:spacing w:before="48" w:line="387" w:lineRule="auto"/>
        <w:ind w:left="4" w:right="56" w:firstLine="1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中止或者终止合同。有过错的一方应当承担赔</w:t>
      </w:r>
      <w:r>
        <w:rPr>
          <w:rFonts w:ascii="宋体" w:hAnsi="宋体" w:eastAsia="宋体" w:cs="宋体"/>
          <w:color w:val="auto"/>
          <w:spacing w:val="-3"/>
          <w:sz w:val="24"/>
          <w:szCs w:val="24"/>
          <w:highlight w:val="none"/>
        </w:rPr>
        <w:t>偿责任，双方当事人都有过错的，</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各自承担相应的责任。</w:t>
      </w:r>
    </w:p>
    <w:p w14:paraId="44C81556">
      <w:pPr>
        <w:spacing w:before="34" w:line="220" w:lineRule="auto"/>
        <w:ind w:left="484"/>
        <w:outlineLvl w:val="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2.15 检验和验收</w:t>
      </w:r>
    </w:p>
    <w:p w14:paraId="2BF55CF8">
      <w:pPr>
        <w:spacing w:before="233" w:line="310" w:lineRule="auto"/>
        <w:ind w:left="2"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2.15.1</w:t>
      </w:r>
      <w:r>
        <w:rPr>
          <w:rFonts w:ascii="宋体" w:hAnsi="宋体" w:eastAsia="宋体" w:cs="宋体"/>
          <w:color w:val="auto"/>
          <w:spacing w:val="41"/>
          <w:sz w:val="24"/>
          <w:szCs w:val="24"/>
          <w:highlight w:val="none"/>
        </w:rPr>
        <w:t xml:space="preserve"> </w:t>
      </w:r>
      <w:r>
        <w:rPr>
          <w:rFonts w:ascii="宋体" w:hAnsi="宋体" w:eastAsia="宋体" w:cs="宋体"/>
          <w:color w:val="auto"/>
          <w:spacing w:val="2"/>
          <w:sz w:val="24"/>
          <w:szCs w:val="24"/>
          <w:highlight w:val="none"/>
        </w:rPr>
        <w:t>乙方按照</w:t>
      </w:r>
      <w:r>
        <w:rPr>
          <w:rFonts w:ascii="宋体" w:hAnsi="宋体" w:eastAsia="宋体" w:cs="宋体"/>
          <w:color w:val="auto"/>
          <w:spacing w:val="2"/>
          <w:sz w:val="24"/>
          <w:szCs w:val="24"/>
          <w:highlight w:val="none"/>
          <w:u w:val="single" w:color="auto"/>
        </w:rPr>
        <w:t>合同专用条款</w:t>
      </w:r>
      <w:r>
        <w:rPr>
          <w:rFonts w:ascii="宋体" w:hAnsi="宋体" w:eastAsia="宋体" w:cs="宋体"/>
          <w:color w:val="auto"/>
          <w:spacing w:val="2"/>
          <w:sz w:val="24"/>
          <w:szCs w:val="24"/>
          <w:highlight w:val="none"/>
        </w:rPr>
        <w:t>的约定，定期提交服务报告，甲方按照</w:t>
      </w:r>
      <w:r>
        <w:rPr>
          <w:rFonts w:ascii="宋体" w:hAnsi="宋体" w:eastAsia="宋体" w:cs="宋体"/>
          <w:color w:val="auto"/>
          <w:spacing w:val="2"/>
          <w:sz w:val="24"/>
          <w:szCs w:val="24"/>
          <w:highlight w:val="none"/>
          <w:u w:val="single" w:color="auto"/>
        </w:rPr>
        <w:t>合同</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u w:val="single" w:color="auto"/>
        </w:rPr>
        <w:t>专用条款</w:t>
      </w:r>
      <w:r>
        <w:rPr>
          <w:rFonts w:ascii="宋体" w:hAnsi="宋体" w:eastAsia="宋体" w:cs="宋体"/>
          <w:color w:val="auto"/>
          <w:spacing w:val="-1"/>
          <w:sz w:val="24"/>
          <w:szCs w:val="24"/>
          <w:highlight w:val="none"/>
        </w:rPr>
        <w:t>的约定进行定期验收；</w:t>
      </w:r>
    </w:p>
    <w:p w14:paraId="7781D039">
      <w:pPr>
        <w:spacing w:before="232" w:line="355" w:lineRule="auto"/>
        <w:ind w:firstLine="484"/>
        <w:rPr>
          <w:rFonts w:ascii="宋体" w:hAnsi="宋体" w:eastAsia="宋体" w:cs="宋体"/>
          <w:color w:val="auto"/>
          <w:sz w:val="24"/>
          <w:szCs w:val="24"/>
          <w:highlight w:val="none"/>
        </w:rPr>
      </w:pPr>
      <w:r>
        <w:rPr>
          <w:rFonts w:ascii="宋体" w:hAnsi="宋体" w:eastAsia="宋体" w:cs="宋体"/>
          <w:color w:val="auto"/>
          <w:sz w:val="24"/>
          <w:szCs w:val="24"/>
          <w:highlight w:val="none"/>
        </w:rPr>
        <w:t>2.15.2 合同期满或者履行完毕后，甲方有权组织(包括</w:t>
      </w:r>
      <w:r>
        <w:rPr>
          <w:rFonts w:ascii="宋体" w:hAnsi="宋体" w:eastAsia="宋体" w:cs="宋体"/>
          <w:color w:val="auto"/>
          <w:spacing w:val="-1"/>
          <w:sz w:val="24"/>
          <w:szCs w:val="24"/>
          <w:highlight w:val="none"/>
        </w:rPr>
        <w:t>依法邀请国家认可的</w:t>
      </w:r>
      <w:r>
        <w:rPr>
          <w:rFonts w:ascii="宋体" w:hAnsi="宋体" w:eastAsia="宋体" w:cs="宋体"/>
          <w:color w:val="auto"/>
          <w:sz w:val="24"/>
          <w:szCs w:val="24"/>
          <w:highlight w:val="none"/>
        </w:rPr>
        <w:t xml:space="preserve"> 质量检测机构参加) 对乙方履约的验收，即：按照合同约定的标准，组</w:t>
      </w:r>
      <w:r>
        <w:rPr>
          <w:rFonts w:ascii="宋体" w:hAnsi="宋体" w:eastAsia="宋体" w:cs="宋体"/>
          <w:color w:val="auto"/>
          <w:spacing w:val="-1"/>
          <w:sz w:val="24"/>
          <w:szCs w:val="24"/>
          <w:highlight w:val="none"/>
        </w:rPr>
        <w:t>织对乙方</w:t>
      </w:r>
      <w:r>
        <w:rPr>
          <w:rFonts w:ascii="宋体" w:hAnsi="宋体" w:eastAsia="宋体" w:cs="宋体"/>
          <w:color w:val="auto"/>
          <w:sz w:val="24"/>
          <w:szCs w:val="24"/>
          <w:highlight w:val="none"/>
        </w:rPr>
        <w:t xml:space="preserve"> 履约情况的验收，并出具验收书；向社会公众提供的公共服务项目，验</w:t>
      </w:r>
      <w:r>
        <w:rPr>
          <w:rFonts w:ascii="宋体" w:hAnsi="宋体" w:eastAsia="宋体" w:cs="宋体"/>
          <w:color w:val="auto"/>
          <w:spacing w:val="-1"/>
          <w:sz w:val="24"/>
          <w:szCs w:val="24"/>
          <w:highlight w:val="none"/>
        </w:rPr>
        <w:t>收时应当</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邀请服务对象参与并出具意见，验收结果应当向社会公告；</w:t>
      </w:r>
    </w:p>
    <w:p w14:paraId="0A258372">
      <w:pPr>
        <w:spacing w:before="235" w:line="310" w:lineRule="auto"/>
        <w:ind w:left="2" w:firstLine="48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2.15.3 检验和验收标准、程序等具体内容以及前述验收书的效力详见</w:t>
      </w:r>
      <w:r>
        <w:rPr>
          <w:rFonts w:ascii="宋体" w:hAnsi="宋体" w:eastAsia="宋体" w:cs="宋体"/>
          <w:color w:val="auto"/>
          <w:spacing w:val="3"/>
          <w:sz w:val="24"/>
          <w:szCs w:val="24"/>
          <w:highlight w:val="none"/>
          <w:u w:val="single" w:color="auto"/>
        </w:rPr>
        <w:t>合同</w:t>
      </w:r>
      <w:r>
        <w:rPr>
          <w:rFonts w:ascii="宋体" w:hAnsi="宋体" w:eastAsia="宋体" w:cs="宋体"/>
          <w:color w:val="auto"/>
          <w:spacing w:val="3"/>
          <w:sz w:val="24"/>
          <w:szCs w:val="24"/>
          <w:highlight w:val="none"/>
        </w:rPr>
        <w:t xml:space="preserve"> </w:t>
      </w:r>
      <w:r>
        <w:rPr>
          <w:rFonts w:ascii="宋体" w:hAnsi="宋体" w:eastAsia="宋体" w:cs="宋体"/>
          <w:color w:val="auto"/>
          <w:spacing w:val="4"/>
          <w:sz w:val="24"/>
          <w:szCs w:val="24"/>
          <w:highlight w:val="none"/>
          <w:u w:val="single" w:color="auto"/>
        </w:rPr>
        <w:t>专用条款。</w:t>
      </w:r>
    </w:p>
    <w:p w14:paraId="4E343993">
      <w:pPr>
        <w:spacing w:before="235" w:line="220" w:lineRule="auto"/>
        <w:ind w:left="484"/>
        <w:outlineLvl w:val="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2.16 合同使用的文字和适用的法律</w:t>
      </w:r>
    </w:p>
    <w:p w14:paraId="291EDC95">
      <w:pPr>
        <w:spacing w:before="233" w:line="219"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2.16.1 合同使用汉语书就、变更和解释；</w:t>
      </w:r>
    </w:p>
    <w:p w14:paraId="777C671D">
      <w:pPr>
        <w:spacing w:before="236" w:line="220"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2.16.2 合同适用中华人民共和国法律。</w:t>
      </w:r>
    </w:p>
    <w:p w14:paraId="7D4D81C6">
      <w:pPr>
        <w:spacing w:before="234" w:line="221" w:lineRule="auto"/>
        <w:ind w:left="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2.17 履约保证金</w:t>
      </w:r>
    </w:p>
    <w:p w14:paraId="7A5DB279">
      <w:pPr>
        <w:spacing w:before="230" w:line="310" w:lineRule="auto"/>
        <w:ind w:left="2" w:firstLine="48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 xml:space="preserve">2.17.1 </w:t>
      </w:r>
      <w:r>
        <w:rPr>
          <w:rFonts w:hint="eastAsia" w:ascii="宋体" w:hAnsi="宋体" w:eastAsia="宋体" w:cs="宋体"/>
          <w:color w:val="auto"/>
          <w:spacing w:val="3"/>
          <w:sz w:val="24"/>
          <w:szCs w:val="24"/>
          <w:highlight w:val="none"/>
          <w:lang w:eastAsia="zh-CN"/>
        </w:rPr>
        <w:t>征集文件</w:t>
      </w:r>
      <w:r>
        <w:rPr>
          <w:rFonts w:ascii="宋体" w:hAnsi="宋体" w:eastAsia="宋体" w:cs="宋体"/>
          <w:color w:val="auto"/>
          <w:spacing w:val="3"/>
          <w:sz w:val="24"/>
          <w:szCs w:val="24"/>
          <w:highlight w:val="none"/>
        </w:rPr>
        <w:t>要求乙方提交履约保证金的，乙方应按</w:t>
      </w:r>
      <w:r>
        <w:rPr>
          <w:rFonts w:ascii="宋体" w:hAnsi="宋体" w:eastAsia="宋体" w:cs="宋体"/>
          <w:color w:val="auto"/>
          <w:spacing w:val="3"/>
          <w:sz w:val="24"/>
          <w:szCs w:val="24"/>
          <w:highlight w:val="none"/>
          <w:u w:val="single" w:color="auto"/>
        </w:rPr>
        <w:t>供应商须知的</w:t>
      </w:r>
      <w:r>
        <w:rPr>
          <w:rFonts w:ascii="宋体" w:hAnsi="宋体" w:eastAsia="宋体" w:cs="宋体"/>
          <w:color w:val="auto"/>
          <w:spacing w:val="3"/>
          <w:sz w:val="24"/>
          <w:szCs w:val="24"/>
          <w:highlight w:val="none"/>
        </w:rPr>
        <w:t xml:space="preserve">约定 </w:t>
      </w:r>
      <w:r>
        <w:rPr>
          <w:rFonts w:ascii="宋体" w:hAnsi="宋体" w:eastAsia="宋体" w:cs="宋体"/>
          <w:color w:val="auto"/>
          <w:spacing w:val="-2"/>
          <w:sz w:val="24"/>
          <w:szCs w:val="24"/>
          <w:highlight w:val="none"/>
        </w:rPr>
        <w:t>提交不超过合同价</w:t>
      </w:r>
      <w:r>
        <w:rPr>
          <w:rFonts w:ascii="宋体" w:hAnsi="宋体" w:eastAsia="宋体" w:cs="宋体"/>
          <w:color w:val="auto"/>
          <w:spacing w:val="-34"/>
          <w:sz w:val="24"/>
          <w:szCs w:val="24"/>
          <w:highlight w:val="none"/>
        </w:rPr>
        <w:t xml:space="preserve"> </w:t>
      </w:r>
      <w:r>
        <w:rPr>
          <w:rFonts w:ascii="宋体" w:hAnsi="宋体" w:eastAsia="宋体" w:cs="宋体"/>
          <w:color w:val="auto"/>
          <w:spacing w:val="-2"/>
          <w:sz w:val="24"/>
          <w:szCs w:val="24"/>
          <w:highlight w:val="none"/>
        </w:rPr>
        <w:t>2.5%的履约保证金；</w:t>
      </w:r>
    </w:p>
    <w:p w14:paraId="40FDE90C">
      <w:pPr>
        <w:spacing w:before="236" w:line="340" w:lineRule="auto"/>
        <w:ind w:left="7" w:firstLine="47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 xml:space="preserve">2.17.2 如果乙方不履行合同，履约保证金不予退还；如果乙方未能按合同 </w:t>
      </w:r>
      <w:r>
        <w:rPr>
          <w:rFonts w:ascii="宋体" w:hAnsi="宋体" w:eastAsia="宋体" w:cs="宋体"/>
          <w:color w:val="auto"/>
          <w:sz w:val="24"/>
          <w:szCs w:val="24"/>
          <w:highlight w:val="none"/>
        </w:rPr>
        <w:t>约定全面履行义务，那么甲方有权从履约保证金中取</w:t>
      </w:r>
      <w:r>
        <w:rPr>
          <w:rFonts w:ascii="宋体" w:hAnsi="宋体" w:eastAsia="宋体" w:cs="宋体"/>
          <w:color w:val="auto"/>
          <w:spacing w:val="-1"/>
          <w:sz w:val="24"/>
          <w:szCs w:val="24"/>
          <w:highlight w:val="none"/>
        </w:rPr>
        <w:t>得补偿或赔偿，同时不影响</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甲方要求乙方承担合同约定的超过履约保证金的违约责任的权利。</w:t>
      </w:r>
    </w:p>
    <w:p w14:paraId="46A62551">
      <w:pPr>
        <w:spacing w:before="235" w:line="220" w:lineRule="auto"/>
        <w:ind w:left="484"/>
        <w:outlineLvl w:val="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2.18 合同份数</w:t>
      </w:r>
    </w:p>
    <w:p w14:paraId="5D930C43">
      <w:pPr>
        <w:spacing w:before="233" w:line="220" w:lineRule="auto"/>
        <w:ind w:left="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合同份数按</w:t>
      </w:r>
      <w:r>
        <w:rPr>
          <w:rFonts w:ascii="宋体" w:hAnsi="宋体" w:eastAsia="宋体" w:cs="宋体"/>
          <w:color w:val="auto"/>
          <w:spacing w:val="-1"/>
          <w:sz w:val="24"/>
          <w:szCs w:val="24"/>
          <w:highlight w:val="none"/>
          <w:u w:val="single" w:color="auto"/>
        </w:rPr>
        <w:t>合同专用条款</w:t>
      </w:r>
      <w:r>
        <w:rPr>
          <w:rFonts w:ascii="宋体" w:hAnsi="宋体" w:eastAsia="宋体" w:cs="宋体"/>
          <w:color w:val="auto"/>
          <w:spacing w:val="-1"/>
          <w:sz w:val="24"/>
          <w:szCs w:val="24"/>
          <w:highlight w:val="none"/>
        </w:rPr>
        <w:t>规定，每份均具有同等法律效力。</w:t>
      </w:r>
    </w:p>
    <w:p w14:paraId="53D1FA30">
      <w:pPr>
        <w:spacing w:line="220" w:lineRule="auto"/>
        <w:rPr>
          <w:rFonts w:ascii="宋体" w:hAnsi="宋体" w:eastAsia="宋体" w:cs="宋体"/>
          <w:color w:val="auto"/>
          <w:sz w:val="24"/>
          <w:szCs w:val="24"/>
          <w:highlight w:val="none"/>
        </w:rPr>
        <w:sectPr>
          <w:footerReference r:id="rId26" w:type="default"/>
          <w:pgSz w:w="11911" w:h="16840"/>
          <w:pgMar w:top="1429" w:right="1763" w:bottom="862" w:left="1655" w:header="0" w:footer="680" w:gutter="0"/>
          <w:cols w:space="0" w:num="1"/>
          <w:rtlGutter w:val="0"/>
          <w:docGrid w:linePitch="0" w:charSpace="0"/>
        </w:sectPr>
      </w:pPr>
    </w:p>
    <w:p w14:paraId="3CFB622B">
      <w:pPr>
        <w:spacing w:before="48" w:line="220" w:lineRule="auto"/>
        <w:ind w:left="3558"/>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第三部分</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合同专用条款</w:t>
      </w:r>
    </w:p>
    <w:p w14:paraId="243F3329">
      <w:pPr>
        <w:spacing w:before="272" w:line="363" w:lineRule="auto"/>
        <w:ind w:firstLine="478"/>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本部分是对前两部分的补充和修改，如果前两部分和本部分</w:t>
      </w:r>
      <w:r>
        <w:rPr>
          <w:rFonts w:ascii="宋体" w:hAnsi="宋体" w:eastAsia="宋体" w:cs="宋体"/>
          <w:color w:val="auto"/>
          <w:spacing w:val="-1"/>
          <w:sz w:val="24"/>
          <w:szCs w:val="24"/>
          <w:highlight w:val="none"/>
        </w:rPr>
        <w:t>的约定不一致，应以本部分</w:t>
      </w:r>
      <w:r>
        <w:rPr>
          <w:rFonts w:ascii="宋体" w:hAnsi="宋体" w:eastAsia="宋体" w:cs="宋体"/>
          <w:color w:val="auto"/>
          <w:sz w:val="24"/>
          <w:szCs w:val="24"/>
          <w:highlight w:val="none"/>
        </w:rPr>
        <w:t xml:space="preserve"> 的约定为准。本部分的条款号应与前两部分的条款号保持对</w:t>
      </w:r>
      <w:r>
        <w:rPr>
          <w:rFonts w:ascii="宋体" w:hAnsi="宋体" w:eastAsia="宋体" w:cs="宋体"/>
          <w:color w:val="auto"/>
          <w:spacing w:val="-1"/>
          <w:sz w:val="24"/>
          <w:szCs w:val="24"/>
          <w:highlight w:val="none"/>
        </w:rPr>
        <w:t>应；与前两部分无对应关系的内</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容可另行编制条款号。</w:t>
      </w:r>
    </w:p>
    <w:tbl>
      <w:tblPr>
        <w:tblStyle w:val="12"/>
        <w:tblW w:w="8372" w:type="dxa"/>
        <w:tblInd w:w="6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7015"/>
      </w:tblGrid>
      <w:tr w14:paraId="3D458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357" w:type="dxa"/>
            <w:vAlign w:val="top"/>
          </w:tcPr>
          <w:p w14:paraId="512D51D0">
            <w:pPr>
              <w:pStyle w:val="13"/>
              <w:spacing w:before="190" w:line="220" w:lineRule="auto"/>
              <w:ind w:left="349"/>
              <w:rPr>
                <w:color w:val="auto"/>
                <w:highlight w:val="none"/>
              </w:rPr>
            </w:pPr>
            <w:r>
              <w:rPr>
                <w:b/>
                <w:bCs/>
                <w:color w:val="auto"/>
                <w:spacing w:val="-6"/>
                <w:highlight w:val="none"/>
              </w:rPr>
              <w:t>条款号</w:t>
            </w:r>
          </w:p>
        </w:tc>
        <w:tc>
          <w:tcPr>
            <w:tcW w:w="7015" w:type="dxa"/>
            <w:vAlign w:val="top"/>
          </w:tcPr>
          <w:p w14:paraId="7BD5CBE4">
            <w:pPr>
              <w:pStyle w:val="13"/>
              <w:spacing w:before="190" w:line="220" w:lineRule="auto"/>
              <w:ind w:left="3035"/>
              <w:rPr>
                <w:color w:val="auto"/>
                <w:highlight w:val="none"/>
              </w:rPr>
            </w:pPr>
            <w:bookmarkStart w:id="41" w:name="bookmark21"/>
            <w:bookmarkEnd w:id="41"/>
            <w:r>
              <w:rPr>
                <w:b/>
                <w:bCs/>
                <w:color w:val="auto"/>
                <w:spacing w:val="-6"/>
                <w:highlight w:val="none"/>
              </w:rPr>
              <w:t>约定内容</w:t>
            </w:r>
          </w:p>
        </w:tc>
      </w:tr>
      <w:tr w14:paraId="4BDD5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357" w:type="dxa"/>
            <w:vAlign w:val="top"/>
          </w:tcPr>
          <w:p w14:paraId="18EEBF06">
            <w:pPr>
              <w:rPr>
                <w:rFonts w:ascii="Arial"/>
                <w:color w:val="auto"/>
                <w:sz w:val="21"/>
                <w:highlight w:val="none"/>
              </w:rPr>
            </w:pPr>
          </w:p>
        </w:tc>
        <w:tc>
          <w:tcPr>
            <w:tcW w:w="7015" w:type="dxa"/>
            <w:vAlign w:val="top"/>
          </w:tcPr>
          <w:p w14:paraId="041E51C7">
            <w:pPr>
              <w:rPr>
                <w:rFonts w:ascii="Arial"/>
                <w:color w:val="auto"/>
                <w:sz w:val="21"/>
                <w:highlight w:val="none"/>
              </w:rPr>
            </w:pPr>
          </w:p>
        </w:tc>
      </w:tr>
      <w:tr w14:paraId="33C4B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357" w:type="dxa"/>
            <w:vAlign w:val="top"/>
          </w:tcPr>
          <w:p w14:paraId="4F44AB54">
            <w:pPr>
              <w:rPr>
                <w:rFonts w:ascii="Arial"/>
                <w:color w:val="auto"/>
                <w:sz w:val="21"/>
                <w:highlight w:val="none"/>
              </w:rPr>
            </w:pPr>
          </w:p>
        </w:tc>
        <w:tc>
          <w:tcPr>
            <w:tcW w:w="7015" w:type="dxa"/>
            <w:vAlign w:val="top"/>
          </w:tcPr>
          <w:p w14:paraId="2FDA1C58">
            <w:pPr>
              <w:rPr>
                <w:rFonts w:ascii="Arial"/>
                <w:color w:val="auto"/>
                <w:sz w:val="21"/>
                <w:highlight w:val="none"/>
              </w:rPr>
            </w:pPr>
          </w:p>
        </w:tc>
      </w:tr>
      <w:tr w14:paraId="67332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2EB31986">
            <w:pPr>
              <w:rPr>
                <w:rFonts w:ascii="Arial"/>
                <w:color w:val="auto"/>
                <w:sz w:val="21"/>
                <w:highlight w:val="none"/>
              </w:rPr>
            </w:pPr>
          </w:p>
        </w:tc>
        <w:tc>
          <w:tcPr>
            <w:tcW w:w="7015" w:type="dxa"/>
            <w:vAlign w:val="top"/>
          </w:tcPr>
          <w:p w14:paraId="36FBCA1C">
            <w:pPr>
              <w:rPr>
                <w:rFonts w:ascii="Arial"/>
                <w:color w:val="auto"/>
                <w:sz w:val="21"/>
                <w:highlight w:val="none"/>
              </w:rPr>
            </w:pPr>
          </w:p>
        </w:tc>
      </w:tr>
      <w:tr w14:paraId="69FEA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357" w:type="dxa"/>
            <w:vAlign w:val="top"/>
          </w:tcPr>
          <w:p w14:paraId="56953550">
            <w:pPr>
              <w:rPr>
                <w:rFonts w:ascii="Arial"/>
                <w:color w:val="auto"/>
                <w:sz w:val="21"/>
                <w:highlight w:val="none"/>
              </w:rPr>
            </w:pPr>
          </w:p>
        </w:tc>
        <w:tc>
          <w:tcPr>
            <w:tcW w:w="7015" w:type="dxa"/>
            <w:vAlign w:val="top"/>
          </w:tcPr>
          <w:p w14:paraId="64B32D08">
            <w:pPr>
              <w:rPr>
                <w:rFonts w:ascii="Arial"/>
                <w:color w:val="auto"/>
                <w:sz w:val="21"/>
                <w:highlight w:val="none"/>
              </w:rPr>
            </w:pPr>
          </w:p>
        </w:tc>
      </w:tr>
      <w:tr w14:paraId="7035B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357" w:type="dxa"/>
            <w:vAlign w:val="top"/>
          </w:tcPr>
          <w:p w14:paraId="1948E560">
            <w:pPr>
              <w:rPr>
                <w:rFonts w:ascii="Arial"/>
                <w:color w:val="auto"/>
                <w:sz w:val="21"/>
                <w:highlight w:val="none"/>
              </w:rPr>
            </w:pPr>
          </w:p>
        </w:tc>
        <w:tc>
          <w:tcPr>
            <w:tcW w:w="7015" w:type="dxa"/>
            <w:vAlign w:val="top"/>
          </w:tcPr>
          <w:p w14:paraId="54E4CDE4">
            <w:pPr>
              <w:rPr>
                <w:rFonts w:ascii="Arial"/>
                <w:color w:val="auto"/>
                <w:sz w:val="21"/>
                <w:highlight w:val="none"/>
              </w:rPr>
            </w:pPr>
          </w:p>
        </w:tc>
      </w:tr>
      <w:tr w14:paraId="01879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658D268C">
            <w:pPr>
              <w:rPr>
                <w:rFonts w:ascii="Arial"/>
                <w:color w:val="auto"/>
                <w:sz w:val="21"/>
                <w:highlight w:val="none"/>
              </w:rPr>
            </w:pPr>
          </w:p>
        </w:tc>
        <w:tc>
          <w:tcPr>
            <w:tcW w:w="7015" w:type="dxa"/>
            <w:vAlign w:val="top"/>
          </w:tcPr>
          <w:p w14:paraId="490EBA41">
            <w:pPr>
              <w:rPr>
                <w:rFonts w:ascii="Arial"/>
                <w:color w:val="auto"/>
                <w:sz w:val="21"/>
                <w:highlight w:val="none"/>
              </w:rPr>
            </w:pPr>
          </w:p>
        </w:tc>
      </w:tr>
      <w:tr w14:paraId="6D976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357" w:type="dxa"/>
            <w:vAlign w:val="top"/>
          </w:tcPr>
          <w:p w14:paraId="4764F280">
            <w:pPr>
              <w:rPr>
                <w:rFonts w:ascii="Arial"/>
                <w:color w:val="auto"/>
                <w:sz w:val="21"/>
                <w:highlight w:val="none"/>
              </w:rPr>
            </w:pPr>
          </w:p>
        </w:tc>
        <w:tc>
          <w:tcPr>
            <w:tcW w:w="7015" w:type="dxa"/>
            <w:vAlign w:val="top"/>
          </w:tcPr>
          <w:p w14:paraId="387CBB8B">
            <w:pPr>
              <w:rPr>
                <w:rFonts w:ascii="Arial"/>
                <w:color w:val="auto"/>
                <w:sz w:val="21"/>
                <w:highlight w:val="none"/>
              </w:rPr>
            </w:pPr>
          </w:p>
        </w:tc>
      </w:tr>
      <w:tr w14:paraId="16E86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00C5B3A9">
            <w:pPr>
              <w:rPr>
                <w:rFonts w:ascii="Arial"/>
                <w:color w:val="auto"/>
                <w:sz w:val="21"/>
                <w:highlight w:val="none"/>
              </w:rPr>
            </w:pPr>
          </w:p>
        </w:tc>
        <w:tc>
          <w:tcPr>
            <w:tcW w:w="7015" w:type="dxa"/>
            <w:vAlign w:val="top"/>
          </w:tcPr>
          <w:p w14:paraId="6E303F00">
            <w:pPr>
              <w:rPr>
                <w:rFonts w:ascii="Arial"/>
                <w:color w:val="auto"/>
                <w:sz w:val="21"/>
                <w:highlight w:val="none"/>
              </w:rPr>
            </w:pPr>
          </w:p>
        </w:tc>
      </w:tr>
      <w:tr w14:paraId="16C87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357" w:type="dxa"/>
            <w:vAlign w:val="top"/>
          </w:tcPr>
          <w:p w14:paraId="28EE96A6">
            <w:pPr>
              <w:rPr>
                <w:rFonts w:ascii="Arial"/>
                <w:color w:val="auto"/>
                <w:sz w:val="21"/>
                <w:highlight w:val="none"/>
              </w:rPr>
            </w:pPr>
          </w:p>
        </w:tc>
        <w:tc>
          <w:tcPr>
            <w:tcW w:w="7015" w:type="dxa"/>
            <w:vAlign w:val="top"/>
          </w:tcPr>
          <w:p w14:paraId="3FB7ABE8">
            <w:pPr>
              <w:rPr>
                <w:rFonts w:ascii="Arial"/>
                <w:color w:val="auto"/>
                <w:sz w:val="21"/>
                <w:highlight w:val="none"/>
              </w:rPr>
            </w:pPr>
          </w:p>
        </w:tc>
      </w:tr>
    </w:tbl>
    <w:p w14:paraId="05F8F568">
      <w:pPr>
        <w:pStyle w:val="6"/>
        <w:rPr>
          <w:color w:val="auto"/>
          <w:highlight w:val="none"/>
        </w:rPr>
      </w:pPr>
    </w:p>
    <w:p w14:paraId="0825C193">
      <w:pPr>
        <w:rPr>
          <w:color w:val="auto"/>
          <w:highlight w:val="none"/>
        </w:rPr>
        <w:sectPr>
          <w:footerReference r:id="rId27" w:type="default"/>
          <w:pgSz w:w="11911" w:h="16840"/>
          <w:pgMar w:top="1429" w:right="1763" w:bottom="862" w:left="1655" w:header="0" w:footer="680" w:gutter="0"/>
          <w:cols w:space="0" w:num="1"/>
          <w:rtlGutter w:val="0"/>
          <w:docGrid w:linePitch="0" w:charSpace="0"/>
        </w:sectPr>
      </w:pPr>
    </w:p>
    <w:p w14:paraId="383C548A">
      <w:pPr>
        <w:spacing w:before="55" w:line="219" w:lineRule="auto"/>
        <w:ind w:left="2956"/>
        <w:outlineLvl w:val="0"/>
        <w:rPr>
          <w:rFonts w:ascii="黑体" w:hAnsi="黑体" w:eastAsia="黑体" w:cs="黑体"/>
          <w:color w:val="auto"/>
          <w:sz w:val="28"/>
          <w:szCs w:val="28"/>
          <w:highlight w:val="none"/>
        </w:rPr>
      </w:pPr>
      <w:bookmarkStart w:id="42" w:name="bookmark20"/>
      <w:bookmarkEnd w:id="42"/>
      <w:r>
        <w:rPr>
          <w:rFonts w:ascii="黑体" w:hAnsi="黑体" w:eastAsia="黑体" w:cs="黑体"/>
          <w:color w:val="auto"/>
          <w:spacing w:val="-2"/>
          <w:sz w:val="28"/>
          <w:szCs w:val="28"/>
          <w:highlight w:val="none"/>
        </w:rPr>
        <w:t>第十一章 供应商信用信息</w:t>
      </w:r>
    </w:p>
    <w:p w14:paraId="46924876">
      <w:pPr>
        <w:pStyle w:val="6"/>
        <w:spacing w:line="310" w:lineRule="auto"/>
        <w:rPr>
          <w:color w:val="auto"/>
          <w:highlight w:val="none"/>
        </w:rPr>
      </w:pPr>
    </w:p>
    <w:p w14:paraId="2CD6576B">
      <w:pPr>
        <w:spacing w:before="281" w:line="220" w:lineRule="auto"/>
        <w:ind w:left="0" w:leftChars="0" w:firstLine="417" w:firstLineChars="177"/>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一、供应商存在下列情形之一的，不得推荐为入围候选供应商，不得确定为入围供应商：</w:t>
      </w:r>
    </w:p>
    <w:p w14:paraId="5E786BCD">
      <w:pPr>
        <w:spacing w:before="283" w:line="219" w:lineRule="auto"/>
        <w:ind w:left="591"/>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1、被人民法院列入失信被执行人；</w:t>
      </w:r>
    </w:p>
    <w:p w14:paraId="0F0B4C54">
      <w:pPr>
        <w:spacing w:before="283" w:line="219" w:lineRule="auto"/>
        <w:ind w:left="591"/>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2、被市场监督管理部门列入严重违法失信企业名录；</w:t>
      </w:r>
    </w:p>
    <w:p w14:paraId="751B4664">
      <w:pPr>
        <w:spacing w:before="283" w:line="219" w:lineRule="auto"/>
        <w:ind w:left="591"/>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3、被税务部门列入重大税收违法案件当事人名单的；</w:t>
      </w:r>
    </w:p>
    <w:p w14:paraId="65D3CAEC">
      <w:pPr>
        <w:spacing w:before="283" w:line="219" w:lineRule="auto"/>
        <w:ind w:left="591"/>
        <w:rPr>
          <w:rFonts w:ascii="宋体" w:hAnsi="宋体" w:eastAsia="宋体" w:cs="宋体"/>
          <w:color w:val="auto"/>
          <w:sz w:val="24"/>
          <w:szCs w:val="24"/>
          <w:highlight w:val="none"/>
        </w:rPr>
      </w:pPr>
      <w:r>
        <w:rPr>
          <w:rFonts w:ascii="宋体" w:hAnsi="宋体" w:eastAsia="宋体" w:cs="宋体"/>
          <w:color w:val="auto"/>
          <w:spacing w:val="-1"/>
          <w:sz w:val="22"/>
          <w:szCs w:val="22"/>
          <w:highlight w:val="none"/>
        </w:rPr>
        <w:t>4、</w:t>
      </w:r>
      <w:r>
        <w:rPr>
          <w:rFonts w:ascii="宋体" w:hAnsi="宋体" w:eastAsia="宋体" w:cs="宋体"/>
          <w:color w:val="auto"/>
          <w:spacing w:val="-1"/>
          <w:sz w:val="24"/>
          <w:szCs w:val="24"/>
          <w:highlight w:val="none"/>
        </w:rPr>
        <w:t>被政府采购监管部门列入政府采购严重违法失信行为记录名单。</w:t>
      </w:r>
    </w:p>
    <w:p w14:paraId="60B89D81">
      <w:pPr>
        <w:spacing w:before="281" w:line="220" w:lineRule="auto"/>
        <w:ind w:left="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二、信用信息查询渠道：</w:t>
      </w:r>
    </w:p>
    <w:p w14:paraId="698C76C6">
      <w:pPr>
        <w:spacing w:before="280" w:line="214" w:lineRule="auto"/>
        <w:ind w:left="495"/>
        <w:rPr>
          <w:rFonts w:ascii="宋体" w:hAnsi="宋体" w:eastAsia="宋体" w:cs="宋体"/>
          <w:color w:val="auto"/>
          <w:sz w:val="24"/>
          <w:szCs w:val="24"/>
          <w:highlight w:val="none"/>
        </w:rPr>
      </w:pPr>
      <w:r>
        <w:rPr>
          <w:rFonts w:ascii="宋体" w:hAnsi="宋体" w:eastAsia="宋体" w:cs="宋体"/>
          <w:color w:val="auto"/>
          <w:sz w:val="24"/>
          <w:szCs w:val="24"/>
          <w:highlight w:val="none"/>
        </w:rPr>
        <w:t>1、被人民法院列入失信被执行人名单的(</w:t>
      </w:r>
      <w:r>
        <w:rPr>
          <w:rFonts w:ascii="宋体" w:hAnsi="宋体" w:eastAsia="宋体" w:cs="宋体"/>
          <w:color w:val="auto"/>
          <w:spacing w:val="-1"/>
          <w:sz w:val="24"/>
          <w:szCs w:val="24"/>
          <w:highlight w:val="none"/>
        </w:rPr>
        <w:t>以www.creditchina.gov.cn查询为准)；</w:t>
      </w:r>
    </w:p>
    <w:p w14:paraId="601EF63A">
      <w:pPr>
        <w:spacing w:before="286" w:line="423" w:lineRule="auto"/>
        <w:ind w:left="2" w:right="242" w:firstLine="477"/>
        <w:rPr>
          <w:rFonts w:ascii="宋体" w:hAnsi="宋体" w:eastAsia="宋体" w:cs="宋体"/>
          <w:color w:val="auto"/>
          <w:sz w:val="24"/>
          <w:szCs w:val="24"/>
          <w:highlight w:val="none"/>
        </w:rPr>
      </w:pPr>
      <w:r>
        <w:rPr>
          <w:rFonts w:ascii="宋体" w:hAnsi="宋体" w:eastAsia="宋体" w:cs="宋体"/>
          <w:color w:val="auto"/>
          <w:sz w:val="24"/>
          <w:szCs w:val="24"/>
          <w:highlight w:val="none"/>
        </w:rPr>
        <w:t>2、被税务机关列入重大税收违法失信主体名单的(以www.credit</w:t>
      </w:r>
      <w:r>
        <w:rPr>
          <w:rFonts w:ascii="宋体" w:hAnsi="宋体" w:eastAsia="宋体" w:cs="宋体"/>
          <w:color w:val="auto"/>
          <w:spacing w:val="-1"/>
          <w:sz w:val="24"/>
          <w:szCs w:val="24"/>
          <w:highlight w:val="none"/>
        </w:rPr>
        <w:t>china.gov.cn查询</w:t>
      </w:r>
      <w:r>
        <w:rPr>
          <w:rFonts w:ascii="宋体" w:hAnsi="宋体" w:eastAsia="宋体" w:cs="宋体"/>
          <w:color w:val="auto"/>
          <w:spacing w:val="-4"/>
          <w:sz w:val="24"/>
          <w:szCs w:val="24"/>
          <w:highlight w:val="none"/>
        </w:rPr>
        <w:t>为准)；</w:t>
      </w:r>
    </w:p>
    <w:p w14:paraId="4440ACBF">
      <w:pPr>
        <w:spacing w:before="30" w:line="423" w:lineRule="auto"/>
        <w:ind w:left="2" w:right="362" w:firstLine="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3、被财政部门列入政府采购严重违法失信行为</w:t>
      </w:r>
      <w:r>
        <w:rPr>
          <w:rFonts w:ascii="宋体" w:hAnsi="宋体" w:eastAsia="宋体" w:cs="宋体"/>
          <w:color w:val="auto"/>
          <w:spacing w:val="-2"/>
          <w:sz w:val="24"/>
          <w:szCs w:val="24"/>
          <w:highlight w:val="none"/>
        </w:rPr>
        <w:t>记录名单的</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(以www.ccgp.gov.cn/</w:t>
      </w:r>
      <w:r>
        <w:rPr>
          <w:rFonts w:ascii="宋体" w:hAnsi="宋体" w:eastAsia="宋体" w:cs="宋体"/>
          <w:color w:val="auto"/>
          <w:spacing w:val="-3"/>
          <w:sz w:val="24"/>
          <w:szCs w:val="24"/>
          <w:highlight w:val="none"/>
        </w:rPr>
        <w:t>查询为准)；</w:t>
      </w:r>
    </w:p>
    <w:p w14:paraId="28DB1FCB">
      <w:pPr>
        <w:spacing w:before="34" w:line="214" w:lineRule="auto"/>
        <w:ind w:left="476"/>
        <w:rPr>
          <w:rFonts w:ascii="宋体" w:hAnsi="宋体" w:eastAsia="宋体" w:cs="宋体"/>
          <w:color w:val="auto"/>
          <w:sz w:val="24"/>
          <w:szCs w:val="24"/>
          <w:highlight w:val="none"/>
        </w:rPr>
      </w:pPr>
      <w:r>
        <w:rPr>
          <w:rFonts w:ascii="宋体" w:hAnsi="宋体" w:eastAsia="宋体" w:cs="宋体"/>
          <w:color w:val="auto"/>
          <w:sz w:val="24"/>
          <w:szCs w:val="24"/>
          <w:highlight w:val="none"/>
        </w:rPr>
        <w:t>4、被市场监督管理部门列入严重违法失信名单的(以 www.gsxt.go</w:t>
      </w:r>
      <w:r>
        <w:rPr>
          <w:rFonts w:ascii="宋体" w:hAnsi="宋体" w:eastAsia="宋体" w:cs="宋体"/>
          <w:color w:val="auto"/>
          <w:spacing w:val="-1"/>
          <w:sz w:val="24"/>
          <w:szCs w:val="24"/>
          <w:highlight w:val="none"/>
        </w:rPr>
        <w:t>v.cn查询为准)。</w:t>
      </w:r>
    </w:p>
    <w:p w14:paraId="4718F44D">
      <w:pPr>
        <w:spacing w:before="285" w:line="422" w:lineRule="auto"/>
        <w:ind w:left="4" w:right="242" w:firstLine="49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四、供应商在响应文件中无需提供证明材料，由征集人或者采购代理机构查询供应商的信用记录，信用记录以本项目响应文件提交截止时间的记录信息为准。</w:t>
      </w:r>
    </w:p>
    <w:p w14:paraId="3C8CA624">
      <w:pPr>
        <w:spacing w:before="34" w:line="422" w:lineRule="auto"/>
        <w:ind w:right="242" w:firstLine="481"/>
        <w:rPr>
          <w:rFonts w:ascii="宋体" w:hAnsi="宋体" w:eastAsia="宋体" w:cs="宋体"/>
          <w:color w:val="auto"/>
          <w:sz w:val="24"/>
          <w:szCs w:val="24"/>
          <w:highlight w:val="none"/>
        </w:rPr>
      </w:pPr>
      <w:r>
        <w:rPr>
          <w:rFonts w:ascii="宋体" w:hAnsi="宋体" w:eastAsia="宋体" w:cs="宋体"/>
          <w:color w:val="auto"/>
          <w:sz w:val="24"/>
          <w:szCs w:val="24"/>
          <w:highlight w:val="none"/>
        </w:rPr>
        <w:t>五、信用信息记录方式：征集人或采购代理机构</w:t>
      </w:r>
      <w:r>
        <w:rPr>
          <w:rFonts w:ascii="宋体" w:hAnsi="宋体" w:eastAsia="宋体" w:cs="宋体"/>
          <w:color w:val="auto"/>
          <w:spacing w:val="-1"/>
          <w:sz w:val="24"/>
          <w:szCs w:val="24"/>
          <w:highlight w:val="none"/>
        </w:rPr>
        <w:t>工作人员将查询网页截图随其他征集资料一同存档备查。</w:t>
      </w:r>
    </w:p>
    <w:p w14:paraId="44F664C4">
      <w:pPr>
        <w:spacing w:before="35" w:line="219" w:lineRule="auto"/>
        <w:ind w:right="2"/>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六、在上述规定的查询时间之外，网站信息发生的任何</w:t>
      </w:r>
      <w:r>
        <w:rPr>
          <w:rFonts w:ascii="宋体" w:hAnsi="宋体" w:eastAsia="宋体" w:cs="宋体"/>
          <w:color w:val="auto"/>
          <w:spacing w:val="-1"/>
          <w:sz w:val="24"/>
          <w:szCs w:val="24"/>
          <w:highlight w:val="none"/>
        </w:rPr>
        <w:t>变更均不作为资格审查依据。</w:t>
      </w:r>
    </w:p>
    <w:p w14:paraId="4856E6E9">
      <w:pPr>
        <w:spacing w:line="219" w:lineRule="auto"/>
        <w:rPr>
          <w:rFonts w:ascii="宋体" w:hAnsi="宋体" w:eastAsia="宋体" w:cs="宋体"/>
          <w:color w:val="auto"/>
          <w:sz w:val="24"/>
          <w:szCs w:val="24"/>
          <w:highlight w:val="none"/>
        </w:rPr>
        <w:sectPr>
          <w:footerReference r:id="rId28" w:type="default"/>
          <w:pgSz w:w="11911" w:h="16840"/>
          <w:pgMar w:top="1429" w:right="1763" w:bottom="862" w:left="1655" w:header="0" w:footer="680" w:gutter="0"/>
          <w:cols w:space="0" w:num="1"/>
          <w:rtlGutter w:val="0"/>
          <w:docGrid w:linePitch="0" w:charSpace="0"/>
        </w:sectPr>
      </w:pPr>
    </w:p>
    <w:p w14:paraId="4AF2153B">
      <w:pPr>
        <w:spacing w:before="55" w:line="219" w:lineRule="auto"/>
        <w:ind w:left="0" w:leftChars="0" w:firstLine="0" w:firstLineChars="0"/>
        <w:jc w:val="center"/>
        <w:outlineLvl w:val="0"/>
        <w:rPr>
          <w:rFonts w:ascii="黑体" w:hAnsi="黑体" w:eastAsia="黑体" w:cs="黑体"/>
          <w:color w:val="auto"/>
          <w:spacing w:val="-2"/>
          <w:sz w:val="28"/>
          <w:szCs w:val="28"/>
          <w:highlight w:val="none"/>
        </w:rPr>
      </w:pPr>
      <w:bookmarkStart w:id="43" w:name="bookmark22"/>
      <w:bookmarkEnd w:id="43"/>
      <w:bookmarkStart w:id="44" w:name="bookmark23"/>
      <w:bookmarkEnd w:id="44"/>
      <w:r>
        <w:rPr>
          <w:rFonts w:ascii="黑体" w:hAnsi="黑体" w:eastAsia="黑体" w:cs="黑体"/>
          <w:color w:val="auto"/>
          <w:spacing w:val="-2"/>
          <w:sz w:val="28"/>
          <w:szCs w:val="28"/>
          <w:highlight w:val="none"/>
        </w:rPr>
        <w:t>第十二章  入围供应商的清退和补充规则</w:t>
      </w:r>
    </w:p>
    <w:p w14:paraId="22A891A8">
      <w:pPr>
        <w:pStyle w:val="6"/>
        <w:spacing w:line="304" w:lineRule="auto"/>
        <w:rPr>
          <w:color w:val="auto"/>
          <w:highlight w:val="none"/>
        </w:rPr>
      </w:pPr>
    </w:p>
    <w:p w14:paraId="12A0201D">
      <w:pPr>
        <w:pStyle w:val="6"/>
        <w:spacing w:line="305" w:lineRule="auto"/>
        <w:rPr>
          <w:color w:val="auto"/>
          <w:highlight w:val="none"/>
        </w:rPr>
      </w:pPr>
    </w:p>
    <w:p w14:paraId="31ADE290">
      <w:pPr>
        <w:spacing w:before="78" w:line="219" w:lineRule="auto"/>
        <w:ind w:left="437"/>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一、入围供应商的清退机制</w:t>
      </w:r>
    </w:p>
    <w:p w14:paraId="33AD658E">
      <w:pPr>
        <w:pStyle w:val="6"/>
        <w:spacing w:line="275" w:lineRule="auto"/>
        <w:rPr>
          <w:color w:val="auto"/>
          <w:highlight w:val="none"/>
        </w:rPr>
      </w:pPr>
    </w:p>
    <w:p w14:paraId="76C72232">
      <w:pPr>
        <w:spacing w:before="78" w:line="295" w:lineRule="auto"/>
        <w:ind w:right="25" w:rightChars="0" w:firstLine="451"/>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1、封闭式框架协议入围供应商无正当理由，不得主动放弃入围资格或者</w:t>
      </w:r>
      <w:r>
        <w:rPr>
          <w:rFonts w:ascii="宋体" w:hAnsi="宋体" w:eastAsia="宋体" w:cs="宋体"/>
          <w:color w:val="auto"/>
          <w:spacing w:val="-8"/>
          <w:sz w:val="24"/>
          <w:szCs w:val="24"/>
          <w:highlight w:val="none"/>
        </w:rPr>
        <w:t>退出框架协议。</w:t>
      </w:r>
    </w:p>
    <w:p w14:paraId="3BFBA938">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2、入围供应商有下列情形之一，尚未签订框架协议的，取消其入围资格； 已经签订框架协议的，解除与其签订的框架协议：</w:t>
      </w:r>
    </w:p>
    <w:p w14:paraId="67E42A7D">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（1） 恶意串通谋取入围或者合同成交的；</w:t>
      </w:r>
    </w:p>
    <w:p w14:paraId="08454AE3">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（2） 提供虚假材料谋取入围或者合同成交的；</w:t>
      </w:r>
    </w:p>
    <w:p w14:paraId="62A9605A">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（3） 无正当理由拒不接受合同授予的；</w:t>
      </w:r>
    </w:p>
    <w:p w14:paraId="1E5536A0">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（4） 不履行合同义务或者履行合同义务不符合约定，经采购人请求履 行后仍不履行或者仍未按约定履行的；</w:t>
      </w:r>
    </w:p>
    <w:p w14:paraId="42CF87E6">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（5） 框架协议有效期内，因违法行为被禁止或限制参加政府采购活动的；</w:t>
      </w:r>
    </w:p>
    <w:p w14:paraId="6BB2D237">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（6） 框架协议约定的其他情形。</w:t>
      </w:r>
    </w:p>
    <w:p w14:paraId="017C86B1">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被取消入围资格或者被解除框架协议的供应商不得参加同一封闭式框架协议补充征集，或者重新申请加入同一开放式框架协议。</w:t>
      </w:r>
    </w:p>
    <w:p w14:paraId="01D12E37">
      <w:pPr>
        <w:spacing w:before="38" w:line="219" w:lineRule="auto"/>
        <w:ind w:left="437"/>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二、入围供应商的补充规则</w:t>
      </w:r>
    </w:p>
    <w:p w14:paraId="60A70FF6">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1.除剩余入围供应商不足入围供应商总数70%且影响框架协议执行的情形外，框架协议有效期内，征集人不得补充征集供应商。</w:t>
      </w:r>
    </w:p>
    <w:p w14:paraId="7C2AD5C6">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2、征集人补充征集供应商的，补充征集规则应当在框架协议中约定，补充征集的条件、程序、评审方法和淘汰比例应当与初次征集相同。补充征集应当遵守原框架协议的有效期。补充征集期间，原框架协议继续履行。</w:t>
      </w:r>
    </w:p>
    <w:p w14:paraId="56D30D98">
      <w:pPr>
        <w:pStyle w:val="6"/>
        <w:spacing w:line="264" w:lineRule="auto"/>
        <w:rPr>
          <w:color w:val="auto"/>
          <w:highlight w:val="none"/>
        </w:rPr>
      </w:pPr>
    </w:p>
    <w:p w14:paraId="6158C50D">
      <w:pPr>
        <w:pStyle w:val="6"/>
        <w:spacing w:line="265" w:lineRule="auto"/>
        <w:rPr>
          <w:color w:val="auto"/>
          <w:highlight w:val="none"/>
        </w:rPr>
      </w:pPr>
    </w:p>
    <w:p w14:paraId="68624CA5">
      <w:pPr>
        <w:rPr>
          <w:rFonts w:ascii="宋体" w:hAnsi="宋体" w:eastAsia="宋体" w:cs="宋体"/>
          <w:color w:val="auto"/>
          <w:spacing w:val="-1"/>
          <w:sz w:val="28"/>
          <w:szCs w:val="28"/>
          <w:highlight w:val="none"/>
        </w:rPr>
      </w:pPr>
      <w:bookmarkStart w:id="45" w:name="bookmark24"/>
      <w:bookmarkEnd w:id="45"/>
      <w:r>
        <w:rPr>
          <w:rFonts w:ascii="宋体" w:hAnsi="宋体" w:eastAsia="宋体" w:cs="宋体"/>
          <w:color w:val="auto"/>
          <w:spacing w:val="-1"/>
          <w:sz w:val="28"/>
          <w:szCs w:val="28"/>
          <w:highlight w:val="none"/>
        </w:rPr>
        <w:br w:type="page"/>
      </w:r>
    </w:p>
    <w:p w14:paraId="394B019A">
      <w:pPr>
        <w:spacing w:before="55" w:line="219" w:lineRule="auto"/>
        <w:ind w:left="0" w:leftChars="0" w:firstLine="0" w:firstLineChars="0"/>
        <w:jc w:val="center"/>
        <w:outlineLvl w:val="0"/>
        <w:rPr>
          <w:rFonts w:ascii="黑体" w:hAnsi="黑体" w:eastAsia="黑体" w:cs="黑体"/>
          <w:color w:val="auto"/>
          <w:spacing w:val="-2"/>
          <w:sz w:val="28"/>
          <w:szCs w:val="28"/>
          <w:highlight w:val="none"/>
        </w:rPr>
      </w:pPr>
      <w:r>
        <w:rPr>
          <w:rFonts w:ascii="黑体" w:hAnsi="黑体" w:eastAsia="黑体" w:cs="黑体"/>
          <w:color w:val="auto"/>
          <w:spacing w:val="-2"/>
          <w:sz w:val="28"/>
          <w:szCs w:val="28"/>
          <w:highlight w:val="none"/>
        </w:rPr>
        <w:t>第十三章 响应文件的编制和提交</w:t>
      </w:r>
    </w:p>
    <w:p w14:paraId="0C3FD2BD">
      <w:pPr>
        <w:pStyle w:val="6"/>
        <w:spacing w:line="310" w:lineRule="auto"/>
        <w:rPr>
          <w:color w:val="auto"/>
          <w:highlight w:val="none"/>
        </w:rPr>
      </w:pPr>
    </w:p>
    <w:p w14:paraId="7A28D270">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1.响应文件构成与要求</w:t>
      </w:r>
    </w:p>
    <w:p w14:paraId="10100936">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1.1响应文件是对征集文件的实质性响应及承诺文件。</w:t>
      </w:r>
    </w:p>
    <w:p w14:paraId="637B0525">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1.2除非注明“供应商可自行制作格式 ”,响应文件应使用征集文件提供的格式。</w:t>
      </w:r>
    </w:p>
    <w:p w14:paraId="5B56ACEE">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除专用术语外，响应文件以及供应商与征集人就有关投标的往来函电均应使用中文。供 应商提交的支持性文件和印制的文件可以用另一种语言，但相应内容应翻译成中文，对 不同文字文本响应文件的解释发生异议的，以中文文本为准。</w:t>
      </w:r>
    </w:p>
    <w:p w14:paraId="159A7F3C">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1.3除非征集文件另有规定，响应文件应使用中华人民共和国法定计量单位。</w:t>
      </w:r>
    </w:p>
    <w:p w14:paraId="7F63353A">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1.4除非征集文件另有规定，响应文件应使用人民币填报所有报价。允许以多种货币报价的，或涉及合同金额等计算的，均按照中国人民银行在开标日公布的汇率中间价换算成人民币。公司注册资本为外币，须折算成人民币的，按照公司成立日期当日(以 营业执照注明的成立日期为准)中国人民银行公布的汇率的中间价计算(投标供应商应 提供成立日期当日中国人民银行公布的汇率的中间价作为参考)。</w:t>
      </w:r>
    </w:p>
    <w:p w14:paraId="1C856273">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1.5供应商资质证书(或资格证明)处于年检、换证、升级、变更等期间，除非有法 律法规或发证机构书面材料明确表明供应商资质(或资格)有效，否则一律不予认可。</w:t>
      </w:r>
    </w:p>
    <w:p w14:paraId="6DDCD4C2">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1.6电报、电话、传真形式的投标概不接受。</w:t>
      </w:r>
    </w:p>
    <w:p w14:paraId="2E29E9FF">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 xml:space="preserve">1.7除非征集文件另有规定，征集人一律不予退还供应商的投标文件。 </w:t>
      </w:r>
    </w:p>
    <w:p w14:paraId="27573881">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2.响应内容填写及说明</w:t>
      </w:r>
    </w:p>
    <w:p w14:paraId="1B9585F8">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2.1响应文件须对征集文件载明的征集资格、技术、资信、服务、报价等全部要求 和条件做出实质性和完整的响应，如果响应文件填报的内容资料不详，或没有提供征集 文件所要求的全部资料、证明及数据，将导致响应无效。</w:t>
      </w:r>
    </w:p>
    <w:p w14:paraId="569F5CAF">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2.2供应商应在响应文件中提交征集文件要求的有关证明文件，作为其响应文件的一部分。</w:t>
      </w:r>
    </w:p>
    <w:p w14:paraId="3427DE3E">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2.3供应商应在响应文件中提交征集文件要求的所有服务的合格性以及符合征集文件规定的证明文件(可以是手册、图纸和资料等),并作为其响应文件的一部分。包括：服务主要内容的详细描述等。</w:t>
      </w:r>
    </w:p>
    <w:p w14:paraId="2D16D6F5">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3.响应文件的提交</w:t>
      </w:r>
    </w:p>
    <w:p w14:paraId="24924E10">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3.1供应商应在供应商须知 中规定的响应文件提交截止时间前，在网上提交加密电子响应文件。</w:t>
      </w:r>
    </w:p>
    <w:p w14:paraId="2A2D5E8E">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3.2供应商在征集文件规定的响应文件提交截止时间前上传了网上加密电子响应文件，但未在规定时间内进行解密的，响应无效。</w:t>
      </w:r>
    </w:p>
    <w:p w14:paraId="09DF21F3">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3.3征集人有权按本征集文件的规定，延迟响应文件提交截止时间。在此情况下，征集人、采购代理机构和供应商受响应文件提交截止时间制约的所有权利和义务均应延长 至新的截止时间。</w:t>
      </w:r>
    </w:p>
    <w:p w14:paraId="14E57A2D">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4.响应文件开启</w:t>
      </w:r>
    </w:p>
    <w:p w14:paraId="31F68C76">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4.1提交截止时间及开启时间： 见征集公告</w:t>
      </w:r>
    </w:p>
    <w:p w14:paraId="2A6C4391">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4.2响应文件提交地点(网址):请登录“ 徽采云”投标客户端投标；</w:t>
      </w:r>
    </w:p>
    <w:p w14:paraId="1A3F5BB0">
      <w:pPr>
        <w:spacing w:before="78" w:line="295" w:lineRule="auto"/>
        <w:ind w:right="25" w:rightChars="0" w:firstLine="451"/>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 xml:space="preserve">4.3响应文件开启地点：见征集公告(特别说明：供应商如对响应文件编制及提交有操作疑问，可自行访问“安徽省政府采购网” </w:t>
      </w:r>
      <w:r>
        <w:rPr>
          <w:rFonts w:ascii="宋体" w:hAnsi="宋体" w:eastAsia="宋体" w:cs="宋体"/>
          <w:color w:val="auto"/>
          <w:spacing w:val="-10"/>
          <w:sz w:val="24"/>
          <w:szCs w:val="24"/>
          <w:highlight w:val="none"/>
        </w:rPr>
        <w:fldChar w:fldCharType="begin"/>
      </w:r>
      <w:r>
        <w:rPr>
          <w:rFonts w:ascii="宋体" w:hAnsi="宋体" w:eastAsia="宋体" w:cs="宋体"/>
          <w:color w:val="auto"/>
          <w:spacing w:val="-10"/>
          <w:sz w:val="24"/>
          <w:szCs w:val="24"/>
          <w:highlight w:val="none"/>
        </w:rPr>
        <w:instrText xml:space="preserve"> HYPERLINK "https://www.ccgp-anhui.gov.cn/" </w:instrText>
      </w:r>
      <w:r>
        <w:rPr>
          <w:rFonts w:ascii="宋体" w:hAnsi="宋体" w:eastAsia="宋体" w:cs="宋体"/>
          <w:color w:val="auto"/>
          <w:spacing w:val="-10"/>
          <w:sz w:val="24"/>
          <w:szCs w:val="24"/>
          <w:highlight w:val="none"/>
        </w:rPr>
        <w:fldChar w:fldCharType="separate"/>
      </w:r>
      <w:r>
        <w:rPr>
          <w:rFonts w:ascii="宋体" w:hAnsi="宋体" w:eastAsia="宋体" w:cs="宋体"/>
          <w:color w:val="auto"/>
          <w:spacing w:val="-10"/>
          <w:sz w:val="24"/>
          <w:szCs w:val="24"/>
          <w:highlight w:val="none"/>
        </w:rPr>
        <w:t>(https://www.ccgp-anhui.gov.cn</w:t>
      </w:r>
      <w:r>
        <w:rPr>
          <w:rFonts w:ascii="宋体" w:hAnsi="宋体" w:eastAsia="宋体" w:cs="宋体"/>
          <w:color w:val="auto"/>
          <w:spacing w:val="-10"/>
          <w:sz w:val="24"/>
          <w:szCs w:val="24"/>
          <w:highlight w:val="none"/>
        </w:rPr>
        <w:fldChar w:fldCharType="end"/>
      </w:r>
      <w:r>
        <w:rPr>
          <w:rFonts w:ascii="宋体" w:hAnsi="宋体" w:eastAsia="宋体" w:cs="宋体"/>
          <w:color w:val="auto"/>
          <w:spacing w:val="-10"/>
          <w:sz w:val="24"/>
          <w:szCs w:val="24"/>
          <w:highlight w:val="none"/>
        </w:rPr>
        <w:t>) 并登录后，首页点击“徽采学院” -“框架协议”-“供应商”- “徽采云框架协议供应商操作培训”,在线观看或下载相关培训视频进行学习)</w:t>
      </w:r>
    </w:p>
    <w:p w14:paraId="48D37F4B">
      <w:pPr>
        <w:spacing w:before="78" w:line="295" w:lineRule="auto"/>
        <w:ind w:right="25" w:rightChars="0" w:firstLine="451"/>
        <w:rPr>
          <w:rFonts w:ascii="宋体" w:hAnsi="宋体" w:eastAsia="宋体" w:cs="宋体"/>
          <w:color w:val="auto"/>
          <w:spacing w:val="-10"/>
          <w:sz w:val="24"/>
          <w:szCs w:val="24"/>
          <w:highlight w:val="none"/>
        </w:rPr>
        <w:sectPr>
          <w:footerReference r:id="rId29" w:type="default"/>
          <w:pgSz w:w="11911" w:h="16840"/>
          <w:pgMar w:top="1429" w:right="1763" w:bottom="862" w:left="1655" w:header="0" w:footer="680" w:gutter="0"/>
          <w:cols w:space="0" w:num="1"/>
          <w:rtlGutter w:val="0"/>
          <w:docGrid w:linePitch="0" w:charSpace="0"/>
        </w:sectPr>
      </w:pPr>
    </w:p>
    <w:p w14:paraId="1D21F418">
      <w:pPr>
        <w:pStyle w:val="6"/>
        <w:spacing w:line="269" w:lineRule="auto"/>
        <w:rPr>
          <w:color w:val="auto"/>
          <w:highlight w:val="none"/>
        </w:rPr>
      </w:pPr>
    </w:p>
    <w:p w14:paraId="0CD929D7">
      <w:pPr>
        <w:pStyle w:val="6"/>
        <w:spacing w:line="269" w:lineRule="auto"/>
        <w:rPr>
          <w:color w:val="auto"/>
          <w:highlight w:val="none"/>
        </w:rPr>
      </w:pPr>
    </w:p>
    <w:p w14:paraId="3F4CBB15">
      <w:pPr>
        <w:spacing w:before="100" w:line="225" w:lineRule="auto"/>
        <w:ind w:left="2181"/>
        <w:outlineLvl w:val="0"/>
        <w:rPr>
          <w:rFonts w:ascii="宋体" w:hAnsi="宋体" w:eastAsia="宋体" w:cs="宋体"/>
          <w:color w:val="auto"/>
          <w:sz w:val="31"/>
          <w:szCs w:val="31"/>
          <w:highlight w:val="none"/>
        </w:rPr>
      </w:pPr>
      <w:bookmarkStart w:id="46" w:name="bookmark26"/>
      <w:bookmarkEnd w:id="46"/>
      <w:r>
        <w:rPr>
          <w:rFonts w:ascii="宋体" w:hAnsi="宋体" w:eastAsia="宋体" w:cs="宋体"/>
          <w:color w:val="auto"/>
          <w:spacing w:val="7"/>
          <w:sz w:val="31"/>
          <w:szCs w:val="31"/>
          <w:highlight w:val="none"/>
        </w:rPr>
        <w:t>第十四章 响应文件（格式）</w:t>
      </w:r>
    </w:p>
    <w:p w14:paraId="7DFF7F0F">
      <w:pPr>
        <w:spacing w:before="127" w:line="225" w:lineRule="auto"/>
        <w:jc w:val="center"/>
        <w:rPr>
          <w:rFonts w:hint="eastAsia" w:ascii="宋体" w:hAnsi="宋体" w:eastAsia="宋体" w:cs="宋体"/>
          <w:color w:val="auto"/>
          <w:spacing w:val="7"/>
          <w:sz w:val="31"/>
          <w:szCs w:val="31"/>
          <w:highlight w:val="none"/>
          <w:lang w:eastAsia="zh-CN"/>
        </w:rPr>
      </w:pPr>
      <w:r>
        <w:rPr>
          <w:rFonts w:hint="eastAsia" w:ascii="宋体" w:hAnsi="宋体" w:eastAsia="宋体" w:cs="宋体"/>
          <w:color w:val="auto"/>
          <w:spacing w:val="7"/>
          <w:sz w:val="31"/>
          <w:szCs w:val="31"/>
          <w:highlight w:val="none"/>
        </w:rPr>
        <w:t>金寨县政府投资建设项目工程价款结算</w:t>
      </w:r>
      <w:r>
        <w:rPr>
          <w:rFonts w:hint="eastAsia" w:ascii="宋体" w:hAnsi="宋体" w:eastAsia="宋体" w:cs="宋体"/>
          <w:color w:val="auto"/>
          <w:spacing w:val="7"/>
          <w:sz w:val="31"/>
          <w:szCs w:val="31"/>
          <w:highlight w:val="none"/>
          <w:lang w:eastAsia="zh-CN"/>
        </w:rPr>
        <w:t>协审服务</w:t>
      </w:r>
    </w:p>
    <w:p w14:paraId="22F9E628">
      <w:pPr>
        <w:spacing w:before="127" w:line="225" w:lineRule="auto"/>
        <w:jc w:val="center"/>
        <w:rPr>
          <w:rFonts w:ascii="宋体" w:hAnsi="宋体" w:eastAsia="宋体" w:cs="宋体"/>
          <w:color w:val="auto"/>
          <w:sz w:val="31"/>
          <w:szCs w:val="31"/>
          <w:highlight w:val="none"/>
        </w:rPr>
      </w:pPr>
      <w:r>
        <w:rPr>
          <w:rFonts w:hint="eastAsia" w:ascii="宋体" w:hAnsi="宋体" w:eastAsia="宋体" w:cs="宋体"/>
          <w:color w:val="auto"/>
          <w:spacing w:val="7"/>
          <w:sz w:val="31"/>
          <w:szCs w:val="31"/>
          <w:highlight w:val="none"/>
        </w:rPr>
        <w:t>框架协议项目</w:t>
      </w:r>
    </w:p>
    <w:p w14:paraId="3FDB65EE">
      <w:pPr>
        <w:pStyle w:val="6"/>
        <w:spacing w:line="265" w:lineRule="auto"/>
        <w:jc w:val="center"/>
        <w:rPr>
          <w:color w:val="auto"/>
          <w:highlight w:val="none"/>
        </w:rPr>
      </w:pPr>
    </w:p>
    <w:p w14:paraId="5508B705">
      <w:pPr>
        <w:pStyle w:val="6"/>
        <w:spacing w:line="265" w:lineRule="auto"/>
        <w:rPr>
          <w:color w:val="auto"/>
          <w:highlight w:val="none"/>
        </w:rPr>
      </w:pPr>
    </w:p>
    <w:p w14:paraId="57228A12">
      <w:pPr>
        <w:pStyle w:val="6"/>
        <w:spacing w:line="266" w:lineRule="auto"/>
        <w:rPr>
          <w:color w:val="auto"/>
          <w:highlight w:val="none"/>
        </w:rPr>
      </w:pPr>
    </w:p>
    <w:p w14:paraId="7C9CBAA0">
      <w:pPr>
        <w:pStyle w:val="6"/>
        <w:spacing w:line="266" w:lineRule="auto"/>
        <w:rPr>
          <w:color w:val="auto"/>
          <w:highlight w:val="none"/>
        </w:rPr>
      </w:pPr>
    </w:p>
    <w:p w14:paraId="70629855">
      <w:pPr>
        <w:pStyle w:val="6"/>
        <w:spacing w:line="266" w:lineRule="auto"/>
        <w:rPr>
          <w:color w:val="auto"/>
          <w:highlight w:val="none"/>
        </w:rPr>
      </w:pPr>
    </w:p>
    <w:p w14:paraId="193D5A9B">
      <w:pPr>
        <w:pStyle w:val="6"/>
        <w:spacing w:line="266" w:lineRule="auto"/>
        <w:rPr>
          <w:color w:val="auto"/>
          <w:highlight w:val="none"/>
        </w:rPr>
      </w:pPr>
    </w:p>
    <w:p w14:paraId="2C814CCA">
      <w:pPr>
        <w:spacing w:before="231" w:line="214" w:lineRule="auto"/>
        <w:ind w:left="3905"/>
        <w:outlineLvl w:val="0"/>
        <w:rPr>
          <w:rFonts w:ascii="宋体" w:hAnsi="宋体" w:eastAsia="宋体" w:cs="宋体"/>
          <w:color w:val="auto"/>
          <w:sz w:val="71"/>
          <w:szCs w:val="71"/>
          <w:highlight w:val="none"/>
        </w:rPr>
      </w:pPr>
      <w:bookmarkStart w:id="47" w:name="bookmark25"/>
      <w:bookmarkEnd w:id="47"/>
      <w:bookmarkStart w:id="48" w:name="bookmark27"/>
      <w:bookmarkEnd w:id="48"/>
      <w:r>
        <w:rPr>
          <w:rFonts w:ascii="宋体" w:hAnsi="宋体" w:eastAsia="宋体" w:cs="宋体"/>
          <w:color w:val="auto"/>
          <w:sz w:val="71"/>
          <w:szCs w:val="71"/>
          <w:highlight w:val="none"/>
        </w:rPr>
        <w:t>响</w:t>
      </w:r>
    </w:p>
    <w:p w14:paraId="0568331A">
      <w:pPr>
        <w:spacing w:before="442" w:line="214" w:lineRule="auto"/>
        <w:ind w:left="3861"/>
        <w:outlineLvl w:val="0"/>
        <w:rPr>
          <w:rFonts w:ascii="宋体" w:hAnsi="宋体" w:eastAsia="宋体" w:cs="宋体"/>
          <w:color w:val="auto"/>
          <w:sz w:val="71"/>
          <w:szCs w:val="71"/>
          <w:highlight w:val="none"/>
        </w:rPr>
      </w:pPr>
      <w:r>
        <w:rPr>
          <w:rFonts w:ascii="宋体" w:hAnsi="宋体" w:eastAsia="宋体" w:cs="宋体"/>
          <w:color w:val="auto"/>
          <w:sz w:val="71"/>
          <w:szCs w:val="71"/>
          <w:highlight w:val="none"/>
        </w:rPr>
        <w:t>应</w:t>
      </w:r>
    </w:p>
    <w:p w14:paraId="0FD11FFE">
      <w:pPr>
        <w:pStyle w:val="6"/>
        <w:spacing w:line="243" w:lineRule="auto"/>
        <w:rPr>
          <w:color w:val="auto"/>
          <w:highlight w:val="none"/>
        </w:rPr>
      </w:pPr>
    </w:p>
    <w:p w14:paraId="5D6A9E2A">
      <w:pPr>
        <w:pStyle w:val="6"/>
        <w:spacing w:line="243" w:lineRule="auto"/>
        <w:rPr>
          <w:color w:val="auto"/>
          <w:highlight w:val="none"/>
        </w:rPr>
      </w:pPr>
      <w:r>
        <w:rPr>
          <w:color w:val="auto"/>
          <w:highlight w:val="none"/>
        </w:rPr>
        <w:pict>
          <v:shape id="_x0000_s1027" o:spid="_x0000_s1027" o:spt="202" type="#_x0000_t202" style="position:absolute;left:0pt;margin-left:183.6pt;margin-top:8.6pt;height:86.8pt;width:45.45pt;z-index:251659264;mso-width-relative:page;mso-height-relative:page;" filled="f" stroked="f" coordsize="21600,21600">
            <v:path/>
            <v:fill on="f" focussize="0,0"/>
            <v:stroke on="f"/>
            <v:imagedata o:title=""/>
            <o:lock v:ext="edit" aspectratio="f"/>
            <v:textbox inset="0mm,0mm,0mm,0mm" style="layout-flow:vertical-ideographic;">
              <w:txbxContent>
                <w:p w14:paraId="72628DC2">
                  <w:pPr>
                    <w:spacing w:before="18" w:line="214" w:lineRule="auto"/>
                    <w:ind w:left="20"/>
                    <w:outlineLvl w:val="0"/>
                    <w:rPr>
                      <w:rFonts w:ascii="宋体" w:hAnsi="宋体" w:eastAsia="宋体" w:cs="宋体"/>
                      <w:sz w:val="71"/>
                      <w:szCs w:val="71"/>
                    </w:rPr>
                  </w:pPr>
                  <w:r>
                    <w:rPr>
                      <w:rFonts w:ascii="宋体" w:hAnsi="宋体" w:eastAsia="宋体" w:cs="宋体"/>
                      <w:spacing w:val="-10"/>
                      <w:position w:val="1"/>
                      <w:sz w:val="71"/>
                      <w:szCs w:val="71"/>
                    </w:rPr>
                    <w:t>文</w:t>
                  </w:r>
                  <w:r>
                    <w:rPr>
                      <w:rFonts w:ascii="宋体" w:hAnsi="宋体" w:eastAsia="宋体" w:cs="宋体"/>
                      <w:spacing w:val="-68"/>
                      <w:position w:val="1"/>
                      <w:sz w:val="71"/>
                      <w:szCs w:val="71"/>
                    </w:rPr>
                    <w:t xml:space="preserve"> </w:t>
                  </w:r>
                  <w:r>
                    <w:rPr>
                      <w:rFonts w:ascii="宋体" w:hAnsi="宋体" w:eastAsia="宋体" w:cs="宋体"/>
                      <w:b/>
                      <w:bCs/>
                      <w:spacing w:val="-10"/>
                      <w:position w:val="-1"/>
                      <w:sz w:val="71"/>
                      <w:szCs w:val="71"/>
                    </w:rPr>
                    <w:t>件</w:t>
                  </w:r>
                </w:p>
              </w:txbxContent>
            </v:textbox>
          </v:shape>
        </w:pict>
      </w:r>
    </w:p>
    <w:p w14:paraId="5130A557">
      <w:pPr>
        <w:pStyle w:val="6"/>
        <w:spacing w:line="244" w:lineRule="auto"/>
        <w:rPr>
          <w:color w:val="auto"/>
          <w:highlight w:val="none"/>
        </w:rPr>
      </w:pPr>
    </w:p>
    <w:p w14:paraId="55A65628">
      <w:pPr>
        <w:pStyle w:val="6"/>
        <w:spacing w:line="244" w:lineRule="auto"/>
        <w:rPr>
          <w:color w:val="auto"/>
          <w:highlight w:val="none"/>
        </w:rPr>
      </w:pPr>
    </w:p>
    <w:p w14:paraId="39932D5D">
      <w:pPr>
        <w:pStyle w:val="6"/>
        <w:spacing w:line="244" w:lineRule="auto"/>
        <w:rPr>
          <w:color w:val="auto"/>
          <w:highlight w:val="none"/>
        </w:rPr>
      </w:pPr>
    </w:p>
    <w:p w14:paraId="32A8DB1B">
      <w:pPr>
        <w:pStyle w:val="6"/>
        <w:spacing w:line="244" w:lineRule="auto"/>
        <w:rPr>
          <w:color w:val="auto"/>
          <w:highlight w:val="none"/>
        </w:rPr>
      </w:pPr>
    </w:p>
    <w:p w14:paraId="175C0C67">
      <w:pPr>
        <w:pStyle w:val="6"/>
        <w:spacing w:line="244" w:lineRule="auto"/>
        <w:rPr>
          <w:color w:val="auto"/>
          <w:highlight w:val="none"/>
        </w:rPr>
      </w:pPr>
    </w:p>
    <w:p w14:paraId="0C659CDA">
      <w:pPr>
        <w:pStyle w:val="6"/>
        <w:spacing w:line="244" w:lineRule="auto"/>
        <w:rPr>
          <w:color w:val="auto"/>
          <w:highlight w:val="none"/>
        </w:rPr>
      </w:pPr>
    </w:p>
    <w:p w14:paraId="67AD0B26">
      <w:pPr>
        <w:pStyle w:val="6"/>
        <w:spacing w:line="244" w:lineRule="auto"/>
        <w:rPr>
          <w:color w:val="auto"/>
          <w:highlight w:val="none"/>
        </w:rPr>
      </w:pPr>
    </w:p>
    <w:p w14:paraId="22054883">
      <w:pPr>
        <w:pStyle w:val="6"/>
        <w:spacing w:line="244" w:lineRule="auto"/>
        <w:rPr>
          <w:color w:val="auto"/>
          <w:highlight w:val="none"/>
        </w:rPr>
      </w:pPr>
    </w:p>
    <w:p w14:paraId="2EAE63B3">
      <w:pPr>
        <w:spacing w:before="101" w:line="227" w:lineRule="auto"/>
        <w:ind w:left="3473"/>
        <w:rPr>
          <w:rFonts w:ascii="宋体" w:hAnsi="宋体" w:eastAsia="宋体" w:cs="宋体"/>
          <w:color w:val="auto"/>
          <w:sz w:val="31"/>
          <w:szCs w:val="31"/>
          <w:highlight w:val="none"/>
        </w:rPr>
      </w:pPr>
      <w:r>
        <w:rPr>
          <w:rFonts w:ascii="宋体" w:hAnsi="宋体" w:eastAsia="宋体" w:cs="宋体"/>
          <w:color w:val="auto"/>
          <w:spacing w:val="-4"/>
          <w:sz w:val="31"/>
          <w:szCs w:val="31"/>
          <w:highlight w:val="none"/>
        </w:rPr>
        <w:t>（封</w:t>
      </w:r>
      <w:r>
        <w:rPr>
          <w:rFonts w:ascii="宋体" w:hAnsi="宋体" w:eastAsia="宋体" w:cs="宋体"/>
          <w:color w:val="auto"/>
          <w:spacing w:val="25"/>
          <w:sz w:val="31"/>
          <w:szCs w:val="31"/>
          <w:highlight w:val="none"/>
        </w:rPr>
        <w:t xml:space="preserve"> </w:t>
      </w:r>
      <w:r>
        <w:rPr>
          <w:rFonts w:ascii="宋体" w:hAnsi="宋体" w:eastAsia="宋体" w:cs="宋体"/>
          <w:color w:val="auto"/>
          <w:spacing w:val="-4"/>
          <w:sz w:val="31"/>
          <w:szCs w:val="31"/>
          <w:highlight w:val="none"/>
        </w:rPr>
        <w:t>面）</w:t>
      </w:r>
    </w:p>
    <w:p w14:paraId="5EAF7706">
      <w:pPr>
        <w:pStyle w:val="6"/>
        <w:spacing w:line="253" w:lineRule="auto"/>
        <w:rPr>
          <w:color w:val="auto"/>
          <w:highlight w:val="none"/>
        </w:rPr>
      </w:pPr>
    </w:p>
    <w:p w14:paraId="534864C8">
      <w:pPr>
        <w:pStyle w:val="6"/>
        <w:spacing w:line="254" w:lineRule="auto"/>
        <w:rPr>
          <w:color w:val="auto"/>
          <w:highlight w:val="none"/>
        </w:rPr>
      </w:pPr>
    </w:p>
    <w:p w14:paraId="3EFE3D71">
      <w:pPr>
        <w:pStyle w:val="6"/>
        <w:spacing w:line="254" w:lineRule="auto"/>
        <w:rPr>
          <w:color w:val="auto"/>
          <w:highlight w:val="none"/>
        </w:rPr>
      </w:pPr>
    </w:p>
    <w:p w14:paraId="0F7EBCE9">
      <w:pPr>
        <w:spacing w:before="91" w:line="219" w:lineRule="auto"/>
        <w:ind w:left="2419"/>
        <w:outlineLvl w:val="1"/>
        <w:rPr>
          <w:rFonts w:ascii="黑体" w:hAnsi="黑体" w:eastAsia="黑体" w:cs="黑体"/>
          <w:color w:val="auto"/>
          <w:sz w:val="28"/>
          <w:szCs w:val="28"/>
          <w:highlight w:val="none"/>
        </w:rPr>
      </w:pPr>
      <w:r>
        <w:rPr>
          <w:rFonts w:ascii="黑体" w:hAnsi="黑体" w:eastAsia="黑体" w:cs="黑体"/>
          <w:color w:val="auto"/>
          <w:spacing w:val="-5"/>
          <w:sz w:val="28"/>
          <w:szCs w:val="28"/>
          <w:highlight w:val="none"/>
        </w:rPr>
        <w:t>供应商：</w:t>
      </w:r>
      <w:r>
        <w:rPr>
          <w:rFonts w:ascii="黑体" w:hAnsi="黑体" w:eastAsia="黑体" w:cs="黑体"/>
          <w:color w:val="auto"/>
          <w:sz w:val="28"/>
          <w:szCs w:val="28"/>
          <w:highlight w:val="none"/>
          <w:u w:val="single" w:color="auto"/>
        </w:rPr>
        <w:t xml:space="preserve">                  </w:t>
      </w:r>
    </w:p>
    <w:p w14:paraId="65786F13">
      <w:pPr>
        <w:spacing w:before="330" w:line="221" w:lineRule="auto"/>
        <w:ind w:left="2513"/>
        <w:rPr>
          <w:rFonts w:ascii="宋体" w:hAnsi="宋体" w:eastAsia="宋体" w:cs="宋体"/>
          <w:color w:val="auto"/>
          <w:sz w:val="28"/>
          <w:szCs w:val="28"/>
          <w:highlight w:val="none"/>
        </w:rPr>
      </w:pPr>
      <w:r>
        <w:rPr>
          <w:rFonts w:ascii="宋体" w:hAnsi="宋体" w:eastAsia="宋体" w:cs="宋体"/>
          <w:color w:val="auto"/>
          <w:spacing w:val="-8"/>
          <w:sz w:val="28"/>
          <w:szCs w:val="28"/>
          <w:highlight w:val="none"/>
        </w:rPr>
        <w:t>日</w:t>
      </w:r>
      <w:r>
        <w:rPr>
          <w:rFonts w:ascii="宋体" w:hAnsi="宋体" w:eastAsia="宋体" w:cs="宋体"/>
          <w:color w:val="auto"/>
          <w:spacing w:val="10"/>
          <w:sz w:val="28"/>
          <w:szCs w:val="28"/>
          <w:highlight w:val="none"/>
        </w:rPr>
        <w:t xml:space="preserve">  </w:t>
      </w:r>
      <w:r>
        <w:rPr>
          <w:rFonts w:ascii="宋体" w:hAnsi="宋体" w:eastAsia="宋体" w:cs="宋体"/>
          <w:color w:val="auto"/>
          <w:spacing w:val="-8"/>
          <w:sz w:val="28"/>
          <w:szCs w:val="28"/>
          <w:highlight w:val="none"/>
        </w:rPr>
        <w:t>期：202</w:t>
      </w:r>
      <w:r>
        <w:rPr>
          <w:rFonts w:hint="eastAsia" w:ascii="宋体" w:hAnsi="宋体" w:eastAsia="宋体" w:cs="宋体"/>
          <w:color w:val="auto"/>
          <w:spacing w:val="-8"/>
          <w:sz w:val="28"/>
          <w:szCs w:val="28"/>
          <w:highlight w:val="none"/>
          <w:lang w:val="en-US" w:eastAsia="zh-CN"/>
        </w:rPr>
        <w:t>5</w:t>
      </w:r>
      <w:r>
        <w:rPr>
          <w:rFonts w:ascii="宋体" w:hAnsi="宋体" w:eastAsia="宋体" w:cs="宋体"/>
          <w:color w:val="auto"/>
          <w:spacing w:val="-59"/>
          <w:sz w:val="28"/>
          <w:szCs w:val="28"/>
          <w:highlight w:val="none"/>
        </w:rPr>
        <w:t xml:space="preserve"> </w:t>
      </w:r>
      <w:r>
        <w:rPr>
          <w:rFonts w:ascii="宋体" w:hAnsi="宋体" w:eastAsia="宋体" w:cs="宋体"/>
          <w:color w:val="auto"/>
          <w:spacing w:val="-8"/>
          <w:sz w:val="28"/>
          <w:szCs w:val="28"/>
          <w:highlight w:val="none"/>
        </w:rPr>
        <w:t>年</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121"/>
          <w:sz w:val="28"/>
          <w:szCs w:val="28"/>
          <w:highlight w:val="none"/>
        </w:rPr>
        <w:t xml:space="preserve"> </w:t>
      </w:r>
      <w:r>
        <w:rPr>
          <w:rFonts w:ascii="宋体" w:hAnsi="宋体" w:eastAsia="宋体" w:cs="宋体"/>
          <w:color w:val="auto"/>
          <w:spacing w:val="-8"/>
          <w:sz w:val="28"/>
          <w:szCs w:val="28"/>
          <w:highlight w:val="none"/>
        </w:rPr>
        <w:t>月</w:t>
      </w:r>
      <w:r>
        <w:rPr>
          <w:rFonts w:ascii="宋体" w:hAnsi="宋体" w:eastAsia="宋体" w:cs="宋体"/>
          <w:color w:val="auto"/>
          <w:spacing w:val="-8"/>
          <w:sz w:val="28"/>
          <w:szCs w:val="28"/>
          <w:highlight w:val="none"/>
          <w:u w:val="single" w:color="auto"/>
        </w:rPr>
        <w:t xml:space="preserve">    </w:t>
      </w:r>
      <w:r>
        <w:rPr>
          <w:rFonts w:ascii="宋体" w:hAnsi="宋体" w:eastAsia="宋体" w:cs="宋体"/>
          <w:color w:val="auto"/>
          <w:spacing w:val="-80"/>
          <w:sz w:val="28"/>
          <w:szCs w:val="28"/>
          <w:highlight w:val="none"/>
        </w:rPr>
        <w:t xml:space="preserve"> </w:t>
      </w:r>
      <w:r>
        <w:rPr>
          <w:rFonts w:ascii="宋体" w:hAnsi="宋体" w:eastAsia="宋体" w:cs="宋体"/>
          <w:color w:val="auto"/>
          <w:spacing w:val="-8"/>
          <w:sz w:val="28"/>
          <w:szCs w:val="28"/>
          <w:highlight w:val="none"/>
        </w:rPr>
        <w:t>日</w:t>
      </w:r>
    </w:p>
    <w:p w14:paraId="0DAB549C">
      <w:pPr>
        <w:spacing w:line="221" w:lineRule="auto"/>
        <w:rPr>
          <w:rFonts w:ascii="宋体" w:hAnsi="宋体" w:eastAsia="宋体" w:cs="宋体"/>
          <w:color w:val="auto"/>
          <w:sz w:val="28"/>
          <w:szCs w:val="28"/>
          <w:highlight w:val="none"/>
        </w:rPr>
        <w:sectPr>
          <w:footerReference r:id="rId30" w:type="default"/>
          <w:pgSz w:w="11911" w:h="16840"/>
          <w:pgMar w:top="1429" w:right="1763" w:bottom="862" w:left="1655" w:header="0" w:footer="680" w:gutter="0"/>
          <w:cols w:space="0" w:num="1"/>
          <w:rtlGutter w:val="0"/>
          <w:docGrid w:linePitch="0" w:charSpace="0"/>
        </w:sectPr>
      </w:pPr>
    </w:p>
    <w:p w14:paraId="3ED7D169">
      <w:pPr>
        <w:spacing w:before="56" w:line="216" w:lineRule="auto"/>
        <w:ind w:left="1036"/>
        <w:outlineLvl w:val="1"/>
        <w:rPr>
          <w:rFonts w:ascii="黑体" w:hAnsi="黑体" w:eastAsia="黑体" w:cs="黑体"/>
          <w:color w:val="auto"/>
          <w:sz w:val="28"/>
          <w:szCs w:val="28"/>
          <w:highlight w:val="none"/>
        </w:rPr>
      </w:pPr>
      <w:bookmarkStart w:id="49" w:name="bookmark29"/>
      <w:bookmarkEnd w:id="49"/>
      <w:bookmarkStart w:id="50" w:name="bookmark28"/>
      <w:bookmarkEnd w:id="50"/>
      <w:r>
        <w:rPr>
          <w:rFonts w:ascii="黑体" w:hAnsi="黑体" w:eastAsia="黑体" w:cs="黑体"/>
          <w:color w:val="auto"/>
          <w:spacing w:val="-1"/>
          <w:sz w:val="28"/>
          <w:szCs w:val="28"/>
          <w:highlight w:val="none"/>
        </w:rPr>
        <w:t>一、营业执照（或事业单位法人登记证书）和税务登记证</w:t>
      </w:r>
    </w:p>
    <w:p w14:paraId="2C24BB05">
      <w:pPr>
        <w:pStyle w:val="6"/>
        <w:spacing w:line="248" w:lineRule="auto"/>
        <w:rPr>
          <w:color w:val="auto"/>
          <w:highlight w:val="none"/>
        </w:rPr>
      </w:pPr>
    </w:p>
    <w:p w14:paraId="050E8A0C">
      <w:pPr>
        <w:pStyle w:val="6"/>
        <w:spacing w:line="248" w:lineRule="auto"/>
        <w:rPr>
          <w:color w:val="auto"/>
          <w:highlight w:val="none"/>
        </w:rPr>
      </w:pPr>
    </w:p>
    <w:p w14:paraId="3DA91C2B">
      <w:pPr>
        <w:pStyle w:val="6"/>
        <w:spacing w:line="248" w:lineRule="auto"/>
        <w:rPr>
          <w:color w:val="auto"/>
          <w:highlight w:val="none"/>
        </w:rPr>
      </w:pPr>
    </w:p>
    <w:p w14:paraId="186F6D75">
      <w:pPr>
        <w:pStyle w:val="6"/>
        <w:spacing w:line="248" w:lineRule="auto"/>
        <w:rPr>
          <w:color w:val="auto"/>
          <w:highlight w:val="none"/>
        </w:rPr>
      </w:pPr>
    </w:p>
    <w:p w14:paraId="30D6C333">
      <w:pPr>
        <w:pStyle w:val="6"/>
        <w:spacing w:line="248" w:lineRule="auto"/>
        <w:rPr>
          <w:color w:val="auto"/>
          <w:highlight w:val="none"/>
        </w:rPr>
      </w:pPr>
    </w:p>
    <w:p w14:paraId="23137F75">
      <w:pPr>
        <w:pStyle w:val="6"/>
        <w:spacing w:line="248" w:lineRule="auto"/>
        <w:rPr>
          <w:color w:val="auto"/>
          <w:highlight w:val="none"/>
        </w:rPr>
      </w:pPr>
    </w:p>
    <w:p w14:paraId="6772E20D">
      <w:pPr>
        <w:pStyle w:val="6"/>
        <w:spacing w:line="249" w:lineRule="auto"/>
        <w:rPr>
          <w:color w:val="auto"/>
          <w:highlight w:val="none"/>
        </w:rPr>
      </w:pPr>
    </w:p>
    <w:p w14:paraId="373925E3">
      <w:pPr>
        <w:pStyle w:val="6"/>
        <w:spacing w:line="249" w:lineRule="auto"/>
        <w:rPr>
          <w:color w:val="auto"/>
          <w:highlight w:val="none"/>
        </w:rPr>
      </w:pPr>
    </w:p>
    <w:p w14:paraId="5D9F7A9A">
      <w:pPr>
        <w:pStyle w:val="6"/>
        <w:spacing w:line="249" w:lineRule="auto"/>
        <w:rPr>
          <w:color w:val="auto"/>
          <w:highlight w:val="none"/>
        </w:rPr>
      </w:pPr>
    </w:p>
    <w:p w14:paraId="7E905F34">
      <w:pPr>
        <w:pStyle w:val="6"/>
        <w:spacing w:line="249" w:lineRule="auto"/>
        <w:rPr>
          <w:color w:val="auto"/>
          <w:highlight w:val="none"/>
        </w:rPr>
      </w:pPr>
    </w:p>
    <w:p w14:paraId="527B95F3">
      <w:pPr>
        <w:pStyle w:val="6"/>
        <w:spacing w:line="249" w:lineRule="auto"/>
        <w:rPr>
          <w:color w:val="auto"/>
          <w:highlight w:val="none"/>
        </w:rPr>
      </w:pPr>
    </w:p>
    <w:p w14:paraId="65A4D6DE">
      <w:pPr>
        <w:pStyle w:val="6"/>
        <w:spacing w:line="249" w:lineRule="auto"/>
        <w:rPr>
          <w:color w:val="auto"/>
          <w:highlight w:val="none"/>
        </w:rPr>
      </w:pPr>
    </w:p>
    <w:p w14:paraId="5EC66DD0">
      <w:pPr>
        <w:pStyle w:val="6"/>
        <w:spacing w:line="249" w:lineRule="auto"/>
        <w:rPr>
          <w:color w:val="auto"/>
          <w:highlight w:val="none"/>
        </w:rPr>
      </w:pPr>
    </w:p>
    <w:p w14:paraId="540CEB41">
      <w:pPr>
        <w:pStyle w:val="6"/>
        <w:spacing w:line="249" w:lineRule="auto"/>
        <w:rPr>
          <w:color w:val="auto"/>
          <w:highlight w:val="none"/>
        </w:rPr>
      </w:pPr>
    </w:p>
    <w:p w14:paraId="0DD64385">
      <w:pPr>
        <w:spacing w:before="78" w:line="219" w:lineRule="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供应商名称（盖章</w:t>
      </w:r>
      <w:r>
        <w:rPr>
          <w:rFonts w:ascii="宋体" w:hAnsi="宋体" w:eastAsia="宋体" w:cs="宋体"/>
          <w:color w:val="auto"/>
          <w:spacing w:val="2"/>
          <w:sz w:val="24"/>
          <w:szCs w:val="24"/>
          <w:highlight w:val="none"/>
        </w:rPr>
        <w:t>）：</w:t>
      </w:r>
      <w:r>
        <w:rPr>
          <w:rFonts w:ascii="宋体" w:hAnsi="宋体" w:eastAsia="宋体" w:cs="宋体"/>
          <w:color w:val="auto"/>
          <w:sz w:val="24"/>
          <w:szCs w:val="24"/>
          <w:highlight w:val="none"/>
          <w:u w:val="single" w:color="auto"/>
        </w:rPr>
        <w:t xml:space="preserve">            </w:t>
      </w:r>
    </w:p>
    <w:p w14:paraId="0B8F12AB">
      <w:pPr>
        <w:pStyle w:val="6"/>
        <w:spacing w:line="288" w:lineRule="auto"/>
        <w:rPr>
          <w:color w:val="auto"/>
          <w:highlight w:val="none"/>
        </w:rPr>
      </w:pPr>
    </w:p>
    <w:p w14:paraId="3ADAC1DF">
      <w:pPr>
        <w:pStyle w:val="6"/>
        <w:spacing w:line="288" w:lineRule="auto"/>
        <w:rPr>
          <w:color w:val="auto"/>
          <w:highlight w:val="none"/>
        </w:rPr>
      </w:pPr>
    </w:p>
    <w:p w14:paraId="624D861F">
      <w:pPr>
        <w:spacing w:before="78" w:line="356" w:lineRule="auto"/>
        <w:ind w:firstLine="3"/>
        <w:rPr>
          <w:rFonts w:ascii="宋体" w:hAnsi="宋体" w:eastAsia="宋体" w:cs="宋体"/>
          <w:color w:val="auto"/>
          <w:sz w:val="24"/>
          <w:szCs w:val="24"/>
          <w:highlight w:val="none"/>
        </w:rPr>
      </w:pPr>
      <w:r>
        <w:rPr>
          <w:rFonts w:ascii="宋体" w:hAnsi="宋体" w:eastAsia="宋体" w:cs="宋体"/>
          <w:color w:val="auto"/>
          <w:sz w:val="24"/>
          <w:szCs w:val="24"/>
          <w:highlight w:val="none"/>
        </w:rPr>
        <w:t>备注：提供有效的供应商营业执照（或事业单位法人</w:t>
      </w:r>
      <w:r>
        <w:rPr>
          <w:rFonts w:ascii="宋体" w:hAnsi="宋体" w:eastAsia="宋体" w:cs="宋体"/>
          <w:color w:val="auto"/>
          <w:spacing w:val="-1"/>
          <w:sz w:val="24"/>
          <w:szCs w:val="24"/>
          <w:highlight w:val="none"/>
        </w:rPr>
        <w:t>登记证书）和税务登记证的扫描</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件，应完整的体现出营业执照（或事业单位法人登</w:t>
      </w:r>
      <w:r>
        <w:rPr>
          <w:rFonts w:ascii="宋体" w:hAnsi="宋体" w:eastAsia="宋体" w:cs="宋体"/>
          <w:color w:val="auto"/>
          <w:spacing w:val="-4"/>
          <w:sz w:val="24"/>
          <w:szCs w:val="24"/>
          <w:highlight w:val="none"/>
        </w:rPr>
        <w:t>记证书）和税务登记证的全部内容。</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已办理“三证合一</w:t>
      </w:r>
      <w:r>
        <w:rPr>
          <w:rFonts w:ascii="宋体" w:hAnsi="宋体" w:eastAsia="宋体" w:cs="宋体"/>
          <w:color w:val="auto"/>
          <w:spacing w:val="-72"/>
          <w:sz w:val="24"/>
          <w:szCs w:val="24"/>
          <w:highlight w:val="none"/>
        </w:rPr>
        <w:t xml:space="preserve"> </w:t>
      </w:r>
      <w:r>
        <w:rPr>
          <w:rFonts w:ascii="宋体" w:hAnsi="宋体" w:eastAsia="宋体" w:cs="宋体"/>
          <w:color w:val="auto"/>
          <w:spacing w:val="-2"/>
          <w:sz w:val="24"/>
          <w:szCs w:val="24"/>
          <w:highlight w:val="none"/>
        </w:rPr>
        <w:t>”登记的，响应文件中提供营业执照（或事业单位法人登记证书）</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扫描件即可。</w:t>
      </w:r>
    </w:p>
    <w:p w14:paraId="0685DE08">
      <w:pPr>
        <w:spacing w:line="356" w:lineRule="auto"/>
        <w:rPr>
          <w:rFonts w:ascii="宋体" w:hAnsi="宋体" w:eastAsia="宋体" w:cs="宋体"/>
          <w:color w:val="auto"/>
          <w:sz w:val="24"/>
          <w:szCs w:val="24"/>
          <w:highlight w:val="none"/>
        </w:rPr>
        <w:sectPr>
          <w:footerReference r:id="rId31" w:type="default"/>
          <w:pgSz w:w="11911" w:h="16840"/>
          <w:pgMar w:top="1429" w:right="1763" w:bottom="862" w:left="1655" w:header="0" w:footer="680" w:gutter="0"/>
          <w:cols w:space="0" w:num="1"/>
          <w:rtlGutter w:val="0"/>
          <w:docGrid w:linePitch="0" w:charSpace="0"/>
        </w:sectPr>
      </w:pPr>
    </w:p>
    <w:p w14:paraId="115D62FA">
      <w:pPr>
        <w:spacing w:before="280" w:line="219" w:lineRule="auto"/>
        <w:ind w:left="3554"/>
        <w:outlineLvl w:val="1"/>
        <w:rPr>
          <w:rFonts w:ascii="黑体" w:hAnsi="黑体" w:eastAsia="黑体" w:cs="黑体"/>
          <w:color w:val="auto"/>
          <w:sz w:val="28"/>
          <w:szCs w:val="28"/>
          <w:highlight w:val="none"/>
        </w:rPr>
      </w:pPr>
      <w:bookmarkStart w:id="51" w:name="bookmark30"/>
      <w:bookmarkEnd w:id="51"/>
      <w:bookmarkStart w:id="52" w:name="bookmark31"/>
      <w:bookmarkEnd w:id="52"/>
      <w:r>
        <w:rPr>
          <w:rFonts w:ascii="黑体" w:hAnsi="黑体" w:eastAsia="黑体" w:cs="黑体"/>
          <w:color w:val="auto"/>
          <w:spacing w:val="-3"/>
          <w:sz w:val="28"/>
          <w:szCs w:val="28"/>
          <w:highlight w:val="none"/>
        </w:rPr>
        <w:t>二、响应授权书</w:t>
      </w:r>
    </w:p>
    <w:p w14:paraId="52007F0B">
      <w:pPr>
        <w:pStyle w:val="6"/>
        <w:spacing w:line="311" w:lineRule="auto"/>
        <w:rPr>
          <w:color w:val="auto"/>
          <w:highlight w:val="none"/>
        </w:rPr>
      </w:pPr>
    </w:p>
    <w:p w14:paraId="1C150DE5">
      <w:pPr>
        <w:tabs>
          <w:tab w:val="left" w:pos="726"/>
        </w:tabs>
        <w:spacing w:before="78" w:line="430" w:lineRule="auto"/>
        <w:ind w:firstLine="471"/>
        <w:jc w:val="both"/>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3"/>
          <w:sz w:val="24"/>
          <w:szCs w:val="24"/>
          <w:highlight w:val="none"/>
          <w:u w:val="single" w:color="auto"/>
        </w:rPr>
        <w:t>（供应商名称）</w:t>
      </w:r>
      <w:r>
        <w:rPr>
          <w:rFonts w:ascii="宋体" w:hAnsi="宋体" w:eastAsia="宋体" w:cs="宋体"/>
          <w:color w:val="auto"/>
          <w:spacing w:val="-3"/>
          <w:sz w:val="24"/>
          <w:szCs w:val="24"/>
          <w:highlight w:val="none"/>
        </w:rPr>
        <w:t xml:space="preserve"> 授权本公司</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（供应商授权</w:t>
      </w:r>
      <w:r>
        <w:rPr>
          <w:rFonts w:ascii="宋体" w:hAnsi="宋体" w:eastAsia="宋体" w:cs="宋体"/>
          <w:color w:val="auto"/>
          <w:spacing w:val="-4"/>
          <w:sz w:val="24"/>
          <w:szCs w:val="24"/>
          <w:highlight w:val="none"/>
        </w:rPr>
        <w:t>代表姓名、职务）代表本公司</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参加</w:t>
      </w:r>
      <w:r>
        <w:rPr>
          <w:rFonts w:ascii="宋体" w:hAnsi="宋体" w:eastAsia="宋体" w:cs="宋体"/>
          <w:color w:val="auto"/>
          <w:spacing w:val="64"/>
          <w:sz w:val="24"/>
          <w:szCs w:val="24"/>
          <w:highlight w:val="none"/>
          <w:u w:val="single" w:color="auto"/>
        </w:rPr>
        <w:t xml:space="preserve"> </w:t>
      </w:r>
      <w:r>
        <w:rPr>
          <w:rFonts w:hint="eastAsia" w:ascii="宋体" w:hAnsi="宋体" w:eastAsia="宋体" w:cs="宋体"/>
          <w:color w:val="auto"/>
          <w:spacing w:val="64"/>
          <w:sz w:val="24"/>
          <w:szCs w:val="24"/>
          <w:highlight w:val="none"/>
          <w:u w:val="single" w:color="auto"/>
        </w:rPr>
        <w:t>2025-2027年度金寨县行政事业单位公务用车维修保养服务框架协议项目</w:t>
      </w:r>
      <w:r>
        <w:rPr>
          <w:rFonts w:ascii="宋体" w:hAnsi="宋体" w:eastAsia="宋体" w:cs="宋体"/>
          <w:color w:val="auto"/>
          <w:spacing w:val="3"/>
          <w:sz w:val="24"/>
          <w:szCs w:val="24"/>
          <w:highlight w:val="none"/>
        </w:rPr>
        <w:t>征集活动（项</w:t>
      </w:r>
      <w:r>
        <w:rPr>
          <w:rFonts w:ascii="宋体" w:hAnsi="宋体" w:eastAsia="宋体" w:cs="宋体"/>
          <w:color w:val="auto"/>
          <w:spacing w:val="1"/>
          <w:sz w:val="24"/>
          <w:szCs w:val="24"/>
          <w:highlight w:val="none"/>
        </w:rPr>
        <w:t>目编号：</w:t>
      </w:r>
      <w:r>
        <w:rPr>
          <w:rFonts w:hint="eastAsia" w:ascii="宋体" w:hAnsi="宋体" w:eastAsia="宋体" w:cs="宋体"/>
          <w:color w:val="auto"/>
          <w:sz w:val="24"/>
          <w:szCs w:val="24"/>
          <w:highlight w:val="none"/>
          <w:u w:val="single"/>
          <w:lang w:eastAsia="zh-CN"/>
        </w:rPr>
        <w:t>KJXY202504100394</w:t>
      </w:r>
      <w:r>
        <w:rPr>
          <w:rFonts w:ascii="宋体" w:hAnsi="宋体" w:eastAsia="宋体" w:cs="宋体"/>
          <w:color w:val="auto"/>
          <w:spacing w:val="11"/>
          <w:sz w:val="24"/>
          <w:szCs w:val="24"/>
          <w:highlight w:val="none"/>
        </w:rPr>
        <w:t>），</w:t>
      </w:r>
      <w:r>
        <w:rPr>
          <w:rFonts w:ascii="宋体" w:hAnsi="宋体" w:eastAsia="宋体" w:cs="宋体"/>
          <w:color w:val="auto"/>
          <w:spacing w:val="1"/>
          <w:sz w:val="24"/>
          <w:szCs w:val="24"/>
          <w:highlight w:val="none"/>
        </w:rPr>
        <w:t>全权代表本公司处理征集过程的一切事宜，包括</w:t>
      </w:r>
      <w:r>
        <w:rPr>
          <w:rFonts w:ascii="宋体" w:hAnsi="宋体" w:eastAsia="宋体" w:cs="宋体"/>
          <w:color w:val="auto"/>
          <w:sz w:val="24"/>
          <w:szCs w:val="24"/>
          <w:highlight w:val="none"/>
        </w:rPr>
        <w:t xml:space="preserve">但不限于： </w:t>
      </w:r>
      <w:r>
        <w:rPr>
          <w:rFonts w:ascii="宋体" w:hAnsi="宋体" w:eastAsia="宋体" w:cs="宋体"/>
          <w:color w:val="auto"/>
          <w:spacing w:val="3"/>
          <w:sz w:val="24"/>
          <w:szCs w:val="24"/>
          <w:highlight w:val="none"/>
        </w:rPr>
        <w:t xml:space="preserve">参加征集、签订协议以及协议执行等。供应商授权代表在征集过程中所签署的一切文  件和处理与之有关的一切事务，本公司均予以认可并对此承担责任。供应商授权代表  </w:t>
      </w:r>
      <w:r>
        <w:rPr>
          <w:rFonts w:ascii="宋体" w:hAnsi="宋体" w:eastAsia="宋体" w:cs="宋体"/>
          <w:color w:val="auto"/>
          <w:spacing w:val="-2"/>
          <w:sz w:val="24"/>
          <w:szCs w:val="24"/>
          <w:highlight w:val="none"/>
        </w:rPr>
        <w:t>无转委托权。</w:t>
      </w:r>
    </w:p>
    <w:p w14:paraId="2728E211">
      <w:pPr>
        <w:spacing w:before="38" w:line="220" w:lineRule="auto"/>
        <w:ind w:left="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特此授权。</w:t>
      </w:r>
    </w:p>
    <w:p w14:paraId="11AE4CB3">
      <w:pPr>
        <w:spacing w:before="280" w:line="219"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本授权书自出具之日起生效。</w:t>
      </w:r>
    </w:p>
    <w:p w14:paraId="2D9FDE70">
      <w:pPr>
        <w:pStyle w:val="6"/>
        <w:spacing w:line="271" w:lineRule="auto"/>
        <w:rPr>
          <w:color w:val="auto"/>
          <w:highlight w:val="none"/>
        </w:rPr>
      </w:pPr>
    </w:p>
    <w:p w14:paraId="03FA6FD2">
      <w:pPr>
        <w:pStyle w:val="6"/>
        <w:spacing w:line="272" w:lineRule="auto"/>
        <w:rPr>
          <w:color w:val="auto"/>
          <w:highlight w:val="none"/>
        </w:rPr>
      </w:pPr>
    </w:p>
    <w:p w14:paraId="30761846">
      <w:pPr>
        <w:spacing w:before="79" w:line="220"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授权代表（或法定代表人）身份证明扫描件或影印件：</w:t>
      </w:r>
    </w:p>
    <w:p w14:paraId="6D59E878">
      <w:pPr>
        <w:pStyle w:val="6"/>
        <w:spacing w:line="253" w:lineRule="auto"/>
        <w:rPr>
          <w:color w:val="auto"/>
          <w:highlight w:val="none"/>
        </w:rPr>
      </w:pPr>
    </w:p>
    <w:p w14:paraId="263E3BA5">
      <w:pPr>
        <w:pStyle w:val="6"/>
        <w:spacing w:line="253" w:lineRule="auto"/>
        <w:rPr>
          <w:color w:val="auto"/>
          <w:highlight w:val="none"/>
        </w:rPr>
      </w:pPr>
    </w:p>
    <w:p w14:paraId="50FB815E">
      <w:pPr>
        <w:pStyle w:val="6"/>
        <w:spacing w:line="254" w:lineRule="auto"/>
        <w:rPr>
          <w:color w:val="auto"/>
          <w:highlight w:val="none"/>
        </w:rPr>
      </w:pPr>
    </w:p>
    <w:p w14:paraId="59B811DA">
      <w:pPr>
        <w:pStyle w:val="6"/>
        <w:spacing w:line="254" w:lineRule="auto"/>
        <w:rPr>
          <w:color w:val="auto"/>
          <w:highlight w:val="none"/>
        </w:rPr>
      </w:pPr>
    </w:p>
    <w:p w14:paraId="59AEF7EC">
      <w:pPr>
        <w:pStyle w:val="6"/>
        <w:spacing w:line="254" w:lineRule="auto"/>
        <w:rPr>
          <w:color w:val="auto"/>
          <w:highlight w:val="none"/>
        </w:rPr>
      </w:pPr>
    </w:p>
    <w:p w14:paraId="3051BEF5">
      <w:pPr>
        <w:pStyle w:val="6"/>
        <w:spacing w:line="254" w:lineRule="auto"/>
        <w:rPr>
          <w:color w:val="auto"/>
          <w:highlight w:val="none"/>
        </w:rPr>
      </w:pPr>
    </w:p>
    <w:p w14:paraId="190AC3E7">
      <w:pPr>
        <w:spacing w:before="79" w:line="219"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授权代表（或法定代表人）联系方式</w:t>
      </w:r>
      <w:r>
        <w:rPr>
          <w:rFonts w:ascii="宋体" w:hAnsi="宋体" w:eastAsia="宋体" w:cs="宋体"/>
          <w:color w:val="auto"/>
          <w:spacing w:val="-17"/>
          <w:sz w:val="24"/>
          <w:szCs w:val="24"/>
          <w:highlight w:val="none"/>
        </w:rPr>
        <w:t>：</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7"/>
          <w:sz w:val="24"/>
          <w:szCs w:val="24"/>
          <w:highlight w:val="none"/>
        </w:rPr>
        <w:t>（</w:t>
      </w:r>
      <w:r>
        <w:rPr>
          <w:rFonts w:ascii="宋体" w:hAnsi="宋体" w:eastAsia="宋体" w:cs="宋体"/>
          <w:color w:val="auto"/>
          <w:spacing w:val="1"/>
          <w:sz w:val="24"/>
          <w:szCs w:val="24"/>
          <w:highlight w:val="none"/>
        </w:rPr>
        <w:t>请填写手机号码）</w:t>
      </w:r>
    </w:p>
    <w:p w14:paraId="2DE344C6">
      <w:pPr>
        <w:pStyle w:val="6"/>
        <w:spacing w:line="275" w:lineRule="auto"/>
        <w:rPr>
          <w:color w:val="auto"/>
          <w:highlight w:val="none"/>
        </w:rPr>
      </w:pPr>
    </w:p>
    <w:p w14:paraId="711C6454">
      <w:pPr>
        <w:pStyle w:val="6"/>
        <w:spacing w:line="275" w:lineRule="auto"/>
        <w:rPr>
          <w:color w:val="auto"/>
          <w:highlight w:val="none"/>
        </w:rPr>
      </w:pPr>
    </w:p>
    <w:p w14:paraId="5F8D8C12">
      <w:pPr>
        <w:pStyle w:val="6"/>
        <w:spacing w:line="275" w:lineRule="auto"/>
        <w:rPr>
          <w:color w:val="auto"/>
          <w:highlight w:val="none"/>
        </w:rPr>
      </w:pPr>
    </w:p>
    <w:p w14:paraId="30884832">
      <w:pPr>
        <w:pStyle w:val="6"/>
        <w:spacing w:line="275" w:lineRule="auto"/>
        <w:rPr>
          <w:color w:val="auto"/>
          <w:highlight w:val="none"/>
        </w:rPr>
      </w:pPr>
    </w:p>
    <w:p w14:paraId="07DA920F">
      <w:pPr>
        <w:pStyle w:val="6"/>
        <w:spacing w:line="276" w:lineRule="auto"/>
        <w:rPr>
          <w:color w:val="auto"/>
          <w:highlight w:val="none"/>
        </w:rPr>
      </w:pPr>
    </w:p>
    <w:p w14:paraId="1F0881EC">
      <w:pPr>
        <w:pStyle w:val="6"/>
        <w:spacing w:line="276" w:lineRule="auto"/>
        <w:rPr>
          <w:color w:val="auto"/>
          <w:highlight w:val="none"/>
        </w:rPr>
      </w:pPr>
    </w:p>
    <w:p w14:paraId="6F04DD98">
      <w:pPr>
        <w:spacing w:before="78" w:line="219" w:lineRule="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供应商名称（盖章</w:t>
      </w:r>
      <w:r>
        <w:rPr>
          <w:rFonts w:ascii="宋体" w:hAnsi="宋体" w:eastAsia="宋体" w:cs="宋体"/>
          <w:color w:val="auto"/>
          <w:spacing w:val="2"/>
          <w:sz w:val="24"/>
          <w:szCs w:val="24"/>
          <w:highlight w:val="none"/>
        </w:rPr>
        <w:t>）：</w:t>
      </w:r>
    </w:p>
    <w:p w14:paraId="66B13EF5">
      <w:pPr>
        <w:spacing w:before="282" w:line="220" w:lineRule="auto"/>
        <w:ind w:left="42"/>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日</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期：</w:t>
      </w:r>
      <w:r>
        <w:rPr>
          <w:rFonts w:hint="eastAsia" w:ascii="宋体" w:hAnsi="宋体" w:eastAsia="宋体" w:cs="宋体"/>
          <w:color w:val="auto"/>
          <w:spacing w:val="-9"/>
          <w:sz w:val="24"/>
          <w:szCs w:val="24"/>
          <w:highlight w:val="none"/>
          <w:lang w:val="en-US" w:eastAsia="zh-CN"/>
        </w:rPr>
        <w:t>2025</w:t>
      </w:r>
      <w:r>
        <w:rPr>
          <w:rFonts w:ascii="宋体" w:hAnsi="宋体" w:eastAsia="宋体" w:cs="宋体"/>
          <w:color w:val="auto"/>
          <w:spacing w:val="-47"/>
          <w:sz w:val="24"/>
          <w:szCs w:val="24"/>
          <w:highlight w:val="none"/>
        </w:rPr>
        <w:t xml:space="preserve"> </w:t>
      </w:r>
      <w:r>
        <w:rPr>
          <w:rFonts w:ascii="宋体" w:hAnsi="宋体" w:eastAsia="宋体" w:cs="宋体"/>
          <w:color w:val="auto"/>
          <w:spacing w:val="-9"/>
          <w:sz w:val="24"/>
          <w:szCs w:val="24"/>
          <w:highlight w:val="none"/>
        </w:rPr>
        <w:t>年</w:t>
      </w:r>
      <w:r>
        <w:rPr>
          <w:rFonts w:ascii="宋体" w:hAnsi="宋体" w:eastAsia="宋体" w:cs="宋体"/>
          <w:color w:val="auto"/>
          <w:spacing w:val="7"/>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8"/>
          <w:sz w:val="24"/>
          <w:szCs w:val="24"/>
          <w:highlight w:val="none"/>
        </w:rPr>
        <w:t xml:space="preserve">   </w:t>
      </w:r>
      <w:r>
        <w:rPr>
          <w:rFonts w:ascii="宋体" w:hAnsi="宋体" w:eastAsia="宋体" w:cs="宋体"/>
          <w:color w:val="auto"/>
          <w:spacing w:val="-9"/>
          <w:sz w:val="24"/>
          <w:szCs w:val="24"/>
          <w:highlight w:val="none"/>
        </w:rPr>
        <w:t>日</w:t>
      </w:r>
    </w:p>
    <w:p w14:paraId="0C1B2314">
      <w:pPr>
        <w:pStyle w:val="6"/>
        <w:spacing w:line="275" w:lineRule="auto"/>
        <w:rPr>
          <w:color w:val="auto"/>
          <w:highlight w:val="none"/>
        </w:rPr>
      </w:pPr>
    </w:p>
    <w:p w14:paraId="382339A2">
      <w:pPr>
        <w:pStyle w:val="6"/>
        <w:spacing w:line="275" w:lineRule="auto"/>
        <w:rPr>
          <w:color w:val="auto"/>
          <w:highlight w:val="none"/>
        </w:rPr>
      </w:pPr>
    </w:p>
    <w:p w14:paraId="269CA07D">
      <w:pPr>
        <w:pStyle w:val="6"/>
        <w:spacing w:line="275" w:lineRule="auto"/>
        <w:rPr>
          <w:color w:val="auto"/>
          <w:highlight w:val="none"/>
        </w:rPr>
      </w:pPr>
    </w:p>
    <w:p w14:paraId="1F023534">
      <w:pPr>
        <w:spacing w:before="78" w:line="426" w:lineRule="auto"/>
        <w:ind w:right="304"/>
        <w:rPr>
          <w:rFonts w:ascii="宋体" w:hAnsi="宋体" w:eastAsia="宋体" w:cs="宋体"/>
          <w:color w:val="auto"/>
          <w:sz w:val="24"/>
          <w:szCs w:val="24"/>
          <w:highlight w:val="none"/>
        </w:rPr>
      </w:pPr>
      <w:r>
        <w:rPr>
          <w:rFonts w:ascii="宋体" w:hAnsi="宋体" w:eastAsia="宋体" w:cs="宋体"/>
          <w:color w:val="auto"/>
          <w:sz w:val="24"/>
          <w:szCs w:val="24"/>
          <w:highlight w:val="none"/>
        </w:rPr>
        <w:t>注：本项目只允许有唯一的供应商授权代表。法定代表人参</w:t>
      </w:r>
      <w:r>
        <w:rPr>
          <w:rFonts w:ascii="宋体" w:hAnsi="宋体" w:eastAsia="宋体" w:cs="宋体"/>
          <w:color w:val="auto"/>
          <w:spacing w:val="-1"/>
          <w:sz w:val="24"/>
          <w:szCs w:val="24"/>
          <w:highlight w:val="none"/>
        </w:rPr>
        <w:t>加投标的无需提供响应授</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权书，仅提供身份证明扫描件或影印件及联系方式即可。</w:t>
      </w:r>
    </w:p>
    <w:p w14:paraId="5FF794ED">
      <w:pPr>
        <w:spacing w:line="426" w:lineRule="auto"/>
        <w:rPr>
          <w:rFonts w:ascii="宋体" w:hAnsi="宋体" w:eastAsia="宋体" w:cs="宋体"/>
          <w:color w:val="auto"/>
          <w:sz w:val="24"/>
          <w:szCs w:val="24"/>
          <w:highlight w:val="none"/>
        </w:rPr>
        <w:sectPr>
          <w:footerReference r:id="rId32" w:type="default"/>
          <w:pgSz w:w="11911" w:h="16840"/>
          <w:pgMar w:top="1429" w:right="1763" w:bottom="862" w:left="1655" w:header="0" w:footer="680" w:gutter="0"/>
          <w:cols w:space="0" w:num="1"/>
          <w:rtlGutter w:val="0"/>
          <w:docGrid w:linePitch="0" w:charSpace="0"/>
        </w:sectPr>
      </w:pPr>
    </w:p>
    <w:p w14:paraId="5078FE12">
      <w:pPr>
        <w:spacing w:before="55" w:line="218" w:lineRule="auto"/>
        <w:ind w:left="1323"/>
        <w:outlineLvl w:val="1"/>
        <w:rPr>
          <w:rFonts w:ascii="黑体" w:hAnsi="黑体" w:eastAsia="黑体" w:cs="黑体"/>
          <w:color w:val="auto"/>
          <w:sz w:val="28"/>
          <w:szCs w:val="28"/>
          <w:highlight w:val="none"/>
        </w:rPr>
      </w:pPr>
      <w:bookmarkStart w:id="53" w:name="bookmark33"/>
      <w:bookmarkEnd w:id="53"/>
      <w:bookmarkStart w:id="54" w:name="bookmark32"/>
      <w:bookmarkEnd w:id="54"/>
      <w:r>
        <w:rPr>
          <w:rFonts w:ascii="黑体" w:hAnsi="黑体" w:eastAsia="黑体" w:cs="黑体"/>
          <w:color w:val="auto"/>
          <w:spacing w:val="-1"/>
          <w:sz w:val="28"/>
          <w:szCs w:val="28"/>
          <w:highlight w:val="none"/>
        </w:rPr>
        <w:t>三、无重大违法记录声明函、无不良信用记录声明函</w:t>
      </w:r>
    </w:p>
    <w:p w14:paraId="2867ABCF">
      <w:pPr>
        <w:pStyle w:val="6"/>
        <w:spacing w:line="311" w:lineRule="auto"/>
        <w:rPr>
          <w:color w:val="auto"/>
          <w:highlight w:val="none"/>
        </w:rPr>
      </w:pPr>
    </w:p>
    <w:p w14:paraId="08BBC5C3">
      <w:pPr>
        <w:spacing w:before="78" w:line="428" w:lineRule="auto"/>
        <w:ind w:left="7" w:right="7" w:firstLine="496"/>
        <w:jc w:val="both"/>
        <w:rPr>
          <w:rFonts w:ascii="宋体" w:hAnsi="宋体" w:eastAsia="宋体" w:cs="宋体"/>
          <w:color w:val="auto"/>
          <w:sz w:val="24"/>
          <w:szCs w:val="24"/>
          <w:highlight w:val="none"/>
        </w:rPr>
      </w:pPr>
      <w:r>
        <w:rPr>
          <w:rFonts w:ascii="宋体" w:hAnsi="宋体" w:eastAsia="宋体" w:cs="宋体"/>
          <w:color w:val="auto"/>
          <w:spacing w:val="3"/>
          <w:sz w:val="22"/>
          <w:szCs w:val="22"/>
          <w:highlight w:val="none"/>
        </w:rPr>
        <w:t>1.</w:t>
      </w:r>
      <w:r>
        <w:rPr>
          <w:rFonts w:ascii="宋体" w:hAnsi="宋体" w:eastAsia="宋体" w:cs="宋体"/>
          <w:color w:val="auto"/>
          <w:spacing w:val="3"/>
          <w:sz w:val="24"/>
          <w:szCs w:val="24"/>
          <w:highlight w:val="none"/>
        </w:rPr>
        <w:t>本单位郑重声明，根据《中华人民共和国政府采购法》及《中</w:t>
      </w:r>
      <w:r>
        <w:rPr>
          <w:rFonts w:ascii="宋体" w:hAnsi="宋体" w:eastAsia="宋体" w:cs="宋体"/>
          <w:color w:val="auto"/>
          <w:spacing w:val="2"/>
          <w:sz w:val="24"/>
          <w:szCs w:val="24"/>
          <w:highlight w:val="none"/>
        </w:rPr>
        <w:t>华人民共和国政</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府采购法实施条例》的规定，参加政府采购活动前三年</w:t>
      </w:r>
      <w:r>
        <w:rPr>
          <w:rFonts w:ascii="宋体" w:hAnsi="宋体" w:eastAsia="宋体" w:cs="宋体"/>
          <w:color w:val="auto"/>
          <w:spacing w:val="2"/>
          <w:sz w:val="24"/>
          <w:szCs w:val="24"/>
          <w:highlight w:val="none"/>
        </w:rPr>
        <w:t>内，本单位在经营活动中没有</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重大违法记录，没有因违法经营受到刑事处罚或者责令</w:t>
      </w:r>
      <w:r>
        <w:rPr>
          <w:rFonts w:ascii="宋体" w:hAnsi="宋体" w:eastAsia="宋体" w:cs="宋体"/>
          <w:color w:val="auto"/>
          <w:spacing w:val="2"/>
          <w:sz w:val="24"/>
          <w:szCs w:val="24"/>
          <w:highlight w:val="none"/>
        </w:rPr>
        <w:t>停产停业、吊销许可证或者执</w:t>
      </w:r>
      <w:r>
        <w:rPr>
          <w:rFonts w:ascii="宋体" w:hAnsi="宋体" w:eastAsia="宋体" w:cs="宋体"/>
          <w:color w:val="auto"/>
          <w:sz w:val="24"/>
          <w:szCs w:val="24"/>
          <w:highlight w:val="none"/>
        </w:rPr>
        <w:t>照、较大数额罚款等行政处罚，且未在被禁止参加政府采</w:t>
      </w:r>
      <w:r>
        <w:rPr>
          <w:rFonts w:ascii="宋体" w:hAnsi="宋体" w:eastAsia="宋体" w:cs="宋体"/>
          <w:color w:val="auto"/>
          <w:spacing w:val="-1"/>
          <w:sz w:val="24"/>
          <w:szCs w:val="24"/>
          <w:highlight w:val="none"/>
        </w:rPr>
        <w:t>购活动的处罚期限内。</w:t>
      </w:r>
    </w:p>
    <w:p w14:paraId="75D1E606">
      <w:pPr>
        <w:spacing w:before="37" w:line="219" w:lineRule="auto"/>
        <w:ind w:left="487"/>
        <w:rPr>
          <w:rFonts w:ascii="宋体" w:hAnsi="宋体" w:eastAsia="宋体" w:cs="宋体"/>
          <w:color w:val="auto"/>
          <w:sz w:val="24"/>
          <w:szCs w:val="24"/>
          <w:highlight w:val="none"/>
        </w:rPr>
      </w:pPr>
      <w:r>
        <w:rPr>
          <w:rFonts w:ascii="宋体" w:hAnsi="宋体" w:eastAsia="宋体" w:cs="宋体"/>
          <w:color w:val="auto"/>
          <w:sz w:val="22"/>
          <w:szCs w:val="22"/>
          <w:highlight w:val="none"/>
        </w:rPr>
        <w:t>2.</w:t>
      </w:r>
      <w:r>
        <w:rPr>
          <w:rFonts w:ascii="宋体" w:hAnsi="宋体" w:eastAsia="宋体" w:cs="宋体"/>
          <w:color w:val="auto"/>
          <w:sz w:val="24"/>
          <w:szCs w:val="24"/>
          <w:highlight w:val="none"/>
        </w:rPr>
        <w:t>本单位郑重声明，我单位无以下不良信用记录情形：</w:t>
      </w:r>
    </w:p>
    <w:p w14:paraId="17BE5FDA">
      <w:pPr>
        <w:spacing w:before="283" w:line="220" w:lineRule="auto"/>
        <w:ind w:left="491"/>
        <w:rPr>
          <w:rFonts w:ascii="宋体" w:hAnsi="宋体" w:eastAsia="宋体" w:cs="宋体"/>
          <w:color w:val="auto"/>
          <w:sz w:val="24"/>
          <w:szCs w:val="24"/>
          <w:highlight w:val="none"/>
        </w:rPr>
      </w:pPr>
      <w:r>
        <w:rPr>
          <w:rFonts w:ascii="宋体" w:hAnsi="宋体" w:eastAsia="宋体" w:cs="宋体"/>
          <w:color w:val="auto"/>
          <w:spacing w:val="-2"/>
          <w:sz w:val="22"/>
          <w:szCs w:val="22"/>
          <w:highlight w:val="none"/>
        </w:rPr>
        <w:t>（1）</w:t>
      </w:r>
      <w:r>
        <w:rPr>
          <w:rFonts w:ascii="宋体" w:hAnsi="宋体" w:eastAsia="宋体" w:cs="宋体"/>
          <w:color w:val="auto"/>
          <w:spacing w:val="-40"/>
          <w:sz w:val="22"/>
          <w:szCs w:val="22"/>
          <w:highlight w:val="none"/>
        </w:rPr>
        <w:t xml:space="preserve"> </w:t>
      </w:r>
      <w:r>
        <w:rPr>
          <w:rFonts w:ascii="宋体" w:hAnsi="宋体" w:eastAsia="宋体" w:cs="宋体"/>
          <w:color w:val="auto"/>
          <w:spacing w:val="-2"/>
          <w:sz w:val="24"/>
          <w:szCs w:val="24"/>
          <w:highlight w:val="none"/>
        </w:rPr>
        <w:t>被人民法院列入失信被执行人；</w:t>
      </w:r>
    </w:p>
    <w:p w14:paraId="567434ED">
      <w:pPr>
        <w:spacing w:before="278" w:line="220" w:lineRule="auto"/>
        <w:ind w:left="491"/>
        <w:rPr>
          <w:rFonts w:ascii="宋体" w:hAnsi="宋体" w:eastAsia="宋体" w:cs="宋体"/>
          <w:color w:val="auto"/>
          <w:sz w:val="24"/>
          <w:szCs w:val="24"/>
          <w:highlight w:val="none"/>
        </w:rPr>
      </w:pPr>
      <w:r>
        <w:rPr>
          <w:rFonts w:ascii="宋体" w:hAnsi="宋体" w:eastAsia="宋体" w:cs="宋体"/>
          <w:color w:val="auto"/>
          <w:spacing w:val="-1"/>
          <w:sz w:val="22"/>
          <w:szCs w:val="22"/>
          <w:highlight w:val="none"/>
        </w:rPr>
        <w:t>（2）</w:t>
      </w:r>
      <w:r>
        <w:rPr>
          <w:rFonts w:ascii="宋体" w:hAnsi="宋体" w:eastAsia="宋体" w:cs="宋体"/>
          <w:color w:val="auto"/>
          <w:spacing w:val="-49"/>
          <w:sz w:val="22"/>
          <w:szCs w:val="22"/>
          <w:highlight w:val="none"/>
        </w:rPr>
        <w:t xml:space="preserve"> </w:t>
      </w:r>
      <w:r>
        <w:rPr>
          <w:rFonts w:ascii="宋体" w:hAnsi="宋体" w:eastAsia="宋体" w:cs="宋体"/>
          <w:color w:val="auto"/>
          <w:spacing w:val="-1"/>
          <w:sz w:val="24"/>
          <w:szCs w:val="24"/>
          <w:highlight w:val="none"/>
        </w:rPr>
        <w:t>被市场监督管理部门列入严重违法失信企业名录；</w:t>
      </w:r>
    </w:p>
    <w:p w14:paraId="2D696CF2">
      <w:pPr>
        <w:spacing w:before="280" w:line="220" w:lineRule="auto"/>
        <w:ind w:left="491"/>
        <w:rPr>
          <w:rFonts w:ascii="宋体" w:hAnsi="宋体" w:eastAsia="宋体" w:cs="宋体"/>
          <w:color w:val="auto"/>
          <w:sz w:val="24"/>
          <w:szCs w:val="24"/>
          <w:highlight w:val="none"/>
        </w:rPr>
      </w:pPr>
      <w:r>
        <w:rPr>
          <w:rFonts w:ascii="宋体" w:hAnsi="宋体" w:eastAsia="宋体" w:cs="宋体"/>
          <w:color w:val="auto"/>
          <w:spacing w:val="-1"/>
          <w:sz w:val="22"/>
          <w:szCs w:val="22"/>
          <w:highlight w:val="none"/>
        </w:rPr>
        <w:t>（3）</w:t>
      </w:r>
      <w:r>
        <w:rPr>
          <w:rFonts w:ascii="宋体" w:hAnsi="宋体" w:eastAsia="宋体" w:cs="宋体"/>
          <w:color w:val="auto"/>
          <w:spacing w:val="-49"/>
          <w:sz w:val="22"/>
          <w:szCs w:val="22"/>
          <w:highlight w:val="none"/>
        </w:rPr>
        <w:t xml:space="preserve"> </w:t>
      </w:r>
      <w:r>
        <w:rPr>
          <w:rFonts w:ascii="宋体" w:hAnsi="宋体" w:eastAsia="宋体" w:cs="宋体"/>
          <w:color w:val="auto"/>
          <w:spacing w:val="-1"/>
          <w:sz w:val="24"/>
          <w:szCs w:val="24"/>
          <w:highlight w:val="none"/>
        </w:rPr>
        <w:t>被税务部门列入重大税收违法案件当事人名单的；</w:t>
      </w:r>
    </w:p>
    <w:p w14:paraId="60479083">
      <w:pPr>
        <w:spacing w:before="283" w:line="219" w:lineRule="auto"/>
        <w:ind w:left="494"/>
        <w:rPr>
          <w:rFonts w:ascii="宋体" w:hAnsi="宋体" w:eastAsia="宋体" w:cs="宋体"/>
          <w:color w:val="auto"/>
          <w:sz w:val="24"/>
          <w:szCs w:val="24"/>
          <w:highlight w:val="none"/>
        </w:rPr>
      </w:pPr>
      <w:r>
        <w:rPr>
          <w:rFonts w:ascii="宋体" w:hAnsi="宋体" w:eastAsia="宋体" w:cs="宋体"/>
          <w:color w:val="auto"/>
          <w:spacing w:val="-2"/>
          <w:sz w:val="22"/>
          <w:szCs w:val="22"/>
          <w:highlight w:val="none"/>
        </w:rPr>
        <w:t>（4）</w:t>
      </w:r>
      <w:r>
        <w:rPr>
          <w:rFonts w:ascii="宋体" w:hAnsi="宋体" w:eastAsia="宋体" w:cs="宋体"/>
          <w:color w:val="auto"/>
          <w:spacing w:val="-41"/>
          <w:sz w:val="22"/>
          <w:szCs w:val="22"/>
          <w:highlight w:val="none"/>
        </w:rPr>
        <w:t xml:space="preserve"> </w:t>
      </w:r>
      <w:r>
        <w:rPr>
          <w:rFonts w:ascii="宋体" w:hAnsi="宋体" w:eastAsia="宋体" w:cs="宋体"/>
          <w:color w:val="auto"/>
          <w:spacing w:val="-2"/>
          <w:sz w:val="24"/>
          <w:szCs w:val="24"/>
          <w:highlight w:val="none"/>
        </w:rPr>
        <w:t>被政府采购监管部门列入政府采购严重违法失信行为记录名单。</w:t>
      </w:r>
    </w:p>
    <w:p w14:paraId="4CCBB701">
      <w:pPr>
        <w:spacing w:before="281" w:line="219" w:lineRule="auto"/>
        <w:ind w:left="48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本单位对上述声明的真实性负责。如有虚假，将依法承担相应责任。</w:t>
      </w:r>
    </w:p>
    <w:p w14:paraId="038CF599">
      <w:pPr>
        <w:spacing w:before="245" w:line="448" w:lineRule="auto"/>
        <w:ind w:firstLine="492"/>
        <w:rPr>
          <w:rFonts w:ascii="宋体" w:hAnsi="宋体" w:eastAsia="宋体" w:cs="宋体"/>
          <w:color w:val="auto"/>
          <w:sz w:val="24"/>
          <w:szCs w:val="24"/>
          <w:highlight w:val="none"/>
        </w:rPr>
      </w:pPr>
      <w:r>
        <w:rPr>
          <w:rFonts w:ascii="宋体" w:hAnsi="宋体" w:eastAsia="宋体" w:cs="宋体"/>
          <w:color w:val="auto"/>
          <w:spacing w:val="-4"/>
          <w:sz w:val="22"/>
          <w:szCs w:val="22"/>
          <w:highlight w:val="none"/>
        </w:rPr>
        <w:t>3.</w:t>
      </w:r>
      <w:r>
        <w:rPr>
          <w:rFonts w:ascii="宋体" w:hAnsi="宋体" w:eastAsia="宋体" w:cs="宋体"/>
          <w:color w:val="auto"/>
          <w:spacing w:val="-3"/>
          <w:sz w:val="24"/>
          <w:szCs w:val="24"/>
          <w:highlight w:val="none"/>
        </w:rPr>
        <w:t>经我单位自行查询中国政府采购网（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宋体" w:hAnsi="宋体" w:eastAsia="宋体" w:cs="宋体"/>
          <w:color w:val="auto"/>
          <w:spacing w:val="-3"/>
          <w:sz w:val="24"/>
          <w:szCs w:val="24"/>
          <w:highlight w:val="none"/>
        </w:rPr>
        <w:t>www.ccgp.gov.cn</w:t>
      </w:r>
      <w:r>
        <w:rPr>
          <w:rFonts w:ascii="宋体" w:hAnsi="宋体" w:eastAsia="宋体" w:cs="宋体"/>
          <w:color w:val="auto"/>
          <w:spacing w:val="-3"/>
          <w:sz w:val="24"/>
          <w:szCs w:val="24"/>
          <w:highlight w:val="none"/>
        </w:rPr>
        <w:fldChar w:fldCharType="end"/>
      </w:r>
      <w:r>
        <w:rPr>
          <w:rFonts w:ascii="宋体" w:hAnsi="宋体" w:eastAsia="宋体" w:cs="宋体"/>
          <w:color w:val="auto"/>
          <w:spacing w:val="-3"/>
          <w:sz w:val="24"/>
          <w:szCs w:val="24"/>
          <w:highlight w:val="none"/>
        </w:rPr>
        <w:t>）、“信用中国”网站（</w:t>
      </w:r>
      <w:r>
        <w:rPr>
          <w:rFonts w:ascii="宋体" w:hAnsi="宋体" w:eastAsia="宋体" w:cs="宋体"/>
          <w:color w:val="auto"/>
          <w:spacing w:val="-1"/>
          <w:sz w:val="24"/>
          <w:szCs w:val="24"/>
          <w:highlight w:val="none"/>
        </w:rPr>
        <w:t>w</w:t>
      </w:r>
      <w:r>
        <w:rPr>
          <w:rFonts w:ascii="宋体" w:hAnsi="宋体" w:eastAsia="宋体" w:cs="宋体"/>
          <w:color w:val="auto"/>
          <w:sz w:val="24"/>
          <w:szCs w:val="24"/>
          <w:highlight w:val="none"/>
        </w:rPr>
        <w:t>ww</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creditchina</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gov</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cn</w:t>
      </w:r>
      <w:r>
        <w:rPr>
          <w:rFonts w:ascii="宋体" w:hAnsi="宋体" w:eastAsia="宋体" w:cs="宋体"/>
          <w:color w:val="auto"/>
          <w:spacing w:val="3"/>
          <w:sz w:val="24"/>
          <w:szCs w:val="24"/>
          <w:highlight w:val="none"/>
        </w:rPr>
        <w:t>）、国家企业信用信息公示系统（</w:t>
      </w:r>
      <w:r>
        <w:rPr>
          <w:color w:val="auto"/>
          <w:highlight w:val="none"/>
        </w:rPr>
        <w:fldChar w:fldCharType="begin"/>
      </w:r>
      <w:r>
        <w:rPr>
          <w:color w:val="auto"/>
          <w:highlight w:val="none"/>
        </w:rPr>
        <w:instrText xml:space="preserve"> HYPERLINK "http://www.gsxt.gov.cn/" </w:instrText>
      </w:r>
      <w:r>
        <w:rPr>
          <w:color w:val="auto"/>
          <w:highlight w:val="none"/>
        </w:rPr>
        <w:fldChar w:fldCharType="separate"/>
      </w:r>
      <w:r>
        <w:rPr>
          <w:rFonts w:ascii="宋体" w:hAnsi="宋体" w:eastAsia="宋体" w:cs="宋体"/>
          <w:color w:val="auto"/>
          <w:sz w:val="24"/>
          <w:szCs w:val="24"/>
          <w:highlight w:val="none"/>
        </w:rPr>
        <w:t>www</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gsxt</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gov</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cn</w:t>
      </w:r>
      <w:r>
        <w:rPr>
          <w:rFonts w:ascii="宋体" w:hAnsi="宋体" w:eastAsia="宋体" w:cs="宋体"/>
          <w:color w:val="auto"/>
          <w:sz w:val="24"/>
          <w:szCs w:val="24"/>
          <w:highlight w:val="none"/>
        </w:rPr>
        <w:fldChar w:fldCharType="end"/>
      </w:r>
      <w:r>
        <w:rPr>
          <w:rFonts w:ascii="宋体" w:hAnsi="宋体" w:eastAsia="宋体" w:cs="宋体"/>
          <w:color w:val="auto"/>
          <w:spacing w:val="18"/>
          <w:sz w:val="24"/>
          <w:szCs w:val="24"/>
          <w:highlight w:val="none"/>
        </w:rPr>
        <w:t>），</w:t>
      </w:r>
      <w:r>
        <w:rPr>
          <w:rFonts w:ascii="宋体" w:hAnsi="宋体" w:eastAsia="宋体" w:cs="宋体"/>
          <w:color w:val="auto"/>
          <w:spacing w:val="3"/>
          <w:sz w:val="24"/>
          <w:szCs w:val="24"/>
          <w:highlight w:val="none"/>
        </w:rPr>
        <w:t>我单</w:t>
      </w:r>
      <w:r>
        <w:rPr>
          <w:rFonts w:ascii="宋体" w:hAnsi="宋体" w:eastAsia="宋体" w:cs="宋体"/>
          <w:color w:val="auto"/>
          <w:spacing w:val="-1"/>
          <w:sz w:val="24"/>
          <w:szCs w:val="24"/>
          <w:highlight w:val="none"/>
        </w:rPr>
        <w:t>位承诺不存在不良信用记录。</w:t>
      </w:r>
    </w:p>
    <w:p w14:paraId="22064930">
      <w:pPr>
        <w:pStyle w:val="6"/>
        <w:spacing w:line="255" w:lineRule="auto"/>
        <w:rPr>
          <w:color w:val="auto"/>
          <w:highlight w:val="none"/>
        </w:rPr>
      </w:pPr>
    </w:p>
    <w:p w14:paraId="3AA4E40D">
      <w:pPr>
        <w:pStyle w:val="6"/>
        <w:spacing w:line="255" w:lineRule="auto"/>
        <w:rPr>
          <w:color w:val="auto"/>
          <w:highlight w:val="none"/>
        </w:rPr>
      </w:pPr>
    </w:p>
    <w:p w14:paraId="6B03C9E4">
      <w:pPr>
        <w:pStyle w:val="6"/>
        <w:spacing w:line="256" w:lineRule="auto"/>
        <w:rPr>
          <w:color w:val="auto"/>
          <w:highlight w:val="none"/>
        </w:rPr>
      </w:pPr>
    </w:p>
    <w:p w14:paraId="4C0079DC">
      <w:pPr>
        <w:spacing w:before="79" w:line="219" w:lineRule="auto"/>
        <w:ind w:left="48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供应商名称（盖章</w:t>
      </w:r>
      <w:r>
        <w:rPr>
          <w:rFonts w:ascii="宋体" w:hAnsi="宋体" w:eastAsia="宋体" w:cs="宋体"/>
          <w:color w:val="auto"/>
          <w:spacing w:val="2"/>
          <w:sz w:val="24"/>
          <w:szCs w:val="24"/>
          <w:highlight w:val="none"/>
        </w:rPr>
        <w:t>）：</w:t>
      </w:r>
    </w:p>
    <w:p w14:paraId="20598C2C">
      <w:pPr>
        <w:spacing w:before="281" w:line="220" w:lineRule="auto"/>
        <w:ind w:left="52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日</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期：202</w:t>
      </w:r>
      <w:r>
        <w:rPr>
          <w:rFonts w:hint="eastAsia" w:ascii="宋体" w:hAnsi="宋体" w:eastAsia="宋体" w:cs="宋体"/>
          <w:color w:val="auto"/>
          <w:spacing w:val="-9"/>
          <w:sz w:val="24"/>
          <w:szCs w:val="24"/>
          <w:highlight w:val="none"/>
          <w:lang w:val="en-US" w:eastAsia="zh-CN"/>
        </w:rPr>
        <w:t>5</w:t>
      </w:r>
      <w:r>
        <w:rPr>
          <w:rFonts w:ascii="宋体" w:hAnsi="宋体" w:eastAsia="宋体" w:cs="宋体"/>
          <w:color w:val="auto"/>
          <w:spacing w:val="-47"/>
          <w:sz w:val="24"/>
          <w:szCs w:val="24"/>
          <w:highlight w:val="none"/>
        </w:rPr>
        <w:t xml:space="preserve"> </w:t>
      </w:r>
      <w:r>
        <w:rPr>
          <w:rFonts w:ascii="宋体" w:hAnsi="宋体" w:eastAsia="宋体" w:cs="宋体"/>
          <w:color w:val="auto"/>
          <w:spacing w:val="-9"/>
          <w:sz w:val="24"/>
          <w:szCs w:val="24"/>
          <w:highlight w:val="none"/>
        </w:rPr>
        <w:t>年</w:t>
      </w:r>
      <w:r>
        <w:rPr>
          <w:rFonts w:ascii="宋体" w:hAnsi="宋体" w:eastAsia="宋体" w:cs="宋体"/>
          <w:color w:val="auto"/>
          <w:spacing w:val="7"/>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8"/>
          <w:sz w:val="24"/>
          <w:szCs w:val="24"/>
          <w:highlight w:val="none"/>
        </w:rPr>
        <w:t xml:space="preserve">   </w:t>
      </w:r>
      <w:r>
        <w:rPr>
          <w:rFonts w:ascii="宋体" w:hAnsi="宋体" w:eastAsia="宋体" w:cs="宋体"/>
          <w:color w:val="auto"/>
          <w:spacing w:val="-9"/>
          <w:sz w:val="24"/>
          <w:szCs w:val="24"/>
          <w:highlight w:val="none"/>
        </w:rPr>
        <w:t>日</w:t>
      </w:r>
    </w:p>
    <w:p w14:paraId="16ED9F93">
      <w:pPr>
        <w:spacing w:line="220" w:lineRule="auto"/>
        <w:rPr>
          <w:rFonts w:ascii="宋体" w:hAnsi="宋体" w:eastAsia="宋体" w:cs="宋体"/>
          <w:color w:val="auto"/>
          <w:sz w:val="24"/>
          <w:szCs w:val="24"/>
          <w:highlight w:val="none"/>
        </w:rPr>
        <w:sectPr>
          <w:footerReference r:id="rId33" w:type="default"/>
          <w:pgSz w:w="11911" w:h="16840"/>
          <w:pgMar w:top="1429" w:right="1763" w:bottom="862" w:left="1655" w:header="0" w:footer="680" w:gutter="0"/>
          <w:cols w:space="0" w:num="1"/>
          <w:rtlGutter w:val="0"/>
          <w:docGrid w:linePitch="0" w:charSpace="0"/>
        </w:sectPr>
      </w:pPr>
    </w:p>
    <w:p w14:paraId="5ABB1570">
      <w:pPr>
        <w:spacing w:before="55" w:line="220" w:lineRule="auto"/>
        <w:ind w:left="3846"/>
        <w:outlineLvl w:val="1"/>
        <w:rPr>
          <w:rFonts w:ascii="黑体" w:hAnsi="黑体" w:eastAsia="黑体" w:cs="黑体"/>
          <w:color w:val="auto"/>
          <w:sz w:val="28"/>
          <w:szCs w:val="28"/>
          <w:highlight w:val="none"/>
        </w:rPr>
      </w:pPr>
      <w:bookmarkStart w:id="55" w:name="bookmark35"/>
      <w:bookmarkEnd w:id="55"/>
      <w:bookmarkStart w:id="56" w:name="bookmark34"/>
      <w:bookmarkEnd w:id="56"/>
      <w:r>
        <w:rPr>
          <w:rFonts w:ascii="黑体" w:hAnsi="黑体" w:eastAsia="黑体" w:cs="黑体"/>
          <w:color w:val="auto"/>
          <w:spacing w:val="-6"/>
          <w:sz w:val="28"/>
          <w:szCs w:val="28"/>
          <w:highlight w:val="none"/>
        </w:rPr>
        <w:t>四、响应函</w:t>
      </w:r>
    </w:p>
    <w:p w14:paraId="15451E66">
      <w:pPr>
        <w:pStyle w:val="6"/>
        <w:spacing w:line="305" w:lineRule="auto"/>
        <w:rPr>
          <w:color w:val="auto"/>
          <w:highlight w:val="none"/>
        </w:rPr>
      </w:pPr>
    </w:p>
    <w:p w14:paraId="4D150BB4">
      <w:pPr>
        <w:keepNext w:val="0"/>
        <w:keepLines w:val="0"/>
        <w:pageBreakBefore w:val="0"/>
        <w:widowControl/>
        <w:kinsoku w:val="0"/>
        <w:wordWrap/>
        <w:overflowPunct/>
        <w:topLinePunct w:val="0"/>
        <w:autoSpaceDE w:val="0"/>
        <w:autoSpaceDN w:val="0"/>
        <w:bidi w:val="0"/>
        <w:adjustRightInd w:val="0"/>
        <w:snapToGrid w:val="0"/>
        <w:spacing w:before="78" w:line="500" w:lineRule="exact"/>
        <w:ind w:left="480" w:right="159" w:rightChars="0" w:hanging="480"/>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color="auto"/>
        </w:rPr>
        <w:t>金寨县机关事务管理服务中心</w:t>
      </w:r>
      <w:r>
        <w:rPr>
          <w:rFonts w:ascii="宋体" w:hAnsi="宋体" w:eastAsia="宋体" w:cs="宋体"/>
          <w:color w:val="auto"/>
          <w:sz w:val="24"/>
          <w:szCs w:val="24"/>
          <w:highlight w:val="none"/>
          <w:u w:val="single" w:color="auto"/>
        </w:rPr>
        <w:t>、</w:t>
      </w:r>
      <w:r>
        <w:rPr>
          <w:rFonts w:hint="eastAsia" w:ascii="宋体" w:hAnsi="宋体" w:eastAsia="宋体" w:cs="宋体"/>
          <w:color w:val="auto"/>
          <w:sz w:val="24"/>
          <w:szCs w:val="24"/>
          <w:highlight w:val="none"/>
          <w:u w:val="single" w:color="auto"/>
          <w:lang w:val="en-US" w:eastAsia="zh-CN"/>
        </w:rPr>
        <w:t>金寨县</w:t>
      </w:r>
      <w:r>
        <w:rPr>
          <w:rFonts w:ascii="宋体" w:hAnsi="宋体" w:eastAsia="宋体" w:cs="宋体"/>
          <w:color w:val="auto"/>
          <w:spacing w:val="-1"/>
          <w:sz w:val="24"/>
          <w:szCs w:val="24"/>
          <w:highlight w:val="none"/>
          <w:u w:val="single" w:color="auto"/>
        </w:rPr>
        <w:t>政府采购中心</w:t>
      </w:r>
      <w:r>
        <w:rPr>
          <w:rFonts w:ascii="宋体" w:hAnsi="宋体" w:eastAsia="宋体" w:cs="宋体"/>
          <w:color w:val="auto"/>
          <w:sz w:val="24"/>
          <w:szCs w:val="24"/>
          <w:highlight w:val="none"/>
        </w:rPr>
        <w:t xml:space="preserve"> </w:t>
      </w:r>
    </w:p>
    <w:p w14:paraId="30D2D414">
      <w:pPr>
        <w:keepNext w:val="0"/>
        <w:keepLines w:val="0"/>
        <w:pageBreakBefore w:val="0"/>
        <w:widowControl/>
        <w:kinsoku w:val="0"/>
        <w:wordWrap/>
        <w:overflowPunct/>
        <w:topLinePunct w:val="0"/>
        <w:autoSpaceDE w:val="0"/>
        <w:autoSpaceDN w:val="0"/>
        <w:bidi w:val="0"/>
        <w:adjustRightInd w:val="0"/>
        <w:snapToGrid w:val="0"/>
        <w:spacing w:before="78" w:line="500" w:lineRule="exact"/>
        <w:ind w:left="482" w:leftChars="199" w:right="159" w:rightChars="0" w:hanging="64" w:hangingChars="27"/>
        <w:textAlignment w:val="baseline"/>
        <w:rPr>
          <w:rFonts w:ascii="宋体" w:hAnsi="宋体" w:eastAsia="宋体" w:cs="宋体"/>
          <w:color w:val="auto"/>
          <w:spacing w:val="5"/>
          <w:sz w:val="24"/>
          <w:szCs w:val="24"/>
          <w:highlight w:val="none"/>
        </w:rPr>
      </w:pPr>
      <w:r>
        <w:rPr>
          <w:rFonts w:ascii="宋体" w:hAnsi="宋体" w:eastAsia="宋体" w:cs="宋体"/>
          <w:color w:val="auto"/>
          <w:spacing w:val="-1"/>
          <w:sz w:val="24"/>
          <w:szCs w:val="24"/>
          <w:highlight w:val="none"/>
        </w:rPr>
        <w:t>根据贵方的</w:t>
      </w:r>
      <w:r>
        <w:rPr>
          <w:rFonts w:ascii="宋体" w:hAnsi="宋体" w:eastAsia="宋体" w:cs="宋体"/>
          <w:color w:val="auto"/>
          <w:spacing w:val="5"/>
          <w:sz w:val="24"/>
          <w:szCs w:val="24"/>
          <w:highlight w:val="none"/>
        </w:rPr>
        <w:t>征集公告和征集邀请，我方兹宣布同意如下：</w:t>
      </w:r>
    </w:p>
    <w:p w14:paraId="751356C4">
      <w:pPr>
        <w:keepNext w:val="0"/>
        <w:keepLines w:val="0"/>
        <w:pageBreakBefore w:val="0"/>
        <w:widowControl/>
        <w:kinsoku w:val="0"/>
        <w:wordWrap/>
        <w:overflowPunct/>
        <w:topLinePunct w:val="0"/>
        <w:autoSpaceDE w:val="0"/>
        <w:autoSpaceDN w:val="0"/>
        <w:bidi w:val="0"/>
        <w:adjustRightInd w:val="0"/>
        <w:snapToGrid w:val="0"/>
        <w:spacing w:before="37" w:line="500" w:lineRule="exact"/>
        <w:ind w:right="152" w:firstLine="493"/>
        <w:textAlignment w:val="baseline"/>
        <w:rPr>
          <w:rFonts w:ascii="宋体" w:hAnsi="宋体" w:eastAsia="宋体" w:cs="宋体"/>
          <w:color w:val="auto"/>
          <w:sz w:val="24"/>
          <w:szCs w:val="24"/>
          <w:highlight w:val="none"/>
        </w:rPr>
      </w:pPr>
      <w:r>
        <w:rPr>
          <w:rFonts w:ascii="宋体" w:hAnsi="宋体" w:eastAsia="宋体" w:cs="宋体"/>
          <w:color w:val="auto"/>
          <w:spacing w:val="5"/>
          <w:sz w:val="22"/>
          <w:szCs w:val="22"/>
          <w:highlight w:val="none"/>
        </w:rPr>
        <w:t>1.</w:t>
      </w:r>
      <w:r>
        <w:rPr>
          <w:rFonts w:ascii="宋体" w:hAnsi="宋体" w:eastAsia="宋体" w:cs="宋体"/>
          <w:color w:val="auto"/>
          <w:spacing w:val="5"/>
          <w:sz w:val="24"/>
          <w:szCs w:val="24"/>
          <w:highlight w:val="none"/>
        </w:rPr>
        <w:t>按本征集项目的详细说明和要求规定提供的全部采购标的的报价进行完全响</w:t>
      </w:r>
      <w:r>
        <w:rPr>
          <w:rFonts w:ascii="宋体" w:hAnsi="宋体" w:eastAsia="宋体" w:cs="宋体"/>
          <w:color w:val="auto"/>
          <w:spacing w:val="15"/>
          <w:sz w:val="24"/>
          <w:szCs w:val="24"/>
          <w:highlight w:val="none"/>
        </w:rPr>
        <w:t xml:space="preserve"> </w:t>
      </w:r>
      <w:r>
        <w:rPr>
          <w:rFonts w:ascii="宋体" w:hAnsi="宋体" w:eastAsia="宋体" w:cs="宋体"/>
          <w:color w:val="auto"/>
          <w:spacing w:val="-5"/>
          <w:sz w:val="24"/>
          <w:szCs w:val="24"/>
          <w:highlight w:val="none"/>
        </w:rPr>
        <w:t>应。</w:t>
      </w:r>
    </w:p>
    <w:p w14:paraId="06456803">
      <w:pPr>
        <w:keepNext w:val="0"/>
        <w:keepLines w:val="0"/>
        <w:pageBreakBefore w:val="0"/>
        <w:widowControl/>
        <w:kinsoku w:val="0"/>
        <w:wordWrap/>
        <w:overflowPunct/>
        <w:topLinePunct w:val="0"/>
        <w:autoSpaceDE w:val="0"/>
        <w:autoSpaceDN w:val="0"/>
        <w:bidi w:val="0"/>
        <w:adjustRightInd w:val="0"/>
        <w:snapToGrid w:val="0"/>
        <w:spacing w:before="35" w:line="500" w:lineRule="exact"/>
        <w:ind w:left="1" w:right="116" w:firstLine="480"/>
        <w:textAlignment w:val="baseline"/>
        <w:rPr>
          <w:rFonts w:ascii="宋体" w:hAnsi="宋体" w:eastAsia="宋体" w:cs="宋体"/>
          <w:color w:val="auto"/>
          <w:sz w:val="24"/>
          <w:szCs w:val="24"/>
          <w:highlight w:val="none"/>
        </w:rPr>
      </w:pPr>
      <w:r>
        <w:rPr>
          <w:rFonts w:ascii="宋体" w:hAnsi="宋体" w:eastAsia="宋体" w:cs="宋体"/>
          <w:color w:val="auto"/>
          <w:spacing w:val="-3"/>
          <w:sz w:val="22"/>
          <w:szCs w:val="22"/>
          <w:highlight w:val="none"/>
        </w:rPr>
        <w:t>2.</w:t>
      </w:r>
      <w:r>
        <w:rPr>
          <w:rFonts w:ascii="宋体" w:hAnsi="宋体" w:eastAsia="宋体" w:cs="宋体"/>
          <w:color w:val="auto"/>
          <w:spacing w:val="-3"/>
          <w:sz w:val="24"/>
          <w:szCs w:val="24"/>
          <w:highlight w:val="none"/>
        </w:rPr>
        <w:t>我方根据本征集项目的详细说明和要求的规定，严格履</w:t>
      </w:r>
      <w:r>
        <w:rPr>
          <w:rFonts w:ascii="宋体" w:hAnsi="宋体" w:eastAsia="宋体" w:cs="宋体"/>
          <w:color w:val="auto"/>
          <w:spacing w:val="-4"/>
          <w:sz w:val="24"/>
          <w:szCs w:val="24"/>
          <w:highlight w:val="none"/>
        </w:rPr>
        <w:t>行合同的责任和义务,并</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保证于买方要求的日期内完成履约，并通过买方验收。</w:t>
      </w:r>
    </w:p>
    <w:p w14:paraId="43B90485">
      <w:pPr>
        <w:keepNext w:val="0"/>
        <w:keepLines w:val="0"/>
        <w:pageBreakBefore w:val="0"/>
        <w:widowControl/>
        <w:kinsoku w:val="0"/>
        <w:wordWrap/>
        <w:overflowPunct/>
        <w:topLinePunct w:val="0"/>
        <w:autoSpaceDE w:val="0"/>
        <w:autoSpaceDN w:val="0"/>
        <w:bidi w:val="0"/>
        <w:adjustRightInd w:val="0"/>
        <w:snapToGrid w:val="0"/>
        <w:spacing w:before="37" w:line="500" w:lineRule="exact"/>
        <w:ind w:right="1" w:firstLine="483"/>
        <w:textAlignment w:val="baseline"/>
        <w:rPr>
          <w:rFonts w:ascii="宋体" w:hAnsi="宋体" w:eastAsia="宋体" w:cs="宋体"/>
          <w:color w:val="auto"/>
          <w:sz w:val="24"/>
          <w:szCs w:val="24"/>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3"/>
          <w:sz w:val="24"/>
          <w:szCs w:val="24"/>
          <w:highlight w:val="none"/>
        </w:rPr>
        <w:t>我方已详细审核全部征集项目的详细说明和要求，包括本征集项目的详细说明</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和要求的澄清或修改（如有</w:t>
      </w:r>
      <w:r>
        <w:rPr>
          <w:rFonts w:ascii="宋体" w:hAnsi="宋体" w:eastAsia="宋体" w:cs="宋体"/>
          <w:color w:val="auto"/>
          <w:spacing w:val="12"/>
          <w:sz w:val="24"/>
          <w:szCs w:val="24"/>
          <w:highlight w:val="none"/>
        </w:rPr>
        <w:t>），</w:t>
      </w:r>
      <w:r>
        <w:rPr>
          <w:rFonts w:ascii="宋体" w:hAnsi="宋体" w:eastAsia="宋体" w:cs="宋体"/>
          <w:color w:val="auto"/>
          <w:spacing w:val="2"/>
          <w:sz w:val="24"/>
          <w:szCs w:val="24"/>
          <w:highlight w:val="none"/>
        </w:rPr>
        <w:t>参考资料及有关附件，我方正式认可并遵守本次征集</w:t>
      </w:r>
      <w:r>
        <w:rPr>
          <w:rFonts w:ascii="宋体" w:hAnsi="宋体" w:eastAsia="宋体" w:cs="宋体"/>
          <w:color w:val="auto"/>
          <w:spacing w:val="1"/>
          <w:sz w:val="24"/>
          <w:szCs w:val="24"/>
          <w:highlight w:val="none"/>
        </w:rPr>
        <w:t xml:space="preserve"> </w:t>
      </w:r>
      <w:r>
        <w:rPr>
          <w:rFonts w:ascii="宋体" w:hAnsi="宋体" w:eastAsia="宋体" w:cs="宋体"/>
          <w:color w:val="auto"/>
          <w:spacing w:val="3"/>
          <w:sz w:val="24"/>
          <w:szCs w:val="24"/>
          <w:highlight w:val="none"/>
        </w:rPr>
        <w:t>项目的详细说明和要求，并对此项目各项条款</w:t>
      </w:r>
      <w:r>
        <w:rPr>
          <w:rFonts w:ascii="宋体" w:hAnsi="宋体" w:eastAsia="宋体" w:cs="宋体"/>
          <w:color w:val="auto"/>
          <w:spacing w:val="2"/>
          <w:sz w:val="24"/>
          <w:szCs w:val="24"/>
          <w:highlight w:val="none"/>
        </w:rPr>
        <w:t>、规定及要求均无异议。我方知道必须</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放弃提出含糊不清或误解问题的权利。</w:t>
      </w:r>
    </w:p>
    <w:p w14:paraId="6003E923">
      <w:pPr>
        <w:keepNext w:val="0"/>
        <w:keepLines w:val="0"/>
        <w:pageBreakBefore w:val="0"/>
        <w:widowControl/>
        <w:kinsoku w:val="0"/>
        <w:wordWrap/>
        <w:overflowPunct/>
        <w:topLinePunct w:val="0"/>
        <w:autoSpaceDE w:val="0"/>
        <w:autoSpaceDN w:val="0"/>
        <w:bidi w:val="0"/>
        <w:adjustRightInd w:val="0"/>
        <w:snapToGrid w:val="0"/>
        <w:spacing w:before="32" w:line="500" w:lineRule="exact"/>
        <w:ind w:right="132" w:firstLine="479"/>
        <w:textAlignment w:val="baseline"/>
        <w:rPr>
          <w:rFonts w:ascii="宋体" w:hAnsi="宋体" w:eastAsia="宋体" w:cs="宋体"/>
          <w:color w:val="auto"/>
          <w:sz w:val="24"/>
          <w:szCs w:val="24"/>
          <w:highlight w:val="none"/>
        </w:rPr>
      </w:pPr>
      <w:r>
        <w:rPr>
          <w:rFonts w:ascii="宋体" w:hAnsi="宋体" w:eastAsia="宋体" w:cs="宋体"/>
          <w:color w:val="auto"/>
          <w:sz w:val="22"/>
          <w:szCs w:val="22"/>
          <w:highlight w:val="none"/>
        </w:rPr>
        <w:t>4.</w:t>
      </w:r>
      <w:r>
        <w:rPr>
          <w:rFonts w:ascii="宋体" w:hAnsi="宋体" w:eastAsia="宋体" w:cs="宋体"/>
          <w:color w:val="auto"/>
          <w:sz w:val="24"/>
          <w:szCs w:val="24"/>
          <w:highlight w:val="none"/>
        </w:rPr>
        <w:t>我方同意从本征集项目的详细说明和要求</w:t>
      </w:r>
      <w:r>
        <w:rPr>
          <w:rFonts w:ascii="宋体" w:hAnsi="宋体" w:eastAsia="宋体" w:cs="宋体"/>
          <w:color w:val="auto"/>
          <w:spacing w:val="-1"/>
          <w:sz w:val="24"/>
          <w:szCs w:val="24"/>
          <w:highlight w:val="none"/>
        </w:rPr>
        <w:t>规定的响应文件开启日期起遵循本文</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件，并在本文件规定的响应文件有效期之前均具有约束力。</w:t>
      </w:r>
    </w:p>
    <w:p w14:paraId="265F0F0F">
      <w:pPr>
        <w:keepNext w:val="0"/>
        <w:keepLines w:val="0"/>
        <w:pageBreakBefore w:val="0"/>
        <w:widowControl/>
        <w:kinsoku w:val="0"/>
        <w:wordWrap/>
        <w:overflowPunct/>
        <w:topLinePunct w:val="0"/>
        <w:autoSpaceDE w:val="0"/>
        <w:autoSpaceDN w:val="0"/>
        <w:bidi w:val="0"/>
        <w:adjustRightInd w:val="0"/>
        <w:snapToGrid w:val="0"/>
        <w:spacing w:before="32" w:line="500" w:lineRule="exact"/>
        <w:ind w:left="2" w:right="68" w:firstLine="481"/>
        <w:textAlignment w:val="baseline"/>
        <w:rPr>
          <w:rFonts w:ascii="宋体" w:hAnsi="宋体" w:eastAsia="宋体" w:cs="宋体"/>
          <w:color w:val="auto"/>
          <w:sz w:val="24"/>
          <w:szCs w:val="24"/>
          <w:highlight w:val="none"/>
        </w:rPr>
      </w:pPr>
      <w:r>
        <w:rPr>
          <w:rFonts w:ascii="宋体" w:hAnsi="宋体" w:eastAsia="宋体" w:cs="宋体"/>
          <w:color w:val="auto"/>
          <w:spacing w:val="-5"/>
          <w:sz w:val="22"/>
          <w:szCs w:val="22"/>
          <w:highlight w:val="none"/>
        </w:rPr>
        <w:t>5.</w:t>
      </w:r>
      <w:r>
        <w:rPr>
          <w:rFonts w:ascii="宋体" w:hAnsi="宋体" w:eastAsia="宋体" w:cs="宋体"/>
          <w:color w:val="auto"/>
          <w:spacing w:val="-5"/>
          <w:sz w:val="24"/>
          <w:szCs w:val="24"/>
          <w:highlight w:val="none"/>
        </w:rPr>
        <w:t>我方声明响应文件所提供的一切资料均真实无误、及</w:t>
      </w:r>
      <w:r>
        <w:rPr>
          <w:rFonts w:ascii="宋体" w:hAnsi="宋体" w:eastAsia="宋体" w:cs="宋体"/>
          <w:color w:val="auto"/>
          <w:spacing w:val="-6"/>
          <w:sz w:val="24"/>
          <w:szCs w:val="24"/>
          <w:highlight w:val="none"/>
        </w:rPr>
        <w:t>时、有效，企业运营正常。</w:t>
      </w:r>
      <w:r>
        <w:rPr>
          <w:rFonts w:ascii="宋体" w:hAnsi="宋体" w:eastAsia="宋体" w:cs="宋体"/>
          <w:color w:val="auto"/>
          <w:sz w:val="24"/>
          <w:szCs w:val="24"/>
          <w:highlight w:val="none"/>
        </w:rPr>
        <w:t xml:space="preserve"> 由于我方提供资料不实而造成的责任和后果由我方承担</w:t>
      </w:r>
      <w:r>
        <w:rPr>
          <w:rFonts w:ascii="宋体" w:hAnsi="宋体" w:eastAsia="宋体" w:cs="宋体"/>
          <w:color w:val="auto"/>
          <w:spacing w:val="-1"/>
          <w:sz w:val="24"/>
          <w:szCs w:val="24"/>
          <w:highlight w:val="none"/>
        </w:rPr>
        <w:t>。我方同意按照贵方提出的要</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求，提供与申请有关的任何证据、数据或资料。</w:t>
      </w:r>
    </w:p>
    <w:p w14:paraId="4CBD0558">
      <w:pPr>
        <w:keepNext w:val="0"/>
        <w:keepLines w:val="0"/>
        <w:pageBreakBefore w:val="0"/>
        <w:widowControl/>
        <w:kinsoku w:val="0"/>
        <w:wordWrap/>
        <w:overflowPunct/>
        <w:topLinePunct w:val="0"/>
        <w:autoSpaceDE w:val="0"/>
        <w:autoSpaceDN w:val="0"/>
        <w:bidi w:val="0"/>
        <w:adjustRightInd w:val="0"/>
        <w:snapToGrid w:val="0"/>
        <w:spacing w:before="36" w:line="500" w:lineRule="exact"/>
        <w:ind w:left="2" w:firstLine="479"/>
        <w:textAlignment w:val="baseline"/>
        <w:rPr>
          <w:rFonts w:ascii="宋体" w:hAnsi="宋体" w:eastAsia="宋体" w:cs="宋体"/>
          <w:color w:val="auto"/>
          <w:sz w:val="24"/>
          <w:szCs w:val="24"/>
          <w:highlight w:val="none"/>
        </w:rPr>
      </w:pPr>
      <w:r>
        <w:rPr>
          <w:rFonts w:ascii="宋体" w:hAnsi="宋体" w:eastAsia="宋体" w:cs="宋体"/>
          <w:color w:val="auto"/>
          <w:spacing w:val="-3"/>
          <w:sz w:val="22"/>
          <w:szCs w:val="22"/>
          <w:highlight w:val="none"/>
        </w:rPr>
        <w:t>6.</w:t>
      </w:r>
      <w:r>
        <w:rPr>
          <w:rFonts w:ascii="宋体" w:hAnsi="宋体" w:eastAsia="宋体" w:cs="宋体"/>
          <w:color w:val="auto"/>
          <w:spacing w:val="-3"/>
          <w:sz w:val="24"/>
          <w:szCs w:val="24"/>
          <w:highlight w:val="none"/>
        </w:rPr>
        <w:t>我方接受本征集项目的详细说明和要求规定的采</w:t>
      </w:r>
      <w:r>
        <w:rPr>
          <w:rFonts w:ascii="宋体" w:hAnsi="宋体" w:eastAsia="宋体" w:cs="宋体"/>
          <w:color w:val="auto"/>
          <w:spacing w:val="-4"/>
          <w:sz w:val="24"/>
          <w:szCs w:val="24"/>
          <w:highlight w:val="none"/>
        </w:rPr>
        <w:t>购需求、费用结算及支付方式、</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用户反馈和评价机制、入围供应商的清退机制等相关要求。</w:t>
      </w:r>
    </w:p>
    <w:p w14:paraId="719540F3">
      <w:pPr>
        <w:keepNext w:val="0"/>
        <w:keepLines w:val="0"/>
        <w:pageBreakBefore w:val="0"/>
        <w:widowControl/>
        <w:kinsoku w:val="0"/>
        <w:wordWrap/>
        <w:overflowPunct/>
        <w:topLinePunct w:val="0"/>
        <w:autoSpaceDE w:val="0"/>
        <w:autoSpaceDN w:val="0"/>
        <w:bidi w:val="0"/>
        <w:adjustRightInd w:val="0"/>
        <w:snapToGrid w:val="0"/>
        <w:spacing w:before="35" w:line="500" w:lineRule="exact"/>
        <w:ind w:left="2" w:right="3" w:firstLine="483"/>
        <w:textAlignment w:val="baseline"/>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7.我方愿意按照征集文件规定的各项要求，</w:t>
      </w:r>
      <w:r>
        <w:rPr>
          <w:rFonts w:ascii="宋体" w:hAnsi="宋体" w:eastAsia="宋体" w:cs="宋体"/>
          <w:color w:val="auto"/>
          <w:spacing w:val="-1"/>
          <w:sz w:val="24"/>
          <w:szCs w:val="24"/>
          <w:highlight w:val="none"/>
        </w:rPr>
        <w:t>向采购方提供所需的服务。</w:t>
      </w:r>
    </w:p>
    <w:p w14:paraId="05ED5225">
      <w:pPr>
        <w:keepNext w:val="0"/>
        <w:keepLines w:val="0"/>
        <w:pageBreakBefore w:val="0"/>
        <w:widowControl/>
        <w:kinsoku w:val="0"/>
        <w:wordWrap/>
        <w:overflowPunct/>
        <w:topLinePunct w:val="0"/>
        <w:autoSpaceDE w:val="0"/>
        <w:autoSpaceDN w:val="0"/>
        <w:bidi w:val="0"/>
        <w:adjustRightInd w:val="0"/>
        <w:snapToGrid w:val="0"/>
        <w:spacing w:before="70" w:line="400" w:lineRule="exact"/>
        <w:ind w:left="461"/>
        <w:textAlignment w:val="baseline"/>
        <w:rPr>
          <w:rFonts w:ascii="宋体" w:hAnsi="宋体" w:eastAsia="宋体" w:cs="宋体"/>
          <w:color w:val="auto"/>
          <w:sz w:val="24"/>
          <w:szCs w:val="24"/>
          <w:highlight w:val="none"/>
        </w:rPr>
      </w:pPr>
      <w:r>
        <w:rPr>
          <w:rFonts w:ascii="宋体" w:hAnsi="宋体" w:eastAsia="宋体" w:cs="宋体"/>
          <w:color w:val="auto"/>
          <w:spacing w:val="-1"/>
          <w:sz w:val="22"/>
          <w:szCs w:val="22"/>
          <w:highlight w:val="none"/>
        </w:rPr>
        <w:t>8.</w:t>
      </w:r>
      <w:r>
        <w:rPr>
          <w:rFonts w:ascii="宋体" w:hAnsi="宋体" w:eastAsia="宋体" w:cs="宋体"/>
          <w:color w:val="auto"/>
          <w:spacing w:val="-1"/>
          <w:sz w:val="24"/>
          <w:szCs w:val="24"/>
          <w:highlight w:val="none"/>
        </w:rPr>
        <w:t>我方承诺不会出现以下情形：</w:t>
      </w:r>
    </w:p>
    <w:p w14:paraId="08E34BF0">
      <w:pPr>
        <w:keepNext w:val="0"/>
        <w:keepLines w:val="0"/>
        <w:pageBreakBefore w:val="0"/>
        <w:widowControl/>
        <w:kinsoku w:val="0"/>
        <w:wordWrap/>
        <w:overflowPunct/>
        <w:topLinePunct w:val="0"/>
        <w:autoSpaceDE w:val="0"/>
        <w:autoSpaceDN w:val="0"/>
        <w:bidi w:val="0"/>
        <w:adjustRightInd w:val="0"/>
        <w:snapToGrid w:val="0"/>
        <w:spacing w:before="284" w:line="400" w:lineRule="exact"/>
        <w:ind w:left="484"/>
        <w:textAlignment w:val="baseline"/>
        <w:rPr>
          <w:rFonts w:ascii="宋体" w:hAnsi="宋体" w:eastAsia="宋体" w:cs="宋体"/>
          <w:color w:val="auto"/>
          <w:sz w:val="24"/>
          <w:szCs w:val="24"/>
          <w:highlight w:val="none"/>
        </w:rPr>
      </w:pPr>
      <w:r>
        <w:rPr>
          <w:rFonts w:ascii="宋体" w:hAnsi="宋体" w:eastAsia="宋体" w:cs="宋体"/>
          <w:color w:val="auto"/>
          <w:spacing w:val="-1"/>
          <w:sz w:val="22"/>
          <w:szCs w:val="22"/>
          <w:highlight w:val="none"/>
        </w:rPr>
        <w:t>（1）</w:t>
      </w:r>
      <w:r>
        <w:rPr>
          <w:rFonts w:ascii="宋体" w:hAnsi="宋体" w:eastAsia="宋体" w:cs="宋体"/>
          <w:color w:val="auto"/>
          <w:spacing w:val="-46"/>
          <w:sz w:val="22"/>
          <w:szCs w:val="22"/>
          <w:highlight w:val="none"/>
        </w:rPr>
        <w:t xml:space="preserve"> </w:t>
      </w:r>
      <w:r>
        <w:rPr>
          <w:rFonts w:ascii="宋体" w:hAnsi="宋体" w:eastAsia="宋体" w:cs="宋体"/>
          <w:color w:val="auto"/>
          <w:spacing w:val="-1"/>
          <w:sz w:val="24"/>
          <w:szCs w:val="24"/>
          <w:highlight w:val="none"/>
        </w:rPr>
        <w:t>未按照征集项目的详细说明和要求确定的事项进行履约；</w:t>
      </w:r>
    </w:p>
    <w:p w14:paraId="2492EB8A">
      <w:pPr>
        <w:keepNext w:val="0"/>
        <w:keepLines w:val="0"/>
        <w:pageBreakBefore w:val="0"/>
        <w:widowControl/>
        <w:kinsoku w:val="0"/>
        <w:wordWrap/>
        <w:overflowPunct/>
        <w:topLinePunct w:val="0"/>
        <w:autoSpaceDE w:val="0"/>
        <w:autoSpaceDN w:val="0"/>
        <w:bidi w:val="0"/>
        <w:adjustRightInd w:val="0"/>
        <w:snapToGrid w:val="0"/>
        <w:spacing w:before="280" w:line="400" w:lineRule="exact"/>
        <w:ind w:left="484"/>
        <w:textAlignment w:val="baseline"/>
        <w:rPr>
          <w:rFonts w:ascii="宋体" w:hAnsi="宋体" w:eastAsia="宋体" w:cs="宋体"/>
          <w:color w:val="auto"/>
          <w:sz w:val="24"/>
          <w:szCs w:val="24"/>
          <w:highlight w:val="none"/>
        </w:rPr>
      </w:pPr>
      <w:r>
        <w:rPr>
          <w:rFonts w:ascii="宋体" w:hAnsi="宋体" w:eastAsia="宋体" w:cs="宋体"/>
          <w:color w:val="auto"/>
          <w:spacing w:val="-2"/>
          <w:sz w:val="22"/>
          <w:szCs w:val="22"/>
          <w:highlight w:val="none"/>
        </w:rPr>
        <w:t>（2）</w:t>
      </w:r>
      <w:r>
        <w:rPr>
          <w:rFonts w:ascii="宋体" w:hAnsi="宋体" w:eastAsia="宋体" w:cs="宋体"/>
          <w:color w:val="auto"/>
          <w:spacing w:val="-48"/>
          <w:sz w:val="22"/>
          <w:szCs w:val="22"/>
          <w:highlight w:val="none"/>
        </w:rPr>
        <w:t xml:space="preserve"> </w:t>
      </w:r>
      <w:r>
        <w:rPr>
          <w:rFonts w:ascii="宋体" w:hAnsi="宋体" w:eastAsia="宋体" w:cs="宋体"/>
          <w:color w:val="auto"/>
          <w:spacing w:val="-2"/>
          <w:sz w:val="24"/>
          <w:szCs w:val="24"/>
          <w:highlight w:val="none"/>
        </w:rPr>
        <w:t>将政府采购合同转包；</w:t>
      </w:r>
    </w:p>
    <w:p w14:paraId="737D1F9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color w:val="auto"/>
          <w:sz w:val="24"/>
          <w:szCs w:val="24"/>
          <w:highlight w:val="none"/>
        </w:rPr>
        <w:sectPr>
          <w:footerReference r:id="rId34" w:type="default"/>
          <w:pgSz w:w="11911" w:h="16840"/>
          <w:pgMar w:top="1429" w:right="1763" w:bottom="862" w:left="1655" w:header="0" w:footer="680" w:gutter="0"/>
          <w:cols w:space="0" w:num="1"/>
          <w:rtlGutter w:val="0"/>
          <w:docGrid w:linePitch="0" w:charSpace="0"/>
        </w:sectPr>
      </w:pPr>
    </w:p>
    <w:p w14:paraId="7AE041F3">
      <w:pPr>
        <w:keepNext w:val="0"/>
        <w:keepLines w:val="0"/>
        <w:pageBreakBefore w:val="0"/>
        <w:widowControl/>
        <w:kinsoku w:val="0"/>
        <w:wordWrap/>
        <w:overflowPunct/>
        <w:topLinePunct w:val="0"/>
        <w:autoSpaceDE w:val="0"/>
        <w:autoSpaceDN w:val="0"/>
        <w:bidi w:val="0"/>
        <w:adjustRightInd w:val="0"/>
        <w:snapToGrid w:val="0"/>
        <w:spacing w:before="255" w:line="400" w:lineRule="exact"/>
        <w:ind w:left="170"/>
        <w:textAlignment w:val="baseline"/>
        <w:rPr>
          <w:rFonts w:ascii="宋体" w:hAnsi="宋体" w:eastAsia="宋体" w:cs="宋体"/>
          <w:color w:val="auto"/>
          <w:sz w:val="24"/>
          <w:szCs w:val="24"/>
          <w:highlight w:val="none"/>
        </w:rPr>
      </w:pPr>
      <w:r>
        <w:rPr>
          <w:rFonts w:ascii="宋体" w:hAnsi="宋体" w:eastAsia="宋体" w:cs="宋体"/>
          <w:color w:val="auto"/>
          <w:spacing w:val="-3"/>
          <w:sz w:val="22"/>
          <w:szCs w:val="22"/>
          <w:highlight w:val="none"/>
        </w:rPr>
        <w:t>（3）</w:t>
      </w:r>
      <w:r>
        <w:rPr>
          <w:rFonts w:ascii="宋体" w:hAnsi="宋体" w:eastAsia="宋体" w:cs="宋体"/>
          <w:color w:val="auto"/>
          <w:spacing w:val="-38"/>
          <w:sz w:val="22"/>
          <w:szCs w:val="22"/>
          <w:highlight w:val="none"/>
        </w:rPr>
        <w:t xml:space="preserve"> </w:t>
      </w:r>
      <w:r>
        <w:rPr>
          <w:rFonts w:ascii="宋体" w:hAnsi="宋体" w:eastAsia="宋体" w:cs="宋体"/>
          <w:color w:val="auto"/>
          <w:spacing w:val="-3"/>
          <w:sz w:val="24"/>
          <w:szCs w:val="24"/>
          <w:highlight w:val="none"/>
        </w:rPr>
        <w:t>提供假冒伪劣产品；</w:t>
      </w:r>
    </w:p>
    <w:p w14:paraId="7BF144D1">
      <w:pPr>
        <w:keepNext w:val="0"/>
        <w:keepLines w:val="0"/>
        <w:pageBreakBefore w:val="0"/>
        <w:widowControl/>
        <w:kinsoku w:val="0"/>
        <w:wordWrap/>
        <w:overflowPunct/>
        <w:topLinePunct w:val="0"/>
        <w:autoSpaceDE w:val="0"/>
        <w:autoSpaceDN w:val="0"/>
        <w:bidi w:val="0"/>
        <w:adjustRightInd w:val="0"/>
        <w:snapToGrid w:val="0"/>
        <w:spacing w:before="281" w:line="400" w:lineRule="exact"/>
        <w:ind w:left="170"/>
        <w:textAlignment w:val="baseline"/>
        <w:rPr>
          <w:rFonts w:ascii="宋体" w:hAnsi="宋体" w:eastAsia="宋体" w:cs="宋体"/>
          <w:color w:val="auto"/>
          <w:sz w:val="24"/>
          <w:szCs w:val="24"/>
          <w:highlight w:val="none"/>
        </w:rPr>
      </w:pPr>
      <w:r>
        <w:rPr>
          <w:rFonts w:ascii="宋体" w:hAnsi="宋体" w:eastAsia="宋体" w:cs="宋体"/>
          <w:color w:val="auto"/>
          <w:spacing w:val="-1"/>
          <w:sz w:val="22"/>
          <w:szCs w:val="22"/>
          <w:highlight w:val="none"/>
        </w:rPr>
        <w:t>（4）</w:t>
      </w:r>
      <w:r>
        <w:rPr>
          <w:rFonts w:ascii="宋体" w:hAnsi="宋体" w:eastAsia="宋体" w:cs="宋体"/>
          <w:color w:val="auto"/>
          <w:spacing w:val="-48"/>
          <w:sz w:val="22"/>
          <w:szCs w:val="22"/>
          <w:highlight w:val="none"/>
        </w:rPr>
        <w:t xml:space="preserve"> </w:t>
      </w:r>
      <w:r>
        <w:rPr>
          <w:rFonts w:ascii="宋体" w:hAnsi="宋体" w:eastAsia="宋体" w:cs="宋体"/>
          <w:color w:val="auto"/>
          <w:spacing w:val="-1"/>
          <w:sz w:val="24"/>
          <w:szCs w:val="24"/>
          <w:highlight w:val="none"/>
        </w:rPr>
        <w:t>擅自变更、中止或者终止框架协议和政府采购合同。</w:t>
      </w:r>
    </w:p>
    <w:p w14:paraId="7EDDF03A">
      <w:pPr>
        <w:pStyle w:val="6"/>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p w14:paraId="727D95D4">
      <w:pPr>
        <w:pStyle w:val="6"/>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p w14:paraId="487D7192">
      <w:pPr>
        <w:pStyle w:val="6"/>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p w14:paraId="1F613B9D">
      <w:pPr>
        <w:keepNext w:val="0"/>
        <w:keepLines w:val="0"/>
        <w:pageBreakBefore w:val="0"/>
        <w:widowControl/>
        <w:kinsoku w:val="0"/>
        <w:wordWrap/>
        <w:overflowPunct/>
        <w:topLinePunct w:val="0"/>
        <w:autoSpaceDE w:val="0"/>
        <w:autoSpaceDN w:val="0"/>
        <w:bidi w:val="0"/>
        <w:adjustRightInd w:val="0"/>
        <w:snapToGrid w:val="0"/>
        <w:spacing w:before="78" w:line="400" w:lineRule="exact"/>
        <w:ind w:left="166" w:firstLine="4012" w:firstLineChars="1700"/>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供应商名称（盖章</w:t>
      </w:r>
      <w:r>
        <w:rPr>
          <w:rFonts w:ascii="宋体" w:hAnsi="宋体" w:eastAsia="宋体" w:cs="宋体"/>
          <w:color w:val="auto"/>
          <w:spacing w:val="2"/>
          <w:sz w:val="24"/>
          <w:szCs w:val="24"/>
          <w:highlight w:val="none"/>
        </w:rPr>
        <w:t>）：</w:t>
      </w:r>
    </w:p>
    <w:p w14:paraId="5D1A0712">
      <w:pPr>
        <w:keepNext w:val="0"/>
        <w:keepLines w:val="0"/>
        <w:pageBreakBefore w:val="0"/>
        <w:widowControl/>
        <w:kinsoku w:val="0"/>
        <w:wordWrap/>
        <w:overflowPunct/>
        <w:topLinePunct w:val="0"/>
        <w:autoSpaceDE w:val="0"/>
        <w:autoSpaceDN w:val="0"/>
        <w:bidi w:val="0"/>
        <w:adjustRightInd w:val="0"/>
        <w:snapToGrid w:val="0"/>
        <w:spacing w:before="278" w:line="400" w:lineRule="exact"/>
        <w:ind w:left="208" w:firstLine="3774" w:firstLineChars="1700"/>
        <w:textAlignment w:val="baseline"/>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日</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期：202</w:t>
      </w:r>
      <w:r>
        <w:rPr>
          <w:rFonts w:hint="eastAsia" w:ascii="宋体" w:hAnsi="宋体" w:eastAsia="宋体" w:cs="宋体"/>
          <w:color w:val="auto"/>
          <w:spacing w:val="-9"/>
          <w:sz w:val="24"/>
          <w:szCs w:val="24"/>
          <w:highlight w:val="none"/>
          <w:lang w:val="en-US" w:eastAsia="zh-CN"/>
        </w:rPr>
        <w:t>5</w:t>
      </w:r>
      <w:r>
        <w:rPr>
          <w:rFonts w:ascii="宋体" w:hAnsi="宋体" w:eastAsia="宋体" w:cs="宋体"/>
          <w:color w:val="auto"/>
          <w:spacing w:val="-47"/>
          <w:sz w:val="24"/>
          <w:szCs w:val="24"/>
          <w:highlight w:val="none"/>
        </w:rPr>
        <w:t xml:space="preserve"> </w:t>
      </w:r>
      <w:r>
        <w:rPr>
          <w:rFonts w:ascii="宋体" w:hAnsi="宋体" w:eastAsia="宋体" w:cs="宋体"/>
          <w:color w:val="auto"/>
          <w:spacing w:val="-9"/>
          <w:sz w:val="24"/>
          <w:szCs w:val="24"/>
          <w:highlight w:val="none"/>
        </w:rPr>
        <w:t>年</w:t>
      </w:r>
      <w:r>
        <w:rPr>
          <w:rFonts w:ascii="宋体" w:hAnsi="宋体" w:eastAsia="宋体" w:cs="宋体"/>
          <w:color w:val="auto"/>
          <w:spacing w:val="7"/>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8"/>
          <w:sz w:val="24"/>
          <w:szCs w:val="24"/>
          <w:highlight w:val="none"/>
        </w:rPr>
        <w:t xml:space="preserve">   </w:t>
      </w:r>
      <w:r>
        <w:rPr>
          <w:rFonts w:ascii="宋体" w:hAnsi="宋体" w:eastAsia="宋体" w:cs="宋体"/>
          <w:color w:val="auto"/>
          <w:spacing w:val="-9"/>
          <w:sz w:val="24"/>
          <w:szCs w:val="24"/>
          <w:highlight w:val="none"/>
        </w:rPr>
        <w:t>日</w:t>
      </w:r>
    </w:p>
    <w:p w14:paraId="3E6D188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color w:val="auto"/>
          <w:sz w:val="24"/>
          <w:szCs w:val="24"/>
          <w:highlight w:val="none"/>
        </w:rPr>
        <w:sectPr>
          <w:footerReference r:id="rId35" w:type="default"/>
          <w:pgSz w:w="11911" w:h="16840"/>
          <w:pgMar w:top="1429" w:right="1763" w:bottom="862" w:left="1655" w:header="0" w:footer="680" w:gutter="0"/>
          <w:cols w:space="0" w:num="1"/>
          <w:rtlGutter w:val="0"/>
          <w:docGrid w:linePitch="0" w:charSpace="0"/>
        </w:sectPr>
      </w:pPr>
    </w:p>
    <w:p w14:paraId="4E46EBA7">
      <w:pPr>
        <w:pStyle w:val="6"/>
        <w:spacing w:line="314" w:lineRule="auto"/>
        <w:rPr>
          <w:color w:val="auto"/>
          <w:highlight w:val="none"/>
        </w:rPr>
      </w:pPr>
    </w:p>
    <w:p w14:paraId="1F65C852">
      <w:pPr>
        <w:spacing w:before="91" w:line="218" w:lineRule="auto"/>
        <w:ind w:left="3577"/>
        <w:outlineLvl w:val="1"/>
        <w:rPr>
          <w:rFonts w:hint="eastAsia" w:ascii="黑体" w:hAnsi="黑体" w:eastAsia="黑体" w:cs="黑体"/>
          <w:color w:val="auto"/>
          <w:spacing w:val="-2"/>
          <w:sz w:val="28"/>
          <w:szCs w:val="28"/>
          <w:highlight w:val="none"/>
          <w:lang w:val="en-US" w:eastAsia="zh-CN"/>
        </w:rPr>
      </w:pPr>
      <w:bookmarkStart w:id="57" w:name="bookmark37"/>
      <w:bookmarkEnd w:id="57"/>
      <w:bookmarkStart w:id="58" w:name="bookmark39"/>
      <w:bookmarkEnd w:id="58"/>
      <w:bookmarkStart w:id="59" w:name="bookmark36"/>
      <w:bookmarkEnd w:id="59"/>
      <w:r>
        <w:rPr>
          <w:rFonts w:ascii="黑体" w:hAnsi="黑体" w:eastAsia="黑体" w:cs="黑体"/>
          <w:color w:val="auto"/>
          <w:spacing w:val="-2"/>
          <w:sz w:val="28"/>
          <w:szCs w:val="28"/>
          <w:highlight w:val="none"/>
        </w:rPr>
        <w:t>五、</w:t>
      </w:r>
      <w:r>
        <w:rPr>
          <w:rFonts w:hint="eastAsia" w:ascii="黑体" w:hAnsi="黑体" w:eastAsia="黑体" w:cs="黑体"/>
          <w:color w:val="auto"/>
          <w:spacing w:val="-2"/>
          <w:sz w:val="28"/>
          <w:szCs w:val="28"/>
          <w:highlight w:val="none"/>
          <w:lang w:val="en-US" w:eastAsia="zh-CN"/>
        </w:rPr>
        <w:t>报价表</w:t>
      </w:r>
    </w:p>
    <w:p w14:paraId="6A68CA7E">
      <w:pPr>
        <w:pStyle w:val="2"/>
        <w:rPr>
          <w:rFonts w:hint="default"/>
          <w:highlight w:val="none"/>
          <w:lang w:val="en-US" w:eastAsia="zh-CN"/>
        </w:rPr>
      </w:pPr>
    </w:p>
    <w:tbl>
      <w:tblPr>
        <w:tblStyle w:val="10"/>
        <w:tblW w:w="9300"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7770"/>
      </w:tblGrid>
      <w:tr w14:paraId="3D28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30" w:type="dxa"/>
            <w:vAlign w:val="center"/>
          </w:tcPr>
          <w:p w14:paraId="36F94FCB">
            <w:pPr>
              <w:keepNext w:val="0"/>
              <w:keepLines w:val="0"/>
              <w:widowControl/>
              <w:suppressLineNumbers w:val="0"/>
              <w:jc w:val="center"/>
              <w:rPr>
                <w:rFonts w:hint="eastAsia" w:ascii="宋体" w:hAnsi="宋体" w:eastAsia="宋体" w:cs="宋体"/>
                <w:color w:val="auto"/>
                <w:spacing w:val="-2"/>
                <w:sz w:val="24"/>
                <w:szCs w:val="24"/>
                <w:highlight w:val="none"/>
                <w:vertAlign w:val="baseline"/>
                <w:lang w:val="en-US" w:eastAsia="zh-CN"/>
              </w:rPr>
            </w:pPr>
            <w:r>
              <w:rPr>
                <w:rFonts w:hint="eastAsia" w:ascii="宋体" w:hAnsi="宋体" w:eastAsia="宋体" w:cs="宋体"/>
                <w:b/>
                <w:bCs/>
                <w:snapToGrid w:val="0"/>
                <w:color w:val="000000"/>
                <w:kern w:val="0"/>
                <w:sz w:val="24"/>
                <w:szCs w:val="24"/>
                <w:highlight w:val="none"/>
                <w:lang w:val="en-US" w:eastAsia="zh-CN" w:bidi="ar"/>
              </w:rPr>
              <w:t>项目名称</w:t>
            </w:r>
          </w:p>
        </w:tc>
        <w:tc>
          <w:tcPr>
            <w:tcW w:w="7770" w:type="dxa"/>
            <w:vAlign w:val="center"/>
          </w:tcPr>
          <w:p w14:paraId="0685E7ED">
            <w:pPr>
              <w:widowControl w:val="0"/>
              <w:spacing w:before="91" w:line="218" w:lineRule="auto"/>
              <w:jc w:val="both"/>
              <w:outlineLvl w:val="1"/>
              <w:rPr>
                <w:rFonts w:hint="eastAsia" w:ascii="宋体" w:hAnsi="宋体" w:eastAsia="宋体" w:cs="宋体"/>
                <w:color w:val="auto"/>
                <w:spacing w:val="-2"/>
                <w:sz w:val="24"/>
                <w:szCs w:val="24"/>
                <w:highlight w:val="none"/>
                <w:vertAlign w:val="baseline"/>
                <w:lang w:val="en-US" w:eastAsia="zh-CN"/>
              </w:rPr>
            </w:pPr>
          </w:p>
        </w:tc>
      </w:tr>
      <w:tr w14:paraId="363F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30" w:type="dxa"/>
            <w:vAlign w:val="center"/>
          </w:tcPr>
          <w:p w14:paraId="766E3A92">
            <w:pPr>
              <w:keepNext w:val="0"/>
              <w:keepLines w:val="0"/>
              <w:widowControl/>
              <w:suppressLineNumbers w:val="0"/>
              <w:jc w:val="center"/>
              <w:rPr>
                <w:rFonts w:hint="eastAsia" w:ascii="宋体" w:hAnsi="宋体" w:eastAsia="宋体" w:cs="宋体"/>
                <w:color w:val="auto"/>
                <w:spacing w:val="-2"/>
                <w:sz w:val="24"/>
                <w:szCs w:val="24"/>
                <w:highlight w:val="none"/>
                <w:vertAlign w:val="baseline"/>
                <w:lang w:val="en-US" w:eastAsia="zh-CN"/>
              </w:rPr>
            </w:pPr>
            <w:r>
              <w:rPr>
                <w:rFonts w:hint="eastAsia" w:ascii="宋体" w:hAnsi="宋体" w:eastAsia="宋体" w:cs="宋体"/>
                <w:b/>
                <w:bCs/>
                <w:snapToGrid w:val="0"/>
                <w:color w:val="000000"/>
                <w:kern w:val="0"/>
                <w:sz w:val="24"/>
                <w:szCs w:val="24"/>
                <w:highlight w:val="none"/>
                <w:lang w:val="en-US" w:eastAsia="zh-CN" w:bidi="ar"/>
              </w:rPr>
              <w:t>项目编号</w:t>
            </w:r>
          </w:p>
        </w:tc>
        <w:tc>
          <w:tcPr>
            <w:tcW w:w="7770" w:type="dxa"/>
            <w:vAlign w:val="center"/>
          </w:tcPr>
          <w:p w14:paraId="40572D62">
            <w:pPr>
              <w:widowControl w:val="0"/>
              <w:spacing w:before="91" w:line="218" w:lineRule="auto"/>
              <w:jc w:val="both"/>
              <w:outlineLvl w:val="1"/>
              <w:rPr>
                <w:rFonts w:hint="eastAsia" w:ascii="宋体" w:hAnsi="宋体" w:eastAsia="宋体" w:cs="宋体"/>
                <w:color w:val="auto"/>
                <w:spacing w:val="-2"/>
                <w:sz w:val="24"/>
                <w:szCs w:val="24"/>
                <w:highlight w:val="none"/>
                <w:vertAlign w:val="baseline"/>
                <w:lang w:val="en-US" w:eastAsia="zh-CN"/>
              </w:rPr>
            </w:pPr>
          </w:p>
        </w:tc>
      </w:tr>
      <w:tr w14:paraId="4984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30" w:type="dxa"/>
            <w:vAlign w:val="center"/>
          </w:tcPr>
          <w:p w14:paraId="56C72AF7">
            <w:pPr>
              <w:keepNext w:val="0"/>
              <w:keepLines w:val="0"/>
              <w:widowControl/>
              <w:suppressLineNumbers w:val="0"/>
              <w:jc w:val="center"/>
              <w:rPr>
                <w:rFonts w:hint="eastAsia" w:ascii="宋体" w:hAnsi="宋体" w:eastAsia="宋体" w:cs="宋体"/>
                <w:color w:val="auto"/>
                <w:spacing w:val="-2"/>
                <w:sz w:val="24"/>
                <w:szCs w:val="24"/>
                <w:highlight w:val="none"/>
                <w:vertAlign w:val="baseline"/>
                <w:lang w:val="en-US" w:eastAsia="zh-CN"/>
              </w:rPr>
            </w:pPr>
            <w:r>
              <w:rPr>
                <w:rFonts w:hint="eastAsia" w:ascii="宋体" w:hAnsi="宋体" w:eastAsia="宋体" w:cs="宋体"/>
                <w:b/>
                <w:bCs/>
                <w:snapToGrid w:val="0"/>
                <w:color w:val="000000"/>
                <w:kern w:val="0"/>
                <w:sz w:val="24"/>
                <w:szCs w:val="24"/>
                <w:highlight w:val="none"/>
                <w:lang w:val="en-US" w:eastAsia="zh-CN" w:bidi="ar"/>
              </w:rPr>
              <w:t>投标供应商全称</w:t>
            </w:r>
          </w:p>
        </w:tc>
        <w:tc>
          <w:tcPr>
            <w:tcW w:w="7770" w:type="dxa"/>
            <w:vAlign w:val="center"/>
          </w:tcPr>
          <w:p w14:paraId="51CC9EF1">
            <w:pPr>
              <w:widowControl w:val="0"/>
              <w:spacing w:before="91" w:line="218" w:lineRule="auto"/>
              <w:jc w:val="both"/>
              <w:outlineLvl w:val="1"/>
              <w:rPr>
                <w:rFonts w:hint="eastAsia" w:ascii="宋体" w:hAnsi="宋体" w:eastAsia="宋体" w:cs="宋体"/>
                <w:color w:val="auto"/>
                <w:spacing w:val="-2"/>
                <w:sz w:val="24"/>
                <w:szCs w:val="24"/>
                <w:highlight w:val="none"/>
                <w:vertAlign w:val="baseline"/>
                <w:lang w:val="en-US" w:eastAsia="zh-CN"/>
              </w:rPr>
            </w:pPr>
          </w:p>
        </w:tc>
      </w:tr>
      <w:tr w14:paraId="7B1C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30" w:type="dxa"/>
            <w:vAlign w:val="center"/>
          </w:tcPr>
          <w:p w14:paraId="4EFFF3D5">
            <w:pPr>
              <w:keepNext w:val="0"/>
              <w:keepLines w:val="0"/>
              <w:widowControl/>
              <w:suppressLineNumbers w:val="0"/>
              <w:jc w:val="center"/>
              <w:rPr>
                <w:rFonts w:hint="eastAsia" w:ascii="宋体" w:hAnsi="宋体" w:eastAsia="宋体" w:cs="宋体"/>
                <w:color w:val="auto"/>
                <w:spacing w:val="-2"/>
                <w:sz w:val="24"/>
                <w:szCs w:val="24"/>
                <w:highlight w:val="none"/>
                <w:vertAlign w:val="baseline"/>
                <w:lang w:val="en-US" w:eastAsia="zh-CN"/>
              </w:rPr>
            </w:pPr>
            <w:r>
              <w:rPr>
                <w:rFonts w:hint="eastAsia" w:ascii="宋体" w:hAnsi="宋体" w:eastAsia="宋体" w:cs="宋体"/>
                <w:b/>
                <w:bCs/>
                <w:snapToGrid w:val="0"/>
                <w:color w:val="000000"/>
                <w:kern w:val="0"/>
                <w:sz w:val="24"/>
                <w:szCs w:val="24"/>
                <w:highlight w:val="none"/>
                <w:lang w:val="en-US" w:eastAsia="zh-CN" w:bidi="ar"/>
              </w:rPr>
              <w:t>投标范围</w:t>
            </w:r>
          </w:p>
        </w:tc>
        <w:tc>
          <w:tcPr>
            <w:tcW w:w="7770" w:type="dxa"/>
            <w:vAlign w:val="center"/>
          </w:tcPr>
          <w:p w14:paraId="5EBD5172">
            <w:pPr>
              <w:widowControl w:val="0"/>
              <w:spacing w:before="91" w:line="218" w:lineRule="auto"/>
              <w:jc w:val="both"/>
              <w:outlineLvl w:val="1"/>
              <w:rPr>
                <w:rFonts w:hint="eastAsia" w:ascii="宋体" w:hAnsi="宋体" w:eastAsia="宋体" w:cs="宋体"/>
                <w:color w:val="auto"/>
                <w:spacing w:val="-2"/>
                <w:sz w:val="24"/>
                <w:szCs w:val="24"/>
                <w:highlight w:val="none"/>
                <w:vertAlign w:val="baseline"/>
                <w:lang w:val="en-US" w:eastAsia="zh-CN"/>
              </w:rPr>
            </w:pPr>
          </w:p>
        </w:tc>
      </w:tr>
      <w:tr w14:paraId="65FF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30" w:type="dxa"/>
            <w:vMerge w:val="restart"/>
            <w:vAlign w:val="center"/>
          </w:tcPr>
          <w:p w14:paraId="18AE1AA3">
            <w:pPr>
              <w:keepNext w:val="0"/>
              <w:keepLines w:val="0"/>
              <w:widowControl/>
              <w:suppressLineNumbers w:val="0"/>
              <w:jc w:val="center"/>
              <w:rPr>
                <w:rFonts w:hint="eastAsia" w:ascii="宋体" w:hAnsi="宋体" w:eastAsia="宋体" w:cs="宋体"/>
                <w:color w:val="auto"/>
                <w:spacing w:val="-2"/>
                <w:sz w:val="24"/>
                <w:szCs w:val="24"/>
                <w:highlight w:val="none"/>
                <w:vertAlign w:val="baseline"/>
                <w:lang w:val="en-US" w:eastAsia="zh-CN"/>
              </w:rPr>
            </w:pPr>
            <w:r>
              <w:rPr>
                <w:rFonts w:hint="eastAsia" w:ascii="宋体" w:hAnsi="宋体" w:eastAsia="宋体" w:cs="宋体"/>
                <w:b/>
                <w:bCs/>
                <w:snapToGrid w:val="0"/>
                <w:color w:val="000000"/>
                <w:kern w:val="0"/>
                <w:sz w:val="24"/>
                <w:szCs w:val="24"/>
                <w:highlight w:val="none"/>
                <w:lang w:val="en-US" w:eastAsia="zh-CN" w:bidi="ar"/>
              </w:rPr>
              <w:t>投标报价</w:t>
            </w:r>
          </w:p>
        </w:tc>
        <w:tc>
          <w:tcPr>
            <w:tcW w:w="7770" w:type="dxa"/>
            <w:vAlign w:val="center"/>
          </w:tcPr>
          <w:p w14:paraId="2267A087">
            <w:pPr>
              <w:keepNext w:val="0"/>
              <w:keepLines w:val="0"/>
              <w:widowControl/>
              <w:suppressLineNumbers w:val="0"/>
              <w:jc w:val="both"/>
              <w:rPr>
                <w:rFonts w:hint="eastAsia" w:ascii="宋体" w:hAnsi="宋体" w:eastAsia="宋体" w:cs="宋体"/>
                <w:color w:val="auto"/>
                <w:spacing w:val="-2"/>
                <w:sz w:val="24"/>
                <w:szCs w:val="24"/>
                <w:highlight w:val="none"/>
                <w:vertAlign w:val="baseline"/>
                <w:lang w:val="en-US" w:eastAsia="zh-CN"/>
              </w:rPr>
            </w:pPr>
            <w:r>
              <w:rPr>
                <w:rFonts w:hint="eastAsia" w:ascii="宋体" w:hAnsi="宋体" w:eastAsia="宋体" w:cs="宋体"/>
                <w:b/>
                <w:bCs/>
                <w:snapToGrid w:val="0"/>
                <w:color w:val="000000"/>
                <w:kern w:val="0"/>
                <w:sz w:val="24"/>
                <w:szCs w:val="24"/>
                <w:highlight w:val="none"/>
                <w:lang w:val="en-US" w:eastAsia="zh-CN" w:bidi="ar"/>
              </w:rPr>
              <w:t>工时费优惠率：</w:t>
            </w:r>
          </w:p>
        </w:tc>
      </w:tr>
      <w:tr w14:paraId="30BC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30" w:type="dxa"/>
            <w:vMerge w:val="continue"/>
            <w:vAlign w:val="center"/>
          </w:tcPr>
          <w:p w14:paraId="4DF54C11">
            <w:pPr>
              <w:widowControl w:val="0"/>
              <w:spacing w:before="91" w:line="218" w:lineRule="auto"/>
              <w:jc w:val="both"/>
              <w:outlineLvl w:val="1"/>
              <w:rPr>
                <w:rFonts w:hint="eastAsia" w:ascii="宋体" w:hAnsi="宋体" w:eastAsia="宋体" w:cs="宋体"/>
                <w:color w:val="auto"/>
                <w:spacing w:val="-2"/>
                <w:sz w:val="24"/>
                <w:szCs w:val="24"/>
                <w:highlight w:val="none"/>
                <w:vertAlign w:val="baseline"/>
                <w:lang w:val="en-US" w:eastAsia="zh-CN"/>
              </w:rPr>
            </w:pPr>
          </w:p>
        </w:tc>
        <w:tc>
          <w:tcPr>
            <w:tcW w:w="7770" w:type="dxa"/>
            <w:vAlign w:val="center"/>
          </w:tcPr>
          <w:p w14:paraId="3F402668">
            <w:pPr>
              <w:keepNext w:val="0"/>
              <w:keepLines w:val="0"/>
              <w:widowControl/>
              <w:suppressLineNumbers w:val="0"/>
              <w:jc w:val="both"/>
              <w:rPr>
                <w:rFonts w:hint="eastAsia" w:ascii="宋体" w:hAnsi="宋体" w:eastAsia="宋体" w:cs="宋体"/>
                <w:color w:val="auto"/>
                <w:spacing w:val="-2"/>
                <w:sz w:val="24"/>
                <w:szCs w:val="24"/>
                <w:highlight w:val="none"/>
                <w:vertAlign w:val="baseline"/>
                <w:lang w:val="en-US" w:eastAsia="zh-CN"/>
              </w:rPr>
            </w:pPr>
            <w:r>
              <w:rPr>
                <w:rFonts w:hint="eastAsia" w:ascii="宋体" w:hAnsi="宋体" w:eastAsia="宋体" w:cs="宋体"/>
                <w:b/>
                <w:bCs/>
                <w:snapToGrid w:val="0"/>
                <w:color w:val="000000"/>
                <w:kern w:val="0"/>
                <w:sz w:val="24"/>
                <w:szCs w:val="24"/>
                <w:highlight w:val="none"/>
                <w:lang w:val="en-US" w:eastAsia="zh-CN" w:bidi="ar"/>
              </w:rPr>
              <w:t>材料管理费率：</w:t>
            </w:r>
          </w:p>
        </w:tc>
      </w:tr>
      <w:tr w14:paraId="7A46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30" w:type="dxa"/>
            <w:vMerge w:val="continue"/>
            <w:vAlign w:val="center"/>
          </w:tcPr>
          <w:p w14:paraId="6251346A">
            <w:pPr>
              <w:widowControl w:val="0"/>
              <w:spacing w:before="91" w:line="218" w:lineRule="auto"/>
              <w:jc w:val="both"/>
              <w:outlineLvl w:val="1"/>
              <w:rPr>
                <w:rFonts w:hint="eastAsia" w:ascii="宋体" w:hAnsi="宋体" w:eastAsia="宋体" w:cs="宋体"/>
                <w:color w:val="auto"/>
                <w:spacing w:val="-2"/>
                <w:sz w:val="24"/>
                <w:szCs w:val="24"/>
                <w:highlight w:val="none"/>
                <w:vertAlign w:val="baseline"/>
                <w:lang w:val="en-US" w:eastAsia="zh-CN"/>
              </w:rPr>
            </w:pPr>
          </w:p>
        </w:tc>
        <w:tc>
          <w:tcPr>
            <w:tcW w:w="7770" w:type="dxa"/>
            <w:vAlign w:val="center"/>
          </w:tcPr>
          <w:p w14:paraId="587768EB">
            <w:pPr>
              <w:keepNext w:val="0"/>
              <w:keepLines w:val="0"/>
              <w:widowControl/>
              <w:suppressLineNumbers w:val="0"/>
              <w:jc w:val="both"/>
              <w:rPr>
                <w:rFonts w:hint="eastAsia" w:ascii="宋体" w:hAnsi="宋体" w:eastAsia="宋体" w:cs="宋体"/>
                <w:sz w:val="24"/>
                <w:szCs w:val="24"/>
                <w:highlight w:val="none"/>
              </w:rPr>
            </w:pPr>
            <w:r>
              <w:rPr>
                <w:rFonts w:hint="eastAsia" w:ascii="宋体" w:hAnsi="宋体" w:eastAsia="宋体" w:cs="宋体"/>
                <w:b/>
                <w:bCs/>
                <w:snapToGrid w:val="0"/>
                <w:color w:val="000000"/>
                <w:kern w:val="0"/>
                <w:sz w:val="24"/>
                <w:szCs w:val="24"/>
                <w:highlight w:val="none"/>
                <w:lang w:val="en-US" w:eastAsia="zh-CN" w:bidi="ar"/>
              </w:rPr>
              <w:t xml:space="preserve">部分维修项目综合报价总价； </w:t>
            </w:r>
          </w:p>
          <w:p w14:paraId="6D146758">
            <w:pPr>
              <w:keepNext w:val="0"/>
              <w:keepLines w:val="0"/>
              <w:widowControl/>
              <w:suppressLineNumbers w:val="0"/>
              <w:jc w:val="both"/>
              <w:rPr>
                <w:rFonts w:hint="eastAsia" w:ascii="宋体" w:hAnsi="宋体" w:eastAsia="宋体" w:cs="宋体"/>
                <w:color w:val="auto"/>
                <w:spacing w:val="-2"/>
                <w:sz w:val="24"/>
                <w:szCs w:val="24"/>
                <w:highlight w:val="none"/>
                <w:vertAlign w:val="baseline"/>
                <w:lang w:val="en-US" w:eastAsia="zh-CN"/>
              </w:rPr>
            </w:pPr>
            <w:r>
              <w:rPr>
                <w:rFonts w:hint="eastAsia" w:ascii="宋体" w:hAnsi="宋体" w:eastAsia="宋体" w:cs="宋体"/>
                <w:snapToGrid w:val="0"/>
                <w:color w:val="000000"/>
                <w:kern w:val="0"/>
                <w:sz w:val="24"/>
                <w:szCs w:val="24"/>
                <w:highlight w:val="none"/>
                <w:lang w:val="en-US" w:eastAsia="zh-CN" w:bidi="ar"/>
              </w:rPr>
              <w:t>人民币： （精确到小数点后两位）</w:t>
            </w:r>
          </w:p>
        </w:tc>
      </w:tr>
      <w:tr w14:paraId="66C9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30" w:type="dxa"/>
            <w:vMerge w:val="continue"/>
            <w:vAlign w:val="center"/>
          </w:tcPr>
          <w:p w14:paraId="7002B6C1">
            <w:pPr>
              <w:widowControl w:val="0"/>
              <w:spacing w:before="91" w:line="218" w:lineRule="auto"/>
              <w:jc w:val="both"/>
              <w:outlineLvl w:val="1"/>
              <w:rPr>
                <w:rFonts w:hint="eastAsia" w:ascii="宋体" w:hAnsi="宋体" w:eastAsia="宋体" w:cs="宋体"/>
                <w:color w:val="auto"/>
                <w:spacing w:val="-2"/>
                <w:sz w:val="24"/>
                <w:szCs w:val="24"/>
                <w:highlight w:val="none"/>
                <w:vertAlign w:val="baseline"/>
                <w:lang w:val="en-US" w:eastAsia="zh-CN"/>
              </w:rPr>
            </w:pPr>
          </w:p>
        </w:tc>
        <w:tc>
          <w:tcPr>
            <w:tcW w:w="7770" w:type="dxa"/>
            <w:vAlign w:val="center"/>
          </w:tcPr>
          <w:p w14:paraId="46F675BE">
            <w:pPr>
              <w:keepNext w:val="0"/>
              <w:keepLines w:val="0"/>
              <w:widowControl/>
              <w:suppressLineNumbers w:val="0"/>
              <w:jc w:val="both"/>
              <w:rPr>
                <w:rFonts w:hint="eastAsia" w:ascii="宋体" w:hAnsi="宋体" w:eastAsia="宋体" w:cs="宋体"/>
                <w:color w:val="auto"/>
                <w:spacing w:val="-2"/>
                <w:sz w:val="24"/>
                <w:szCs w:val="24"/>
                <w:highlight w:val="none"/>
                <w:vertAlign w:val="baseline"/>
                <w:lang w:val="en-US" w:eastAsia="zh-CN"/>
              </w:rPr>
            </w:pPr>
            <w:r>
              <w:rPr>
                <w:rFonts w:hint="eastAsia" w:ascii="宋体" w:hAnsi="宋体" w:eastAsia="宋体" w:cs="宋体"/>
                <w:b/>
                <w:bCs/>
                <w:snapToGrid w:val="0"/>
                <w:color w:val="000000"/>
                <w:kern w:val="0"/>
                <w:sz w:val="24"/>
                <w:szCs w:val="24"/>
                <w:highlight w:val="none"/>
                <w:lang w:val="en-US" w:eastAsia="zh-CN" w:bidi="ar"/>
              </w:rPr>
              <w:t>部分轮胎综合报价总价；</w:t>
            </w:r>
          </w:p>
        </w:tc>
      </w:tr>
      <w:tr w14:paraId="2A66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69BAA7FD">
            <w:pPr>
              <w:widowControl w:val="0"/>
              <w:spacing w:before="91" w:line="218" w:lineRule="auto"/>
              <w:jc w:val="both"/>
              <w:outlineLvl w:val="1"/>
              <w:rPr>
                <w:rFonts w:hint="eastAsia" w:ascii="宋体" w:hAnsi="宋体" w:eastAsia="宋体" w:cs="宋体"/>
                <w:color w:val="auto"/>
                <w:spacing w:val="-2"/>
                <w:sz w:val="24"/>
                <w:szCs w:val="24"/>
                <w:highlight w:val="none"/>
                <w:vertAlign w:val="baseline"/>
                <w:lang w:val="en-US" w:eastAsia="zh-CN"/>
              </w:rPr>
            </w:pPr>
          </w:p>
        </w:tc>
        <w:tc>
          <w:tcPr>
            <w:tcW w:w="7770" w:type="dxa"/>
            <w:vAlign w:val="center"/>
          </w:tcPr>
          <w:p w14:paraId="19E4BF81">
            <w:pPr>
              <w:keepNext w:val="0"/>
              <w:keepLines w:val="0"/>
              <w:widowControl/>
              <w:suppressLineNumbers w:val="0"/>
              <w:jc w:val="both"/>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1、对工时费以优惠率报价。例如：工时定额X工时单价按基准收费为100，投标人拟收80，则工时费优惠率为80%；工时定额X工时单价按基准收费为100，投标人拟收60，则工时费优惠率为60%。</w:t>
            </w:r>
          </w:p>
          <w:p w14:paraId="3856D77F">
            <w:pPr>
              <w:keepNext w:val="0"/>
              <w:keepLines w:val="0"/>
              <w:widowControl/>
              <w:suppressLineNumbers w:val="0"/>
              <w:jc w:val="both"/>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2、工时费优惠率投标报价上限为90%(含)，超过90%视为无效投标。</w:t>
            </w:r>
          </w:p>
          <w:p w14:paraId="7108D9F7">
            <w:pPr>
              <w:keepNext w:val="0"/>
              <w:keepLines w:val="0"/>
              <w:widowControl/>
              <w:suppressLineNumbers w:val="0"/>
              <w:jc w:val="both"/>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3、材料管理费率是指维修企业向市场采购车辆维修所需配件、材料(含辅助材料)而发生的运杂费、保管费、税收和合理利润等的加成率，即：材料费=材料进货价×(1+材料管理费率)。</w:t>
            </w:r>
          </w:p>
          <w:p w14:paraId="34C186AB">
            <w:pPr>
              <w:keepNext w:val="0"/>
              <w:keepLines w:val="0"/>
              <w:widowControl/>
              <w:suppressLineNumbers w:val="0"/>
              <w:jc w:val="both"/>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4、材料管理费率投标报价上限为15%(含)，超过15%视为无效投标。</w:t>
            </w:r>
          </w:p>
          <w:p w14:paraId="086B3095">
            <w:pPr>
              <w:keepNext w:val="0"/>
              <w:keepLines w:val="0"/>
              <w:widowControl/>
              <w:suppressLineNumbers w:val="0"/>
              <w:jc w:val="both"/>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5、投标人按采购人列举的维修项目和轮胎的综合单价和总价，综合单价含材料费、工时费、管理费、税金等所有费用。</w:t>
            </w:r>
          </w:p>
          <w:p w14:paraId="117C6C0E">
            <w:pPr>
              <w:keepNext w:val="0"/>
              <w:keepLines w:val="0"/>
              <w:widowControl/>
              <w:suppressLineNumbers w:val="0"/>
              <w:jc w:val="both"/>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6、投标人按采购人列举的轮胎品牌及规格型号报出各品牌轮胎及规格型号的综合单价和总价，综合单价含材料费、工时费、管理费、税金等所有费用。</w:t>
            </w:r>
          </w:p>
          <w:p w14:paraId="31DC4855">
            <w:pPr>
              <w:widowControl w:val="0"/>
              <w:spacing w:before="91" w:line="218" w:lineRule="auto"/>
              <w:jc w:val="both"/>
              <w:outlineLvl w:val="1"/>
              <w:rPr>
                <w:rFonts w:hint="eastAsia" w:ascii="宋体" w:hAnsi="宋体" w:eastAsia="宋体" w:cs="宋体"/>
                <w:color w:val="auto"/>
                <w:spacing w:val="-2"/>
                <w:sz w:val="24"/>
                <w:szCs w:val="24"/>
                <w:highlight w:val="none"/>
                <w:vertAlign w:val="baseline"/>
                <w:lang w:val="en-US" w:eastAsia="zh-CN"/>
              </w:rPr>
            </w:pPr>
          </w:p>
        </w:tc>
      </w:tr>
    </w:tbl>
    <w:p w14:paraId="56D1AD7E">
      <w:pPr>
        <w:spacing w:before="78" w:line="356" w:lineRule="auto"/>
        <w:ind w:left="5081" w:right="2078" w:hanging="38"/>
        <w:rPr>
          <w:rFonts w:ascii="宋体" w:hAnsi="宋体" w:eastAsia="宋体" w:cs="宋体"/>
          <w:color w:val="auto"/>
          <w:sz w:val="24"/>
          <w:szCs w:val="24"/>
          <w:highlight w:val="none"/>
        </w:rPr>
      </w:pPr>
      <w:r>
        <w:rPr>
          <w:rFonts w:ascii="宋体" w:hAnsi="宋体" w:eastAsia="宋体" w:cs="宋体"/>
          <w:b/>
          <w:bCs/>
          <w:color w:val="auto"/>
          <w:spacing w:val="-9"/>
          <w:sz w:val="24"/>
          <w:szCs w:val="24"/>
          <w:highlight w:val="none"/>
        </w:rPr>
        <w:t>投标供应商电子签章：</w:t>
      </w:r>
      <w:r>
        <w:rPr>
          <w:rFonts w:ascii="宋体" w:hAnsi="宋体" w:eastAsia="宋体" w:cs="宋体"/>
          <w:color w:val="auto"/>
          <w:sz w:val="24"/>
          <w:szCs w:val="24"/>
          <w:highlight w:val="none"/>
        </w:rPr>
        <w:t xml:space="preserve"> </w:t>
      </w:r>
      <w:r>
        <w:rPr>
          <w:rFonts w:ascii="宋体" w:hAnsi="宋体" w:eastAsia="宋体" w:cs="宋体"/>
          <w:b/>
          <w:bCs/>
          <w:color w:val="auto"/>
          <w:spacing w:val="-24"/>
          <w:sz w:val="24"/>
          <w:szCs w:val="24"/>
          <w:highlight w:val="none"/>
        </w:rPr>
        <w:t>日</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24"/>
          <w:sz w:val="24"/>
          <w:szCs w:val="24"/>
          <w:highlight w:val="none"/>
        </w:rPr>
        <w:t>期：</w:t>
      </w:r>
    </w:p>
    <w:p w14:paraId="646429DB">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bidi="ar"/>
        </w:rPr>
        <w:t>注：</w:t>
      </w:r>
      <w:r>
        <w:rPr>
          <w:rFonts w:hint="eastAsia" w:ascii="宋体" w:hAnsi="宋体" w:eastAsia="宋体" w:cs="宋体"/>
          <w:color w:val="auto"/>
          <w:sz w:val="24"/>
          <w:szCs w:val="24"/>
          <w:highlight w:val="none"/>
          <w:lang w:val="en-US" w:eastAsia="zh-CN"/>
        </w:rPr>
        <w:t>因在徽采云电子投标响应系统中无法分项填写下列报价（费率），因此响应供应商在系统中填写的相关报价（费率）不作为商务评审的审查依据，审查依据以各供应商在响应文件中的报价表为准。</w:t>
      </w:r>
    </w:p>
    <w:p w14:paraId="235C933F">
      <w:pPr>
        <w:keepNext w:val="0"/>
        <w:keepLines w:val="0"/>
        <w:widowControl/>
        <w:suppressLineNumbers w:val="0"/>
        <w:jc w:val="both"/>
        <w:rPr>
          <w:rFonts w:hint="eastAsia" w:ascii="宋体" w:hAnsi="宋体" w:eastAsia="宋体" w:cs="宋体"/>
          <w:snapToGrid w:val="0"/>
          <w:color w:val="000000"/>
          <w:kern w:val="0"/>
          <w:sz w:val="24"/>
          <w:szCs w:val="24"/>
          <w:highlight w:val="none"/>
          <w:lang w:val="en-US" w:eastAsia="zh-CN" w:bidi="ar"/>
        </w:rPr>
      </w:pPr>
    </w:p>
    <w:p w14:paraId="49A57BA8">
      <w:pPr>
        <w:rPr>
          <w:rFonts w:hint="eastAsia" w:ascii="黑体" w:hAnsi="黑体" w:eastAsia="黑体" w:cs="黑体"/>
          <w:color w:val="auto"/>
          <w:spacing w:val="-2"/>
          <w:sz w:val="28"/>
          <w:szCs w:val="28"/>
          <w:highlight w:val="none"/>
          <w:lang w:val="en-US" w:eastAsia="zh-CN"/>
        </w:rPr>
      </w:pPr>
      <w:r>
        <w:rPr>
          <w:rFonts w:hint="eastAsia" w:ascii="黑体" w:hAnsi="黑体" w:eastAsia="黑体" w:cs="黑体"/>
          <w:color w:val="auto"/>
          <w:spacing w:val="-2"/>
          <w:sz w:val="28"/>
          <w:szCs w:val="28"/>
          <w:highlight w:val="none"/>
          <w:lang w:val="en-US" w:eastAsia="zh-CN"/>
        </w:rPr>
        <w:br w:type="page"/>
      </w:r>
    </w:p>
    <w:p w14:paraId="4CD5AA05">
      <w:pPr>
        <w:spacing w:before="91" w:line="218" w:lineRule="auto"/>
        <w:ind w:left="3577"/>
        <w:outlineLvl w:val="1"/>
        <w:rPr>
          <w:rFonts w:hint="eastAsia" w:ascii="黑体" w:hAnsi="黑体" w:eastAsia="黑体" w:cs="黑体"/>
          <w:color w:val="auto"/>
          <w:spacing w:val="-2"/>
          <w:sz w:val="28"/>
          <w:szCs w:val="28"/>
          <w:highlight w:val="none"/>
          <w:lang w:val="en-US" w:eastAsia="zh-CN"/>
        </w:rPr>
      </w:pPr>
      <w:r>
        <w:rPr>
          <w:rFonts w:hint="eastAsia" w:ascii="黑体" w:hAnsi="黑体" w:eastAsia="黑体" w:cs="黑体"/>
          <w:color w:val="auto"/>
          <w:spacing w:val="-2"/>
          <w:sz w:val="28"/>
          <w:szCs w:val="28"/>
          <w:highlight w:val="none"/>
          <w:lang w:val="en-US" w:eastAsia="zh-CN"/>
        </w:rPr>
        <w:t>六、服务团队清单</w:t>
      </w:r>
    </w:p>
    <w:tbl>
      <w:tblPr>
        <w:tblStyle w:val="10"/>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04"/>
        <w:gridCol w:w="804"/>
        <w:gridCol w:w="555"/>
        <w:gridCol w:w="1065"/>
        <w:gridCol w:w="960"/>
        <w:gridCol w:w="4332"/>
      </w:tblGrid>
      <w:tr w14:paraId="523E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6EE9E471">
            <w:pPr>
              <w:pStyle w:val="2"/>
              <w:widowControl w:val="0"/>
              <w:ind w:left="0" w:leftChars="0" w:firstLine="0" w:firstLineChars="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岗位</w:t>
            </w:r>
          </w:p>
        </w:tc>
        <w:tc>
          <w:tcPr>
            <w:tcW w:w="804" w:type="dxa"/>
            <w:vAlign w:val="center"/>
          </w:tcPr>
          <w:p w14:paraId="216C01E4">
            <w:pPr>
              <w:pStyle w:val="2"/>
              <w:widowControl w:val="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姓名</w:t>
            </w:r>
          </w:p>
        </w:tc>
        <w:tc>
          <w:tcPr>
            <w:tcW w:w="804" w:type="dxa"/>
            <w:vAlign w:val="center"/>
          </w:tcPr>
          <w:p w14:paraId="6328D2AC">
            <w:pPr>
              <w:pStyle w:val="2"/>
              <w:widowControl w:val="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身份证号码</w:t>
            </w:r>
          </w:p>
        </w:tc>
        <w:tc>
          <w:tcPr>
            <w:tcW w:w="555" w:type="dxa"/>
            <w:vAlign w:val="center"/>
          </w:tcPr>
          <w:p w14:paraId="51801593">
            <w:pPr>
              <w:pStyle w:val="2"/>
              <w:widowControl w:val="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学历</w:t>
            </w:r>
          </w:p>
        </w:tc>
        <w:tc>
          <w:tcPr>
            <w:tcW w:w="1065" w:type="dxa"/>
            <w:vAlign w:val="center"/>
          </w:tcPr>
          <w:p w14:paraId="761B6C8E">
            <w:pPr>
              <w:pStyle w:val="2"/>
              <w:widowControl w:val="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职称或职业资格证书</w:t>
            </w:r>
          </w:p>
        </w:tc>
        <w:tc>
          <w:tcPr>
            <w:tcW w:w="960" w:type="dxa"/>
            <w:vAlign w:val="center"/>
          </w:tcPr>
          <w:p w14:paraId="6D4AF0A2">
            <w:pPr>
              <w:pStyle w:val="2"/>
              <w:widowControl w:val="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驾驶证</w:t>
            </w:r>
          </w:p>
        </w:tc>
        <w:tc>
          <w:tcPr>
            <w:tcW w:w="4332" w:type="dxa"/>
            <w:vAlign w:val="center"/>
          </w:tcPr>
          <w:p w14:paraId="57AD64A0">
            <w:pPr>
              <w:pStyle w:val="2"/>
              <w:widowControl w:val="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服务（团队）人员要求</w:t>
            </w:r>
          </w:p>
        </w:tc>
      </w:tr>
      <w:tr w14:paraId="0F06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AB55EC1">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管理人员</w:t>
            </w:r>
          </w:p>
        </w:tc>
        <w:tc>
          <w:tcPr>
            <w:tcW w:w="804" w:type="dxa"/>
            <w:vAlign w:val="center"/>
          </w:tcPr>
          <w:p w14:paraId="4B3E3805">
            <w:pPr>
              <w:pStyle w:val="2"/>
              <w:widowControl w:val="0"/>
              <w:jc w:val="both"/>
              <w:rPr>
                <w:rFonts w:hint="eastAsia" w:ascii="宋体" w:hAnsi="宋体" w:eastAsia="宋体" w:cs="宋体"/>
                <w:sz w:val="24"/>
                <w:szCs w:val="24"/>
                <w:highlight w:val="none"/>
                <w:vertAlign w:val="baseline"/>
                <w:lang w:val="en-US" w:eastAsia="zh-CN"/>
              </w:rPr>
            </w:pPr>
          </w:p>
        </w:tc>
        <w:tc>
          <w:tcPr>
            <w:tcW w:w="804" w:type="dxa"/>
            <w:vAlign w:val="center"/>
          </w:tcPr>
          <w:p w14:paraId="3D43C51F">
            <w:pPr>
              <w:pStyle w:val="2"/>
              <w:widowControl w:val="0"/>
              <w:jc w:val="both"/>
              <w:rPr>
                <w:rFonts w:hint="eastAsia" w:ascii="宋体" w:hAnsi="宋体" w:eastAsia="宋体" w:cs="宋体"/>
                <w:sz w:val="24"/>
                <w:szCs w:val="24"/>
                <w:highlight w:val="none"/>
                <w:vertAlign w:val="baseline"/>
                <w:lang w:val="en-US" w:eastAsia="zh-CN"/>
              </w:rPr>
            </w:pPr>
          </w:p>
        </w:tc>
        <w:tc>
          <w:tcPr>
            <w:tcW w:w="555" w:type="dxa"/>
            <w:vAlign w:val="center"/>
          </w:tcPr>
          <w:p w14:paraId="76D57DEE">
            <w:pPr>
              <w:pStyle w:val="2"/>
              <w:widowControl w:val="0"/>
              <w:jc w:val="both"/>
              <w:rPr>
                <w:rFonts w:hint="eastAsia" w:ascii="宋体" w:hAnsi="宋体" w:eastAsia="宋体" w:cs="宋体"/>
                <w:sz w:val="24"/>
                <w:szCs w:val="24"/>
                <w:highlight w:val="none"/>
                <w:vertAlign w:val="baseline"/>
                <w:lang w:val="en-US" w:eastAsia="zh-CN"/>
              </w:rPr>
            </w:pPr>
          </w:p>
        </w:tc>
        <w:tc>
          <w:tcPr>
            <w:tcW w:w="1065" w:type="dxa"/>
            <w:vAlign w:val="center"/>
          </w:tcPr>
          <w:p w14:paraId="01D63E95">
            <w:pPr>
              <w:pStyle w:val="2"/>
              <w:widowControl w:val="0"/>
              <w:jc w:val="both"/>
              <w:rPr>
                <w:rFonts w:hint="eastAsia" w:ascii="宋体" w:hAnsi="宋体" w:eastAsia="宋体" w:cs="宋体"/>
                <w:sz w:val="24"/>
                <w:szCs w:val="24"/>
                <w:highlight w:val="none"/>
                <w:vertAlign w:val="baseline"/>
                <w:lang w:val="en-US" w:eastAsia="zh-CN"/>
              </w:rPr>
            </w:pPr>
          </w:p>
        </w:tc>
        <w:tc>
          <w:tcPr>
            <w:tcW w:w="960" w:type="dxa"/>
            <w:vAlign w:val="center"/>
          </w:tcPr>
          <w:p w14:paraId="4F6BF55E">
            <w:pPr>
              <w:pStyle w:val="2"/>
              <w:widowControl w:val="0"/>
              <w:jc w:val="both"/>
              <w:rPr>
                <w:rFonts w:hint="eastAsia" w:ascii="宋体" w:hAnsi="宋体" w:eastAsia="宋体" w:cs="宋体"/>
                <w:sz w:val="24"/>
                <w:szCs w:val="24"/>
                <w:highlight w:val="none"/>
                <w:vertAlign w:val="baseline"/>
                <w:lang w:val="en-US" w:eastAsia="zh-CN"/>
              </w:rPr>
            </w:pPr>
          </w:p>
        </w:tc>
        <w:tc>
          <w:tcPr>
            <w:tcW w:w="4332" w:type="dxa"/>
            <w:vAlign w:val="center"/>
          </w:tcPr>
          <w:p w14:paraId="28BF1298">
            <w:pPr>
              <w:pStyle w:val="2"/>
              <w:widowControl w:val="0"/>
              <w:jc w:val="both"/>
              <w:rPr>
                <w:rFonts w:hint="eastAsia" w:ascii="宋体" w:hAnsi="宋体" w:eastAsia="宋体" w:cs="宋体"/>
                <w:sz w:val="24"/>
                <w:szCs w:val="24"/>
                <w:highlight w:val="none"/>
                <w:vertAlign w:val="baseline"/>
                <w:lang w:val="en-US" w:eastAsia="zh-CN"/>
              </w:rPr>
            </w:pPr>
          </w:p>
        </w:tc>
      </w:tr>
      <w:tr w14:paraId="6D45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0634D5C0">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技术负责人员</w:t>
            </w:r>
          </w:p>
        </w:tc>
        <w:tc>
          <w:tcPr>
            <w:tcW w:w="804" w:type="dxa"/>
            <w:vAlign w:val="center"/>
          </w:tcPr>
          <w:p w14:paraId="2094DBCF">
            <w:pPr>
              <w:pStyle w:val="2"/>
              <w:widowControl w:val="0"/>
              <w:ind w:left="0" w:leftChars="0" w:firstLine="0" w:firstLineChars="0"/>
              <w:jc w:val="both"/>
              <w:rPr>
                <w:rFonts w:hint="default" w:ascii="宋体" w:hAnsi="宋体" w:eastAsia="宋体" w:cs="宋体"/>
                <w:sz w:val="24"/>
                <w:szCs w:val="24"/>
                <w:highlight w:val="none"/>
                <w:vertAlign w:val="baseline"/>
                <w:lang w:val="en-US" w:eastAsia="zh-CN"/>
              </w:rPr>
            </w:pPr>
          </w:p>
        </w:tc>
        <w:tc>
          <w:tcPr>
            <w:tcW w:w="804" w:type="dxa"/>
            <w:vAlign w:val="center"/>
          </w:tcPr>
          <w:p w14:paraId="11D59128">
            <w:pPr>
              <w:pStyle w:val="2"/>
              <w:widowControl w:val="0"/>
              <w:ind w:left="0" w:leftChars="0" w:firstLine="0" w:firstLineChars="0"/>
              <w:jc w:val="both"/>
              <w:rPr>
                <w:rFonts w:hint="default" w:ascii="宋体" w:hAnsi="宋体" w:eastAsia="宋体" w:cs="宋体"/>
                <w:sz w:val="24"/>
                <w:szCs w:val="24"/>
                <w:highlight w:val="none"/>
                <w:vertAlign w:val="baseline"/>
                <w:lang w:val="en-US" w:eastAsia="zh-CN"/>
              </w:rPr>
            </w:pPr>
          </w:p>
        </w:tc>
        <w:tc>
          <w:tcPr>
            <w:tcW w:w="555" w:type="dxa"/>
            <w:vAlign w:val="center"/>
          </w:tcPr>
          <w:p w14:paraId="17B745EF">
            <w:pPr>
              <w:pStyle w:val="2"/>
              <w:widowControl w:val="0"/>
              <w:jc w:val="both"/>
              <w:rPr>
                <w:rFonts w:hint="eastAsia" w:ascii="宋体" w:hAnsi="宋体" w:eastAsia="宋体" w:cs="宋体"/>
                <w:sz w:val="24"/>
                <w:szCs w:val="24"/>
                <w:highlight w:val="none"/>
                <w:vertAlign w:val="baseline"/>
                <w:lang w:val="en-US" w:eastAsia="zh-CN"/>
              </w:rPr>
            </w:pPr>
          </w:p>
        </w:tc>
        <w:tc>
          <w:tcPr>
            <w:tcW w:w="1065" w:type="dxa"/>
            <w:vAlign w:val="center"/>
          </w:tcPr>
          <w:p w14:paraId="4BB3017C">
            <w:pPr>
              <w:pStyle w:val="2"/>
              <w:widowControl w:val="0"/>
              <w:jc w:val="both"/>
              <w:rPr>
                <w:rFonts w:hint="eastAsia" w:ascii="宋体" w:hAnsi="宋体" w:eastAsia="宋体" w:cs="宋体"/>
                <w:sz w:val="24"/>
                <w:szCs w:val="24"/>
                <w:highlight w:val="none"/>
                <w:vertAlign w:val="baseline"/>
                <w:lang w:val="en-US" w:eastAsia="zh-CN"/>
              </w:rPr>
            </w:pPr>
          </w:p>
        </w:tc>
        <w:tc>
          <w:tcPr>
            <w:tcW w:w="960" w:type="dxa"/>
            <w:vAlign w:val="center"/>
          </w:tcPr>
          <w:p w14:paraId="473010BF">
            <w:pPr>
              <w:pStyle w:val="2"/>
              <w:widowControl w:val="0"/>
              <w:jc w:val="both"/>
              <w:rPr>
                <w:rFonts w:hint="eastAsia" w:ascii="宋体" w:hAnsi="宋体" w:eastAsia="宋体" w:cs="宋体"/>
                <w:sz w:val="24"/>
                <w:szCs w:val="24"/>
                <w:highlight w:val="none"/>
                <w:vertAlign w:val="baseline"/>
                <w:lang w:val="en-US" w:eastAsia="zh-CN"/>
              </w:rPr>
            </w:pPr>
          </w:p>
        </w:tc>
        <w:tc>
          <w:tcPr>
            <w:tcW w:w="4332" w:type="dxa"/>
            <w:vAlign w:val="center"/>
          </w:tcPr>
          <w:p w14:paraId="336ABF00">
            <w:pPr>
              <w:pStyle w:val="2"/>
              <w:widowControl w:val="0"/>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应熟悉汽车维修业务，掌握汽车维修及相关政策法规和技术规范，具有汽车维修或相关专业大专及以上学历，或者具有汽车维修或相关专业中级及以上专业技术职称。</w:t>
            </w:r>
          </w:p>
        </w:tc>
      </w:tr>
      <w:tr w14:paraId="2358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0536D230">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安全生产管理人员</w:t>
            </w:r>
          </w:p>
        </w:tc>
        <w:tc>
          <w:tcPr>
            <w:tcW w:w="804" w:type="dxa"/>
            <w:vAlign w:val="center"/>
          </w:tcPr>
          <w:p w14:paraId="1E366B62">
            <w:pPr>
              <w:pStyle w:val="2"/>
              <w:widowControl w:val="0"/>
              <w:jc w:val="both"/>
              <w:rPr>
                <w:rFonts w:hint="eastAsia" w:ascii="宋体" w:hAnsi="宋体" w:eastAsia="宋体" w:cs="宋体"/>
                <w:sz w:val="24"/>
                <w:szCs w:val="24"/>
                <w:highlight w:val="none"/>
                <w:vertAlign w:val="baseline"/>
                <w:lang w:val="en-US" w:eastAsia="zh-CN"/>
              </w:rPr>
            </w:pPr>
          </w:p>
        </w:tc>
        <w:tc>
          <w:tcPr>
            <w:tcW w:w="804" w:type="dxa"/>
            <w:vAlign w:val="center"/>
          </w:tcPr>
          <w:p w14:paraId="362428DA">
            <w:pPr>
              <w:pStyle w:val="2"/>
              <w:widowControl w:val="0"/>
              <w:jc w:val="both"/>
              <w:rPr>
                <w:rFonts w:hint="eastAsia" w:ascii="宋体" w:hAnsi="宋体" w:eastAsia="宋体" w:cs="宋体"/>
                <w:sz w:val="24"/>
                <w:szCs w:val="24"/>
                <w:highlight w:val="none"/>
                <w:vertAlign w:val="baseline"/>
                <w:lang w:val="en-US" w:eastAsia="zh-CN"/>
              </w:rPr>
            </w:pPr>
          </w:p>
        </w:tc>
        <w:tc>
          <w:tcPr>
            <w:tcW w:w="555" w:type="dxa"/>
            <w:vAlign w:val="center"/>
          </w:tcPr>
          <w:p w14:paraId="604208DA">
            <w:pPr>
              <w:pStyle w:val="2"/>
              <w:widowControl w:val="0"/>
              <w:jc w:val="both"/>
              <w:rPr>
                <w:rFonts w:hint="eastAsia" w:ascii="宋体" w:hAnsi="宋体" w:eastAsia="宋体" w:cs="宋体"/>
                <w:sz w:val="24"/>
                <w:szCs w:val="24"/>
                <w:highlight w:val="none"/>
                <w:vertAlign w:val="baseline"/>
                <w:lang w:val="en-US" w:eastAsia="zh-CN"/>
              </w:rPr>
            </w:pPr>
          </w:p>
        </w:tc>
        <w:tc>
          <w:tcPr>
            <w:tcW w:w="1065" w:type="dxa"/>
            <w:vAlign w:val="center"/>
          </w:tcPr>
          <w:p w14:paraId="440045A1">
            <w:pPr>
              <w:pStyle w:val="2"/>
              <w:widowControl w:val="0"/>
              <w:jc w:val="both"/>
              <w:rPr>
                <w:rFonts w:hint="eastAsia" w:ascii="宋体" w:hAnsi="宋体" w:eastAsia="宋体" w:cs="宋体"/>
                <w:sz w:val="24"/>
                <w:szCs w:val="24"/>
                <w:highlight w:val="none"/>
                <w:vertAlign w:val="baseline"/>
                <w:lang w:val="en-US" w:eastAsia="zh-CN"/>
              </w:rPr>
            </w:pPr>
          </w:p>
        </w:tc>
        <w:tc>
          <w:tcPr>
            <w:tcW w:w="960" w:type="dxa"/>
            <w:vAlign w:val="center"/>
          </w:tcPr>
          <w:p w14:paraId="2587D032">
            <w:pPr>
              <w:pStyle w:val="2"/>
              <w:widowControl w:val="0"/>
              <w:jc w:val="both"/>
              <w:rPr>
                <w:rFonts w:hint="eastAsia" w:ascii="宋体" w:hAnsi="宋体" w:eastAsia="宋体" w:cs="宋体"/>
                <w:sz w:val="24"/>
                <w:szCs w:val="24"/>
                <w:highlight w:val="none"/>
                <w:vertAlign w:val="baseline"/>
                <w:lang w:val="en-US" w:eastAsia="zh-CN"/>
              </w:rPr>
            </w:pPr>
          </w:p>
        </w:tc>
        <w:tc>
          <w:tcPr>
            <w:tcW w:w="4332" w:type="dxa"/>
            <w:vAlign w:val="center"/>
          </w:tcPr>
          <w:p w14:paraId="5B98DC8D">
            <w:pPr>
              <w:pStyle w:val="2"/>
              <w:widowControl w:val="0"/>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应熟知国家安全生产法律法规，并具有汽车维修安全生产作业知识和安全生产管理能力。</w:t>
            </w:r>
          </w:p>
        </w:tc>
      </w:tr>
      <w:tr w14:paraId="6C1A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BC35DC8">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质量检验人员</w:t>
            </w:r>
          </w:p>
        </w:tc>
        <w:tc>
          <w:tcPr>
            <w:tcW w:w="804" w:type="dxa"/>
            <w:vAlign w:val="center"/>
          </w:tcPr>
          <w:p w14:paraId="5CCDA717">
            <w:pPr>
              <w:pStyle w:val="2"/>
              <w:widowControl w:val="0"/>
              <w:jc w:val="both"/>
              <w:rPr>
                <w:rFonts w:hint="eastAsia" w:ascii="宋体" w:hAnsi="宋体" w:eastAsia="宋体" w:cs="宋体"/>
                <w:sz w:val="24"/>
                <w:szCs w:val="24"/>
                <w:highlight w:val="none"/>
                <w:vertAlign w:val="baseline"/>
                <w:lang w:val="en-US" w:eastAsia="zh-CN"/>
              </w:rPr>
            </w:pPr>
          </w:p>
        </w:tc>
        <w:tc>
          <w:tcPr>
            <w:tcW w:w="804" w:type="dxa"/>
            <w:vAlign w:val="center"/>
          </w:tcPr>
          <w:p w14:paraId="3444F6A2">
            <w:pPr>
              <w:pStyle w:val="2"/>
              <w:widowControl w:val="0"/>
              <w:jc w:val="both"/>
              <w:rPr>
                <w:rFonts w:hint="eastAsia" w:ascii="宋体" w:hAnsi="宋体" w:eastAsia="宋体" w:cs="宋体"/>
                <w:sz w:val="24"/>
                <w:szCs w:val="24"/>
                <w:highlight w:val="none"/>
                <w:vertAlign w:val="baseline"/>
                <w:lang w:val="en-US" w:eastAsia="zh-CN"/>
              </w:rPr>
            </w:pPr>
          </w:p>
        </w:tc>
        <w:tc>
          <w:tcPr>
            <w:tcW w:w="555" w:type="dxa"/>
            <w:vAlign w:val="center"/>
          </w:tcPr>
          <w:p w14:paraId="6953D504">
            <w:pPr>
              <w:pStyle w:val="2"/>
              <w:widowControl w:val="0"/>
              <w:jc w:val="both"/>
              <w:rPr>
                <w:rFonts w:hint="eastAsia" w:ascii="宋体" w:hAnsi="宋体" w:eastAsia="宋体" w:cs="宋体"/>
                <w:sz w:val="24"/>
                <w:szCs w:val="24"/>
                <w:highlight w:val="none"/>
                <w:vertAlign w:val="baseline"/>
                <w:lang w:val="en-US" w:eastAsia="zh-CN"/>
              </w:rPr>
            </w:pPr>
          </w:p>
        </w:tc>
        <w:tc>
          <w:tcPr>
            <w:tcW w:w="1065" w:type="dxa"/>
            <w:vAlign w:val="center"/>
          </w:tcPr>
          <w:p w14:paraId="3DB94535">
            <w:pPr>
              <w:pStyle w:val="2"/>
              <w:widowControl w:val="0"/>
              <w:jc w:val="both"/>
              <w:rPr>
                <w:rFonts w:hint="eastAsia" w:ascii="宋体" w:hAnsi="宋体" w:eastAsia="宋体" w:cs="宋体"/>
                <w:sz w:val="24"/>
                <w:szCs w:val="24"/>
                <w:highlight w:val="none"/>
                <w:vertAlign w:val="baseline"/>
                <w:lang w:val="en-US" w:eastAsia="zh-CN"/>
              </w:rPr>
            </w:pPr>
          </w:p>
        </w:tc>
        <w:tc>
          <w:tcPr>
            <w:tcW w:w="960" w:type="dxa"/>
            <w:vAlign w:val="center"/>
          </w:tcPr>
          <w:p w14:paraId="3A052722">
            <w:pPr>
              <w:pStyle w:val="2"/>
              <w:widowControl w:val="0"/>
              <w:jc w:val="both"/>
              <w:rPr>
                <w:rFonts w:hint="eastAsia" w:ascii="宋体" w:hAnsi="宋体" w:eastAsia="宋体" w:cs="宋体"/>
                <w:sz w:val="24"/>
                <w:szCs w:val="24"/>
                <w:highlight w:val="none"/>
                <w:vertAlign w:val="baseline"/>
                <w:lang w:val="en-US" w:eastAsia="zh-CN"/>
              </w:rPr>
            </w:pPr>
          </w:p>
        </w:tc>
        <w:tc>
          <w:tcPr>
            <w:tcW w:w="4332" w:type="dxa"/>
            <w:vAlign w:val="center"/>
          </w:tcPr>
          <w:p w14:paraId="563C7707">
            <w:pPr>
              <w:pStyle w:val="2"/>
              <w:widowControl w:val="0"/>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应熟悉汽车维修检测作业规范，掌握汽车维修故障诊断和质量检验的相关技术，熟悉汽车维修服务收费标准及相关政策法规和技术规范，具有高中及以上学历，并持有与承修车型种类相适应的机动车驾驶证。</w:t>
            </w:r>
          </w:p>
        </w:tc>
      </w:tr>
      <w:tr w14:paraId="1DC3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D8680D5">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业务接待人员</w:t>
            </w:r>
          </w:p>
        </w:tc>
        <w:tc>
          <w:tcPr>
            <w:tcW w:w="804" w:type="dxa"/>
            <w:vAlign w:val="center"/>
          </w:tcPr>
          <w:p w14:paraId="2FD92904">
            <w:pPr>
              <w:pStyle w:val="2"/>
              <w:widowControl w:val="0"/>
              <w:jc w:val="both"/>
              <w:rPr>
                <w:rFonts w:hint="eastAsia" w:ascii="宋体" w:hAnsi="宋体" w:eastAsia="宋体" w:cs="宋体"/>
                <w:sz w:val="24"/>
                <w:szCs w:val="24"/>
                <w:highlight w:val="none"/>
                <w:vertAlign w:val="baseline"/>
                <w:lang w:val="en-US" w:eastAsia="zh-CN"/>
              </w:rPr>
            </w:pPr>
          </w:p>
        </w:tc>
        <w:tc>
          <w:tcPr>
            <w:tcW w:w="804" w:type="dxa"/>
            <w:vAlign w:val="center"/>
          </w:tcPr>
          <w:p w14:paraId="3FB9BBAA">
            <w:pPr>
              <w:pStyle w:val="2"/>
              <w:widowControl w:val="0"/>
              <w:jc w:val="both"/>
              <w:rPr>
                <w:rFonts w:hint="eastAsia" w:ascii="宋体" w:hAnsi="宋体" w:eastAsia="宋体" w:cs="宋体"/>
                <w:sz w:val="24"/>
                <w:szCs w:val="24"/>
                <w:highlight w:val="none"/>
                <w:vertAlign w:val="baseline"/>
                <w:lang w:val="en-US" w:eastAsia="zh-CN"/>
              </w:rPr>
            </w:pPr>
          </w:p>
        </w:tc>
        <w:tc>
          <w:tcPr>
            <w:tcW w:w="555" w:type="dxa"/>
            <w:vAlign w:val="center"/>
          </w:tcPr>
          <w:p w14:paraId="55F67BE1">
            <w:pPr>
              <w:pStyle w:val="2"/>
              <w:widowControl w:val="0"/>
              <w:jc w:val="both"/>
              <w:rPr>
                <w:rFonts w:hint="eastAsia" w:ascii="宋体" w:hAnsi="宋体" w:eastAsia="宋体" w:cs="宋体"/>
                <w:sz w:val="24"/>
                <w:szCs w:val="24"/>
                <w:highlight w:val="none"/>
                <w:vertAlign w:val="baseline"/>
                <w:lang w:val="en-US" w:eastAsia="zh-CN"/>
              </w:rPr>
            </w:pPr>
          </w:p>
        </w:tc>
        <w:tc>
          <w:tcPr>
            <w:tcW w:w="1065" w:type="dxa"/>
            <w:vAlign w:val="center"/>
          </w:tcPr>
          <w:p w14:paraId="3BD977AE">
            <w:pPr>
              <w:pStyle w:val="2"/>
              <w:widowControl w:val="0"/>
              <w:jc w:val="both"/>
              <w:rPr>
                <w:rFonts w:hint="eastAsia" w:ascii="宋体" w:hAnsi="宋体" w:eastAsia="宋体" w:cs="宋体"/>
                <w:sz w:val="24"/>
                <w:szCs w:val="24"/>
                <w:highlight w:val="none"/>
                <w:vertAlign w:val="baseline"/>
                <w:lang w:val="en-US" w:eastAsia="zh-CN"/>
              </w:rPr>
            </w:pPr>
          </w:p>
        </w:tc>
        <w:tc>
          <w:tcPr>
            <w:tcW w:w="960" w:type="dxa"/>
            <w:vAlign w:val="center"/>
          </w:tcPr>
          <w:p w14:paraId="2E91DE29">
            <w:pPr>
              <w:pStyle w:val="2"/>
              <w:widowControl w:val="0"/>
              <w:jc w:val="both"/>
              <w:rPr>
                <w:rFonts w:hint="eastAsia" w:ascii="宋体" w:hAnsi="宋体" w:eastAsia="宋体" w:cs="宋体"/>
                <w:sz w:val="24"/>
                <w:szCs w:val="24"/>
                <w:highlight w:val="none"/>
                <w:vertAlign w:val="baseline"/>
                <w:lang w:val="en-US" w:eastAsia="zh-CN"/>
              </w:rPr>
            </w:pPr>
          </w:p>
        </w:tc>
        <w:tc>
          <w:tcPr>
            <w:tcW w:w="4332" w:type="dxa"/>
            <w:vAlign w:val="center"/>
          </w:tcPr>
          <w:p w14:paraId="25CD2240">
            <w:pPr>
              <w:pStyle w:val="2"/>
              <w:widowControl w:val="0"/>
              <w:jc w:val="both"/>
              <w:rPr>
                <w:rFonts w:hint="eastAsia" w:ascii="宋体" w:hAnsi="宋体" w:eastAsia="宋体" w:cs="宋体"/>
                <w:sz w:val="24"/>
                <w:szCs w:val="24"/>
                <w:highlight w:val="none"/>
                <w:vertAlign w:val="baseline"/>
                <w:lang w:val="en-US" w:eastAsia="zh-CN"/>
              </w:rPr>
            </w:pPr>
          </w:p>
        </w:tc>
      </w:tr>
      <w:tr w14:paraId="2207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93AAFAA">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机修维修技术人员</w:t>
            </w:r>
          </w:p>
        </w:tc>
        <w:tc>
          <w:tcPr>
            <w:tcW w:w="804" w:type="dxa"/>
            <w:vAlign w:val="center"/>
          </w:tcPr>
          <w:p w14:paraId="3FC3E5C5">
            <w:pPr>
              <w:pStyle w:val="2"/>
              <w:widowControl w:val="0"/>
              <w:jc w:val="both"/>
              <w:rPr>
                <w:rFonts w:hint="eastAsia" w:ascii="宋体" w:hAnsi="宋体" w:eastAsia="宋体" w:cs="宋体"/>
                <w:sz w:val="24"/>
                <w:szCs w:val="24"/>
                <w:highlight w:val="none"/>
                <w:vertAlign w:val="baseline"/>
                <w:lang w:val="en-US" w:eastAsia="zh-CN"/>
              </w:rPr>
            </w:pPr>
          </w:p>
        </w:tc>
        <w:tc>
          <w:tcPr>
            <w:tcW w:w="804" w:type="dxa"/>
            <w:vAlign w:val="center"/>
          </w:tcPr>
          <w:p w14:paraId="3A815AA8">
            <w:pPr>
              <w:pStyle w:val="2"/>
              <w:widowControl w:val="0"/>
              <w:jc w:val="both"/>
              <w:rPr>
                <w:rFonts w:hint="eastAsia" w:ascii="宋体" w:hAnsi="宋体" w:eastAsia="宋体" w:cs="宋体"/>
                <w:sz w:val="24"/>
                <w:szCs w:val="24"/>
                <w:highlight w:val="none"/>
                <w:vertAlign w:val="baseline"/>
                <w:lang w:val="en-US" w:eastAsia="zh-CN"/>
              </w:rPr>
            </w:pPr>
          </w:p>
        </w:tc>
        <w:tc>
          <w:tcPr>
            <w:tcW w:w="555" w:type="dxa"/>
            <w:vAlign w:val="center"/>
          </w:tcPr>
          <w:p w14:paraId="1C74BBEF">
            <w:pPr>
              <w:pStyle w:val="2"/>
              <w:widowControl w:val="0"/>
              <w:jc w:val="both"/>
              <w:rPr>
                <w:rFonts w:hint="eastAsia" w:ascii="宋体" w:hAnsi="宋体" w:eastAsia="宋体" w:cs="宋体"/>
                <w:sz w:val="24"/>
                <w:szCs w:val="24"/>
                <w:highlight w:val="none"/>
                <w:vertAlign w:val="baseline"/>
                <w:lang w:val="en-US" w:eastAsia="zh-CN"/>
              </w:rPr>
            </w:pPr>
          </w:p>
        </w:tc>
        <w:tc>
          <w:tcPr>
            <w:tcW w:w="1065" w:type="dxa"/>
            <w:vAlign w:val="center"/>
          </w:tcPr>
          <w:p w14:paraId="2AB0F2A3">
            <w:pPr>
              <w:pStyle w:val="2"/>
              <w:widowControl w:val="0"/>
              <w:jc w:val="both"/>
              <w:rPr>
                <w:rFonts w:hint="eastAsia" w:ascii="宋体" w:hAnsi="宋体" w:eastAsia="宋体" w:cs="宋体"/>
                <w:sz w:val="24"/>
                <w:szCs w:val="24"/>
                <w:highlight w:val="none"/>
                <w:vertAlign w:val="baseline"/>
                <w:lang w:val="en-US" w:eastAsia="zh-CN"/>
              </w:rPr>
            </w:pPr>
          </w:p>
        </w:tc>
        <w:tc>
          <w:tcPr>
            <w:tcW w:w="960" w:type="dxa"/>
            <w:vAlign w:val="center"/>
          </w:tcPr>
          <w:p w14:paraId="35B0BB4F">
            <w:pPr>
              <w:pStyle w:val="2"/>
              <w:widowControl w:val="0"/>
              <w:jc w:val="both"/>
              <w:rPr>
                <w:rFonts w:hint="eastAsia" w:ascii="宋体" w:hAnsi="宋体" w:eastAsia="宋体" w:cs="宋体"/>
                <w:sz w:val="24"/>
                <w:szCs w:val="24"/>
                <w:highlight w:val="none"/>
                <w:vertAlign w:val="baseline"/>
                <w:lang w:val="en-US" w:eastAsia="zh-CN"/>
              </w:rPr>
            </w:pPr>
          </w:p>
        </w:tc>
        <w:tc>
          <w:tcPr>
            <w:tcW w:w="4332" w:type="dxa"/>
            <w:vAlign w:val="center"/>
          </w:tcPr>
          <w:p w14:paraId="5E650600">
            <w:pPr>
              <w:pStyle w:val="2"/>
              <w:widowControl w:val="0"/>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应熟悉所从事工种的维修技术和操作规范，了解汽车维修及相关政策法规，并具有初中及以上学历。</w:t>
            </w:r>
          </w:p>
        </w:tc>
      </w:tr>
      <w:tr w14:paraId="298E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26A7A83D">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电器维修技术人员</w:t>
            </w:r>
          </w:p>
        </w:tc>
        <w:tc>
          <w:tcPr>
            <w:tcW w:w="804" w:type="dxa"/>
            <w:vAlign w:val="center"/>
          </w:tcPr>
          <w:p w14:paraId="4C654B1A">
            <w:pPr>
              <w:pStyle w:val="2"/>
              <w:widowControl w:val="0"/>
              <w:jc w:val="both"/>
              <w:rPr>
                <w:rFonts w:hint="eastAsia" w:ascii="宋体" w:hAnsi="宋体" w:eastAsia="宋体" w:cs="宋体"/>
                <w:sz w:val="24"/>
                <w:szCs w:val="24"/>
                <w:highlight w:val="none"/>
                <w:vertAlign w:val="baseline"/>
                <w:lang w:val="en-US" w:eastAsia="zh-CN"/>
              </w:rPr>
            </w:pPr>
          </w:p>
        </w:tc>
        <w:tc>
          <w:tcPr>
            <w:tcW w:w="804" w:type="dxa"/>
            <w:vAlign w:val="center"/>
          </w:tcPr>
          <w:p w14:paraId="6E685813">
            <w:pPr>
              <w:pStyle w:val="2"/>
              <w:widowControl w:val="0"/>
              <w:jc w:val="both"/>
              <w:rPr>
                <w:rFonts w:hint="eastAsia" w:ascii="宋体" w:hAnsi="宋体" w:eastAsia="宋体" w:cs="宋体"/>
                <w:sz w:val="24"/>
                <w:szCs w:val="24"/>
                <w:highlight w:val="none"/>
                <w:vertAlign w:val="baseline"/>
                <w:lang w:val="en-US" w:eastAsia="zh-CN"/>
              </w:rPr>
            </w:pPr>
          </w:p>
        </w:tc>
        <w:tc>
          <w:tcPr>
            <w:tcW w:w="555" w:type="dxa"/>
            <w:vAlign w:val="center"/>
          </w:tcPr>
          <w:p w14:paraId="12087B5E">
            <w:pPr>
              <w:pStyle w:val="2"/>
              <w:widowControl w:val="0"/>
              <w:jc w:val="both"/>
              <w:rPr>
                <w:rFonts w:hint="eastAsia" w:ascii="宋体" w:hAnsi="宋体" w:eastAsia="宋体" w:cs="宋体"/>
                <w:sz w:val="24"/>
                <w:szCs w:val="24"/>
                <w:highlight w:val="none"/>
                <w:vertAlign w:val="baseline"/>
                <w:lang w:val="en-US" w:eastAsia="zh-CN"/>
              </w:rPr>
            </w:pPr>
          </w:p>
        </w:tc>
        <w:tc>
          <w:tcPr>
            <w:tcW w:w="1065" w:type="dxa"/>
            <w:vAlign w:val="center"/>
          </w:tcPr>
          <w:p w14:paraId="1D7C890D">
            <w:pPr>
              <w:pStyle w:val="2"/>
              <w:widowControl w:val="0"/>
              <w:jc w:val="both"/>
              <w:rPr>
                <w:rFonts w:hint="eastAsia" w:ascii="宋体" w:hAnsi="宋体" w:eastAsia="宋体" w:cs="宋体"/>
                <w:sz w:val="24"/>
                <w:szCs w:val="24"/>
                <w:highlight w:val="none"/>
                <w:vertAlign w:val="baseline"/>
                <w:lang w:val="en-US" w:eastAsia="zh-CN"/>
              </w:rPr>
            </w:pPr>
          </w:p>
        </w:tc>
        <w:tc>
          <w:tcPr>
            <w:tcW w:w="960" w:type="dxa"/>
            <w:vAlign w:val="center"/>
          </w:tcPr>
          <w:p w14:paraId="6F6B4CFE">
            <w:pPr>
              <w:pStyle w:val="2"/>
              <w:widowControl w:val="0"/>
              <w:jc w:val="both"/>
              <w:rPr>
                <w:rFonts w:hint="eastAsia" w:ascii="宋体" w:hAnsi="宋体" w:eastAsia="宋体" w:cs="宋体"/>
                <w:sz w:val="24"/>
                <w:szCs w:val="24"/>
                <w:highlight w:val="none"/>
                <w:vertAlign w:val="baseline"/>
                <w:lang w:val="en-US" w:eastAsia="zh-CN"/>
              </w:rPr>
            </w:pPr>
          </w:p>
        </w:tc>
        <w:tc>
          <w:tcPr>
            <w:tcW w:w="4332" w:type="dxa"/>
            <w:vAlign w:val="center"/>
          </w:tcPr>
          <w:p w14:paraId="67BB4A2C">
            <w:pPr>
              <w:pStyle w:val="2"/>
              <w:widowControl w:val="0"/>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应熟悉所从事工种的维修技术和操作规范，了解汽车维修及相关政策法规，并具有初中及以上学历。</w:t>
            </w:r>
          </w:p>
        </w:tc>
      </w:tr>
      <w:tr w14:paraId="3049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29D7F9AA">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钣金维修技术人员</w:t>
            </w:r>
          </w:p>
        </w:tc>
        <w:tc>
          <w:tcPr>
            <w:tcW w:w="804" w:type="dxa"/>
            <w:vAlign w:val="center"/>
          </w:tcPr>
          <w:p w14:paraId="151A8FFC">
            <w:pPr>
              <w:pStyle w:val="2"/>
              <w:widowControl w:val="0"/>
              <w:jc w:val="both"/>
              <w:rPr>
                <w:rFonts w:hint="eastAsia" w:ascii="宋体" w:hAnsi="宋体" w:eastAsia="宋体" w:cs="宋体"/>
                <w:sz w:val="24"/>
                <w:szCs w:val="24"/>
                <w:highlight w:val="none"/>
                <w:vertAlign w:val="baseline"/>
                <w:lang w:val="en-US" w:eastAsia="zh-CN"/>
              </w:rPr>
            </w:pPr>
          </w:p>
        </w:tc>
        <w:tc>
          <w:tcPr>
            <w:tcW w:w="804" w:type="dxa"/>
            <w:vAlign w:val="center"/>
          </w:tcPr>
          <w:p w14:paraId="287530E1">
            <w:pPr>
              <w:pStyle w:val="2"/>
              <w:widowControl w:val="0"/>
              <w:jc w:val="both"/>
              <w:rPr>
                <w:rFonts w:hint="eastAsia" w:ascii="宋体" w:hAnsi="宋体" w:eastAsia="宋体" w:cs="宋体"/>
                <w:sz w:val="24"/>
                <w:szCs w:val="24"/>
                <w:highlight w:val="none"/>
                <w:vertAlign w:val="baseline"/>
                <w:lang w:val="en-US" w:eastAsia="zh-CN"/>
              </w:rPr>
            </w:pPr>
          </w:p>
        </w:tc>
        <w:tc>
          <w:tcPr>
            <w:tcW w:w="555" w:type="dxa"/>
            <w:vAlign w:val="center"/>
          </w:tcPr>
          <w:p w14:paraId="52712437">
            <w:pPr>
              <w:pStyle w:val="2"/>
              <w:widowControl w:val="0"/>
              <w:jc w:val="both"/>
              <w:rPr>
                <w:rFonts w:hint="eastAsia" w:ascii="宋体" w:hAnsi="宋体" w:eastAsia="宋体" w:cs="宋体"/>
                <w:sz w:val="24"/>
                <w:szCs w:val="24"/>
                <w:highlight w:val="none"/>
                <w:vertAlign w:val="baseline"/>
                <w:lang w:val="en-US" w:eastAsia="zh-CN"/>
              </w:rPr>
            </w:pPr>
          </w:p>
        </w:tc>
        <w:tc>
          <w:tcPr>
            <w:tcW w:w="1065" w:type="dxa"/>
            <w:vAlign w:val="center"/>
          </w:tcPr>
          <w:p w14:paraId="0B12F785">
            <w:pPr>
              <w:pStyle w:val="2"/>
              <w:widowControl w:val="0"/>
              <w:jc w:val="both"/>
              <w:rPr>
                <w:rFonts w:hint="eastAsia" w:ascii="宋体" w:hAnsi="宋体" w:eastAsia="宋体" w:cs="宋体"/>
                <w:sz w:val="24"/>
                <w:szCs w:val="24"/>
                <w:highlight w:val="none"/>
                <w:vertAlign w:val="baseline"/>
                <w:lang w:val="en-US" w:eastAsia="zh-CN"/>
              </w:rPr>
            </w:pPr>
          </w:p>
        </w:tc>
        <w:tc>
          <w:tcPr>
            <w:tcW w:w="960" w:type="dxa"/>
            <w:vAlign w:val="center"/>
          </w:tcPr>
          <w:p w14:paraId="11322940">
            <w:pPr>
              <w:pStyle w:val="2"/>
              <w:widowControl w:val="0"/>
              <w:jc w:val="both"/>
              <w:rPr>
                <w:rFonts w:hint="eastAsia" w:ascii="宋体" w:hAnsi="宋体" w:eastAsia="宋体" w:cs="宋体"/>
                <w:sz w:val="24"/>
                <w:szCs w:val="24"/>
                <w:highlight w:val="none"/>
                <w:vertAlign w:val="baseline"/>
                <w:lang w:val="en-US" w:eastAsia="zh-CN"/>
              </w:rPr>
            </w:pPr>
          </w:p>
        </w:tc>
        <w:tc>
          <w:tcPr>
            <w:tcW w:w="4332" w:type="dxa"/>
            <w:vAlign w:val="center"/>
          </w:tcPr>
          <w:p w14:paraId="2F038005">
            <w:pPr>
              <w:pStyle w:val="2"/>
              <w:widowControl w:val="0"/>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应熟悉所从事工种的维修技术和操作规范，了解汽车维修及相关政策法规，并具有初中及以上学历。</w:t>
            </w:r>
          </w:p>
        </w:tc>
      </w:tr>
      <w:tr w14:paraId="78C6C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34C4892">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涂漆维修技术人员</w:t>
            </w:r>
          </w:p>
        </w:tc>
        <w:tc>
          <w:tcPr>
            <w:tcW w:w="804" w:type="dxa"/>
            <w:vAlign w:val="center"/>
          </w:tcPr>
          <w:p w14:paraId="6785B445">
            <w:pPr>
              <w:pStyle w:val="2"/>
              <w:widowControl w:val="0"/>
              <w:jc w:val="both"/>
              <w:rPr>
                <w:rFonts w:hint="eastAsia" w:ascii="宋体" w:hAnsi="宋体" w:eastAsia="宋体" w:cs="宋体"/>
                <w:sz w:val="24"/>
                <w:szCs w:val="24"/>
                <w:highlight w:val="none"/>
                <w:vertAlign w:val="baseline"/>
                <w:lang w:val="en-US" w:eastAsia="zh-CN"/>
              </w:rPr>
            </w:pPr>
          </w:p>
        </w:tc>
        <w:tc>
          <w:tcPr>
            <w:tcW w:w="804" w:type="dxa"/>
            <w:vAlign w:val="center"/>
          </w:tcPr>
          <w:p w14:paraId="1D355030">
            <w:pPr>
              <w:pStyle w:val="2"/>
              <w:widowControl w:val="0"/>
              <w:jc w:val="both"/>
              <w:rPr>
                <w:rFonts w:hint="eastAsia" w:ascii="宋体" w:hAnsi="宋体" w:eastAsia="宋体" w:cs="宋体"/>
                <w:sz w:val="24"/>
                <w:szCs w:val="24"/>
                <w:highlight w:val="none"/>
                <w:vertAlign w:val="baseline"/>
                <w:lang w:val="en-US" w:eastAsia="zh-CN"/>
              </w:rPr>
            </w:pPr>
          </w:p>
        </w:tc>
        <w:tc>
          <w:tcPr>
            <w:tcW w:w="555" w:type="dxa"/>
            <w:vAlign w:val="center"/>
          </w:tcPr>
          <w:p w14:paraId="46B48B56">
            <w:pPr>
              <w:pStyle w:val="2"/>
              <w:widowControl w:val="0"/>
              <w:jc w:val="both"/>
              <w:rPr>
                <w:rFonts w:hint="eastAsia" w:ascii="宋体" w:hAnsi="宋体" w:eastAsia="宋体" w:cs="宋体"/>
                <w:sz w:val="24"/>
                <w:szCs w:val="24"/>
                <w:highlight w:val="none"/>
                <w:vertAlign w:val="baseline"/>
                <w:lang w:val="en-US" w:eastAsia="zh-CN"/>
              </w:rPr>
            </w:pPr>
          </w:p>
        </w:tc>
        <w:tc>
          <w:tcPr>
            <w:tcW w:w="1065" w:type="dxa"/>
            <w:vAlign w:val="center"/>
          </w:tcPr>
          <w:p w14:paraId="6592BE03">
            <w:pPr>
              <w:pStyle w:val="2"/>
              <w:widowControl w:val="0"/>
              <w:jc w:val="both"/>
              <w:rPr>
                <w:rFonts w:hint="eastAsia" w:ascii="宋体" w:hAnsi="宋体" w:eastAsia="宋体" w:cs="宋体"/>
                <w:sz w:val="24"/>
                <w:szCs w:val="24"/>
                <w:highlight w:val="none"/>
                <w:vertAlign w:val="baseline"/>
                <w:lang w:val="en-US" w:eastAsia="zh-CN"/>
              </w:rPr>
            </w:pPr>
          </w:p>
        </w:tc>
        <w:tc>
          <w:tcPr>
            <w:tcW w:w="960" w:type="dxa"/>
            <w:vAlign w:val="center"/>
          </w:tcPr>
          <w:p w14:paraId="2DFE0FFE">
            <w:pPr>
              <w:pStyle w:val="2"/>
              <w:widowControl w:val="0"/>
              <w:jc w:val="both"/>
              <w:rPr>
                <w:rFonts w:hint="eastAsia" w:ascii="宋体" w:hAnsi="宋体" w:eastAsia="宋体" w:cs="宋体"/>
                <w:sz w:val="24"/>
                <w:szCs w:val="24"/>
                <w:highlight w:val="none"/>
                <w:vertAlign w:val="baseline"/>
                <w:lang w:val="en-US" w:eastAsia="zh-CN"/>
              </w:rPr>
            </w:pPr>
          </w:p>
        </w:tc>
        <w:tc>
          <w:tcPr>
            <w:tcW w:w="4332" w:type="dxa"/>
            <w:vAlign w:val="center"/>
          </w:tcPr>
          <w:p w14:paraId="3E268571">
            <w:pPr>
              <w:pStyle w:val="2"/>
              <w:widowControl w:val="0"/>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应熟悉所从事工种的维修技术和操作规范，了解汽车维修及相关政策法规，并具有初中及以上学历。</w:t>
            </w:r>
          </w:p>
        </w:tc>
      </w:tr>
      <w:tr w14:paraId="1938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24B0F21F">
            <w:pPr>
              <w:pStyle w:val="2"/>
              <w:widowControl w:val="0"/>
              <w:ind w:left="0" w:leftChars="0" w:firstLine="0" w:firstLineChars="0"/>
              <w:jc w:val="left"/>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其他服务人员</w:t>
            </w:r>
          </w:p>
        </w:tc>
        <w:tc>
          <w:tcPr>
            <w:tcW w:w="804" w:type="dxa"/>
            <w:vAlign w:val="center"/>
          </w:tcPr>
          <w:p w14:paraId="40493826">
            <w:pPr>
              <w:pStyle w:val="2"/>
              <w:widowControl w:val="0"/>
              <w:jc w:val="both"/>
              <w:rPr>
                <w:rFonts w:hint="eastAsia" w:ascii="宋体" w:hAnsi="宋体" w:eastAsia="宋体" w:cs="宋体"/>
                <w:sz w:val="24"/>
                <w:szCs w:val="24"/>
                <w:highlight w:val="none"/>
                <w:vertAlign w:val="baseline"/>
                <w:lang w:val="en-US" w:eastAsia="zh-CN"/>
              </w:rPr>
            </w:pPr>
          </w:p>
        </w:tc>
        <w:tc>
          <w:tcPr>
            <w:tcW w:w="804" w:type="dxa"/>
            <w:vAlign w:val="center"/>
          </w:tcPr>
          <w:p w14:paraId="217232C8">
            <w:pPr>
              <w:pStyle w:val="2"/>
              <w:widowControl w:val="0"/>
              <w:jc w:val="both"/>
              <w:rPr>
                <w:rFonts w:hint="eastAsia" w:ascii="宋体" w:hAnsi="宋体" w:eastAsia="宋体" w:cs="宋体"/>
                <w:sz w:val="24"/>
                <w:szCs w:val="24"/>
                <w:highlight w:val="none"/>
                <w:vertAlign w:val="baseline"/>
                <w:lang w:val="en-US" w:eastAsia="zh-CN"/>
              </w:rPr>
            </w:pPr>
          </w:p>
        </w:tc>
        <w:tc>
          <w:tcPr>
            <w:tcW w:w="555" w:type="dxa"/>
            <w:vAlign w:val="center"/>
          </w:tcPr>
          <w:p w14:paraId="05FB498B">
            <w:pPr>
              <w:pStyle w:val="2"/>
              <w:widowControl w:val="0"/>
              <w:jc w:val="both"/>
              <w:rPr>
                <w:rFonts w:hint="eastAsia" w:ascii="宋体" w:hAnsi="宋体" w:eastAsia="宋体" w:cs="宋体"/>
                <w:sz w:val="24"/>
                <w:szCs w:val="24"/>
                <w:highlight w:val="none"/>
                <w:vertAlign w:val="baseline"/>
                <w:lang w:val="en-US" w:eastAsia="zh-CN"/>
              </w:rPr>
            </w:pPr>
          </w:p>
        </w:tc>
        <w:tc>
          <w:tcPr>
            <w:tcW w:w="1065" w:type="dxa"/>
            <w:vAlign w:val="center"/>
          </w:tcPr>
          <w:p w14:paraId="5A349012">
            <w:pPr>
              <w:pStyle w:val="2"/>
              <w:widowControl w:val="0"/>
              <w:jc w:val="both"/>
              <w:rPr>
                <w:rFonts w:hint="eastAsia" w:ascii="宋体" w:hAnsi="宋体" w:eastAsia="宋体" w:cs="宋体"/>
                <w:sz w:val="24"/>
                <w:szCs w:val="24"/>
                <w:highlight w:val="none"/>
                <w:vertAlign w:val="baseline"/>
                <w:lang w:val="en-US" w:eastAsia="zh-CN"/>
              </w:rPr>
            </w:pPr>
          </w:p>
        </w:tc>
        <w:tc>
          <w:tcPr>
            <w:tcW w:w="960" w:type="dxa"/>
            <w:vAlign w:val="center"/>
          </w:tcPr>
          <w:p w14:paraId="4956AEC6">
            <w:pPr>
              <w:pStyle w:val="2"/>
              <w:widowControl w:val="0"/>
              <w:jc w:val="both"/>
              <w:rPr>
                <w:rFonts w:hint="eastAsia" w:ascii="宋体" w:hAnsi="宋体" w:eastAsia="宋体" w:cs="宋体"/>
                <w:sz w:val="24"/>
                <w:szCs w:val="24"/>
                <w:highlight w:val="none"/>
                <w:vertAlign w:val="baseline"/>
                <w:lang w:val="en-US" w:eastAsia="zh-CN"/>
              </w:rPr>
            </w:pPr>
          </w:p>
        </w:tc>
        <w:tc>
          <w:tcPr>
            <w:tcW w:w="4332" w:type="dxa"/>
            <w:vAlign w:val="center"/>
          </w:tcPr>
          <w:p w14:paraId="6E4B2BF6">
            <w:pPr>
              <w:pStyle w:val="2"/>
              <w:widowControl w:val="0"/>
              <w:jc w:val="both"/>
              <w:rPr>
                <w:rFonts w:hint="eastAsia" w:ascii="宋体" w:hAnsi="宋体" w:eastAsia="宋体" w:cs="宋体"/>
                <w:sz w:val="24"/>
                <w:szCs w:val="24"/>
                <w:highlight w:val="none"/>
                <w:vertAlign w:val="baseline"/>
                <w:lang w:val="en-US" w:eastAsia="zh-CN"/>
              </w:rPr>
            </w:pPr>
          </w:p>
        </w:tc>
      </w:tr>
    </w:tbl>
    <w:p w14:paraId="68FD8AEA">
      <w:pPr>
        <w:pStyle w:val="2"/>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注：1、供应商应如实填写服务人员相关信息，并附相应的身份证、学历证书、职称或资格证书、驾驶证等证明材料；</w:t>
      </w:r>
    </w:p>
    <w:p w14:paraId="4DFCB997">
      <w:pPr>
        <w:pStyle w:val="2"/>
        <w:jc w:val="both"/>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2、没有相关资料的，在相应内容处填“无”。</w:t>
      </w:r>
    </w:p>
    <w:p w14:paraId="7206D6E1">
      <w:pPr>
        <w:rPr>
          <w:rFonts w:ascii="黑体" w:hAnsi="黑体" w:eastAsia="黑体" w:cs="黑体"/>
          <w:color w:val="auto"/>
          <w:spacing w:val="-2"/>
          <w:sz w:val="28"/>
          <w:szCs w:val="28"/>
          <w:highlight w:val="none"/>
        </w:rPr>
      </w:pPr>
      <w:r>
        <w:rPr>
          <w:rFonts w:ascii="黑体" w:hAnsi="黑体" w:eastAsia="黑体" w:cs="黑体"/>
          <w:color w:val="auto"/>
          <w:spacing w:val="-2"/>
          <w:sz w:val="28"/>
          <w:szCs w:val="28"/>
          <w:highlight w:val="none"/>
        </w:rPr>
        <w:br w:type="page"/>
      </w:r>
    </w:p>
    <w:p w14:paraId="0FB1B624">
      <w:pPr>
        <w:spacing w:before="91" w:line="218" w:lineRule="auto"/>
        <w:ind w:left="3577"/>
        <w:outlineLvl w:val="1"/>
        <w:rPr>
          <w:rFonts w:hint="eastAsia" w:ascii="黑体" w:hAnsi="黑体" w:eastAsia="黑体" w:cs="黑体"/>
          <w:color w:val="auto"/>
          <w:spacing w:val="-2"/>
          <w:sz w:val="28"/>
          <w:szCs w:val="28"/>
          <w:highlight w:val="none"/>
        </w:rPr>
      </w:pPr>
      <w:r>
        <w:rPr>
          <w:rFonts w:hint="eastAsia" w:ascii="黑体" w:hAnsi="黑体" w:eastAsia="黑体" w:cs="黑体"/>
          <w:color w:val="auto"/>
          <w:spacing w:val="-2"/>
          <w:sz w:val="28"/>
          <w:szCs w:val="28"/>
          <w:highlight w:val="none"/>
        </w:rPr>
        <w:t>维修设备清单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0"/>
        <w:gridCol w:w="1267"/>
        <w:gridCol w:w="1752"/>
        <w:gridCol w:w="2730"/>
      </w:tblGrid>
      <w:tr w14:paraId="1FFE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630" w:type="dxa"/>
            <w:vAlign w:val="center"/>
          </w:tcPr>
          <w:p w14:paraId="1134D182">
            <w:pPr>
              <w:pStyle w:val="2"/>
              <w:widowControl w:val="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设备名称</w:t>
            </w:r>
          </w:p>
        </w:tc>
        <w:tc>
          <w:tcPr>
            <w:tcW w:w="1267" w:type="dxa"/>
            <w:vAlign w:val="center"/>
          </w:tcPr>
          <w:p w14:paraId="54B24497">
            <w:pPr>
              <w:pStyle w:val="2"/>
              <w:widowControl w:val="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设备数量</w:t>
            </w:r>
          </w:p>
        </w:tc>
        <w:tc>
          <w:tcPr>
            <w:tcW w:w="1752" w:type="dxa"/>
            <w:vAlign w:val="center"/>
          </w:tcPr>
          <w:p w14:paraId="7B15085D">
            <w:pPr>
              <w:pStyle w:val="2"/>
              <w:widowControl w:val="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权属</w:t>
            </w:r>
          </w:p>
        </w:tc>
        <w:tc>
          <w:tcPr>
            <w:tcW w:w="2730" w:type="dxa"/>
            <w:vAlign w:val="center"/>
          </w:tcPr>
          <w:p w14:paraId="09701DB6">
            <w:pPr>
              <w:pStyle w:val="2"/>
              <w:widowControl w:val="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5ABA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630" w:type="dxa"/>
            <w:vAlign w:val="center"/>
          </w:tcPr>
          <w:p w14:paraId="168D8B7F">
            <w:pPr>
              <w:pStyle w:val="2"/>
              <w:widowControl w:val="0"/>
              <w:ind w:left="0" w:leftChars="0" w:firstLine="0" w:firstLineChars="0"/>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例1：举升机（两柱）</w:t>
            </w:r>
          </w:p>
        </w:tc>
        <w:tc>
          <w:tcPr>
            <w:tcW w:w="1267" w:type="dxa"/>
            <w:vAlign w:val="center"/>
          </w:tcPr>
          <w:p w14:paraId="00938A26">
            <w:pPr>
              <w:pStyle w:val="2"/>
              <w:widowControl w:val="0"/>
              <w:ind w:left="0" w:leftChars="0" w:firstLine="0" w:firstLineChars="0"/>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x台</w:t>
            </w:r>
          </w:p>
        </w:tc>
        <w:tc>
          <w:tcPr>
            <w:tcW w:w="1752" w:type="dxa"/>
            <w:vAlign w:val="center"/>
          </w:tcPr>
          <w:p w14:paraId="2953AD9D">
            <w:pPr>
              <w:pStyle w:val="2"/>
              <w:widowControl w:val="0"/>
              <w:ind w:left="0" w:leftChars="0" w:firstLine="0" w:firstLineChars="0"/>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自行购买</w:t>
            </w:r>
          </w:p>
        </w:tc>
        <w:tc>
          <w:tcPr>
            <w:tcW w:w="2730" w:type="dxa"/>
            <w:vAlign w:val="center"/>
          </w:tcPr>
          <w:p w14:paraId="436847F8">
            <w:pPr>
              <w:pStyle w:val="2"/>
              <w:widowControl w:val="0"/>
              <w:ind w:left="0" w:leftChars="0" w:firstLine="0" w:firstLineChars="0"/>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购买发票、照片等资料附后</w:t>
            </w:r>
          </w:p>
        </w:tc>
      </w:tr>
      <w:tr w14:paraId="69BA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630" w:type="dxa"/>
            <w:vAlign w:val="center"/>
          </w:tcPr>
          <w:p w14:paraId="2B68C90B">
            <w:pPr>
              <w:pStyle w:val="2"/>
              <w:widowControl w:val="0"/>
              <w:ind w:left="0" w:lef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例2：举升机（四柱）</w:t>
            </w:r>
          </w:p>
        </w:tc>
        <w:tc>
          <w:tcPr>
            <w:tcW w:w="1267" w:type="dxa"/>
            <w:vAlign w:val="center"/>
          </w:tcPr>
          <w:p w14:paraId="6E5DA17F">
            <w:pPr>
              <w:pStyle w:val="2"/>
              <w:widowControl w:val="0"/>
              <w:ind w:left="0" w:leftChars="0" w:firstLine="0" w:firstLineChars="0"/>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x台</w:t>
            </w:r>
          </w:p>
        </w:tc>
        <w:tc>
          <w:tcPr>
            <w:tcW w:w="1752" w:type="dxa"/>
            <w:vAlign w:val="center"/>
          </w:tcPr>
          <w:p w14:paraId="55476EC1">
            <w:pPr>
              <w:pStyle w:val="2"/>
              <w:widowControl w:val="0"/>
              <w:ind w:left="0" w:leftChars="0" w:firstLine="0" w:firstLineChars="0"/>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租赁</w:t>
            </w:r>
          </w:p>
        </w:tc>
        <w:tc>
          <w:tcPr>
            <w:tcW w:w="2730" w:type="dxa"/>
            <w:vAlign w:val="center"/>
          </w:tcPr>
          <w:p w14:paraId="69866EE6">
            <w:pPr>
              <w:pStyle w:val="2"/>
              <w:widowControl w:val="0"/>
              <w:ind w:left="0" w:leftChars="0" w:firstLine="0" w:firstLineChars="0"/>
              <w:jc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租赁协议、照片等资料附后</w:t>
            </w:r>
          </w:p>
        </w:tc>
      </w:tr>
      <w:tr w14:paraId="6C0A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630" w:type="dxa"/>
          </w:tcPr>
          <w:p w14:paraId="315F8C80">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w:t>
            </w:r>
          </w:p>
        </w:tc>
        <w:tc>
          <w:tcPr>
            <w:tcW w:w="1267" w:type="dxa"/>
          </w:tcPr>
          <w:p w14:paraId="51BD8465">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1752" w:type="dxa"/>
          </w:tcPr>
          <w:p w14:paraId="1A2FBAAC">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2730" w:type="dxa"/>
          </w:tcPr>
          <w:p w14:paraId="37F149C1">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r>
      <w:tr w14:paraId="7E70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630" w:type="dxa"/>
          </w:tcPr>
          <w:p w14:paraId="7A9F4A7D">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1267" w:type="dxa"/>
          </w:tcPr>
          <w:p w14:paraId="743D9785">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1752" w:type="dxa"/>
          </w:tcPr>
          <w:p w14:paraId="10EF366F">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2730" w:type="dxa"/>
          </w:tcPr>
          <w:p w14:paraId="5475B77D">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r>
      <w:tr w14:paraId="7378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630" w:type="dxa"/>
          </w:tcPr>
          <w:p w14:paraId="18942B0A">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1267" w:type="dxa"/>
          </w:tcPr>
          <w:p w14:paraId="17292FCD">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1752" w:type="dxa"/>
          </w:tcPr>
          <w:p w14:paraId="3D56ABFA">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2730" w:type="dxa"/>
          </w:tcPr>
          <w:p w14:paraId="67CDF6D0">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r>
      <w:tr w14:paraId="658C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630" w:type="dxa"/>
          </w:tcPr>
          <w:p w14:paraId="1A498115">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1267" w:type="dxa"/>
          </w:tcPr>
          <w:p w14:paraId="6093C07E">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1752" w:type="dxa"/>
          </w:tcPr>
          <w:p w14:paraId="0C18059C">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2730" w:type="dxa"/>
          </w:tcPr>
          <w:p w14:paraId="0A7F7EBB">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r>
      <w:tr w14:paraId="0D26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630" w:type="dxa"/>
          </w:tcPr>
          <w:p w14:paraId="4E7182CC">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1267" w:type="dxa"/>
          </w:tcPr>
          <w:p w14:paraId="2D2F587B">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1752" w:type="dxa"/>
          </w:tcPr>
          <w:p w14:paraId="07433078">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c>
          <w:tcPr>
            <w:tcW w:w="2730" w:type="dxa"/>
          </w:tcPr>
          <w:p w14:paraId="73BA34E3">
            <w:pPr>
              <w:pStyle w:val="2"/>
              <w:widowControl w:val="0"/>
              <w:ind w:left="0" w:leftChars="0" w:firstLine="0" w:firstLineChars="0"/>
              <w:jc w:val="left"/>
              <w:rPr>
                <w:rFonts w:hint="eastAsia" w:ascii="宋体" w:hAnsi="宋体" w:eastAsia="宋体" w:cs="宋体"/>
                <w:sz w:val="24"/>
                <w:szCs w:val="24"/>
                <w:highlight w:val="none"/>
                <w:vertAlign w:val="baseline"/>
                <w:lang w:val="en-US" w:eastAsia="zh-CN"/>
              </w:rPr>
            </w:pPr>
          </w:p>
        </w:tc>
      </w:tr>
    </w:tbl>
    <w:p w14:paraId="69E11669">
      <w:pPr>
        <w:pStyle w:val="2"/>
        <w:jc w:val="both"/>
        <w:rPr>
          <w:rFonts w:hint="eastAsia" w:ascii="宋体" w:hAnsi="宋体" w:eastAsia="宋体" w:cs="宋体"/>
          <w:sz w:val="24"/>
          <w:szCs w:val="24"/>
          <w:highlight w:val="none"/>
          <w:vertAlign w:val="baseline"/>
          <w:lang w:val="en-US" w:eastAsia="zh-CN"/>
        </w:rPr>
      </w:pPr>
    </w:p>
    <w:p w14:paraId="5025FA35">
      <w:pPr>
        <w:pStyle w:val="2"/>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注：供应商应如实填写设备清单，并附相应的证明材料。</w:t>
      </w:r>
    </w:p>
    <w:p w14:paraId="72DD095B">
      <w:pPr>
        <w:pStyle w:val="2"/>
        <w:rPr>
          <w:rFonts w:hint="eastAsia"/>
          <w:highlight w:val="none"/>
        </w:rPr>
      </w:pPr>
    </w:p>
    <w:p w14:paraId="0F9C4120">
      <w:pPr>
        <w:rPr>
          <w:rFonts w:hint="eastAsia" w:ascii="黑体" w:hAnsi="黑体" w:eastAsia="黑体" w:cs="黑体"/>
          <w:color w:val="auto"/>
          <w:spacing w:val="-2"/>
          <w:sz w:val="28"/>
          <w:szCs w:val="28"/>
          <w:highlight w:val="none"/>
          <w:vertAlign w:val="baseline"/>
        </w:rPr>
      </w:pPr>
      <w:r>
        <w:rPr>
          <w:rFonts w:hint="eastAsia" w:ascii="黑体" w:hAnsi="黑体" w:eastAsia="黑体" w:cs="黑体"/>
          <w:color w:val="auto"/>
          <w:spacing w:val="-2"/>
          <w:sz w:val="28"/>
          <w:szCs w:val="28"/>
          <w:highlight w:val="none"/>
        </w:rPr>
        <w:br w:type="page"/>
      </w:r>
    </w:p>
    <w:p w14:paraId="7CA9BBFF">
      <w:pPr>
        <w:rPr>
          <w:rFonts w:hint="eastAsia" w:ascii="黑体" w:hAnsi="黑体" w:eastAsia="黑体" w:cs="黑体"/>
          <w:color w:val="auto"/>
          <w:spacing w:val="-2"/>
          <w:sz w:val="28"/>
          <w:szCs w:val="28"/>
          <w:highlight w:val="none"/>
        </w:rPr>
      </w:pPr>
    </w:p>
    <w:p w14:paraId="5EBD5D9F">
      <w:pPr>
        <w:spacing w:before="91" w:line="218" w:lineRule="auto"/>
        <w:ind w:left="3577"/>
        <w:outlineLvl w:val="1"/>
        <w:rPr>
          <w:rFonts w:ascii="黑体" w:hAnsi="黑体" w:eastAsia="黑体" w:cs="黑体"/>
          <w:color w:val="auto"/>
          <w:sz w:val="28"/>
          <w:szCs w:val="28"/>
          <w:highlight w:val="none"/>
        </w:rPr>
      </w:pPr>
      <w:r>
        <w:rPr>
          <w:rFonts w:ascii="黑体" w:hAnsi="黑体" w:eastAsia="黑体" w:cs="黑体"/>
          <w:color w:val="auto"/>
          <w:spacing w:val="-2"/>
          <w:sz w:val="28"/>
          <w:szCs w:val="28"/>
          <w:highlight w:val="none"/>
        </w:rPr>
        <w:t>中小企业声明函</w:t>
      </w:r>
    </w:p>
    <w:p w14:paraId="64F35D38">
      <w:pPr>
        <w:pStyle w:val="6"/>
        <w:spacing w:line="271" w:lineRule="auto"/>
        <w:rPr>
          <w:color w:val="auto"/>
          <w:highlight w:val="none"/>
        </w:rPr>
      </w:pPr>
    </w:p>
    <w:p w14:paraId="236EA74A">
      <w:pPr>
        <w:spacing w:before="78" w:line="396" w:lineRule="auto"/>
        <w:ind w:left="333" w:right="196"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本公司（联合体）郑重声明，根据《政府采购促进中</w:t>
      </w:r>
      <w:r>
        <w:rPr>
          <w:rFonts w:ascii="宋体" w:hAnsi="宋体" w:eastAsia="宋体" w:cs="宋体"/>
          <w:color w:val="auto"/>
          <w:spacing w:val="-1"/>
          <w:sz w:val="24"/>
          <w:szCs w:val="24"/>
          <w:highlight w:val="none"/>
        </w:rPr>
        <w:t>小企业发展管理办法》（财</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库﹝2020﹞46</w:t>
      </w:r>
      <w:r>
        <w:rPr>
          <w:rFonts w:ascii="宋体" w:hAnsi="宋体" w:eastAsia="宋体" w:cs="宋体"/>
          <w:color w:val="auto"/>
          <w:spacing w:val="-32"/>
          <w:sz w:val="24"/>
          <w:szCs w:val="24"/>
          <w:highlight w:val="none"/>
        </w:rPr>
        <w:t xml:space="preserve"> </w:t>
      </w:r>
      <w:r>
        <w:rPr>
          <w:rFonts w:ascii="宋体" w:hAnsi="宋体" w:eastAsia="宋体" w:cs="宋体"/>
          <w:color w:val="auto"/>
          <w:spacing w:val="-1"/>
          <w:sz w:val="24"/>
          <w:szCs w:val="24"/>
          <w:highlight w:val="none"/>
        </w:rPr>
        <w:t>号）的规定，本公司（联合体）参加</w:t>
      </w:r>
      <w:r>
        <w:rPr>
          <w:rFonts w:hint="eastAsia" w:ascii="宋体" w:hAnsi="宋体" w:eastAsia="宋体" w:cs="宋体"/>
          <w:color w:val="auto"/>
          <w:spacing w:val="-1"/>
          <w:sz w:val="24"/>
          <w:szCs w:val="24"/>
          <w:highlight w:val="none"/>
          <w:u w:val="single"/>
        </w:rPr>
        <w:t>金寨县机关事务管理服务中心</w:t>
      </w:r>
      <w:r>
        <w:rPr>
          <w:rFonts w:ascii="宋体" w:hAnsi="宋体" w:eastAsia="宋体" w:cs="宋体"/>
          <w:color w:val="auto"/>
          <w:spacing w:val="-1"/>
          <w:sz w:val="24"/>
          <w:szCs w:val="24"/>
          <w:highlight w:val="none"/>
        </w:rPr>
        <w:t>的</w:t>
      </w:r>
      <w:r>
        <w:rPr>
          <w:rFonts w:hint="eastAsia" w:ascii="宋体" w:hAnsi="宋体" w:eastAsia="宋体" w:cs="宋体"/>
          <w:color w:val="auto"/>
          <w:spacing w:val="-1"/>
          <w:sz w:val="24"/>
          <w:szCs w:val="24"/>
          <w:highlight w:val="none"/>
          <w:u w:val="single"/>
        </w:rPr>
        <w:t>2025-2027年度金寨县行政事业单位公务用车维修保养服务框架协议项目</w:t>
      </w:r>
      <w:r>
        <w:rPr>
          <w:rFonts w:ascii="宋体" w:hAnsi="宋体" w:eastAsia="宋体" w:cs="宋体"/>
          <w:color w:val="auto"/>
          <w:spacing w:val="-1"/>
          <w:sz w:val="24"/>
          <w:szCs w:val="24"/>
          <w:highlight w:val="none"/>
        </w:rPr>
        <w:t>采购活动，</w:t>
      </w:r>
      <w:r>
        <w:rPr>
          <w:rFonts w:ascii="宋体" w:hAnsi="宋体" w:eastAsia="宋体" w:cs="宋体"/>
          <w:color w:val="auto"/>
          <w:sz w:val="24"/>
          <w:szCs w:val="24"/>
          <w:highlight w:val="none"/>
        </w:rPr>
        <w:t>服务</w:t>
      </w:r>
      <w:r>
        <w:rPr>
          <w:rFonts w:ascii="宋体" w:hAnsi="宋体" w:eastAsia="宋体" w:cs="宋体"/>
          <w:color w:val="auto"/>
          <w:spacing w:val="-1"/>
          <w:sz w:val="24"/>
          <w:szCs w:val="24"/>
          <w:highlight w:val="none"/>
        </w:rPr>
        <w:t>全部由符合政策要求的中小</w:t>
      </w:r>
      <w:r>
        <w:rPr>
          <w:rFonts w:ascii="宋体" w:hAnsi="宋体" w:eastAsia="宋体" w:cs="宋体"/>
          <w:color w:val="auto"/>
          <w:sz w:val="24"/>
          <w:szCs w:val="24"/>
          <w:highlight w:val="none"/>
        </w:rPr>
        <w:t>企业承接。相关企业（含联合体中的中小企业、签订分</w:t>
      </w:r>
      <w:r>
        <w:rPr>
          <w:rFonts w:ascii="宋体" w:hAnsi="宋体" w:eastAsia="宋体" w:cs="宋体"/>
          <w:color w:val="auto"/>
          <w:spacing w:val="-1"/>
          <w:sz w:val="24"/>
          <w:szCs w:val="24"/>
          <w:highlight w:val="none"/>
        </w:rPr>
        <w:t>包意向协议的中小企业）的</w:t>
      </w:r>
      <w:r>
        <w:rPr>
          <w:rFonts w:ascii="宋体" w:hAnsi="宋体" w:eastAsia="宋体" w:cs="宋体"/>
          <w:color w:val="auto"/>
          <w:spacing w:val="-2"/>
          <w:sz w:val="24"/>
          <w:szCs w:val="24"/>
          <w:highlight w:val="none"/>
        </w:rPr>
        <w:t>具体情况如下：</w:t>
      </w:r>
    </w:p>
    <w:p w14:paraId="5F8722EA">
      <w:pPr>
        <w:spacing w:before="30" w:line="392" w:lineRule="auto"/>
        <w:ind w:left="335" w:right="256" w:firstLine="49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w:t>
      </w:r>
      <w:r>
        <w:rPr>
          <w:rFonts w:hint="eastAsia" w:ascii="宋体" w:hAnsi="宋体" w:eastAsia="宋体" w:cs="宋体"/>
          <w:color w:val="auto"/>
          <w:spacing w:val="-1"/>
          <w:sz w:val="24"/>
          <w:szCs w:val="24"/>
          <w:highlight w:val="none"/>
          <w:u w:val="single"/>
        </w:rPr>
        <w:t>2025-2027年度金寨县行政事业单位公务用车维修保养服务框架协议项目</w:t>
      </w:r>
      <w:r>
        <w:rPr>
          <w:rFonts w:ascii="宋体" w:hAnsi="宋体" w:eastAsia="宋体" w:cs="宋体"/>
          <w:color w:val="auto"/>
          <w:spacing w:val="2"/>
          <w:sz w:val="24"/>
          <w:szCs w:val="24"/>
          <w:highlight w:val="none"/>
        </w:rPr>
        <w:t>，</w:t>
      </w:r>
      <w:r>
        <w:rPr>
          <w:rFonts w:ascii="宋体" w:hAnsi="宋体" w:eastAsia="宋体" w:cs="宋体"/>
          <w:color w:val="auto"/>
          <w:spacing w:val="-1"/>
          <w:sz w:val="24"/>
          <w:szCs w:val="24"/>
          <w:highlight w:val="none"/>
        </w:rPr>
        <w:t>属于</w:t>
      </w:r>
      <w:r>
        <w:rPr>
          <w:rFonts w:hint="eastAsia" w:ascii="宋体" w:hAnsi="宋体" w:eastAsia="宋体" w:cs="宋体"/>
          <w:color w:val="auto"/>
          <w:spacing w:val="-1"/>
          <w:sz w:val="24"/>
          <w:szCs w:val="24"/>
          <w:highlight w:val="none"/>
          <w:u w:val="single" w:color="auto"/>
        </w:rPr>
        <w:t>居民服务、修理和其他服务业</w:t>
      </w:r>
      <w:r>
        <w:rPr>
          <w:rFonts w:ascii="宋体" w:hAnsi="宋体" w:eastAsia="宋体" w:cs="宋体"/>
          <w:color w:val="auto"/>
          <w:spacing w:val="-1"/>
          <w:sz w:val="24"/>
          <w:szCs w:val="24"/>
          <w:highlight w:val="none"/>
        </w:rPr>
        <w:t>；承建（承接）</w:t>
      </w:r>
      <w:r>
        <w:rPr>
          <w:rFonts w:ascii="宋体" w:hAnsi="宋体" w:eastAsia="宋体" w:cs="宋体"/>
          <w:color w:val="auto"/>
          <w:spacing w:val="-2"/>
          <w:sz w:val="24"/>
          <w:szCs w:val="24"/>
          <w:highlight w:val="none"/>
        </w:rPr>
        <w:t>企业为</w:t>
      </w:r>
      <w:r>
        <w:rPr>
          <w:rFonts w:ascii="宋体" w:hAnsi="宋体" w:eastAsia="宋体" w:cs="宋体"/>
          <w:color w:val="auto"/>
          <w:spacing w:val="-2"/>
          <w:sz w:val="24"/>
          <w:szCs w:val="24"/>
          <w:highlight w:val="none"/>
          <w:u w:val="single" w:color="auto"/>
        </w:rPr>
        <w:t>（企业名称</w:t>
      </w:r>
      <w:r>
        <w:rPr>
          <w:rFonts w:ascii="宋体" w:hAnsi="宋体" w:eastAsia="宋体" w:cs="宋体"/>
          <w:color w:val="auto"/>
          <w:spacing w:val="2"/>
          <w:sz w:val="24"/>
          <w:szCs w:val="24"/>
          <w:highlight w:val="none"/>
          <w:u w:val="single" w:color="auto"/>
        </w:rPr>
        <w:t>）</w:t>
      </w:r>
      <w:r>
        <w:rPr>
          <w:rFonts w:ascii="宋体" w:hAnsi="宋体" w:eastAsia="宋体" w:cs="宋体"/>
          <w:color w:val="auto"/>
          <w:spacing w:val="2"/>
          <w:sz w:val="24"/>
          <w:szCs w:val="24"/>
          <w:highlight w:val="none"/>
        </w:rPr>
        <w:t>，</w:t>
      </w:r>
      <w:r>
        <w:rPr>
          <w:rFonts w:ascii="宋体" w:hAnsi="宋体" w:eastAsia="宋体" w:cs="宋体"/>
          <w:color w:val="auto"/>
          <w:spacing w:val="3"/>
          <w:sz w:val="24"/>
          <w:szCs w:val="24"/>
          <w:highlight w:val="none"/>
        </w:rPr>
        <w:t xml:space="preserve"> </w:t>
      </w:r>
      <w:r>
        <w:rPr>
          <w:rFonts w:ascii="宋体" w:hAnsi="宋体" w:eastAsia="宋体" w:cs="宋体"/>
          <w:color w:val="auto"/>
          <w:sz w:val="24"/>
          <w:szCs w:val="24"/>
          <w:highlight w:val="none"/>
        </w:rPr>
        <w:t>从业人员</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人，营业收入为</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万元，资产总额为</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万</w:t>
      </w:r>
      <w:r>
        <w:rPr>
          <w:rFonts w:ascii="宋体" w:hAnsi="宋体" w:eastAsia="宋体" w:cs="宋体"/>
          <w:color w:val="auto"/>
          <w:spacing w:val="-1"/>
          <w:sz w:val="24"/>
          <w:szCs w:val="24"/>
          <w:highlight w:val="none"/>
        </w:rPr>
        <w:t>元，属于</w:t>
      </w:r>
      <w:r>
        <w:rPr>
          <w:rFonts w:ascii="宋体" w:hAnsi="宋体" w:eastAsia="宋体" w:cs="宋体"/>
          <w:color w:val="auto"/>
          <w:spacing w:val="-1"/>
          <w:sz w:val="24"/>
          <w:szCs w:val="24"/>
          <w:highlight w:val="none"/>
          <w:u w:val="single" w:color="auto"/>
        </w:rPr>
        <w:t>（中型企业、小</w:t>
      </w:r>
      <w:r>
        <w:rPr>
          <w:rFonts w:ascii="宋体" w:hAnsi="宋体" w:eastAsia="宋体" w:cs="宋体"/>
          <w:color w:val="auto"/>
          <w:spacing w:val="3"/>
          <w:sz w:val="24"/>
          <w:szCs w:val="24"/>
          <w:highlight w:val="none"/>
        </w:rPr>
        <w:t xml:space="preserve"> </w:t>
      </w:r>
      <w:r>
        <w:rPr>
          <w:rFonts w:ascii="宋体" w:hAnsi="宋体" w:eastAsia="宋体" w:cs="宋体"/>
          <w:color w:val="auto"/>
          <w:spacing w:val="-2"/>
          <w:sz w:val="24"/>
          <w:szCs w:val="24"/>
          <w:highlight w:val="none"/>
          <w:u w:val="single" w:color="auto"/>
        </w:rPr>
        <w:t>型企业、微型企业</w:t>
      </w:r>
      <w:r>
        <w:rPr>
          <w:rFonts w:ascii="宋体" w:hAnsi="宋体" w:eastAsia="宋体" w:cs="宋体"/>
          <w:color w:val="auto"/>
          <w:spacing w:val="16"/>
          <w:sz w:val="24"/>
          <w:szCs w:val="24"/>
          <w:highlight w:val="none"/>
          <w:u w:val="single" w:color="auto"/>
        </w:rPr>
        <w:t>）；</w:t>
      </w:r>
    </w:p>
    <w:p w14:paraId="2EF342A8">
      <w:pPr>
        <w:spacing w:before="245" w:line="387" w:lineRule="auto"/>
        <w:ind w:left="331" w:right="256" w:firstLine="50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以上企业，不属于大企业的分支机构，不存在控股股东为大企业的情形，</w:t>
      </w:r>
      <w:r>
        <w:rPr>
          <w:rFonts w:ascii="宋体" w:hAnsi="宋体" w:eastAsia="宋体" w:cs="宋体"/>
          <w:color w:val="auto"/>
          <w:spacing w:val="-2"/>
          <w:sz w:val="24"/>
          <w:szCs w:val="24"/>
          <w:highlight w:val="none"/>
        </w:rPr>
        <w:t>也不存</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在与大企业的负责人为同一人的情形。</w:t>
      </w:r>
    </w:p>
    <w:p w14:paraId="697B37AF">
      <w:pPr>
        <w:spacing w:before="33" w:line="219" w:lineRule="auto"/>
        <w:ind w:left="813"/>
        <w:rPr>
          <w:rFonts w:ascii="宋体" w:hAnsi="宋体" w:eastAsia="宋体" w:cs="宋体"/>
          <w:color w:val="auto"/>
          <w:sz w:val="24"/>
          <w:szCs w:val="24"/>
          <w:highlight w:val="none"/>
        </w:rPr>
      </w:pPr>
      <w:r>
        <w:rPr>
          <w:rFonts w:ascii="宋体" w:hAnsi="宋体" w:eastAsia="宋体" w:cs="宋体"/>
          <w:color w:val="auto"/>
          <w:sz w:val="24"/>
          <w:szCs w:val="24"/>
          <w:highlight w:val="none"/>
        </w:rPr>
        <w:t>本企业对上述声明内容的真实性负责。如有虚</w:t>
      </w:r>
      <w:r>
        <w:rPr>
          <w:rFonts w:ascii="宋体" w:hAnsi="宋体" w:eastAsia="宋体" w:cs="宋体"/>
          <w:color w:val="auto"/>
          <w:spacing w:val="-1"/>
          <w:sz w:val="24"/>
          <w:szCs w:val="24"/>
          <w:highlight w:val="none"/>
        </w:rPr>
        <w:t>假，将依法承担相应责任。</w:t>
      </w:r>
    </w:p>
    <w:p w14:paraId="32B9E57E">
      <w:pPr>
        <w:pStyle w:val="6"/>
        <w:spacing w:line="320" w:lineRule="auto"/>
        <w:rPr>
          <w:color w:val="auto"/>
          <w:highlight w:val="none"/>
        </w:rPr>
      </w:pPr>
    </w:p>
    <w:p w14:paraId="259567B5">
      <w:pPr>
        <w:pStyle w:val="6"/>
        <w:spacing w:line="321" w:lineRule="auto"/>
        <w:rPr>
          <w:color w:val="auto"/>
          <w:highlight w:val="none"/>
        </w:rPr>
      </w:pPr>
    </w:p>
    <w:p w14:paraId="48F0B7C7">
      <w:pPr>
        <w:spacing w:before="78" w:line="356" w:lineRule="auto"/>
        <w:ind w:left="5081" w:right="2078" w:hanging="38"/>
        <w:rPr>
          <w:rFonts w:ascii="宋体" w:hAnsi="宋体" w:eastAsia="宋体" w:cs="宋体"/>
          <w:color w:val="auto"/>
          <w:sz w:val="24"/>
          <w:szCs w:val="24"/>
          <w:highlight w:val="none"/>
        </w:rPr>
      </w:pPr>
      <w:r>
        <w:rPr>
          <w:rFonts w:ascii="宋体" w:hAnsi="宋体" w:eastAsia="宋体" w:cs="宋体"/>
          <w:b/>
          <w:bCs/>
          <w:color w:val="auto"/>
          <w:spacing w:val="-9"/>
          <w:sz w:val="24"/>
          <w:szCs w:val="24"/>
          <w:highlight w:val="none"/>
        </w:rPr>
        <w:t>投标供应商电子签章：</w:t>
      </w:r>
      <w:r>
        <w:rPr>
          <w:rFonts w:ascii="宋体" w:hAnsi="宋体" w:eastAsia="宋体" w:cs="宋体"/>
          <w:color w:val="auto"/>
          <w:sz w:val="24"/>
          <w:szCs w:val="24"/>
          <w:highlight w:val="none"/>
        </w:rPr>
        <w:t xml:space="preserve"> </w:t>
      </w:r>
      <w:r>
        <w:rPr>
          <w:rFonts w:ascii="宋体" w:hAnsi="宋体" w:eastAsia="宋体" w:cs="宋体"/>
          <w:b/>
          <w:bCs/>
          <w:color w:val="auto"/>
          <w:spacing w:val="-24"/>
          <w:sz w:val="24"/>
          <w:szCs w:val="24"/>
          <w:highlight w:val="none"/>
        </w:rPr>
        <w:t>日</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24"/>
          <w:sz w:val="24"/>
          <w:szCs w:val="24"/>
          <w:highlight w:val="none"/>
        </w:rPr>
        <w:t>期：</w:t>
      </w:r>
    </w:p>
    <w:p w14:paraId="2B6A320A">
      <w:pPr>
        <w:pStyle w:val="6"/>
        <w:spacing w:line="244" w:lineRule="auto"/>
        <w:rPr>
          <w:color w:val="auto"/>
          <w:highlight w:val="none"/>
        </w:rPr>
      </w:pPr>
    </w:p>
    <w:p w14:paraId="6247859C">
      <w:pPr>
        <w:pStyle w:val="6"/>
        <w:spacing w:line="245" w:lineRule="auto"/>
        <w:rPr>
          <w:color w:val="auto"/>
          <w:highlight w:val="none"/>
        </w:rPr>
      </w:pPr>
    </w:p>
    <w:p w14:paraId="7622A262">
      <w:pPr>
        <w:spacing w:before="79" w:line="371" w:lineRule="auto"/>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注：</w:t>
      </w:r>
      <w:r>
        <w:rPr>
          <w:rFonts w:ascii="宋体" w:hAnsi="宋体" w:eastAsia="宋体" w:cs="宋体"/>
          <w:color w:val="auto"/>
          <w:spacing w:val="5"/>
          <w:sz w:val="24"/>
          <w:szCs w:val="24"/>
          <w:highlight w:val="none"/>
        </w:rPr>
        <w:t>1、从业人员、营业收入、资产总额填报上一年度数据，无上一年度数据的新成立企</w:t>
      </w:r>
      <w:r>
        <w:rPr>
          <w:rFonts w:ascii="宋体" w:hAnsi="宋体" w:eastAsia="宋体" w:cs="宋体"/>
          <w:color w:val="auto"/>
          <w:spacing w:val="17"/>
          <w:sz w:val="24"/>
          <w:szCs w:val="24"/>
          <w:highlight w:val="none"/>
        </w:rPr>
        <w:t xml:space="preserve"> </w:t>
      </w:r>
      <w:r>
        <w:rPr>
          <w:rFonts w:ascii="宋体" w:hAnsi="宋体" w:eastAsia="宋体" w:cs="宋体"/>
          <w:color w:val="auto"/>
          <w:spacing w:val="2"/>
          <w:sz w:val="24"/>
          <w:szCs w:val="24"/>
          <w:highlight w:val="none"/>
        </w:rPr>
        <w:t>业可不填报。</w:t>
      </w:r>
    </w:p>
    <w:p w14:paraId="7BA6D91D">
      <w:pPr>
        <w:spacing w:before="36" w:line="372" w:lineRule="auto"/>
        <w:ind w:left="33" w:right="232" w:firstLine="474"/>
        <w:rPr>
          <w:rFonts w:hint="eastAsia" w:ascii="宋体" w:hAnsi="宋体" w:eastAsia="宋体" w:cs="宋体"/>
          <w:color w:val="auto"/>
          <w:spacing w:val="5"/>
          <w:sz w:val="24"/>
          <w:szCs w:val="24"/>
          <w:highlight w:val="none"/>
          <w:lang w:val="en-US" w:eastAsia="zh-CN"/>
        </w:rPr>
        <w:sectPr>
          <w:footerReference r:id="rId36" w:type="default"/>
          <w:pgSz w:w="11911" w:h="16840"/>
          <w:pgMar w:top="1429" w:right="1763" w:bottom="862" w:left="1655" w:header="0" w:footer="680" w:gutter="0"/>
          <w:cols w:space="0" w:num="1"/>
          <w:rtlGutter w:val="0"/>
          <w:docGrid w:linePitch="0" w:charSpace="0"/>
        </w:sectPr>
      </w:pPr>
      <w:r>
        <w:rPr>
          <w:rFonts w:ascii="宋体" w:hAnsi="宋体" w:eastAsia="宋体" w:cs="宋体"/>
          <w:color w:val="auto"/>
          <w:spacing w:val="5"/>
          <w:sz w:val="24"/>
          <w:szCs w:val="24"/>
          <w:highlight w:val="none"/>
        </w:rPr>
        <w:t>2、企业划型标准按照《关于印发中小企业划型标准规定的通知》（工信部联企业</w:t>
      </w:r>
      <w:r>
        <w:rPr>
          <w:rFonts w:ascii="宋体" w:hAnsi="宋体" w:eastAsia="宋体" w:cs="宋体"/>
          <w:color w:val="auto"/>
          <w:spacing w:val="17"/>
          <w:sz w:val="24"/>
          <w:szCs w:val="24"/>
          <w:highlight w:val="none"/>
        </w:rPr>
        <w:t xml:space="preserve"> </w:t>
      </w:r>
      <w:r>
        <w:rPr>
          <w:rFonts w:ascii="宋体" w:hAnsi="宋体" w:eastAsia="宋体" w:cs="宋体"/>
          <w:color w:val="auto"/>
          <w:spacing w:val="2"/>
          <w:sz w:val="24"/>
          <w:szCs w:val="24"/>
          <w:highlight w:val="none"/>
        </w:rPr>
        <w:t>〔2011〕300号）规定执行。</w:t>
      </w:r>
      <w:r>
        <w:rPr>
          <w:rFonts w:hint="eastAsia" w:ascii="宋体" w:hAnsi="宋体" w:eastAsia="宋体" w:cs="宋体"/>
          <w:color w:val="auto"/>
          <w:spacing w:val="2"/>
          <w:sz w:val="24"/>
          <w:szCs w:val="24"/>
          <w:highlight w:val="none"/>
          <w:lang w:val="en-US" w:eastAsia="zh-CN"/>
        </w:rPr>
        <w:t>其中</w:t>
      </w:r>
      <w:r>
        <w:rPr>
          <w:rFonts w:hint="eastAsia" w:ascii="宋体" w:hAnsi="宋体" w:eastAsia="宋体" w:cs="宋体"/>
          <w:color w:val="auto"/>
          <w:spacing w:val="-1"/>
          <w:sz w:val="24"/>
          <w:szCs w:val="24"/>
          <w:highlight w:val="none"/>
          <w:u w:val="single" w:color="auto"/>
        </w:rPr>
        <w:t>居民服务、修理和其他服务业</w:t>
      </w:r>
      <w:r>
        <w:rPr>
          <w:rFonts w:hint="eastAsia" w:ascii="宋体" w:hAnsi="宋体" w:eastAsia="宋体" w:cs="宋体"/>
          <w:color w:val="auto"/>
          <w:spacing w:val="-1"/>
          <w:sz w:val="24"/>
          <w:szCs w:val="24"/>
          <w:highlight w:val="none"/>
          <w:u w:val="single" w:color="auto"/>
          <w:lang w:eastAsia="zh-CN"/>
        </w:rPr>
        <w:t>的划型标准为</w:t>
      </w:r>
      <w:r>
        <w:rPr>
          <w:rFonts w:hint="eastAsia" w:ascii="宋体" w:hAnsi="宋体" w:eastAsia="宋体" w:cs="宋体"/>
          <w:color w:val="auto"/>
          <w:spacing w:val="-1"/>
          <w:sz w:val="24"/>
          <w:szCs w:val="24"/>
          <w:highlight w:val="none"/>
          <w:u w:val="none" w:color="auto"/>
          <w:lang w:eastAsia="zh-CN"/>
        </w:rPr>
        <w:t>：</w:t>
      </w:r>
      <w:r>
        <w:rPr>
          <w:rFonts w:hint="eastAsia" w:ascii="宋体" w:hAnsi="宋体" w:eastAsia="宋体" w:cs="宋体"/>
          <w:color w:val="auto"/>
          <w:spacing w:val="5"/>
          <w:sz w:val="24"/>
          <w:szCs w:val="24"/>
          <w:highlight w:val="none"/>
          <w:lang w:eastAsia="zh-CN"/>
        </w:rPr>
        <w:t>从业人员300人以下的为中小微型企业。其中，从业人员100人及以上的为中型企业；从业人员10人及以上的为小型企业；从业人员10人以下的为微型企业。</w:t>
      </w:r>
    </w:p>
    <w:p w14:paraId="013ED341">
      <w:pPr>
        <w:spacing w:before="48" w:line="220" w:lineRule="auto"/>
        <w:ind w:left="350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残疾人福利性单位声明函</w:t>
      </w:r>
    </w:p>
    <w:p w14:paraId="256C4182">
      <w:pPr>
        <w:spacing w:before="194" w:line="220" w:lineRule="auto"/>
        <w:ind w:left="267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（非残疾人福利性单位投标，不需此件）</w:t>
      </w:r>
    </w:p>
    <w:p w14:paraId="1D573D92">
      <w:pPr>
        <w:pStyle w:val="6"/>
        <w:spacing w:line="296" w:lineRule="auto"/>
        <w:rPr>
          <w:color w:val="auto"/>
          <w:highlight w:val="none"/>
        </w:rPr>
      </w:pPr>
    </w:p>
    <w:p w14:paraId="13E6AAA9">
      <w:pPr>
        <w:pStyle w:val="6"/>
        <w:spacing w:line="297" w:lineRule="auto"/>
        <w:rPr>
          <w:color w:val="auto"/>
          <w:highlight w:val="none"/>
        </w:rPr>
      </w:pPr>
    </w:p>
    <w:p w14:paraId="379064F2">
      <w:pPr>
        <w:spacing w:before="78" w:line="355" w:lineRule="auto"/>
        <w:ind w:firstLine="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本单位郑重声明，根据《财政部</w:t>
      </w:r>
      <w:r>
        <w:rPr>
          <w:rFonts w:ascii="宋体" w:hAnsi="宋体" w:eastAsia="宋体" w:cs="宋体"/>
          <w:color w:val="auto"/>
          <w:spacing w:val="33"/>
          <w:sz w:val="24"/>
          <w:szCs w:val="24"/>
          <w:highlight w:val="none"/>
        </w:rPr>
        <w:t xml:space="preserve"> </w:t>
      </w:r>
      <w:r>
        <w:rPr>
          <w:rFonts w:ascii="宋体" w:hAnsi="宋体" w:eastAsia="宋体" w:cs="宋体"/>
          <w:color w:val="auto"/>
          <w:spacing w:val="-2"/>
          <w:sz w:val="24"/>
          <w:szCs w:val="24"/>
          <w:highlight w:val="none"/>
        </w:rPr>
        <w:t>民政部</w:t>
      </w:r>
      <w:r>
        <w:rPr>
          <w:rFonts w:ascii="宋体" w:hAnsi="宋体" w:eastAsia="宋体" w:cs="宋体"/>
          <w:color w:val="auto"/>
          <w:spacing w:val="32"/>
          <w:sz w:val="24"/>
          <w:szCs w:val="24"/>
          <w:highlight w:val="none"/>
        </w:rPr>
        <w:t xml:space="preserve"> </w:t>
      </w:r>
      <w:r>
        <w:rPr>
          <w:rFonts w:ascii="宋体" w:hAnsi="宋体" w:eastAsia="宋体" w:cs="宋体"/>
          <w:color w:val="auto"/>
          <w:spacing w:val="-2"/>
          <w:sz w:val="24"/>
          <w:szCs w:val="24"/>
          <w:highlight w:val="none"/>
        </w:rPr>
        <w:t>中国残疾人联合会关于促进残疾人就业</w:t>
      </w:r>
      <w:r>
        <w:rPr>
          <w:rFonts w:ascii="宋体" w:hAnsi="宋体" w:eastAsia="宋体" w:cs="宋体"/>
          <w:color w:val="auto"/>
          <w:spacing w:val="-3"/>
          <w:sz w:val="24"/>
          <w:szCs w:val="24"/>
          <w:highlight w:val="none"/>
        </w:rPr>
        <w:t>政府采</w:t>
      </w:r>
      <w:r>
        <w:rPr>
          <w:rFonts w:ascii="宋体" w:hAnsi="宋体" w:eastAsia="宋体" w:cs="宋体"/>
          <w:color w:val="auto"/>
          <w:sz w:val="24"/>
          <w:szCs w:val="24"/>
          <w:highlight w:val="none"/>
        </w:rPr>
        <w:t xml:space="preserve"> 购政策的通知》（财库〔2017〕141号）的规定，本单位为符合条件的</w:t>
      </w:r>
      <w:r>
        <w:rPr>
          <w:rFonts w:ascii="宋体" w:hAnsi="宋体" w:eastAsia="宋体" w:cs="宋体"/>
          <w:color w:val="auto"/>
          <w:spacing w:val="-1"/>
          <w:sz w:val="24"/>
          <w:szCs w:val="24"/>
          <w:highlight w:val="none"/>
        </w:rPr>
        <w:t>残疾人福利性单位，</w:t>
      </w:r>
    </w:p>
    <w:p w14:paraId="1638B6CF">
      <w:pPr>
        <w:spacing w:before="36" w:line="219" w:lineRule="auto"/>
        <w:ind w:left="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且本单位参加</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7"/>
          <w:sz w:val="24"/>
          <w:szCs w:val="24"/>
          <w:highlight w:val="none"/>
        </w:rPr>
        <w:t xml:space="preserve"> </w:t>
      </w:r>
      <w:r>
        <w:rPr>
          <w:rFonts w:ascii="宋体" w:hAnsi="宋体" w:eastAsia="宋体" w:cs="宋体"/>
          <w:color w:val="auto"/>
          <w:spacing w:val="-1"/>
          <w:sz w:val="24"/>
          <w:szCs w:val="24"/>
          <w:highlight w:val="none"/>
        </w:rPr>
        <w:t>项目（项目编号</w:t>
      </w:r>
      <w:r>
        <w:rPr>
          <w:rFonts w:ascii="宋体" w:hAnsi="宋体" w:eastAsia="宋体" w:cs="宋体"/>
          <w:color w:val="auto"/>
          <w:spacing w:val="-13"/>
          <w:sz w:val="24"/>
          <w:szCs w:val="24"/>
          <w:highlight w:val="none"/>
        </w:rPr>
        <w:t>：</w:t>
      </w:r>
      <w:r>
        <w:rPr>
          <w:rFonts w:ascii="宋体" w:hAnsi="宋体" w:eastAsia="宋体" w:cs="宋体"/>
          <w:color w:val="auto"/>
          <w:spacing w:val="30"/>
          <w:sz w:val="24"/>
          <w:szCs w:val="24"/>
          <w:highlight w:val="none"/>
          <w:u w:val="single" w:color="auto"/>
        </w:rPr>
        <w:t xml:space="preserve">    </w:t>
      </w:r>
      <w:r>
        <w:rPr>
          <w:rFonts w:ascii="宋体" w:hAnsi="宋体" w:eastAsia="宋体" w:cs="宋体"/>
          <w:color w:val="auto"/>
          <w:spacing w:val="-85"/>
          <w:sz w:val="24"/>
          <w:szCs w:val="24"/>
          <w:highlight w:val="none"/>
        </w:rPr>
        <w:t xml:space="preserve"> </w:t>
      </w:r>
      <w:r>
        <w:rPr>
          <w:rFonts w:ascii="宋体" w:hAnsi="宋体" w:eastAsia="宋体" w:cs="宋体"/>
          <w:color w:val="auto"/>
          <w:spacing w:val="-13"/>
          <w:sz w:val="24"/>
          <w:szCs w:val="24"/>
          <w:highlight w:val="none"/>
        </w:rPr>
        <w:t>）</w:t>
      </w:r>
      <w:r>
        <w:rPr>
          <w:rFonts w:ascii="宋体" w:hAnsi="宋体" w:eastAsia="宋体" w:cs="宋体"/>
          <w:color w:val="auto"/>
          <w:spacing w:val="-1"/>
          <w:sz w:val="24"/>
          <w:szCs w:val="24"/>
          <w:highlight w:val="none"/>
        </w:rPr>
        <w:t>采购活动由本单位提供服</w:t>
      </w:r>
      <w:r>
        <w:rPr>
          <w:rFonts w:ascii="宋体" w:hAnsi="宋体" w:eastAsia="宋体" w:cs="宋体"/>
          <w:color w:val="auto"/>
          <w:spacing w:val="-2"/>
          <w:sz w:val="24"/>
          <w:szCs w:val="24"/>
          <w:highlight w:val="none"/>
        </w:rPr>
        <w:t>务。</w:t>
      </w:r>
    </w:p>
    <w:p w14:paraId="3F6714F2">
      <w:pPr>
        <w:spacing w:before="195" w:line="219" w:lineRule="auto"/>
        <w:ind w:left="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本单位对上述声明的真实性负责。如有虚假，将依法承担相应责任。</w:t>
      </w:r>
    </w:p>
    <w:p w14:paraId="6CB011F2">
      <w:pPr>
        <w:pStyle w:val="6"/>
        <w:spacing w:line="257" w:lineRule="auto"/>
        <w:rPr>
          <w:color w:val="auto"/>
          <w:highlight w:val="none"/>
        </w:rPr>
      </w:pPr>
    </w:p>
    <w:p w14:paraId="25F8D709">
      <w:pPr>
        <w:pStyle w:val="6"/>
        <w:spacing w:line="258" w:lineRule="auto"/>
        <w:rPr>
          <w:color w:val="auto"/>
          <w:highlight w:val="none"/>
        </w:rPr>
      </w:pPr>
    </w:p>
    <w:p w14:paraId="758E5FBD">
      <w:pPr>
        <w:pStyle w:val="6"/>
        <w:spacing w:line="258" w:lineRule="auto"/>
        <w:rPr>
          <w:color w:val="auto"/>
          <w:highlight w:val="none"/>
        </w:rPr>
      </w:pPr>
    </w:p>
    <w:p w14:paraId="3D076556">
      <w:pPr>
        <w:pStyle w:val="6"/>
        <w:spacing w:line="258" w:lineRule="auto"/>
        <w:rPr>
          <w:color w:val="auto"/>
          <w:highlight w:val="none"/>
        </w:rPr>
      </w:pPr>
    </w:p>
    <w:p w14:paraId="098E88CF">
      <w:pPr>
        <w:pStyle w:val="6"/>
        <w:spacing w:line="258" w:lineRule="auto"/>
        <w:rPr>
          <w:color w:val="auto"/>
          <w:highlight w:val="none"/>
        </w:rPr>
      </w:pPr>
    </w:p>
    <w:p w14:paraId="1ED9D870">
      <w:pPr>
        <w:pStyle w:val="6"/>
        <w:spacing w:line="258" w:lineRule="auto"/>
        <w:rPr>
          <w:color w:val="auto"/>
          <w:highlight w:val="none"/>
        </w:rPr>
      </w:pPr>
    </w:p>
    <w:p w14:paraId="62E80C38">
      <w:pPr>
        <w:spacing w:before="78" w:line="356" w:lineRule="auto"/>
        <w:ind w:left="5082" w:right="2210" w:hanging="38"/>
        <w:rPr>
          <w:rFonts w:ascii="宋体" w:hAnsi="宋体" w:eastAsia="宋体" w:cs="宋体"/>
          <w:color w:val="auto"/>
          <w:sz w:val="24"/>
          <w:szCs w:val="24"/>
          <w:highlight w:val="none"/>
        </w:rPr>
      </w:pPr>
      <w:r>
        <w:rPr>
          <w:rFonts w:ascii="宋体" w:hAnsi="宋体" w:eastAsia="宋体" w:cs="宋体"/>
          <w:b/>
          <w:bCs/>
          <w:color w:val="auto"/>
          <w:spacing w:val="-9"/>
          <w:sz w:val="24"/>
          <w:szCs w:val="24"/>
          <w:highlight w:val="none"/>
        </w:rPr>
        <w:t>投标供应商电子签章：</w:t>
      </w:r>
      <w:r>
        <w:rPr>
          <w:rFonts w:ascii="宋体" w:hAnsi="宋体" w:eastAsia="宋体" w:cs="宋体"/>
          <w:color w:val="auto"/>
          <w:sz w:val="24"/>
          <w:szCs w:val="24"/>
          <w:highlight w:val="none"/>
        </w:rPr>
        <w:t xml:space="preserve"> </w:t>
      </w:r>
      <w:r>
        <w:rPr>
          <w:rFonts w:ascii="宋体" w:hAnsi="宋体" w:eastAsia="宋体" w:cs="宋体"/>
          <w:b/>
          <w:bCs/>
          <w:color w:val="auto"/>
          <w:spacing w:val="-24"/>
          <w:sz w:val="24"/>
          <w:szCs w:val="24"/>
          <w:highlight w:val="none"/>
        </w:rPr>
        <w:t>日</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24"/>
          <w:sz w:val="24"/>
          <w:szCs w:val="24"/>
          <w:highlight w:val="none"/>
        </w:rPr>
        <w:t>期：</w:t>
      </w:r>
    </w:p>
    <w:p w14:paraId="115A1A27">
      <w:pPr>
        <w:spacing w:line="356" w:lineRule="auto"/>
        <w:rPr>
          <w:rFonts w:ascii="宋体" w:hAnsi="宋体" w:eastAsia="宋体" w:cs="宋体"/>
          <w:color w:val="auto"/>
          <w:sz w:val="24"/>
          <w:szCs w:val="24"/>
          <w:highlight w:val="none"/>
        </w:rPr>
        <w:sectPr>
          <w:footerReference r:id="rId37" w:type="default"/>
          <w:pgSz w:w="11911" w:h="16840"/>
          <w:pgMar w:top="1429" w:right="1763" w:bottom="862" w:left="1655" w:header="0" w:footer="680" w:gutter="0"/>
          <w:cols w:space="0" w:num="1"/>
          <w:rtlGutter w:val="0"/>
          <w:docGrid w:linePitch="0" w:charSpace="0"/>
        </w:sectPr>
      </w:pPr>
    </w:p>
    <w:p w14:paraId="0068E793">
      <w:pPr>
        <w:spacing w:before="55" w:line="218" w:lineRule="auto"/>
        <w:ind w:left="2986"/>
        <w:outlineLvl w:val="1"/>
        <w:rPr>
          <w:rFonts w:ascii="黑体" w:hAnsi="黑体" w:eastAsia="黑体" w:cs="黑体"/>
          <w:color w:val="auto"/>
          <w:sz w:val="28"/>
          <w:szCs w:val="28"/>
          <w:highlight w:val="none"/>
        </w:rPr>
      </w:pPr>
      <w:bookmarkStart w:id="60" w:name="bookmark38"/>
      <w:bookmarkEnd w:id="60"/>
      <w:r>
        <w:rPr>
          <w:rFonts w:hint="eastAsia" w:ascii="黑体" w:hAnsi="黑体" w:eastAsia="黑体" w:cs="黑体"/>
          <w:color w:val="auto"/>
          <w:spacing w:val="-2"/>
          <w:sz w:val="28"/>
          <w:szCs w:val="28"/>
          <w:highlight w:val="none"/>
          <w:lang w:val="en-US" w:eastAsia="zh-CN"/>
        </w:rPr>
        <w:t>七</w:t>
      </w:r>
      <w:r>
        <w:rPr>
          <w:rFonts w:ascii="黑体" w:hAnsi="黑体" w:eastAsia="黑体" w:cs="黑体"/>
          <w:color w:val="auto"/>
          <w:spacing w:val="-2"/>
          <w:sz w:val="28"/>
          <w:szCs w:val="28"/>
          <w:highlight w:val="none"/>
        </w:rPr>
        <w:t>、供应商资格证明材料</w:t>
      </w:r>
    </w:p>
    <w:p w14:paraId="422D2280">
      <w:pPr>
        <w:pStyle w:val="6"/>
        <w:spacing w:line="259" w:lineRule="auto"/>
        <w:rPr>
          <w:color w:val="auto"/>
          <w:highlight w:val="none"/>
        </w:rPr>
      </w:pPr>
    </w:p>
    <w:p w14:paraId="2484C2A2">
      <w:pPr>
        <w:pStyle w:val="6"/>
        <w:spacing w:line="259" w:lineRule="auto"/>
        <w:rPr>
          <w:color w:val="auto"/>
          <w:highlight w:val="none"/>
        </w:rPr>
      </w:pPr>
    </w:p>
    <w:p w14:paraId="604DABF5">
      <w:pPr>
        <w:pStyle w:val="6"/>
        <w:spacing w:line="260" w:lineRule="auto"/>
        <w:rPr>
          <w:color w:val="auto"/>
          <w:highlight w:val="none"/>
        </w:rPr>
      </w:pPr>
    </w:p>
    <w:p w14:paraId="100E226D">
      <w:pPr>
        <w:spacing w:before="78" w:line="460" w:lineRule="auto"/>
        <w:ind w:firstLine="766"/>
        <w:jc w:val="both"/>
        <w:rPr>
          <w:rFonts w:ascii="宋体" w:hAnsi="宋体" w:eastAsia="宋体" w:cs="宋体"/>
          <w:color w:val="auto"/>
          <w:sz w:val="24"/>
          <w:szCs w:val="24"/>
          <w:highlight w:val="none"/>
        </w:rPr>
      </w:pPr>
      <w:r>
        <w:rPr>
          <w:rFonts w:ascii="宋体" w:hAnsi="宋体" w:eastAsia="宋体" w:cs="宋体"/>
          <w:color w:val="auto"/>
          <w:spacing w:val="4"/>
          <w:sz w:val="22"/>
          <w:szCs w:val="22"/>
          <w:highlight w:val="none"/>
        </w:rPr>
        <w:t>1.</w:t>
      </w:r>
      <w:r>
        <w:rPr>
          <w:rFonts w:ascii="宋体" w:hAnsi="宋体" w:eastAsia="宋体" w:cs="宋体"/>
          <w:color w:val="auto"/>
          <w:spacing w:val="4"/>
          <w:sz w:val="24"/>
          <w:szCs w:val="24"/>
          <w:highlight w:val="none"/>
        </w:rPr>
        <w:t>满足《中华人民共和国政府采购法》第二十二条规定</w:t>
      </w:r>
      <w:r>
        <w:rPr>
          <w:rFonts w:ascii="宋体" w:hAnsi="宋体" w:eastAsia="宋体" w:cs="宋体"/>
          <w:color w:val="auto"/>
          <w:spacing w:val="70"/>
          <w:sz w:val="24"/>
          <w:szCs w:val="24"/>
          <w:highlight w:val="none"/>
        </w:rPr>
        <w:t xml:space="preserve"> </w:t>
      </w:r>
      <w:r>
        <w:rPr>
          <w:rFonts w:ascii="宋体" w:hAnsi="宋体" w:eastAsia="宋体" w:cs="宋体"/>
          <w:color w:val="auto"/>
          <w:spacing w:val="4"/>
          <w:sz w:val="24"/>
          <w:szCs w:val="24"/>
          <w:highlight w:val="none"/>
        </w:rPr>
        <w:t>(响应文件中须提供</w:t>
      </w:r>
      <w:r>
        <w:rPr>
          <w:rFonts w:ascii="宋体" w:hAnsi="宋体" w:eastAsia="宋体" w:cs="宋体"/>
          <w:color w:val="auto"/>
          <w:sz w:val="24"/>
          <w:szCs w:val="24"/>
          <w:highlight w:val="none"/>
        </w:rPr>
        <w:t xml:space="preserve"> </w:t>
      </w:r>
      <w:r>
        <w:rPr>
          <w:rFonts w:ascii="宋体" w:hAnsi="宋体" w:eastAsia="宋体" w:cs="宋体"/>
          <w:color w:val="auto"/>
          <w:spacing w:val="6"/>
          <w:sz w:val="24"/>
          <w:szCs w:val="24"/>
          <w:highlight w:val="none"/>
        </w:rPr>
        <w:t>有效期内的营业执照</w:t>
      </w:r>
      <w:r>
        <w:rPr>
          <w:rFonts w:ascii="宋体" w:hAnsi="宋体" w:eastAsia="宋体" w:cs="宋体"/>
          <w:color w:val="auto"/>
          <w:spacing w:val="87"/>
          <w:sz w:val="24"/>
          <w:szCs w:val="24"/>
          <w:highlight w:val="none"/>
        </w:rPr>
        <w:t xml:space="preserve"> </w:t>
      </w:r>
      <w:r>
        <w:rPr>
          <w:rFonts w:ascii="宋体" w:hAnsi="宋体" w:eastAsia="宋体" w:cs="宋体"/>
          <w:color w:val="auto"/>
          <w:spacing w:val="6"/>
          <w:sz w:val="24"/>
          <w:szCs w:val="24"/>
          <w:highlight w:val="none"/>
        </w:rPr>
        <w:t>(或事业单位法人登记证书)</w:t>
      </w:r>
      <w:r>
        <w:rPr>
          <w:rFonts w:ascii="宋体" w:hAnsi="宋体" w:eastAsia="宋体" w:cs="宋体"/>
          <w:color w:val="auto"/>
          <w:spacing w:val="46"/>
          <w:sz w:val="24"/>
          <w:szCs w:val="24"/>
          <w:highlight w:val="none"/>
        </w:rPr>
        <w:t xml:space="preserve"> </w:t>
      </w:r>
      <w:r>
        <w:rPr>
          <w:rFonts w:ascii="宋体" w:hAnsi="宋体" w:eastAsia="宋体" w:cs="宋体"/>
          <w:color w:val="auto"/>
          <w:spacing w:val="6"/>
          <w:sz w:val="24"/>
          <w:szCs w:val="24"/>
          <w:highlight w:val="none"/>
        </w:rPr>
        <w:t>的清晰影印件或扫描件，否则申</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请无效) ；</w:t>
      </w:r>
    </w:p>
    <w:p w14:paraId="2129886C">
      <w:pPr>
        <w:pStyle w:val="6"/>
        <w:spacing w:line="308" w:lineRule="auto"/>
        <w:rPr>
          <w:color w:val="auto"/>
          <w:highlight w:val="none"/>
        </w:rPr>
      </w:pPr>
    </w:p>
    <w:p w14:paraId="00F78B92">
      <w:pPr>
        <w:pStyle w:val="6"/>
        <w:spacing w:line="308" w:lineRule="auto"/>
        <w:rPr>
          <w:color w:val="auto"/>
          <w:highlight w:val="none"/>
        </w:rPr>
      </w:pPr>
    </w:p>
    <w:p w14:paraId="0DC3FDB5">
      <w:pPr>
        <w:pStyle w:val="6"/>
        <w:spacing w:line="308" w:lineRule="auto"/>
        <w:rPr>
          <w:color w:val="auto"/>
          <w:highlight w:val="none"/>
        </w:rPr>
      </w:pPr>
    </w:p>
    <w:p w14:paraId="0AEA878C">
      <w:pPr>
        <w:spacing w:before="78" w:line="99" w:lineRule="exact"/>
        <w:ind w:left="481"/>
        <w:rPr>
          <w:rFonts w:ascii="宋体" w:hAnsi="宋体" w:eastAsia="宋体" w:cs="宋体"/>
          <w:color w:val="auto"/>
          <w:sz w:val="24"/>
          <w:szCs w:val="24"/>
          <w:highlight w:val="none"/>
        </w:rPr>
      </w:pPr>
      <w:r>
        <w:rPr>
          <w:rFonts w:ascii="宋体" w:hAnsi="宋体" w:eastAsia="宋体" w:cs="宋体"/>
          <w:color w:val="auto"/>
          <w:position w:val="1"/>
          <w:sz w:val="24"/>
          <w:szCs w:val="24"/>
          <w:highlight w:val="none"/>
        </w:rPr>
        <w:t>...</w:t>
      </w:r>
    </w:p>
    <w:p w14:paraId="2D7BE9D5">
      <w:pPr>
        <w:pStyle w:val="6"/>
        <w:spacing w:line="263" w:lineRule="auto"/>
        <w:rPr>
          <w:color w:val="auto"/>
          <w:highlight w:val="none"/>
        </w:rPr>
      </w:pPr>
    </w:p>
    <w:p w14:paraId="55F96AC1">
      <w:pPr>
        <w:pStyle w:val="6"/>
        <w:spacing w:line="263" w:lineRule="auto"/>
        <w:rPr>
          <w:color w:val="auto"/>
          <w:highlight w:val="none"/>
        </w:rPr>
      </w:pPr>
    </w:p>
    <w:p w14:paraId="482363BC">
      <w:pPr>
        <w:pStyle w:val="6"/>
        <w:spacing w:line="263" w:lineRule="auto"/>
        <w:rPr>
          <w:color w:val="auto"/>
          <w:highlight w:val="none"/>
        </w:rPr>
      </w:pPr>
    </w:p>
    <w:p w14:paraId="15B69151">
      <w:pPr>
        <w:pStyle w:val="6"/>
        <w:spacing w:line="263" w:lineRule="auto"/>
        <w:rPr>
          <w:color w:val="auto"/>
          <w:highlight w:val="none"/>
        </w:rPr>
      </w:pPr>
    </w:p>
    <w:p w14:paraId="7B7B58F3">
      <w:pPr>
        <w:pStyle w:val="6"/>
        <w:spacing w:line="263" w:lineRule="auto"/>
        <w:rPr>
          <w:color w:val="auto"/>
          <w:highlight w:val="none"/>
        </w:rPr>
      </w:pPr>
    </w:p>
    <w:p w14:paraId="065213F0">
      <w:pPr>
        <w:pStyle w:val="6"/>
        <w:spacing w:line="263" w:lineRule="auto"/>
        <w:rPr>
          <w:color w:val="auto"/>
          <w:highlight w:val="none"/>
        </w:rPr>
      </w:pPr>
    </w:p>
    <w:p w14:paraId="4D2B39FE">
      <w:pPr>
        <w:pStyle w:val="6"/>
        <w:spacing w:line="263" w:lineRule="auto"/>
        <w:rPr>
          <w:color w:val="auto"/>
          <w:highlight w:val="none"/>
        </w:rPr>
      </w:pPr>
    </w:p>
    <w:p w14:paraId="3CD4DACA">
      <w:pPr>
        <w:pStyle w:val="6"/>
        <w:spacing w:line="263" w:lineRule="auto"/>
        <w:rPr>
          <w:color w:val="auto"/>
          <w:highlight w:val="none"/>
        </w:rPr>
      </w:pPr>
    </w:p>
    <w:p w14:paraId="7563EAF0">
      <w:pPr>
        <w:pStyle w:val="6"/>
        <w:spacing w:line="263" w:lineRule="auto"/>
        <w:rPr>
          <w:color w:val="auto"/>
          <w:highlight w:val="none"/>
        </w:rPr>
      </w:pPr>
    </w:p>
    <w:p w14:paraId="7B069C4B">
      <w:pPr>
        <w:spacing w:before="79" w:line="219" w:lineRule="auto"/>
        <w:ind w:left="474" w:firstLine="4956" w:firstLineChars="21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供应商名称（盖章</w:t>
      </w:r>
      <w:r>
        <w:rPr>
          <w:rFonts w:ascii="宋体" w:hAnsi="宋体" w:eastAsia="宋体" w:cs="宋体"/>
          <w:color w:val="auto"/>
          <w:spacing w:val="2"/>
          <w:sz w:val="24"/>
          <w:szCs w:val="24"/>
          <w:highlight w:val="none"/>
        </w:rPr>
        <w:t>）：</w:t>
      </w:r>
    </w:p>
    <w:p w14:paraId="57EBCC68">
      <w:pPr>
        <w:spacing w:before="281" w:line="220" w:lineRule="auto"/>
        <w:ind w:firstLine="5106" w:firstLineChars="2300"/>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日</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期：</w:t>
      </w:r>
      <w:r>
        <w:rPr>
          <w:rFonts w:hint="eastAsia" w:ascii="宋体" w:hAnsi="宋体" w:eastAsia="宋体" w:cs="宋体"/>
          <w:color w:val="auto"/>
          <w:spacing w:val="-9"/>
          <w:sz w:val="24"/>
          <w:szCs w:val="24"/>
          <w:highlight w:val="none"/>
          <w:lang w:val="en-US" w:eastAsia="zh-CN"/>
        </w:rPr>
        <w:t>2025</w:t>
      </w:r>
      <w:r>
        <w:rPr>
          <w:rFonts w:ascii="宋体" w:hAnsi="宋体" w:eastAsia="宋体" w:cs="宋体"/>
          <w:color w:val="auto"/>
          <w:spacing w:val="-47"/>
          <w:sz w:val="24"/>
          <w:szCs w:val="24"/>
          <w:highlight w:val="none"/>
        </w:rPr>
        <w:t xml:space="preserve"> </w:t>
      </w:r>
      <w:r>
        <w:rPr>
          <w:rFonts w:ascii="宋体" w:hAnsi="宋体" w:eastAsia="宋体" w:cs="宋体"/>
          <w:color w:val="auto"/>
          <w:spacing w:val="-9"/>
          <w:sz w:val="24"/>
          <w:szCs w:val="24"/>
          <w:highlight w:val="none"/>
        </w:rPr>
        <w:t>年</w:t>
      </w:r>
      <w:r>
        <w:rPr>
          <w:rFonts w:ascii="宋体" w:hAnsi="宋体" w:eastAsia="宋体" w:cs="宋体"/>
          <w:color w:val="auto"/>
          <w:spacing w:val="7"/>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8"/>
          <w:sz w:val="24"/>
          <w:szCs w:val="24"/>
          <w:highlight w:val="none"/>
        </w:rPr>
        <w:t xml:space="preserve">   </w:t>
      </w:r>
      <w:r>
        <w:rPr>
          <w:rFonts w:ascii="宋体" w:hAnsi="宋体" w:eastAsia="宋体" w:cs="宋体"/>
          <w:color w:val="auto"/>
          <w:spacing w:val="-9"/>
          <w:sz w:val="24"/>
          <w:szCs w:val="24"/>
          <w:highlight w:val="none"/>
        </w:rPr>
        <w:t>日</w:t>
      </w:r>
    </w:p>
    <w:p w14:paraId="22F56985">
      <w:pPr>
        <w:spacing w:line="220" w:lineRule="auto"/>
        <w:rPr>
          <w:rFonts w:ascii="宋体" w:hAnsi="宋体" w:eastAsia="宋体" w:cs="宋体"/>
          <w:color w:val="auto"/>
          <w:sz w:val="24"/>
          <w:szCs w:val="24"/>
          <w:highlight w:val="none"/>
        </w:rPr>
        <w:sectPr>
          <w:footerReference r:id="rId38" w:type="default"/>
          <w:pgSz w:w="11911" w:h="16840"/>
          <w:pgMar w:top="1429" w:right="1763" w:bottom="862" w:left="1655" w:header="0" w:footer="680" w:gutter="0"/>
          <w:cols w:space="0" w:num="1"/>
          <w:rtlGutter w:val="0"/>
          <w:docGrid w:linePitch="0" w:charSpace="0"/>
        </w:sectPr>
      </w:pPr>
    </w:p>
    <w:p w14:paraId="39799B5D">
      <w:pPr>
        <w:spacing w:before="55" w:line="218" w:lineRule="auto"/>
        <w:ind w:left="3134"/>
        <w:outlineLvl w:val="1"/>
        <w:rPr>
          <w:rFonts w:ascii="黑体" w:hAnsi="黑体" w:eastAsia="黑体" w:cs="黑体"/>
          <w:color w:val="auto"/>
          <w:sz w:val="28"/>
          <w:szCs w:val="28"/>
          <w:highlight w:val="none"/>
        </w:rPr>
      </w:pPr>
      <w:bookmarkStart w:id="61" w:name="bookmark41"/>
      <w:bookmarkEnd w:id="61"/>
      <w:bookmarkStart w:id="62" w:name="bookmark40"/>
      <w:bookmarkEnd w:id="62"/>
      <w:r>
        <w:rPr>
          <w:rFonts w:hint="eastAsia" w:ascii="黑体" w:hAnsi="黑体" w:eastAsia="黑体" w:cs="黑体"/>
          <w:color w:val="auto"/>
          <w:spacing w:val="-2"/>
          <w:sz w:val="28"/>
          <w:szCs w:val="28"/>
          <w:highlight w:val="none"/>
          <w:lang w:val="en-US" w:eastAsia="zh-CN"/>
        </w:rPr>
        <w:t>八</w:t>
      </w:r>
      <w:r>
        <w:rPr>
          <w:rFonts w:ascii="黑体" w:hAnsi="黑体" w:eastAsia="黑体" w:cs="黑体"/>
          <w:color w:val="auto"/>
          <w:spacing w:val="-2"/>
          <w:sz w:val="28"/>
          <w:szCs w:val="28"/>
          <w:highlight w:val="none"/>
        </w:rPr>
        <w:t>、入围评审证明材料</w:t>
      </w:r>
    </w:p>
    <w:p w14:paraId="6531035B">
      <w:pPr>
        <w:pStyle w:val="6"/>
        <w:spacing w:line="309" w:lineRule="auto"/>
        <w:rPr>
          <w:color w:val="auto"/>
          <w:highlight w:val="none"/>
        </w:rPr>
      </w:pPr>
    </w:p>
    <w:p w14:paraId="6047453D">
      <w:pPr>
        <w:spacing w:before="79" w:line="422" w:lineRule="auto"/>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提供符合本征集文件第一阶段入围评审办法-评审细则</w:t>
      </w:r>
      <w:r>
        <w:rPr>
          <w:rFonts w:ascii="宋体" w:hAnsi="宋体" w:eastAsia="宋体" w:cs="宋体"/>
          <w:color w:val="auto"/>
          <w:spacing w:val="-1"/>
          <w:sz w:val="24"/>
          <w:szCs w:val="24"/>
          <w:highlight w:val="none"/>
        </w:rPr>
        <w:t>中要求的各项证明材料，按</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照投标文件制作工具上传栏目分别提交。</w:t>
      </w:r>
    </w:p>
    <w:p w14:paraId="031A08F4">
      <w:pPr>
        <w:pStyle w:val="6"/>
        <w:spacing w:line="336" w:lineRule="auto"/>
        <w:rPr>
          <w:color w:val="auto"/>
          <w:highlight w:val="none"/>
        </w:rPr>
      </w:pPr>
    </w:p>
    <w:p w14:paraId="053CBA7A">
      <w:pPr>
        <w:pStyle w:val="6"/>
        <w:spacing w:line="336" w:lineRule="auto"/>
        <w:rPr>
          <w:color w:val="auto"/>
          <w:highlight w:val="none"/>
        </w:rPr>
      </w:pPr>
    </w:p>
    <w:p w14:paraId="68B7CB3C">
      <w:pPr>
        <w:spacing w:before="91" w:line="219" w:lineRule="auto"/>
        <w:ind w:left="3342"/>
        <w:outlineLvl w:val="1"/>
        <w:rPr>
          <w:rFonts w:ascii="黑体" w:hAnsi="黑体" w:eastAsia="黑体" w:cs="黑体"/>
          <w:color w:val="auto"/>
          <w:sz w:val="28"/>
          <w:szCs w:val="28"/>
          <w:highlight w:val="none"/>
        </w:rPr>
      </w:pPr>
      <w:bookmarkStart w:id="63" w:name="bookmark42"/>
      <w:bookmarkEnd w:id="63"/>
      <w:bookmarkStart w:id="64" w:name="bookmark43"/>
      <w:bookmarkEnd w:id="64"/>
      <w:r>
        <w:rPr>
          <w:rFonts w:hint="eastAsia" w:ascii="黑体" w:hAnsi="黑体" w:eastAsia="黑体" w:cs="黑体"/>
          <w:color w:val="auto"/>
          <w:spacing w:val="-2"/>
          <w:sz w:val="28"/>
          <w:szCs w:val="28"/>
          <w:highlight w:val="none"/>
          <w:lang w:val="en-US" w:eastAsia="zh-CN"/>
        </w:rPr>
        <w:t>九</w:t>
      </w:r>
      <w:r>
        <w:rPr>
          <w:rFonts w:ascii="黑体" w:hAnsi="黑体" w:eastAsia="黑体" w:cs="黑体"/>
          <w:color w:val="auto"/>
          <w:spacing w:val="-2"/>
          <w:sz w:val="28"/>
          <w:szCs w:val="28"/>
          <w:highlight w:val="none"/>
        </w:rPr>
        <w:t>、其他相关材料</w:t>
      </w:r>
    </w:p>
    <w:p w14:paraId="2E183FD8">
      <w:pPr>
        <w:pStyle w:val="6"/>
        <w:spacing w:line="310" w:lineRule="auto"/>
        <w:rPr>
          <w:color w:val="auto"/>
          <w:highlight w:val="none"/>
        </w:rPr>
      </w:pPr>
    </w:p>
    <w:p w14:paraId="1318F581">
      <w:pPr>
        <w:spacing w:before="78" w:line="219" w:lineRule="auto"/>
        <w:ind w:left="51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自行上传供应商认为需要上传的与本项目相关的其他资料。</w:t>
      </w:r>
    </w:p>
    <w:sectPr>
      <w:footerReference r:id="rId39" w:type="default"/>
      <w:pgSz w:w="11911" w:h="16840"/>
      <w:pgMar w:top="1429" w:right="1763" w:bottom="862" w:left="1655" w:header="0" w:footer="68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7806A">
    <w:pPr>
      <w:spacing w:line="173" w:lineRule="auto"/>
      <w:ind w:left="4173"/>
      <w:rPr>
        <w:rFonts w:ascii="宋体" w:hAnsi="宋体" w:eastAsia="宋体" w:cs="宋体"/>
        <w:sz w:val="18"/>
        <w:szCs w:val="18"/>
      </w:rPr>
    </w:pPr>
    <w:r>
      <w:rPr>
        <w:rFonts w:ascii="宋体" w:hAnsi="宋体" w:eastAsia="宋体" w:cs="宋体"/>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DD586">
    <w:pPr>
      <w:spacing w:line="173" w:lineRule="auto"/>
      <w:ind w:left="4632"/>
      <w:rPr>
        <w:rFonts w:ascii="宋体" w:hAnsi="宋体" w:eastAsia="宋体" w:cs="宋体"/>
        <w:sz w:val="18"/>
        <w:szCs w:val="18"/>
      </w:rPr>
    </w:pPr>
    <w:r>
      <w:rPr>
        <w:rFonts w:ascii="宋体" w:hAnsi="宋体" w:eastAsia="宋体" w:cs="宋体"/>
        <w:spacing w:val="-10"/>
        <w:sz w:val="18"/>
        <w:szCs w:val="18"/>
      </w:rPr>
      <w:t>16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E68C8">
    <w:pPr>
      <w:spacing w:line="173" w:lineRule="auto"/>
      <w:ind w:left="4441"/>
      <w:rPr>
        <w:rFonts w:ascii="宋体" w:hAnsi="宋体" w:eastAsia="宋体" w:cs="宋体"/>
        <w:sz w:val="18"/>
        <w:szCs w:val="18"/>
      </w:rPr>
    </w:pPr>
    <w:r>
      <w:rPr>
        <w:rFonts w:ascii="宋体" w:hAnsi="宋体" w:eastAsia="宋体" w:cs="宋体"/>
        <w:spacing w:val="-10"/>
        <w:sz w:val="18"/>
        <w:szCs w:val="18"/>
      </w:rPr>
      <w:t>17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BAA03">
    <w:pPr>
      <w:spacing w:line="172" w:lineRule="auto"/>
      <w:ind w:left="4249"/>
      <w:rPr>
        <w:rFonts w:ascii="宋体" w:hAnsi="宋体" w:eastAsia="宋体" w:cs="宋体"/>
        <w:sz w:val="18"/>
        <w:szCs w:val="18"/>
      </w:rPr>
    </w:pPr>
    <w:r>
      <w:rPr>
        <w:rFonts w:ascii="宋体" w:hAnsi="宋体" w:eastAsia="宋体" w:cs="宋体"/>
        <w:spacing w:val="-4"/>
        <w:sz w:val="18"/>
        <w:szCs w:val="18"/>
      </w:rPr>
      <w:t>20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92196">
    <w:pPr>
      <w:spacing w:line="173" w:lineRule="auto"/>
      <w:ind w:left="4654"/>
      <w:rPr>
        <w:rFonts w:ascii="宋体" w:hAnsi="宋体" w:eastAsia="宋体" w:cs="宋体"/>
        <w:sz w:val="18"/>
        <w:szCs w:val="18"/>
      </w:rPr>
    </w:pPr>
    <w:r>
      <w:rPr>
        <w:rFonts w:ascii="宋体" w:hAnsi="宋体" w:eastAsia="宋体" w:cs="宋体"/>
        <w:spacing w:val="-4"/>
        <w:sz w:val="18"/>
        <w:szCs w:val="18"/>
      </w:rPr>
      <w:t>21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EB562">
    <w:pPr>
      <w:spacing w:line="172" w:lineRule="auto"/>
      <w:ind w:left="4450"/>
      <w:rPr>
        <w:rFonts w:ascii="宋体" w:hAnsi="宋体" w:eastAsia="宋体" w:cs="宋体"/>
        <w:sz w:val="18"/>
        <w:szCs w:val="18"/>
      </w:rPr>
    </w:pPr>
    <w:r>
      <w:rPr>
        <w:rFonts w:ascii="宋体" w:hAnsi="宋体" w:eastAsia="宋体" w:cs="宋体"/>
        <w:spacing w:val="-4"/>
        <w:sz w:val="18"/>
        <w:szCs w:val="18"/>
      </w:rPr>
      <w:t>22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6AB4A">
    <w:pPr>
      <w:spacing w:line="172" w:lineRule="auto"/>
      <w:ind w:left="4926"/>
      <w:rPr>
        <w:rFonts w:ascii="宋体" w:hAnsi="宋体" w:eastAsia="宋体" w:cs="宋体"/>
        <w:sz w:val="18"/>
        <w:szCs w:val="18"/>
      </w:rPr>
    </w:pPr>
    <w:r>
      <w:rPr>
        <w:rFonts w:ascii="宋体" w:hAnsi="宋体" w:eastAsia="宋体" w:cs="宋体"/>
        <w:spacing w:val="-4"/>
        <w:sz w:val="18"/>
        <w:szCs w:val="18"/>
      </w:rPr>
      <w:t>26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41475">
    <w:pPr>
      <w:spacing w:line="172" w:lineRule="auto"/>
      <w:ind w:left="4443"/>
      <w:rPr>
        <w:rFonts w:ascii="宋体" w:hAnsi="宋体" w:eastAsia="宋体" w:cs="宋体"/>
        <w:sz w:val="18"/>
        <w:szCs w:val="18"/>
      </w:rPr>
    </w:pPr>
    <w:r>
      <w:rPr>
        <w:rFonts w:ascii="宋体" w:hAnsi="宋体" w:eastAsia="宋体" w:cs="宋体"/>
        <w:spacing w:val="-4"/>
        <w:sz w:val="18"/>
        <w:szCs w:val="18"/>
      </w:rPr>
      <w:t>27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73635">
    <w:pPr>
      <w:spacing w:line="172" w:lineRule="auto"/>
      <w:ind w:left="4086"/>
      <w:rPr>
        <w:rFonts w:ascii="宋体" w:hAnsi="宋体" w:eastAsia="宋体" w:cs="宋体"/>
        <w:sz w:val="18"/>
        <w:szCs w:val="18"/>
      </w:rPr>
    </w:pPr>
    <w:r>
      <w:rPr>
        <w:rFonts w:ascii="宋体" w:hAnsi="宋体" w:eastAsia="宋体" w:cs="宋体"/>
        <w:spacing w:val="-4"/>
        <w:sz w:val="18"/>
        <w:szCs w:val="18"/>
      </w:rPr>
      <w:t>28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81132">
    <w:pPr>
      <w:spacing w:line="172" w:lineRule="auto"/>
      <w:ind w:left="4106"/>
      <w:rPr>
        <w:rFonts w:ascii="宋体" w:hAnsi="宋体" w:eastAsia="宋体" w:cs="宋体"/>
        <w:sz w:val="18"/>
        <w:szCs w:val="18"/>
      </w:rPr>
    </w:pPr>
    <w:r>
      <w:rPr>
        <w:rFonts w:ascii="宋体" w:hAnsi="宋体" w:eastAsia="宋体" w:cs="宋体"/>
        <w:spacing w:val="-5"/>
        <w:sz w:val="18"/>
        <w:szCs w:val="18"/>
      </w:rPr>
      <w:t>33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4742F">
    <w:pPr>
      <w:spacing w:line="172" w:lineRule="auto"/>
      <w:ind w:left="4113"/>
      <w:rPr>
        <w:rFonts w:ascii="宋体" w:hAnsi="宋体" w:eastAsia="宋体" w:cs="宋体"/>
        <w:sz w:val="18"/>
        <w:szCs w:val="18"/>
      </w:rPr>
    </w:pPr>
    <w:r>
      <w:rPr>
        <w:rFonts w:ascii="宋体" w:hAnsi="宋体" w:eastAsia="宋体" w:cs="宋体"/>
        <w:spacing w:val="-5"/>
        <w:sz w:val="18"/>
        <w:szCs w:val="18"/>
      </w:rPr>
      <w:t>34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A0393">
    <w:pPr>
      <w:spacing w:line="172" w:lineRule="auto"/>
      <w:ind w:left="4475"/>
      <w:rPr>
        <w:rFonts w:ascii="宋体" w:hAnsi="宋体" w:eastAsia="宋体" w:cs="宋体"/>
        <w:sz w:val="18"/>
        <w:szCs w:val="18"/>
      </w:rPr>
    </w:pPr>
    <w:r>
      <w:rPr>
        <w:rFonts w:ascii="宋体" w:hAnsi="宋体" w:eastAsia="宋体" w:cs="宋体"/>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50219">
    <w:pPr>
      <w:spacing w:line="172" w:lineRule="auto"/>
      <w:ind w:left="4112"/>
      <w:rPr>
        <w:rFonts w:ascii="宋体" w:hAnsi="宋体" w:eastAsia="宋体" w:cs="宋体"/>
        <w:sz w:val="18"/>
        <w:szCs w:val="18"/>
      </w:rPr>
    </w:pPr>
    <w:r>
      <w:rPr>
        <w:rFonts w:ascii="宋体" w:hAnsi="宋体" w:eastAsia="宋体" w:cs="宋体"/>
        <w:spacing w:val="-5"/>
        <w:sz w:val="18"/>
        <w:szCs w:val="18"/>
      </w:rPr>
      <w:t>35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F8719">
    <w:pPr>
      <w:spacing w:line="172" w:lineRule="auto"/>
      <w:ind w:left="4113"/>
      <w:rPr>
        <w:rFonts w:ascii="宋体" w:hAnsi="宋体" w:eastAsia="宋体" w:cs="宋体"/>
        <w:sz w:val="18"/>
        <w:szCs w:val="18"/>
      </w:rPr>
    </w:pPr>
    <w:r>
      <w:rPr>
        <w:rFonts w:ascii="宋体" w:hAnsi="宋体" w:eastAsia="宋体" w:cs="宋体"/>
        <w:spacing w:val="-5"/>
        <w:sz w:val="18"/>
        <w:szCs w:val="18"/>
      </w:rPr>
      <w:t>36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A56A7">
    <w:pPr>
      <w:spacing w:line="172" w:lineRule="auto"/>
      <w:ind w:left="4114"/>
      <w:rPr>
        <w:rFonts w:ascii="宋体" w:hAnsi="宋体" w:eastAsia="宋体" w:cs="宋体"/>
        <w:sz w:val="18"/>
        <w:szCs w:val="18"/>
      </w:rPr>
    </w:pPr>
    <w:r>
      <w:rPr>
        <w:rFonts w:ascii="宋体" w:hAnsi="宋体" w:eastAsia="宋体" w:cs="宋体"/>
        <w:spacing w:val="-5"/>
        <w:sz w:val="18"/>
        <w:szCs w:val="18"/>
      </w:rPr>
      <w:t>37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F3B33">
    <w:pPr>
      <w:spacing w:line="172" w:lineRule="auto"/>
      <w:ind w:left="4733"/>
      <w:rPr>
        <w:rFonts w:ascii="宋体" w:hAnsi="宋体" w:eastAsia="宋体" w:cs="宋体"/>
        <w:sz w:val="18"/>
        <w:szCs w:val="18"/>
      </w:rPr>
    </w:pPr>
    <w:r>
      <w:rPr>
        <w:rFonts w:ascii="宋体" w:hAnsi="宋体" w:eastAsia="宋体" w:cs="宋体"/>
        <w:spacing w:val="-5"/>
        <w:sz w:val="18"/>
        <w:szCs w:val="18"/>
      </w:rPr>
      <w:t>38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65FD8">
    <w:pPr>
      <w:spacing w:line="172" w:lineRule="auto"/>
      <w:ind w:left="4465"/>
      <w:rPr>
        <w:rFonts w:ascii="宋体" w:hAnsi="宋体" w:eastAsia="宋体" w:cs="宋体"/>
        <w:sz w:val="18"/>
        <w:szCs w:val="18"/>
      </w:rPr>
    </w:pPr>
    <w:r>
      <w:rPr>
        <w:rFonts w:ascii="宋体" w:hAnsi="宋体" w:eastAsia="宋体" w:cs="宋体"/>
        <w:spacing w:val="-5"/>
        <w:sz w:val="18"/>
        <w:szCs w:val="18"/>
      </w:rPr>
      <w:t>39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376F6">
    <w:pPr>
      <w:spacing w:line="172" w:lineRule="auto"/>
      <w:ind w:left="4459"/>
      <w:rPr>
        <w:rFonts w:ascii="宋体" w:hAnsi="宋体" w:eastAsia="宋体" w:cs="宋体"/>
        <w:sz w:val="18"/>
        <w:szCs w:val="18"/>
      </w:rPr>
    </w:pPr>
    <w:r>
      <w:rPr>
        <w:rFonts w:ascii="宋体" w:hAnsi="宋体" w:eastAsia="宋体" w:cs="宋体"/>
        <w:spacing w:val="-3"/>
        <w:sz w:val="18"/>
        <w:szCs w:val="18"/>
      </w:rPr>
      <w:t>42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1BC70">
    <w:pPr>
      <w:spacing w:line="172" w:lineRule="auto"/>
      <w:ind w:left="4114"/>
      <w:rPr>
        <w:rFonts w:ascii="宋体" w:hAnsi="宋体" w:eastAsia="宋体" w:cs="宋体"/>
        <w:sz w:val="18"/>
        <w:szCs w:val="18"/>
      </w:rPr>
    </w:pPr>
    <w:r>
      <w:rPr>
        <w:rFonts w:ascii="宋体" w:hAnsi="宋体" w:eastAsia="宋体" w:cs="宋体"/>
        <w:spacing w:val="-3"/>
        <w:sz w:val="18"/>
        <w:szCs w:val="18"/>
      </w:rPr>
      <w:t>43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48B81">
    <w:pPr>
      <w:spacing w:line="172" w:lineRule="auto"/>
      <w:ind w:left="4428"/>
      <w:rPr>
        <w:rFonts w:ascii="宋体" w:hAnsi="宋体" w:eastAsia="宋体" w:cs="宋体"/>
        <w:sz w:val="18"/>
        <w:szCs w:val="18"/>
      </w:rPr>
    </w:pPr>
    <w:r>
      <w:rPr>
        <w:rFonts w:ascii="宋体" w:hAnsi="宋体" w:eastAsia="宋体" w:cs="宋体"/>
        <w:spacing w:val="-3"/>
        <w:sz w:val="18"/>
        <w:szCs w:val="18"/>
      </w:rPr>
      <w:t>44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FDF54">
    <w:pPr>
      <w:spacing w:line="172" w:lineRule="auto"/>
      <w:ind w:left="4428"/>
      <w:rPr>
        <w:rFonts w:ascii="宋体" w:hAnsi="宋体" w:eastAsia="宋体" w:cs="宋体"/>
        <w:sz w:val="18"/>
        <w:szCs w:val="18"/>
      </w:rPr>
    </w:pPr>
    <w:r>
      <w:rPr>
        <w:rFonts w:ascii="宋体" w:hAnsi="宋体" w:eastAsia="宋体" w:cs="宋体"/>
        <w:spacing w:val="-3"/>
        <w:sz w:val="18"/>
        <w:szCs w:val="18"/>
      </w:rPr>
      <w:t>45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B393F">
    <w:pPr>
      <w:spacing w:line="172" w:lineRule="auto"/>
      <w:ind w:left="4435"/>
      <w:rPr>
        <w:rFonts w:ascii="宋体" w:hAnsi="宋体" w:eastAsia="宋体" w:cs="宋体"/>
        <w:sz w:val="18"/>
        <w:szCs w:val="18"/>
      </w:rPr>
    </w:pPr>
    <w:r>
      <w:rPr>
        <w:rFonts w:ascii="宋体" w:hAnsi="宋体" w:eastAsia="宋体" w:cs="宋体"/>
        <w:spacing w:val="-3"/>
        <w:sz w:val="18"/>
        <w:szCs w:val="18"/>
      </w:rPr>
      <w:t>46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312F8">
    <w:pPr>
      <w:spacing w:line="171" w:lineRule="auto"/>
      <w:ind w:left="4774"/>
      <w:rPr>
        <w:rFonts w:ascii="宋体" w:hAnsi="宋体" w:eastAsia="宋体" w:cs="宋体"/>
        <w:sz w:val="18"/>
        <w:szCs w:val="18"/>
      </w:rPr>
    </w:pPr>
    <w:r>
      <w:rPr>
        <w:rFonts w:ascii="宋体" w:hAnsi="宋体" w:eastAsia="宋体" w:cs="宋体"/>
        <w:sz w:val="18"/>
        <w:szCs w:val="18"/>
      </w:rPr>
      <w:t>5</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DC848">
    <w:pPr>
      <w:spacing w:line="172" w:lineRule="auto"/>
      <w:ind w:left="4428"/>
      <w:rPr>
        <w:rFonts w:ascii="宋体" w:hAnsi="宋体" w:eastAsia="宋体" w:cs="宋体"/>
        <w:sz w:val="18"/>
        <w:szCs w:val="18"/>
      </w:rPr>
    </w:pPr>
    <w:r>
      <w:rPr>
        <w:rFonts w:ascii="宋体" w:hAnsi="宋体" w:eastAsia="宋体" w:cs="宋体"/>
        <w:spacing w:val="-3"/>
        <w:sz w:val="18"/>
        <w:szCs w:val="18"/>
      </w:rPr>
      <w:t>47</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5B36">
    <w:pPr>
      <w:spacing w:line="172" w:lineRule="auto"/>
      <w:ind w:left="4114"/>
      <w:rPr>
        <w:rFonts w:ascii="宋体" w:hAnsi="宋体" w:eastAsia="宋体" w:cs="宋体"/>
        <w:sz w:val="18"/>
        <w:szCs w:val="18"/>
      </w:rPr>
    </w:pPr>
    <w:r>
      <w:rPr>
        <w:rFonts w:ascii="宋体" w:hAnsi="宋体" w:eastAsia="宋体" w:cs="宋体"/>
        <w:spacing w:val="-3"/>
        <w:sz w:val="18"/>
        <w:szCs w:val="18"/>
      </w:rPr>
      <w:t>48</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DA044">
    <w:pPr>
      <w:spacing w:line="172" w:lineRule="auto"/>
      <w:ind w:left="4733"/>
      <w:rPr>
        <w:rFonts w:ascii="宋体" w:hAnsi="宋体" w:eastAsia="宋体" w:cs="宋体"/>
        <w:sz w:val="18"/>
        <w:szCs w:val="18"/>
      </w:rPr>
    </w:pPr>
    <w:r>
      <w:rPr>
        <w:rFonts w:ascii="宋体" w:hAnsi="宋体" w:eastAsia="宋体" w:cs="宋体"/>
        <w:spacing w:val="-3"/>
        <w:sz w:val="18"/>
        <w:szCs w:val="18"/>
      </w:rPr>
      <w:t>49</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06A86">
    <w:pPr>
      <w:spacing w:line="172" w:lineRule="auto"/>
      <w:ind w:left="4738"/>
      <w:rPr>
        <w:rFonts w:ascii="宋体" w:hAnsi="宋体" w:eastAsia="宋体" w:cs="宋体"/>
        <w:sz w:val="18"/>
        <w:szCs w:val="18"/>
      </w:rPr>
    </w:pPr>
    <w:r>
      <w:rPr>
        <w:rFonts w:ascii="宋体" w:hAnsi="宋体" w:eastAsia="宋体" w:cs="宋体"/>
        <w:spacing w:val="-5"/>
        <w:sz w:val="18"/>
        <w:szCs w:val="18"/>
      </w:rPr>
      <w:t>50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8E2E3">
    <w:pPr>
      <w:spacing w:line="173" w:lineRule="auto"/>
      <w:ind w:left="4426"/>
      <w:rPr>
        <w:rFonts w:ascii="宋体" w:hAnsi="宋体" w:eastAsia="宋体" w:cs="宋体"/>
        <w:sz w:val="18"/>
        <w:szCs w:val="18"/>
      </w:rPr>
    </w:pPr>
    <w:r>
      <w:rPr>
        <w:rFonts w:ascii="宋体" w:hAnsi="宋体" w:eastAsia="宋体" w:cs="宋体"/>
        <w:spacing w:val="-5"/>
        <w:sz w:val="18"/>
        <w:szCs w:val="18"/>
      </w:rPr>
      <w:t>51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0FC6E">
    <w:pPr>
      <w:spacing w:line="172" w:lineRule="auto"/>
      <w:ind w:left="4430"/>
      <w:rPr>
        <w:rFonts w:ascii="宋体" w:hAnsi="宋体" w:eastAsia="宋体" w:cs="宋体"/>
        <w:sz w:val="18"/>
        <w:szCs w:val="18"/>
      </w:rPr>
    </w:pPr>
    <w:r>
      <w:rPr>
        <w:rFonts w:ascii="宋体" w:hAnsi="宋体" w:eastAsia="宋体" w:cs="宋体"/>
        <w:spacing w:val="-5"/>
        <w:sz w:val="18"/>
        <w:szCs w:val="18"/>
      </w:rPr>
      <w:t>52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DD1F1">
    <w:pPr>
      <w:spacing w:line="171" w:lineRule="auto"/>
      <w:ind w:left="4778"/>
      <w:rPr>
        <w:rFonts w:ascii="宋体" w:hAnsi="宋体" w:eastAsia="宋体" w:cs="宋体"/>
        <w:sz w:val="18"/>
        <w:szCs w:val="18"/>
      </w:rPr>
    </w:pPr>
    <w:r>
      <w:rPr>
        <w:rFonts w:ascii="宋体" w:hAnsi="宋体" w:eastAsia="宋体" w:cs="宋体"/>
        <w:sz w:val="18"/>
        <w:szCs w:val="18"/>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1E7AD">
    <w:pPr>
      <w:spacing w:line="172" w:lineRule="auto"/>
      <w:ind w:left="4774"/>
      <w:rPr>
        <w:rFonts w:ascii="宋体" w:hAnsi="宋体" w:eastAsia="宋体" w:cs="宋体"/>
        <w:sz w:val="18"/>
        <w:szCs w:val="18"/>
      </w:rPr>
    </w:pPr>
    <w:r>
      <w:rPr>
        <w:rFonts w:ascii="宋体" w:hAnsi="宋体" w:eastAsia="宋体" w:cs="宋体"/>
        <w:sz w:val="18"/>
        <w:szCs w:val="18"/>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850ED">
    <w:pPr>
      <w:spacing w:line="172" w:lineRule="auto"/>
      <w:ind w:left="4774"/>
      <w:rPr>
        <w:rFonts w:ascii="宋体" w:hAnsi="宋体" w:eastAsia="宋体" w:cs="宋体"/>
        <w:sz w:val="18"/>
        <w:szCs w:val="18"/>
      </w:rPr>
    </w:pPr>
    <w:r>
      <w:rPr>
        <w:rFonts w:ascii="宋体" w:hAnsi="宋体" w:eastAsia="宋体" w:cs="宋体"/>
        <w:sz w:val="18"/>
        <w:szCs w:val="1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F757F">
    <w:pPr>
      <w:spacing w:line="173" w:lineRule="auto"/>
      <w:ind w:left="4439"/>
      <w:rPr>
        <w:rFonts w:ascii="宋体" w:hAnsi="宋体" w:eastAsia="宋体" w:cs="宋体"/>
        <w:sz w:val="18"/>
        <w:szCs w:val="18"/>
      </w:rPr>
    </w:pPr>
    <w:r>
      <w:rPr>
        <w:rFonts w:ascii="宋体" w:hAnsi="宋体" w:eastAsia="宋体" w:cs="宋体"/>
        <w:spacing w:val="-10"/>
        <w:sz w:val="18"/>
        <w:szCs w:val="18"/>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BF9C6">
    <w:pPr>
      <w:spacing w:line="173" w:lineRule="auto"/>
      <w:ind w:left="4442"/>
      <w:rPr>
        <w:rFonts w:ascii="宋体" w:hAnsi="宋体" w:eastAsia="宋体" w:cs="宋体"/>
        <w:sz w:val="18"/>
        <w:szCs w:val="18"/>
      </w:rPr>
    </w:pPr>
    <w:r>
      <w:rPr>
        <w:rFonts w:ascii="宋体" w:hAnsi="宋体" w:eastAsia="宋体" w:cs="宋体"/>
        <w:spacing w:val="-10"/>
        <w:sz w:val="18"/>
        <w:szCs w:val="18"/>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9E09F">
    <w:pPr>
      <w:spacing w:line="173" w:lineRule="auto"/>
      <w:ind w:left="4404"/>
      <w:rPr>
        <w:rFonts w:ascii="宋体" w:hAnsi="宋体" w:eastAsia="宋体" w:cs="宋体"/>
        <w:sz w:val="18"/>
        <w:szCs w:val="18"/>
      </w:rPr>
    </w:pPr>
    <w:r>
      <w:rPr>
        <w:rFonts w:ascii="宋体" w:hAnsi="宋体" w:eastAsia="宋体" w:cs="宋体"/>
        <w:spacing w:val="-10"/>
        <w:sz w:val="18"/>
        <w:szCs w:val="18"/>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685FD5"/>
    <w:multiLevelType w:val="singleLevel"/>
    <w:tmpl w:val="44685FD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djOGUwODlhZWE3NzRmYmEwZjA2ZjQ5ZGJlMDRmZjQifQ=="/>
  </w:docVars>
  <w:rsids>
    <w:rsidRoot w:val="00000000"/>
    <w:rsid w:val="019E649A"/>
    <w:rsid w:val="03000A5B"/>
    <w:rsid w:val="05DF35A8"/>
    <w:rsid w:val="06723C94"/>
    <w:rsid w:val="06CF0637"/>
    <w:rsid w:val="07D002DA"/>
    <w:rsid w:val="0891609D"/>
    <w:rsid w:val="08F444B1"/>
    <w:rsid w:val="090D1B70"/>
    <w:rsid w:val="100D4831"/>
    <w:rsid w:val="112D768D"/>
    <w:rsid w:val="1135010C"/>
    <w:rsid w:val="121D7B77"/>
    <w:rsid w:val="12B60A9E"/>
    <w:rsid w:val="137B0CEF"/>
    <w:rsid w:val="14643885"/>
    <w:rsid w:val="164B536E"/>
    <w:rsid w:val="169553F4"/>
    <w:rsid w:val="17E36529"/>
    <w:rsid w:val="1C616375"/>
    <w:rsid w:val="1C7E3270"/>
    <w:rsid w:val="1CF778F3"/>
    <w:rsid w:val="1FB12ADA"/>
    <w:rsid w:val="21BA745F"/>
    <w:rsid w:val="224F7DF7"/>
    <w:rsid w:val="231D0A94"/>
    <w:rsid w:val="236A07F8"/>
    <w:rsid w:val="25243EBF"/>
    <w:rsid w:val="25E37608"/>
    <w:rsid w:val="27261615"/>
    <w:rsid w:val="276B039C"/>
    <w:rsid w:val="2A733A8C"/>
    <w:rsid w:val="2B930645"/>
    <w:rsid w:val="2C2B63AF"/>
    <w:rsid w:val="2D751D58"/>
    <w:rsid w:val="2E0347FD"/>
    <w:rsid w:val="2E25096B"/>
    <w:rsid w:val="31771D9D"/>
    <w:rsid w:val="317909ED"/>
    <w:rsid w:val="3196372E"/>
    <w:rsid w:val="32135C42"/>
    <w:rsid w:val="327F17D1"/>
    <w:rsid w:val="32F169A3"/>
    <w:rsid w:val="359B2BDD"/>
    <w:rsid w:val="386F3778"/>
    <w:rsid w:val="3AA0526A"/>
    <w:rsid w:val="3ACC6B15"/>
    <w:rsid w:val="3D1B4D1A"/>
    <w:rsid w:val="3EF62347"/>
    <w:rsid w:val="3FA10CB7"/>
    <w:rsid w:val="3FB64442"/>
    <w:rsid w:val="3FBE31EC"/>
    <w:rsid w:val="440376A0"/>
    <w:rsid w:val="47DC150A"/>
    <w:rsid w:val="49280567"/>
    <w:rsid w:val="4B0C4228"/>
    <w:rsid w:val="502E4C05"/>
    <w:rsid w:val="53714590"/>
    <w:rsid w:val="53D203F5"/>
    <w:rsid w:val="54290FC3"/>
    <w:rsid w:val="54702B11"/>
    <w:rsid w:val="57E06B2A"/>
    <w:rsid w:val="586E51DE"/>
    <w:rsid w:val="5A60635A"/>
    <w:rsid w:val="5F25759B"/>
    <w:rsid w:val="5FF30C41"/>
    <w:rsid w:val="60033294"/>
    <w:rsid w:val="617A5F38"/>
    <w:rsid w:val="618446C0"/>
    <w:rsid w:val="61D93896"/>
    <w:rsid w:val="62905372"/>
    <w:rsid w:val="633A0831"/>
    <w:rsid w:val="6545637E"/>
    <w:rsid w:val="656B097C"/>
    <w:rsid w:val="65F72765"/>
    <w:rsid w:val="67BE73E3"/>
    <w:rsid w:val="694242B1"/>
    <w:rsid w:val="6A3639B2"/>
    <w:rsid w:val="6CCB3F88"/>
    <w:rsid w:val="6F0128B9"/>
    <w:rsid w:val="6F504ED8"/>
    <w:rsid w:val="720054D8"/>
    <w:rsid w:val="75153B55"/>
    <w:rsid w:val="76B4298A"/>
    <w:rsid w:val="78182EE9"/>
    <w:rsid w:val="79F31036"/>
    <w:rsid w:val="7CFC6F29"/>
    <w:rsid w:val="7DF433DC"/>
    <w:rsid w:val="DE3768C2"/>
    <w:rsid w:val="F72FD80B"/>
    <w:rsid w:val="F86F9496"/>
    <w:rsid w:val="FEFCC294"/>
    <w:rsid w:val="FFEFE0F7"/>
    <w:rsid w:val="FFFFE5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3"/>
    <w:basedOn w:val="1"/>
    <w:next w:val="1"/>
    <w:qFormat/>
    <w:uiPriority w:val="0"/>
    <w:pPr>
      <w:keepNext/>
      <w:keepLines/>
      <w:spacing w:before="260" w:after="260" w:line="416" w:lineRule="auto"/>
      <w:jc w:val="center"/>
      <w:outlineLvl w:val="2"/>
    </w:pPr>
    <w:rPr>
      <w:rFonts w:ascii="宋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firstLine="420" w:firstLineChars="200"/>
    </w:pPr>
  </w:style>
  <w:style w:type="paragraph" w:styleId="3">
    <w:name w:val="Body Text Indent"/>
    <w:basedOn w:val="1"/>
    <w:qFormat/>
    <w:uiPriority w:val="0"/>
    <w:pPr>
      <w:ind w:firstLine="645"/>
    </w:pPr>
    <w:rPr>
      <w:rFonts w:ascii="楷体_GB2312" w:eastAsia="楷体_GB2312"/>
      <w:sz w:val="32"/>
    </w:rPr>
  </w:style>
  <w:style w:type="paragraph" w:styleId="5">
    <w:name w:val="annotation text"/>
    <w:basedOn w:val="1"/>
    <w:qFormat/>
    <w:uiPriority w:val="0"/>
    <w:pPr>
      <w:jc w:val="left"/>
    </w:p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Plain Text"/>
    <w:basedOn w:val="1"/>
    <w:qFormat/>
    <w:uiPriority w:val="0"/>
    <w:rPr>
      <w:rFonts w:ascii="宋体" w:hAnsi="Courier New"/>
    </w:rPr>
  </w:style>
  <w:style w:type="paragraph" w:styleId="8">
    <w:name w:val="footnote text"/>
    <w:basedOn w:val="1"/>
    <w:qFormat/>
    <w:uiPriority w:val="0"/>
    <w:pPr>
      <w:snapToGrid w:val="0"/>
      <w:spacing w:line="360" w:lineRule="auto"/>
      <w:ind w:firstLine="643" w:firstLineChars="200"/>
      <w:jc w:val="left"/>
    </w:pPr>
    <w:rPr>
      <w:rFonts w:ascii="Times New Roman" w:hAnsi="Times New Roman" w:eastAsia="宋体" w:cs="宋体"/>
      <w:kern w:val="0"/>
      <w:sz w:val="18"/>
      <w:szCs w:val="18"/>
      <w:u w:color="C0000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4"/>
      <w:szCs w:val="24"/>
      <w:lang w:val="en-US" w:eastAsia="en-US" w:bidi="ar-SA"/>
    </w:rPr>
  </w:style>
  <w:style w:type="paragraph" w:customStyle="1" w:styleId="14">
    <w:name w:val="xl31"/>
    <w:basedOn w:val="1"/>
    <w:qFormat/>
    <w:uiPriority w:val="0"/>
    <w:pPr>
      <w:widowControl/>
      <w:spacing w:before="100" w:beforeAutospacing="1" w:after="100" w:afterAutospacing="1"/>
      <w:jc w:val="center"/>
    </w:pPr>
    <w:rPr>
      <w:rFonts w:ascii="宋体" w:hAnsi="宋体"/>
      <w:b/>
      <w:bCs/>
      <w:kern w:val="0"/>
      <w:sz w:val="28"/>
      <w:szCs w:val="28"/>
    </w:rPr>
  </w:style>
  <w:style w:type="character" w:customStyle="1" w:styleId="15">
    <w:name w:val="font01"/>
    <w:basedOn w:val="11"/>
    <w:qFormat/>
    <w:uiPriority w:val="0"/>
    <w:rPr>
      <w:rFonts w:hint="eastAsia" w:ascii="宋体" w:hAnsi="宋体" w:eastAsia="宋体" w:cs="宋体"/>
      <w:color w:val="000000"/>
      <w:sz w:val="24"/>
      <w:szCs w:val="24"/>
      <w:u w:val="none"/>
    </w:rPr>
  </w:style>
  <w:style w:type="character" w:customStyle="1" w:styleId="16">
    <w:name w:val="font51"/>
    <w:basedOn w:val="11"/>
    <w:qFormat/>
    <w:uiPriority w:val="0"/>
    <w:rPr>
      <w:rFonts w:hint="eastAsia" w:ascii="宋体" w:hAnsi="宋体" w:eastAsia="宋体" w:cs="宋体"/>
      <w:color w:val="000000"/>
      <w:sz w:val="20"/>
      <w:szCs w:val="20"/>
      <w:u w:val="none"/>
    </w:rPr>
  </w:style>
  <w:style w:type="character" w:customStyle="1" w:styleId="17">
    <w:name w:val="font11"/>
    <w:basedOn w:val="11"/>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theme" Target="theme/theme1.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Words>4785</Words>
  <Characters>5129</Characters>
  <TotalTime>220</TotalTime>
  <ScaleCrop>false</ScaleCrop>
  <LinksUpToDate>false</LinksUpToDate>
  <CharactersWithSpaces>5383</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2024-06-14T21:05:00Z</dcterms:created>
  <dc:creator>Administrator</dc:creator>
  <cp:lastModifiedBy>汪汪</cp:lastModifiedBy>
  <cp:lastPrinted>2024-07-24T11:30:00Z</cp:lastPrinted>
  <dcterms:modified xsi:type="dcterms:W3CDTF">2025-04-11T07:22:01Z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2024-07-02T10:12:39Z</vt:filetime>
  </property>
  <property fmtid="{D5CDD505-2E9C-101B-9397-08002B2CF9AE}" pid="4" name="KSOProductBuildVer">
    <vt:lpwstr>2052-12.1.0.20784</vt:lpwstr>
  </property>
  <property fmtid="{D5CDD505-2E9C-101B-9397-08002B2CF9AE}" pid="5" name="ICV">
    <vt:lpwstr>A773FE24A45644BB9C40DF7D984D7249_13</vt:lpwstr>
  </property>
  <property fmtid="{D5CDD505-2E9C-101B-9397-08002B2CF9AE}" pid="6" name="KSOTemplateDocerSaveRecord">
    <vt:lpwstr>eyJoZGlkIjoiMTdjOGUwODlhZWE3NzRmYmEwZjA2ZjQ5ZGJlMDRmZjQiLCJ1c2VySWQiOiI0NTE5MDM2ODUifQ==</vt:lpwstr>
  </property>
</Properties>
</file>