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8F28C">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6CB53985">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193A6BD0">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hint="eastAsia" w:ascii="宋体" w:hAnsi="宋体" w:eastAsia="宋体"/>
          <w:b/>
          <w:bCs/>
          <w:sz w:val="52"/>
          <w:szCs w:val="52"/>
          <w:lang w:val="en-US" w:eastAsia="zh-CN"/>
        </w:rPr>
      </w:pPr>
      <w:bookmarkStart w:id="0" w:name="_Hlk9544796"/>
      <w:r>
        <w:rPr>
          <w:rFonts w:hint="eastAsia" w:ascii="宋体" w:hAnsi="宋体" w:eastAsia="宋体"/>
          <w:b/>
          <w:bCs/>
          <w:sz w:val="52"/>
          <w:szCs w:val="52"/>
          <w:lang w:eastAsia="zh-CN"/>
        </w:rPr>
        <w:t>省淮河局2025年堤防草皮养护及林间控高（第5包）</w:t>
      </w:r>
    </w:p>
    <w:p w14:paraId="698CA3C3">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760" w:lineRule="exact"/>
        <w:ind w:right="267" w:rightChars="127"/>
        <w:jc w:val="center"/>
        <w:textAlignment w:val="auto"/>
        <w:rPr>
          <w:rFonts w:ascii="宋体" w:hAnsi="宋体" w:eastAsia="宋体"/>
          <w:b/>
          <w:bCs/>
          <w:sz w:val="52"/>
          <w:szCs w:val="52"/>
        </w:rPr>
      </w:pPr>
      <w:r>
        <w:rPr>
          <w:rFonts w:hint="eastAsia" w:ascii="宋体" w:hAnsi="宋体" w:eastAsia="宋体"/>
          <w:b/>
          <w:bCs/>
          <w:sz w:val="52"/>
          <w:szCs w:val="52"/>
        </w:rPr>
        <w:t>招标文件</w:t>
      </w:r>
      <w:bookmarkEnd w:id="0"/>
    </w:p>
    <w:p w14:paraId="32B1DE5C">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7FB1098D">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3E970CAD">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7B9BD78D">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2526E07A">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7D0B89BF">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u w:val="single"/>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eastAsia="zh-CN"/>
        </w:rPr>
        <w:t>省淮河局2025年堤防草皮养护及林间控高（第5包）</w:t>
      </w:r>
    </w:p>
    <w:p w14:paraId="7F17C735">
      <w:pPr>
        <w:tabs>
          <w:tab w:val="left" w:pos="2410"/>
        </w:tabs>
        <w:autoSpaceDE w:val="0"/>
        <w:autoSpaceDN w:val="0"/>
        <w:adjustRightInd w:val="0"/>
        <w:snapToGrid w:val="0"/>
        <w:spacing w:line="360" w:lineRule="auto"/>
        <w:ind w:firstLine="723" w:firstLineChars="200"/>
        <w:rPr>
          <w:rFonts w:ascii="宋体" w:hAnsi="宋体" w:eastAsia="宋体"/>
          <w:b/>
          <w:spacing w:val="20"/>
          <w:kern w:val="0"/>
          <w:sz w:val="32"/>
          <w:szCs w:val="32"/>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rPr>
        <w:t>FSSD34000120251265号005</w:t>
      </w:r>
    </w:p>
    <w:p w14:paraId="38D243DA">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lang w:val="en-US" w:eastAsia="zh-CN"/>
        </w:rPr>
        <w:t>安徽省淮河河道管理局</w:t>
      </w:r>
    </w:p>
    <w:p w14:paraId="15EC6720">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lang w:val="en-US" w:eastAsia="zh-CN"/>
        </w:rPr>
        <w:t>安徽安兆工程技术咨询服务有限公司</w:t>
      </w:r>
    </w:p>
    <w:p w14:paraId="05A74D12">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41BBEA51">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none"/>
          <w:lang w:val="en-US" w:eastAsia="zh-CN"/>
        </w:rPr>
        <w:t>2025</w:t>
      </w:r>
      <w:r>
        <w:rPr>
          <w:rFonts w:hint="eastAsia" w:ascii="宋体" w:hAnsi="宋体" w:eastAsia="宋体"/>
          <w:b/>
          <w:sz w:val="36"/>
          <w:u w:val="none"/>
        </w:rPr>
        <w:t>年</w:t>
      </w:r>
      <w:r>
        <w:rPr>
          <w:rFonts w:hint="eastAsia" w:ascii="宋体" w:hAnsi="宋体" w:eastAsia="宋体"/>
          <w:b/>
          <w:sz w:val="36"/>
          <w:u w:val="none"/>
          <w:lang w:val="en-US" w:eastAsia="zh-CN"/>
        </w:rPr>
        <w:t>3</w:t>
      </w:r>
      <w:r>
        <w:rPr>
          <w:rFonts w:hint="eastAsia" w:ascii="宋体" w:hAnsi="宋体" w:eastAsia="宋体"/>
          <w:b/>
          <w:sz w:val="36"/>
          <w:u w:val="none"/>
        </w:rPr>
        <w:t>月</w:t>
      </w:r>
      <w:r>
        <w:rPr>
          <w:rFonts w:ascii="宋体" w:hAnsi="宋体" w:eastAsia="宋体"/>
          <w:b/>
          <w:sz w:val="36"/>
        </w:rPr>
        <w:br w:type="page"/>
      </w:r>
    </w:p>
    <w:p w14:paraId="37F86C2A">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7E8C9312">
      <w:pPr>
        <w:pStyle w:val="15"/>
        <w:tabs>
          <w:tab w:val="right" w:leader="dot" w:pos="8306"/>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"_Toc32331" </w:instrText>
      </w:r>
      <w:r>
        <w:fldChar w:fldCharType="separate"/>
      </w:r>
      <w:r>
        <w:rPr>
          <w:rFonts w:hint="eastAsia" w:asciiTheme="minorEastAsia" w:hAnsiTheme="minorEastAsia"/>
        </w:rPr>
        <w:t xml:space="preserve">第一章 </w:t>
      </w:r>
      <w:r>
        <w:rPr>
          <w:rFonts w:asciiTheme="minorEastAsia" w:hAnsiTheme="minorEastAsia"/>
        </w:rPr>
        <w:t xml:space="preserve"> 投标邀请</w:t>
      </w:r>
      <w:r>
        <w:tab/>
      </w:r>
      <w:r>
        <w:fldChar w:fldCharType="begin"/>
      </w:r>
      <w:r>
        <w:instrText xml:space="preserve"> PAGEREF _Toc32331 \h </w:instrText>
      </w:r>
      <w:r>
        <w:fldChar w:fldCharType="separate"/>
      </w:r>
      <w:r>
        <w:t>1</w:t>
      </w:r>
      <w:r>
        <w:fldChar w:fldCharType="end"/>
      </w:r>
      <w:r>
        <w:fldChar w:fldCharType="end"/>
      </w:r>
    </w:p>
    <w:p w14:paraId="068F617A">
      <w:pPr>
        <w:pStyle w:val="15"/>
        <w:tabs>
          <w:tab w:val="right" w:leader="dot" w:pos="8306"/>
        </w:tabs>
      </w:pPr>
      <w:r>
        <w:fldChar w:fldCharType="begin"/>
      </w:r>
      <w:r>
        <w:instrText xml:space="preserve"> HYPERLINK \l "_Toc8888"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w:t>
      </w:r>
      <w:r>
        <w:rPr>
          <w:rFonts w:asciiTheme="minorEastAsia" w:hAnsiTheme="minorEastAsia"/>
        </w:rPr>
        <w:t>投标人须知</w:t>
      </w:r>
      <w:r>
        <w:tab/>
      </w:r>
      <w:r>
        <w:fldChar w:fldCharType="begin"/>
      </w:r>
      <w:r>
        <w:instrText xml:space="preserve"> PAGEREF _Toc8888 \h </w:instrText>
      </w:r>
      <w:r>
        <w:fldChar w:fldCharType="separate"/>
      </w:r>
      <w:r>
        <w:t>6</w:t>
      </w:r>
      <w:r>
        <w:fldChar w:fldCharType="end"/>
      </w:r>
      <w:r>
        <w:fldChar w:fldCharType="end"/>
      </w:r>
    </w:p>
    <w:p w14:paraId="3EBC6C2D">
      <w:pPr>
        <w:pStyle w:val="15"/>
        <w:tabs>
          <w:tab w:val="right" w:leader="dot" w:pos="8306"/>
        </w:tabs>
      </w:pPr>
      <w:r>
        <w:fldChar w:fldCharType="begin"/>
      </w:r>
      <w:r>
        <w:instrText xml:space="preserve"> HYPERLINK \l "_Toc22605" </w:instrText>
      </w:r>
      <w:r>
        <w:fldChar w:fldCharType="separate"/>
      </w:r>
      <w:r>
        <w:rPr>
          <w:rFonts w:hint="eastAsia" w:asciiTheme="minorEastAsia" w:hAnsiTheme="minorEastAsia"/>
        </w:rPr>
        <w:t>第三章  采购需求</w:t>
      </w:r>
      <w:r>
        <w:tab/>
      </w:r>
      <w:r>
        <w:fldChar w:fldCharType="begin"/>
      </w:r>
      <w:r>
        <w:instrText xml:space="preserve"> PAGEREF _Toc22605 \h </w:instrText>
      </w:r>
      <w:r>
        <w:fldChar w:fldCharType="separate"/>
      </w:r>
      <w:r>
        <w:t>22</w:t>
      </w:r>
      <w:r>
        <w:fldChar w:fldCharType="end"/>
      </w:r>
      <w:r>
        <w:fldChar w:fldCharType="end"/>
      </w:r>
    </w:p>
    <w:p w14:paraId="063232D3">
      <w:pPr>
        <w:pStyle w:val="15"/>
        <w:tabs>
          <w:tab w:val="right" w:leader="dot" w:pos="8306"/>
        </w:tabs>
      </w:pPr>
      <w:r>
        <w:fldChar w:fldCharType="begin"/>
      </w:r>
      <w:r>
        <w:instrText xml:space="preserve"> HYPERLINK \l "_Toc30824" </w:instrText>
      </w:r>
      <w:r>
        <w:fldChar w:fldCharType="separate"/>
      </w:r>
      <w:r>
        <w:rPr>
          <w:rFonts w:hint="eastAsia" w:asciiTheme="minorEastAsia" w:hAnsiTheme="minorEastAsia"/>
        </w:rPr>
        <w:t>第四章  评标方法和标准（综合评分法）</w:t>
      </w:r>
      <w:r>
        <w:tab/>
      </w:r>
      <w:r>
        <w:fldChar w:fldCharType="begin"/>
      </w:r>
      <w:r>
        <w:instrText xml:space="preserve"> PAGEREF _Toc30824 \h </w:instrText>
      </w:r>
      <w:r>
        <w:fldChar w:fldCharType="separate"/>
      </w:r>
      <w:r>
        <w:t>50</w:t>
      </w:r>
      <w:r>
        <w:fldChar w:fldCharType="end"/>
      </w:r>
      <w:r>
        <w:fldChar w:fldCharType="end"/>
      </w:r>
    </w:p>
    <w:p w14:paraId="5541DD02">
      <w:pPr>
        <w:pStyle w:val="15"/>
        <w:tabs>
          <w:tab w:val="right" w:leader="dot" w:pos="8306"/>
        </w:tabs>
        <w:rPr>
          <w:rFonts w:hint="eastAsia" w:eastAsiaTheme="minorEastAsia"/>
          <w:lang w:val="en-US" w:eastAsia="zh-CN"/>
        </w:rPr>
      </w:pPr>
      <w:r>
        <w:fldChar w:fldCharType="begin"/>
      </w:r>
      <w:r>
        <w:instrText xml:space="preserve"> HYPERLINK \l "_Toc20405"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rPr>
          <w:rFonts w:hint="eastAsia"/>
          <w:lang w:val="en-US" w:eastAsia="zh-CN"/>
        </w:rPr>
        <w:t>5</w:t>
      </w:r>
      <w:r>
        <w:fldChar w:fldCharType="end"/>
      </w:r>
      <w:r>
        <w:rPr>
          <w:rFonts w:hint="eastAsia"/>
          <w:lang w:val="en-US" w:eastAsia="zh-CN"/>
        </w:rPr>
        <w:t>7</w:t>
      </w:r>
    </w:p>
    <w:p w14:paraId="6530CF36">
      <w:pPr>
        <w:pStyle w:val="15"/>
        <w:tabs>
          <w:tab w:val="right" w:leader="dot" w:pos="8306"/>
        </w:tabs>
      </w:pPr>
      <w:r>
        <w:fldChar w:fldCharType="begin"/>
      </w:r>
      <w:r>
        <w:instrText xml:space="preserve"> HYPERLINK \l "_Toc13555" </w:instrText>
      </w:r>
      <w:r>
        <w:fldChar w:fldCharType="separate"/>
      </w:r>
      <w:r>
        <w:rPr>
          <w:rFonts w:hint="eastAsia" w:asciiTheme="minorEastAsia" w:hAnsiTheme="minorEastAsia"/>
        </w:rPr>
        <w:t>第六章  投标文件格式</w:t>
      </w:r>
      <w:r>
        <w:tab/>
      </w:r>
      <w:r>
        <w:fldChar w:fldCharType="begin"/>
      </w:r>
      <w:r>
        <w:instrText xml:space="preserve"> PAGEREF _Toc13555 \h </w:instrText>
      </w:r>
      <w:r>
        <w:fldChar w:fldCharType="separate"/>
      </w:r>
      <w:r>
        <w:t>79</w:t>
      </w:r>
      <w:r>
        <w:fldChar w:fldCharType="end"/>
      </w:r>
      <w:r>
        <w:fldChar w:fldCharType="end"/>
      </w:r>
    </w:p>
    <w:p w14:paraId="3CFD1A9C">
      <w:pPr>
        <w:pStyle w:val="15"/>
        <w:tabs>
          <w:tab w:val="right" w:leader="dot" w:pos="8306"/>
        </w:tabs>
      </w:pPr>
      <w:r>
        <w:fldChar w:fldCharType="begin"/>
      </w:r>
      <w:r>
        <w:instrText xml:space="preserve"> HYPERLINK \l "_Toc20819" </w:instrText>
      </w:r>
      <w:r>
        <w:fldChar w:fldCharType="separate"/>
      </w:r>
      <w:r>
        <w:rPr>
          <w:rFonts w:hint="eastAsia" w:asciiTheme="minorEastAsia" w:hAnsiTheme="minorEastAsia"/>
        </w:rPr>
        <w:t>第七章</w:t>
      </w:r>
      <w:r>
        <w:rPr>
          <w:rFonts w:hint="eastAsia" w:ascii="宋体" w:hAnsi="宋体" w:eastAsia="宋体"/>
          <w:bCs/>
        </w:rPr>
        <w:t xml:space="preserve">  政府采购</w:t>
      </w:r>
      <w:r>
        <w:rPr>
          <w:rFonts w:hint="eastAsia" w:asciiTheme="minorEastAsia" w:hAnsiTheme="minorEastAsia"/>
        </w:rPr>
        <w:t>供应</w:t>
      </w:r>
      <w:r>
        <w:rPr>
          <w:rFonts w:hint="eastAsia" w:ascii="宋体" w:hAnsi="宋体" w:eastAsia="宋体"/>
          <w:bCs/>
        </w:rPr>
        <w:t>商询问函和质疑函范本</w:t>
      </w:r>
      <w:r>
        <w:tab/>
      </w:r>
      <w:r>
        <w:fldChar w:fldCharType="begin"/>
      </w:r>
      <w:r>
        <w:instrText xml:space="preserve"> PAGEREF _Toc20819 \h </w:instrText>
      </w:r>
      <w:r>
        <w:fldChar w:fldCharType="separate"/>
      </w:r>
      <w:r>
        <w:t>91</w:t>
      </w:r>
      <w:r>
        <w:fldChar w:fldCharType="end"/>
      </w:r>
      <w:r>
        <w:fldChar w:fldCharType="end"/>
      </w:r>
    </w:p>
    <w:p w14:paraId="38F5EA6A">
      <w:pPr>
        <w:spacing w:line="360" w:lineRule="auto"/>
        <w:jc w:val="center"/>
        <w:outlineLvl w:val="0"/>
        <w:rPr>
          <w:rFonts w:asciiTheme="minorEastAsia" w:hAnsiTheme="minorEastAsia" w:eastAsiaTheme="minorEastAsia"/>
          <w:szCs w:val="24"/>
        </w:rPr>
      </w:pPr>
      <w:r>
        <w:rPr>
          <w:rFonts w:asciiTheme="minorEastAsia" w:hAnsiTheme="minorEastAsia" w:eastAsiaTheme="minorEastAsia"/>
          <w:szCs w:val="24"/>
        </w:rPr>
        <w:fldChar w:fldCharType="end"/>
      </w:r>
      <w:bookmarkStart w:id="1" w:name="_Toc32331"/>
    </w:p>
    <w:p w14:paraId="4DEE6891">
      <w:pPr>
        <w:spacing w:line="360" w:lineRule="auto"/>
        <w:jc w:val="center"/>
        <w:outlineLvl w:val="0"/>
        <w:rPr>
          <w:rFonts w:hint="eastAsia" w:asciiTheme="minorEastAsia" w:hAnsiTheme="minorEastAsia" w:eastAsiaTheme="minorEastAsia"/>
          <w:b/>
          <w:sz w:val="28"/>
        </w:rPr>
        <w:sectPr>
          <w:headerReference r:id="rId3" w:type="default"/>
          <w:footerReference r:id="rId4" w:type="default"/>
          <w:pgSz w:w="11905" w:h="16838"/>
          <w:pgMar w:top="1474" w:right="1814" w:bottom="1474" w:left="1814" w:header="851" w:footer="992" w:gutter="0"/>
          <w:pgNumType w:start="1"/>
          <w:cols w:space="0" w:num="1"/>
          <w:docGrid w:linePitch="312" w:charSpace="0"/>
        </w:sectPr>
      </w:pPr>
      <w:bookmarkStart w:id="300" w:name="_GoBack"/>
      <w:bookmarkEnd w:id="300"/>
    </w:p>
    <w:p w14:paraId="2E0CAFEE">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308AD0E5">
      <w:pPr>
        <w:spacing w:line="360" w:lineRule="auto"/>
        <w:ind w:firstLine="437"/>
        <w:outlineLvl w:val="1"/>
        <w:rPr>
          <w:rFonts w:ascii="宋体" w:hAnsi="宋体" w:eastAsia="宋体"/>
          <w:b/>
          <w:bCs/>
          <w:sz w:val="24"/>
          <w:szCs w:val="18"/>
        </w:rPr>
      </w:pPr>
      <w:bookmarkStart w:id="2" w:name="_Toc1381"/>
      <w:bookmarkStart w:id="3" w:name="_Toc31518"/>
      <w:r>
        <w:rPr>
          <w:rFonts w:hint="eastAsia" w:ascii="宋体" w:hAnsi="宋体" w:eastAsia="宋体"/>
          <w:b/>
          <w:bCs/>
          <w:sz w:val="24"/>
          <w:szCs w:val="18"/>
        </w:rPr>
        <w:t>一、</w:t>
      </w:r>
      <w:bookmarkEnd w:id="2"/>
      <w:r>
        <w:rPr>
          <w:rFonts w:hint="eastAsia" w:ascii="宋体" w:hAnsi="宋体" w:eastAsia="宋体"/>
          <w:b/>
          <w:bCs/>
          <w:sz w:val="24"/>
          <w:szCs w:val="18"/>
        </w:rPr>
        <w:t>项目基本情况</w:t>
      </w:r>
      <w:bookmarkEnd w:id="3"/>
    </w:p>
    <w:p w14:paraId="48B63B7D">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1.项目编号：</w:t>
      </w:r>
      <w:r>
        <w:rPr>
          <w:rFonts w:hint="eastAsia" w:asciiTheme="minorEastAsia" w:hAnsiTheme="minorEastAsia" w:eastAsiaTheme="minorEastAsia"/>
          <w:sz w:val="24"/>
          <w:u w:val="single"/>
        </w:rPr>
        <w:t>FSSD34000120251265号005</w:t>
      </w:r>
    </w:p>
    <w:p w14:paraId="0F88E3DD">
      <w:pPr>
        <w:spacing w:line="360" w:lineRule="auto"/>
        <w:ind w:firstLine="435"/>
        <w:rPr>
          <w:rFonts w:hint="eastAsia" w:asciiTheme="minorEastAsia" w:hAnsiTheme="minorEastAsia" w:eastAsiaTheme="minorEastAsia"/>
          <w:b/>
          <w:bCs/>
          <w:color w:val="FF0000"/>
          <w:sz w:val="24"/>
          <w:u w:val="single"/>
          <w:lang w:eastAsia="zh-CN"/>
        </w:rPr>
      </w:pPr>
      <w:r>
        <w:rPr>
          <w:rFonts w:hint="eastAsia" w:asciiTheme="minorEastAsia" w:hAnsiTheme="minorEastAsia" w:eastAsiaTheme="minorEastAsia"/>
          <w:sz w:val="24"/>
        </w:rPr>
        <w:t>2.项目名称：</w:t>
      </w:r>
      <w:r>
        <w:rPr>
          <w:rFonts w:hint="eastAsia" w:asciiTheme="minorEastAsia" w:hAnsiTheme="minorEastAsia" w:eastAsiaTheme="minorEastAsia"/>
          <w:b/>
          <w:bCs/>
          <w:color w:val="FF0000"/>
          <w:sz w:val="24"/>
          <w:u w:val="single"/>
          <w:lang w:eastAsia="zh-CN"/>
        </w:rPr>
        <w:t>省淮河局2025年堤防草皮养护及林间控高（第5包）</w:t>
      </w:r>
    </w:p>
    <w:p w14:paraId="662965DE">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3.预算金额：</w:t>
      </w:r>
      <w:r>
        <w:rPr>
          <w:rFonts w:hint="eastAsia" w:asciiTheme="minorEastAsia" w:hAnsiTheme="minorEastAsia" w:eastAsiaTheme="minorEastAsia"/>
          <w:sz w:val="24"/>
          <w:u w:val="single"/>
        </w:rPr>
        <w:t>915.9万元</w:t>
      </w:r>
    </w:p>
    <w:p w14:paraId="3220E73A">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4.最高限价：</w:t>
      </w:r>
      <w:r>
        <w:rPr>
          <w:rFonts w:hint="eastAsia" w:asciiTheme="minorEastAsia" w:hAnsiTheme="minorEastAsia" w:eastAsiaTheme="minorEastAsia"/>
          <w:sz w:val="24"/>
          <w:u w:val="single"/>
        </w:rPr>
        <w:t>915.9万元</w:t>
      </w:r>
      <w:bookmarkStart w:id="4" w:name="_Hlk191587457"/>
      <w:bookmarkStart w:id="5" w:name="_Hlk191569556"/>
    </w:p>
    <w:bookmarkEnd w:id="4"/>
    <w:bookmarkEnd w:id="5"/>
    <w:p w14:paraId="3153359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第1包159万元（第1包2025年怀洪新河堤防维护项目）。</w:t>
      </w:r>
    </w:p>
    <w:p w14:paraId="731ABC5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第2包120.1万元（淮北大堤涡下段：25+666～103+983和115+429～122+675）；</w:t>
      </w:r>
    </w:p>
    <w:p w14:paraId="57A0497E">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第3包102.5万元（淮北大堤饶荆段0+000～17+482、颍左堤0+000～63+362等）；</w:t>
      </w:r>
    </w:p>
    <w:p w14:paraId="6D9C4CC2">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第4包67.3万元（淮北大堤饶荆段84+207~120+240、淮北大堤涡下段0+000~9+172、怀远城关圈堤、茨左堤怀远段、茨右堤怀远段、塌荆段等）；</w:t>
      </w:r>
    </w:p>
    <w:p w14:paraId="1C15D35B">
      <w:pPr>
        <w:spacing w:line="360" w:lineRule="auto"/>
        <w:ind w:firstLine="435"/>
        <w:rPr>
          <w:rFonts w:hint="eastAsia" w:asciiTheme="minorEastAsia" w:hAnsiTheme="minorEastAsia" w:eastAsiaTheme="minorEastAsia"/>
          <w:b/>
          <w:bCs/>
          <w:color w:val="FF0000"/>
          <w:sz w:val="24"/>
          <w:lang w:eastAsia="zh-CN"/>
        </w:rPr>
      </w:pPr>
      <w:r>
        <w:rPr>
          <w:rFonts w:hint="eastAsia" w:asciiTheme="minorEastAsia" w:hAnsiTheme="minorEastAsia" w:eastAsiaTheme="minorEastAsia"/>
          <w:b/>
          <w:bCs/>
          <w:color w:val="FF0000"/>
          <w:sz w:val="24"/>
        </w:rPr>
        <w:t>第5包65.4万元（涡左堤52+495～107+827、涡右堤53+762～112+300）</w:t>
      </w:r>
      <w:r>
        <w:rPr>
          <w:rFonts w:hint="eastAsia" w:asciiTheme="minorEastAsia" w:hAnsiTheme="minorEastAsia" w:eastAsiaTheme="minorEastAsia"/>
          <w:b/>
          <w:bCs/>
          <w:color w:val="FF0000"/>
          <w:sz w:val="24"/>
          <w:lang w:eastAsia="zh-CN"/>
        </w:rPr>
        <w:t>；</w:t>
      </w:r>
    </w:p>
    <w:p w14:paraId="03946708">
      <w:pPr>
        <w:spacing w:line="360" w:lineRule="auto"/>
        <w:ind w:firstLine="435"/>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第6包63.9万元（涡左堤0+000~52+495）；</w:t>
      </w:r>
    </w:p>
    <w:p w14:paraId="5A9531F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第7包61.9万元（涡右堤0+000~53+762）；</w:t>
      </w:r>
    </w:p>
    <w:p w14:paraId="64A4653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第8包61.4万元（淮北大堤饶荆段50+254~84+207、茨右堤潘集段）；</w:t>
      </w:r>
    </w:p>
    <w:p w14:paraId="4C324BC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第9包58.5元（淝左堤0+000~42+752、茨右堤凤台段）；</w:t>
      </w:r>
    </w:p>
    <w:p w14:paraId="36FB791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第10包55.4万元（淮北大堤饶荆段17+482~43+100、45+000~50+254，淮右堤凤台段0+080~6+080）；</w:t>
      </w:r>
    </w:p>
    <w:p w14:paraId="19A39AE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第11包50.5万元（颍左堤63+362~104+089）；</w:t>
      </w:r>
    </w:p>
    <w:p w14:paraId="5FBC870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第12包7万元（窑河闸：堤防草皮养护及管理区绿化）；</w:t>
      </w:r>
    </w:p>
    <w:p w14:paraId="31D0A1D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第13包8万元（东淝闸：堤防草皮养护及管理区绿化）；</w:t>
      </w:r>
    </w:p>
    <w:p w14:paraId="0C60FCE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第14包35万元（东湖闸：堤防草皮养护及管理区绿化）；</w:t>
      </w:r>
    </w:p>
    <w:p w14:paraId="24E0670C">
      <w:pPr>
        <w:spacing w:line="360" w:lineRule="auto"/>
        <w:ind w:firstLine="435"/>
        <w:rPr>
          <w:rFonts w:asciiTheme="minorEastAsia" w:hAnsiTheme="minorEastAsia" w:eastAsiaTheme="minorEastAsia"/>
          <w:b/>
          <w:bCs/>
          <w:color w:val="FF0000"/>
          <w:sz w:val="24"/>
        </w:rPr>
      </w:pPr>
      <w:r>
        <w:rPr>
          <w:rFonts w:hint="eastAsia" w:asciiTheme="minorEastAsia" w:hAnsiTheme="minorEastAsia" w:eastAsiaTheme="minorEastAsia"/>
          <w:b/>
          <w:bCs/>
          <w:color w:val="FF0000"/>
          <w:sz w:val="24"/>
        </w:rPr>
        <w:t>第2包至第11包综合单价的最高限价均为3.5元/100m2·次（包含所有养护内容）</w:t>
      </w:r>
    </w:p>
    <w:p w14:paraId="5B986F2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5.采购需求： 本项目主要工作内容包括：（1）堤防草皮（含上下堤道路）养护；（2）硬质护坡养护；（3）林间控高养护；（4）其他。具体内容详见招标文件。</w:t>
      </w:r>
    </w:p>
    <w:p w14:paraId="5659E288">
      <w:pPr>
        <w:adjustRightInd w:val="0"/>
        <w:snapToGrid w:val="0"/>
        <w:spacing w:line="56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本项目为统采分签项目，由安徽省淮河河道管理局作为采购人统一组织采购，</w:t>
      </w:r>
      <w:r>
        <w:rPr>
          <w:rFonts w:hint="eastAsia" w:asciiTheme="minorEastAsia" w:hAnsiTheme="minorEastAsia" w:eastAsiaTheme="minorEastAsia"/>
          <w:b/>
          <w:bCs/>
          <w:sz w:val="24"/>
        </w:rPr>
        <w:t>共涉及16个单位，划分为14个包别，</w:t>
      </w:r>
      <w:r>
        <w:rPr>
          <w:rFonts w:hint="eastAsia" w:ascii="宋体" w:hAnsi="宋体" w:eastAsia="宋体" w:cs="宋体"/>
          <w:b/>
          <w:bCs/>
          <w:sz w:val="24"/>
          <w:szCs w:val="24"/>
        </w:rPr>
        <w:t>成交人成交后分别与16家单位签订合同。</w:t>
      </w:r>
    </w:p>
    <w:p w14:paraId="75B2EA31">
      <w:pPr>
        <w:numPr>
          <w:ilvl w:val="0"/>
          <w:numId w:val="1"/>
        </w:num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合同履行期限：合同签订后至2025年12月10日。</w:t>
      </w:r>
    </w:p>
    <w:p w14:paraId="3783DABD">
      <w:pPr>
        <w:adjustRightInd w:val="0"/>
        <w:snapToGrid w:val="0"/>
        <w:spacing w:line="560" w:lineRule="exact"/>
        <w:ind w:firstLine="482" w:firstLineChars="200"/>
        <w:jc w:val="left"/>
        <w:rPr>
          <w:rFonts w:ascii="宋体" w:hAnsi="宋体" w:eastAsia="宋体" w:cs="宋体"/>
          <w:b/>
          <w:sz w:val="24"/>
          <w:szCs w:val="24"/>
        </w:rPr>
      </w:pPr>
      <w:r>
        <w:rPr>
          <w:rFonts w:hint="eastAsia" w:ascii="宋体" w:hAnsi="宋体" w:eastAsia="宋体" w:cs="宋体"/>
          <w:b/>
          <w:kern w:val="0"/>
          <w:sz w:val="24"/>
          <w:szCs w:val="24"/>
        </w:rPr>
        <w:t>其中第2包-第11包1年服务期满后，经合同甲方年度验收合格，主要服</w:t>
      </w:r>
      <w:r>
        <w:rPr>
          <w:rFonts w:hint="eastAsia" w:ascii="宋体" w:hAnsi="宋体" w:eastAsia="宋体" w:cs="宋体"/>
          <w:b/>
          <w:sz w:val="24"/>
          <w:szCs w:val="24"/>
        </w:rPr>
        <w:t>务内容无变化，根据</w:t>
      </w:r>
      <w:r>
        <w:rPr>
          <w:rFonts w:hint="eastAsia" w:ascii="宋体" w:hAnsi="宋体" w:eastAsia="宋体" w:cs="宋体"/>
          <w:b/>
          <w:kern w:val="0"/>
          <w:sz w:val="24"/>
          <w:szCs w:val="24"/>
        </w:rPr>
        <w:t>合同</w:t>
      </w:r>
      <w:r>
        <w:rPr>
          <w:rFonts w:hint="eastAsia" w:ascii="宋体" w:hAnsi="宋体" w:eastAsia="宋体" w:cs="宋体"/>
          <w:b/>
          <w:sz w:val="24"/>
          <w:szCs w:val="24"/>
        </w:rPr>
        <w:t>甲方实际工作需要，经双方协商同意，在年度预算能够保障的前提下，可续签下一年合同，续签时间不超过1年，合同一年一签，原则上成交价不变，如</w:t>
      </w:r>
      <w:r>
        <w:rPr>
          <w:rFonts w:hint="eastAsia" w:ascii="宋体" w:hAnsi="宋体" w:eastAsia="宋体" w:cs="宋体"/>
          <w:b/>
          <w:kern w:val="0"/>
          <w:sz w:val="24"/>
          <w:szCs w:val="24"/>
        </w:rPr>
        <w:t>合同</w:t>
      </w:r>
      <w:r>
        <w:rPr>
          <w:rFonts w:hint="eastAsia" w:ascii="宋体" w:hAnsi="宋体" w:eastAsia="宋体" w:cs="宋体"/>
          <w:b/>
          <w:sz w:val="24"/>
          <w:szCs w:val="24"/>
        </w:rPr>
        <w:t>甲方预算或续签政策发生变化，不再续签。</w:t>
      </w:r>
    </w:p>
    <w:p w14:paraId="49D14850">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7.本项目（否）接受联合体磋商。</w:t>
      </w:r>
    </w:p>
    <w:p w14:paraId="56E63042">
      <w:pPr>
        <w:spacing w:line="360" w:lineRule="auto"/>
        <w:ind w:firstLine="437"/>
        <w:outlineLvl w:val="1"/>
        <w:rPr>
          <w:rFonts w:ascii="宋体" w:hAnsi="宋体" w:eastAsia="宋体"/>
          <w:b/>
          <w:bCs/>
          <w:sz w:val="24"/>
          <w:szCs w:val="18"/>
        </w:rPr>
      </w:pPr>
      <w:bookmarkStart w:id="6" w:name="_Toc13530"/>
      <w:bookmarkStart w:id="7" w:name="_Toc9204"/>
      <w:r>
        <w:rPr>
          <w:rFonts w:hint="eastAsia" w:ascii="宋体" w:hAnsi="宋体" w:eastAsia="宋体"/>
          <w:b/>
          <w:bCs/>
          <w:sz w:val="24"/>
          <w:szCs w:val="18"/>
        </w:rPr>
        <w:t>二、</w:t>
      </w:r>
      <w:bookmarkEnd w:id="6"/>
      <w:r>
        <w:rPr>
          <w:rFonts w:hint="eastAsia" w:ascii="宋体" w:hAnsi="宋体" w:eastAsia="宋体"/>
          <w:b/>
          <w:bCs/>
          <w:sz w:val="24"/>
          <w:szCs w:val="18"/>
        </w:rPr>
        <w:t>申请人的资格要求</w:t>
      </w:r>
      <w:bookmarkEnd w:id="7"/>
    </w:p>
    <w:p w14:paraId="04A7B4DD">
      <w:pPr>
        <w:spacing w:line="360" w:lineRule="auto"/>
        <w:ind w:firstLine="435"/>
        <w:rPr>
          <w:rFonts w:asciiTheme="minorEastAsia" w:hAnsiTheme="minorEastAsia" w:eastAsiaTheme="minorEastAsia"/>
          <w:sz w:val="24"/>
        </w:rPr>
      </w:pPr>
      <w:bookmarkStart w:id="8" w:name="_Toc30110"/>
      <w:r>
        <w:rPr>
          <w:rFonts w:hint="eastAsia" w:asciiTheme="minorEastAsia" w:hAnsiTheme="minorEastAsia" w:eastAsiaTheme="minorEastAsia"/>
          <w:sz w:val="24"/>
        </w:rPr>
        <w:t>1.满足《中华人民共和国政府采购法》第二十二条规定；</w:t>
      </w:r>
    </w:p>
    <w:p w14:paraId="06D8286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w:t>
      </w:r>
    </w:p>
    <w:p w14:paraId="55548DD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2.1中小企业政策</w:t>
      </w:r>
    </w:p>
    <w:p w14:paraId="06A6F73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2.1.1</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本项目不专门面向中小企业预留采购份额。</w:t>
      </w:r>
    </w:p>
    <w:p w14:paraId="62E559D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w:t>
      </w:r>
      <w:r>
        <w:rPr>
          <w:rFonts w:hint="eastAsia" w:asciiTheme="minorEastAsia" w:hAnsiTheme="minorEastAsia" w:eastAsiaTheme="minorEastAsia"/>
          <w:sz w:val="24"/>
        </w:rPr>
        <w:sym w:font="Wingdings 2" w:char="00A3"/>
      </w:r>
      <w:r>
        <w:rPr>
          <w:rFonts w:hint="eastAsia" w:asciiTheme="minorEastAsia" w:hAnsiTheme="minorEastAsia" w:eastAsiaTheme="minorEastAsia"/>
          <w:sz w:val="24"/>
        </w:rPr>
        <w:t>本项目专门面向</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采购。</w:t>
      </w:r>
    </w:p>
    <w:p w14:paraId="1D5FA82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2.1.3□本项目预留部分采购项目预算专门面向中小企业采购。对于预留份额，提供的货物由符合政策要求的中小企业制造。预留份额通过以下措施进行：/。</w:t>
      </w:r>
    </w:p>
    <w:p w14:paraId="1A5ECD9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2.2</w:t>
      </w:r>
      <w:r>
        <w:rPr>
          <w:rFonts w:hint="eastAsia" w:asciiTheme="minorEastAsia" w:hAnsiTheme="minorEastAsia" w:eastAsiaTheme="minorEastAsia"/>
          <w:sz w:val="24"/>
        </w:rPr>
        <w:t>其它落实政府采购政策的资格要求（如有）：无。</w:t>
      </w:r>
    </w:p>
    <w:p w14:paraId="5C4D1C3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3.本项目的特定资格要求：无。</w:t>
      </w:r>
    </w:p>
    <w:p w14:paraId="31FF2790">
      <w:pPr>
        <w:spacing w:line="360" w:lineRule="auto"/>
        <w:ind w:firstLine="435"/>
        <w:rPr>
          <w:rFonts w:asciiTheme="minorEastAsia" w:hAnsiTheme="minorEastAsia" w:eastAsiaTheme="minorEastAsia"/>
          <w:b/>
          <w:bCs/>
          <w:sz w:val="24"/>
        </w:rPr>
      </w:pPr>
      <w:bookmarkStart w:id="9" w:name="_Toc21681"/>
      <w:r>
        <w:rPr>
          <w:rFonts w:hint="eastAsia" w:asciiTheme="minorEastAsia" w:hAnsiTheme="minorEastAsia" w:eastAsiaTheme="minorEastAsia"/>
          <w:b/>
          <w:bCs/>
          <w:sz w:val="24"/>
        </w:rPr>
        <w:t>三、</w:t>
      </w:r>
      <w:bookmarkEnd w:id="8"/>
      <w:r>
        <w:rPr>
          <w:rFonts w:hint="eastAsia" w:asciiTheme="minorEastAsia" w:hAnsiTheme="minorEastAsia" w:eastAsiaTheme="minorEastAsia"/>
          <w:b/>
          <w:bCs/>
          <w:sz w:val="24"/>
        </w:rPr>
        <w:t>获取招标文件</w:t>
      </w:r>
      <w:bookmarkEnd w:id="9"/>
    </w:p>
    <w:p w14:paraId="612CF8C4">
      <w:pPr>
        <w:spacing w:line="360" w:lineRule="auto"/>
        <w:ind w:firstLine="435"/>
        <w:rPr>
          <w:rFonts w:asciiTheme="minorEastAsia" w:hAnsiTheme="minorEastAsia" w:eastAsiaTheme="minorEastAsia"/>
          <w:sz w:val="24"/>
          <w:u w:val="single"/>
        </w:rPr>
      </w:pPr>
      <w:bookmarkStart w:id="10" w:name="_Toc7957"/>
      <w:bookmarkStart w:id="11" w:name="_Toc25902"/>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2025年3月12日至2025年4月2日，每天上午00:00至12:00，下午12:00至23:59（北京时间，法定节假日除外）</w:t>
      </w:r>
    </w:p>
    <w:p w14:paraId="624C108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地点：</w:t>
      </w:r>
      <w:r>
        <w:rPr>
          <w:rFonts w:hint="eastAsia" w:asciiTheme="minorEastAsia" w:hAnsiTheme="minorEastAsia" w:eastAsiaTheme="minorEastAsia"/>
          <w:sz w:val="24"/>
          <w:u w:val="single"/>
        </w:rPr>
        <w:t xml:space="preserve">“徽采云”电子交易系统 </w:t>
      </w:r>
    </w:p>
    <w:p w14:paraId="1222D616">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rPr>
        <w:t>方式：</w:t>
      </w:r>
      <w:r>
        <w:rPr>
          <w:rFonts w:hint="eastAsia" w:asciiTheme="minorEastAsia" w:hAnsiTheme="minorEastAsia" w:eastAsiaTheme="minorEastAsia"/>
          <w:sz w:val="24"/>
          <w:u w:val="single"/>
        </w:rPr>
        <w:t>投标人须登录“徽采云”电子交易系统（https://login.anhui.zcygov.cn/user-login/#/login）在线申请获取招标文件（进入“项目采购”应用，在获取采购文件菜单中选择项目，申请获取采购文件）。登录须持有电子交易系统兼容的数字证书，详情参见“安徽省政府采购网-徽采学院－电子交易系统学习专题－供应商－操作手册”。</w:t>
      </w:r>
    </w:p>
    <w:p w14:paraId="4F95A41C">
      <w:pPr>
        <w:spacing w:line="360" w:lineRule="auto"/>
        <w:ind w:firstLine="437"/>
        <w:outlineLvl w:val="1"/>
        <w:rPr>
          <w:rFonts w:ascii="宋体" w:hAnsi="宋体" w:eastAsia="宋体"/>
          <w:b/>
          <w:bCs/>
          <w:sz w:val="24"/>
          <w:szCs w:val="18"/>
        </w:rPr>
      </w:pPr>
      <w:r>
        <w:rPr>
          <w:rFonts w:hint="eastAsia" w:ascii="宋体" w:hAnsi="宋体" w:eastAsia="宋体"/>
          <w:b/>
          <w:bCs/>
          <w:sz w:val="24"/>
          <w:szCs w:val="18"/>
        </w:rPr>
        <w:t>四、</w:t>
      </w:r>
      <w:bookmarkEnd w:id="10"/>
      <w:r>
        <w:rPr>
          <w:rFonts w:hint="eastAsia" w:ascii="宋体" w:hAnsi="宋体" w:eastAsia="宋体"/>
          <w:b/>
          <w:bCs/>
          <w:sz w:val="24"/>
          <w:szCs w:val="18"/>
        </w:rPr>
        <w:t>提交投标文件截止时间、开标时间和地点</w:t>
      </w:r>
      <w:bookmarkEnd w:id="11"/>
    </w:p>
    <w:p w14:paraId="717036D9">
      <w:pPr>
        <w:spacing w:line="360" w:lineRule="auto"/>
        <w:ind w:firstLine="480" w:firstLineChars="200"/>
        <w:rPr>
          <w:rFonts w:asciiTheme="minorEastAsia" w:hAnsiTheme="minorEastAsia" w:eastAsiaTheme="minorEastAsia"/>
          <w:sz w:val="24"/>
          <w:u w:val="single"/>
        </w:rPr>
      </w:pPr>
      <w:bookmarkStart w:id="12" w:name="_Toc5082"/>
      <w:r>
        <w:rPr>
          <w:rFonts w:hint="eastAsia" w:asciiTheme="minorEastAsia" w:hAnsiTheme="minorEastAsia" w:eastAsiaTheme="minorEastAsia"/>
          <w:sz w:val="24"/>
          <w:u w:val="single"/>
        </w:rPr>
        <w:t>至2025年4月2日</w:t>
      </w:r>
      <w:r>
        <w:rPr>
          <w:rFonts w:hint="eastAsia" w:asciiTheme="minorEastAsia" w:hAnsiTheme="minorEastAsia" w:eastAsiaTheme="minorEastAsia" w:cstheme="minorEastAsia"/>
          <w:bCs/>
          <w:sz w:val="24"/>
          <w:szCs w:val="24"/>
          <w:u w:val="single"/>
        </w:rPr>
        <w:t>9点30</w:t>
      </w:r>
      <w:r>
        <w:rPr>
          <w:rFonts w:hint="eastAsia" w:asciiTheme="minorEastAsia" w:hAnsiTheme="minorEastAsia" w:eastAsiaTheme="minorEastAsia"/>
          <w:sz w:val="24"/>
          <w:u w:val="single"/>
        </w:rPr>
        <w:t>分（北京时间）</w:t>
      </w:r>
    </w:p>
    <w:p w14:paraId="624A1A9F">
      <w:pPr>
        <w:spacing w:line="360" w:lineRule="auto"/>
        <w:ind w:firstLine="435"/>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sz w:val="24"/>
          <w:u w:val="single"/>
        </w:rPr>
        <w:t xml:space="preserve">“徽采云”电子交易系统 </w:t>
      </w:r>
    </w:p>
    <w:p w14:paraId="100D1396">
      <w:pPr>
        <w:spacing w:line="360" w:lineRule="auto"/>
        <w:ind w:firstLine="437"/>
        <w:outlineLvl w:val="1"/>
        <w:rPr>
          <w:rFonts w:ascii="宋体" w:hAnsi="宋体" w:eastAsia="宋体"/>
          <w:b/>
          <w:bCs/>
          <w:sz w:val="24"/>
          <w:szCs w:val="18"/>
        </w:rPr>
      </w:pPr>
      <w:bookmarkStart w:id="13" w:name="_Toc7753"/>
      <w:r>
        <w:rPr>
          <w:rFonts w:hint="eastAsia" w:ascii="宋体" w:hAnsi="宋体" w:eastAsia="宋体"/>
          <w:b/>
          <w:bCs/>
          <w:sz w:val="24"/>
          <w:szCs w:val="18"/>
        </w:rPr>
        <w:t>五、</w:t>
      </w:r>
      <w:bookmarkEnd w:id="12"/>
      <w:r>
        <w:rPr>
          <w:rFonts w:hint="eastAsia" w:ascii="宋体" w:hAnsi="宋体" w:eastAsia="宋体"/>
          <w:b/>
          <w:bCs/>
          <w:sz w:val="24"/>
          <w:szCs w:val="18"/>
        </w:rPr>
        <w:t>公告期限</w:t>
      </w:r>
      <w:bookmarkEnd w:id="13"/>
    </w:p>
    <w:p w14:paraId="19BE41AE">
      <w:pPr>
        <w:spacing w:line="360" w:lineRule="auto"/>
        <w:ind w:firstLine="437"/>
        <w:rPr>
          <w:rFonts w:ascii="宋体" w:hAnsi="宋体" w:eastAsia="宋体"/>
          <w:sz w:val="24"/>
          <w:szCs w:val="18"/>
        </w:rPr>
      </w:pPr>
      <w:bookmarkStart w:id="14" w:name="_Toc1215"/>
      <w:r>
        <w:rPr>
          <w:rFonts w:hint="eastAsia" w:ascii="宋体" w:hAnsi="宋体" w:eastAsia="宋体"/>
          <w:sz w:val="24"/>
          <w:szCs w:val="18"/>
        </w:rPr>
        <w:t>自本公告发布之日起5个工作日。</w:t>
      </w:r>
    </w:p>
    <w:p w14:paraId="03677F6D">
      <w:pPr>
        <w:spacing w:line="360" w:lineRule="auto"/>
        <w:ind w:firstLine="437"/>
        <w:outlineLvl w:val="1"/>
        <w:rPr>
          <w:rFonts w:ascii="宋体" w:hAnsi="宋体" w:eastAsia="宋体"/>
          <w:b/>
          <w:bCs/>
          <w:sz w:val="24"/>
          <w:szCs w:val="18"/>
        </w:rPr>
      </w:pPr>
      <w:bookmarkStart w:id="15" w:name="_Toc31539"/>
      <w:bookmarkStart w:id="16" w:name="_Toc35393795"/>
      <w:bookmarkStart w:id="17" w:name="_Toc35393626"/>
      <w:r>
        <w:rPr>
          <w:rFonts w:hint="eastAsia" w:ascii="宋体" w:hAnsi="宋体" w:eastAsia="宋体"/>
          <w:b/>
          <w:bCs/>
          <w:sz w:val="24"/>
          <w:szCs w:val="18"/>
        </w:rPr>
        <w:t>六、其他补充事宜</w:t>
      </w:r>
      <w:bookmarkEnd w:id="15"/>
      <w:bookmarkEnd w:id="16"/>
      <w:bookmarkEnd w:id="17"/>
    </w:p>
    <w:bookmarkEnd w:id="14"/>
    <w:p w14:paraId="17F4C893">
      <w:pPr>
        <w:spacing w:line="360" w:lineRule="auto"/>
        <w:ind w:firstLine="437"/>
        <w:rPr>
          <w:rFonts w:ascii="宋体" w:hAnsi="宋体" w:eastAsia="宋体"/>
          <w:sz w:val="24"/>
          <w:szCs w:val="18"/>
        </w:rPr>
      </w:pPr>
      <w:bookmarkStart w:id="18" w:name="_Toc7265"/>
      <w:bookmarkStart w:id="19" w:name="_Toc13296"/>
      <w:r>
        <w:rPr>
          <w:rFonts w:hint="eastAsia" w:ascii="宋体" w:hAnsi="宋体" w:eastAsia="宋体"/>
          <w:sz w:val="24"/>
          <w:szCs w:val="18"/>
        </w:rPr>
        <w:t>项目采用全流程电子化招标方式，相关操作说明如下：</w:t>
      </w:r>
    </w:p>
    <w:p w14:paraId="23E280BB">
      <w:pPr>
        <w:spacing w:line="360" w:lineRule="auto"/>
        <w:ind w:firstLine="437"/>
        <w:rPr>
          <w:rFonts w:ascii="宋体" w:hAnsi="宋体" w:eastAsia="宋体"/>
          <w:sz w:val="24"/>
          <w:szCs w:val="18"/>
        </w:rPr>
      </w:pPr>
      <w:r>
        <w:rPr>
          <w:rFonts w:hint="eastAsia" w:ascii="宋体" w:hAnsi="宋体" w:eastAsia="宋体"/>
          <w:sz w:val="24"/>
          <w:szCs w:val="18"/>
        </w:rPr>
        <w:t>1.本项目落实节能环保、中小微型企业扶持等相关政府采购政策。</w:t>
      </w:r>
    </w:p>
    <w:p w14:paraId="649B6CD9">
      <w:pPr>
        <w:spacing w:line="360" w:lineRule="auto"/>
        <w:ind w:firstLine="437"/>
        <w:rPr>
          <w:rFonts w:ascii="宋体" w:hAnsi="宋体" w:eastAsia="宋体"/>
          <w:sz w:val="24"/>
          <w:szCs w:val="18"/>
        </w:rPr>
      </w:pPr>
      <w:r>
        <w:rPr>
          <w:rFonts w:hint="eastAsia" w:ascii="宋体" w:hAnsi="宋体" w:eastAsia="宋体"/>
          <w:sz w:val="24"/>
          <w:szCs w:val="18"/>
        </w:rPr>
        <w:t>2.本次招标公告同时在安徽省政府采购网、安徽省水利厅－安徽省淮河河道管理局网上发布。</w:t>
      </w:r>
    </w:p>
    <w:p w14:paraId="7D702486">
      <w:pPr>
        <w:spacing w:line="360" w:lineRule="auto"/>
        <w:ind w:firstLine="437"/>
        <w:rPr>
          <w:rFonts w:ascii="宋体" w:hAnsi="宋体" w:eastAsia="宋体"/>
          <w:sz w:val="24"/>
          <w:szCs w:val="18"/>
        </w:rPr>
      </w:pPr>
      <w:r>
        <w:rPr>
          <w:rFonts w:hint="eastAsia" w:ascii="宋体" w:hAnsi="宋体" w:eastAsia="宋体"/>
          <w:sz w:val="24"/>
          <w:szCs w:val="18"/>
        </w:rPr>
        <w:t>3.投标人应合理安排招标文件获取时间，特别是网络速度慢的地区防止在系统关闭前网络拥堵无法操作。如果因计算机及网络故障造成无法完成招标文件获取，责任自负。</w:t>
      </w:r>
    </w:p>
    <w:p w14:paraId="7E95B7DE">
      <w:pPr>
        <w:spacing w:line="360" w:lineRule="auto"/>
        <w:ind w:firstLine="437"/>
        <w:rPr>
          <w:rFonts w:ascii="宋体" w:hAnsi="宋体" w:eastAsia="宋体"/>
          <w:sz w:val="24"/>
          <w:szCs w:val="18"/>
        </w:rPr>
      </w:pPr>
      <w:r>
        <w:rPr>
          <w:rFonts w:hint="eastAsia" w:ascii="宋体" w:hAnsi="宋体" w:eastAsia="宋体"/>
          <w:sz w:val="24"/>
          <w:szCs w:val="18"/>
        </w:rPr>
        <w:t>4.投标文件的提交要求：</w:t>
      </w:r>
    </w:p>
    <w:p w14:paraId="216D8AB8">
      <w:pPr>
        <w:spacing w:line="360" w:lineRule="auto"/>
        <w:ind w:firstLine="437"/>
        <w:rPr>
          <w:rFonts w:ascii="宋体" w:hAnsi="宋体" w:eastAsia="宋体"/>
          <w:sz w:val="24"/>
          <w:szCs w:val="18"/>
        </w:rPr>
      </w:pPr>
      <w:r>
        <w:rPr>
          <w:rFonts w:hint="eastAsia" w:ascii="宋体" w:hAnsi="宋体" w:eastAsia="宋体"/>
          <w:sz w:val="24"/>
          <w:szCs w:val="18"/>
        </w:rPr>
        <w:t>投标人应当在投标文件提交截止时间前通过“徽采云”电子交易系统上传加密的电子投标文件，未在投标文件提交截止时间前完成上传的，视为逾期送达，拒绝接收。</w:t>
      </w:r>
    </w:p>
    <w:p w14:paraId="72B5C2D3">
      <w:pPr>
        <w:spacing w:line="360" w:lineRule="auto"/>
        <w:ind w:firstLine="437"/>
        <w:rPr>
          <w:rFonts w:ascii="宋体" w:hAnsi="宋体" w:eastAsia="宋体"/>
          <w:sz w:val="24"/>
          <w:szCs w:val="18"/>
        </w:rPr>
      </w:pPr>
      <w:r>
        <w:rPr>
          <w:rFonts w:hint="eastAsia" w:ascii="宋体" w:hAnsi="宋体" w:eastAsia="宋体"/>
          <w:sz w:val="24"/>
          <w:szCs w:val="18"/>
        </w:rPr>
        <w:t>5.电子招投标的说明</w:t>
      </w:r>
    </w:p>
    <w:p w14:paraId="1B20837A">
      <w:pPr>
        <w:spacing w:line="360" w:lineRule="auto"/>
        <w:ind w:firstLine="437"/>
        <w:rPr>
          <w:rFonts w:ascii="宋体" w:hAnsi="宋体" w:eastAsia="宋体"/>
          <w:sz w:val="24"/>
          <w:szCs w:val="18"/>
        </w:rPr>
      </w:pPr>
      <w:r>
        <w:rPr>
          <w:rFonts w:hint="eastAsia" w:ascii="宋体" w:hAnsi="宋体" w:eastAsia="宋体"/>
          <w:sz w:val="24"/>
          <w:szCs w:val="18"/>
        </w:rPr>
        <w:t>5.1电子招投标：本项目以数据电文形式，依托“徽采云”电子交易系统进行招投标活动；</w:t>
      </w:r>
    </w:p>
    <w:p w14:paraId="2861C4F9">
      <w:pPr>
        <w:spacing w:line="360" w:lineRule="auto"/>
        <w:ind w:firstLine="437"/>
        <w:rPr>
          <w:rFonts w:ascii="宋体" w:hAnsi="宋体" w:eastAsia="宋体"/>
          <w:sz w:val="24"/>
          <w:szCs w:val="18"/>
        </w:rPr>
      </w:pPr>
      <w:r>
        <w:rPr>
          <w:rFonts w:hint="eastAsia" w:ascii="宋体" w:hAnsi="宋体" w:eastAsia="宋体"/>
          <w:sz w:val="24"/>
          <w:szCs w:val="18"/>
        </w:rPr>
        <w:t>5.2投标准备：注册账号——详情参见“徽采云”平台供应商注册与配置手册“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投标客户端----前往“安徽省政府采购网-下载专区-电子交易系统专区”进行下载并安装（http://www.ccgp-anhui.gov.cn/anhuiCategory15/anhuiCategory119/9396667.html）；</w:t>
      </w:r>
    </w:p>
    <w:p w14:paraId="2971F054">
      <w:pPr>
        <w:spacing w:line="360" w:lineRule="auto"/>
        <w:ind w:firstLine="437"/>
        <w:rPr>
          <w:rFonts w:ascii="宋体" w:hAnsi="宋体" w:eastAsia="宋体"/>
          <w:sz w:val="24"/>
          <w:szCs w:val="18"/>
        </w:rPr>
      </w:pPr>
      <w:r>
        <w:rPr>
          <w:rFonts w:hint="eastAsia" w:ascii="宋体" w:hAnsi="宋体" w:eastAsia="宋体"/>
          <w:sz w:val="24"/>
          <w:szCs w:val="18"/>
        </w:rPr>
        <w:t>5.3招标文件的获取：使用 CA 登录“徽采云”电子交易系统；进入“项目采购”应用，在获取采购文件菜单中选择项目，获取招标文件；</w:t>
      </w:r>
    </w:p>
    <w:p w14:paraId="39DF34EC">
      <w:pPr>
        <w:spacing w:line="360" w:lineRule="auto"/>
        <w:ind w:firstLine="437"/>
        <w:rPr>
          <w:rFonts w:ascii="宋体" w:hAnsi="宋体" w:eastAsia="宋体"/>
          <w:sz w:val="24"/>
          <w:szCs w:val="18"/>
        </w:rPr>
      </w:pPr>
      <w:r>
        <w:rPr>
          <w:rFonts w:hint="eastAsia" w:ascii="宋体" w:hAnsi="宋体" w:eastAsia="宋体"/>
          <w:sz w:val="24"/>
          <w:szCs w:val="18"/>
        </w:rPr>
        <w:t>5.4投标文件的制作：在“徽采云投标客户端”中完成“填写基本信息”、 “制作和导入投标（投标）文件”“标书关联”“标书检查”“电子签名”、 “生成电子标书”等操作；</w:t>
      </w:r>
    </w:p>
    <w:p w14:paraId="08D87352">
      <w:pPr>
        <w:spacing w:line="360" w:lineRule="auto"/>
        <w:ind w:firstLine="437"/>
        <w:rPr>
          <w:rFonts w:ascii="宋体" w:hAnsi="宋体" w:eastAsia="宋体"/>
          <w:sz w:val="24"/>
          <w:szCs w:val="18"/>
        </w:rPr>
      </w:pPr>
      <w:r>
        <w:rPr>
          <w:rFonts w:hint="eastAsia" w:ascii="宋体" w:hAnsi="宋体" w:eastAsia="宋体"/>
          <w:sz w:val="24"/>
          <w:szCs w:val="18"/>
        </w:rPr>
        <w:t>5.5投标文件的上传：使用CA登录“徽采云”电子交易系统；进入“项目采购”应用，在投标文件上传菜单中选择项目，上传加密的投标文件（*.jmbs）；</w:t>
      </w:r>
    </w:p>
    <w:p w14:paraId="57143CB3">
      <w:pPr>
        <w:spacing w:line="360" w:lineRule="auto"/>
        <w:ind w:firstLine="437"/>
        <w:rPr>
          <w:rFonts w:ascii="宋体" w:hAnsi="宋体" w:eastAsia="宋体"/>
          <w:sz w:val="24"/>
          <w:szCs w:val="18"/>
        </w:rPr>
      </w:pPr>
      <w:r>
        <w:rPr>
          <w:rFonts w:hint="eastAsia" w:ascii="宋体" w:hAnsi="宋体" w:eastAsia="宋体"/>
          <w:sz w:val="24"/>
          <w:szCs w:val="18"/>
        </w:rPr>
        <w:t>5.6投标文件的解密：投标人按照系统提示和招标文件规定，在规定时间内完成在线解密；</w:t>
      </w:r>
    </w:p>
    <w:p w14:paraId="22A37162">
      <w:pPr>
        <w:spacing w:line="360" w:lineRule="auto"/>
        <w:ind w:firstLine="437"/>
        <w:rPr>
          <w:rFonts w:ascii="宋体" w:hAnsi="宋体" w:eastAsia="宋体"/>
          <w:sz w:val="24"/>
          <w:szCs w:val="18"/>
        </w:rPr>
      </w:pPr>
      <w:r>
        <w:rPr>
          <w:rFonts w:hint="eastAsia" w:ascii="宋体" w:hAnsi="宋体" w:eastAsia="宋体"/>
          <w:sz w:val="24"/>
          <w:szCs w:val="18"/>
        </w:rPr>
        <w:t>5.7“徽采云”电子交易系统具体操作指南：详见安徽省政府采购网-徽采学院-电子交易系统学习专题－供应商－操作手册。</w:t>
      </w:r>
    </w:p>
    <w:p w14:paraId="054BB173">
      <w:pPr>
        <w:spacing w:line="360" w:lineRule="auto"/>
        <w:ind w:firstLine="437"/>
        <w:rPr>
          <w:rFonts w:ascii="宋体" w:hAnsi="宋体" w:eastAsia="宋体"/>
          <w:sz w:val="24"/>
          <w:szCs w:val="18"/>
        </w:rPr>
      </w:pPr>
      <w:r>
        <w:rPr>
          <w:rFonts w:hint="eastAsia" w:ascii="宋体" w:hAnsi="宋体" w:eastAsia="宋体"/>
          <w:sz w:val="24"/>
          <w:szCs w:val="18"/>
        </w:rPr>
        <w:t>5.8CA问题联系电话：安徽CA400-880-494.84629 ；翔晟CA0551-68105136。</w:t>
      </w:r>
    </w:p>
    <w:p w14:paraId="401376FF">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6.投标人参加多个包投标的中标包数规定：</w:t>
      </w:r>
    </w:p>
    <w:p w14:paraId="6EBDF2CE">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6.1 各投标人均可就本采购项目上述包别中的14个包别递交投标文件，但最多允许中标2个包别，在其中2个包别被推荐为第一中标候选人的，在其余包别中均不得推荐为中标候选人； </w:t>
      </w:r>
    </w:p>
    <w:p w14:paraId="6BFFB615">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 xml:space="preserve">6.2 评标顺序：评标时按“第1包→第2包→第3包→第4包→第5包→第6包→第7包→第8包→第9包→第10包→第11包→第12包→第13包→第14包”的顺序评标； </w:t>
      </w:r>
    </w:p>
    <w:p w14:paraId="7AE28CA1">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6.3 推荐中标候选人的先后顺序：按照每包的评标顺序进行推荐，即“第1包→第2包→第3包→第4包→第5包→第6包→第7包→第8包→第9包→第10包→第11包→第12包→第13包→第14包”。</w:t>
      </w:r>
    </w:p>
    <w:p w14:paraId="13947CFA">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宋体" w:hAnsi="宋体" w:eastAsia="宋体" w:cs="宋体"/>
          <w:b/>
          <w:bCs/>
          <w:color w:val="FF0000"/>
          <w:kern w:val="0"/>
          <w:sz w:val="24"/>
          <w:szCs w:val="24"/>
        </w:rPr>
        <w:t>（如某投标人取得上述2个包别的中标人资格，则在其余包别中不再具有中标资格且不参与中标候选人排名。如某包因中标人放弃中标资格、质疑或投诉等原因导致评标结果变更的，不影响其他包评标结果。）</w:t>
      </w:r>
    </w:p>
    <w:p w14:paraId="62F8AA11">
      <w:pPr>
        <w:adjustRightInd w:val="0"/>
        <w:snapToGrid w:val="0"/>
        <w:spacing w:line="560" w:lineRule="exact"/>
        <w:ind w:firstLine="482" w:firstLineChars="200"/>
        <w:jc w:val="left"/>
        <w:rPr>
          <w:rFonts w:ascii="宋体" w:hAnsi="宋体" w:eastAsia="宋体"/>
          <w:sz w:val="24"/>
          <w:szCs w:val="18"/>
        </w:rPr>
      </w:pPr>
      <w:r>
        <w:rPr>
          <w:rFonts w:hint="eastAsia" w:ascii="宋体" w:hAnsi="宋体" w:eastAsia="宋体" w:cs="宋体"/>
          <w:b/>
          <w:bCs/>
          <w:kern w:val="0"/>
          <w:sz w:val="24"/>
          <w:szCs w:val="24"/>
        </w:rPr>
        <w:t>七、</w:t>
      </w:r>
      <w:bookmarkEnd w:id="18"/>
      <w:r>
        <w:rPr>
          <w:rFonts w:hint="eastAsia" w:ascii="宋体" w:hAnsi="宋体" w:eastAsia="宋体" w:cs="宋体"/>
          <w:b/>
          <w:bCs/>
          <w:kern w:val="0"/>
          <w:sz w:val="24"/>
          <w:szCs w:val="24"/>
        </w:rPr>
        <w:t>对本次招标提出询问，请按以下方式联系</w:t>
      </w:r>
      <w:bookmarkEnd w:id="19"/>
    </w:p>
    <w:p w14:paraId="29A7C11D">
      <w:pPr>
        <w:adjustRightInd w:val="0"/>
        <w:snapToGrid w:val="0"/>
        <w:spacing w:line="560" w:lineRule="exact"/>
        <w:ind w:firstLine="480" w:firstLineChars="200"/>
        <w:jc w:val="left"/>
        <w:rPr>
          <w:rFonts w:ascii="宋体" w:hAnsi="宋体" w:eastAsia="宋体" w:cs="宋体"/>
          <w:sz w:val="24"/>
          <w:szCs w:val="24"/>
        </w:rPr>
      </w:pPr>
      <w:bookmarkStart w:id="20" w:name="_Toc28359019"/>
      <w:bookmarkStart w:id="21" w:name="_Toc35393637"/>
      <w:bookmarkStart w:id="22" w:name="_Toc28359096"/>
      <w:bookmarkStart w:id="23" w:name="_Toc29915"/>
      <w:bookmarkStart w:id="24" w:name="_Toc35393806"/>
      <w:r>
        <w:rPr>
          <w:rFonts w:hint="eastAsia" w:ascii="宋体" w:hAnsi="宋体" w:eastAsia="宋体" w:cs="宋体"/>
          <w:sz w:val="24"/>
          <w:szCs w:val="24"/>
        </w:rPr>
        <w:t>1.采购人信息</w:t>
      </w:r>
      <w:bookmarkEnd w:id="20"/>
      <w:bookmarkEnd w:id="21"/>
      <w:bookmarkEnd w:id="22"/>
      <w:bookmarkEnd w:id="23"/>
      <w:bookmarkEnd w:id="24"/>
    </w:p>
    <w:p w14:paraId="4758BF8D">
      <w:pPr>
        <w:adjustRightInd w:val="0"/>
        <w:snapToGrid w:val="0"/>
        <w:spacing w:line="560" w:lineRule="exact"/>
        <w:ind w:firstLine="480" w:firstLineChars="200"/>
        <w:jc w:val="left"/>
        <w:rPr>
          <w:rFonts w:ascii="宋体" w:hAnsi="宋体" w:eastAsia="宋体" w:cs="宋体"/>
          <w:sz w:val="24"/>
          <w:szCs w:val="24"/>
        </w:rPr>
      </w:pPr>
      <w:bookmarkStart w:id="25" w:name="_Toc28359097"/>
      <w:bookmarkStart w:id="26" w:name="_Toc35393638"/>
      <w:bookmarkStart w:id="27" w:name="_Toc28359020"/>
      <w:bookmarkStart w:id="28" w:name="_Toc35393807"/>
      <w:r>
        <w:rPr>
          <w:rFonts w:hint="eastAsia" w:ascii="宋体" w:hAnsi="宋体" w:eastAsia="宋体" w:cs="宋体"/>
          <w:sz w:val="24"/>
          <w:szCs w:val="24"/>
        </w:rPr>
        <w:t>名  称：安徽省淮河河道管理局</w:t>
      </w:r>
    </w:p>
    <w:p w14:paraId="4D6603FC">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址：安徽省蚌埠市解放一路116号</w:t>
      </w:r>
    </w:p>
    <w:p w14:paraId="1B9845E2">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联系人：王工</w:t>
      </w:r>
    </w:p>
    <w:p w14:paraId="6051373B">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联系方式：0552-3918027</w:t>
      </w:r>
    </w:p>
    <w:p w14:paraId="017B1EE9">
      <w:pPr>
        <w:adjustRightInd w:val="0"/>
        <w:snapToGrid w:val="0"/>
        <w:spacing w:line="560" w:lineRule="exact"/>
        <w:ind w:firstLine="480" w:firstLineChars="200"/>
        <w:jc w:val="left"/>
        <w:rPr>
          <w:rFonts w:ascii="宋体" w:hAnsi="宋体" w:eastAsia="宋体" w:cs="宋体"/>
          <w:sz w:val="24"/>
          <w:szCs w:val="24"/>
        </w:rPr>
      </w:pPr>
      <w:bookmarkStart w:id="29" w:name="_Toc15577"/>
      <w:r>
        <w:rPr>
          <w:rFonts w:hint="eastAsia" w:ascii="宋体" w:hAnsi="宋体" w:eastAsia="宋体" w:cs="宋体"/>
          <w:sz w:val="24"/>
          <w:szCs w:val="24"/>
        </w:rPr>
        <w:t>2.采购代理机构信息</w:t>
      </w:r>
      <w:bookmarkEnd w:id="25"/>
      <w:bookmarkEnd w:id="26"/>
      <w:bookmarkEnd w:id="27"/>
      <w:bookmarkEnd w:id="28"/>
      <w:bookmarkEnd w:id="29"/>
    </w:p>
    <w:p w14:paraId="0CB813AD">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名  称：</w:t>
      </w:r>
      <w:r>
        <w:rPr>
          <w:rFonts w:hint="eastAsia" w:ascii="宋体" w:hAnsi="宋体" w:eastAsia="宋体" w:cs="宋体"/>
          <w:bCs/>
          <w:sz w:val="24"/>
          <w:szCs w:val="24"/>
          <w:lang w:val="en-US" w:eastAsia="zh-CN"/>
        </w:rPr>
        <w:t>安徽安兆工程技术咨询服务有限公司</w:t>
      </w:r>
    </w:p>
    <w:p w14:paraId="606C08F3">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地  址：</w:t>
      </w:r>
      <w:r>
        <w:rPr>
          <w:rFonts w:hint="eastAsia" w:ascii="宋体" w:hAnsi="宋体" w:eastAsia="宋体" w:cs="宋体"/>
          <w:bCs/>
          <w:sz w:val="24"/>
          <w:szCs w:val="24"/>
          <w:lang w:val="en-US" w:eastAsia="zh-CN"/>
        </w:rPr>
        <w:t>蚌埠市凤阳西路41号</w:t>
      </w:r>
    </w:p>
    <w:p w14:paraId="543AECC2">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联系人：</w:t>
      </w:r>
      <w:r>
        <w:rPr>
          <w:rFonts w:hint="eastAsia" w:ascii="宋体" w:hAnsi="宋体" w:eastAsia="宋体" w:cs="宋体"/>
          <w:bCs/>
          <w:sz w:val="24"/>
          <w:szCs w:val="24"/>
          <w:lang w:val="en-US" w:eastAsia="zh-CN"/>
        </w:rPr>
        <w:t>薛工</w:t>
      </w:r>
    </w:p>
    <w:p w14:paraId="6A7E2876">
      <w:pPr>
        <w:adjustRightInd w:val="0"/>
        <w:snapToGrid w:val="0"/>
        <w:spacing w:line="560" w:lineRule="exact"/>
        <w:ind w:firstLine="480" w:firstLineChars="200"/>
        <w:jc w:val="left"/>
        <w:rPr>
          <w:rFonts w:hint="default"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eastAsia="宋体" w:cs="宋体"/>
          <w:bCs/>
          <w:sz w:val="24"/>
          <w:szCs w:val="24"/>
          <w:lang w:val="en-US" w:eastAsia="zh-CN"/>
        </w:rPr>
        <w:t>0552-3092287</w:t>
      </w:r>
    </w:p>
    <w:p w14:paraId="7FCA4A26">
      <w:pPr>
        <w:adjustRightInd w:val="0"/>
        <w:snapToGrid w:val="0"/>
        <w:spacing w:line="560" w:lineRule="exact"/>
        <w:ind w:firstLine="480" w:firstLineChars="200"/>
        <w:jc w:val="left"/>
        <w:rPr>
          <w:rFonts w:ascii="宋体" w:hAnsi="宋体" w:eastAsia="宋体" w:cs="宋体"/>
          <w:b/>
          <w:sz w:val="24"/>
          <w:szCs w:val="24"/>
        </w:rPr>
      </w:pPr>
      <w:r>
        <w:rPr>
          <w:rFonts w:hint="eastAsia" w:ascii="宋体" w:hAnsi="宋体" w:eastAsia="宋体" w:cs="宋体"/>
          <w:bCs/>
          <w:sz w:val="24"/>
          <w:szCs w:val="24"/>
        </w:rPr>
        <w:t>3</w:t>
      </w:r>
      <w:r>
        <w:rPr>
          <w:rFonts w:hint="eastAsia" w:ascii="宋体" w:hAnsi="宋体" w:eastAsia="宋体" w:cs="宋体"/>
          <w:b/>
          <w:sz w:val="24"/>
          <w:szCs w:val="24"/>
        </w:rPr>
        <w:t>.</w:t>
      </w:r>
      <w:r>
        <w:rPr>
          <w:rFonts w:hint="eastAsia" w:ascii="宋体" w:hAnsi="宋体" w:eastAsia="宋体" w:cs="宋体"/>
          <w:sz w:val="24"/>
          <w:szCs w:val="24"/>
        </w:rPr>
        <w:t>政府采购监督管理部门信息</w:t>
      </w:r>
    </w:p>
    <w:p w14:paraId="3676C658">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名  称：安徽省财政厅</w:t>
      </w:r>
    </w:p>
    <w:p w14:paraId="064228A9">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  址：合肥市阜南西路238号</w:t>
      </w:r>
    </w:p>
    <w:p w14:paraId="632CBA2E">
      <w:pPr>
        <w:adjustRightInd w:val="0"/>
        <w:snapToGrid w:val="0"/>
        <w:spacing w:line="5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联系方式：0551-68150413</w:t>
      </w:r>
    </w:p>
    <w:p w14:paraId="06015796">
      <w:pPr>
        <w:spacing w:line="360" w:lineRule="auto"/>
        <w:ind w:firstLine="435"/>
        <w:rPr>
          <w:rFonts w:ascii="宋体" w:hAnsi="宋体" w:eastAsia="宋体" w:cs="宋体"/>
          <w:sz w:val="24"/>
          <w:szCs w:val="24"/>
        </w:rPr>
      </w:pPr>
    </w:p>
    <w:p w14:paraId="0E6C2D5E">
      <w:pPr>
        <w:widowControl/>
        <w:jc w:val="left"/>
        <w:rPr>
          <w:rFonts w:ascii="宋体" w:hAnsi="宋体" w:eastAsia="宋体"/>
          <w:sz w:val="24"/>
          <w:szCs w:val="18"/>
        </w:rPr>
      </w:pPr>
      <w:r>
        <w:rPr>
          <w:rFonts w:ascii="宋体" w:hAnsi="宋体" w:eastAsia="宋体"/>
          <w:sz w:val="24"/>
          <w:szCs w:val="18"/>
        </w:rPr>
        <w:br w:type="page"/>
      </w:r>
    </w:p>
    <w:p w14:paraId="468A088A">
      <w:pPr>
        <w:spacing w:line="360" w:lineRule="auto"/>
        <w:jc w:val="center"/>
        <w:outlineLvl w:val="0"/>
        <w:rPr>
          <w:rFonts w:asciiTheme="minorEastAsia" w:hAnsiTheme="minorEastAsia" w:eastAsiaTheme="minorEastAsia"/>
          <w:b/>
          <w:sz w:val="28"/>
        </w:rPr>
      </w:pPr>
      <w:bookmarkStart w:id="30" w:name="_Toc8888"/>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0"/>
    </w:p>
    <w:p w14:paraId="30E2A01D">
      <w:pPr>
        <w:spacing w:line="360" w:lineRule="auto"/>
        <w:jc w:val="center"/>
        <w:outlineLvl w:val="1"/>
        <w:rPr>
          <w:rFonts w:asciiTheme="minorEastAsia" w:hAnsiTheme="minorEastAsia" w:eastAsiaTheme="minorEastAsia"/>
          <w:b/>
          <w:sz w:val="24"/>
        </w:rPr>
      </w:pPr>
      <w:bookmarkStart w:id="31" w:name="_Toc13589"/>
      <w:bookmarkStart w:id="32" w:name="_Toc7178"/>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31"/>
      <w:bookmarkEnd w:id="32"/>
    </w:p>
    <w:p w14:paraId="5ABAE552">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1"/>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026"/>
        <w:gridCol w:w="5600"/>
      </w:tblGrid>
      <w:tr w14:paraId="5ABC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3C5CD88">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4C6D30BE">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45" w:type="pct"/>
            <w:vAlign w:val="center"/>
          </w:tcPr>
          <w:p w14:paraId="73783603">
            <w:pPr>
              <w:pStyle w:val="29"/>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194F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DD728D1">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479A66BF">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kern w:val="2"/>
                <w:sz w:val="24"/>
                <w:szCs w:val="22"/>
              </w:rPr>
              <w:t>现场考察或标前答疑会</w:t>
            </w:r>
          </w:p>
        </w:tc>
        <w:tc>
          <w:tcPr>
            <w:tcW w:w="3245" w:type="pct"/>
            <w:vAlign w:val="center"/>
          </w:tcPr>
          <w:p w14:paraId="05E0B035">
            <w:pPr>
              <w:spacing w:line="360" w:lineRule="auto"/>
              <w:rPr>
                <w:rFonts w:ascii="宋体" w:hAnsi="宋体" w:eastAsia="宋体"/>
                <w:bCs/>
                <w:sz w:val="24"/>
              </w:rPr>
            </w:pPr>
            <w:r>
              <w:rPr>
                <w:rFonts w:ascii="宋体" w:hAnsi="宋体" w:eastAsia="宋体"/>
                <w:bCs/>
                <w:sz w:val="24"/>
                <w:szCs w:val="24"/>
              </w:rPr>
              <w:sym w:font="Wingdings 2" w:char="0052"/>
            </w:r>
            <w:r>
              <w:rPr>
                <w:rFonts w:hint="eastAsia" w:ascii="宋体" w:hAnsi="宋体" w:eastAsia="宋体"/>
                <w:sz w:val="24"/>
              </w:rPr>
              <w:t>不组织或不召开</w:t>
            </w:r>
          </w:p>
          <w:p w14:paraId="24972390">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统一组织或统一召开</w:t>
            </w:r>
          </w:p>
          <w:p w14:paraId="1302903B">
            <w:pPr>
              <w:spacing w:line="360" w:lineRule="auto"/>
              <w:rPr>
                <w:rFonts w:hint="eastAsia" w:ascii="宋体" w:hAnsi="宋体" w:eastAsia="宋体"/>
                <w:bCs/>
                <w:sz w:val="24"/>
                <w:u w:val="single"/>
                <w:lang w:eastAsia="zh-CN"/>
              </w:rPr>
            </w:pPr>
            <w:r>
              <w:rPr>
                <w:rFonts w:hint="eastAsia" w:ascii="宋体" w:hAnsi="宋体" w:eastAsia="宋体"/>
                <w:bCs/>
                <w:sz w:val="24"/>
              </w:rPr>
              <w:t>时间：</w:t>
            </w:r>
            <w:r>
              <w:rPr>
                <w:rFonts w:hint="eastAsia" w:ascii="宋体" w:hAnsi="宋体" w:eastAsia="宋体"/>
                <w:bCs/>
                <w:sz w:val="24"/>
                <w:u w:val="single"/>
                <w:lang w:val="en-US" w:eastAsia="zh-CN"/>
              </w:rPr>
              <w:t>/</w:t>
            </w:r>
          </w:p>
          <w:p w14:paraId="65457307">
            <w:pPr>
              <w:spacing w:line="360" w:lineRule="auto"/>
              <w:rPr>
                <w:rFonts w:hint="eastAsia" w:ascii="宋体" w:hAnsi="宋体" w:eastAsia="宋体"/>
                <w:bCs/>
                <w:sz w:val="24"/>
                <w:u w:val="single"/>
                <w:lang w:eastAsia="zh-CN"/>
              </w:rPr>
            </w:pPr>
            <w:r>
              <w:rPr>
                <w:rFonts w:hint="eastAsia" w:ascii="宋体" w:hAnsi="宋体" w:eastAsia="宋体"/>
                <w:bCs/>
                <w:sz w:val="24"/>
              </w:rPr>
              <w:t>地点：</w:t>
            </w:r>
            <w:r>
              <w:rPr>
                <w:rFonts w:hint="eastAsia" w:ascii="宋体" w:hAnsi="宋体" w:eastAsia="宋体"/>
                <w:bCs/>
                <w:sz w:val="24"/>
                <w:u w:val="single"/>
                <w:lang w:val="en-US" w:eastAsia="zh-CN"/>
              </w:rPr>
              <w:t>/</w:t>
            </w:r>
          </w:p>
          <w:p w14:paraId="38E24F3C">
            <w:pPr>
              <w:spacing w:line="360" w:lineRule="auto"/>
              <w:rPr>
                <w:rFonts w:hint="eastAsia" w:ascii="宋体" w:hAnsi="宋体" w:eastAsia="宋体"/>
                <w:bCs/>
                <w:sz w:val="24"/>
                <w:u w:val="single"/>
                <w:lang w:eastAsia="zh-CN"/>
              </w:rPr>
            </w:pPr>
            <w:r>
              <w:rPr>
                <w:rFonts w:hint="eastAsia" w:ascii="宋体" w:hAnsi="宋体" w:eastAsia="宋体"/>
                <w:bCs/>
                <w:sz w:val="24"/>
              </w:rPr>
              <w:t>联系人及联系电话：</w:t>
            </w:r>
            <w:r>
              <w:rPr>
                <w:rFonts w:hint="eastAsia" w:ascii="宋体" w:hAnsi="宋体" w:eastAsia="宋体"/>
                <w:bCs/>
                <w:sz w:val="24"/>
                <w:u w:val="single"/>
                <w:lang w:val="en-US" w:eastAsia="zh-CN"/>
              </w:rPr>
              <w:t>/</w:t>
            </w:r>
          </w:p>
          <w:p w14:paraId="734FE6BF">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注：如投标人未参加采购人统一组织的现场考察或采购人统一召开的标前答疑会，视同放弃现场考察或标前答疑会，由此引起的一切责任由投标人自行承担。</w:t>
            </w:r>
          </w:p>
        </w:tc>
      </w:tr>
      <w:tr w14:paraId="3876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67FFC6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31C93A71">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网上询问截止时间</w:t>
            </w:r>
          </w:p>
        </w:tc>
        <w:tc>
          <w:tcPr>
            <w:tcW w:w="3245" w:type="pct"/>
            <w:vAlign w:val="center"/>
          </w:tcPr>
          <w:p w14:paraId="1FF0F679">
            <w:pPr>
              <w:pStyle w:val="29"/>
              <w:widowControl w:val="0"/>
              <w:spacing w:before="0" w:beforeAutospacing="0" w:after="0" w:afterAutospacing="0"/>
              <w:jc w:val="both"/>
              <w:rPr>
                <w:rFonts w:ascii="宋体" w:hAnsi="宋体" w:eastAsia="宋体"/>
                <w:b w:val="0"/>
                <w:sz w:val="24"/>
              </w:rPr>
            </w:pPr>
            <w:r>
              <w:rPr>
                <w:rFonts w:hint="eastAsia" w:ascii="宋体" w:hAnsi="宋体" w:eastAsia="宋体" w:cs="宋体"/>
                <w:b w:val="0"/>
                <w:sz w:val="24"/>
                <w:szCs w:val="24"/>
                <w:u w:val="single"/>
              </w:rPr>
              <w:t>2025年03月1</w:t>
            </w:r>
            <w:r>
              <w:rPr>
                <w:rFonts w:hint="eastAsia" w:ascii="宋体" w:hAnsi="宋体" w:eastAsia="宋体" w:cs="宋体"/>
                <w:b w:val="0"/>
                <w:sz w:val="24"/>
                <w:szCs w:val="24"/>
                <w:u w:val="single"/>
                <w:lang w:val="en-US" w:eastAsia="zh-CN"/>
              </w:rPr>
              <w:t>7</w:t>
            </w:r>
            <w:r>
              <w:rPr>
                <w:rFonts w:hint="eastAsia" w:ascii="宋体" w:hAnsi="宋体" w:eastAsia="宋体" w:cs="宋体"/>
                <w:b w:val="0"/>
                <w:sz w:val="24"/>
                <w:szCs w:val="24"/>
                <w:u w:val="single"/>
              </w:rPr>
              <w:t>日17时30分</w:t>
            </w:r>
          </w:p>
        </w:tc>
      </w:tr>
      <w:tr w14:paraId="2C52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124AB17">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30C814F8">
            <w:pPr>
              <w:pStyle w:val="29"/>
              <w:widowControl w:val="0"/>
              <w:spacing w:before="0" w:beforeAutospacing="0" w:after="0" w:afterAutospacing="0"/>
              <w:jc w:val="left"/>
              <w:rPr>
                <w:rFonts w:ascii="宋体" w:hAnsi="宋体" w:eastAsia="宋体"/>
                <w:b w:val="0"/>
                <w:sz w:val="24"/>
              </w:rPr>
            </w:pPr>
            <w:r>
              <w:rPr>
                <w:rFonts w:hint="eastAsia" w:ascii="宋体" w:hAnsi="宋体" w:eastAsia="宋体"/>
                <w:b w:val="0"/>
                <w:sz w:val="24"/>
              </w:rPr>
              <w:t>包别划分</w:t>
            </w:r>
          </w:p>
        </w:tc>
        <w:tc>
          <w:tcPr>
            <w:tcW w:w="3245" w:type="pct"/>
            <w:vAlign w:val="center"/>
          </w:tcPr>
          <w:p w14:paraId="0A59E1E6">
            <w:pPr>
              <w:spacing w:line="360" w:lineRule="auto"/>
              <w:rPr>
                <w:rFonts w:ascii="宋体" w:hAnsi="宋体" w:eastAsia="宋体"/>
                <w:color w:val="FF0000"/>
                <w:sz w:val="24"/>
              </w:rPr>
            </w:pPr>
            <w:r>
              <w:rPr>
                <w:rFonts w:ascii="宋体" w:hAnsi="宋体" w:eastAsia="宋体"/>
                <w:sz w:val="24"/>
                <w:szCs w:val="24"/>
              </w:rPr>
              <w:t>□</w:t>
            </w:r>
            <w:r>
              <w:rPr>
                <w:rFonts w:ascii="宋体" w:hAnsi="宋体" w:eastAsia="宋体"/>
                <w:sz w:val="24"/>
              </w:rPr>
              <w:t xml:space="preserve">不分包     </w:t>
            </w:r>
            <w:r>
              <w:rPr>
                <w:rFonts w:hint="eastAsia" w:ascii="宋体" w:hAnsi="宋体" w:eastAsia="宋体" w:cs="宋体"/>
                <w:bCs/>
                <w:sz w:val="24"/>
                <w:szCs w:val="24"/>
              </w:rPr>
              <w:t xml:space="preserve"> ☑分为14个包，本项目为</w:t>
            </w:r>
            <w:r>
              <w:rPr>
                <w:rFonts w:hint="eastAsia" w:ascii="宋体" w:hAnsi="宋体" w:eastAsia="宋体" w:cs="宋体"/>
                <w:bCs/>
                <w:sz w:val="24"/>
                <w:szCs w:val="24"/>
                <w:lang w:eastAsia="zh-CN"/>
              </w:rPr>
              <w:t>：</w:t>
            </w:r>
            <w:r>
              <w:rPr>
                <w:rFonts w:hint="eastAsia" w:ascii="宋体" w:hAnsi="宋体" w:eastAsia="宋体" w:cs="宋体"/>
                <w:b/>
                <w:bCs w:val="0"/>
                <w:color w:val="FF0000"/>
                <w:sz w:val="24"/>
                <w:szCs w:val="24"/>
                <w:u w:val="single"/>
                <w:lang w:eastAsia="zh-CN"/>
              </w:rPr>
              <w:t>省淮河局2025年堤防草皮养护及林间控高（第5包）</w:t>
            </w:r>
          </w:p>
          <w:p w14:paraId="6D748591">
            <w:pPr>
              <w:pStyle w:val="29"/>
              <w:widowControl w:val="0"/>
              <w:spacing w:before="0" w:beforeAutospacing="0" w:after="0" w:afterAutospacing="0"/>
              <w:jc w:val="both"/>
              <w:rPr>
                <w:rFonts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cs="宋体"/>
                <w:sz w:val="24"/>
                <w:szCs w:val="24"/>
              </w:rPr>
              <w:t>详见招标公告</w:t>
            </w:r>
          </w:p>
        </w:tc>
      </w:tr>
      <w:tr w14:paraId="7999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F9BF234">
            <w:pPr>
              <w:pStyle w:val="30"/>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9.2</w:t>
            </w:r>
          </w:p>
        </w:tc>
        <w:tc>
          <w:tcPr>
            <w:tcW w:w="2026" w:type="dxa"/>
            <w:vAlign w:val="center"/>
          </w:tcPr>
          <w:p w14:paraId="669B4120">
            <w:pPr>
              <w:pStyle w:val="29"/>
              <w:widowControl w:val="0"/>
              <w:spacing w:before="0" w:beforeAutospacing="0" w:after="0" w:afterAutospacing="0"/>
              <w:jc w:val="left"/>
              <w:rPr>
                <w:rFonts w:hint="eastAsia" w:ascii="宋体" w:hAnsi="宋体" w:eastAsia="宋体"/>
                <w:b w:val="0"/>
                <w:sz w:val="24"/>
              </w:rPr>
            </w:pPr>
            <w:r>
              <w:rPr>
                <w:rFonts w:hint="eastAsia" w:ascii="宋体" w:hAnsi="宋体" w:eastAsia="宋体"/>
                <w:b w:val="0"/>
                <w:sz w:val="24"/>
                <w:lang w:val="en-US" w:eastAsia="zh-CN"/>
              </w:rPr>
              <w:t>最高投标限价</w:t>
            </w:r>
          </w:p>
        </w:tc>
        <w:tc>
          <w:tcPr>
            <w:tcW w:w="5600" w:type="dxa"/>
            <w:vAlign w:val="center"/>
          </w:tcPr>
          <w:p w14:paraId="3F927E37">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第2包至第11包综合单价的最高限价均为3.5元/100m2·次（包含所有养护内容）。</w:t>
            </w:r>
          </w:p>
          <w:p w14:paraId="1955D39E">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rPr>
              <w:t>注：</w:t>
            </w:r>
          </w:p>
          <w:p w14:paraId="701C2B69">
            <w:pPr>
              <w:pStyle w:val="29"/>
              <w:widowControl w:val="0"/>
              <w:spacing w:before="0" w:beforeAutospacing="0" w:after="0" w:afterAutospacing="0" w:line="360" w:lineRule="auto"/>
              <w:jc w:val="both"/>
              <w:rPr>
                <w:rFonts w:hint="eastAsia" w:ascii="宋体" w:hAnsi="宋体" w:eastAsia="宋体"/>
                <w:bCs w:val="0"/>
                <w:color w:val="FF0000"/>
                <w:sz w:val="24"/>
              </w:rPr>
            </w:pPr>
            <w:r>
              <w:rPr>
                <w:rFonts w:hint="eastAsia" w:ascii="宋体" w:hAnsi="宋体" w:eastAsia="宋体"/>
                <w:bCs w:val="0"/>
                <w:color w:val="FF0000"/>
                <w:sz w:val="24"/>
                <w:lang w:val="en-US" w:eastAsia="zh-CN"/>
              </w:rPr>
              <w:t>①投标人投标</w:t>
            </w:r>
            <w:r>
              <w:rPr>
                <w:rFonts w:hint="eastAsia" w:ascii="宋体" w:hAnsi="宋体" w:eastAsia="宋体"/>
                <w:bCs w:val="0"/>
                <w:color w:val="FF0000"/>
                <w:sz w:val="24"/>
              </w:rPr>
              <w:t>报价</w:t>
            </w:r>
            <w:r>
              <w:rPr>
                <w:rFonts w:hint="eastAsia" w:ascii="宋体" w:hAnsi="宋体" w:eastAsia="宋体"/>
                <w:bCs w:val="0"/>
                <w:color w:val="FF0000"/>
                <w:sz w:val="24"/>
                <w:lang w:val="en-US" w:eastAsia="zh-CN"/>
              </w:rPr>
              <w:t>的</w:t>
            </w:r>
            <w:r>
              <w:rPr>
                <w:rFonts w:hint="eastAsia" w:ascii="宋体" w:hAnsi="宋体" w:eastAsia="宋体"/>
                <w:bCs w:val="0"/>
                <w:color w:val="FF0000"/>
                <w:sz w:val="24"/>
              </w:rPr>
              <w:t>综合单价</w:t>
            </w:r>
            <w:r>
              <w:rPr>
                <w:rFonts w:hint="eastAsia" w:ascii="宋体" w:hAnsi="宋体" w:eastAsia="宋体"/>
                <w:bCs w:val="0"/>
                <w:color w:val="FF0000"/>
                <w:sz w:val="24"/>
                <w:lang w:val="en-US" w:eastAsia="zh-CN"/>
              </w:rPr>
              <w:t>超过上述</w:t>
            </w:r>
            <w:r>
              <w:rPr>
                <w:rFonts w:hint="eastAsia" w:ascii="宋体" w:hAnsi="宋体" w:eastAsia="宋体"/>
                <w:bCs w:val="0"/>
                <w:color w:val="FF0000"/>
                <w:sz w:val="24"/>
              </w:rPr>
              <w:t>最高</w:t>
            </w:r>
            <w:r>
              <w:rPr>
                <w:rFonts w:hint="eastAsia" w:ascii="宋体" w:hAnsi="宋体" w:eastAsia="宋体"/>
                <w:bCs w:val="0"/>
                <w:color w:val="FF0000"/>
                <w:sz w:val="24"/>
                <w:lang w:val="en-US" w:eastAsia="zh-CN"/>
              </w:rPr>
              <w:t>投标</w:t>
            </w:r>
            <w:r>
              <w:rPr>
                <w:rFonts w:hint="eastAsia" w:ascii="宋体" w:hAnsi="宋体" w:eastAsia="宋体"/>
                <w:bCs w:val="0"/>
                <w:color w:val="FF0000"/>
                <w:sz w:val="24"/>
              </w:rPr>
              <w:t>限价，</w:t>
            </w:r>
            <w:r>
              <w:rPr>
                <w:rFonts w:hint="eastAsia" w:ascii="宋体" w:hAnsi="宋体" w:eastAsia="宋体"/>
                <w:bCs w:val="0"/>
                <w:color w:val="FF0000"/>
                <w:sz w:val="24"/>
                <w:lang w:val="en-US" w:eastAsia="zh-CN"/>
              </w:rPr>
              <w:t>其投标将被认定为投标无效</w:t>
            </w:r>
            <w:r>
              <w:rPr>
                <w:rFonts w:hint="eastAsia" w:ascii="宋体" w:hAnsi="宋体" w:eastAsia="宋体"/>
                <w:bCs w:val="0"/>
                <w:color w:val="FF0000"/>
                <w:sz w:val="24"/>
              </w:rPr>
              <w:t>。</w:t>
            </w:r>
          </w:p>
          <w:p w14:paraId="3BD358B7">
            <w:pPr>
              <w:pStyle w:val="29"/>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Cs w:val="0"/>
                <w:color w:val="FF0000"/>
                <w:sz w:val="24"/>
              </w:rPr>
              <w:t>②第2包至第11包</w:t>
            </w:r>
            <w:r>
              <w:rPr>
                <w:rFonts w:hint="eastAsia" w:ascii="宋体" w:hAnsi="宋体" w:eastAsia="宋体" w:cs="@仿宋_GB2312"/>
                <w:b/>
                <w:bCs w:val="0"/>
                <w:color w:val="FF0000"/>
                <w:kern w:val="0"/>
                <w:sz w:val="24"/>
                <w:szCs w:val="28"/>
                <w:lang w:val="en-US" w:eastAsia="zh-CN" w:bidi="ar-SA"/>
              </w:rPr>
              <w:t>投标人的投标报价得分按</w:t>
            </w:r>
            <w:r>
              <w:rPr>
                <w:rFonts w:hint="eastAsia" w:ascii="宋体" w:hAnsi="宋体" w:eastAsia="宋体"/>
                <w:bCs w:val="0"/>
                <w:color w:val="FF0000"/>
                <w:sz w:val="24"/>
              </w:rPr>
              <w:t>综合单价进行评审。</w:t>
            </w:r>
          </w:p>
        </w:tc>
      </w:tr>
      <w:tr w14:paraId="213B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80" w:type="pct"/>
            <w:vAlign w:val="center"/>
          </w:tcPr>
          <w:p w14:paraId="74CB44DC">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61743A44">
            <w:pPr>
              <w:pStyle w:val="29"/>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投标保证金</w:t>
            </w:r>
          </w:p>
        </w:tc>
        <w:tc>
          <w:tcPr>
            <w:tcW w:w="3245" w:type="pct"/>
            <w:vAlign w:val="center"/>
          </w:tcPr>
          <w:p w14:paraId="69BE0609">
            <w:pPr>
              <w:spacing w:line="360" w:lineRule="auto"/>
            </w:pPr>
            <w:r>
              <w:rPr>
                <w:rFonts w:hint="eastAsia" w:ascii="宋体" w:hAnsi="宋体" w:eastAsia="宋体"/>
                <w:bCs/>
                <w:kern w:val="0"/>
                <w:sz w:val="24"/>
                <w:szCs w:val="28"/>
              </w:rPr>
              <w:t>不收取</w:t>
            </w:r>
          </w:p>
        </w:tc>
      </w:tr>
      <w:tr w14:paraId="656F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4C5173C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4477FE2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投标有效期</w:t>
            </w:r>
          </w:p>
        </w:tc>
        <w:tc>
          <w:tcPr>
            <w:tcW w:w="3245" w:type="pct"/>
            <w:vAlign w:val="center"/>
          </w:tcPr>
          <w:p w14:paraId="4BD2B251">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90</w:t>
            </w:r>
            <w:r>
              <w:rPr>
                <w:rFonts w:hint="eastAsia" w:ascii="宋体" w:hAnsi="宋体" w:eastAsia="宋体"/>
                <w:b w:val="0"/>
                <w:sz w:val="24"/>
              </w:rPr>
              <w:t>日历日</w:t>
            </w:r>
          </w:p>
        </w:tc>
      </w:tr>
      <w:tr w14:paraId="32C6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65A4216">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13</w:t>
            </w:r>
            <w:r>
              <w:rPr>
                <w:rFonts w:ascii="宋体" w:hAnsi="宋体" w:eastAsia="宋体"/>
                <w:bCs/>
                <w:kern w:val="2"/>
              </w:rPr>
              <w:t>.</w:t>
            </w:r>
            <w:r>
              <w:rPr>
                <w:rFonts w:hint="eastAsia" w:ascii="宋体" w:hAnsi="宋体" w:eastAsia="宋体"/>
                <w:bCs/>
                <w:kern w:val="2"/>
              </w:rPr>
              <w:t>1</w:t>
            </w:r>
          </w:p>
        </w:tc>
        <w:tc>
          <w:tcPr>
            <w:tcW w:w="1174" w:type="pct"/>
            <w:vAlign w:val="center"/>
          </w:tcPr>
          <w:p w14:paraId="7C620718">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投标文件解密时间</w:t>
            </w:r>
          </w:p>
        </w:tc>
        <w:tc>
          <w:tcPr>
            <w:tcW w:w="3245" w:type="pct"/>
            <w:vAlign w:val="center"/>
          </w:tcPr>
          <w:p w14:paraId="56892A0C">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投标截止时间后</w:t>
            </w:r>
            <w:r>
              <w:rPr>
                <w:rFonts w:hint="eastAsia" w:ascii="宋体" w:hAnsi="宋体" w:eastAsia="宋体"/>
                <w:b w:val="0"/>
                <w:sz w:val="24"/>
                <w:u w:val="single"/>
              </w:rPr>
              <w:t>60</w:t>
            </w:r>
            <w:r>
              <w:rPr>
                <w:rFonts w:hint="eastAsia" w:ascii="宋体" w:hAnsi="宋体" w:eastAsia="宋体"/>
                <w:b w:val="0"/>
                <w:sz w:val="24"/>
              </w:rPr>
              <w:t>分钟内</w:t>
            </w:r>
          </w:p>
        </w:tc>
      </w:tr>
      <w:tr w14:paraId="5807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F0EDB7D">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14.1</w:t>
            </w:r>
          </w:p>
        </w:tc>
        <w:tc>
          <w:tcPr>
            <w:tcW w:w="1174" w:type="pct"/>
            <w:vAlign w:val="center"/>
          </w:tcPr>
          <w:p w14:paraId="5C2BB5A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资格审查</w:t>
            </w:r>
          </w:p>
        </w:tc>
        <w:tc>
          <w:tcPr>
            <w:tcW w:w="3245" w:type="pct"/>
            <w:vAlign w:val="center"/>
          </w:tcPr>
          <w:p w14:paraId="7DB4BE31">
            <w:pPr>
              <w:pStyle w:val="29"/>
              <w:widowControl w:val="0"/>
              <w:spacing w:before="0" w:beforeAutospacing="0" w:after="0" w:afterAutospacing="0" w:line="360" w:lineRule="auto"/>
              <w:jc w:val="both"/>
              <w:rPr>
                <w:rFonts w:ascii="宋体" w:hAnsi="宋体" w:eastAsia="宋体"/>
                <w:b w:val="0"/>
                <w:bCs w:val="0"/>
                <w:sz w:val="24"/>
              </w:rPr>
            </w:pPr>
            <w:r>
              <w:rPr>
                <w:rFonts w:ascii="宋体" w:hAnsi="宋体" w:eastAsia="宋体"/>
                <w:b w:val="0"/>
                <w:bCs w:val="0"/>
                <w:sz w:val="24"/>
                <w:szCs w:val="24"/>
              </w:rPr>
              <w:sym w:font="Wingdings 2" w:char="0052"/>
            </w:r>
            <w:r>
              <w:rPr>
                <w:rFonts w:hint="eastAsia" w:ascii="宋体" w:hAnsi="宋体" w:eastAsia="宋体"/>
                <w:b w:val="0"/>
                <w:bCs w:val="0"/>
                <w:sz w:val="24"/>
              </w:rPr>
              <w:t>采购人审查</w:t>
            </w:r>
          </w:p>
          <w:p w14:paraId="17F61043">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7AEE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E0D0CB6">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778A7CF9">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评标方法</w:t>
            </w:r>
          </w:p>
        </w:tc>
        <w:tc>
          <w:tcPr>
            <w:tcW w:w="3245" w:type="pct"/>
            <w:vAlign w:val="center"/>
          </w:tcPr>
          <w:p w14:paraId="22CF2BDF">
            <w:pPr>
              <w:pStyle w:val="29"/>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sz w:val="24"/>
              </w:rPr>
              <w:t>最低评标价法</w:t>
            </w:r>
          </w:p>
          <w:p w14:paraId="40CEFA7E">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sym w:font="Wingdings 2" w:char="0052"/>
            </w:r>
            <w:r>
              <w:rPr>
                <w:rFonts w:hint="eastAsia" w:ascii="宋体" w:hAnsi="宋体" w:eastAsia="宋体"/>
                <w:b w:val="0"/>
                <w:sz w:val="24"/>
              </w:rPr>
              <w:t>综合评分法</w:t>
            </w:r>
          </w:p>
        </w:tc>
      </w:tr>
      <w:tr w14:paraId="5EF4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7B3C4B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0014E697">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报价扣除</w:t>
            </w:r>
          </w:p>
        </w:tc>
        <w:tc>
          <w:tcPr>
            <w:tcW w:w="3245" w:type="pct"/>
            <w:vAlign w:val="center"/>
          </w:tcPr>
          <w:p w14:paraId="6536974A">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小型和微型</w:t>
            </w:r>
            <w:r>
              <w:rPr>
                <w:rFonts w:hint="eastAsia" w:ascii="宋体" w:hAnsi="宋体" w:eastAsia="宋体"/>
                <w:b w:val="0"/>
                <w:sz w:val="24"/>
              </w:rPr>
              <w:t>企业价格扣除：</w:t>
            </w:r>
            <w:r>
              <w:rPr>
                <w:rFonts w:hint="eastAsia" w:ascii="宋体" w:hAnsi="宋体" w:eastAsia="宋体"/>
                <w:b w:val="0"/>
                <w:sz w:val="24"/>
                <w:u w:val="single"/>
                <w:lang w:val="en-US" w:eastAsia="zh-CN"/>
              </w:rPr>
              <w:t>10%</w:t>
            </w:r>
            <w:r>
              <w:rPr>
                <w:rFonts w:hint="eastAsia" w:ascii="宋体" w:hAnsi="宋体" w:eastAsia="宋体"/>
                <w:b w:val="0"/>
                <w:sz w:val="24"/>
              </w:rPr>
              <w:t>。</w:t>
            </w:r>
          </w:p>
          <w:p w14:paraId="54FBA6B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（2）监狱企业价格扣除：同</w:t>
            </w:r>
            <w:r>
              <w:rPr>
                <w:rFonts w:ascii="宋体" w:hAnsi="宋体" w:eastAsia="宋体"/>
                <w:b w:val="0"/>
                <w:sz w:val="24"/>
              </w:rPr>
              <w:t>小型和微型企业</w:t>
            </w:r>
            <w:r>
              <w:rPr>
                <w:rFonts w:hint="eastAsia" w:ascii="宋体" w:hAnsi="宋体" w:eastAsia="宋体"/>
                <w:b w:val="0"/>
                <w:sz w:val="24"/>
              </w:rPr>
              <w:t>。</w:t>
            </w:r>
          </w:p>
          <w:p w14:paraId="7EBDD9DD">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26FE5BD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w:t>
            </w:r>
            <w:r>
              <w:rPr>
                <w:rFonts w:hint="eastAsia" w:ascii="宋体" w:hAnsi="宋体" w:eastAsia="宋体"/>
                <w:b w:val="0"/>
                <w:sz w:val="24"/>
              </w:rPr>
              <w:t>。</w:t>
            </w:r>
          </w:p>
          <w:p w14:paraId="1613EA9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w:t>
            </w:r>
            <w:r>
              <w:rPr>
                <w:rFonts w:hint="eastAsia" w:ascii="宋体" w:hAnsi="宋体" w:eastAsia="宋体"/>
                <w:b w:val="0"/>
                <w:sz w:val="24"/>
              </w:rPr>
              <w:t>。</w:t>
            </w:r>
          </w:p>
        </w:tc>
      </w:tr>
      <w:tr w14:paraId="6E7D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4369915">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5DB3C9C2">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5" w:type="pct"/>
            <w:vAlign w:val="center"/>
          </w:tcPr>
          <w:p w14:paraId="6566EE18">
            <w:pPr>
              <w:pStyle w:val="29"/>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 xml:space="preserve"> 1-3名</w:t>
            </w:r>
          </w:p>
        </w:tc>
      </w:tr>
      <w:tr w14:paraId="554F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71B880B">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034BCC2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确定中标人</w:t>
            </w:r>
          </w:p>
        </w:tc>
        <w:tc>
          <w:tcPr>
            <w:tcW w:w="3245" w:type="pct"/>
            <w:vAlign w:val="center"/>
          </w:tcPr>
          <w:p w14:paraId="747EE9A9">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A8"/>
            </w:r>
            <w:r>
              <w:rPr>
                <w:rFonts w:hint="eastAsia" w:asciiTheme="minorEastAsia" w:hAnsiTheme="minorEastAsia" w:eastAsiaTheme="minorEastAsia"/>
                <w:kern w:val="0"/>
                <w:sz w:val="24"/>
                <w:szCs w:val="24"/>
              </w:rPr>
              <w:t>采购人委托评标委员会确定</w:t>
            </w:r>
          </w:p>
          <w:p w14:paraId="561FEB4D">
            <w:pPr>
              <w:pStyle w:val="29"/>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bCs w:val="0"/>
                <w:kern w:val="2"/>
                <w:sz w:val="24"/>
                <w:szCs w:val="24"/>
              </w:rPr>
              <w:sym w:font="Wingdings 2" w:char="0052"/>
            </w:r>
            <w:r>
              <w:rPr>
                <w:rFonts w:hint="eastAsia" w:asciiTheme="minorEastAsia" w:hAnsiTheme="minorEastAsia" w:eastAsiaTheme="minorEastAsia"/>
                <w:b w:val="0"/>
                <w:bCs w:val="0"/>
                <w:kern w:val="2"/>
                <w:sz w:val="24"/>
                <w:szCs w:val="24"/>
              </w:rPr>
              <w:t>采购人确定</w:t>
            </w:r>
          </w:p>
        </w:tc>
      </w:tr>
      <w:tr w14:paraId="7FB9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5666A5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3491FD5B">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随中标结果公告同时公告的内容</w:t>
            </w:r>
          </w:p>
        </w:tc>
        <w:tc>
          <w:tcPr>
            <w:tcW w:w="3245" w:type="pct"/>
            <w:vAlign w:val="center"/>
          </w:tcPr>
          <w:p w14:paraId="162D1640">
            <w:pPr>
              <w:pStyle w:val="29"/>
              <w:widowControl w:val="0"/>
              <w:numPr>
                <w:ilvl w:val="0"/>
                <w:numId w:val="2"/>
              </w:numPr>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中小企业声明函；</w:t>
            </w:r>
            <w:r>
              <w:rPr>
                <w:rFonts w:hint="eastAsia" w:ascii="宋体" w:hAnsi="宋体" w:eastAsia="宋体"/>
                <w:b w:val="0"/>
                <w:i/>
                <w:iCs/>
                <w:sz w:val="24"/>
              </w:rPr>
              <w:t>（如有）</w:t>
            </w:r>
          </w:p>
          <w:p w14:paraId="266F5FEF">
            <w:pPr>
              <w:pStyle w:val="29"/>
              <w:widowControl w:val="0"/>
              <w:spacing w:before="0" w:beforeAutospacing="0" w:after="0" w:afterAutospacing="0" w:line="360" w:lineRule="auto"/>
              <w:jc w:val="both"/>
              <w:rPr>
                <w:rFonts w:ascii="宋体" w:hAnsi="宋体" w:eastAsia="宋体"/>
                <w:b w:val="0"/>
                <w:i/>
                <w:sz w:val="24"/>
              </w:rPr>
            </w:pPr>
            <w:r>
              <w:rPr>
                <w:rFonts w:hint="eastAsia" w:ascii="宋体" w:hAnsi="宋体" w:eastAsia="宋体"/>
                <w:b w:val="0"/>
                <w:sz w:val="24"/>
              </w:rPr>
              <w:t>（2）残疾人福利性单位声明函；</w:t>
            </w:r>
            <w:r>
              <w:rPr>
                <w:rFonts w:hint="eastAsia" w:ascii="宋体" w:hAnsi="宋体" w:eastAsia="宋体"/>
                <w:b w:val="0"/>
                <w:i/>
                <w:iCs/>
                <w:sz w:val="24"/>
              </w:rPr>
              <w:t>（如有）</w:t>
            </w:r>
          </w:p>
          <w:p w14:paraId="038BF093">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（3）中标人的评标总得分</w:t>
            </w:r>
          </w:p>
        </w:tc>
      </w:tr>
      <w:tr w14:paraId="729E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2B498E1">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117F20C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中标通知书发出的形式</w:t>
            </w:r>
          </w:p>
        </w:tc>
        <w:tc>
          <w:tcPr>
            <w:tcW w:w="3245" w:type="pct"/>
            <w:vAlign w:val="center"/>
          </w:tcPr>
          <w:p w14:paraId="6B07DF2B">
            <w:pPr>
              <w:pStyle w:val="29"/>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FE"/>
            </w:r>
            <w:r>
              <w:rPr>
                <w:rFonts w:hint="eastAsia" w:ascii="宋体" w:hAnsi="宋体" w:eastAsia="宋体"/>
                <w:b w:val="0"/>
                <w:bCs w:val="0"/>
                <w:sz w:val="24"/>
                <w:szCs w:val="24"/>
              </w:rPr>
              <w:t>数据电文</w:t>
            </w:r>
          </w:p>
        </w:tc>
      </w:tr>
      <w:tr w14:paraId="58D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C147F18">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37524CB7">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告知招标结果的形式</w:t>
            </w:r>
          </w:p>
        </w:tc>
        <w:tc>
          <w:tcPr>
            <w:tcW w:w="3245" w:type="pct"/>
            <w:vAlign w:val="center"/>
          </w:tcPr>
          <w:p w14:paraId="3CE20212">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投标人自行登录电子</w:t>
            </w:r>
            <w:r>
              <w:rPr>
                <w:rFonts w:hint="eastAsia" w:ascii="宋体" w:hAnsi="宋体" w:eastAsia="宋体" w:cs="宋体"/>
                <w:sz w:val="24"/>
                <w:szCs w:val="24"/>
              </w:rPr>
              <w:t>交易</w:t>
            </w:r>
            <w:r>
              <w:rPr>
                <w:rFonts w:hint="eastAsia" w:asciiTheme="minorEastAsia" w:hAnsiTheme="minorEastAsia" w:eastAsiaTheme="minorEastAsia"/>
                <w:kern w:val="0"/>
                <w:sz w:val="24"/>
                <w:szCs w:val="24"/>
              </w:rPr>
              <w:t>系统查看</w:t>
            </w:r>
          </w:p>
          <w:p w14:paraId="05005C14">
            <w:pPr>
              <w:pStyle w:val="29"/>
              <w:widowControl w:val="0"/>
              <w:spacing w:before="0" w:beforeAutospacing="0" w:after="0" w:afterAutospacing="0" w:line="360" w:lineRule="auto"/>
              <w:jc w:val="both"/>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□评标现场告知</w:t>
            </w:r>
          </w:p>
        </w:tc>
      </w:tr>
      <w:tr w14:paraId="6239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jc w:val="center"/>
        </w:trPr>
        <w:tc>
          <w:tcPr>
            <w:tcW w:w="580" w:type="pct"/>
            <w:vAlign w:val="center"/>
          </w:tcPr>
          <w:p w14:paraId="42A8F7F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4FFEA4D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3245" w:type="pct"/>
          </w:tcPr>
          <w:p w14:paraId="5D2E4838">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（1）金额：</w:t>
            </w:r>
          </w:p>
          <w:p w14:paraId="4120D79D">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sz w:val="24"/>
                <w:szCs w:val="24"/>
              </w:rPr>
              <w:t>各包</w:t>
            </w:r>
            <w:r>
              <w:rPr>
                <w:rFonts w:hint="eastAsia" w:ascii="宋体" w:hAnsi="宋体" w:eastAsia="宋体" w:cs="宋体"/>
                <w:bCs/>
                <w:kern w:val="0"/>
                <w:sz w:val="24"/>
                <w:szCs w:val="24"/>
              </w:rPr>
              <w:t>合同价的</w:t>
            </w:r>
            <w:r>
              <w:rPr>
                <w:rFonts w:hint="eastAsia" w:ascii="宋体" w:hAnsi="宋体" w:eastAsia="宋体" w:cs="宋体"/>
                <w:bCs/>
                <w:kern w:val="0"/>
                <w:sz w:val="24"/>
                <w:szCs w:val="24"/>
                <w:u w:val="single"/>
              </w:rPr>
              <w:t>2.5</w:t>
            </w:r>
            <w:r>
              <w:rPr>
                <w:rFonts w:hint="eastAsia" w:ascii="宋体" w:hAnsi="宋体" w:eastAsia="宋体" w:cs="宋体"/>
                <w:bCs/>
                <w:kern w:val="0"/>
                <w:sz w:val="24"/>
                <w:szCs w:val="24"/>
              </w:rPr>
              <w:t>%</w:t>
            </w:r>
          </w:p>
          <w:p w14:paraId="3053A8F1">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（2）支付方式：</w:t>
            </w:r>
          </w:p>
          <w:p w14:paraId="69CF90F3">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转账/电汇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支票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汇票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本票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 xml:space="preserve">保险 </w:t>
            </w:r>
            <w:r>
              <w:rPr>
                <w:rFonts w:hint="eastAsia" w:ascii="宋体" w:hAnsi="宋体" w:eastAsia="宋体" w:cs="宋体"/>
                <w:bCs/>
                <w:kern w:val="0"/>
                <w:sz w:val="24"/>
                <w:szCs w:val="24"/>
              </w:rPr>
              <w:sym w:font="Wingdings" w:char="00FE"/>
            </w:r>
            <w:r>
              <w:rPr>
                <w:rFonts w:hint="eastAsia" w:ascii="宋体" w:hAnsi="宋体" w:eastAsia="宋体" w:cs="宋体"/>
                <w:bCs/>
                <w:kern w:val="0"/>
                <w:sz w:val="24"/>
                <w:szCs w:val="24"/>
              </w:rPr>
              <w:t>保函</w:t>
            </w:r>
          </w:p>
          <w:p w14:paraId="1C74506C">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（3）收取单位：</w:t>
            </w:r>
            <w:r>
              <w:rPr>
                <w:rFonts w:hint="eastAsia" w:ascii="宋体" w:hAnsi="宋体" w:eastAsia="宋体" w:cs="宋体"/>
                <w:b/>
                <w:kern w:val="0"/>
                <w:sz w:val="24"/>
                <w:szCs w:val="24"/>
                <w:u w:val="single"/>
              </w:rPr>
              <w:t>本项目为统采分签项目，投标人中标后，履约保证金由各合同甲方分别收取</w:t>
            </w:r>
          </w:p>
          <w:p w14:paraId="13212D85">
            <w:pPr>
              <w:spacing w:line="360" w:lineRule="auto"/>
              <w:rPr>
                <w:rFonts w:ascii="宋体" w:hAnsi="宋体" w:eastAsia="宋体" w:cs="宋体"/>
                <w:bCs/>
                <w:kern w:val="0"/>
                <w:sz w:val="24"/>
                <w:szCs w:val="24"/>
              </w:rPr>
            </w:pPr>
            <w:r>
              <w:rPr>
                <w:rFonts w:hint="eastAsia" w:ascii="宋体" w:hAnsi="宋体" w:eastAsia="宋体" w:cs="宋体"/>
                <w:bCs/>
                <w:kern w:val="0"/>
                <w:sz w:val="24"/>
                <w:szCs w:val="24"/>
              </w:rPr>
              <w:t>（4）收取账号：</w:t>
            </w:r>
            <w:r>
              <w:rPr>
                <w:rFonts w:hint="eastAsia" w:ascii="宋体" w:hAnsi="宋体" w:eastAsia="宋体" w:cs="宋体"/>
                <w:bCs/>
                <w:kern w:val="0"/>
                <w:sz w:val="24"/>
                <w:szCs w:val="24"/>
                <w:u w:val="single"/>
              </w:rPr>
              <w:t>中标后提供</w:t>
            </w:r>
          </w:p>
          <w:p w14:paraId="3024CB18">
            <w:pPr>
              <w:spacing w:line="360" w:lineRule="auto"/>
              <w:rPr>
                <w:rFonts w:ascii="宋体" w:hAnsi="宋体" w:eastAsia="宋体" w:cs="宋体"/>
                <w:bCs/>
                <w:sz w:val="24"/>
                <w:szCs w:val="24"/>
                <w:u w:val="single"/>
              </w:rPr>
            </w:pPr>
            <w:r>
              <w:rPr>
                <w:rFonts w:hint="eastAsia" w:ascii="宋体" w:hAnsi="宋体" w:eastAsia="宋体" w:cs="宋体"/>
                <w:bCs/>
                <w:kern w:val="0"/>
                <w:sz w:val="24"/>
                <w:szCs w:val="24"/>
              </w:rPr>
              <w:t>（5）</w:t>
            </w:r>
            <w:r>
              <w:rPr>
                <w:rFonts w:hint="eastAsia" w:ascii="宋体" w:hAnsi="宋体" w:eastAsia="宋体" w:cs="宋体"/>
                <w:sz w:val="24"/>
                <w:szCs w:val="24"/>
              </w:rPr>
              <w:t>退还时间：</w:t>
            </w:r>
            <w:bookmarkStart w:id="33" w:name="_Hlk190701813"/>
            <w:r>
              <w:rPr>
                <w:rFonts w:hint="eastAsia" w:ascii="宋体" w:hAnsi="宋体" w:eastAsia="宋体" w:cs="宋体"/>
                <w:sz w:val="24"/>
                <w:szCs w:val="24"/>
                <w:u w:val="single"/>
              </w:rPr>
              <w:t>履约保证金在合同生效之日起至项目验收合格前一直有效，通过验收后经乙方申请，合同甲方审核确认后按规定及时内将履约保证金款项退还给乙方或者解除履约担保。</w:t>
            </w:r>
            <w:bookmarkEnd w:id="33"/>
          </w:p>
          <w:p w14:paraId="6F108970">
            <w:pPr>
              <w:spacing w:line="360" w:lineRule="auto"/>
              <w:rPr>
                <w:rFonts w:ascii="宋体" w:hAnsi="宋体" w:eastAsia="宋体" w:cs="宋体"/>
                <w:sz w:val="24"/>
                <w:szCs w:val="24"/>
              </w:rPr>
            </w:pPr>
            <w:r>
              <w:rPr>
                <w:rFonts w:hint="eastAsia" w:ascii="宋体" w:hAnsi="宋体" w:eastAsia="宋体" w:cs="宋体"/>
                <w:b/>
                <w:sz w:val="24"/>
                <w:szCs w:val="24"/>
              </w:rPr>
              <w:t>如果乙方不履行合同，履约保证金不予退还；如果乙方未能按合同约定全面履行义务，合同甲方有权从履约保证金中取得补偿或赔偿，同时不影响合同甲方要求乙方承担合同约定的超过履约保证金的违约责任的权利。</w:t>
            </w:r>
          </w:p>
          <w:p w14:paraId="567065BB">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注意事项：</w:t>
            </w:r>
          </w:p>
          <w:p w14:paraId="512E8AD9">
            <w:pPr>
              <w:spacing w:line="360" w:lineRule="auto"/>
              <w:rPr>
                <w:rFonts w:ascii="宋体" w:hAnsi="宋体" w:eastAsia="宋体" w:cs="宋体"/>
                <w:b/>
                <w:bCs/>
                <w:kern w:val="0"/>
                <w:sz w:val="24"/>
                <w:szCs w:val="24"/>
              </w:rPr>
            </w:pPr>
            <w:r>
              <w:rPr>
                <w:rFonts w:hint="eastAsia" w:ascii="宋体" w:hAnsi="宋体" w:eastAsia="宋体" w:cs="宋体"/>
                <w:b/>
                <w:bCs/>
                <w:kern w:val="0"/>
                <w:sz w:val="24"/>
                <w:szCs w:val="24"/>
              </w:rPr>
              <w:t>（1）以上各类机构出具的以担保函、保证保险承担责任的方式均须满足无条件见索即付条件。</w:t>
            </w:r>
          </w:p>
          <w:p w14:paraId="35342F4F">
            <w:pPr>
              <w:spacing w:line="360" w:lineRule="auto"/>
              <w:rPr>
                <w:rFonts w:ascii="宋体" w:hAnsi="宋体" w:eastAsia="宋体"/>
                <w:b/>
                <w:bCs/>
                <w:kern w:val="0"/>
                <w:sz w:val="24"/>
                <w:szCs w:val="24"/>
              </w:rPr>
            </w:pPr>
            <w:r>
              <w:rPr>
                <w:rFonts w:hint="eastAsia" w:ascii="宋体" w:hAnsi="宋体" w:eastAsia="宋体" w:cs="宋体"/>
                <w:sz w:val="24"/>
                <w:szCs w:val="24"/>
              </w:rPr>
              <w:t>（2）以担保函、保证保险形式缴纳履约保证金的，受益人和收取单位须为合同甲方。</w:t>
            </w:r>
          </w:p>
        </w:tc>
      </w:tr>
      <w:tr w14:paraId="6CDC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0" w:type="pct"/>
            <w:vAlign w:val="center"/>
          </w:tcPr>
          <w:p w14:paraId="651495E6">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4E7B742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签订合同和合同公告时间</w:t>
            </w:r>
          </w:p>
        </w:tc>
        <w:tc>
          <w:tcPr>
            <w:tcW w:w="3245" w:type="pct"/>
          </w:tcPr>
          <w:p w14:paraId="2CC48357">
            <w:pPr>
              <w:adjustRightInd w:val="0"/>
              <w:snapToGrid w:val="0"/>
              <w:spacing w:line="360" w:lineRule="auto"/>
              <w:rPr>
                <w:rFonts w:ascii="宋体" w:hAnsi="宋体" w:eastAsia="宋体" w:cs="宋体"/>
                <w:sz w:val="24"/>
                <w:szCs w:val="24"/>
              </w:rPr>
            </w:pPr>
            <w:r>
              <w:rPr>
                <w:rFonts w:ascii="宋体" w:hAnsi="宋体" w:eastAsia="宋体" w:cs="宋体"/>
                <w:sz w:val="24"/>
                <w:szCs w:val="24"/>
              </w:rPr>
              <w:t>（1）采购人与中标人应当自发出中标通知书之日起7个工作日内签订合同，采购合同签订之日起2个工作日内完成政府采购合同公开。</w:t>
            </w:r>
          </w:p>
          <w:p w14:paraId="002B9A9D">
            <w:pPr>
              <w:adjustRightInd w:val="0"/>
              <w:snapToGrid w:val="0"/>
              <w:spacing w:line="360" w:lineRule="auto"/>
              <w:rPr>
                <w:rFonts w:ascii="宋体" w:hAnsi="宋体" w:eastAsia="宋体"/>
                <w:b/>
                <w:bCs/>
                <w:kern w:val="0"/>
                <w:sz w:val="24"/>
                <w:szCs w:val="24"/>
              </w:rPr>
            </w:pPr>
            <w:r>
              <w:rPr>
                <w:rFonts w:ascii="宋体" w:hAnsi="宋体" w:eastAsia="宋体" w:cs="宋体"/>
                <w:sz w:val="24"/>
                <w:szCs w:val="24"/>
              </w:rPr>
              <w:t>（2）采购人与中标人不得擅自变更合同，依照政府采购法确需变更政府采购合同内容的，采购人应当自合同变更之日起2个工作日内在安徽省政府采购网发布政府采购合同变更公告，但涉及国家秘密、商业秘密的信息和其他依法不得公开的信息除外。</w:t>
            </w:r>
          </w:p>
        </w:tc>
      </w:tr>
      <w:tr w14:paraId="2A28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B62F6EB">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vAlign w:val="center"/>
          </w:tcPr>
          <w:p w14:paraId="38FDEC2F">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代理费用</w:t>
            </w:r>
          </w:p>
        </w:tc>
        <w:tc>
          <w:tcPr>
            <w:tcW w:w="3245" w:type="pct"/>
            <w:vAlign w:val="center"/>
          </w:tcPr>
          <w:p w14:paraId="31086B54">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ascii="宋体" w:hAnsi="宋体" w:eastAsia="宋体" w:cs="宋体"/>
                <w:spacing w:val="14"/>
                <w:sz w:val="24"/>
                <w:szCs w:val="24"/>
              </w:rPr>
              <w:t>中标人</w:t>
            </w:r>
          </w:p>
          <w:p w14:paraId="3AAA1143">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hint="eastAsia" w:ascii="宋体" w:hAnsi="宋体" w:eastAsia="宋体" w:cs="宋体"/>
                <w:sz w:val="24"/>
                <w:szCs w:val="24"/>
                <w:u w:val="single"/>
              </w:rPr>
              <w:t>转账或汇款</w:t>
            </w:r>
          </w:p>
          <w:p w14:paraId="330E35B9">
            <w:pPr>
              <w:pStyle w:val="29"/>
              <w:widowControl w:val="0"/>
              <w:spacing w:before="0" w:beforeAutospacing="0" w:after="0" w:afterAutospacing="0" w:line="360" w:lineRule="auto"/>
              <w:jc w:val="both"/>
              <w:rPr>
                <w:rFonts w:ascii="宋体" w:hAnsi="宋体" w:eastAsia="宋体"/>
                <w:b w:val="0"/>
                <w:sz w:val="24"/>
                <w:highlight w:val="yellow"/>
              </w:rPr>
            </w:pPr>
            <w:r>
              <w:rPr>
                <w:rFonts w:hint="eastAsia" w:ascii="宋体" w:hAnsi="宋体" w:eastAsia="宋体"/>
                <w:b w:val="0"/>
                <w:bCs w:val="0"/>
                <w:sz w:val="24"/>
              </w:rPr>
              <w:t>（3）</w:t>
            </w:r>
            <w:r>
              <w:rPr>
                <w:rFonts w:ascii="宋体" w:hAnsi="宋体" w:eastAsia="宋体"/>
                <w:b w:val="0"/>
                <w:sz w:val="24"/>
              </w:rPr>
              <w:t>收费标准：</w:t>
            </w:r>
            <w:r>
              <w:rPr>
                <w:rFonts w:hint="eastAsia" w:ascii="宋体" w:hAnsi="宋体" w:eastAsia="宋体"/>
                <w:b w:val="0"/>
                <w:sz w:val="24"/>
                <w:u w:val="single"/>
              </w:rPr>
              <w:t>代理费按照《招标代理服务收费管理暂行办法》(计价格[2002]1980号)的标准收取，由中标人支付。根据标准计算低于5000元按照5000元计取，包含在投标报价中，不单独列项。</w:t>
            </w:r>
          </w:p>
        </w:tc>
      </w:tr>
      <w:tr w14:paraId="1C95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26757729">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vAlign w:val="center"/>
          </w:tcPr>
          <w:p w14:paraId="24480800">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质疑函递交方式、接收部门、联系电话和通讯地址</w:t>
            </w:r>
          </w:p>
        </w:tc>
        <w:tc>
          <w:tcPr>
            <w:tcW w:w="3245" w:type="pct"/>
            <w:vAlign w:val="center"/>
          </w:tcPr>
          <w:p w14:paraId="6FECE6BD">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递交方式：“徽采云”电子交易系统</w:t>
            </w:r>
          </w:p>
          <w:p w14:paraId="3AB69BD5">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接收部门：安徽省淮河河道管理局</w:t>
            </w:r>
          </w:p>
          <w:p w14:paraId="208BF285">
            <w:pPr>
              <w:pStyle w:val="29"/>
              <w:widowControl w:val="0"/>
              <w:spacing w:before="0" w:beforeAutospacing="0" w:after="0" w:afterAutospacing="0" w:line="360" w:lineRule="auto"/>
              <w:jc w:val="both"/>
              <w:rPr>
                <w:rFonts w:ascii="宋体" w:hAnsi="宋体" w:eastAsia="宋体" w:cs="宋体"/>
                <w:b w:val="0"/>
                <w:sz w:val="24"/>
                <w:szCs w:val="24"/>
              </w:rPr>
            </w:pPr>
            <w:r>
              <w:rPr>
                <w:rFonts w:hint="eastAsia" w:ascii="宋体" w:hAnsi="宋体" w:eastAsia="宋体" w:cs="宋体"/>
                <w:b w:val="0"/>
                <w:sz w:val="24"/>
                <w:szCs w:val="24"/>
              </w:rPr>
              <w:t>联系电话：0552-3918027</w:t>
            </w:r>
          </w:p>
          <w:p w14:paraId="4E2EC884">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通讯地址：安徽省蚌埠市解放一路116号</w:t>
            </w:r>
          </w:p>
        </w:tc>
      </w:tr>
      <w:tr w14:paraId="6038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DC83F52">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32</w:t>
            </w:r>
          </w:p>
        </w:tc>
        <w:tc>
          <w:tcPr>
            <w:tcW w:w="1174" w:type="pct"/>
            <w:vAlign w:val="center"/>
          </w:tcPr>
          <w:p w14:paraId="6C25CED5">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3245" w:type="pct"/>
            <w:vAlign w:val="center"/>
          </w:tcPr>
          <w:p w14:paraId="67197546">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1、解释权：</w:t>
            </w:r>
          </w:p>
          <w:p w14:paraId="4F71BE8B">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33DCA9D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07E46B4F">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704C3A7E">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412D86DE">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063CE455">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2、“政采贷”融资指引：有融资需求的</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在取得政府采购中标或中标通知书后，可访问安徽省政府采购网“政采贷”栏目，查看和联系第三方平台或者金融机构，商洽融资事项，确定融资意向。</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签署政府采购中标（成交）合同后，登录“徽采云”金融服务模块，选择意向产品进行申请，并填写相关信息，“徽采云”金融服务模块将</w:t>
            </w:r>
            <w:r>
              <w:rPr>
                <w:rFonts w:hint="eastAsia" w:ascii="宋体" w:hAnsi="宋体" w:eastAsia="宋体" w:cs="宋体"/>
                <w:sz w:val="24"/>
                <w:szCs w:val="24"/>
              </w:rPr>
              <w:t>中</w:t>
            </w:r>
            <w:r>
              <w:rPr>
                <w:rFonts w:ascii="宋体" w:hAnsi="宋体" w:eastAsia="宋体" w:cs="宋体"/>
                <w:sz w:val="24"/>
                <w:szCs w:val="24"/>
              </w:rPr>
              <w:t>标人</w:t>
            </w:r>
            <w:r>
              <w:rPr>
                <w:rFonts w:hint="eastAsia" w:asciiTheme="minorEastAsia" w:hAnsiTheme="minorEastAsia" w:eastAsiaTheme="minorEastAsia"/>
                <w:bCs/>
                <w:sz w:val="24"/>
                <w:szCs w:val="24"/>
              </w:rPr>
              <w:t>融资申请信息推送第三方平台、意向金融机构。</w:t>
            </w:r>
          </w:p>
          <w:p w14:paraId="4F39369F">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3、电子保函指引：中标人可访问安徽省政府采购网“融资/保函”栏目，申请办理电子保函（包括：履约保函、预付款保函）。</w:t>
            </w:r>
          </w:p>
          <w:p w14:paraId="36F6C6CD">
            <w:pPr>
              <w:spacing w:line="360" w:lineRule="auto"/>
              <w:rPr>
                <w:rFonts w:ascii="宋体" w:hAnsi="宋体" w:eastAsia="宋体" w:cs="宋体"/>
                <w:bCs/>
                <w:sz w:val="24"/>
                <w:szCs w:val="24"/>
              </w:rPr>
            </w:pPr>
            <w:r>
              <w:rPr>
                <w:rFonts w:hint="eastAsia" w:ascii="宋体" w:hAnsi="宋体" w:eastAsia="宋体" w:cs="宋体"/>
                <w:bCs/>
                <w:sz w:val="24"/>
                <w:szCs w:val="24"/>
              </w:rPr>
              <w:t>4.本项目评标时将查询投标文件的机器识别码，如不同投标文件的机器识别码相同，相关投标文件将被认定为投标无效，并报政府采购监督管理部门处理。</w:t>
            </w:r>
          </w:p>
          <w:p w14:paraId="5415D58D">
            <w:pPr>
              <w:pStyle w:val="29"/>
              <w:widowControl w:val="0"/>
              <w:spacing w:before="0" w:beforeAutospacing="0" w:after="0" w:afterAutospacing="0" w:line="360" w:lineRule="auto"/>
              <w:jc w:val="both"/>
              <w:rPr>
                <w:rFonts w:asciiTheme="minorEastAsia" w:hAnsiTheme="minorEastAsia" w:eastAsiaTheme="minorEastAsia"/>
                <w:b w:val="0"/>
                <w:kern w:val="2"/>
                <w:sz w:val="24"/>
                <w:szCs w:val="24"/>
              </w:rPr>
            </w:pPr>
            <w:r>
              <w:rPr>
                <w:rFonts w:hint="eastAsia" w:ascii="宋体" w:hAnsi="宋体" w:eastAsia="宋体" w:cs="宋体"/>
                <w:sz w:val="24"/>
                <w:szCs w:val="24"/>
              </w:rPr>
              <w:t>5.因电子服务系统或电子交易系统出现软件设计或功能缺陷、运行异常等情况，影响政府采购活动正常进行的，政府采购各方当事人免责。</w:t>
            </w:r>
          </w:p>
        </w:tc>
      </w:tr>
    </w:tbl>
    <w:p w14:paraId="44342CFF">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34" w:name="_Toc9427"/>
      <w:bookmarkStart w:id="35" w:name="_Toc24882"/>
      <w:r>
        <w:rPr>
          <w:rFonts w:hint="eastAsia" w:asciiTheme="minorEastAsia" w:hAnsiTheme="minorEastAsia" w:eastAsiaTheme="minorEastAsia"/>
          <w:b/>
          <w:sz w:val="24"/>
        </w:rPr>
        <w:t>二、</w:t>
      </w:r>
      <w:r>
        <w:rPr>
          <w:rFonts w:asciiTheme="minorEastAsia" w:hAnsiTheme="minorEastAsia" w:eastAsiaTheme="minorEastAsia"/>
          <w:b/>
          <w:sz w:val="24"/>
        </w:rPr>
        <w:t>投标人须知</w:t>
      </w:r>
      <w:r>
        <w:rPr>
          <w:rFonts w:hint="eastAsia" w:asciiTheme="minorEastAsia" w:hAnsiTheme="minorEastAsia" w:eastAsiaTheme="minorEastAsia"/>
          <w:b/>
          <w:sz w:val="24"/>
        </w:rPr>
        <w:t>正文</w:t>
      </w:r>
      <w:bookmarkEnd w:id="34"/>
      <w:bookmarkEnd w:id="35"/>
    </w:p>
    <w:p w14:paraId="0C0E085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48D0B88E">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10BA5D19">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284A0701">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4F5580C5">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040FE638">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6509F3C5">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7A31550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中写明允许采购进口产品，投标人应保证所投产品可履行合法报通关手续进入中国关境内。</w:t>
      </w:r>
    </w:p>
    <w:p w14:paraId="54416FF4">
      <w:pPr>
        <w:spacing w:line="360" w:lineRule="auto"/>
        <w:ind w:firstLine="435"/>
        <w:rPr>
          <w:rFonts w:ascii="宋体" w:hAnsi="宋体" w:eastAsia="宋体"/>
          <w:sz w:val="24"/>
        </w:rPr>
      </w:pPr>
      <w:r>
        <w:rPr>
          <w:rFonts w:hint="eastAsia" w:ascii="宋体" w:hAnsi="宋体" w:eastAsia="宋体"/>
          <w:sz w:val="24"/>
        </w:rPr>
        <w:t>若采购需求中未写明允许采购进口产品，如投标人所投产品为进口产品，其投标将被认定为</w:t>
      </w:r>
      <w:r>
        <w:rPr>
          <w:rFonts w:hint="eastAsia" w:ascii="宋体" w:hAnsi="宋体" w:eastAsia="宋体"/>
          <w:b/>
          <w:sz w:val="24"/>
        </w:rPr>
        <w:t>投标无效</w:t>
      </w:r>
      <w:r>
        <w:rPr>
          <w:rFonts w:hint="eastAsia" w:ascii="宋体" w:hAnsi="宋体" w:eastAsia="宋体"/>
          <w:sz w:val="24"/>
        </w:rPr>
        <w:t>。</w:t>
      </w:r>
    </w:p>
    <w:p w14:paraId="6EB1977A">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28E467E9">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5.1两个以上</w:t>
      </w:r>
      <w:r>
        <w:rPr>
          <w:rFonts w:hint="eastAsia" w:ascii="宋体" w:hAnsi="宋体" w:eastAsia="宋体"/>
          <w:sz w:val="24"/>
        </w:rPr>
        <w:t>投标人</w:t>
      </w:r>
      <w:r>
        <w:rPr>
          <w:rFonts w:ascii="宋体" w:hAnsi="宋体" w:eastAsia="宋体"/>
          <w:sz w:val="24"/>
        </w:rPr>
        <w:t>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0A80231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4FC46C4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3DAB7997">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746159C5">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7A274CD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w:t>
      </w:r>
      <w:r>
        <w:rPr>
          <w:rFonts w:hint="eastAsia" w:ascii="宋体" w:hAnsi="宋体" w:eastAsia="宋体"/>
          <w:sz w:val="24"/>
          <w:szCs w:val="18"/>
        </w:rPr>
        <w:t>投标人</w:t>
      </w:r>
      <w:r>
        <w:rPr>
          <w:rFonts w:hint="eastAsia" w:ascii="宋体" w:hAnsi="宋体" w:eastAsia="宋体"/>
          <w:sz w:val="24"/>
        </w:rPr>
        <w:t>按照联合体分工承担相同工作的，</w:t>
      </w:r>
      <w:r>
        <w:rPr>
          <w:rFonts w:ascii="宋体" w:hAnsi="宋体" w:eastAsia="宋体"/>
          <w:sz w:val="24"/>
        </w:rPr>
        <w:t>应当按照</w:t>
      </w:r>
      <w:r>
        <w:rPr>
          <w:rFonts w:hint="eastAsia" w:ascii="宋体" w:hAnsi="宋体" w:eastAsia="宋体"/>
          <w:sz w:val="24"/>
        </w:rPr>
        <w:t>资质等级较低的</w:t>
      </w:r>
      <w:r>
        <w:rPr>
          <w:rFonts w:hint="eastAsia" w:ascii="宋体" w:hAnsi="宋体" w:eastAsia="宋体"/>
          <w:sz w:val="24"/>
          <w:szCs w:val="18"/>
        </w:rPr>
        <w:t>投标人</w:t>
      </w:r>
      <w:r>
        <w:rPr>
          <w:rFonts w:hint="eastAsia" w:ascii="宋体" w:hAnsi="宋体" w:eastAsia="宋体"/>
          <w:sz w:val="24"/>
        </w:rPr>
        <w:t>确定资质等级。</w:t>
      </w:r>
    </w:p>
    <w:p w14:paraId="56A1F983">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w:t>
      </w:r>
      <w:r>
        <w:rPr>
          <w:rFonts w:hint="eastAsia" w:ascii="宋体" w:hAnsi="宋体" w:eastAsia="宋体"/>
          <w:sz w:val="24"/>
          <w:szCs w:val="18"/>
        </w:rPr>
        <w:t>投标人</w:t>
      </w:r>
      <w:r>
        <w:rPr>
          <w:rFonts w:ascii="宋体" w:hAnsi="宋体" w:eastAsia="宋体"/>
          <w:sz w:val="24"/>
        </w:rPr>
        <w:t>另外组成联合体参加本项目投标，否则相关投标将被认定为</w:t>
      </w:r>
      <w:r>
        <w:rPr>
          <w:rFonts w:ascii="宋体" w:hAnsi="宋体" w:eastAsia="宋体"/>
          <w:b/>
          <w:sz w:val="24"/>
        </w:rPr>
        <w:t>投标无效</w:t>
      </w:r>
      <w:r>
        <w:rPr>
          <w:rFonts w:ascii="宋体" w:hAnsi="宋体" w:eastAsia="宋体"/>
          <w:sz w:val="24"/>
        </w:rPr>
        <w:t>。</w:t>
      </w:r>
    </w:p>
    <w:p w14:paraId="089DAB20">
      <w:pPr>
        <w:spacing w:line="360" w:lineRule="auto"/>
        <w:ind w:firstLine="435"/>
        <w:rPr>
          <w:rFonts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2BCC5E0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2.资金落实情况</w:t>
      </w:r>
    </w:p>
    <w:p w14:paraId="5FCB313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5453DA0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3.投标费用</w:t>
      </w:r>
    </w:p>
    <w:p w14:paraId="310EBEDC">
      <w:pPr>
        <w:spacing w:line="360" w:lineRule="auto"/>
        <w:ind w:firstLine="435"/>
        <w:rPr>
          <w:rFonts w:ascii="宋体" w:hAnsi="宋体" w:eastAsia="宋体"/>
          <w:sz w:val="24"/>
        </w:rPr>
      </w:pPr>
      <w:r>
        <w:rPr>
          <w:rFonts w:hint="eastAsia" w:ascii="宋体" w:hAnsi="宋体" w:eastAsia="宋体"/>
          <w:sz w:val="24"/>
        </w:rPr>
        <w:t>不论投标的结果如何，投标人应承担所有与准备和参加投标有关的费用。</w:t>
      </w:r>
    </w:p>
    <w:p w14:paraId="4AC2928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4.适用法律</w:t>
      </w:r>
    </w:p>
    <w:p w14:paraId="748BE442">
      <w:pPr>
        <w:spacing w:line="360" w:lineRule="auto"/>
        <w:ind w:firstLine="435"/>
        <w:rPr>
          <w:rFonts w:asciiTheme="minorEastAsia" w:hAnsiTheme="minorEastAsia" w:eastAsiaTheme="minorEastAsia"/>
          <w:sz w:val="24"/>
        </w:rPr>
      </w:pPr>
      <w:r>
        <w:rPr>
          <w:rFonts w:hint="eastAsia" w:ascii="宋体" w:hAnsi="宋体" w:eastAsia="宋体"/>
          <w:sz w:val="24"/>
        </w:rPr>
        <w:t>本项目采购人、采购代理机构、投标人、评标委员会的相关行为均受《中华人民共和国政府采购法》、《中</w:t>
      </w:r>
      <w:r>
        <w:rPr>
          <w:rFonts w:hint="eastAsia" w:ascii="宋体" w:hAnsi="宋体" w:eastAsia="宋体"/>
          <w:sz w:val="24"/>
          <w:szCs w:val="22"/>
        </w:rPr>
        <w:t>华人民共和国政府采购法实施条例》及本项目本级和上级财政部门、政府采购监督管理部门的政府采购有关规定的约束，其权利受到上述法律法规的保护。</w:t>
      </w:r>
    </w:p>
    <w:p w14:paraId="46A131F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5.招标文件构成</w:t>
      </w:r>
    </w:p>
    <w:p w14:paraId="38B68F52">
      <w:pPr>
        <w:spacing w:line="360" w:lineRule="auto"/>
        <w:ind w:firstLine="435"/>
        <w:rPr>
          <w:rFonts w:ascii="宋体" w:hAnsi="宋体" w:eastAsia="宋体"/>
          <w:sz w:val="24"/>
        </w:rPr>
      </w:pPr>
      <w:r>
        <w:rPr>
          <w:rFonts w:hint="eastAsia" w:ascii="宋体" w:hAnsi="宋体" w:eastAsia="宋体"/>
          <w:sz w:val="24"/>
        </w:rPr>
        <w:t>5.1招标文件包括下列内容：</w:t>
      </w:r>
    </w:p>
    <w:p w14:paraId="540DB5E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397B0FDD">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64880B8D">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0257DE08">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67D0910B">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04A6F9E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751D7CF8">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3D7DCDF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w:t>
      </w:r>
      <w:r>
        <w:rPr>
          <w:rFonts w:hint="eastAsia" w:ascii="宋体" w:hAnsi="宋体" w:eastAsia="宋体"/>
          <w:bCs/>
          <w:sz w:val="24"/>
          <w:szCs w:val="22"/>
        </w:rPr>
        <w:t>标前答疑会</w:t>
      </w:r>
      <w:r>
        <w:rPr>
          <w:rFonts w:hint="eastAsia" w:asciiTheme="minorEastAsia" w:hAnsiTheme="minorEastAsia" w:eastAsiaTheme="minorEastAsia"/>
          <w:sz w:val="24"/>
        </w:rPr>
        <w:t>）</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3A79954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投标人应认真阅读招标文件所有的事项、格式、条款和技术规范等。</w:t>
      </w:r>
    </w:p>
    <w:p w14:paraId="05DAD6C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招标文件的澄清与修改</w:t>
      </w:r>
    </w:p>
    <w:p w14:paraId="2B44F70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投标人如对招标文件内容有疑问，必须在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6387FC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在安徽省政府采购网以发布更正公告的方式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63A3DD8C">
      <w:pPr>
        <w:spacing w:line="360" w:lineRule="auto"/>
        <w:ind w:firstLine="435"/>
        <w:rPr>
          <w:rFonts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A89E45F">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7EFB3B9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投标范围及投标文件中标准和计量单位的使用</w:t>
      </w:r>
    </w:p>
    <w:p w14:paraId="28295E5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520AA77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53D596E0">
      <w:pPr>
        <w:spacing w:line="360" w:lineRule="auto"/>
        <w:ind w:firstLine="435"/>
        <w:rPr>
          <w:rFonts w:asciiTheme="minorEastAsia" w:hAnsiTheme="minorEastAsia" w:eastAsiaTheme="minorEastAsia"/>
          <w:sz w:val="24"/>
        </w:rPr>
      </w:pPr>
      <w:bookmarkStart w:id="36"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投标人所投货物、服务及工程（如有）均应符合国家强制性标准。</w:t>
      </w:r>
    </w:p>
    <w:bookmarkEnd w:id="36"/>
    <w:p w14:paraId="1625635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0C996B0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4E860D1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3AFD935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194B3A2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7" w:name="_Hlk11703583"/>
      <w:r>
        <w:rPr>
          <w:rFonts w:hint="eastAsia" w:asciiTheme="minorEastAsia" w:hAnsiTheme="minorEastAsia" w:eastAsiaTheme="minorEastAsia"/>
          <w:sz w:val="24"/>
        </w:rPr>
        <w:t>等。</w:t>
      </w:r>
    </w:p>
    <w:bookmarkEnd w:id="37"/>
    <w:p w14:paraId="726A688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236B110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6ACD857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02A325D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118FFF8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669374CD">
      <w:pPr>
        <w:spacing w:line="360" w:lineRule="auto"/>
        <w:ind w:firstLine="435"/>
        <w:rPr>
          <w:rFonts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169728E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1773FA8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4A60E30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49D984A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0F2CA53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49D65F9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01F2380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5E45EC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投标文件的递交、修改与撤回</w:t>
      </w:r>
    </w:p>
    <w:p w14:paraId="1A7FBBD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2.1投标人应当在招标公告规定的投标截止时间前</w:t>
      </w:r>
      <w:r>
        <w:rPr>
          <w:rFonts w:asciiTheme="minorEastAsia" w:hAnsiTheme="minorEastAsia" w:eastAsiaTheme="minorEastAsia"/>
          <w:sz w:val="24"/>
        </w:rPr>
        <w:t>，将加密的投标文件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41AF278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745FFD0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6209361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各投标人应在</w:t>
      </w:r>
      <w:r>
        <w:rPr>
          <w:rFonts w:ascii="宋体" w:hAnsi="宋体" w:eastAsia="宋体" w:cs="宋体"/>
          <w:sz w:val="24"/>
          <w:szCs w:val="24"/>
          <w:u w:val="single"/>
        </w:rPr>
        <w:t>投标人须知前附表</w:t>
      </w:r>
      <w:r>
        <w:rPr>
          <w:rFonts w:ascii="宋体" w:hAnsi="宋体" w:eastAsia="宋体" w:cs="宋体"/>
          <w:sz w:val="24"/>
          <w:szCs w:val="24"/>
        </w:rPr>
        <w:t>规定的解密时间前</w:t>
      </w:r>
      <w:r>
        <w:rPr>
          <w:rFonts w:asciiTheme="minorEastAsia" w:hAnsiTheme="minorEastAsia" w:eastAsiaTheme="minorEastAsia"/>
          <w:sz w:val="24"/>
        </w:rPr>
        <w:t>对</w:t>
      </w:r>
      <w:r>
        <w:rPr>
          <w:rFonts w:hint="eastAsia" w:ascii="宋体" w:hAnsi="宋体" w:eastAsia="宋体" w:cs="宋体"/>
          <w:sz w:val="24"/>
          <w:szCs w:val="24"/>
        </w:rPr>
        <w:t>其</w:t>
      </w:r>
      <w:r>
        <w:rPr>
          <w:rFonts w:asciiTheme="minorEastAsia" w:hAnsiTheme="minorEastAsia" w:eastAsiaTheme="minorEastAsia"/>
          <w:sz w:val="24"/>
        </w:rPr>
        <w:t>投标文件</w:t>
      </w:r>
      <w:r>
        <w:rPr>
          <w:rFonts w:hint="eastAsia" w:asciiTheme="minorEastAsia" w:hAnsiTheme="minorEastAsia" w:eastAsiaTheme="minorEastAsia"/>
          <w:sz w:val="24"/>
        </w:rPr>
        <w:t>进行</w:t>
      </w:r>
      <w:r>
        <w:rPr>
          <w:rFonts w:asciiTheme="minorEastAsia" w:hAnsiTheme="minorEastAsia" w:eastAsiaTheme="minorEastAsia"/>
          <w:sz w:val="24"/>
        </w:rPr>
        <w:t>解密。</w:t>
      </w:r>
    </w:p>
    <w:p w14:paraId="3AE40DC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开标时，采购代理机构将通过网上开标系统公布</w:t>
      </w:r>
      <w:r>
        <w:rPr>
          <w:rFonts w:hint="eastAsia" w:asciiTheme="minorEastAsia" w:hAnsiTheme="minorEastAsia" w:eastAsiaTheme="minorEastAsia"/>
          <w:sz w:val="24"/>
        </w:rPr>
        <w:t>开标结果，公布内容包括投标人名称、投标价格及招标文件规定的内容。</w:t>
      </w:r>
    </w:p>
    <w:p w14:paraId="4108CF2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13.3采购人或采购代理机构将对开标过程进行记录，由参加开标的各投标人代表和相关工作人员签字确认，并存档备查。</w:t>
      </w:r>
    </w:p>
    <w:p w14:paraId="2D86D2D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投标人未派代表参加开标的，视同投标人认可开标结果。</w:t>
      </w:r>
    </w:p>
    <w:p w14:paraId="48A6B768">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7F8CB7E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53AF8A3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18FF25FB">
      <w:pPr>
        <w:spacing w:line="360" w:lineRule="auto"/>
        <w:ind w:firstLine="435"/>
        <w:rPr>
          <w:rFonts w:ascii="宋体" w:hAnsi="宋体" w:eastAsia="宋体" w:cs="宋体"/>
          <w:sz w:val="24"/>
          <w:szCs w:val="24"/>
        </w:rPr>
      </w:pPr>
      <w:bookmarkStart w:id="38" w:name="_Hlk24663244"/>
      <w:r>
        <w:rPr>
          <w:rFonts w:hint="eastAsia" w:ascii="宋体" w:hAnsi="宋体" w:eastAsia="宋体" w:cs="宋体"/>
          <w:sz w:val="24"/>
          <w:szCs w:val="24"/>
        </w:rPr>
        <w:t>14.2采购人或采购代理机构将在投标截止时间后至评标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758D6E6E">
      <w:pPr>
        <w:spacing w:line="360" w:lineRule="auto"/>
        <w:ind w:firstLine="435"/>
        <w:rPr>
          <w:rFonts w:ascii="宋体" w:hAnsi="宋体" w:eastAsia="宋体" w:cs="宋体"/>
          <w:sz w:val="24"/>
          <w:szCs w:val="24"/>
        </w:rPr>
      </w:pPr>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p w14:paraId="272E7699">
      <w:pPr>
        <w:spacing w:line="360" w:lineRule="auto"/>
        <w:ind w:firstLine="435"/>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8"/>
    <w:p w14:paraId="656BE954">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14.3按照</w:t>
      </w:r>
      <w:r>
        <w:rPr>
          <w:rFonts w:hint="eastAsia" w:ascii="宋体" w:hAnsi="宋体" w:eastAsia="宋体"/>
          <w:sz w:val="24"/>
        </w:rPr>
        <w:t>《</w:t>
      </w:r>
      <w:r>
        <w:rPr>
          <w:rFonts w:ascii="宋体" w:hAnsi="宋体" w:eastAsia="宋体"/>
          <w:sz w:val="24"/>
        </w:rPr>
        <w:t>中华人民共和国政府采购法》</w:t>
      </w:r>
      <w:r>
        <w:rPr>
          <w:rFonts w:hint="eastAsia" w:asciiTheme="minorEastAsia" w:hAnsiTheme="minorEastAsia" w:eastAsiaTheme="minorEastAsia"/>
          <w:sz w:val="24"/>
        </w:rPr>
        <w:t>、</w:t>
      </w:r>
      <w:r>
        <w:rPr>
          <w:rFonts w:asciiTheme="minorEastAsia" w:hAnsiTheme="minorEastAsia" w:eastAsiaTheme="minorEastAsia"/>
          <w:sz w:val="24"/>
        </w:rPr>
        <w:t>《中华人民共和国政府采购</w:t>
      </w:r>
      <w:r>
        <w:rPr>
          <w:rFonts w:hint="eastAsia" w:asciiTheme="minorEastAsia" w:hAnsiTheme="minorEastAsia" w:eastAsiaTheme="minorEastAsia"/>
          <w:sz w:val="24"/>
        </w:rPr>
        <w:t>法</w:t>
      </w:r>
      <w:r>
        <w:rPr>
          <w:rFonts w:asciiTheme="minorEastAsia" w:hAnsiTheme="minorEastAsia" w:eastAsiaTheme="minorEastAsia"/>
          <w:sz w:val="24"/>
        </w:rPr>
        <w:t>实施条例》</w:t>
      </w:r>
      <w:r>
        <w:rPr>
          <w:rFonts w:hint="eastAsia" w:asciiTheme="minorEastAsia" w:hAnsiTheme="minorEastAsia" w:eastAsiaTheme="minorEastAsia"/>
          <w:sz w:val="24"/>
        </w:rPr>
        <w:t>及本项目本级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、政府采购监督管理部门的有关规定依法组建的</w:t>
      </w:r>
      <w:r>
        <w:rPr>
          <w:rFonts w:asciiTheme="minorEastAsia" w:hAnsiTheme="minorEastAsia" w:eastAsiaTheme="minorEastAsia"/>
          <w:sz w:val="24"/>
        </w:rPr>
        <w:t>评标委员会</w:t>
      </w:r>
      <w:r>
        <w:rPr>
          <w:rFonts w:hint="eastAsia" w:asciiTheme="minorEastAsia" w:hAnsiTheme="minorEastAsia" w:eastAsiaTheme="minorEastAsia"/>
          <w:sz w:val="24"/>
        </w:rPr>
        <w:t>，负责本项目评标工作。</w:t>
      </w:r>
    </w:p>
    <w:p w14:paraId="7814513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20147CC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27F47767">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2投标文件的澄清</w:t>
      </w:r>
    </w:p>
    <w:p w14:paraId="55A3F531">
      <w:pPr>
        <w:spacing w:line="360" w:lineRule="auto"/>
        <w:ind w:firstLine="435"/>
        <w:rPr>
          <w:rFonts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2</w:t>
      </w:r>
      <w:r>
        <w:rPr>
          <w:rFonts w:ascii="宋体" w:hAnsi="宋体" w:eastAsia="宋体"/>
          <w:sz w:val="24"/>
        </w:rPr>
        <w:t>.1为有助于投标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w:t>
      </w:r>
      <w:r>
        <w:rPr>
          <w:rFonts w:ascii="宋体" w:hAnsi="宋体" w:eastAsia="宋体"/>
          <w:sz w:val="24"/>
        </w:rPr>
        <w:t>进行，并不得超出投标文件范围或者改变投标文件的实质性内容。</w:t>
      </w:r>
    </w:p>
    <w:p w14:paraId="13F52040">
      <w:pPr>
        <w:spacing w:line="360" w:lineRule="auto"/>
        <w:ind w:firstLine="435"/>
        <w:rPr>
          <w:rFonts w:ascii="宋体" w:hAnsi="宋体" w:eastAsia="宋体"/>
          <w:sz w:val="24"/>
        </w:rPr>
      </w:pPr>
      <w:r>
        <w:rPr>
          <w:rFonts w:hint="eastAsia" w:ascii="宋体" w:hAnsi="宋体" w:eastAsia="宋体"/>
          <w:sz w:val="24"/>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62A5AFD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w:t>
      </w:r>
      <w:r>
        <w:rPr>
          <w:rFonts w:asciiTheme="minorEastAsia" w:hAnsiTheme="minorEastAsia" w:eastAsiaTheme="minorEastAsia"/>
          <w:sz w:val="24"/>
        </w:rPr>
        <w:t>.2</w:t>
      </w:r>
      <w:r>
        <w:rPr>
          <w:rFonts w:hint="eastAsia" w:asciiTheme="minorEastAsia" w:hAnsiTheme="minorEastAsia" w:eastAsiaTheme="minorEastAsia"/>
          <w:sz w:val="24"/>
        </w:rPr>
        <w:t>投标人的澄清、说明或补正将作为投标文件的一部分。</w:t>
      </w:r>
    </w:p>
    <w:p w14:paraId="538ED60D">
      <w:pPr>
        <w:spacing w:line="360" w:lineRule="auto"/>
        <w:ind w:firstLine="435"/>
        <w:rPr>
          <w:rFonts w:ascii="宋体" w:hAnsi="宋体" w:eastAsia="宋体"/>
          <w:sz w:val="24"/>
        </w:rPr>
      </w:pPr>
      <w:r>
        <w:rPr>
          <w:rFonts w:hint="eastAsia" w:ascii="宋体" w:hAnsi="宋体" w:eastAsia="宋体"/>
          <w:sz w:val="24"/>
        </w:rPr>
        <w:t>15.2</w:t>
      </w:r>
      <w:r>
        <w:rPr>
          <w:rFonts w:ascii="宋体" w:hAnsi="宋体" w:eastAsia="宋体"/>
          <w:sz w:val="24"/>
        </w:rPr>
        <w:t>.3评标委员会对投标人提交的澄清、说明或补正有疑问的，可以要求投标人进一步澄清、说明或补正，直至满足评标委员会的要求。</w:t>
      </w:r>
    </w:p>
    <w:p w14:paraId="69002D02">
      <w:pPr>
        <w:spacing w:line="360" w:lineRule="auto"/>
        <w:ind w:firstLine="435"/>
        <w:rPr>
          <w:rFonts w:ascii="宋体" w:hAnsi="宋体" w:eastAsia="宋体"/>
          <w:sz w:val="24"/>
        </w:rPr>
      </w:pPr>
      <w:r>
        <w:rPr>
          <w:rFonts w:hint="eastAsia" w:ascii="宋体" w:hAnsi="宋体" w:eastAsia="宋体"/>
          <w:sz w:val="24"/>
        </w:rPr>
        <w:t>15.3</w:t>
      </w:r>
      <w:r>
        <w:rPr>
          <w:rFonts w:ascii="宋体" w:hAnsi="宋体" w:eastAsia="宋体"/>
          <w:sz w:val="24"/>
        </w:rPr>
        <w:t>投标文件报价出现前后不一致的，按照下列规定修正：</w:t>
      </w:r>
    </w:p>
    <w:p w14:paraId="3C221E35">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348A3FC2">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2B6F69F4">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54A208EA">
      <w:pPr>
        <w:spacing w:line="360" w:lineRule="auto"/>
        <w:ind w:firstLine="435"/>
        <w:rPr>
          <w:rFonts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423ED450">
      <w:pPr>
        <w:spacing w:line="360" w:lineRule="auto"/>
        <w:ind w:firstLine="435"/>
        <w:rPr>
          <w:rFonts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4条的规定经投标人确认后产生约束力，投标人不确认的，其投标将被认定为</w:t>
      </w:r>
      <w:r>
        <w:rPr>
          <w:rFonts w:ascii="宋体" w:hAnsi="宋体" w:eastAsia="宋体"/>
          <w:b/>
          <w:sz w:val="24"/>
        </w:rPr>
        <w:t>投标无效</w:t>
      </w:r>
      <w:r>
        <w:rPr>
          <w:rFonts w:ascii="宋体" w:hAnsi="宋体" w:eastAsia="宋体"/>
          <w:sz w:val="24"/>
        </w:rPr>
        <w:t>。</w:t>
      </w:r>
    </w:p>
    <w:p w14:paraId="5D046DBD">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6B01D9C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16.投标无效</w:t>
      </w:r>
    </w:p>
    <w:p w14:paraId="53F1FE8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600A2A5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697152E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363D70B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22D80C5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2A0A8A8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4D15B8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4482576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1E82ACF1">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6C15670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17.比较与评价</w:t>
      </w:r>
    </w:p>
    <w:p w14:paraId="7C962CC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58600B0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1CC46849">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2DFB6135">
      <w:pPr>
        <w:spacing w:line="360" w:lineRule="auto"/>
        <w:ind w:firstLine="435"/>
        <w:rPr>
          <w:rFonts w:ascii="宋体" w:hAnsi="宋体" w:eastAsia="宋体"/>
          <w:sz w:val="24"/>
        </w:rPr>
      </w:pPr>
      <w:r>
        <w:rPr>
          <w:rFonts w:hint="eastAsia" w:ascii="宋体" w:hAnsi="宋体" w:eastAsia="宋体"/>
          <w:sz w:val="24"/>
        </w:rPr>
        <w:t>（2）综合评分法，是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w:t>
      </w:r>
      <w:r>
        <w:rPr>
          <w:rFonts w:hint="eastAsia" w:ascii="宋体" w:hAnsi="宋体" w:eastAsia="宋体"/>
          <w:sz w:val="24"/>
        </w:rPr>
        <w:t>评标</w:t>
      </w:r>
      <w:r>
        <w:rPr>
          <w:rFonts w:ascii="宋体" w:hAnsi="宋体" w:eastAsia="宋体"/>
          <w:sz w:val="24"/>
        </w:rPr>
        <w:t>因素的</w:t>
      </w:r>
      <w:r>
        <w:rPr>
          <w:rFonts w:hint="eastAsia" w:ascii="宋体" w:hAnsi="宋体" w:eastAsia="宋体"/>
          <w:sz w:val="24"/>
        </w:rPr>
        <w:t>量化</w:t>
      </w:r>
      <w:r>
        <w:rPr>
          <w:rFonts w:ascii="宋体" w:hAnsi="宋体" w:eastAsia="宋体"/>
          <w:sz w:val="24"/>
        </w:rPr>
        <w:t>指标</w:t>
      </w:r>
      <w:r>
        <w:rPr>
          <w:rFonts w:hint="eastAsia" w:ascii="宋体" w:hAnsi="宋体" w:eastAsia="宋体"/>
          <w:sz w:val="24"/>
        </w:rPr>
        <w:t>评标</w:t>
      </w:r>
      <w:r>
        <w:rPr>
          <w:rFonts w:ascii="宋体" w:hAnsi="宋体" w:eastAsia="宋体"/>
          <w:sz w:val="24"/>
        </w:rPr>
        <w:t>得分最高的</w:t>
      </w:r>
      <w:r>
        <w:rPr>
          <w:rFonts w:hint="eastAsia" w:ascii="宋体" w:hAnsi="宋体" w:eastAsia="宋体"/>
          <w:sz w:val="24"/>
        </w:rPr>
        <w:t>投标人</w:t>
      </w:r>
      <w:r>
        <w:rPr>
          <w:rFonts w:ascii="宋体" w:hAnsi="宋体" w:eastAsia="宋体"/>
          <w:sz w:val="24"/>
        </w:rPr>
        <w:t>为中标候选人的评标方法。</w:t>
      </w:r>
    </w:p>
    <w:p w14:paraId="27E0EBA6">
      <w:pPr>
        <w:spacing w:line="360" w:lineRule="auto"/>
        <w:ind w:firstLine="435"/>
        <w:rPr>
          <w:rFonts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w:t>
      </w:r>
      <w:r>
        <w:rPr>
          <w:rFonts w:hint="eastAsia" w:ascii="宋体" w:hAnsi="宋体" w:eastAsia="宋体"/>
          <w:sz w:val="24"/>
        </w:rPr>
        <w:t>和</w:t>
      </w:r>
      <w:r>
        <w:rPr>
          <w:rFonts w:ascii="宋体" w:hAnsi="宋体" w:eastAsia="宋体"/>
          <w:sz w:val="24"/>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。对于同时属于小微企</w:t>
      </w:r>
      <w:r>
        <w:rPr>
          <w:rFonts w:hint="eastAsia" w:ascii="宋体" w:hAnsi="宋体" w:eastAsia="宋体"/>
          <w:sz w:val="24"/>
        </w:rPr>
        <w:t>业、监狱企业或残疾人福利性单位的，不重复进行投标报价扣除。</w:t>
      </w:r>
    </w:p>
    <w:p w14:paraId="7AA5D6FF">
      <w:pPr>
        <w:spacing w:line="360" w:lineRule="auto"/>
        <w:ind w:firstLine="435"/>
        <w:rPr>
          <w:rFonts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w:t>
      </w:r>
      <w:r>
        <w:rPr>
          <w:rFonts w:hint="eastAsia" w:ascii="宋体" w:hAnsi="宋体" w:eastAsia="宋体"/>
          <w:sz w:val="24"/>
        </w:rPr>
        <w:t>评标</w:t>
      </w:r>
      <w:r>
        <w:rPr>
          <w:rFonts w:ascii="宋体" w:hAnsi="宋体" w:eastAsia="宋体"/>
          <w:sz w:val="24"/>
        </w:rPr>
        <w:t>。组成联合体或者接受分包的小微企业与联合体内其他企业、分包企业之间存在直接控股、管理关系的，不享受价格扣除优惠政策。</w:t>
      </w:r>
    </w:p>
    <w:p w14:paraId="5F9B9CA8">
      <w:pPr>
        <w:spacing w:line="360" w:lineRule="auto"/>
        <w:ind w:firstLine="435"/>
        <w:rPr>
          <w:rFonts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50A988F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51A3318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30999AF8">
      <w:pPr>
        <w:spacing w:line="360" w:lineRule="auto"/>
        <w:ind w:firstLine="435"/>
        <w:rPr>
          <w:rFonts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1）符合专业条件的投标人或者递交投标文件的投标人不足规定数量的；</w:t>
      </w:r>
    </w:p>
    <w:p w14:paraId="1E8D725C">
      <w:pPr>
        <w:spacing w:line="360" w:lineRule="auto"/>
        <w:ind w:firstLine="435"/>
        <w:rPr>
          <w:rFonts w:ascii="宋体" w:hAnsi="宋体" w:eastAsia="宋体"/>
          <w:sz w:val="24"/>
        </w:rPr>
      </w:pPr>
      <w:r>
        <w:rPr>
          <w:rFonts w:hint="eastAsia" w:ascii="宋体" w:hAnsi="宋体" w:eastAsia="宋体"/>
          <w:sz w:val="24"/>
        </w:rPr>
        <w:t>（2）出现影响采购公正的违法、违规行为的；</w:t>
      </w:r>
    </w:p>
    <w:p w14:paraId="6DDDA494">
      <w:pPr>
        <w:spacing w:line="360" w:lineRule="auto"/>
        <w:ind w:firstLine="435"/>
        <w:rPr>
          <w:rFonts w:ascii="宋体" w:hAnsi="宋体" w:eastAsia="宋体"/>
          <w:sz w:val="24"/>
        </w:rPr>
      </w:pPr>
      <w:r>
        <w:rPr>
          <w:rFonts w:hint="eastAsia" w:ascii="宋体" w:hAnsi="宋体" w:eastAsia="宋体"/>
          <w:sz w:val="24"/>
        </w:rPr>
        <w:t>（3）投标人的报价均超过了采购预算，采购人不能支付的；</w:t>
      </w:r>
    </w:p>
    <w:p w14:paraId="25EE3D2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7820DE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525CF3F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4007978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color w:val="000000"/>
          <w:sz w:val="24"/>
          <w:szCs w:val="24"/>
        </w:rPr>
        <w:t>政府采购监督管理部门</w:t>
      </w:r>
      <w:r>
        <w:rPr>
          <w:rFonts w:hint="eastAsia" w:asciiTheme="minorEastAsia" w:hAnsiTheme="minorEastAsia" w:eastAsiaTheme="minorEastAsia"/>
          <w:sz w:val="24"/>
        </w:rPr>
        <w:t>批准。</w:t>
      </w:r>
    </w:p>
    <w:p w14:paraId="14A91F8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6B1172F1">
      <w:pPr>
        <w:spacing w:line="360" w:lineRule="auto"/>
        <w:ind w:firstLine="435"/>
        <w:rPr>
          <w:rFonts w:ascii="宋体" w:hAnsi="宋体" w:eastAsia="宋体"/>
          <w:sz w:val="24"/>
        </w:rPr>
      </w:pPr>
      <w:r>
        <w:rPr>
          <w:rFonts w:hint="eastAsia" w:ascii="宋体" w:hAnsi="宋体" w:eastAsia="宋体"/>
          <w:sz w:val="24"/>
        </w:rPr>
        <w:t>19.1评标将在严格保密的情况下进行。</w:t>
      </w:r>
    </w:p>
    <w:p w14:paraId="5594F411">
      <w:pPr>
        <w:spacing w:line="360" w:lineRule="auto"/>
        <w:ind w:firstLine="435"/>
        <w:rPr>
          <w:rFonts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513ED3E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4C1CAE2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w:t>
      </w:r>
      <w:r>
        <w:rPr>
          <w:rFonts w:asciiTheme="minorEastAsia" w:hAnsiTheme="minorEastAsia" w:eastAsiaTheme="minorEastAsia"/>
          <w:sz w:val="24"/>
        </w:rPr>
        <w:t>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257098C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rPr>
        <w:t>出现两家或两家以上相同者，采取评标委员会随机抽取的方式确定中标候选顺序。</w:t>
      </w:r>
    </w:p>
    <w:p w14:paraId="762A2A17">
      <w:pPr>
        <w:spacing w:line="360" w:lineRule="auto"/>
        <w:ind w:firstLine="435"/>
        <w:rPr>
          <w:rFonts w:eastAsiaTheme="minorEastAsia"/>
        </w:rPr>
      </w:pPr>
      <w:r>
        <w:rPr>
          <w:rFonts w:hint="eastAsia" w:asciiTheme="minorEastAsia" w:hAnsiTheme="minorEastAsia" w:eastAsiaTheme="minorEastAsia"/>
          <w:sz w:val="24"/>
        </w:rPr>
        <w:t>（</w:t>
      </w:r>
      <w:r>
        <w:rPr>
          <w:rFonts w:asciiTheme="minorEastAsia" w:hAnsiTheme="minorEastAsia" w:eastAsiaTheme="minorEastAsia"/>
          <w:sz w:val="24"/>
        </w:rPr>
        <w:t>2）采用综合评分法的，评标结果按</w:t>
      </w:r>
      <w:r>
        <w:rPr>
          <w:rFonts w:hint="eastAsia" w:asciiTheme="minorEastAsia" w:hAnsiTheme="minorEastAsia" w:eastAsiaTheme="minorEastAsia"/>
          <w:sz w:val="24"/>
        </w:rPr>
        <w:t>评标</w:t>
      </w:r>
      <w:r>
        <w:rPr>
          <w:rFonts w:asciiTheme="minorEastAsia" w:hAnsiTheme="minorEastAsia" w:eastAsiaTheme="minorEastAsia"/>
          <w:sz w:val="24"/>
        </w:rPr>
        <w:t>后得分由高到低顺序排列。得分相同的，</w:t>
      </w:r>
      <w:r>
        <w:rPr>
          <w:rFonts w:hint="eastAsia" w:asciiTheme="minorEastAsia" w:hAnsiTheme="minorEastAsia" w:eastAsiaTheme="minorEastAsia"/>
          <w:sz w:val="24"/>
        </w:rPr>
        <w:t>按投标报价由低到高顺序排列。</w:t>
      </w:r>
      <w:r>
        <w:rPr>
          <w:rFonts w:asciiTheme="minorEastAsia" w:hAnsiTheme="minorEastAsia" w:eastAsiaTheme="minorEastAsia"/>
          <w:sz w:val="24"/>
        </w:rPr>
        <w:t>得分与投标报价均相同的</w:t>
      </w:r>
      <w:r>
        <w:rPr>
          <w:rFonts w:hint="eastAsia" w:asciiTheme="minorEastAsia" w:hAnsiTheme="minorEastAsia" w:eastAsiaTheme="minorEastAsia"/>
          <w:sz w:val="24"/>
        </w:rPr>
        <w:t>，则采取评标委员会随机抽取的方式确定中标候选顺序。</w:t>
      </w:r>
    </w:p>
    <w:p w14:paraId="08F2BD4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3869412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3874868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252F315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2E6C799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118D330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0DAFC0E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0420C3A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A89D901">
      <w:pPr>
        <w:spacing w:line="360" w:lineRule="auto"/>
        <w:ind w:firstLine="435"/>
        <w:rPr>
          <w:rFonts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自中标人确定之日起2个工作日内，采购代理机构将在安徽省政府采购网（www.ccgp-anhui.gov.cn）上发布中标结果公告。</w:t>
      </w:r>
    </w:p>
    <w:p w14:paraId="36DD0E2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规格型号、数量、单价、服务要求，中标公告期限、</w:t>
      </w:r>
      <w:r>
        <w:rPr>
          <w:rFonts w:hint="eastAsia" w:asciiTheme="minorEastAsia" w:hAnsiTheme="minorEastAsia" w:eastAsiaTheme="minorEastAsia"/>
          <w:sz w:val="24"/>
        </w:rPr>
        <w:t>评标</w:t>
      </w:r>
      <w:r>
        <w:rPr>
          <w:rFonts w:asciiTheme="minorEastAsia" w:hAnsiTheme="minorEastAsia" w:eastAsiaTheme="minorEastAsia"/>
          <w:sz w:val="24"/>
        </w:rPr>
        <w:t>专家名单以及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168E081D">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0D937E2B">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p>
    <w:p w14:paraId="2EB01AB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393A94D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599EDAF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26BCC17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告知未通过资格审查的投标人未通过的原因；采用综合评分法评标的，还将告知未中标人本人的评标得分和排序。</w:t>
      </w:r>
    </w:p>
    <w:p w14:paraId="282C024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55535D4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6C1D7F44">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6623E6B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3CACE227">
      <w:pPr>
        <w:spacing w:line="360" w:lineRule="auto"/>
        <w:ind w:firstLine="435"/>
        <w:rPr>
          <w:rFonts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0E75C030">
      <w:pPr>
        <w:spacing w:line="360" w:lineRule="auto"/>
        <w:ind w:firstLine="435"/>
        <w:rPr>
          <w:rFonts w:ascii="宋体" w:hAnsi="宋体" w:eastAsia="宋体"/>
          <w:sz w:val="24"/>
        </w:rPr>
      </w:pPr>
      <w:r>
        <w:rPr>
          <w:rFonts w:hint="eastAsia" w:ascii="宋体" w:hAnsi="宋体" w:eastAsia="宋体"/>
          <w:sz w:val="24"/>
        </w:rPr>
        <w:t>27.2招标文件、中标人的投标文件及其澄清文件等，均为签订合同的依据。</w:t>
      </w:r>
    </w:p>
    <w:p w14:paraId="0B1C3444">
      <w:pPr>
        <w:spacing w:line="360" w:lineRule="auto"/>
        <w:ind w:firstLine="435"/>
        <w:rPr>
          <w:rFonts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w:t>
      </w:r>
      <w:r>
        <w:rPr>
          <w:rFonts w:hint="eastAsia" w:ascii="宋体" w:hAnsi="宋体" w:eastAsia="宋体"/>
          <w:sz w:val="24"/>
        </w:rPr>
        <w:t>评标</w:t>
      </w:r>
      <w:r>
        <w:rPr>
          <w:rFonts w:ascii="宋体" w:hAnsi="宋体" w:eastAsia="宋体"/>
          <w:sz w:val="24"/>
        </w:rPr>
        <w:t>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7FC4244F">
      <w:pPr>
        <w:spacing w:line="360" w:lineRule="auto"/>
        <w:ind w:firstLine="435"/>
        <w:rPr>
          <w:rFonts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3C50C93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57825A4B">
      <w:pPr>
        <w:spacing w:line="360" w:lineRule="auto"/>
        <w:ind w:firstLine="435"/>
        <w:rPr>
          <w:rFonts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34219193">
      <w:pPr>
        <w:spacing w:line="360" w:lineRule="auto"/>
        <w:ind w:firstLine="437"/>
        <w:outlineLvl w:val="2"/>
        <w:rPr>
          <w:rFonts w:asciiTheme="minorEastAsia" w:hAnsiTheme="minorEastAsia" w:eastAsiaTheme="minorEastAsia"/>
          <w:b/>
          <w:sz w:val="24"/>
        </w:rPr>
      </w:pPr>
      <w:bookmarkStart w:id="39" w:name="_Toc518923100"/>
      <w:bookmarkStart w:id="40" w:name="_Toc2583661"/>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39"/>
      <w:bookmarkEnd w:id="40"/>
    </w:p>
    <w:p w14:paraId="1EAFC85E">
      <w:pPr>
        <w:spacing w:line="360" w:lineRule="auto"/>
        <w:ind w:firstLine="435"/>
        <w:rPr>
          <w:rFonts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不得以不正当手段获取政府采购代理业务，不得与采购人、投标人恶意串通。</w:t>
      </w:r>
    </w:p>
    <w:p w14:paraId="3160BD33">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采购代理机构工作人员不得接受采购人或者投标人组织的宴请、旅游、娱乐，不得收受礼品、现金、有价证券等，不得向采购人或者</w:t>
      </w:r>
      <w:r>
        <w:rPr>
          <w:rFonts w:hint="eastAsia" w:ascii="宋体" w:hAnsi="宋体" w:eastAsia="宋体"/>
          <w:sz w:val="24"/>
          <w:szCs w:val="18"/>
        </w:rPr>
        <w:t>投标人</w:t>
      </w:r>
      <w:r>
        <w:rPr>
          <w:rFonts w:hint="eastAsia" w:ascii="宋体" w:hAnsi="宋体" w:eastAsia="宋体"/>
          <w:sz w:val="24"/>
        </w:rPr>
        <w:t>报销应当由个人承担的费用。</w:t>
      </w:r>
    </w:p>
    <w:p w14:paraId="02ABB57F">
      <w:pPr>
        <w:spacing w:line="360" w:lineRule="auto"/>
        <w:ind w:firstLine="437"/>
        <w:outlineLvl w:val="2"/>
        <w:rPr>
          <w:rFonts w:asciiTheme="minorEastAsia" w:hAnsiTheme="minorEastAsia" w:eastAsiaTheme="minorEastAsia"/>
          <w:b/>
          <w:sz w:val="24"/>
        </w:rPr>
      </w:pPr>
      <w:bookmarkStart w:id="41" w:name="_Toc2583662"/>
      <w:bookmarkStart w:id="42" w:name="_Toc518923101"/>
      <w:r>
        <w:rPr>
          <w:rFonts w:hint="eastAsia" w:asciiTheme="minorEastAsia" w:hAnsiTheme="minorEastAsia" w:eastAsiaTheme="minorEastAsia"/>
          <w:b/>
          <w:sz w:val="24"/>
        </w:rPr>
        <w:t>30.人员回避</w:t>
      </w:r>
      <w:bookmarkEnd w:id="41"/>
      <w:bookmarkEnd w:id="42"/>
    </w:p>
    <w:p w14:paraId="1378485D">
      <w:pPr>
        <w:spacing w:line="360" w:lineRule="auto"/>
        <w:ind w:firstLine="435"/>
        <w:rPr>
          <w:rFonts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w:t>
      </w:r>
      <w:r>
        <w:rPr>
          <w:rFonts w:hint="eastAsia" w:ascii="宋体" w:hAnsi="宋体" w:eastAsia="宋体"/>
          <w:sz w:val="24"/>
        </w:rPr>
        <w:t>投标人有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257C7BD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22F8E422">
      <w:pPr>
        <w:spacing w:line="360" w:lineRule="auto"/>
        <w:ind w:firstLine="435"/>
        <w:rPr>
          <w:rFonts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127A6C65">
      <w:pPr>
        <w:spacing w:line="360" w:lineRule="auto"/>
        <w:ind w:firstLine="435"/>
        <w:rPr>
          <w:rFonts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4E53BBB5">
      <w:pPr>
        <w:spacing w:line="360" w:lineRule="auto"/>
        <w:ind w:firstLine="435"/>
        <w:rPr>
          <w:rFonts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479918DE">
      <w:pPr>
        <w:spacing w:line="360" w:lineRule="auto"/>
        <w:ind w:firstLine="435"/>
        <w:rPr>
          <w:rFonts w:ascii="宋体" w:hAnsi="宋体" w:eastAsia="宋体"/>
          <w:sz w:val="24"/>
        </w:rPr>
      </w:pPr>
      <w:r>
        <w:rPr>
          <w:rFonts w:hint="eastAsia" w:ascii="宋体" w:hAnsi="宋体" w:eastAsia="宋体"/>
          <w:sz w:val="24"/>
        </w:rPr>
        <w:t>注：上述条款中所要求的书面形式包含通过电子交易系统递交方式。</w:t>
      </w:r>
    </w:p>
    <w:p w14:paraId="6CB0BB6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0B8BCAE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5EA9ECCF">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71D7C79A">
      <w:pPr>
        <w:numPr>
          <w:ilvl w:val="0"/>
          <w:numId w:val="3"/>
        </w:num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 </w:t>
      </w:r>
      <w:bookmarkStart w:id="43" w:name="_Toc22605"/>
      <w:r>
        <w:rPr>
          <w:rFonts w:hint="eastAsia" w:asciiTheme="minorEastAsia" w:hAnsiTheme="minorEastAsia" w:eastAsiaTheme="minorEastAsia"/>
          <w:b/>
          <w:sz w:val="28"/>
        </w:rPr>
        <w:t>采购需求</w:t>
      </w:r>
      <w:bookmarkEnd w:id="43"/>
    </w:p>
    <w:p w14:paraId="3790517A">
      <w:pPr>
        <w:jc w:val="center"/>
        <w:rPr>
          <w:rFonts w:asciiTheme="minorEastAsia" w:hAnsiTheme="minorEastAsia" w:eastAsiaTheme="minorEastAsia"/>
          <w:b/>
          <w:sz w:val="28"/>
        </w:rPr>
      </w:pPr>
    </w:p>
    <w:p w14:paraId="7A7C4924">
      <w:pPr>
        <w:jc w:val="center"/>
        <w:rPr>
          <w:rFonts w:ascii="宋体" w:hAnsi="宋体" w:eastAsia="宋体" w:cs="宋体"/>
          <w:b/>
          <w:bCs/>
          <w:sz w:val="24"/>
          <w:szCs w:val="24"/>
        </w:rPr>
      </w:pPr>
      <w:r>
        <w:rPr>
          <w:rFonts w:hint="eastAsia" w:ascii="宋体" w:hAnsi="宋体" w:eastAsia="宋体" w:cs="宋体"/>
          <w:b/>
          <w:bCs/>
          <w:sz w:val="24"/>
          <w:szCs w:val="24"/>
        </w:rPr>
        <w:t>第</w:t>
      </w:r>
      <w:r>
        <w:rPr>
          <w:rFonts w:ascii="宋体" w:hAnsi="宋体" w:eastAsia="宋体" w:cs="宋体"/>
          <w:b/>
          <w:bCs/>
          <w:sz w:val="24"/>
          <w:szCs w:val="24"/>
        </w:rPr>
        <w:t>2</w:t>
      </w:r>
      <w:r>
        <w:rPr>
          <w:rFonts w:hint="eastAsia" w:ascii="宋体" w:hAnsi="宋体" w:eastAsia="宋体" w:cs="宋体"/>
          <w:b/>
          <w:bCs/>
          <w:sz w:val="24"/>
          <w:szCs w:val="24"/>
        </w:rPr>
        <w:t>包-第1</w:t>
      </w:r>
      <w:r>
        <w:rPr>
          <w:rFonts w:ascii="宋体" w:hAnsi="宋体" w:eastAsia="宋体" w:cs="宋体"/>
          <w:b/>
          <w:bCs/>
          <w:sz w:val="24"/>
          <w:szCs w:val="24"/>
        </w:rPr>
        <w:t>1</w:t>
      </w:r>
      <w:r>
        <w:rPr>
          <w:rFonts w:hint="eastAsia" w:ascii="宋体" w:hAnsi="宋体" w:eastAsia="宋体" w:cs="宋体"/>
          <w:b/>
          <w:bCs/>
          <w:sz w:val="24"/>
          <w:szCs w:val="24"/>
        </w:rPr>
        <w:t>包</w:t>
      </w:r>
    </w:p>
    <w:p w14:paraId="6E05BC0E">
      <w:pPr>
        <w:pStyle w:val="2"/>
      </w:pPr>
    </w:p>
    <w:p w14:paraId="44BFD2B7">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3298062D">
      <w:pPr>
        <w:spacing w:line="360" w:lineRule="auto"/>
        <w:ind w:firstLine="435"/>
        <w:rPr>
          <w:rFonts w:ascii="宋体" w:hAnsi="宋体" w:eastAsia="宋体" w:cs="宋体"/>
          <w:sz w:val="24"/>
          <w:szCs w:val="24"/>
        </w:rPr>
      </w:pPr>
      <w:r>
        <w:rPr>
          <w:rFonts w:hint="eastAsia" w:ascii="宋体" w:hAnsi="宋体" w:eastAsia="宋体" w:cs="宋体"/>
          <w:sz w:val="24"/>
          <w:szCs w:val="24"/>
        </w:rPr>
        <w:t>1.本采购需求中提出的服务方案仅为参考，如无明确限制，投标人可以进行优化，提供满足采购人实际需要的更优（或者性能实质上不低于的）服务方案，且此方案须经评标委员会评标认可。</w:t>
      </w:r>
    </w:p>
    <w:p w14:paraId="22C6A0F0">
      <w:pPr>
        <w:spacing w:line="360" w:lineRule="auto"/>
        <w:ind w:firstLine="437"/>
        <w:outlineLvl w:val="1"/>
        <w:rPr>
          <w:rFonts w:ascii="宋体" w:hAnsi="宋体" w:eastAsia="宋体"/>
          <w:b/>
          <w:sz w:val="24"/>
          <w:szCs w:val="18"/>
        </w:rPr>
      </w:pPr>
      <w:bookmarkStart w:id="44" w:name="_Toc4148"/>
      <w:bookmarkStart w:id="45" w:name="_Toc21798"/>
      <w:bookmarkStart w:id="46" w:name="_Hlk23621890"/>
      <w:r>
        <w:rPr>
          <w:rFonts w:hint="eastAsia" w:ascii="宋体" w:hAnsi="宋体" w:eastAsia="宋体"/>
          <w:b/>
          <w:sz w:val="24"/>
          <w:szCs w:val="18"/>
        </w:rPr>
        <w:t>一、采购需求前附表</w:t>
      </w:r>
      <w:bookmarkEnd w:id="44"/>
      <w:bookmarkEnd w:id="45"/>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5"/>
        <w:gridCol w:w="5465"/>
      </w:tblGrid>
      <w:tr w14:paraId="3768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DB64596">
            <w:pPr>
              <w:pStyle w:val="3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3D04E040">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14:paraId="14BD7F0B">
            <w:pPr>
              <w:pStyle w:val="2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5001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8A6924D">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6BDE7333">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14:paraId="13DCBC97">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合同签订后，经乙方申请并提交银行、保险公司、担保公司等金融机构出具的金额为合同总价40%的预付款保函作为担保，经甲方审核确认后，按照规定及时向乙方支付合同总价的40%作为预付款；</w:t>
            </w:r>
          </w:p>
          <w:p w14:paraId="2B332BAD">
            <w:pPr>
              <w:widowControl/>
              <w:spacing w:line="360" w:lineRule="auto"/>
              <w:ind w:firstLine="482" w:firstLineChars="200"/>
              <w:jc w:val="left"/>
              <w:rPr>
                <w:rFonts w:ascii="宋体" w:hAnsi="宋体" w:eastAsia="宋体" w:cs="宋体"/>
                <w:bCs/>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4662FE08">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74D5B0D1">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0D6D13FF">
            <w:pPr>
              <w:pStyle w:val="29"/>
              <w:widowControl w:val="0"/>
              <w:spacing w:before="0" w:beforeAutospacing="0" w:after="0" w:afterAutospacing="0" w:line="360" w:lineRule="auto"/>
              <w:ind w:firstLine="482" w:firstLineChars="200"/>
              <w:jc w:val="both"/>
              <w:rPr>
                <w:rFonts w:ascii="宋体" w:hAnsi="宋体" w:eastAsia="宋体"/>
                <w:b w:val="0"/>
                <w:sz w:val="24"/>
                <w:u w:val="single"/>
              </w:rPr>
            </w:pPr>
            <w:r>
              <w:rPr>
                <w:rFonts w:hint="eastAsia" w:ascii="宋体" w:hAnsi="宋体" w:eastAsia="宋体" w:cs="宋体"/>
                <w:sz w:val="24"/>
                <w:szCs w:val="24"/>
              </w:rPr>
              <w:t>按进度付款，乙方申请并经甲方次验收合格后支付相应阶段进度款，直至年度验收合格并经结算审核后，支付至结算价的100%。</w:t>
            </w:r>
          </w:p>
        </w:tc>
      </w:tr>
      <w:tr w14:paraId="7657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8DC64A1">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0626670C">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6" w:type="pct"/>
            <w:vAlign w:val="center"/>
          </w:tcPr>
          <w:p w14:paraId="192A9D5C">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b w:val="0"/>
                <w:sz w:val="24"/>
                <w:szCs w:val="24"/>
              </w:rPr>
              <w:t>安徽省境内（采购人指定地点）</w:t>
            </w:r>
          </w:p>
        </w:tc>
      </w:tr>
      <w:tr w14:paraId="4AC2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60FF633">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775A803C">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6" w:type="pct"/>
            <w:vAlign w:val="center"/>
          </w:tcPr>
          <w:p w14:paraId="0730C3F9">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合同签订后至2025年12月10日。</w:t>
            </w:r>
          </w:p>
          <w:p w14:paraId="7871F8BF">
            <w:pPr>
              <w:pStyle w:val="2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cs="宋体"/>
                <w:sz w:val="24"/>
                <w:szCs w:val="24"/>
              </w:rPr>
              <w:t>其中第2包-第11包1年服务期满后，经合同甲方年度验收合格，主要服务内容无变化，根据合同甲方实际工作需要，经双方协商同意，在年度预算能够保障的前提下，可续签下一年合同，续签时间不超过1年，合同一年一签，原则上成交价不变，如合同甲方预算或续签政策发生变化，不再续签。</w:t>
            </w:r>
          </w:p>
        </w:tc>
      </w:tr>
      <w:tr w14:paraId="136C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Align w:val="center"/>
          </w:tcPr>
          <w:p w14:paraId="0496389F">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4115F930">
            <w:pPr>
              <w:pStyle w:val="2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本项目采购标的名称及所属行业</w:t>
            </w:r>
          </w:p>
        </w:tc>
        <w:tc>
          <w:tcPr>
            <w:tcW w:w="3216" w:type="pct"/>
            <w:vAlign w:val="center"/>
          </w:tcPr>
          <w:p w14:paraId="7B1B3AFA">
            <w:pPr>
              <w:jc w:val="left"/>
              <w:rPr>
                <w:rFonts w:ascii="宋体" w:hAnsi="宋体" w:eastAsia="宋体" w:cs="宋体"/>
                <w:sz w:val="24"/>
                <w:szCs w:val="24"/>
              </w:rPr>
            </w:pPr>
            <w:r>
              <w:rPr>
                <w:rFonts w:hint="eastAsia" w:ascii="宋体" w:hAnsi="宋体" w:eastAsia="宋体" w:cs="宋体"/>
                <w:sz w:val="24"/>
                <w:szCs w:val="24"/>
              </w:rPr>
              <w:t>标的名称：</w:t>
            </w:r>
            <w:r>
              <w:rPr>
                <w:rFonts w:hint="eastAsia" w:ascii="宋体" w:hAnsi="宋体" w:eastAsia="宋体" w:cs="宋体"/>
                <w:b/>
                <w:bCs/>
                <w:color w:val="FF0000"/>
                <w:sz w:val="24"/>
                <w:szCs w:val="24"/>
                <w:lang w:eastAsia="zh-CN"/>
              </w:rPr>
              <w:t>省淮河局2025年堤防草皮养护及林间控高（第5包）</w:t>
            </w:r>
          </w:p>
          <w:p w14:paraId="7B80CA8D">
            <w:pPr>
              <w:spacing w:line="360" w:lineRule="auto"/>
              <w:jc w:val="left"/>
              <w:rPr>
                <w:rFonts w:asciiTheme="minorEastAsia" w:hAnsiTheme="minorEastAsia" w:eastAsiaTheme="minorEastAsia"/>
                <w:sz w:val="24"/>
              </w:rPr>
            </w:pPr>
            <w:r>
              <w:rPr>
                <w:rFonts w:hint="eastAsia" w:ascii="宋体" w:hAnsi="宋体" w:eastAsia="宋体" w:cs="宋体"/>
                <w:sz w:val="24"/>
                <w:szCs w:val="24"/>
              </w:rPr>
              <w:t>所属行业：</w:t>
            </w:r>
            <w:bookmarkStart w:id="47" w:name="_Hlk191580940"/>
            <w:r>
              <w:rPr>
                <w:rFonts w:hint="eastAsia" w:ascii="宋体" w:hAnsi="宋体" w:eastAsia="宋体" w:cs="宋体"/>
                <w:sz w:val="24"/>
                <w:szCs w:val="24"/>
                <w:u w:val="single"/>
                <w:lang w:val="zh-TW"/>
              </w:rPr>
              <w:t>其他未列明行业</w:t>
            </w:r>
            <w:bookmarkEnd w:id="47"/>
          </w:p>
        </w:tc>
      </w:tr>
      <w:tr w14:paraId="6965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40D931B1">
            <w:pPr>
              <w:pStyle w:val="3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cs="宋体"/>
                <w:bCs/>
                <w:kern w:val="2"/>
                <w:szCs w:val="24"/>
              </w:rPr>
              <w:t>5</w:t>
            </w:r>
          </w:p>
        </w:tc>
        <w:tc>
          <w:tcPr>
            <w:tcW w:w="2229" w:type="dxa"/>
            <w:vAlign w:val="center"/>
          </w:tcPr>
          <w:p w14:paraId="04785BDA">
            <w:pPr>
              <w:pStyle w:val="29"/>
              <w:widowControl w:val="0"/>
              <w:spacing w:before="0" w:beforeAutospacing="0" w:after="0" w:afterAutospacing="0"/>
              <w:rPr>
                <w:rFonts w:ascii="宋体" w:hAnsi="宋体" w:eastAsia="宋体"/>
                <w:b w:val="0"/>
                <w:sz w:val="24"/>
              </w:rPr>
            </w:pPr>
            <w:r>
              <w:rPr>
                <w:rFonts w:hint="eastAsia" w:ascii="宋体" w:hAnsi="宋体" w:eastAsia="宋体" w:cs="宋体"/>
                <w:b w:val="0"/>
                <w:sz w:val="24"/>
                <w:szCs w:val="24"/>
              </w:rPr>
              <w:t>前期资料收集</w:t>
            </w:r>
          </w:p>
        </w:tc>
        <w:tc>
          <w:tcPr>
            <w:tcW w:w="6013" w:type="dxa"/>
            <w:vAlign w:val="center"/>
          </w:tcPr>
          <w:p w14:paraId="44F79A5A">
            <w:pPr>
              <w:rPr>
                <w:rFonts w:ascii="宋体" w:hAnsi="宋体" w:eastAsia="宋体"/>
                <w:sz w:val="24"/>
              </w:rPr>
            </w:pPr>
            <w:r>
              <w:rPr>
                <w:rFonts w:hint="eastAsia" w:ascii="宋体" w:hAnsi="宋体" w:eastAsia="宋体" w:cs="宋体"/>
                <w:sz w:val="24"/>
                <w:szCs w:val="24"/>
              </w:rPr>
              <w:t>与本项目相关的前期和基础资料，全部由中标人负责收集，投标人在报价时要充分考虑此部分费用。</w:t>
            </w:r>
          </w:p>
        </w:tc>
      </w:tr>
      <w:tr w14:paraId="36DD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Align w:val="center"/>
          </w:tcPr>
          <w:p w14:paraId="260AF6E3">
            <w:pPr>
              <w:pStyle w:val="30"/>
              <w:pBdr>
                <w:bottom w:val="none" w:color="auto" w:sz="0" w:space="0"/>
              </w:pBdr>
              <w:tabs>
                <w:tab w:val="clear" w:pos="4153"/>
                <w:tab w:val="clear" w:pos="8306"/>
              </w:tabs>
              <w:adjustRightInd/>
              <w:spacing w:line="240" w:lineRule="auto"/>
              <w:textAlignment w:val="auto"/>
              <w:rPr>
                <w:rFonts w:ascii="宋体" w:hAnsi="宋体" w:eastAsia="宋体" w:cs="宋体"/>
                <w:bCs/>
                <w:kern w:val="2"/>
                <w:szCs w:val="24"/>
              </w:rPr>
            </w:pPr>
            <w:bookmarkStart w:id="48" w:name="_Toc16543"/>
            <w:bookmarkStart w:id="49" w:name="_Hlk16461016"/>
            <w:r>
              <w:rPr>
                <w:rFonts w:hint="eastAsia" w:ascii="宋体" w:hAnsi="宋体" w:eastAsia="宋体" w:cs="宋体"/>
                <w:bCs/>
                <w:kern w:val="2"/>
                <w:szCs w:val="24"/>
              </w:rPr>
              <w:t>6</w:t>
            </w:r>
          </w:p>
        </w:tc>
        <w:tc>
          <w:tcPr>
            <w:tcW w:w="2229" w:type="dxa"/>
            <w:vAlign w:val="center"/>
          </w:tcPr>
          <w:p w14:paraId="027A3D9A">
            <w:pPr>
              <w:pStyle w:val="29"/>
              <w:widowControl w:val="0"/>
              <w:spacing w:before="0" w:beforeAutospacing="0" w:after="0" w:afterAutospacing="0"/>
              <w:rPr>
                <w:rFonts w:ascii="宋体" w:hAnsi="宋体" w:eastAsia="宋体" w:cs="宋体"/>
                <w:b w:val="0"/>
                <w:sz w:val="24"/>
                <w:szCs w:val="24"/>
              </w:rPr>
            </w:pPr>
            <w:r>
              <w:rPr>
                <w:rFonts w:hint="eastAsia" w:ascii="宋体" w:hAnsi="宋体" w:eastAsia="宋体" w:cs="宋体"/>
                <w:bCs w:val="0"/>
                <w:sz w:val="24"/>
                <w:szCs w:val="24"/>
              </w:rPr>
              <w:t>重要提醒</w:t>
            </w:r>
          </w:p>
        </w:tc>
        <w:tc>
          <w:tcPr>
            <w:tcW w:w="6013" w:type="dxa"/>
            <w:vAlign w:val="center"/>
          </w:tcPr>
          <w:p w14:paraId="6CA34D32">
            <w:pPr>
              <w:spacing w:line="360" w:lineRule="auto"/>
              <w:rPr>
                <w:rFonts w:ascii="宋体" w:hAnsi="宋体" w:eastAsia="宋体" w:cs="宋体"/>
                <w:b/>
                <w:sz w:val="24"/>
                <w:szCs w:val="24"/>
              </w:rPr>
            </w:pPr>
            <w:r>
              <w:rPr>
                <w:rFonts w:hint="eastAsia" w:ascii="宋体" w:hAnsi="宋体" w:eastAsia="宋体" w:cs="宋体"/>
                <w:b/>
                <w:sz w:val="24"/>
                <w:szCs w:val="24"/>
              </w:rPr>
              <w:t>（1）中标人应在规定期限内提交履约担保并与采购人签订合同，若中标人未能在规定期限内提交履约担保或签订合同，采购人有权取消中标人中标资格，并将相关违约行为报送监管部门，实施信用惩戒；</w:t>
            </w:r>
          </w:p>
          <w:p w14:paraId="1E728988">
            <w:pPr>
              <w:spacing w:line="360" w:lineRule="auto"/>
              <w:rPr>
                <w:rFonts w:ascii="宋体" w:hAnsi="宋体" w:eastAsia="宋体" w:cs="宋体"/>
                <w:b/>
                <w:sz w:val="24"/>
                <w:szCs w:val="24"/>
              </w:rPr>
            </w:pPr>
            <w:r>
              <w:rPr>
                <w:rFonts w:hint="eastAsia" w:ascii="宋体" w:hAnsi="宋体" w:eastAsia="宋体" w:cs="宋体"/>
                <w:b/>
                <w:sz w:val="24"/>
                <w:szCs w:val="24"/>
              </w:rPr>
              <w:t>（2）合同签订后，中标人存在规定时间内不组织人员进场开工，不履行合同义务等情况，采购人有权解除合同，并追究违约责任，同时将相关违约行为报送监管部门，记不良行为记录，实施信用惩戒；</w:t>
            </w:r>
          </w:p>
          <w:p w14:paraId="68285394">
            <w:pPr>
              <w:spacing w:line="360" w:lineRule="auto"/>
              <w:rPr>
                <w:rFonts w:ascii="宋体" w:hAnsi="宋体" w:eastAsia="宋体" w:cs="宋体"/>
                <w:b/>
                <w:sz w:val="24"/>
                <w:szCs w:val="24"/>
              </w:rPr>
            </w:pPr>
            <w:r>
              <w:rPr>
                <w:rFonts w:hint="eastAsia" w:ascii="宋体" w:hAnsi="宋体" w:eastAsia="宋体" w:cs="宋体"/>
                <w:b/>
                <w:sz w:val="24"/>
                <w:szCs w:val="24"/>
              </w:rPr>
              <w:t>（3）中标人不得在中标后将本项目转包给其他分包单位，如有违法分包行为，采购人有权解除合同，并将相关违约行为报送监管部门，实施信用惩戒；</w:t>
            </w:r>
          </w:p>
          <w:p w14:paraId="4F721872">
            <w:pPr>
              <w:spacing w:line="360" w:lineRule="auto"/>
              <w:rPr>
                <w:rFonts w:ascii="宋体" w:hAnsi="宋体" w:eastAsia="宋体" w:cs="宋体"/>
                <w:b/>
                <w:sz w:val="24"/>
                <w:szCs w:val="24"/>
              </w:rPr>
            </w:pPr>
            <w:r>
              <w:rPr>
                <w:rFonts w:hint="eastAsia" w:ascii="宋体" w:hAnsi="宋体" w:eastAsia="宋体" w:cs="宋体"/>
                <w:b/>
                <w:sz w:val="24"/>
                <w:szCs w:val="24"/>
              </w:rPr>
              <w:t>（4）中标人成交后被监管部门查实存在虚假响应等违法行为，不满足成交条件的，由采购人取消其中标资格，并做好项目后续工作；</w:t>
            </w:r>
          </w:p>
          <w:p w14:paraId="1B04D38D">
            <w:pPr>
              <w:spacing w:line="360" w:lineRule="auto"/>
              <w:rPr>
                <w:rFonts w:ascii="宋体" w:hAnsi="宋体" w:eastAsia="宋体" w:cs="宋体"/>
                <w:b/>
                <w:sz w:val="24"/>
                <w:szCs w:val="24"/>
              </w:rPr>
            </w:pPr>
            <w:r>
              <w:rPr>
                <w:rFonts w:hint="eastAsia" w:ascii="宋体" w:hAnsi="宋体" w:eastAsia="宋体" w:cs="宋体"/>
                <w:b/>
                <w:sz w:val="24"/>
                <w:szCs w:val="24"/>
              </w:rPr>
              <w:t>（5）中标人在中标项目发生投诉、信访举报案件、履约存在争议时，拒绝协助配合执法部门调查案件的，采购人可以取消其中标资格或解除合同，并追究其违约责任。</w:t>
            </w:r>
          </w:p>
        </w:tc>
      </w:tr>
    </w:tbl>
    <w:p w14:paraId="6E3D6B0D">
      <w:pPr>
        <w:spacing w:line="360" w:lineRule="auto"/>
        <w:rPr>
          <w:rFonts w:ascii="宋体" w:hAnsi="宋体" w:eastAsia="宋体"/>
          <w:b/>
          <w:sz w:val="24"/>
          <w:szCs w:val="18"/>
        </w:rPr>
      </w:pPr>
    </w:p>
    <w:bookmarkEnd w:id="46"/>
    <w:bookmarkEnd w:id="48"/>
    <w:bookmarkEnd w:id="49"/>
    <w:p w14:paraId="117ADFB1">
      <w:pPr>
        <w:pStyle w:val="2"/>
        <w:rPr>
          <w:bCs/>
        </w:rPr>
      </w:pPr>
    </w:p>
    <w:p w14:paraId="53911B89">
      <w:pPr>
        <w:spacing w:line="560" w:lineRule="exact"/>
        <w:rPr>
          <w:rFonts w:ascii="宋体" w:hAnsi="宋体" w:eastAsia="宋体" w:cs="宋体"/>
          <w:b/>
          <w:bCs/>
          <w:sz w:val="24"/>
          <w:szCs w:val="24"/>
        </w:rPr>
      </w:pPr>
      <w:r>
        <w:rPr>
          <w:rFonts w:hint="eastAsia" w:ascii="宋体" w:hAnsi="宋体" w:eastAsia="宋体" w:cs="宋体"/>
          <w:b/>
          <w:bCs/>
          <w:sz w:val="24"/>
          <w:szCs w:val="24"/>
        </w:rPr>
        <w:t>（一）实施内容</w:t>
      </w:r>
    </w:p>
    <w:p w14:paraId="4D05AD56">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2</w:t>
      </w:r>
      <w:r>
        <w:rPr>
          <w:rFonts w:hint="eastAsia" w:ascii="宋体" w:hAnsi="宋体" w:eastAsia="宋体" w:cs="宋体"/>
          <w:sz w:val="24"/>
          <w:szCs w:val="24"/>
        </w:rPr>
        <w:t>包：①</w:t>
      </w:r>
      <w:r>
        <w:rPr>
          <w:rFonts w:hint="eastAsia" w:ascii="宋体" w:hAnsi="宋体" w:eastAsia="宋体" w:cs="宋体"/>
          <w:b/>
          <w:bCs/>
          <w:kern w:val="0"/>
          <w:sz w:val="24"/>
          <w:szCs w:val="24"/>
        </w:rPr>
        <w:t>五河局</w:t>
      </w:r>
      <w:r>
        <w:rPr>
          <w:rFonts w:hint="eastAsia" w:ascii="宋体" w:hAnsi="宋体" w:eastAsia="宋体" w:cs="宋体"/>
          <w:kern w:val="0"/>
          <w:sz w:val="24"/>
          <w:szCs w:val="24"/>
        </w:rPr>
        <w:t>管理淮北大堤涡下段25+666～103+983，堤防总长78.317km，堤防草皮（含上下堤道路）养护面积2967144平方米，硬质护坡养护面积865957m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，护堤地林间控高面积1345760m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。②</w:t>
      </w:r>
      <w:r>
        <w:rPr>
          <w:rFonts w:hint="eastAsia" w:ascii="宋体" w:hAnsi="宋体" w:eastAsia="宋体" w:cs="宋体"/>
          <w:b/>
          <w:bCs/>
          <w:sz w:val="24"/>
          <w:szCs w:val="24"/>
        </w:rPr>
        <w:t>明光局</w:t>
      </w:r>
      <w:r>
        <w:rPr>
          <w:rFonts w:hint="eastAsia" w:ascii="宋体" w:hAnsi="宋体" w:eastAsia="宋体" w:cs="宋体"/>
          <w:sz w:val="24"/>
          <w:szCs w:val="24"/>
        </w:rPr>
        <w:t>管理淮北大堤涡下段（桩号115+409~122+655）长7.246km，堤防草皮（含上下堤道路）养护面积165443m</w:t>
      </w:r>
      <w:r>
        <w:rPr>
          <w:rFonts w:hint="eastAsia" w:ascii="宋体" w:hAnsi="宋体" w:eastAsia="宋体" w:cs="宋体"/>
          <w:sz w:val="24"/>
          <w:szCs w:val="24"/>
          <w:vertAlign w:val="superscript"/>
        </w:rPr>
        <w:t>2</w:t>
      </w:r>
      <w:r>
        <w:rPr>
          <w:rFonts w:hint="eastAsia" w:ascii="宋体" w:hAnsi="宋体" w:eastAsia="宋体" w:cs="宋体"/>
          <w:sz w:val="24"/>
          <w:szCs w:val="24"/>
        </w:rPr>
        <w:t>，硬质护坡养护面积11830m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，护堤地林间控高面积293340m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14:paraId="4C0D1791">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3</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颍上局</w:t>
      </w:r>
      <w:r>
        <w:rPr>
          <w:rFonts w:hint="eastAsia" w:ascii="宋体" w:hAnsi="宋体" w:eastAsia="宋体" w:cs="宋体"/>
          <w:color w:val="auto"/>
          <w:sz w:val="24"/>
          <w:szCs w:val="24"/>
        </w:rPr>
        <w:t>直管堤防总长78.571km，其中颍左堤（桩号0+000~37+183、39+456~63+362）长61.089km，堤防草皮（含上下堤道路）养护面积2054376m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，硬质护坡养护面积186729m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，护堤地林间控高面积415015m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；淮北大堤颍上段（桩号0+000~17+482）长17.482km，堤防草皮（含上下堤道路）养护面积1001335m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，硬质护坡养护面积209550m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，护堤地林间控高面积524460m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颍上闸</w:t>
      </w:r>
      <w:bookmarkStart w:id="50" w:name="_Hlk191981106"/>
      <w:r>
        <w:rPr>
          <w:rFonts w:hint="eastAsia" w:ascii="宋体" w:hAnsi="宋体" w:eastAsia="宋体" w:cs="宋体"/>
          <w:color w:val="auto"/>
          <w:sz w:val="24"/>
          <w:szCs w:val="24"/>
        </w:rPr>
        <w:t>管理淮北大堤颍左堤（桩号37+183～39+456）长2.273km，右导流堤2.571km，共计堤防草皮（含上下堤道路）养护面积55000m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，硬质护坡养护面积20000m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，护堤地林间控高面积100000m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bookmarkEnd w:id="50"/>
    </w:p>
    <w:p w14:paraId="75028E53">
      <w:pPr>
        <w:spacing w:line="56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第</w:t>
      </w:r>
      <w:r>
        <w:rPr>
          <w:rFonts w:ascii="宋体" w:hAnsi="宋体" w:eastAsia="宋体" w:cs="宋体"/>
          <w:color w:val="auto"/>
          <w:sz w:val="24"/>
          <w:szCs w:val="24"/>
        </w:rPr>
        <w:t>4</w:t>
      </w:r>
      <w:r>
        <w:rPr>
          <w:rFonts w:hint="eastAsia" w:ascii="宋体" w:hAnsi="宋体" w:eastAsia="宋体" w:cs="宋体"/>
          <w:color w:val="auto"/>
          <w:sz w:val="24"/>
          <w:szCs w:val="24"/>
        </w:rPr>
        <w:t>包：①</w:t>
      </w:r>
      <w:r>
        <w:rPr>
          <w:rFonts w:hint="eastAsia" w:ascii="宋体" w:hAnsi="宋体" w:eastAsia="宋体" w:cs="宋体"/>
          <w:b/>
          <w:bCs/>
          <w:color w:val="auto"/>
          <w:sz w:val="24"/>
          <w:szCs w:val="24"/>
        </w:rPr>
        <w:t>怀远局</w:t>
      </w:r>
      <w:r>
        <w:rPr>
          <w:rFonts w:hint="eastAsia" w:ascii="宋体" w:hAnsi="宋体" w:eastAsia="宋体" w:cs="宋体"/>
          <w:color w:val="auto"/>
          <w:sz w:val="24"/>
          <w:szCs w:val="24"/>
        </w:rPr>
        <w:t>管理淮北大堤饶荆段（桩号84+207~114+400）长30.193km，堤防草皮（含上下堤道路）养护面积 1146724.8m2，硬质护坡养护面积221622m2，护堤地林间控高面积150965m2，淮北大堤饶荆段（石羊坝）（桩号114+400-120+240）长5.84km，堤防草皮（含上下堤道路）养护面积 273055m2，淮北大堤涡下段（桩号0+000~5+835）长5.835km，堤防草皮（含上下堤道路）养护面积 214936m2，硬质护坡养护面积88976m2，护堤地林间控高面积29175m2，茨淮新河左右堤长77.62km，(堆土区)养护面积215980m2，城关圈堤长4.22km，堤防草皮（含上下堤道路）养护面积 130420m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，硬质护坡养护面积57456m2，护堤地林间控高面积21100m2，塌荆段长4.4km，堤防草皮（含上下堤道路）养护面积 132000m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。②</w:t>
      </w:r>
      <w:r>
        <w:rPr>
          <w:rFonts w:hint="eastAsia" w:ascii="宋体" w:hAnsi="宋体" w:eastAsia="宋体" w:cs="宋体"/>
          <w:b/>
          <w:bCs/>
          <w:color w:val="auto"/>
          <w:sz w:val="24"/>
          <w:szCs w:val="24"/>
        </w:rPr>
        <w:t>蚌埠闸</w:t>
      </w:r>
      <w:r>
        <w:rPr>
          <w:rFonts w:hint="eastAsia" w:ascii="宋体" w:hAnsi="宋体" w:eastAsia="宋体" w:cs="宋体"/>
          <w:color w:val="auto"/>
          <w:sz w:val="24"/>
          <w:szCs w:val="24"/>
        </w:rPr>
        <w:t>管理淮北大堤涡下段（桩号5+835～9+172）长3.337km，含导流堤等管理范围草皮（含上下堤道路）养护面积共计221000m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，护堤地林间控高面积138000m</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w:t>
      </w:r>
    </w:p>
    <w:p w14:paraId="65771E0D">
      <w:pPr>
        <w:spacing w:line="560" w:lineRule="exact"/>
        <w:ind w:firstLine="640"/>
        <w:rPr>
          <w:rFonts w:ascii="宋体" w:hAnsi="宋体" w:eastAsia="宋体" w:cs="宋体"/>
          <w:color w:val="FF0000"/>
          <w:sz w:val="24"/>
          <w:szCs w:val="24"/>
        </w:rPr>
      </w:pPr>
      <w:r>
        <w:rPr>
          <w:rFonts w:hint="eastAsia" w:ascii="宋体" w:hAnsi="宋体" w:eastAsia="宋体" w:cs="宋体"/>
          <w:color w:val="FF0000"/>
          <w:sz w:val="24"/>
          <w:szCs w:val="24"/>
        </w:rPr>
        <w:t>第</w:t>
      </w:r>
      <w:r>
        <w:rPr>
          <w:rFonts w:ascii="宋体" w:hAnsi="宋体" w:eastAsia="宋体" w:cs="宋体"/>
          <w:color w:val="FF0000"/>
          <w:sz w:val="24"/>
          <w:szCs w:val="24"/>
        </w:rPr>
        <w:t>5</w:t>
      </w:r>
      <w:r>
        <w:rPr>
          <w:rFonts w:hint="eastAsia" w:ascii="宋体" w:hAnsi="宋体" w:eastAsia="宋体" w:cs="宋体"/>
          <w:color w:val="FF0000"/>
          <w:sz w:val="24"/>
          <w:szCs w:val="24"/>
        </w:rPr>
        <w:t>包：①</w:t>
      </w:r>
      <w:r>
        <w:rPr>
          <w:rFonts w:hint="eastAsia" w:ascii="宋体" w:hAnsi="宋体" w:eastAsia="宋体" w:cs="宋体"/>
          <w:b/>
          <w:bCs/>
          <w:color w:val="FF0000"/>
          <w:sz w:val="24"/>
          <w:szCs w:val="24"/>
        </w:rPr>
        <w:t>蒙城局</w:t>
      </w:r>
      <w:r>
        <w:rPr>
          <w:rFonts w:hint="eastAsia" w:ascii="宋体" w:hAnsi="宋体" w:eastAsia="宋体" w:cs="宋体"/>
          <w:color w:val="FF0000"/>
          <w:sz w:val="24"/>
          <w:szCs w:val="24"/>
        </w:rPr>
        <w:t>管理淮北大堤涡河堤防总长111.815km，其中涡河左堤（桩号52+495～83+859、84+963～107+827）长54.228km，堤防草皮（含上下堤道路）养护面积1054420m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，护堤地林间控高面积185000m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。涡河右堤（桩号53+762～83+879、84+830～112+300）长57.587km，堤防草皮（含上下堤道路）养护面积1076240m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，护堤地林间控高面积193000m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。②</w:t>
      </w:r>
      <w:r>
        <w:rPr>
          <w:rFonts w:hint="eastAsia" w:ascii="宋体" w:hAnsi="宋体" w:eastAsia="宋体" w:cs="宋体"/>
          <w:b/>
          <w:bCs/>
          <w:color w:val="FF0000"/>
          <w:sz w:val="24"/>
          <w:szCs w:val="24"/>
        </w:rPr>
        <w:t>蒙城闸</w:t>
      </w:r>
      <w:r>
        <w:rPr>
          <w:rFonts w:hint="eastAsia" w:ascii="宋体" w:hAnsi="宋体" w:eastAsia="宋体" w:cs="宋体"/>
          <w:color w:val="FF0000"/>
          <w:sz w:val="24"/>
          <w:szCs w:val="24"/>
        </w:rPr>
        <w:t>管理涡左堤（桩号83+859～84+963）长1.104km，涡右堤（桩号83+879～84+830）0.951km，堤防草皮（含上下堤道路）养护面积19700m2，硬质护坡养护面积13500m2，护堤地林间控高面积38200m</w:t>
      </w:r>
      <w:r>
        <w:rPr>
          <w:rFonts w:hint="eastAsia" w:ascii="宋体" w:hAnsi="宋体" w:eastAsia="宋体" w:cs="宋体"/>
          <w:color w:val="FF0000"/>
          <w:sz w:val="24"/>
          <w:szCs w:val="24"/>
          <w:vertAlign w:val="superscript"/>
        </w:rPr>
        <w:t>2</w:t>
      </w:r>
      <w:r>
        <w:rPr>
          <w:rFonts w:hint="eastAsia" w:ascii="宋体" w:hAnsi="宋体" w:eastAsia="宋体" w:cs="宋体"/>
          <w:color w:val="FF0000"/>
          <w:sz w:val="24"/>
          <w:szCs w:val="24"/>
        </w:rPr>
        <w:t>。</w:t>
      </w:r>
    </w:p>
    <w:p w14:paraId="7EB325AC">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6</w:t>
      </w:r>
      <w:r>
        <w:rPr>
          <w:rFonts w:hint="eastAsia" w:ascii="宋体" w:hAnsi="宋体" w:eastAsia="宋体" w:cs="宋体"/>
          <w:sz w:val="24"/>
          <w:szCs w:val="24"/>
        </w:rPr>
        <w:t>包：</w:t>
      </w:r>
      <w:r>
        <w:rPr>
          <w:rFonts w:hint="eastAsia" w:ascii="宋体" w:hAnsi="宋体" w:eastAsia="宋体" w:cs="宋体"/>
          <w:b/>
          <w:bCs/>
          <w:sz w:val="24"/>
          <w:szCs w:val="24"/>
        </w:rPr>
        <w:t>怀远局</w:t>
      </w:r>
      <w:r>
        <w:rPr>
          <w:rFonts w:hint="eastAsia" w:ascii="宋体" w:hAnsi="宋体" w:eastAsia="宋体" w:cs="宋体"/>
          <w:sz w:val="24"/>
          <w:szCs w:val="24"/>
        </w:rPr>
        <w:t>管理涡左堤（桩号0+000~52+495）长52.495km，堤防草皮（含上下堤道路）养护面积 2150331m2，硬质护坡养护面积231430m2，护堤地林间控高面积262475m2。</w:t>
      </w:r>
    </w:p>
    <w:p w14:paraId="6835CE6C">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7</w:t>
      </w:r>
      <w:r>
        <w:rPr>
          <w:rFonts w:hint="eastAsia" w:ascii="宋体" w:hAnsi="宋体" w:eastAsia="宋体" w:cs="宋体"/>
          <w:sz w:val="24"/>
          <w:szCs w:val="24"/>
        </w:rPr>
        <w:t>包：</w:t>
      </w:r>
      <w:r>
        <w:rPr>
          <w:rFonts w:hint="eastAsia" w:ascii="宋体" w:hAnsi="宋体" w:eastAsia="宋体" w:cs="宋体"/>
          <w:b/>
          <w:bCs/>
          <w:sz w:val="24"/>
          <w:szCs w:val="24"/>
        </w:rPr>
        <w:t>怀远局</w:t>
      </w:r>
      <w:r>
        <w:rPr>
          <w:rFonts w:hint="eastAsia" w:ascii="宋体" w:hAnsi="宋体" w:eastAsia="宋体" w:cs="宋体"/>
          <w:sz w:val="24"/>
          <w:szCs w:val="24"/>
        </w:rPr>
        <w:t>管理涡右堤（桩号0+000~53+762）长53.762km共计57.982km，堤防草皮（含上下堤道路）养护面积2128932m2，硬质护坡养护面积171138m2、护堤地林间控高面积268810m2。</w:t>
      </w:r>
    </w:p>
    <w:p w14:paraId="3041ED8E">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8</w:t>
      </w:r>
      <w:r>
        <w:rPr>
          <w:rFonts w:hint="eastAsia" w:ascii="宋体" w:hAnsi="宋体" w:eastAsia="宋体" w:cs="宋体"/>
          <w:sz w:val="24"/>
          <w:szCs w:val="24"/>
        </w:rPr>
        <w:t>包：</w:t>
      </w:r>
      <w:r>
        <w:rPr>
          <w:rFonts w:hint="eastAsia" w:ascii="宋体" w:hAnsi="宋体" w:eastAsia="宋体" w:cs="宋体"/>
          <w:b/>
          <w:bCs/>
          <w:sz w:val="24"/>
          <w:szCs w:val="24"/>
        </w:rPr>
        <w:t>潘集局</w:t>
      </w:r>
      <w:r>
        <w:rPr>
          <w:rFonts w:hint="eastAsia" w:ascii="宋体" w:hAnsi="宋体" w:eastAsia="宋体" w:cs="宋体"/>
          <w:sz w:val="24"/>
          <w:szCs w:val="24"/>
        </w:rPr>
        <w:t>管理堤防总长41.053km，其中淮北大堤潘集段（桩号50+254~84+207）长33.953km，堤防草皮（含上下堤道路）养护面积1315700m2，硬质护坡养护面积429780m</w:t>
      </w:r>
      <w:r>
        <w:rPr>
          <w:rFonts w:hint="eastAsia" w:ascii="宋体" w:hAnsi="宋体" w:eastAsia="宋体" w:cs="宋体"/>
          <w:sz w:val="24"/>
          <w:szCs w:val="24"/>
          <w:vertAlign w:val="superscript"/>
        </w:rPr>
        <w:t>2</w:t>
      </w:r>
      <w:r>
        <w:rPr>
          <w:rFonts w:hint="eastAsia" w:ascii="宋体" w:hAnsi="宋体" w:eastAsia="宋体" w:cs="宋体"/>
          <w:sz w:val="24"/>
          <w:szCs w:val="24"/>
        </w:rPr>
        <w:t>，护堤地林间控高面积1450000m2，茨淮新河右堤潘集段长7.1km，(堆土区)养护面积53520m2。</w:t>
      </w:r>
    </w:p>
    <w:p w14:paraId="390847D1">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9</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管理西淝河左堤凤台段（桩号0+000~42+752）长42.752km，堤防草皮（含上下堤道路）养护面积1413687m2，护堤地林间控高面积953328m2。茨淮新河右堤凤台段长31.374km，(堆土区)养护面积1160838m2。</w:t>
      </w:r>
    </w:p>
    <w:p w14:paraId="232F3DB9">
      <w:pPr>
        <w:spacing w:line="560" w:lineRule="exact"/>
        <w:ind w:firstLine="640"/>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10</w:t>
      </w:r>
      <w:r>
        <w:rPr>
          <w:rFonts w:hint="eastAsia" w:ascii="宋体" w:hAnsi="宋体" w:eastAsia="宋体" w:cs="宋体"/>
          <w:sz w:val="24"/>
          <w:szCs w:val="24"/>
        </w:rPr>
        <w:t>包：</w:t>
      </w:r>
      <w:r>
        <w:rPr>
          <w:rFonts w:hint="eastAsia" w:ascii="宋体" w:hAnsi="宋体" w:eastAsia="宋体" w:cs="宋体"/>
          <w:b/>
          <w:bCs/>
          <w:sz w:val="24"/>
          <w:szCs w:val="24"/>
        </w:rPr>
        <w:t>凤台局</w:t>
      </w:r>
      <w:r>
        <w:rPr>
          <w:rFonts w:hint="eastAsia" w:ascii="宋体" w:hAnsi="宋体" w:eastAsia="宋体" w:cs="宋体"/>
          <w:sz w:val="24"/>
          <w:szCs w:val="24"/>
        </w:rPr>
        <w:t>管理淮北大堤凤台段（桩号17+482~50+254）长30.872km，堤防草皮（含上下堤道路）养护面积877000m2，硬质护坡养护面积675000m2，护堤地林间控高面积647856m2；代管淮右堤凤台大山段（桩号0+080~6+080）长6km，堤防草皮（含上下堤道路）养护面积186000m2，硬质护坡养护面积146000m2，护堤地林间控高面积24320m2。</w:t>
      </w:r>
    </w:p>
    <w:p w14:paraId="1D81EA18">
      <w:pPr>
        <w:spacing w:line="560" w:lineRule="exact"/>
        <w:ind w:firstLine="640"/>
        <w:rPr>
          <w:rFonts w:ascii="宋体" w:hAnsi="宋体" w:eastAsia="宋体" w:cs="宋体"/>
          <w:sz w:val="24"/>
          <w:szCs w:val="24"/>
        </w:rPr>
      </w:pPr>
      <w:r>
        <w:rPr>
          <w:rFonts w:hint="eastAsia" w:ascii="宋体" w:hAnsi="宋体" w:eastAsia="宋体" w:cs="宋体"/>
          <w:sz w:val="24"/>
          <w:szCs w:val="24"/>
        </w:rPr>
        <w:t>第1</w:t>
      </w:r>
      <w:r>
        <w:rPr>
          <w:rFonts w:ascii="宋体" w:hAnsi="宋体" w:eastAsia="宋体" w:cs="宋体"/>
          <w:sz w:val="24"/>
          <w:szCs w:val="24"/>
        </w:rPr>
        <w:t>1</w:t>
      </w:r>
      <w:r>
        <w:rPr>
          <w:rFonts w:hint="eastAsia" w:ascii="宋体" w:hAnsi="宋体" w:eastAsia="宋体" w:cs="宋体"/>
          <w:sz w:val="24"/>
          <w:szCs w:val="24"/>
        </w:rPr>
        <w:t>包：</w:t>
      </w:r>
      <w:r>
        <w:rPr>
          <w:rFonts w:hint="eastAsia" w:ascii="宋体" w:hAnsi="宋体" w:eastAsia="宋体" w:cs="宋体"/>
          <w:b/>
          <w:bCs/>
          <w:sz w:val="24"/>
          <w:szCs w:val="24"/>
        </w:rPr>
        <w:t>①颍东局</w:t>
      </w:r>
      <w:r>
        <w:rPr>
          <w:rFonts w:hint="eastAsia" w:ascii="宋体" w:hAnsi="宋体" w:eastAsia="宋体" w:cs="宋体"/>
          <w:sz w:val="24"/>
          <w:szCs w:val="24"/>
        </w:rPr>
        <w:t>管理淮北大堤颍左堤（桩号63+362~103+589）长40.227km，堤防草皮（含上下堤道路）养护面积1700000m2，硬质护坡养护面积25000m2，护堤地林间控高面积400000m2；②阜阳闸管理淮北大堤颍左堤（桩号103+589～104+089）长0.5km，堤防草皮（含上下堤道路）养护面积35000m2，硬质护坡养护面积6000m2。</w:t>
      </w:r>
    </w:p>
    <w:p w14:paraId="1967DC9B">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p>
    <w:p w14:paraId="26E5FB94">
      <w:pPr>
        <w:spacing w:line="560" w:lineRule="exact"/>
        <w:ind w:firstLine="640"/>
        <w:rPr>
          <w:rFonts w:ascii="宋体" w:hAnsi="宋体" w:eastAsia="宋体" w:cs="宋体"/>
          <w:sz w:val="24"/>
          <w:szCs w:val="24"/>
        </w:rPr>
        <w:sectPr>
          <w:footerReference r:id="rId5" w:type="default"/>
          <w:pgSz w:w="11905" w:h="16838"/>
          <w:pgMar w:top="1474" w:right="1814" w:bottom="1474" w:left="1814" w:header="851" w:footer="992" w:gutter="0"/>
          <w:pgNumType w:fmt="decimal" w:start="1"/>
          <w:cols w:space="0" w:num="1"/>
          <w:docGrid w:linePitch="312" w:charSpace="0"/>
        </w:sectPr>
      </w:pPr>
    </w:p>
    <w:p w14:paraId="04DE40A5">
      <w:pPr>
        <w:rPr>
          <w:rFonts w:ascii="宋体" w:hAnsi="宋体" w:eastAsia="宋体" w:cs="宋体"/>
          <w:b/>
          <w:bCs/>
          <w:sz w:val="24"/>
          <w:szCs w:val="24"/>
        </w:rPr>
      </w:pPr>
      <w:r>
        <w:rPr>
          <w:rFonts w:hint="eastAsia" w:ascii="宋体" w:hAnsi="宋体" w:eastAsia="宋体" w:cs="宋体"/>
          <w:b/>
          <w:bCs/>
          <w:sz w:val="24"/>
          <w:szCs w:val="24"/>
        </w:rPr>
        <w:t>（二）养护量清单</w:t>
      </w:r>
    </w:p>
    <w:tbl>
      <w:tblPr>
        <w:tblStyle w:val="21"/>
        <w:tblW w:w="5000" w:type="pct"/>
        <w:tblInd w:w="0" w:type="dxa"/>
        <w:tblLayout w:type="autofit"/>
        <w:tblCellMar>
          <w:top w:w="0" w:type="dxa"/>
          <w:left w:w="108" w:type="dxa"/>
          <w:bottom w:w="0" w:type="dxa"/>
          <w:right w:w="108" w:type="dxa"/>
        </w:tblCellMar>
      </w:tblPr>
      <w:tblGrid>
        <w:gridCol w:w="698"/>
        <w:gridCol w:w="1116"/>
        <w:gridCol w:w="1985"/>
        <w:gridCol w:w="1071"/>
        <w:gridCol w:w="2185"/>
        <w:gridCol w:w="1861"/>
        <w:gridCol w:w="746"/>
        <w:gridCol w:w="1584"/>
        <w:gridCol w:w="772"/>
        <w:gridCol w:w="1347"/>
        <w:gridCol w:w="741"/>
      </w:tblGrid>
      <w:tr w14:paraId="2A007346">
        <w:tblPrEx>
          <w:tblCellMar>
            <w:top w:w="0" w:type="dxa"/>
            <w:left w:w="108" w:type="dxa"/>
            <w:bottom w:w="0" w:type="dxa"/>
            <w:right w:w="108" w:type="dxa"/>
          </w:tblCellMar>
        </w:tblPrEx>
        <w:trPr>
          <w:trHeight w:val="408" w:hRule="atLeast"/>
        </w:trPr>
        <w:tc>
          <w:tcPr>
            <w:tcW w:w="23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C30940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包别</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A9441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7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91979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堤防名称</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DA24F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长度（km）</w:t>
            </w:r>
          </w:p>
        </w:tc>
        <w:tc>
          <w:tcPr>
            <w:tcW w:w="7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DCAAB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所在桩号</w:t>
            </w:r>
          </w:p>
        </w:tc>
        <w:tc>
          <w:tcPr>
            <w:tcW w:w="931" w:type="pct"/>
            <w:gridSpan w:val="2"/>
            <w:tcBorders>
              <w:top w:val="single" w:color="auto" w:sz="4" w:space="0"/>
              <w:left w:val="nil"/>
              <w:bottom w:val="single" w:color="auto" w:sz="4" w:space="0"/>
              <w:right w:val="single" w:color="auto" w:sz="4" w:space="0"/>
            </w:tcBorders>
            <w:shd w:val="clear" w:color="auto" w:fill="auto"/>
            <w:noWrap/>
            <w:vAlign w:val="center"/>
          </w:tcPr>
          <w:p w14:paraId="2EF7D81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草皮养护</w:t>
            </w:r>
          </w:p>
        </w:tc>
        <w:tc>
          <w:tcPr>
            <w:tcW w:w="842" w:type="pct"/>
            <w:gridSpan w:val="2"/>
            <w:tcBorders>
              <w:top w:val="single" w:color="auto" w:sz="4" w:space="0"/>
              <w:left w:val="nil"/>
              <w:bottom w:val="single" w:color="auto" w:sz="4" w:space="0"/>
              <w:right w:val="single" w:color="auto" w:sz="4" w:space="0"/>
            </w:tcBorders>
            <w:shd w:val="clear" w:color="auto" w:fill="auto"/>
            <w:noWrap/>
            <w:vAlign w:val="center"/>
          </w:tcPr>
          <w:p w14:paraId="55A5314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硬质护坡养护</w:t>
            </w:r>
          </w:p>
        </w:tc>
        <w:tc>
          <w:tcPr>
            <w:tcW w:w="747" w:type="pct"/>
            <w:gridSpan w:val="2"/>
            <w:tcBorders>
              <w:top w:val="single" w:color="auto" w:sz="4" w:space="0"/>
              <w:left w:val="nil"/>
              <w:bottom w:val="single" w:color="auto" w:sz="4" w:space="0"/>
              <w:right w:val="single" w:color="auto" w:sz="4" w:space="0"/>
            </w:tcBorders>
            <w:shd w:val="clear" w:color="auto" w:fill="auto"/>
            <w:noWrap/>
            <w:vAlign w:val="center"/>
          </w:tcPr>
          <w:p w14:paraId="7E087C4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林间除杂</w:t>
            </w:r>
          </w:p>
        </w:tc>
      </w:tr>
      <w:tr w14:paraId="7596D7EF">
        <w:tblPrEx>
          <w:tblCellMar>
            <w:top w:w="0" w:type="dxa"/>
            <w:left w:w="108" w:type="dxa"/>
            <w:bottom w:w="0" w:type="dxa"/>
            <w:right w:w="108" w:type="dxa"/>
          </w:tblCellMar>
        </w:tblPrEx>
        <w:trPr>
          <w:trHeight w:val="413" w:hRule="atLeast"/>
        </w:trPr>
        <w:tc>
          <w:tcPr>
            <w:tcW w:w="238" w:type="pct"/>
            <w:vMerge w:val="continue"/>
            <w:tcBorders>
              <w:top w:val="single" w:color="auto" w:sz="4" w:space="0"/>
              <w:left w:val="single" w:color="auto" w:sz="4" w:space="0"/>
              <w:bottom w:val="single" w:color="000000" w:sz="4" w:space="0"/>
              <w:right w:val="single" w:color="auto" w:sz="4" w:space="0"/>
            </w:tcBorders>
            <w:vAlign w:val="center"/>
          </w:tcPr>
          <w:p w14:paraId="5597DB55">
            <w:pPr>
              <w:widowControl/>
              <w:jc w:val="left"/>
              <w:rPr>
                <w:rFonts w:ascii="宋体" w:hAnsi="宋体" w:eastAsia="宋体" w:cs="宋体"/>
                <w:b/>
                <w:bCs/>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13799284">
            <w:pPr>
              <w:widowControl/>
              <w:jc w:val="left"/>
              <w:rPr>
                <w:rFonts w:ascii="宋体" w:hAnsi="宋体" w:eastAsia="宋体" w:cs="宋体"/>
                <w:b/>
                <w:bCs/>
                <w:kern w:val="0"/>
                <w:sz w:val="24"/>
                <w:szCs w:val="24"/>
              </w:rPr>
            </w:pPr>
          </w:p>
        </w:tc>
        <w:tc>
          <w:tcPr>
            <w:tcW w:w="707" w:type="pct"/>
            <w:vMerge w:val="continue"/>
            <w:tcBorders>
              <w:top w:val="single" w:color="auto" w:sz="4" w:space="0"/>
              <w:left w:val="single" w:color="auto" w:sz="4" w:space="0"/>
              <w:bottom w:val="single" w:color="auto" w:sz="4" w:space="0"/>
              <w:right w:val="single" w:color="auto" w:sz="4" w:space="0"/>
            </w:tcBorders>
            <w:vAlign w:val="center"/>
          </w:tcPr>
          <w:p w14:paraId="6A509E70">
            <w:pPr>
              <w:widowControl/>
              <w:jc w:val="left"/>
              <w:rPr>
                <w:rFonts w:ascii="宋体" w:hAnsi="宋体" w:eastAsia="宋体" w:cs="宋体"/>
                <w:b/>
                <w:bCs/>
                <w:kern w:val="0"/>
                <w:sz w:val="24"/>
                <w:szCs w:val="24"/>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14:paraId="2FE59DB9">
            <w:pPr>
              <w:widowControl/>
              <w:jc w:val="left"/>
              <w:rPr>
                <w:rFonts w:ascii="宋体" w:hAnsi="宋体" w:eastAsia="宋体" w:cs="宋体"/>
                <w:b/>
                <w:bCs/>
                <w:kern w:val="0"/>
                <w:sz w:val="24"/>
                <w:szCs w:val="24"/>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7E647377">
            <w:pPr>
              <w:widowControl/>
              <w:jc w:val="left"/>
              <w:rPr>
                <w:rFonts w:ascii="宋体" w:hAnsi="宋体" w:eastAsia="宋体" w:cs="宋体"/>
                <w:b/>
                <w:bCs/>
                <w:kern w:val="0"/>
                <w:sz w:val="24"/>
                <w:szCs w:val="24"/>
              </w:rPr>
            </w:pPr>
          </w:p>
        </w:tc>
        <w:tc>
          <w:tcPr>
            <w:tcW w:w="663" w:type="pct"/>
            <w:tcBorders>
              <w:top w:val="nil"/>
              <w:left w:val="nil"/>
              <w:bottom w:val="single" w:color="auto" w:sz="4" w:space="0"/>
              <w:right w:val="single" w:color="auto" w:sz="4" w:space="0"/>
            </w:tcBorders>
            <w:shd w:val="clear" w:color="auto" w:fill="auto"/>
            <w:vAlign w:val="center"/>
          </w:tcPr>
          <w:p w14:paraId="3412246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（堆土区）面积（㎡）</w:t>
            </w:r>
          </w:p>
        </w:tc>
        <w:tc>
          <w:tcPr>
            <w:tcW w:w="268" w:type="pct"/>
            <w:tcBorders>
              <w:top w:val="nil"/>
              <w:left w:val="nil"/>
              <w:bottom w:val="single" w:color="auto" w:sz="4" w:space="0"/>
              <w:right w:val="single" w:color="auto" w:sz="4" w:space="0"/>
            </w:tcBorders>
            <w:shd w:val="clear" w:color="auto" w:fill="auto"/>
            <w:vAlign w:val="center"/>
          </w:tcPr>
          <w:p w14:paraId="04AFB1B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565" w:type="pct"/>
            <w:tcBorders>
              <w:top w:val="nil"/>
              <w:left w:val="nil"/>
              <w:bottom w:val="single" w:color="auto" w:sz="4" w:space="0"/>
              <w:right w:val="single" w:color="auto" w:sz="4" w:space="0"/>
            </w:tcBorders>
            <w:shd w:val="clear" w:color="auto" w:fill="auto"/>
            <w:vAlign w:val="center"/>
          </w:tcPr>
          <w:p w14:paraId="4BA4D4D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硬质坡面积（㎡）</w:t>
            </w:r>
          </w:p>
        </w:tc>
        <w:tc>
          <w:tcPr>
            <w:tcW w:w="277" w:type="pct"/>
            <w:tcBorders>
              <w:top w:val="nil"/>
              <w:left w:val="nil"/>
              <w:bottom w:val="single" w:color="auto" w:sz="4" w:space="0"/>
              <w:right w:val="single" w:color="auto" w:sz="4" w:space="0"/>
            </w:tcBorders>
            <w:shd w:val="clear" w:color="auto" w:fill="auto"/>
            <w:vAlign w:val="center"/>
          </w:tcPr>
          <w:p w14:paraId="32DBCF2F">
            <w:pPr>
              <w:widowControl/>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c>
          <w:tcPr>
            <w:tcW w:w="481" w:type="pct"/>
            <w:tcBorders>
              <w:top w:val="nil"/>
              <w:left w:val="nil"/>
              <w:bottom w:val="single" w:color="auto" w:sz="4" w:space="0"/>
              <w:right w:val="single" w:color="auto" w:sz="4" w:space="0"/>
            </w:tcBorders>
            <w:shd w:val="clear" w:color="auto" w:fill="auto"/>
            <w:vAlign w:val="center"/>
          </w:tcPr>
          <w:p w14:paraId="7B653826">
            <w:pPr>
              <w:widowControl/>
              <w:rPr>
                <w:rFonts w:ascii="宋体" w:hAnsi="宋体" w:eastAsia="宋体" w:cs="宋体"/>
                <w:b/>
                <w:bCs/>
                <w:kern w:val="0"/>
                <w:sz w:val="24"/>
                <w:szCs w:val="24"/>
              </w:rPr>
            </w:pPr>
            <w:r>
              <w:rPr>
                <w:rFonts w:hint="eastAsia" w:ascii="宋体" w:hAnsi="宋体" w:eastAsia="宋体" w:cs="宋体"/>
                <w:b/>
                <w:bCs/>
                <w:kern w:val="0"/>
                <w:sz w:val="24"/>
                <w:szCs w:val="24"/>
              </w:rPr>
              <w:t>除杂面积（㎡）</w:t>
            </w:r>
          </w:p>
        </w:tc>
        <w:tc>
          <w:tcPr>
            <w:tcW w:w="266" w:type="pct"/>
            <w:tcBorders>
              <w:top w:val="nil"/>
              <w:left w:val="nil"/>
              <w:bottom w:val="single" w:color="auto" w:sz="4" w:space="0"/>
              <w:right w:val="single" w:color="auto" w:sz="4" w:space="0"/>
            </w:tcBorders>
            <w:shd w:val="clear" w:color="auto" w:fill="auto"/>
            <w:vAlign w:val="center"/>
          </w:tcPr>
          <w:p w14:paraId="7244AD6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养护次数</w:t>
            </w:r>
          </w:p>
        </w:tc>
      </w:tr>
      <w:tr w14:paraId="3978B0C0">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right w:val="single" w:color="auto" w:sz="4" w:space="0"/>
            </w:tcBorders>
            <w:shd w:val="clear" w:color="auto" w:fill="auto"/>
            <w:noWrap/>
            <w:vAlign w:val="center"/>
          </w:tcPr>
          <w:p w14:paraId="40A1EED9">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373" w:type="pct"/>
            <w:tcBorders>
              <w:top w:val="nil"/>
              <w:left w:val="nil"/>
              <w:bottom w:val="single" w:color="auto" w:sz="4" w:space="0"/>
              <w:right w:val="single" w:color="auto" w:sz="4" w:space="0"/>
            </w:tcBorders>
            <w:shd w:val="clear" w:color="auto" w:fill="auto"/>
            <w:vAlign w:val="center"/>
          </w:tcPr>
          <w:p w14:paraId="0488E697">
            <w:pPr>
              <w:widowControl/>
              <w:jc w:val="center"/>
              <w:rPr>
                <w:rFonts w:ascii="宋体" w:hAnsi="宋体" w:eastAsia="宋体" w:cs="宋体"/>
                <w:kern w:val="0"/>
                <w:sz w:val="24"/>
                <w:szCs w:val="24"/>
              </w:rPr>
            </w:pPr>
            <w:r>
              <w:rPr>
                <w:rFonts w:hint="eastAsia" w:ascii="宋体" w:hAnsi="宋体" w:eastAsia="宋体" w:cs="宋体"/>
                <w:kern w:val="0"/>
                <w:sz w:val="24"/>
                <w:szCs w:val="24"/>
              </w:rPr>
              <w:t>五河局</w:t>
            </w:r>
          </w:p>
        </w:tc>
        <w:tc>
          <w:tcPr>
            <w:tcW w:w="707" w:type="pct"/>
            <w:tcBorders>
              <w:top w:val="nil"/>
              <w:left w:val="nil"/>
              <w:bottom w:val="single" w:color="auto" w:sz="4" w:space="0"/>
              <w:right w:val="single" w:color="auto" w:sz="4" w:space="0"/>
            </w:tcBorders>
            <w:shd w:val="clear" w:color="auto" w:fill="auto"/>
            <w:vAlign w:val="center"/>
          </w:tcPr>
          <w:p w14:paraId="7ED41689">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淮北大堤五河段</w:t>
            </w:r>
          </w:p>
        </w:tc>
        <w:tc>
          <w:tcPr>
            <w:tcW w:w="383" w:type="pct"/>
            <w:tcBorders>
              <w:top w:val="nil"/>
              <w:left w:val="nil"/>
              <w:bottom w:val="single" w:color="auto" w:sz="4" w:space="0"/>
              <w:right w:val="single" w:color="auto" w:sz="4" w:space="0"/>
            </w:tcBorders>
            <w:shd w:val="clear" w:color="auto" w:fill="auto"/>
            <w:noWrap/>
            <w:vAlign w:val="center"/>
          </w:tcPr>
          <w:p w14:paraId="221647E9">
            <w:pPr>
              <w:widowControl/>
              <w:jc w:val="center"/>
              <w:rPr>
                <w:rFonts w:ascii="宋体" w:hAnsi="宋体" w:eastAsia="宋体" w:cs="宋体"/>
                <w:kern w:val="0"/>
                <w:sz w:val="24"/>
                <w:szCs w:val="24"/>
              </w:rPr>
            </w:pPr>
            <w:r>
              <w:rPr>
                <w:rFonts w:hint="eastAsia" w:ascii="宋体" w:hAnsi="宋体" w:eastAsia="宋体" w:cs="宋体"/>
                <w:kern w:val="0"/>
                <w:sz w:val="24"/>
                <w:szCs w:val="24"/>
              </w:rPr>
              <w:t>78.317</w:t>
            </w:r>
          </w:p>
        </w:tc>
        <w:tc>
          <w:tcPr>
            <w:tcW w:w="778" w:type="pct"/>
            <w:tcBorders>
              <w:top w:val="nil"/>
              <w:left w:val="nil"/>
              <w:bottom w:val="single" w:color="auto" w:sz="4" w:space="0"/>
              <w:right w:val="single" w:color="auto" w:sz="4" w:space="0"/>
            </w:tcBorders>
            <w:shd w:val="clear" w:color="auto" w:fill="auto"/>
            <w:noWrap/>
            <w:vAlign w:val="center"/>
          </w:tcPr>
          <w:p w14:paraId="0820551F">
            <w:pPr>
              <w:widowControl/>
              <w:jc w:val="center"/>
              <w:rPr>
                <w:rFonts w:ascii="宋体" w:hAnsi="宋体" w:eastAsia="宋体" w:cs="宋体"/>
                <w:kern w:val="0"/>
                <w:sz w:val="24"/>
                <w:szCs w:val="24"/>
              </w:rPr>
            </w:pPr>
            <w:r>
              <w:rPr>
                <w:rFonts w:hint="eastAsia" w:ascii="宋体" w:hAnsi="宋体" w:eastAsia="宋体" w:cs="宋体"/>
                <w:kern w:val="0"/>
                <w:sz w:val="24"/>
                <w:szCs w:val="24"/>
              </w:rPr>
              <w:t>25+666~103+983</w:t>
            </w:r>
          </w:p>
        </w:tc>
        <w:tc>
          <w:tcPr>
            <w:tcW w:w="663" w:type="pct"/>
            <w:tcBorders>
              <w:top w:val="nil"/>
              <w:left w:val="nil"/>
              <w:bottom w:val="single" w:color="auto" w:sz="4" w:space="0"/>
              <w:right w:val="single" w:color="auto" w:sz="4" w:space="0"/>
            </w:tcBorders>
            <w:shd w:val="clear" w:color="auto" w:fill="auto"/>
            <w:noWrap/>
            <w:vAlign w:val="center"/>
          </w:tcPr>
          <w:p w14:paraId="4F5AF482">
            <w:pPr>
              <w:widowControl/>
              <w:jc w:val="center"/>
              <w:rPr>
                <w:rFonts w:ascii="宋体" w:hAnsi="宋体" w:eastAsia="宋体" w:cs="宋体"/>
                <w:kern w:val="0"/>
                <w:sz w:val="24"/>
                <w:szCs w:val="24"/>
              </w:rPr>
            </w:pPr>
            <w:r>
              <w:rPr>
                <w:rFonts w:hint="eastAsia" w:ascii="宋体" w:hAnsi="宋体" w:eastAsia="宋体" w:cs="宋体"/>
                <w:kern w:val="0"/>
                <w:sz w:val="24"/>
                <w:szCs w:val="24"/>
              </w:rPr>
              <w:t>2967144</w:t>
            </w:r>
          </w:p>
        </w:tc>
        <w:tc>
          <w:tcPr>
            <w:tcW w:w="268" w:type="pct"/>
            <w:tcBorders>
              <w:top w:val="nil"/>
              <w:left w:val="nil"/>
              <w:bottom w:val="single" w:color="auto" w:sz="4" w:space="0"/>
              <w:right w:val="single" w:color="auto" w:sz="4" w:space="0"/>
            </w:tcBorders>
            <w:shd w:val="clear" w:color="auto" w:fill="auto"/>
            <w:noWrap/>
            <w:vAlign w:val="center"/>
          </w:tcPr>
          <w:p w14:paraId="34D03CC0">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40ED402">
            <w:pPr>
              <w:widowControl/>
              <w:jc w:val="center"/>
              <w:rPr>
                <w:rFonts w:ascii="宋体" w:hAnsi="宋体" w:eastAsia="宋体" w:cs="宋体"/>
                <w:kern w:val="0"/>
                <w:sz w:val="24"/>
                <w:szCs w:val="24"/>
              </w:rPr>
            </w:pPr>
            <w:r>
              <w:rPr>
                <w:rFonts w:hint="eastAsia" w:ascii="宋体" w:hAnsi="宋体" w:eastAsia="宋体" w:cs="宋体"/>
                <w:kern w:val="0"/>
                <w:sz w:val="24"/>
                <w:szCs w:val="24"/>
              </w:rPr>
              <w:t>865957</w:t>
            </w:r>
          </w:p>
        </w:tc>
        <w:tc>
          <w:tcPr>
            <w:tcW w:w="277" w:type="pct"/>
            <w:tcBorders>
              <w:top w:val="nil"/>
              <w:left w:val="nil"/>
              <w:bottom w:val="single" w:color="auto" w:sz="4" w:space="0"/>
              <w:right w:val="single" w:color="auto" w:sz="4" w:space="0"/>
            </w:tcBorders>
            <w:shd w:val="clear" w:color="auto" w:fill="auto"/>
            <w:noWrap/>
            <w:vAlign w:val="center"/>
          </w:tcPr>
          <w:p w14:paraId="0E088E4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5F22FE5">
            <w:pPr>
              <w:widowControl/>
              <w:jc w:val="center"/>
              <w:rPr>
                <w:rFonts w:ascii="宋体" w:hAnsi="宋体" w:eastAsia="宋体" w:cs="宋体"/>
                <w:kern w:val="0"/>
                <w:sz w:val="24"/>
                <w:szCs w:val="24"/>
              </w:rPr>
            </w:pPr>
            <w:r>
              <w:rPr>
                <w:rFonts w:hint="eastAsia" w:ascii="宋体" w:hAnsi="宋体" w:eastAsia="宋体" w:cs="宋体"/>
                <w:kern w:val="0"/>
                <w:sz w:val="24"/>
                <w:szCs w:val="24"/>
              </w:rPr>
              <w:t>1345760</w:t>
            </w:r>
          </w:p>
        </w:tc>
        <w:tc>
          <w:tcPr>
            <w:tcW w:w="266" w:type="pct"/>
            <w:tcBorders>
              <w:top w:val="nil"/>
              <w:left w:val="nil"/>
              <w:bottom w:val="single" w:color="auto" w:sz="4" w:space="0"/>
              <w:right w:val="single" w:color="auto" w:sz="4" w:space="0"/>
            </w:tcBorders>
            <w:shd w:val="clear" w:color="auto" w:fill="auto"/>
            <w:noWrap/>
            <w:vAlign w:val="center"/>
          </w:tcPr>
          <w:p w14:paraId="0134F84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75C9215">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1C4938F3">
            <w:pPr>
              <w:widowControl/>
              <w:jc w:val="center"/>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344FE686">
            <w:pPr>
              <w:widowControl/>
              <w:jc w:val="center"/>
              <w:rPr>
                <w:rFonts w:ascii="宋体" w:hAnsi="宋体" w:eastAsia="宋体" w:cs="宋体"/>
                <w:kern w:val="0"/>
                <w:sz w:val="24"/>
                <w:szCs w:val="24"/>
              </w:rPr>
            </w:pPr>
            <w:r>
              <w:rPr>
                <w:rFonts w:hint="eastAsia" w:ascii="宋体" w:hAnsi="宋体" w:eastAsia="宋体" w:cs="宋体"/>
                <w:kern w:val="0"/>
                <w:sz w:val="24"/>
                <w:szCs w:val="24"/>
              </w:rPr>
              <w:t>明光局</w:t>
            </w:r>
          </w:p>
        </w:tc>
        <w:tc>
          <w:tcPr>
            <w:tcW w:w="707" w:type="pct"/>
            <w:tcBorders>
              <w:top w:val="nil"/>
              <w:left w:val="nil"/>
              <w:bottom w:val="single" w:color="auto" w:sz="4" w:space="0"/>
              <w:right w:val="single" w:color="auto" w:sz="4" w:space="0"/>
            </w:tcBorders>
            <w:shd w:val="clear" w:color="auto" w:fill="auto"/>
            <w:vAlign w:val="center"/>
          </w:tcPr>
          <w:p w14:paraId="29EAEAF4">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淮北大堤明光段</w:t>
            </w:r>
          </w:p>
        </w:tc>
        <w:tc>
          <w:tcPr>
            <w:tcW w:w="383" w:type="pct"/>
            <w:tcBorders>
              <w:top w:val="nil"/>
              <w:left w:val="nil"/>
              <w:bottom w:val="single" w:color="auto" w:sz="4" w:space="0"/>
              <w:right w:val="single" w:color="auto" w:sz="4" w:space="0"/>
            </w:tcBorders>
            <w:shd w:val="clear" w:color="auto" w:fill="auto"/>
            <w:noWrap/>
            <w:vAlign w:val="center"/>
          </w:tcPr>
          <w:p w14:paraId="04617D47">
            <w:pPr>
              <w:widowControl/>
              <w:jc w:val="center"/>
              <w:rPr>
                <w:rFonts w:ascii="宋体" w:hAnsi="宋体" w:eastAsia="宋体" w:cs="宋体"/>
                <w:kern w:val="0"/>
                <w:sz w:val="24"/>
                <w:szCs w:val="24"/>
              </w:rPr>
            </w:pPr>
            <w:r>
              <w:rPr>
                <w:rFonts w:hint="eastAsia" w:ascii="宋体" w:hAnsi="宋体" w:eastAsia="宋体" w:cs="宋体"/>
                <w:kern w:val="0"/>
                <w:sz w:val="24"/>
                <w:szCs w:val="24"/>
              </w:rPr>
              <w:t>7.246</w:t>
            </w:r>
          </w:p>
        </w:tc>
        <w:tc>
          <w:tcPr>
            <w:tcW w:w="778" w:type="pct"/>
            <w:tcBorders>
              <w:top w:val="nil"/>
              <w:left w:val="nil"/>
              <w:bottom w:val="single" w:color="auto" w:sz="4" w:space="0"/>
              <w:right w:val="single" w:color="auto" w:sz="4" w:space="0"/>
            </w:tcBorders>
            <w:shd w:val="clear" w:color="auto" w:fill="auto"/>
            <w:noWrap/>
            <w:vAlign w:val="center"/>
          </w:tcPr>
          <w:p w14:paraId="07FA8A0D">
            <w:pPr>
              <w:widowControl/>
              <w:jc w:val="center"/>
              <w:rPr>
                <w:rFonts w:ascii="宋体" w:hAnsi="宋体" w:eastAsia="宋体" w:cs="宋体"/>
                <w:kern w:val="0"/>
                <w:sz w:val="24"/>
                <w:szCs w:val="24"/>
              </w:rPr>
            </w:pPr>
            <w:r>
              <w:rPr>
                <w:rFonts w:hint="eastAsia" w:ascii="宋体" w:hAnsi="宋体" w:eastAsia="宋体" w:cs="宋体"/>
                <w:kern w:val="0"/>
                <w:sz w:val="24"/>
                <w:szCs w:val="24"/>
              </w:rPr>
              <w:t>115+409~122+655</w:t>
            </w:r>
          </w:p>
        </w:tc>
        <w:tc>
          <w:tcPr>
            <w:tcW w:w="663" w:type="pct"/>
            <w:tcBorders>
              <w:top w:val="nil"/>
              <w:left w:val="nil"/>
              <w:bottom w:val="single" w:color="auto" w:sz="4" w:space="0"/>
              <w:right w:val="single" w:color="auto" w:sz="4" w:space="0"/>
            </w:tcBorders>
            <w:shd w:val="clear" w:color="auto" w:fill="auto"/>
            <w:noWrap/>
            <w:vAlign w:val="center"/>
          </w:tcPr>
          <w:p w14:paraId="0F90FBDA">
            <w:pPr>
              <w:widowControl/>
              <w:jc w:val="center"/>
              <w:rPr>
                <w:rFonts w:ascii="宋体" w:hAnsi="宋体" w:eastAsia="宋体" w:cs="宋体"/>
                <w:kern w:val="0"/>
                <w:sz w:val="24"/>
                <w:szCs w:val="24"/>
              </w:rPr>
            </w:pPr>
            <w:r>
              <w:rPr>
                <w:rFonts w:hint="eastAsia" w:ascii="宋体" w:hAnsi="宋体" w:eastAsia="宋体" w:cs="宋体"/>
                <w:kern w:val="0"/>
                <w:sz w:val="24"/>
                <w:szCs w:val="24"/>
              </w:rPr>
              <w:t>165443</w:t>
            </w:r>
          </w:p>
        </w:tc>
        <w:tc>
          <w:tcPr>
            <w:tcW w:w="268" w:type="pct"/>
            <w:tcBorders>
              <w:top w:val="nil"/>
              <w:left w:val="nil"/>
              <w:bottom w:val="single" w:color="auto" w:sz="4" w:space="0"/>
              <w:right w:val="single" w:color="auto" w:sz="4" w:space="0"/>
            </w:tcBorders>
            <w:shd w:val="clear" w:color="auto" w:fill="auto"/>
            <w:noWrap/>
            <w:vAlign w:val="center"/>
          </w:tcPr>
          <w:p w14:paraId="76A598F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613AAD3A">
            <w:pPr>
              <w:widowControl/>
              <w:jc w:val="center"/>
              <w:rPr>
                <w:rFonts w:ascii="宋体" w:hAnsi="宋体" w:eastAsia="宋体" w:cs="宋体"/>
                <w:kern w:val="0"/>
                <w:sz w:val="24"/>
                <w:szCs w:val="24"/>
              </w:rPr>
            </w:pPr>
            <w:r>
              <w:rPr>
                <w:rFonts w:hint="eastAsia" w:ascii="宋体" w:hAnsi="宋体" w:eastAsia="宋体" w:cs="宋体"/>
                <w:kern w:val="0"/>
                <w:sz w:val="24"/>
                <w:szCs w:val="24"/>
              </w:rPr>
              <w:t>11830</w:t>
            </w:r>
          </w:p>
        </w:tc>
        <w:tc>
          <w:tcPr>
            <w:tcW w:w="277" w:type="pct"/>
            <w:tcBorders>
              <w:top w:val="nil"/>
              <w:left w:val="nil"/>
              <w:bottom w:val="single" w:color="auto" w:sz="4" w:space="0"/>
              <w:right w:val="single" w:color="auto" w:sz="4" w:space="0"/>
            </w:tcBorders>
            <w:shd w:val="clear" w:color="auto" w:fill="auto"/>
            <w:noWrap/>
            <w:vAlign w:val="center"/>
          </w:tcPr>
          <w:p w14:paraId="4AD5E1F0">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C752A4B">
            <w:pPr>
              <w:widowControl/>
              <w:jc w:val="center"/>
              <w:rPr>
                <w:rFonts w:ascii="宋体" w:hAnsi="宋体" w:eastAsia="宋体" w:cs="宋体"/>
                <w:kern w:val="0"/>
                <w:sz w:val="24"/>
                <w:szCs w:val="24"/>
              </w:rPr>
            </w:pPr>
            <w:r>
              <w:rPr>
                <w:rFonts w:hint="eastAsia" w:ascii="宋体" w:hAnsi="宋体" w:eastAsia="宋体" w:cs="宋体"/>
                <w:kern w:val="0"/>
                <w:sz w:val="24"/>
                <w:szCs w:val="24"/>
              </w:rPr>
              <w:t>293340</w:t>
            </w:r>
          </w:p>
        </w:tc>
        <w:tc>
          <w:tcPr>
            <w:tcW w:w="266" w:type="pct"/>
            <w:tcBorders>
              <w:top w:val="nil"/>
              <w:left w:val="nil"/>
              <w:bottom w:val="single" w:color="auto" w:sz="4" w:space="0"/>
              <w:right w:val="single" w:color="auto" w:sz="4" w:space="0"/>
            </w:tcBorders>
            <w:shd w:val="clear" w:color="auto" w:fill="auto"/>
            <w:noWrap/>
            <w:vAlign w:val="center"/>
          </w:tcPr>
          <w:p w14:paraId="7A552BC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01375F4">
        <w:tblPrEx>
          <w:tblCellMar>
            <w:top w:w="0" w:type="dxa"/>
            <w:left w:w="108" w:type="dxa"/>
            <w:bottom w:w="0" w:type="dxa"/>
            <w:right w:w="108" w:type="dxa"/>
          </w:tblCellMar>
        </w:tblPrEx>
        <w:trPr>
          <w:trHeight w:val="752" w:hRule="exact"/>
        </w:trPr>
        <w:tc>
          <w:tcPr>
            <w:tcW w:w="238" w:type="pct"/>
            <w:vMerge w:val="restart"/>
            <w:tcBorders>
              <w:top w:val="nil"/>
              <w:left w:val="single" w:color="auto" w:sz="4" w:space="0"/>
              <w:right w:val="single" w:color="auto" w:sz="4" w:space="0"/>
            </w:tcBorders>
            <w:vAlign w:val="center"/>
          </w:tcPr>
          <w:p w14:paraId="059C4731">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3</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495FCB7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颍上局</w:t>
            </w:r>
          </w:p>
        </w:tc>
        <w:tc>
          <w:tcPr>
            <w:tcW w:w="707" w:type="pct"/>
            <w:tcBorders>
              <w:top w:val="nil"/>
              <w:left w:val="nil"/>
              <w:bottom w:val="single" w:color="auto" w:sz="4" w:space="0"/>
              <w:right w:val="single" w:color="auto" w:sz="4" w:space="0"/>
            </w:tcBorders>
            <w:shd w:val="clear" w:color="auto" w:fill="auto"/>
            <w:vAlign w:val="center"/>
          </w:tcPr>
          <w:p w14:paraId="45D2F26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颍河左堤颍上段</w:t>
            </w:r>
          </w:p>
        </w:tc>
        <w:tc>
          <w:tcPr>
            <w:tcW w:w="383" w:type="pct"/>
            <w:tcBorders>
              <w:top w:val="nil"/>
              <w:left w:val="nil"/>
              <w:bottom w:val="single" w:color="auto" w:sz="4" w:space="0"/>
              <w:right w:val="single" w:color="auto" w:sz="4" w:space="0"/>
            </w:tcBorders>
            <w:shd w:val="clear" w:color="auto" w:fill="auto"/>
            <w:vAlign w:val="center"/>
          </w:tcPr>
          <w:p w14:paraId="2C8570B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61.089</w:t>
            </w:r>
          </w:p>
        </w:tc>
        <w:tc>
          <w:tcPr>
            <w:tcW w:w="778" w:type="pct"/>
            <w:tcBorders>
              <w:top w:val="nil"/>
              <w:left w:val="nil"/>
              <w:bottom w:val="single" w:color="auto" w:sz="4" w:space="0"/>
              <w:right w:val="single" w:color="auto" w:sz="4" w:space="0"/>
            </w:tcBorders>
            <w:shd w:val="clear" w:color="auto" w:fill="auto"/>
            <w:vAlign w:val="center"/>
          </w:tcPr>
          <w:p w14:paraId="4305C46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0+000~37+183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39+456~63+362</w:t>
            </w:r>
          </w:p>
        </w:tc>
        <w:tc>
          <w:tcPr>
            <w:tcW w:w="663" w:type="pct"/>
            <w:tcBorders>
              <w:top w:val="nil"/>
              <w:left w:val="nil"/>
              <w:bottom w:val="single" w:color="auto" w:sz="4" w:space="0"/>
              <w:right w:val="single" w:color="auto" w:sz="4" w:space="0"/>
            </w:tcBorders>
            <w:shd w:val="clear" w:color="auto" w:fill="auto"/>
            <w:vAlign w:val="center"/>
          </w:tcPr>
          <w:p w14:paraId="527390B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2054376</w:t>
            </w:r>
          </w:p>
        </w:tc>
        <w:tc>
          <w:tcPr>
            <w:tcW w:w="268" w:type="pct"/>
            <w:tcBorders>
              <w:top w:val="nil"/>
              <w:left w:val="nil"/>
              <w:bottom w:val="single" w:color="auto" w:sz="4" w:space="0"/>
              <w:right w:val="single" w:color="auto" w:sz="4" w:space="0"/>
            </w:tcBorders>
            <w:shd w:val="clear" w:color="auto" w:fill="auto"/>
            <w:noWrap/>
            <w:vAlign w:val="center"/>
          </w:tcPr>
          <w:p w14:paraId="4EEC1A5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465E87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186729</w:t>
            </w:r>
          </w:p>
        </w:tc>
        <w:tc>
          <w:tcPr>
            <w:tcW w:w="277" w:type="pct"/>
            <w:tcBorders>
              <w:top w:val="nil"/>
              <w:left w:val="nil"/>
              <w:bottom w:val="single" w:color="auto" w:sz="4" w:space="0"/>
              <w:right w:val="single" w:color="auto" w:sz="4" w:space="0"/>
            </w:tcBorders>
            <w:shd w:val="clear" w:color="auto" w:fill="auto"/>
            <w:noWrap/>
            <w:vAlign w:val="center"/>
          </w:tcPr>
          <w:p w14:paraId="07C7892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6CEFF52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415015</w:t>
            </w:r>
          </w:p>
        </w:tc>
        <w:tc>
          <w:tcPr>
            <w:tcW w:w="266" w:type="pct"/>
            <w:tcBorders>
              <w:top w:val="nil"/>
              <w:left w:val="nil"/>
              <w:bottom w:val="single" w:color="auto" w:sz="4" w:space="0"/>
              <w:right w:val="single" w:color="auto" w:sz="4" w:space="0"/>
            </w:tcBorders>
            <w:shd w:val="clear" w:color="auto" w:fill="auto"/>
            <w:noWrap/>
            <w:vAlign w:val="center"/>
          </w:tcPr>
          <w:p w14:paraId="6987994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11B9E61B">
        <w:tblPrEx>
          <w:tblCellMar>
            <w:top w:w="0" w:type="dxa"/>
            <w:left w:w="108" w:type="dxa"/>
            <w:bottom w:w="0" w:type="dxa"/>
            <w:right w:w="108" w:type="dxa"/>
          </w:tblCellMar>
        </w:tblPrEx>
        <w:trPr>
          <w:trHeight w:val="454" w:hRule="exact"/>
        </w:trPr>
        <w:tc>
          <w:tcPr>
            <w:tcW w:w="238" w:type="pct"/>
            <w:vMerge w:val="continue"/>
            <w:tcBorders>
              <w:left w:val="single" w:color="auto" w:sz="4" w:space="0"/>
              <w:right w:val="single" w:color="auto" w:sz="4" w:space="0"/>
            </w:tcBorders>
            <w:vAlign w:val="center"/>
          </w:tcPr>
          <w:p w14:paraId="21F516A6">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4F21AF9E">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6E97771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淮北大堤颍上段</w:t>
            </w:r>
          </w:p>
        </w:tc>
        <w:tc>
          <w:tcPr>
            <w:tcW w:w="383" w:type="pct"/>
            <w:tcBorders>
              <w:top w:val="nil"/>
              <w:left w:val="nil"/>
              <w:bottom w:val="single" w:color="auto" w:sz="4" w:space="0"/>
              <w:right w:val="single" w:color="auto" w:sz="4" w:space="0"/>
            </w:tcBorders>
            <w:shd w:val="clear" w:color="auto" w:fill="auto"/>
            <w:noWrap/>
            <w:vAlign w:val="center"/>
          </w:tcPr>
          <w:p w14:paraId="2DD4901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17.482</w:t>
            </w:r>
          </w:p>
        </w:tc>
        <w:tc>
          <w:tcPr>
            <w:tcW w:w="778" w:type="pct"/>
            <w:tcBorders>
              <w:top w:val="nil"/>
              <w:left w:val="nil"/>
              <w:bottom w:val="single" w:color="auto" w:sz="4" w:space="0"/>
              <w:right w:val="single" w:color="auto" w:sz="4" w:space="0"/>
            </w:tcBorders>
            <w:shd w:val="clear" w:color="auto" w:fill="auto"/>
            <w:vAlign w:val="center"/>
          </w:tcPr>
          <w:p w14:paraId="32BB8E9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0+000~17+482</w:t>
            </w:r>
          </w:p>
        </w:tc>
        <w:tc>
          <w:tcPr>
            <w:tcW w:w="663" w:type="pct"/>
            <w:tcBorders>
              <w:top w:val="nil"/>
              <w:left w:val="nil"/>
              <w:bottom w:val="single" w:color="auto" w:sz="4" w:space="0"/>
              <w:right w:val="single" w:color="auto" w:sz="4" w:space="0"/>
            </w:tcBorders>
            <w:shd w:val="clear" w:color="auto" w:fill="auto"/>
            <w:vAlign w:val="center"/>
          </w:tcPr>
          <w:p w14:paraId="53A4F0F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1001335</w:t>
            </w:r>
          </w:p>
        </w:tc>
        <w:tc>
          <w:tcPr>
            <w:tcW w:w="268" w:type="pct"/>
            <w:tcBorders>
              <w:top w:val="nil"/>
              <w:left w:val="nil"/>
              <w:bottom w:val="single" w:color="auto" w:sz="4" w:space="0"/>
              <w:right w:val="single" w:color="auto" w:sz="4" w:space="0"/>
            </w:tcBorders>
            <w:shd w:val="clear" w:color="auto" w:fill="auto"/>
            <w:noWrap/>
            <w:vAlign w:val="center"/>
          </w:tcPr>
          <w:p w14:paraId="4972191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BB1E52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209550</w:t>
            </w:r>
          </w:p>
        </w:tc>
        <w:tc>
          <w:tcPr>
            <w:tcW w:w="277" w:type="pct"/>
            <w:tcBorders>
              <w:top w:val="nil"/>
              <w:left w:val="nil"/>
              <w:bottom w:val="single" w:color="auto" w:sz="4" w:space="0"/>
              <w:right w:val="single" w:color="auto" w:sz="4" w:space="0"/>
            </w:tcBorders>
            <w:shd w:val="clear" w:color="auto" w:fill="auto"/>
            <w:noWrap/>
            <w:vAlign w:val="center"/>
          </w:tcPr>
          <w:p w14:paraId="53AB47E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55B6A25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524460</w:t>
            </w:r>
          </w:p>
        </w:tc>
        <w:tc>
          <w:tcPr>
            <w:tcW w:w="266" w:type="pct"/>
            <w:tcBorders>
              <w:top w:val="nil"/>
              <w:left w:val="nil"/>
              <w:bottom w:val="single" w:color="auto" w:sz="4" w:space="0"/>
              <w:right w:val="single" w:color="auto" w:sz="4" w:space="0"/>
            </w:tcBorders>
            <w:shd w:val="clear" w:color="auto" w:fill="auto"/>
            <w:noWrap/>
            <w:vAlign w:val="center"/>
          </w:tcPr>
          <w:p w14:paraId="1E1C0CB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65593E7B">
        <w:tblPrEx>
          <w:tblCellMar>
            <w:top w:w="0" w:type="dxa"/>
            <w:left w:w="108" w:type="dxa"/>
            <w:bottom w:w="0" w:type="dxa"/>
            <w:right w:w="108" w:type="dxa"/>
          </w:tblCellMar>
        </w:tblPrEx>
        <w:trPr>
          <w:trHeight w:val="709" w:hRule="exact"/>
        </w:trPr>
        <w:tc>
          <w:tcPr>
            <w:tcW w:w="238" w:type="pct"/>
            <w:vMerge w:val="continue"/>
            <w:tcBorders>
              <w:left w:val="single" w:color="auto" w:sz="4" w:space="0"/>
              <w:right w:val="single" w:color="auto" w:sz="4" w:space="0"/>
            </w:tcBorders>
            <w:vAlign w:val="center"/>
          </w:tcPr>
          <w:p w14:paraId="4CA6E074">
            <w:pPr>
              <w:widowControl/>
              <w:jc w:val="left"/>
              <w:rPr>
                <w:rFonts w:ascii="宋体" w:hAnsi="宋体" w:eastAsia="宋体" w:cs="宋体"/>
                <w:color w:val="auto"/>
                <w:kern w:val="0"/>
                <w:sz w:val="24"/>
                <w:szCs w:val="24"/>
              </w:rPr>
            </w:pPr>
          </w:p>
        </w:tc>
        <w:tc>
          <w:tcPr>
            <w:tcW w:w="373" w:type="pct"/>
            <w:vMerge w:val="restart"/>
            <w:tcBorders>
              <w:top w:val="nil"/>
              <w:left w:val="single" w:color="auto" w:sz="4" w:space="0"/>
              <w:right w:val="single" w:color="auto" w:sz="4" w:space="0"/>
            </w:tcBorders>
            <w:vAlign w:val="center"/>
          </w:tcPr>
          <w:p w14:paraId="66A6CB1A">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颍上闸</w:t>
            </w:r>
          </w:p>
        </w:tc>
        <w:tc>
          <w:tcPr>
            <w:tcW w:w="707" w:type="pct"/>
            <w:tcBorders>
              <w:top w:val="nil"/>
              <w:left w:val="nil"/>
              <w:bottom w:val="single" w:color="auto" w:sz="4" w:space="0"/>
              <w:right w:val="single" w:color="auto" w:sz="4" w:space="0"/>
            </w:tcBorders>
            <w:shd w:val="clear" w:color="auto" w:fill="auto"/>
            <w:vAlign w:val="center"/>
          </w:tcPr>
          <w:p w14:paraId="7F6AB4E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颍河左堤颍上闸段</w:t>
            </w:r>
          </w:p>
        </w:tc>
        <w:tc>
          <w:tcPr>
            <w:tcW w:w="383" w:type="pct"/>
            <w:tcBorders>
              <w:top w:val="nil"/>
              <w:left w:val="nil"/>
              <w:bottom w:val="single" w:color="auto" w:sz="4" w:space="0"/>
              <w:right w:val="single" w:color="auto" w:sz="4" w:space="0"/>
            </w:tcBorders>
            <w:shd w:val="clear" w:color="auto" w:fill="auto"/>
            <w:noWrap/>
            <w:vAlign w:val="center"/>
          </w:tcPr>
          <w:p w14:paraId="1CF26CD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2.273</w:t>
            </w:r>
          </w:p>
        </w:tc>
        <w:tc>
          <w:tcPr>
            <w:tcW w:w="778" w:type="pct"/>
            <w:tcBorders>
              <w:top w:val="nil"/>
              <w:left w:val="nil"/>
              <w:bottom w:val="single" w:color="auto" w:sz="4" w:space="0"/>
              <w:right w:val="single" w:color="auto" w:sz="4" w:space="0"/>
            </w:tcBorders>
            <w:shd w:val="clear" w:color="auto" w:fill="auto"/>
            <w:vAlign w:val="center"/>
          </w:tcPr>
          <w:p w14:paraId="3D67FF0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37+183~39+456</w:t>
            </w:r>
          </w:p>
        </w:tc>
        <w:tc>
          <w:tcPr>
            <w:tcW w:w="663" w:type="pct"/>
            <w:vMerge w:val="restart"/>
            <w:tcBorders>
              <w:top w:val="nil"/>
              <w:left w:val="nil"/>
              <w:right w:val="single" w:color="auto" w:sz="4" w:space="0"/>
            </w:tcBorders>
            <w:shd w:val="clear" w:color="auto" w:fill="auto"/>
            <w:vAlign w:val="center"/>
          </w:tcPr>
          <w:p w14:paraId="32C1F0C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55000</w:t>
            </w:r>
          </w:p>
        </w:tc>
        <w:tc>
          <w:tcPr>
            <w:tcW w:w="268" w:type="pct"/>
            <w:vMerge w:val="restart"/>
            <w:tcBorders>
              <w:top w:val="nil"/>
              <w:left w:val="nil"/>
              <w:right w:val="single" w:color="auto" w:sz="4" w:space="0"/>
            </w:tcBorders>
            <w:shd w:val="clear" w:color="auto" w:fill="auto"/>
            <w:noWrap/>
            <w:vAlign w:val="center"/>
          </w:tcPr>
          <w:p w14:paraId="3AD7B39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vMerge w:val="restart"/>
            <w:tcBorders>
              <w:top w:val="nil"/>
              <w:left w:val="nil"/>
              <w:right w:val="single" w:color="auto" w:sz="4" w:space="0"/>
            </w:tcBorders>
            <w:shd w:val="clear" w:color="auto" w:fill="auto"/>
            <w:noWrap/>
            <w:vAlign w:val="center"/>
          </w:tcPr>
          <w:p w14:paraId="0825B8D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20000</w:t>
            </w:r>
          </w:p>
        </w:tc>
        <w:tc>
          <w:tcPr>
            <w:tcW w:w="277" w:type="pct"/>
            <w:vMerge w:val="restart"/>
            <w:tcBorders>
              <w:top w:val="nil"/>
              <w:left w:val="nil"/>
              <w:right w:val="single" w:color="auto" w:sz="4" w:space="0"/>
            </w:tcBorders>
            <w:shd w:val="clear" w:color="auto" w:fill="auto"/>
            <w:noWrap/>
            <w:vAlign w:val="center"/>
          </w:tcPr>
          <w:p w14:paraId="1E9B64C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vMerge w:val="restart"/>
            <w:tcBorders>
              <w:top w:val="nil"/>
              <w:left w:val="nil"/>
              <w:right w:val="single" w:color="auto" w:sz="4" w:space="0"/>
            </w:tcBorders>
            <w:shd w:val="clear" w:color="auto" w:fill="auto"/>
            <w:noWrap/>
            <w:vAlign w:val="center"/>
          </w:tcPr>
          <w:p w14:paraId="10CCB1B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100000</w:t>
            </w:r>
          </w:p>
        </w:tc>
        <w:tc>
          <w:tcPr>
            <w:tcW w:w="266" w:type="pct"/>
            <w:vMerge w:val="restart"/>
            <w:tcBorders>
              <w:top w:val="nil"/>
              <w:left w:val="nil"/>
              <w:right w:val="single" w:color="auto" w:sz="4" w:space="0"/>
            </w:tcBorders>
            <w:shd w:val="clear" w:color="auto" w:fill="auto"/>
            <w:noWrap/>
            <w:vAlign w:val="center"/>
          </w:tcPr>
          <w:p w14:paraId="12692DF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7A3D7434">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vAlign w:val="center"/>
          </w:tcPr>
          <w:p w14:paraId="2E393040">
            <w:pPr>
              <w:widowControl/>
              <w:jc w:val="left"/>
              <w:rPr>
                <w:rFonts w:ascii="宋体" w:hAnsi="宋体" w:eastAsia="宋体" w:cs="宋体"/>
                <w:kern w:val="0"/>
                <w:sz w:val="24"/>
                <w:szCs w:val="24"/>
              </w:rPr>
            </w:pPr>
          </w:p>
        </w:tc>
        <w:tc>
          <w:tcPr>
            <w:tcW w:w="373" w:type="pct"/>
            <w:vMerge w:val="continue"/>
            <w:tcBorders>
              <w:left w:val="single" w:color="auto" w:sz="4" w:space="0"/>
              <w:bottom w:val="single" w:color="auto" w:sz="4" w:space="0"/>
              <w:right w:val="single" w:color="auto" w:sz="4" w:space="0"/>
            </w:tcBorders>
            <w:shd w:val="clear" w:color="auto" w:fill="auto"/>
            <w:vAlign w:val="center"/>
          </w:tcPr>
          <w:p w14:paraId="2DC37B91">
            <w:pPr>
              <w:widowControl/>
              <w:jc w:val="center"/>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07C7847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颍上闸右导流堤</w:t>
            </w:r>
          </w:p>
        </w:tc>
        <w:tc>
          <w:tcPr>
            <w:tcW w:w="383" w:type="pct"/>
            <w:tcBorders>
              <w:top w:val="nil"/>
              <w:left w:val="nil"/>
              <w:bottom w:val="single" w:color="auto" w:sz="4" w:space="0"/>
              <w:right w:val="single" w:color="auto" w:sz="4" w:space="0"/>
            </w:tcBorders>
            <w:shd w:val="clear" w:color="auto" w:fill="auto"/>
            <w:noWrap/>
            <w:vAlign w:val="center"/>
          </w:tcPr>
          <w:p w14:paraId="68D6D5A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2.571</w:t>
            </w:r>
          </w:p>
        </w:tc>
        <w:tc>
          <w:tcPr>
            <w:tcW w:w="778" w:type="pct"/>
            <w:tcBorders>
              <w:top w:val="nil"/>
              <w:left w:val="nil"/>
              <w:bottom w:val="single" w:color="auto" w:sz="4" w:space="0"/>
              <w:right w:val="single" w:color="auto" w:sz="4" w:space="0"/>
            </w:tcBorders>
            <w:shd w:val="clear" w:color="auto" w:fill="auto"/>
            <w:noWrap/>
            <w:vAlign w:val="center"/>
          </w:tcPr>
          <w:p w14:paraId="34AB064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0+000~2+571</w:t>
            </w:r>
          </w:p>
        </w:tc>
        <w:tc>
          <w:tcPr>
            <w:tcW w:w="663" w:type="pct"/>
            <w:vMerge w:val="continue"/>
            <w:tcBorders>
              <w:left w:val="nil"/>
              <w:bottom w:val="single" w:color="auto" w:sz="4" w:space="0"/>
              <w:right w:val="single" w:color="auto" w:sz="4" w:space="0"/>
            </w:tcBorders>
            <w:shd w:val="clear" w:color="auto" w:fill="auto"/>
            <w:noWrap/>
            <w:vAlign w:val="center"/>
          </w:tcPr>
          <w:p w14:paraId="7CE1BE71">
            <w:pPr>
              <w:widowControl/>
              <w:jc w:val="center"/>
              <w:rPr>
                <w:rFonts w:ascii="宋体" w:hAnsi="宋体" w:eastAsia="宋体" w:cs="宋体"/>
                <w:kern w:val="0"/>
                <w:sz w:val="24"/>
                <w:szCs w:val="24"/>
              </w:rPr>
            </w:pPr>
          </w:p>
        </w:tc>
        <w:tc>
          <w:tcPr>
            <w:tcW w:w="268" w:type="pct"/>
            <w:vMerge w:val="continue"/>
            <w:tcBorders>
              <w:left w:val="nil"/>
              <w:bottom w:val="single" w:color="auto" w:sz="4" w:space="0"/>
              <w:right w:val="single" w:color="auto" w:sz="4" w:space="0"/>
            </w:tcBorders>
            <w:shd w:val="clear" w:color="auto" w:fill="auto"/>
            <w:noWrap/>
            <w:vAlign w:val="center"/>
          </w:tcPr>
          <w:p w14:paraId="12D20EA6">
            <w:pPr>
              <w:widowControl/>
              <w:jc w:val="center"/>
              <w:rPr>
                <w:rFonts w:ascii="宋体" w:hAnsi="宋体" w:eastAsia="宋体" w:cs="宋体"/>
                <w:kern w:val="0"/>
                <w:sz w:val="24"/>
                <w:szCs w:val="24"/>
              </w:rPr>
            </w:pPr>
          </w:p>
        </w:tc>
        <w:tc>
          <w:tcPr>
            <w:tcW w:w="565" w:type="pct"/>
            <w:vMerge w:val="continue"/>
            <w:tcBorders>
              <w:left w:val="nil"/>
              <w:bottom w:val="single" w:color="auto" w:sz="4" w:space="0"/>
              <w:right w:val="single" w:color="auto" w:sz="4" w:space="0"/>
            </w:tcBorders>
            <w:shd w:val="clear" w:color="auto" w:fill="auto"/>
            <w:noWrap/>
            <w:vAlign w:val="center"/>
          </w:tcPr>
          <w:p w14:paraId="4EFADEF4">
            <w:pPr>
              <w:widowControl/>
              <w:jc w:val="center"/>
              <w:rPr>
                <w:rFonts w:ascii="宋体" w:hAnsi="宋体" w:eastAsia="宋体" w:cs="宋体"/>
                <w:kern w:val="0"/>
                <w:sz w:val="24"/>
                <w:szCs w:val="24"/>
              </w:rPr>
            </w:pPr>
          </w:p>
        </w:tc>
        <w:tc>
          <w:tcPr>
            <w:tcW w:w="277" w:type="pct"/>
            <w:vMerge w:val="continue"/>
            <w:tcBorders>
              <w:left w:val="nil"/>
              <w:bottom w:val="single" w:color="auto" w:sz="4" w:space="0"/>
              <w:right w:val="single" w:color="auto" w:sz="4" w:space="0"/>
            </w:tcBorders>
            <w:shd w:val="clear" w:color="auto" w:fill="auto"/>
            <w:noWrap/>
            <w:vAlign w:val="center"/>
          </w:tcPr>
          <w:p w14:paraId="6BA6412B">
            <w:pPr>
              <w:widowControl/>
              <w:jc w:val="center"/>
              <w:rPr>
                <w:rFonts w:ascii="宋体" w:hAnsi="宋体" w:eastAsia="宋体" w:cs="宋体"/>
                <w:kern w:val="0"/>
                <w:sz w:val="24"/>
                <w:szCs w:val="24"/>
              </w:rPr>
            </w:pPr>
          </w:p>
        </w:tc>
        <w:tc>
          <w:tcPr>
            <w:tcW w:w="481" w:type="pct"/>
            <w:vMerge w:val="continue"/>
            <w:tcBorders>
              <w:left w:val="nil"/>
              <w:bottom w:val="single" w:color="auto" w:sz="4" w:space="0"/>
              <w:right w:val="single" w:color="auto" w:sz="4" w:space="0"/>
            </w:tcBorders>
            <w:shd w:val="clear" w:color="auto" w:fill="auto"/>
            <w:noWrap/>
            <w:vAlign w:val="center"/>
          </w:tcPr>
          <w:p w14:paraId="21677AC8">
            <w:pPr>
              <w:widowControl/>
              <w:jc w:val="center"/>
              <w:rPr>
                <w:rFonts w:ascii="宋体" w:hAnsi="宋体" w:eastAsia="宋体" w:cs="宋体"/>
                <w:kern w:val="0"/>
                <w:sz w:val="24"/>
                <w:szCs w:val="24"/>
              </w:rPr>
            </w:pPr>
          </w:p>
        </w:tc>
        <w:tc>
          <w:tcPr>
            <w:tcW w:w="266" w:type="pct"/>
            <w:vMerge w:val="continue"/>
            <w:tcBorders>
              <w:left w:val="nil"/>
              <w:bottom w:val="single" w:color="auto" w:sz="4" w:space="0"/>
              <w:right w:val="single" w:color="auto" w:sz="4" w:space="0"/>
            </w:tcBorders>
            <w:shd w:val="clear" w:color="auto" w:fill="auto"/>
            <w:noWrap/>
            <w:vAlign w:val="center"/>
          </w:tcPr>
          <w:p w14:paraId="130C3D1D">
            <w:pPr>
              <w:widowControl/>
              <w:jc w:val="center"/>
              <w:rPr>
                <w:rFonts w:ascii="宋体" w:hAnsi="宋体" w:eastAsia="宋体" w:cs="宋体"/>
                <w:kern w:val="0"/>
                <w:sz w:val="24"/>
                <w:szCs w:val="24"/>
              </w:rPr>
            </w:pPr>
          </w:p>
        </w:tc>
      </w:tr>
      <w:tr w14:paraId="7EFF5F3E">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00703C89">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4</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331534F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怀远局1</w:t>
            </w:r>
          </w:p>
        </w:tc>
        <w:tc>
          <w:tcPr>
            <w:tcW w:w="707" w:type="pct"/>
            <w:tcBorders>
              <w:top w:val="nil"/>
              <w:left w:val="nil"/>
              <w:bottom w:val="single" w:color="auto" w:sz="4" w:space="0"/>
              <w:right w:val="single" w:color="auto" w:sz="4" w:space="0"/>
            </w:tcBorders>
            <w:shd w:val="clear" w:color="auto" w:fill="auto"/>
            <w:vAlign w:val="center"/>
          </w:tcPr>
          <w:p w14:paraId="4B5AEFD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淮北大堤饶荆段</w:t>
            </w:r>
          </w:p>
        </w:tc>
        <w:tc>
          <w:tcPr>
            <w:tcW w:w="383" w:type="pct"/>
            <w:tcBorders>
              <w:top w:val="nil"/>
              <w:left w:val="nil"/>
              <w:bottom w:val="single" w:color="auto" w:sz="4" w:space="0"/>
              <w:right w:val="single" w:color="auto" w:sz="4" w:space="0"/>
            </w:tcBorders>
            <w:shd w:val="clear" w:color="auto" w:fill="auto"/>
            <w:vAlign w:val="center"/>
          </w:tcPr>
          <w:p w14:paraId="6C27507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30.193</w:t>
            </w:r>
          </w:p>
        </w:tc>
        <w:tc>
          <w:tcPr>
            <w:tcW w:w="778" w:type="pct"/>
            <w:tcBorders>
              <w:top w:val="nil"/>
              <w:left w:val="nil"/>
              <w:bottom w:val="single" w:color="auto" w:sz="4" w:space="0"/>
              <w:right w:val="single" w:color="auto" w:sz="4" w:space="0"/>
            </w:tcBorders>
            <w:shd w:val="clear" w:color="auto" w:fill="auto"/>
            <w:vAlign w:val="center"/>
          </w:tcPr>
          <w:p w14:paraId="057718A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84+207~114+400</w:t>
            </w:r>
          </w:p>
        </w:tc>
        <w:tc>
          <w:tcPr>
            <w:tcW w:w="663" w:type="pct"/>
            <w:tcBorders>
              <w:top w:val="nil"/>
              <w:left w:val="nil"/>
              <w:bottom w:val="single" w:color="auto" w:sz="4" w:space="0"/>
              <w:right w:val="single" w:color="auto" w:sz="4" w:space="0"/>
            </w:tcBorders>
            <w:shd w:val="clear" w:color="auto" w:fill="auto"/>
            <w:noWrap/>
            <w:vAlign w:val="center"/>
          </w:tcPr>
          <w:p w14:paraId="7CB98C5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1146725</w:t>
            </w:r>
          </w:p>
        </w:tc>
        <w:tc>
          <w:tcPr>
            <w:tcW w:w="268" w:type="pct"/>
            <w:tcBorders>
              <w:top w:val="nil"/>
              <w:left w:val="nil"/>
              <w:bottom w:val="single" w:color="auto" w:sz="4" w:space="0"/>
              <w:right w:val="single" w:color="auto" w:sz="4" w:space="0"/>
            </w:tcBorders>
            <w:shd w:val="clear" w:color="auto" w:fill="auto"/>
            <w:noWrap/>
            <w:vAlign w:val="center"/>
          </w:tcPr>
          <w:p w14:paraId="5D0C054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390A03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221622</w:t>
            </w:r>
          </w:p>
        </w:tc>
        <w:tc>
          <w:tcPr>
            <w:tcW w:w="277" w:type="pct"/>
            <w:tcBorders>
              <w:top w:val="nil"/>
              <w:left w:val="nil"/>
              <w:bottom w:val="single" w:color="auto" w:sz="4" w:space="0"/>
              <w:right w:val="single" w:color="auto" w:sz="4" w:space="0"/>
            </w:tcBorders>
            <w:shd w:val="clear" w:color="auto" w:fill="auto"/>
            <w:noWrap/>
            <w:vAlign w:val="center"/>
          </w:tcPr>
          <w:p w14:paraId="76BE8B2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185D51F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150965</w:t>
            </w:r>
          </w:p>
        </w:tc>
        <w:tc>
          <w:tcPr>
            <w:tcW w:w="266" w:type="pct"/>
            <w:tcBorders>
              <w:top w:val="nil"/>
              <w:left w:val="nil"/>
              <w:bottom w:val="single" w:color="auto" w:sz="4" w:space="0"/>
              <w:right w:val="single" w:color="auto" w:sz="4" w:space="0"/>
            </w:tcBorders>
            <w:shd w:val="clear" w:color="auto" w:fill="auto"/>
            <w:noWrap/>
            <w:vAlign w:val="center"/>
          </w:tcPr>
          <w:p w14:paraId="434832D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0E8CD030">
        <w:tblPrEx>
          <w:tblCellMar>
            <w:top w:w="0" w:type="dxa"/>
            <w:left w:w="108" w:type="dxa"/>
            <w:bottom w:w="0" w:type="dxa"/>
            <w:right w:w="108" w:type="dxa"/>
          </w:tblCellMar>
        </w:tblPrEx>
        <w:trPr>
          <w:trHeight w:val="682" w:hRule="exact"/>
        </w:trPr>
        <w:tc>
          <w:tcPr>
            <w:tcW w:w="238" w:type="pct"/>
            <w:vMerge w:val="continue"/>
            <w:tcBorders>
              <w:top w:val="nil"/>
              <w:left w:val="single" w:color="auto" w:sz="4" w:space="0"/>
              <w:bottom w:val="single" w:color="000000" w:sz="4" w:space="0"/>
              <w:right w:val="single" w:color="auto" w:sz="4" w:space="0"/>
            </w:tcBorders>
            <w:vAlign w:val="center"/>
          </w:tcPr>
          <w:p w14:paraId="19F2CFC4">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3281692E">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0607676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淮北大堤饶荆段（石羊坝）</w:t>
            </w:r>
          </w:p>
        </w:tc>
        <w:tc>
          <w:tcPr>
            <w:tcW w:w="383" w:type="pct"/>
            <w:tcBorders>
              <w:top w:val="nil"/>
              <w:left w:val="nil"/>
              <w:bottom w:val="single" w:color="auto" w:sz="4" w:space="0"/>
              <w:right w:val="single" w:color="auto" w:sz="4" w:space="0"/>
            </w:tcBorders>
            <w:shd w:val="clear" w:color="auto" w:fill="auto"/>
            <w:vAlign w:val="center"/>
          </w:tcPr>
          <w:p w14:paraId="6A2C302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5.84</w:t>
            </w:r>
          </w:p>
        </w:tc>
        <w:tc>
          <w:tcPr>
            <w:tcW w:w="778" w:type="pct"/>
            <w:tcBorders>
              <w:top w:val="nil"/>
              <w:left w:val="nil"/>
              <w:bottom w:val="single" w:color="auto" w:sz="4" w:space="0"/>
              <w:right w:val="single" w:color="auto" w:sz="4" w:space="0"/>
            </w:tcBorders>
            <w:shd w:val="clear" w:color="auto" w:fill="auto"/>
            <w:vAlign w:val="center"/>
          </w:tcPr>
          <w:p w14:paraId="3CEAFC8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114+400~120+240</w:t>
            </w:r>
          </w:p>
        </w:tc>
        <w:tc>
          <w:tcPr>
            <w:tcW w:w="663" w:type="pct"/>
            <w:tcBorders>
              <w:top w:val="nil"/>
              <w:left w:val="nil"/>
              <w:bottom w:val="single" w:color="auto" w:sz="4" w:space="0"/>
              <w:right w:val="single" w:color="auto" w:sz="4" w:space="0"/>
            </w:tcBorders>
            <w:shd w:val="clear" w:color="auto" w:fill="auto"/>
            <w:noWrap/>
            <w:vAlign w:val="center"/>
          </w:tcPr>
          <w:p w14:paraId="6B85661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273055</w:t>
            </w:r>
          </w:p>
        </w:tc>
        <w:tc>
          <w:tcPr>
            <w:tcW w:w="268" w:type="pct"/>
            <w:tcBorders>
              <w:top w:val="nil"/>
              <w:left w:val="nil"/>
              <w:bottom w:val="single" w:color="auto" w:sz="4" w:space="0"/>
              <w:right w:val="single" w:color="auto" w:sz="4" w:space="0"/>
            </w:tcBorders>
            <w:shd w:val="clear" w:color="auto" w:fill="auto"/>
            <w:noWrap/>
            <w:vAlign w:val="center"/>
          </w:tcPr>
          <w:p w14:paraId="1C5E8C9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50AF665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1171349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0488CA5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6E252CD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3542267A">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5127CA6C">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1D737D74">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229EF8F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淮北大堤涡下段</w:t>
            </w:r>
          </w:p>
        </w:tc>
        <w:tc>
          <w:tcPr>
            <w:tcW w:w="383" w:type="pct"/>
            <w:tcBorders>
              <w:top w:val="nil"/>
              <w:left w:val="nil"/>
              <w:bottom w:val="single" w:color="auto" w:sz="4" w:space="0"/>
              <w:right w:val="single" w:color="auto" w:sz="4" w:space="0"/>
            </w:tcBorders>
            <w:shd w:val="clear" w:color="auto" w:fill="auto"/>
            <w:vAlign w:val="center"/>
          </w:tcPr>
          <w:p w14:paraId="6481ADA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5.835</w:t>
            </w:r>
          </w:p>
        </w:tc>
        <w:tc>
          <w:tcPr>
            <w:tcW w:w="778" w:type="pct"/>
            <w:tcBorders>
              <w:top w:val="nil"/>
              <w:left w:val="nil"/>
              <w:bottom w:val="single" w:color="auto" w:sz="4" w:space="0"/>
              <w:right w:val="single" w:color="auto" w:sz="4" w:space="0"/>
            </w:tcBorders>
            <w:shd w:val="clear" w:color="auto" w:fill="auto"/>
            <w:vAlign w:val="center"/>
          </w:tcPr>
          <w:p w14:paraId="25E9CE0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0+000~5+835</w:t>
            </w:r>
          </w:p>
        </w:tc>
        <w:tc>
          <w:tcPr>
            <w:tcW w:w="663" w:type="pct"/>
            <w:tcBorders>
              <w:top w:val="nil"/>
              <w:left w:val="nil"/>
              <w:bottom w:val="single" w:color="auto" w:sz="4" w:space="0"/>
              <w:right w:val="single" w:color="auto" w:sz="4" w:space="0"/>
            </w:tcBorders>
            <w:shd w:val="clear" w:color="auto" w:fill="auto"/>
            <w:noWrap/>
            <w:vAlign w:val="center"/>
          </w:tcPr>
          <w:p w14:paraId="109DD02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214936</w:t>
            </w:r>
          </w:p>
        </w:tc>
        <w:tc>
          <w:tcPr>
            <w:tcW w:w="268" w:type="pct"/>
            <w:tcBorders>
              <w:top w:val="nil"/>
              <w:left w:val="nil"/>
              <w:bottom w:val="single" w:color="auto" w:sz="4" w:space="0"/>
              <w:right w:val="single" w:color="auto" w:sz="4" w:space="0"/>
            </w:tcBorders>
            <w:shd w:val="clear" w:color="auto" w:fill="auto"/>
            <w:noWrap/>
            <w:vAlign w:val="center"/>
          </w:tcPr>
          <w:p w14:paraId="6C11FE4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3F73AF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88976</w:t>
            </w:r>
          </w:p>
        </w:tc>
        <w:tc>
          <w:tcPr>
            <w:tcW w:w="277" w:type="pct"/>
            <w:tcBorders>
              <w:top w:val="nil"/>
              <w:left w:val="nil"/>
              <w:bottom w:val="single" w:color="auto" w:sz="4" w:space="0"/>
              <w:right w:val="single" w:color="auto" w:sz="4" w:space="0"/>
            </w:tcBorders>
            <w:shd w:val="clear" w:color="auto" w:fill="auto"/>
            <w:noWrap/>
            <w:vAlign w:val="center"/>
          </w:tcPr>
          <w:p w14:paraId="5835239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A01BB0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29175</w:t>
            </w:r>
          </w:p>
        </w:tc>
        <w:tc>
          <w:tcPr>
            <w:tcW w:w="266" w:type="pct"/>
            <w:tcBorders>
              <w:top w:val="nil"/>
              <w:left w:val="nil"/>
              <w:bottom w:val="single" w:color="auto" w:sz="4" w:space="0"/>
              <w:right w:val="single" w:color="auto" w:sz="4" w:space="0"/>
            </w:tcBorders>
            <w:shd w:val="clear" w:color="auto" w:fill="auto"/>
            <w:noWrap/>
            <w:vAlign w:val="center"/>
          </w:tcPr>
          <w:p w14:paraId="1C65A81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3F7E9319">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3F5E5F7D">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2D4AE887">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6D0064A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城关圈堤</w:t>
            </w:r>
          </w:p>
        </w:tc>
        <w:tc>
          <w:tcPr>
            <w:tcW w:w="383" w:type="pct"/>
            <w:tcBorders>
              <w:top w:val="nil"/>
              <w:left w:val="nil"/>
              <w:bottom w:val="single" w:color="auto" w:sz="4" w:space="0"/>
              <w:right w:val="single" w:color="auto" w:sz="4" w:space="0"/>
            </w:tcBorders>
            <w:shd w:val="clear" w:color="auto" w:fill="auto"/>
            <w:noWrap/>
            <w:vAlign w:val="center"/>
          </w:tcPr>
          <w:p w14:paraId="0513E82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4.22</w:t>
            </w:r>
          </w:p>
        </w:tc>
        <w:tc>
          <w:tcPr>
            <w:tcW w:w="778" w:type="pct"/>
            <w:tcBorders>
              <w:top w:val="nil"/>
              <w:left w:val="nil"/>
              <w:bottom w:val="single" w:color="auto" w:sz="4" w:space="0"/>
              <w:right w:val="single" w:color="auto" w:sz="4" w:space="0"/>
            </w:tcBorders>
            <w:shd w:val="clear" w:color="auto" w:fill="auto"/>
            <w:vAlign w:val="center"/>
          </w:tcPr>
          <w:p w14:paraId="0A2BC24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5EEDC11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130420</w:t>
            </w:r>
          </w:p>
        </w:tc>
        <w:tc>
          <w:tcPr>
            <w:tcW w:w="268" w:type="pct"/>
            <w:tcBorders>
              <w:top w:val="nil"/>
              <w:left w:val="nil"/>
              <w:bottom w:val="single" w:color="auto" w:sz="4" w:space="0"/>
              <w:right w:val="single" w:color="auto" w:sz="4" w:space="0"/>
            </w:tcBorders>
            <w:shd w:val="clear" w:color="auto" w:fill="auto"/>
            <w:noWrap/>
            <w:vAlign w:val="center"/>
          </w:tcPr>
          <w:p w14:paraId="5571AC7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3E0741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57456</w:t>
            </w:r>
          </w:p>
        </w:tc>
        <w:tc>
          <w:tcPr>
            <w:tcW w:w="277" w:type="pct"/>
            <w:tcBorders>
              <w:top w:val="nil"/>
              <w:left w:val="nil"/>
              <w:bottom w:val="single" w:color="auto" w:sz="4" w:space="0"/>
              <w:right w:val="single" w:color="auto" w:sz="4" w:space="0"/>
            </w:tcBorders>
            <w:shd w:val="clear" w:color="auto" w:fill="auto"/>
            <w:noWrap/>
            <w:vAlign w:val="center"/>
          </w:tcPr>
          <w:p w14:paraId="6B5B07A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1941379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21100</w:t>
            </w:r>
          </w:p>
        </w:tc>
        <w:tc>
          <w:tcPr>
            <w:tcW w:w="266" w:type="pct"/>
            <w:tcBorders>
              <w:top w:val="nil"/>
              <w:left w:val="nil"/>
              <w:bottom w:val="single" w:color="auto" w:sz="4" w:space="0"/>
              <w:right w:val="single" w:color="auto" w:sz="4" w:space="0"/>
            </w:tcBorders>
            <w:shd w:val="clear" w:color="auto" w:fill="auto"/>
            <w:noWrap/>
            <w:vAlign w:val="center"/>
          </w:tcPr>
          <w:p w14:paraId="64D04C8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14:paraId="532A074E">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7A8EB11C">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0FA97F94">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5A17D3A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茨淮新河左右堤</w:t>
            </w:r>
          </w:p>
        </w:tc>
        <w:tc>
          <w:tcPr>
            <w:tcW w:w="383" w:type="pct"/>
            <w:tcBorders>
              <w:top w:val="nil"/>
              <w:left w:val="nil"/>
              <w:bottom w:val="single" w:color="auto" w:sz="4" w:space="0"/>
              <w:right w:val="single" w:color="auto" w:sz="4" w:space="0"/>
            </w:tcBorders>
            <w:shd w:val="clear" w:color="auto" w:fill="auto"/>
            <w:vAlign w:val="center"/>
          </w:tcPr>
          <w:p w14:paraId="3FB4B2C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77.62</w:t>
            </w:r>
          </w:p>
        </w:tc>
        <w:tc>
          <w:tcPr>
            <w:tcW w:w="778" w:type="pct"/>
            <w:tcBorders>
              <w:top w:val="nil"/>
              <w:left w:val="nil"/>
              <w:bottom w:val="single" w:color="auto" w:sz="4" w:space="0"/>
              <w:right w:val="single" w:color="auto" w:sz="4" w:space="0"/>
            </w:tcBorders>
            <w:shd w:val="clear" w:color="auto" w:fill="auto"/>
            <w:vAlign w:val="center"/>
          </w:tcPr>
          <w:p w14:paraId="607314C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0CE841D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215980</w:t>
            </w:r>
          </w:p>
        </w:tc>
        <w:tc>
          <w:tcPr>
            <w:tcW w:w="268" w:type="pct"/>
            <w:tcBorders>
              <w:top w:val="nil"/>
              <w:left w:val="nil"/>
              <w:bottom w:val="single" w:color="auto" w:sz="4" w:space="0"/>
              <w:right w:val="single" w:color="auto" w:sz="4" w:space="0"/>
            </w:tcBorders>
            <w:shd w:val="clear" w:color="auto" w:fill="auto"/>
            <w:noWrap/>
            <w:vAlign w:val="center"/>
          </w:tcPr>
          <w:p w14:paraId="77BC44B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5DFC3D0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61E8334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033D567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6BF30B4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7C0F9277">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000000" w:sz="4" w:space="0"/>
              <w:right w:val="single" w:color="auto" w:sz="4" w:space="0"/>
            </w:tcBorders>
            <w:vAlign w:val="center"/>
          </w:tcPr>
          <w:p w14:paraId="41925DBE">
            <w:pPr>
              <w:widowControl/>
              <w:jc w:val="left"/>
              <w:rPr>
                <w:rFonts w:ascii="宋体" w:hAnsi="宋体" w:eastAsia="宋体" w:cs="宋体"/>
                <w:color w:val="auto"/>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25FA9A8B">
            <w:pPr>
              <w:widowControl/>
              <w:jc w:val="left"/>
              <w:rPr>
                <w:rFonts w:ascii="宋体" w:hAnsi="宋体" w:eastAsia="宋体" w:cs="宋体"/>
                <w:color w:val="auto"/>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4B87334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塌荆段</w:t>
            </w:r>
          </w:p>
        </w:tc>
        <w:tc>
          <w:tcPr>
            <w:tcW w:w="383" w:type="pct"/>
            <w:tcBorders>
              <w:top w:val="nil"/>
              <w:left w:val="nil"/>
              <w:bottom w:val="single" w:color="auto" w:sz="4" w:space="0"/>
              <w:right w:val="single" w:color="auto" w:sz="4" w:space="0"/>
            </w:tcBorders>
            <w:shd w:val="clear" w:color="auto" w:fill="auto"/>
            <w:vAlign w:val="center"/>
          </w:tcPr>
          <w:p w14:paraId="7F21EDA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4.4</w:t>
            </w:r>
          </w:p>
        </w:tc>
        <w:tc>
          <w:tcPr>
            <w:tcW w:w="778" w:type="pct"/>
            <w:tcBorders>
              <w:top w:val="nil"/>
              <w:left w:val="nil"/>
              <w:bottom w:val="single" w:color="auto" w:sz="4" w:space="0"/>
              <w:right w:val="single" w:color="auto" w:sz="4" w:space="0"/>
            </w:tcBorders>
            <w:shd w:val="clear" w:color="auto" w:fill="auto"/>
            <w:vAlign w:val="center"/>
          </w:tcPr>
          <w:p w14:paraId="081A704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3AB628D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132000</w:t>
            </w:r>
          </w:p>
        </w:tc>
        <w:tc>
          <w:tcPr>
            <w:tcW w:w="268" w:type="pct"/>
            <w:tcBorders>
              <w:top w:val="nil"/>
              <w:left w:val="nil"/>
              <w:bottom w:val="single" w:color="auto" w:sz="4" w:space="0"/>
              <w:right w:val="single" w:color="auto" w:sz="4" w:space="0"/>
            </w:tcBorders>
            <w:shd w:val="clear" w:color="auto" w:fill="auto"/>
            <w:noWrap/>
            <w:vAlign w:val="center"/>
          </w:tcPr>
          <w:p w14:paraId="787F75B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27EFF38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6CC1E88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6BE99E5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1986149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539A663D">
        <w:tblPrEx>
          <w:tblCellMar>
            <w:top w:w="0" w:type="dxa"/>
            <w:left w:w="108" w:type="dxa"/>
            <w:bottom w:w="0" w:type="dxa"/>
            <w:right w:w="108" w:type="dxa"/>
          </w:tblCellMar>
        </w:tblPrEx>
        <w:trPr>
          <w:trHeight w:val="720" w:hRule="exact"/>
        </w:trPr>
        <w:tc>
          <w:tcPr>
            <w:tcW w:w="238" w:type="pct"/>
            <w:vMerge w:val="continue"/>
            <w:tcBorders>
              <w:top w:val="nil"/>
              <w:left w:val="single" w:color="auto" w:sz="4" w:space="0"/>
              <w:bottom w:val="single" w:color="000000" w:sz="4" w:space="0"/>
              <w:right w:val="single" w:color="auto" w:sz="4" w:space="0"/>
            </w:tcBorders>
            <w:vAlign w:val="center"/>
          </w:tcPr>
          <w:p w14:paraId="72A816AF">
            <w:pPr>
              <w:widowControl/>
              <w:jc w:val="left"/>
              <w:rPr>
                <w:rFonts w:ascii="宋体" w:hAnsi="宋体" w:eastAsia="宋体" w:cs="宋体"/>
                <w:color w:val="auto"/>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5AE472D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蚌埠闸</w:t>
            </w:r>
          </w:p>
        </w:tc>
        <w:tc>
          <w:tcPr>
            <w:tcW w:w="707" w:type="pct"/>
            <w:tcBorders>
              <w:top w:val="nil"/>
              <w:left w:val="nil"/>
              <w:bottom w:val="single" w:color="auto" w:sz="4" w:space="0"/>
              <w:right w:val="single" w:color="auto" w:sz="4" w:space="0"/>
            </w:tcBorders>
            <w:shd w:val="clear" w:color="auto" w:fill="auto"/>
            <w:vAlign w:val="center"/>
          </w:tcPr>
          <w:p w14:paraId="5B17DF1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淮北大堤蚌埠闸段（含分洪道）</w:t>
            </w:r>
          </w:p>
        </w:tc>
        <w:tc>
          <w:tcPr>
            <w:tcW w:w="383" w:type="pct"/>
            <w:tcBorders>
              <w:top w:val="nil"/>
              <w:left w:val="nil"/>
              <w:bottom w:val="single" w:color="auto" w:sz="4" w:space="0"/>
              <w:right w:val="single" w:color="auto" w:sz="4" w:space="0"/>
            </w:tcBorders>
            <w:shd w:val="clear" w:color="auto" w:fill="auto"/>
            <w:noWrap/>
            <w:vAlign w:val="center"/>
          </w:tcPr>
          <w:p w14:paraId="1248DB1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3.337</w:t>
            </w:r>
          </w:p>
        </w:tc>
        <w:tc>
          <w:tcPr>
            <w:tcW w:w="778" w:type="pct"/>
            <w:tcBorders>
              <w:top w:val="nil"/>
              <w:left w:val="nil"/>
              <w:bottom w:val="single" w:color="auto" w:sz="4" w:space="0"/>
              <w:right w:val="single" w:color="auto" w:sz="4" w:space="0"/>
            </w:tcBorders>
            <w:shd w:val="clear" w:color="auto" w:fill="auto"/>
            <w:vAlign w:val="center"/>
          </w:tcPr>
          <w:p w14:paraId="2BC9867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5+835-9+172</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（含分洪道）</w:t>
            </w:r>
          </w:p>
        </w:tc>
        <w:tc>
          <w:tcPr>
            <w:tcW w:w="663" w:type="pct"/>
            <w:tcBorders>
              <w:top w:val="nil"/>
              <w:left w:val="nil"/>
              <w:bottom w:val="single" w:color="auto" w:sz="4" w:space="0"/>
              <w:right w:val="single" w:color="auto" w:sz="4" w:space="0"/>
            </w:tcBorders>
            <w:shd w:val="clear" w:color="auto" w:fill="auto"/>
            <w:noWrap/>
            <w:vAlign w:val="center"/>
          </w:tcPr>
          <w:p w14:paraId="3EB35E6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221000</w:t>
            </w:r>
          </w:p>
        </w:tc>
        <w:tc>
          <w:tcPr>
            <w:tcW w:w="268" w:type="pct"/>
            <w:tcBorders>
              <w:top w:val="nil"/>
              <w:left w:val="nil"/>
              <w:bottom w:val="single" w:color="auto" w:sz="4" w:space="0"/>
              <w:right w:val="single" w:color="auto" w:sz="4" w:space="0"/>
            </w:tcBorders>
            <w:shd w:val="clear" w:color="auto" w:fill="auto"/>
            <w:noWrap/>
            <w:vAlign w:val="center"/>
          </w:tcPr>
          <w:p w14:paraId="7AC7C5B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65" w:type="pct"/>
            <w:tcBorders>
              <w:top w:val="nil"/>
              <w:left w:val="nil"/>
              <w:bottom w:val="single" w:color="auto" w:sz="4" w:space="0"/>
              <w:right w:val="single" w:color="auto" w:sz="4" w:space="0"/>
            </w:tcBorders>
            <w:shd w:val="clear" w:color="auto" w:fill="auto"/>
            <w:noWrap/>
            <w:vAlign w:val="center"/>
          </w:tcPr>
          <w:p w14:paraId="4DE7D10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0158F6B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2C5E9D7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138000</w:t>
            </w:r>
          </w:p>
        </w:tc>
        <w:tc>
          <w:tcPr>
            <w:tcW w:w="266" w:type="pct"/>
            <w:tcBorders>
              <w:top w:val="nil"/>
              <w:left w:val="nil"/>
              <w:bottom w:val="single" w:color="auto" w:sz="4" w:space="0"/>
              <w:right w:val="single" w:color="auto" w:sz="4" w:space="0"/>
            </w:tcBorders>
            <w:shd w:val="clear" w:color="auto" w:fill="auto"/>
            <w:noWrap/>
            <w:vAlign w:val="center"/>
          </w:tcPr>
          <w:p w14:paraId="2D34215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r>
      <w:tr w14:paraId="2F658E98">
        <w:tblPrEx>
          <w:tblCellMar>
            <w:top w:w="0" w:type="dxa"/>
            <w:left w:w="108" w:type="dxa"/>
            <w:bottom w:w="0" w:type="dxa"/>
            <w:right w:w="108" w:type="dxa"/>
          </w:tblCellMar>
        </w:tblPrEx>
        <w:trPr>
          <w:trHeight w:val="857" w:hRule="exact"/>
        </w:trPr>
        <w:tc>
          <w:tcPr>
            <w:tcW w:w="238" w:type="pct"/>
            <w:vMerge w:val="restart"/>
            <w:tcBorders>
              <w:top w:val="nil"/>
              <w:left w:val="single" w:color="auto" w:sz="4" w:space="0"/>
              <w:bottom w:val="single" w:color="000000" w:sz="4" w:space="0"/>
              <w:right w:val="single" w:color="auto" w:sz="4" w:space="0"/>
            </w:tcBorders>
            <w:shd w:val="clear" w:color="auto" w:fill="auto"/>
            <w:noWrap/>
            <w:vAlign w:val="center"/>
          </w:tcPr>
          <w:p w14:paraId="05C03852">
            <w:pPr>
              <w:widowControl/>
              <w:jc w:val="center"/>
              <w:rPr>
                <w:rFonts w:ascii="宋体" w:hAnsi="宋体" w:eastAsia="宋体" w:cs="宋体"/>
                <w:color w:val="FF0000"/>
                <w:kern w:val="0"/>
                <w:sz w:val="24"/>
                <w:szCs w:val="24"/>
              </w:rPr>
            </w:pPr>
            <w:r>
              <w:rPr>
                <w:rFonts w:ascii="宋体" w:hAnsi="宋体" w:eastAsia="宋体" w:cs="宋体"/>
                <w:color w:val="FF0000"/>
                <w:kern w:val="0"/>
                <w:sz w:val="24"/>
                <w:szCs w:val="24"/>
              </w:rPr>
              <w:t>5</w:t>
            </w:r>
          </w:p>
        </w:tc>
        <w:tc>
          <w:tcPr>
            <w:tcW w:w="373" w:type="pct"/>
            <w:vMerge w:val="restart"/>
            <w:tcBorders>
              <w:top w:val="nil"/>
              <w:left w:val="single" w:color="auto" w:sz="4" w:space="0"/>
              <w:bottom w:val="single" w:color="auto" w:sz="4" w:space="0"/>
              <w:right w:val="single" w:color="auto" w:sz="4" w:space="0"/>
            </w:tcBorders>
            <w:shd w:val="clear" w:color="auto" w:fill="auto"/>
            <w:vAlign w:val="center"/>
          </w:tcPr>
          <w:p w14:paraId="168832B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蒙城局</w:t>
            </w:r>
          </w:p>
        </w:tc>
        <w:tc>
          <w:tcPr>
            <w:tcW w:w="707" w:type="pct"/>
            <w:tcBorders>
              <w:top w:val="nil"/>
              <w:left w:val="nil"/>
              <w:bottom w:val="single" w:color="auto" w:sz="4" w:space="0"/>
              <w:right w:val="single" w:color="auto" w:sz="4" w:space="0"/>
            </w:tcBorders>
            <w:shd w:val="clear" w:color="auto" w:fill="auto"/>
            <w:vAlign w:val="center"/>
          </w:tcPr>
          <w:p w14:paraId="03C15B72">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涡左堤蒙城段</w:t>
            </w:r>
          </w:p>
        </w:tc>
        <w:tc>
          <w:tcPr>
            <w:tcW w:w="383" w:type="pct"/>
            <w:tcBorders>
              <w:top w:val="nil"/>
              <w:left w:val="nil"/>
              <w:bottom w:val="single" w:color="auto" w:sz="4" w:space="0"/>
              <w:right w:val="single" w:color="auto" w:sz="4" w:space="0"/>
            </w:tcBorders>
            <w:shd w:val="clear" w:color="auto" w:fill="auto"/>
            <w:noWrap/>
            <w:vAlign w:val="center"/>
          </w:tcPr>
          <w:p w14:paraId="78F1E0D6">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54.228</w:t>
            </w:r>
          </w:p>
        </w:tc>
        <w:tc>
          <w:tcPr>
            <w:tcW w:w="778" w:type="pct"/>
            <w:tcBorders>
              <w:top w:val="nil"/>
              <w:left w:val="nil"/>
              <w:bottom w:val="single" w:color="auto" w:sz="4" w:space="0"/>
              <w:right w:val="single" w:color="auto" w:sz="4" w:space="0"/>
            </w:tcBorders>
            <w:shd w:val="clear" w:color="auto" w:fill="auto"/>
            <w:vAlign w:val="center"/>
          </w:tcPr>
          <w:p w14:paraId="38D2E0F5">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52+495～83+859</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84+963～107+827</w:t>
            </w:r>
          </w:p>
        </w:tc>
        <w:tc>
          <w:tcPr>
            <w:tcW w:w="663" w:type="pct"/>
            <w:tcBorders>
              <w:top w:val="nil"/>
              <w:left w:val="nil"/>
              <w:bottom w:val="single" w:color="auto" w:sz="4" w:space="0"/>
              <w:right w:val="single" w:color="auto" w:sz="4" w:space="0"/>
            </w:tcBorders>
            <w:shd w:val="clear" w:color="auto" w:fill="auto"/>
            <w:noWrap/>
            <w:vAlign w:val="center"/>
          </w:tcPr>
          <w:p w14:paraId="2727DB64">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1054420</w:t>
            </w:r>
          </w:p>
        </w:tc>
        <w:tc>
          <w:tcPr>
            <w:tcW w:w="268" w:type="pct"/>
            <w:tcBorders>
              <w:top w:val="nil"/>
              <w:left w:val="nil"/>
              <w:bottom w:val="single" w:color="auto" w:sz="4" w:space="0"/>
              <w:right w:val="single" w:color="auto" w:sz="4" w:space="0"/>
            </w:tcBorders>
            <w:shd w:val="clear" w:color="auto" w:fill="auto"/>
            <w:noWrap/>
            <w:vAlign w:val="center"/>
          </w:tcPr>
          <w:p w14:paraId="58AA639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3D515A9">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5F77C196">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50DBC181">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185000</w:t>
            </w:r>
          </w:p>
        </w:tc>
        <w:tc>
          <w:tcPr>
            <w:tcW w:w="266" w:type="pct"/>
            <w:tcBorders>
              <w:top w:val="nil"/>
              <w:left w:val="nil"/>
              <w:bottom w:val="single" w:color="auto" w:sz="4" w:space="0"/>
              <w:right w:val="single" w:color="auto" w:sz="4" w:space="0"/>
            </w:tcBorders>
            <w:shd w:val="clear" w:color="auto" w:fill="auto"/>
            <w:noWrap/>
            <w:vAlign w:val="center"/>
          </w:tcPr>
          <w:p w14:paraId="59C16BE1">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004329AB">
        <w:tblPrEx>
          <w:tblCellMar>
            <w:top w:w="0" w:type="dxa"/>
            <w:left w:w="108" w:type="dxa"/>
            <w:bottom w:w="0" w:type="dxa"/>
            <w:right w:w="108" w:type="dxa"/>
          </w:tblCellMar>
        </w:tblPrEx>
        <w:trPr>
          <w:trHeight w:val="567" w:hRule="exact"/>
        </w:trPr>
        <w:tc>
          <w:tcPr>
            <w:tcW w:w="238" w:type="pct"/>
            <w:vMerge w:val="continue"/>
            <w:tcBorders>
              <w:top w:val="nil"/>
              <w:left w:val="single" w:color="auto" w:sz="4" w:space="0"/>
              <w:bottom w:val="single" w:color="000000" w:sz="4" w:space="0"/>
              <w:right w:val="single" w:color="auto" w:sz="4" w:space="0"/>
            </w:tcBorders>
            <w:vAlign w:val="center"/>
          </w:tcPr>
          <w:p w14:paraId="6FF254C1">
            <w:pPr>
              <w:widowControl/>
              <w:jc w:val="left"/>
              <w:rPr>
                <w:rFonts w:ascii="宋体" w:hAnsi="宋体" w:eastAsia="宋体" w:cs="宋体"/>
                <w:color w:val="FF0000"/>
                <w:kern w:val="0"/>
                <w:sz w:val="24"/>
                <w:szCs w:val="24"/>
              </w:rPr>
            </w:pPr>
          </w:p>
        </w:tc>
        <w:tc>
          <w:tcPr>
            <w:tcW w:w="373" w:type="pct"/>
            <w:vMerge w:val="continue"/>
            <w:tcBorders>
              <w:top w:val="nil"/>
              <w:left w:val="single" w:color="auto" w:sz="4" w:space="0"/>
              <w:bottom w:val="single" w:color="auto" w:sz="4" w:space="0"/>
              <w:right w:val="single" w:color="auto" w:sz="4" w:space="0"/>
            </w:tcBorders>
            <w:vAlign w:val="center"/>
          </w:tcPr>
          <w:p w14:paraId="45267653">
            <w:pPr>
              <w:widowControl/>
              <w:jc w:val="left"/>
              <w:rPr>
                <w:rFonts w:ascii="宋体" w:hAnsi="宋体" w:eastAsia="宋体" w:cs="宋体"/>
                <w:color w:val="FF0000"/>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2317295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涡右堤蒙城段</w:t>
            </w:r>
          </w:p>
        </w:tc>
        <w:tc>
          <w:tcPr>
            <w:tcW w:w="383" w:type="pct"/>
            <w:tcBorders>
              <w:top w:val="nil"/>
              <w:left w:val="nil"/>
              <w:bottom w:val="single" w:color="auto" w:sz="4" w:space="0"/>
              <w:right w:val="single" w:color="auto" w:sz="4" w:space="0"/>
            </w:tcBorders>
            <w:shd w:val="clear" w:color="auto" w:fill="auto"/>
            <w:noWrap/>
            <w:vAlign w:val="center"/>
          </w:tcPr>
          <w:p w14:paraId="73BE5DF8">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57.587</w:t>
            </w:r>
          </w:p>
        </w:tc>
        <w:tc>
          <w:tcPr>
            <w:tcW w:w="778" w:type="pct"/>
            <w:tcBorders>
              <w:top w:val="nil"/>
              <w:left w:val="nil"/>
              <w:bottom w:val="single" w:color="auto" w:sz="4" w:space="0"/>
              <w:right w:val="single" w:color="auto" w:sz="4" w:space="0"/>
            </w:tcBorders>
            <w:shd w:val="clear" w:color="auto" w:fill="auto"/>
            <w:vAlign w:val="center"/>
          </w:tcPr>
          <w:p w14:paraId="26D77A86">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53+762～83+879</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84+830～112+300</w:t>
            </w:r>
          </w:p>
        </w:tc>
        <w:tc>
          <w:tcPr>
            <w:tcW w:w="663" w:type="pct"/>
            <w:tcBorders>
              <w:top w:val="nil"/>
              <w:left w:val="nil"/>
              <w:bottom w:val="single" w:color="auto" w:sz="4" w:space="0"/>
              <w:right w:val="single" w:color="auto" w:sz="4" w:space="0"/>
            </w:tcBorders>
            <w:shd w:val="clear" w:color="auto" w:fill="auto"/>
            <w:noWrap/>
            <w:vAlign w:val="center"/>
          </w:tcPr>
          <w:p w14:paraId="6AA42055">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1076240</w:t>
            </w:r>
          </w:p>
        </w:tc>
        <w:tc>
          <w:tcPr>
            <w:tcW w:w="268" w:type="pct"/>
            <w:tcBorders>
              <w:top w:val="nil"/>
              <w:left w:val="nil"/>
              <w:bottom w:val="single" w:color="auto" w:sz="4" w:space="0"/>
              <w:right w:val="single" w:color="auto" w:sz="4" w:space="0"/>
            </w:tcBorders>
            <w:shd w:val="clear" w:color="auto" w:fill="auto"/>
            <w:noWrap/>
            <w:vAlign w:val="center"/>
          </w:tcPr>
          <w:p w14:paraId="35CA82C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EC1CE90">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20FF6254">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379A275E">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193000</w:t>
            </w:r>
          </w:p>
        </w:tc>
        <w:tc>
          <w:tcPr>
            <w:tcW w:w="266" w:type="pct"/>
            <w:tcBorders>
              <w:top w:val="nil"/>
              <w:left w:val="nil"/>
              <w:bottom w:val="single" w:color="auto" w:sz="4" w:space="0"/>
              <w:right w:val="single" w:color="auto" w:sz="4" w:space="0"/>
            </w:tcBorders>
            <w:shd w:val="clear" w:color="auto" w:fill="auto"/>
            <w:noWrap/>
            <w:vAlign w:val="center"/>
          </w:tcPr>
          <w:p w14:paraId="11E7B8E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4790056B">
        <w:tblPrEx>
          <w:tblCellMar>
            <w:top w:w="0" w:type="dxa"/>
            <w:left w:w="108" w:type="dxa"/>
            <w:bottom w:w="0" w:type="dxa"/>
            <w:right w:w="108" w:type="dxa"/>
          </w:tblCellMar>
        </w:tblPrEx>
        <w:trPr>
          <w:trHeight w:val="1278" w:hRule="exact"/>
        </w:trPr>
        <w:tc>
          <w:tcPr>
            <w:tcW w:w="238" w:type="pct"/>
            <w:vMerge w:val="continue"/>
            <w:tcBorders>
              <w:top w:val="nil"/>
              <w:left w:val="single" w:color="auto" w:sz="4" w:space="0"/>
              <w:bottom w:val="single" w:color="000000" w:sz="4" w:space="0"/>
              <w:right w:val="single" w:color="auto" w:sz="4" w:space="0"/>
            </w:tcBorders>
            <w:vAlign w:val="center"/>
          </w:tcPr>
          <w:p w14:paraId="4651FF0B">
            <w:pPr>
              <w:widowControl/>
              <w:jc w:val="left"/>
              <w:rPr>
                <w:rFonts w:ascii="宋体" w:hAnsi="宋体" w:eastAsia="宋体" w:cs="宋体"/>
                <w:color w:val="FF0000"/>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6089045A">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蒙城闸</w:t>
            </w:r>
          </w:p>
        </w:tc>
        <w:tc>
          <w:tcPr>
            <w:tcW w:w="707" w:type="pct"/>
            <w:tcBorders>
              <w:top w:val="nil"/>
              <w:left w:val="nil"/>
              <w:bottom w:val="single" w:color="auto" w:sz="4" w:space="0"/>
              <w:right w:val="single" w:color="auto" w:sz="4" w:space="0"/>
            </w:tcBorders>
            <w:shd w:val="clear" w:color="auto" w:fill="auto"/>
            <w:vAlign w:val="center"/>
          </w:tcPr>
          <w:p w14:paraId="3D89028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涡河左右堤蒙城闸段</w:t>
            </w:r>
          </w:p>
        </w:tc>
        <w:tc>
          <w:tcPr>
            <w:tcW w:w="383" w:type="pct"/>
            <w:tcBorders>
              <w:top w:val="nil"/>
              <w:left w:val="nil"/>
              <w:bottom w:val="single" w:color="auto" w:sz="4" w:space="0"/>
              <w:right w:val="single" w:color="auto" w:sz="4" w:space="0"/>
            </w:tcBorders>
            <w:shd w:val="clear" w:color="auto" w:fill="auto"/>
            <w:noWrap/>
            <w:vAlign w:val="center"/>
          </w:tcPr>
          <w:p w14:paraId="1BC04EC7">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w:t>
            </w:r>
          </w:p>
        </w:tc>
        <w:tc>
          <w:tcPr>
            <w:tcW w:w="778" w:type="pct"/>
            <w:tcBorders>
              <w:top w:val="nil"/>
              <w:left w:val="nil"/>
              <w:bottom w:val="single" w:color="auto" w:sz="4" w:space="0"/>
              <w:right w:val="single" w:color="auto" w:sz="4" w:space="0"/>
            </w:tcBorders>
            <w:shd w:val="clear" w:color="auto" w:fill="auto"/>
            <w:vAlign w:val="center"/>
          </w:tcPr>
          <w:p w14:paraId="1C3A9910">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涡左堤83+859～84+963</w:t>
            </w:r>
            <w:r>
              <w:rPr>
                <w:rFonts w:hint="eastAsia" w:ascii="宋体" w:hAnsi="宋体" w:eastAsia="宋体" w:cs="宋体"/>
                <w:color w:val="FF0000"/>
                <w:kern w:val="0"/>
                <w:sz w:val="24"/>
                <w:szCs w:val="24"/>
              </w:rPr>
              <w:br w:type="textWrapping"/>
            </w:r>
            <w:r>
              <w:rPr>
                <w:rFonts w:hint="eastAsia" w:ascii="宋体" w:hAnsi="宋体" w:eastAsia="宋体" w:cs="宋体"/>
                <w:color w:val="FF0000"/>
                <w:kern w:val="0"/>
                <w:sz w:val="24"/>
                <w:szCs w:val="24"/>
              </w:rPr>
              <w:t>涡右堤83+879～84+830</w:t>
            </w:r>
          </w:p>
        </w:tc>
        <w:tc>
          <w:tcPr>
            <w:tcW w:w="663" w:type="pct"/>
            <w:tcBorders>
              <w:top w:val="nil"/>
              <w:left w:val="nil"/>
              <w:bottom w:val="single" w:color="auto" w:sz="4" w:space="0"/>
              <w:right w:val="single" w:color="auto" w:sz="4" w:space="0"/>
            </w:tcBorders>
            <w:shd w:val="clear" w:color="auto" w:fill="auto"/>
            <w:noWrap/>
            <w:vAlign w:val="center"/>
          </w:tcPr>
          <w:p w14:paraId="0E149EE2">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19700</w:t>
            </w:r>
          </w:p>
        </w:tc>
        <w:tc>
          <w:tcPr>
            <w:tcW w:w="268" w:type="pct"/>
            <w:tcBorders>
              <w:top w:val="nil"/>
              <w:left w:val="nil"/>
              <w:bottom w:val="single" w:color="auto" w:sz="4" w:space="0"/>
              <w:right w:val="single" w:color="auto" w:sz="4" w:space="0"/>
            </w:tcBorders>
            <w:shd w:val="clear" w:color="auto" w:fill="auto"/>
            <w:noWrap/>
            <w:vAlign w:val="center"/>
          </w:tcPr>
          <w:p w14:paraId="7BF3DD60">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540A7C0C">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13500</w:t>
            </w:r>
          </w:p>
        </w:tc>
        <w:tc>
          <w:tcPr>
            <w:tcW w:w="277" w:type="pct"/>
            <w:tcBorders>
              <w:top w:val="nil"/>
              <w:left w:val="nil"/>
              <w:bottom w:val="single" w:color="auto" w:sz="4" w:space="0"/>
              <w:right w:val="single" w:color="auto" w:sz="4" w:space="0"/>
            </w:tcBorders>
            <w:shd w:val="clear" w:color="auto" w:fill="auto"/>
            <w:noWrap/>
            <w:vAlign w:val="center"/>
          </w:tcPr>
          <w:p w14:paraId="701534F5">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52F9FADA">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38200</w:t>
            </w:r>
          </w:p>
        </w:tc>
        <w:tc>
          <w:tcPr>
            <w:tcW w:w="266" w:type="pct"/>
            <w:tcBorders>
              <w:top w:val="nil"/>
              <w:left w:val="nil"/>
              <w:bottom w:val="single" w:color="auto" w:sz="4" w:space="0"/>
              <w:right w:val="single" w:color="auto" w:sz="4" w:space="0"/>
            </w:tcBorders>
            <w:shd w:val="clear" w:color="auto" w:fill="auto"/>
            <w:noWrap/>
            <w:vAlign w:val="center"/>
          </w:tcPr>
          <w:p w14:paraId="7DB8A66A">
            <w:pPr>
              <w:widowControl/>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3</w:t>
            </w:r>
          </w:p>
        </w:tc>
      </w:tr>
      <w:tr w14:paraId="0D601070">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671E0847">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373" w:type="pct"/>
            <w:tcBorders>
              <w:top w:val="nil"/>
              <w:left w:val="nil"/>
              <w:bottom w:val="nil"/>
              <w:right w:val="single" w:color="auto" w:sz="4" w:space="0"/>
            </w:tcBorders>
            <w:shd w:val="clear" w:color="auto" w:fill="auto"/>
            <w:vAlign w:val="center"/>
          </w:tcPr>
          <w:p w14:paraId="71561001">
            <w:pPr>
              <w:widowControl/>
              <w:jc w:val="center"/>
              <w:rPr>
                <w:rFonts w:ascii="宋体" w:hAnsi="宋体" w:eastAsia="宋体" w:cs="宋体"/>
                <w:kern w:val="0"/>
                <w:sz w:val="24"/>
                <w:szCs w:val="24"/>
              </w:rPr>
            </w:pPr>
            <w:r>
              <w:rPr>
                <w:rFonts w:hint="eastAsia" w:ascii="宋体" w:hAnsi="宋体" w:eastAsia="宋体" w:cs="宋体"/>
                <w:kern w:val="0"/>
                <w:sz w:val="24"/>
                <w:szCs w:val="24"/>
              </w:rPr>
              <w:t>怀远局2</w:t>
            </w:r>
          </w:p>
        </w:tc>
        <w:tc>
          <w:tcPr>
            <w:tcW w:w="707" w:type="pct"/>
            <w:tcBorders>
              <w:top w:val="nil"/>
              <w:left w:val="nil"/>
              <w:bottom w:val="single" w:color="auto" w:sz="4" w:space="0"/>
              <w:right w:val="single" w:color="auto" w:sz="4" w:space="0"/>
            </w:tcBorders>
            <w:shd w:val="clear" w:color="auto" w:fill="auto"/>
            <w:vAlign w:val="center"/>
          </w:tcPr>
          <w:p w14:paraId="45FF2E73">
            <w:pPr>
              <w:widowControl/>
              <w:jc w:val="center"/>
              <w:rPr>
                <w:rFonts w:ascii="宋体" w:hAnsi="宋体" w:eastAsia="宋体" w:cs="宋体"/>
                <w:kern w:val="0"/>
                <w:sz w:val="24"/>
                <w:szCs w:val="24"/>
              </w:rPr>
            </w:pPr>
            <w:r>
              <w:rPr>
                <w:rFonts w:hint="eastAsia" w:ascii="宋体" w:hAnsi="宋体" w:eastAsia="宋体" w:cs="宋体"/>
                <w:kern w:val="0"/>
                <w:sz w:val="24"/>
                <w:szCs w:val="24"/>
              </w:rPr>
              <w:t>涡左堤怀远段</w:t>
            </w:r>
          </w:p>
        </w:tc>
        <w:tc>
          <w:tcPr>
            <w:tcW w:w="383" w:type="pct"/>
            <w:tcBorders>
              <w:top w:val="nil"/>
              <w:left w:val="nil"/>
              <w:bottom w:val="single" w:color="auto" w:sz="4" w:space="0"/>
              <w:right w:val="single" w:color="auto" w:sz="4" w:space="0"/>
            </w:tcBorders>
            <w:shd w:val="clear" w:color="auto" w:fill="auto"/>
            <w:vAlign w:val="center"/>
          </w:tcPr>
          <w:p w14:paraId="76C71AE3">
            <w:pPr>
              <w:widowControl/>
              <w:jc w:val="center"/>
              <w:rPr>
                <w:rFonts w:ascii="宋体" w:hAnsi="宋体" w:eastAsia="宋体" w:cs="宋体"/>
                <w:kern w:val="0"/>
                <w:sz w:val="24"/>
                <w:szCs w:val="24"/>
              </w:rPr>
            </w:pPr>
            <w:r>
              <w:rPr>
                <w:rFonts w:hint="eastAsia" w:ascii="宋体" w:hAnsi="宋体" w:eastAsia="宋体" w:cs="宋体"/>
                <w:kern w:val="0"/>
                <w:sz w:val="24"/>
                <w:szCs w:val="24"/>
              </w:rPr>
              <w:t>52.495</w:t>
            </w:r>
          </w:p>
        </w:tc>
        <w:tc>
          <w:tcPr>
            <w:tcW w:w="778" w:type="pct"/>
            <w:tcBorders>
              <w:top w:val="nil"/>
              <w:left w:val="nil"/>
              <w:bottom w:val="single" w:color="auto" w:sz="4" w:space="0"/>
              <w:right w:val="single" w:color="auto" w:sz="4" w:space="0"/>
            </w:tcBorders>
            <w:shd w:val="clear" w:color="auto" w:fill="auto"/>
            <w:vAlign w:val="center"/>
          </w:tcPr>
          <w:p w14:paraId="70F54193">
            <w:pPr>
              <w:widowControl/>
              <w:jc w:val="center"/>
              <w:rPr>
                <w:rFonts w:ascii="宋体" w:hAnsi="宋体" w:eastAsia="宋体" w:cs="宋体"/>
                <w:kern w:val="0"/>
                <w:sz w:val="24"/>
                <w:szCs w:val="24"/>
              </w:rPr>
            </w:pPr>
            <w:r>
              <w:rPr>
                <w:rFonts w:hint="eastAsia" w:ascii="宋体" w:hAnsi="宋体" w:eastAsia="宋体" w:cs="宋体"/>
                <w:kern w:val="0"/>
                <w:sz w:val="24"/>
                <w:szCs w:val="24"/>
              </w:rPr>
              <w:t>0+000~52+495</w:t>
            </w:r>
          </w:p>
        </w:tc>
        <w:tc>
          <w:tcPr>
            <w:tcW w:w="663" w:type="pct"/>
            <w:tcBorders>
              <w:top w:val="nil"/>
              <w:left w:val="nil"/>
              <w:bottom w:val="single" w:color="auto" w:sz="4" w:space="0"/>
              <w:right w:val="single" w:color="auto" w:sz="4" w:space="0"/>
            </w:tcBorders>
            <w:shd w:val="clear" w:color="auto" w:fill="auto"/>
            <w:noWrap/>
            <w:vAlign w:val="center"/>
          </w:tcPr>
          <w:p w14:paraId="2CBE9D39">
            <w:pPr>
              <w:widowControl/>
              <w:jc w:val="center"/>
              <w:rPr>
                <w:rFonts w:ascii="宋体" w:hAnsi="宋体" w:eastAsia="宋体" w:cs="宋体"/>
                <w:kern w:val="0"/>
                <w:sz w:val="24"/>
                <w:szCs w:val="24"/>
              </w:rPr>
            </w:pPr>
            <w:r>
              <w:rPr>
                <w:rFonts w:hint="eastAsia" w:ascii="宋体" w:hAnsi="宋体" w:eastAsia="宋体" w:cs="宋体"/>
                <w:kern w:val="0"/>
                <w:sz w:val="24"/>
                <w:szCs w:val="24"/>
              </w:rPr>
              <w:t>2150331</w:t>
            </w:r>
          </w:p>
        </w:tc>
        <w:tc>
          <w:tcPr>
            <w:tcW w:w="268" w:type="pct"/>
            <w:tcBorders>
              <w:top w:val="nil"/>
              <w:left w:val="nil"/>
              <w:bottom w:val="single" w:color="auto" w:sz="4" w:space="0"/>
              <w:right w:val="single" w:color="auto" w:sz="4" w:space="0"/>
            </w:tcBorders>
            <w:shd w:val="clear" w:color="auto" w:fill="auto"/>
            <w:noWrap/>
            <w:vAlign w:val="center"/>
          </w:tcPr>
          <w:p w14:paraId="7931EFEF">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75CA7401">
            <w:pPr>
              <w:widowControl/>
              <w:jc w:val="center"/>
              <w:rPr>
                <w:rFonts w:ascii="宋体" w:hAnsi="宋体" w:eastAsia="宋体" w:cs="宋体"/>
                <w:kern w:val="0"/>
                <w:sz w:val="24"/>
                <w:szCs w:val="24"/>
              </w:rPr>
            </w:pPr>
            <w:r>
              <w:rPr>
                <w:rFonts w:hint="eastAsia" w:ascii="宋体" w:hAnsi="宋体" w:eastAsia="宋体" w:cs="宋体"/>
                <w:kern w:val="0"/>
                <w:sz w:val="24"/>
                <w:szCs w:val="24"/>
              </w:rPr>
              <w:t>231430</w:t>
            </w:r>
          </w:p>
        </w:tc>
        <w:tc>
          <w:tcPr>
            <w:tcW w:w="277" w:type="pct"/>
            <w:tcBorders>
              <w:top w:val="nil"/>
              <w:left w:val="nil"/>
              <w:bottom w:val="single" w:color="auto" w:sz="4" w:space="0"/>
              <w:right w:val="single" w:color="auto" w:sz="4" w:space="0"/>
            </w:tcBorders>
            <w:shd w:val="clear" w:color="auto" w:fill="auto"/>
            <w:noWrap/>
            <w:vAlign w:val="center"/>
          </w:tcPr>
          <w:p w14:paraId="46A1775C">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06485A13">
            <w:pPr>
              <w:widowControl/>
              <w:jc w:val="center"/>
              <w:rPr>
                <w:rFonts w:ascii="宋体" w:hAnsi="宋体" w:eastAsia="宋体" w:cs="宋体"/>
                <w:kern w:val="0"/>
                <w:sz w:val="24"/>
                <w:szCs w:val="24"/>
              </w:rPr>
            </w:pPr>
            <w:r>
              <w:rPr>
                <w:rFonts w:hint="eastAsia" w:ascii="宋体" w:hAnsi="宋体" w:eastAsia="宋体" w:cs="宋体"/>
                <w:kern w:val="0"/>
                <w:sz w:val="24"/>
                <w:szCs w:val="24"/>
              </w:rPr>
              <w:t>262475</w:t>
            </w:r>
          </w:p>
        </w:tc>
        <w:tc>
          <w:tcPr>
            <w:tcW w:w="266" w:type="pct"/>
            <w:tcBorders>
              <w:top w:val="nil"/>
              <w:left w:val="nil"/>
              <w:bottom w:val="single" w:color="auto" w:sz="4" w:space="0"/>
              <w:right w:val="single" w:color="auto" w:sz="4" w:space="0"/>
            </w:tcBorders>
            <w:shd w:val="clear" w:color="auto" w:fill="auto"/>
            <w:noWrap/>
            <w:vAlign w:val="center"/>
          </w:tcPr>
          <w:p w14:paraId="560FC43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159AA958">
        <w:tblPrEx>
          <w:tblCellMar>
            <w:top w:w="0" w:type="dxa"/>
            <w:left w:w="108" w:type="dxa"/>
            <w:bottom w:w="0" w:type="dxa"/>
            <w:right w:w="108" w:type="dxa"/>
          </w:tblCellMar>
        </w:tblPrEx>
        <w:trPr>
          <w:trHeight w:val="454" w:hRule="exact"/>
        </w:trPr>
        <w:tc>
          <w:tcPr>
            <w:tcW w:w="238" w:type="pct"/>
            <w:tcBorders>
              <w:top w:val="nil"/>
              <w:left w:val="single" w:color="auto" w:sz="4" w:space="0"/>
              <w:bottom w:val="single" w:color="auto" w:sz="4" w:space="0"/>
              <w:right w:val="single" w:color="auto" w:sz="4" w:space="0"/>
            </w:tcBorders>
            <w:shd w:val="clear" w:color="auto" w:fill="auto"/>
            <w:noWrap/>
            <w:vAlign w:val="center"/>
          </w:tcPr>
          <w:p w14:paraId="398F51B1">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373" w:type="pct"/>
            <w:tcBorders>
              <w:top w:val="single" w:color="auto" w:sz="4" w:space="0"/>
              <w:left w:val="nil"/>
              <w:bottom w:val="nil"/>
              <w:right w:val="single" w:color="auto" w:sz="4" w:space="0"/>
            </w:tcBorders>
            <w:shd w:val="clear" w:color="auto" w:fill="auto"/>
            <w:vAlign w:val="center"/>
          </w:tcPr>
          <w:p w14:paraId="7630BFDE">
            <w:pPr>
              <w:widowControl/>
              <w:jc w:val="center"/>
              <w:rPr>
                <w:rFonts w:ascii="宋体" w:hAnsi="宋体" w:eastAsia="宋体" w:cs="宋体"/>
                <w:kern w:val="0"/>
                <w:sz w:val="24"/>
                <w:szCs w:val="24"/>
              </w:rPr>
            </w:pPr>
            <w:r>
              <w:rPr>
                <w:rFonts w:hint="eastAsia" w:ascii="宋体" w:hAnsi="宋体" w:eastAsia="宋体" w:cs="宋体"/>
                <w:kern w:val="0"/>
                <w:sz w:val="24"/>
                <w:szCs w:val="24"/>
              </w:rPr>
              <w:t>怀远局3</w:t>
            </w:r>
          </w:p>
        </w:tc>
        <w:tc>
          <w:tcPr>
            <w:tcW w:w="707" w:type="pct"/>
            <w:tcBorders>
              <w:top w:val="nil"/>
              <w:left w:val="nil"/>
              <w:bottom w:val="single" w:color="auto" w:sz="4" w:space="0"/>
              <w:right w:val="single" w:color="auto" w:sz="4" w:space="0"/>
            </w:tcBorders>
            <w:shd w:val="clear" w:color="auto" w:fill="auto"/>
            <w:vAlign w:val="center"/>
          </w:tcPr>
          <w:p w14:paraId="29BD685C">
            <w:pPr>
              <w:widowControl/>
              <w:jc w:val="center"/>
              <w:rPr>
                <w:rFonts w:ascii="宋体" w:hAnsi="宋体" w:eastAsia="宋体" w:cs="宋体"/>
                <w:kern w:val="0"/>
                <w:sz w:val="24"/>
                <w:szCs w:val="24"/>
              </w:rPr>
            </w:pPr>
            <w:r>
              <w:rPr>
                <w:rFonts w:hint="eastAsia" w:ascii="宋体" w:hAnsi="宋体" w:eastAsia="宋体" w:cs="宋体"/>
                <w:kern w:val="0"/>
                <w:sz w:val="24"/>
                <w:szCs w:val="24"/>
              </w:rPr>
              <w:t>涡右堤怀远段</w:t>
            </w:r>
          </w:p>
        </w:tc>
        <w:tc>
          <w:tcPr>
            <w:tcW w:w="383" w:type="pct"/>
            <w:tcBorders>
              <w:top w:val="nil"/>
              <w:left w:val="nil"/>
              <w:bottom w:val="single" w:color="auto" w:sz="4" w:space="0"/>
              <w:right w:val="single" w:color="auto" w:sz="4" w:space="0"/>
            </w:tcBorders>
            <w:shd w:val="clear" w:color="auto" w:fill="auto"/>
            <w:vAlign w:val="center"/>
          </w:tcPr>
          <w:p w14:paraId="28F67965">
            <w:pPr>
              <w:widowControl/>
              <w:jc w:val="center"/>
              <w:rPr>
                <w:rFonts w:ascii="宋体" w:hAnsi="宋体" w:eastAsia="宋体" w:cs="宋体"/>
                <w:kern w:val="0"/>
                <w:sz w:val="24"/>
                <w:szCs w:val="24"/>
              </w:rPr>
            </w:pPr>
            <w:r>
              <w:rPr>
                <w:rFonts w:hint="eastAsia" w:ascii="宋体" w:hAnsi="宋体" w:eastAsia="宋体" w:cs="宋体"/>
                <w:kern w:val="0"/>
                <w:sz w:val="24"/>
                <w:szCs w:val="24"/>
              </w:rPr>
              <w:t>53.762</w:t>
            </w:r>
          </w:p>
        </w:tc>
        <w:tc>
          <w:tcPr>
            <w:tcW w:w="778" w:type="pct"/>
            <w:tcBorders>
              <w:top w:val="nil"/>
              <w:left w:val="nil"/>
              <w:bottom w:val="single" w:color="auto" w:sz="4" w:space="0"/>
              <w:right w:val="single" w:color="auto" w:sz="4" w:space="0"/>
            </w:tcBorders>
            <w:shd w:val="clear" w:color="auto" w:fill="auto"/>
            <w:vAlign w:val="center"/>
          </w:tcPr>
          <w:p w14:paraId="55FFEB19">
            <w:pPr>
              <w:widowControl/>
              <w:jc w:val="center"/>
              <w:rPr>
                <w:rFonts w:ascii="宋体" w:hAnsi="宋体" w:eastAsia="宋体" w:cs="宋体"/>
                <w:kern w:val="0"/>
                <w:sz w:val="24"/>
                <w:szCs w:val="24"/>
              </w:rPr>
            </w:pPr>
            <w:r>
              <w:rPr>
                <w:rFonts w:hint="eastAsia" w:ascii="宋体" w:hAnsi="宋体" w:eastAsia="宋体" w:cs="宋体"/>
                <w:kern w:val="0"/>
                <w:sz w:val="24"/>
                <w:szCs w:val="24"/>
              </w:rPr>
              <w:t>0+000~53+762</w:t>
            </w:r>
          </w:p>
        </w:tc>
        <w:tc>
          <w:tcPr>
            <w:tcW w:w="663" w:type="pct"/>
            <w:tcBorders>
              <w:top w:val="nil"/>
              <w:left w:val="nil"/>
              <w:bottom w:val="single" w:color="auto" w:sz="4" w:space="0"/>
              <w:right w:val="single" w:color="auto" w:sz="4" w:space="0"/>
            </w:tcBorders>
            <w:shd w:val="clear" w:color="auto" w:fill="auto"/>
            <w:noWrap/>
            <w:vAlign w:val="center"/>
          </w:tcPr>
          <w:p w14:paraId="3E567DCA">
            <w:pPr>
              <w:widowControl/>
              <w:jc w:val="center"/>
              <w:rPr>
                <w:rFonts w:ascii="宋体" w:hAnsi="宋体" w:eastAsia="宋体" w:cs="宋体"/>
                <w:kern w:val="0"/>
                <w:sz w:val="24"/>
                <w:szCs w:val="24"/>
              </w:rPr>
            </w:pPr>
            <w:r>
              <w:rPr>
                <w:rFonts w:hint="eastAsia" w:ascii="宋体" w:hAnsi="宋体" w:eastAsia="宋体" w:cs="宋体"/>
                <w:kern w:val="0"/>
                <w:sz w:val="24"/>
                <w:szCs w:val="24"/>
              </w:rPr>
              <w:t>2128932</w:t>
            </w:r>
          </w:p>
        </w:tc>
        <w:tc>
          <w:tcPr>
            <w:tcW w:w="268" w:type="pct"/>
            <w:tcBorders>
              <w:top w:val="nil"/>
              <w:left w:val="nil"/>
              <w:bottom w:val="single" w:color="auto" w:sz="4" w:space="0"/>
              <w:right w:val="single" w:color="auto" w:sz="4" w:space="0"/>
            </w:tcBorders>
            <w:shd w:val="clear" w:color="auto" w:fill="auto"/>
            <w:noWrap/>
            <w:vAlign w:val="center"/>
          </w:tcPr>
          <w:p w14:paraId="094076D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1BAB97D8">
            <w:pPr>
              <w:widowControl/>
              <w:jc w:val="center"/>
              <w:rPr>
                <w:rFonts w:ascii="宋体" w:hAnsi="宋体" w:eastAsia="宋体" w:cs="宋体"/>
                <w:kern w:val="0"/>
                <w:sz w:val="24"/>
                <w:szCs w:val="24"/>
              </w:rPr>
            </w:pPr>
            <w:r>
              <w:rPr>
                <w:rFonts w:hint="eastAsia" w:ascii="宋体" w:hAnsi="宋体" w:eastAsia="宋体" w:cs="宋体"/>
                <w:kern w:val="0"/>
                <w:sz w:val="24"/>
                <w:szCs w:val="24"/>
              </w:rPr>
              <w:t>171138</w:t>
            </w:r>
          </w:p>
        </w:tc>
        <w:tc>
          <w:tcPr>
            <w:tcW w:w="277" w:type="pct"/>
            <w:tcBorders>
              <w:top w:val="nil"/>
              <w:left w:val="nil"/>
              <w:bottom w:val="single" w:color="auto" w:sz="4" w:space="0"/>
              <w:right w:val="single" w:color="auto" w:sz="4" w:space="0"/>
            </w:tcBorders>
            <w:shd w:val="clear" w:color="auto" w:fill="auto"/>
            <w:noWrap/>
            <w:vAlign w:val="center"/>
          </w:tcPr>
          <w:p w14:paraId="481749F0">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2D2C0C71">
            <w:pPr>
              <w:widowControl/>
              <w:jc w:val="center"/>
              <w:rPr>
                <w:rFonts w:ascii="宋体" w:hAnsi="宋体" w:eastAsia="宋体" w:cs="宋体"/>
                <w:kern w:val="0"/>
                <w:sz w:val="24"/>
                <w:szCs w:val="24"/>
              </w:rPr>
            </w:pPr>
            <w:r>
              <w:rPr>
                <w:rFonts w:hint="eastAsia" w:ascii="宋体" w:hAnsi="宋体" w:eastAsia="宋体" w:cs="宋体"/>
                <w:kern w:val="0"/>
                <w:sz w:val="24"/>
                <w:szCs w:val="24"/>
              </w:rPr>
              <w:t>268810</w:t>
            </w:r>
          </w:p>
        </w:tc>
        <w:tc>
          <w:tcPr>
            <w:tcW w:w="266" w:type="pct"/>
            <w:tcBorders>
              <w:top w:val="nil"/>
              <w:left w:val="nil"/>
              <w:bottom w:val="single" w:color="auto" w:sz="4" w:space="0"/>
              <w:right w:val="single" w:color="auto" w:sz="4" w:space="0"/>
            </w:tcBorders>
            <w:shd w:val="clear" w:color="auto" w:fill="auto"/>
            <w:noWrap/>
            <w:vAlign w:val="center"/>
          </w:tcPr>
          <w:p w14:paraId="07E5395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87D40C2">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03481B4A">
            <w:pPr>
              <w:widowControl/>
              <w:jc w:val="center"/>
              <w:rPr>
                <w:rFonts w:ascii="宋体" w:hAnsi="宋体" w:eastAsia="宋体" w:cs="宋体"/>
                <w:kern w:val="0"/>
                <w:sz w:val="24"/>
                <w:szCs w:val="24"/>
              </w:rPr>
            </w:pPr>
            <w:r>
              <w:rPr>
                <w:rFonts w:ascii="宋体" w:hAnsi="宋体" w:eastAsia="宋体" w:cs="宋体"/>
                <w:kern w:val="0"/>
                <w:sz w:val="24"/>
                <w:szCs w:val="24"/>
              </w:rPr>
              <w:t>8</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F0CEEB">
            <w:pPr>
              <w:widowControl/>
              <w:jc w:val="center"/>
              <w:rPr>
                <w:rFonts w:ascii="宋体" w:hAnsi="宋体" w:eastAsia="宋体" w:cs="宋体"/>
                <w:kern w:val="0"/>
                <w:sz w:val="24"/>
                <w:szCs w:val="24"/>
              </w:rPr>
            </w:pPr>
            <w:r>
              <w:rPr>
                <w:rFonts w:hint="eastAsia" w:ascii="宋体" w:hAnsi="宋体" w:eastAsia="宋体" w:cs="宋体"/>
                <w:kern w:val="0"/>
                <w:sz w:val="24"/>
                <w:szCs w:val="24"/>
              </w:rPr>
              <w:t>潘集局</w:t>
            </w:r>
          </w:p>
        </w:tc>
        <w:tc>
          <w:tcPr>
            <w:tcW w:w="707" w:type="pct"/>
            <w:tcBorders>
              <w:top w:val="nil"/>
              <w:left w:val="nil"/>
              <w:bottom w:val="single" w:color="auto" w:sz="4" w:space="0"/>
              <w:right w:val="single" w:color="auto" w:sz="4" w:space="0"/>
            </w:tcBorders>
            <w:shd w:val="clear" w:color="auto" w:fill="auto"/>
            <w:vAlign w:val="center"/>
          </w:tcPr>
          <w:p w14:paraId="7C4BF8D0">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淮北大堤潘集段</w:t>
            </w:r>
          </w:p>
        </w:tc>
        <w:tc>
          <w:tcPr>
            <w:tcW w:w="383" w:type="pct"/>
            <w:tcBorders>
              <w:top w:val="nil"/>
              <w:left w:val="nil"/>
              <w:bottom w:val="single" w:color="auto" w:sz="4" w:space="0"/>
              <w:right w:val="single" w:color="auto" w:sz="4" w:space="0"/>
            </w:tcBorders>
            <w:shd w:val="clear" w:color="auto" w:fill="auto"/>
            <w:noWrap/>
            <w:vAlign w:val="center"/>
          </w:tcPr>
          <w:p w14:paraId="63FE00D1">
            <w:pPr>
              <w:widowControl/>
              <w:jc w:val="center"/>
              <w:rPr>
                <w:rFonts w:ascii="宋体" w:hAnsi="宋体" w:eastAsia="宋体" w:cs="宋体"/>
                <w:kern w:val="0"/>
                <w:sz w:val="24"/>
                <w:szCs w:val="24"/>
              </w:rPr>
            </w:pPr>
            <w:r>
              <w:rPr>
                <w:rFonts w:hint="eastAsia" w:ascii="宋体" w:hAnsi="宋体" w:eastAsia="宋体" w:cs="宋体"/>
                <w:kern w:val="0"/>
                <w:sz w:val="24"/>
                <w:szCs w:val="24"/>
              </w:rPr>
              <w:t>33.953</w:t>
            </w:r>
          </w:p>
        </w:tc>
        <w:tc>
          <w:tcPr>
            <w:tcW w:w="778" w:type="pct"/>
            <w:tcBorders>
              <w:top w:val="nil"/>
              <w:left w:val="nil"/>
              <w:bottom w:val="single" w:color="auto" w:sz="4" w:space="0"/>
              <w:right w:val="single" w:color="auto" w:sz="4" w:space="0"/>
            </w:tcBorders>
            <w:shd w:val="clear" w:color="auto" w:fill="auto"/>
            <w:vAlign w:val="center"/>
          </w:tcPr>
          <w:p w14:paraId="3BB4FBF7">
            <w:pPr>
              <w:widowControl/>
              <w:jc w:val="center"/>
              <w:rPr>
                <w:rFonts w:ascii="宋体" w:hAnsi="宋体" w:eastAsia="宋体" w:cs="宋体"/>
                <w:kern w:val="0"/>
                <w:sz w:val="24"/>
                <w:szCs w:val="24"/>
              </w:rPr>
            </w:pPr>
            <w:r>
              <w:rPr>
                <w:rFonts w:hint="eastAsia" w:ascii="宋体" w:hAnsi="宋体" w:eastAsia="宋体" w:cs="宋体"/>
                <w:kern w:val="0"/>
                <w:sz w:val="24"/>
                <w:szCs w:val="24"/>
              </w:rPr>
              <w:t>50+254~84+207</w:t>
            </w:r>
          </w:p>
        </w:tc>
        <w:tc>
          <w:tcPr>
            <w:tcW w:w="663" w:type="pct"/>
            <w:tcBorders>
              <w:top w:val="nil"/>
              <w:left w:val="nil"/>
              <w:bottom w:val="single" w:color="auto" w:sz="4" w:space="0"/>
              <w:right w:val="single" w:color="auto" w:sz="4" w:space="0"/>
            </w:tcBorders>
            <w:shd w:val="clear" w:color="auto" w:fill="auto"/>
            <w:noWrap/>
            <w:vAlign w:val="center"/>
          </w:tcPr>
          <w:p w14:paraId="76FED905">
            <w:pPr>
              <w:widowControl/>
              <w:jc w:val="center"/>
              <w:rPr>
                <w:rFonts w:ascii="宋体" w:hAnsi="宋体" w:eastAsia="宋体" w:cs="宋体"/>
                <w:kern w:val="0"/>
                <w:sz w:val="24"/>
                <w:szCs w:val="24"/>
              </w:rPr>
            </w:pPr>
            <w:r>
              <w:rPr>
                <w:rFonts w:hint="eastAsia" w:ascii="宋体" w:hAnsi="宋体" w:eastAsia="宋体" w:cs="宋体"/>
                <w:kern w:val="0"/>
                <w:sz w:val="24"/>
                <w:szCs w:val="24"/>
              </w:rPr>
              <w:t>1315700</w:t>
            </w:r>
          </w:p>
        </w:tc>
        <w:tc>
          <w:tcPr>
            <w:tcW w:w="268" w:type="pct"/>
            <w:tcBorders>
              <w:top w:val="nil"/>
              <w:left w:val="nil"/>
              <w:bottom w:val="single" w:color="auto" w:sz="4" w:space="0"/>
              <w:right w:val="single" w:color="auto" w:sz="4" w:space="0"/>
            </w:tcBorders>
            <w:shd w:val="clear" w:color="auto" w:fill="auto"/>
            <w:noWrap/>
            <w:vAlign w:val="center"/>
          </w:tcPr>
          <w:p w14:paraId="63D85882">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DD6E86B">
            <w:pPr>
              <w:widowControl/>
              <w:jc w:val="center"/>
              <w:rPr>
                <w:rFonts w:ascii="宋体" w:hAnsi="宋体" w:eastAsia="宋体" w:cs="宋体"/>
                <w:kern w:val="0"/>
                <w:sz w:val="24"/>
                <w:szCs w:val="24"/>
              </w:rPr>
            </w:pPr>
            <w:r>
              <w:rPr>
                <w:rFonts w:hint="eastAsia" w:ascii="宋体" w:hAnsi="宋体" w:eastAsia="宋体" w:cs="宋体"/>
                <w:kern w:val="0"/>
                <w:sz w:val="24"/>
                <w:szCs w:val="24"/>
              </w:rPr>
              <w:t>429780</w:t>
            </w:r>
          </w:p>
        </w:tc>
        <w:tc>
          <w:tcPr>
            <w:tcW w:w="277" w:type="pct"/>
            <w:tcBorders>
              <w:top w:val="nil"/>
              <w:left w:val="nil"/>
              <w:bottom w:val="single" w:color="auto" w:sz="4" w:space="0"/>
              <w:right w:val="single" w:color="auto" w:sz="4" w:space="0"/>
            </w:tcBorders>
            <w:shd w:val="clear" w:color="auto" w:fill="auto"/>
            <w:noWrap/>
            <w:vAlign w:val="center"/>
          </w:tcPr>
          <w:p w14:paraId="5AAEDC86">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464D0811">
            <w:pPr>
              <w:widowControl/>
              <w:jc w:val="center"/>
              <w:rPr>
                <w:rFonts w:ascii="宋体" w:hAnsi="宋体" w:eastAsia="宋体" w:cs="宋体"/>
                <w:kern w:val="0"/>
                <w:sz w:val="24"/>
                <w:szCs w:val="24"/>
              </w:rPr>
            </w:pPr>
            <w:r>
              <w:rPr>
                <w:rFonts w:hint="eastAsia" w:ascii="宋体" w:hAnsi="宋体" w:eastAsia="宋体" w:cs="宋体"/>
                <w:kern w:val="0"/>
                <w:sz w:val="24"/>
                <w:szCs w:val="24"/>
              </w:rPr>
              <w:t>1450000</w:t>
            </w:r>
          </w:p>
        </w:tc>
        <w:tc>
          <w:tcPr>
            <w:tcW w:w="266" w:type="pct"/>
            <w:tcBorders>
              <w:top w:val="nil"/>
              <w:left w:val="nil"/>
              <w:bottom w:val="single" w:color="auto" w:sz="4" w:space="0"/>
              <w:right w:val="single" w:color="auto" w:sz="4" w:space="0"/>
            </w:tcBorders>
            <w:shd w:val="clear" w:color="auto" w:fill="auto"/>
            <w:noWrap/>
            <w:vAlign w:val="center"/>
          </w:tcPr>
          <w:p w14:paraId="2D3E23F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6B03CA3">
        <w:tblPrEx>
          <w:tblCellMar>
            <w:top w:w="0" w:type="dxa"/>
            <w:left w:w="108" w:type="dxa"/>
            <w:bottom w:w="0" w:type="dxa"/>
            <w:right w:w="108" w:type="dxa"/>
          </w:tblCellMar>
        </w:tblPrEx>
        <w:trPr>
          <w:trHeight w:val="634" w:hRule="exact"/>
        </w:trPr>
        <w:tc>
          <w:tcPr>
            <w:tcW w:w="238" w:type="pct"/>
            <w:vMerge w:val="continue"/>
            <w:tcBorders>
              <w:top w:val="nil"/>
              <w:left w:val="single" w:color="auto" w:sz="4" w:space="0"/>
              <w:bottom w:val="single" w:color="auto" w:sz="4" w:space="0"/>
              <w:right w:val="single" w:color="auto" w:sz="4" w:space="0"/>
            </w:tcBorders>
            <w:vAlign w:val="center"/>
          </w:tcPr>
          <w:p w14:paraId="4B526C2A">
            <w:pPr>
              <w:widowControl/>
              <w:jc w:val="left"/>
              <w:rPr>
                <w:rFonts w:ascii="宋体" w:hAnsi="宋体" w:eastAsia="宋体" w:cs="宋体"/>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vAlign w:val="center"/>
          </w:tcPr>
          <w:p w14:paraId="4E28A2F4">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5CEB478F">
            <w:pPr>
              <w:widowControl/>
              <w:jc w:val="center"/>
              <w:rPr>
                <w:rFonts w:ascii="宋体" w:hAnsi="宋体" w:eastAsia="宋体" w:cs="宋体"/>
                <w:kern w:val="0"/>
                <w:sz w:val="24"/>
                <w:szCs w:val="24"/>
              </w:rPr>
            </w:pPr>
            <w:r>
              <w:rPr>
                <w:rFonts w:hint="eastAsia" w:ascii="宋体" w:hAnsi="宋体" w:eastAsia="宋体" w:cs="宋体"/>
                <w:kern w:val="0"/>
                <w:sz w:val="24"/>
                <w:szCs w:val="24"/>
              </w:rPr>
              <w:t>茨淮新河右堤潘集段</w:t>
            </w:r>
          </w:p>
        </w:tc>
        <w:tc>
          <w:tcPr>
            <w:tcW w:w="383" w:type="pct"/>
            <w:tcBorders>
              <w:top w:val="nil"/>
              <w:left w:val="nil"/>
              <w:bottom w:val="single" w:color="auto" w:sz="4" w:space="0"/>
              <w:right w:val="single" w:color="auto" w:sz="4" w:space="0"/>
            </w:tcBorders>
            <w:shd w:val="clear" w:color="auto" w:fill="auto"/>
            <w:noWrap/>
            <w:vAlign w:val="center"/>
          </w:tcPr>
          <w:p w14:paraId="1D1F527B">
            <w:pPr>
              <w:widowControl/>
              <w:jc w:val="center"/>
              <w:rPr>
                <w:rFonts w:ascii="宋体" w:hAnsi="宋体" w:eastAsia="宋体" w:cs="宋体"/>
                <w:kern w:val="0"/>
                <w:sz w:val="24"/>
                <w:szCs w:val="24"/>
              </w:rPr>
            </w:pPr>
            <w:r>
              <w:rPr>
                <w:rFonts w:hint="eastAsia" w:ascii="宋体" w:hAnsi="宋体" w:eastAsia="宋体" w:cs="宋体"/>
                <w:kern w:val="0"/>
                <w:sz w:val="24"/>
                <w:szCs w:val="24"/>
              </w:rPr>
              <w:t>7.1</w:t>
            </w:r>
          </w:p>
        </w:tc>
        <w:tc>
          <w:tcPr>
            <w:tcW w:w="778" w:type="pct"/>
            <w:tcBorders>
              <w:top w:val="nil"/>
              <w:left w:val="nil"/>
              <w:bottom w:val="single" w:color="auto" w:sz="4" w:space="0"/>
              <w:right w:val="single" w:color="auto" w:sz="4" w:space="0"/>
            </w:tcBorders>
            <w:shd w:val="clear" w:color="auto" w:fill="auto"/>
            <w:vAlign w:val="center"/>
          </w:tcPr>
          <w:p w14:paraId="2743C674">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46D3DF87">
            <w:pPr>
              <w:widowControl/>
              <w:jc w:val="center"/>
              <w:rPr>
                <w:rFonts w:ascii="宋体" w:hAnsi="宋体" w:eastAsia="宋体" w:cs="宋体"/>
                <w:kern w:val="0"/>
                <w:sz w:val="24"/>
                <w:szCs w:val="24"/>
              </w:rPr>
            </w:pPr>
            <w:r>
              <w:rPr>
                <w:rFonts w:hint="eastAsia" w:ascii="宋体" w:hAnsi="宋体" w:eastAsia="宋体" w:cs="宋体"/>
                <w:kern w:val="0"/>
                <w:sz w:val="24"/>
                <w:szCs w:val="24"/>
              </w:rPr>
              <w:t>53520</w:t>
            </w:r>
          </w:p>
        </w:tc>
        <w:tc>
          <w:tcPr>
            <w:tcW w:w="268" w:type="pct"/>
            <w:tcBorders>
              <w:top w:val="nil"/>
              <w:left w:val="nil"/>
              <w:bottom w:val="single" w:color="auto" w:sz="4" w:space="0"/>
              <w:right w:val="single" w:color="auto" w:sz="4" w:space="0"/>
            </w:tcBorders>
            <w:shd w:val="clear" w:color="auto" w:fill="auto"/>
            <w:noWrap/>
            <w:vAlign w:val="center"/>
          </w:tcPr>
          <w:p w14:paraId="49791A46">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8F00660">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4D31C88E">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08387E6D">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2DCB91B9">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0AE8A690">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7B56A5F8">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373" w:type="pct"/>
            <w:vMerge w:val="restart"/>
            <w:tcBorders>
              <w:top w:val="nil"/>
              <w:left w:val="single" w:color="auto" w:sz="4" w:space="0"/>
              <w:bottom w:val="single" w:color="000000" w:sz="4" w:space="0"/>
              <w:right w:val="single" w:color="auto" w:sz="4" w:space="0"/>
            </w:tcBorders>
            <w:shd w:val="clear" w:color="auto" w:fill="auto"/>
            <w:noWrap/>
            <w:vAlign w:val="center"/>
          </w:tcPr>
          <w:p w14:paraId="2ABA6A7D">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凤台局1</w:t>
            </w:r>
          </w:p>
        </w:tc>
        <w:tc>
          <w:tcPr>
            <w:tcW w:w="707" w:type="pct"/>
            <w:tcBorders>
              <w:top w:val="nil"/>
              <w:left w:val="nil"/>
              <w:bottom w:val="single" w:color="auto" w:sz="4" w:space="0"/>
              <w:right w:val="single" w:color="auto" w:sz="4" w:space="0"/>
            </w:tcBorders>
            <w:shd w:val="clear" w:color="auto" w:fill="auto"/>
            <w:vAlign w:val="center"/>
          </w:tcPr>
          <w:p w14:paraId="2660D9ED">
            <w:pPr>
              <w:widowControl/>
              <w:jc w:val="center"/>
              <w:rPr>
                <w:rFonts w:ascii="宋体" w:hAnsi="宋体" w:eastAsia="宋体" w:cs="宋体"/>
                <w:kern w:val="0"/>
                <w:sz w:val="24"/>
                <w:szCs w:val="24"/>
              </w:rPr>
            </w:pPr>
            <w:r>
              <w:rPr>
                <w:rFonts w:hint="eastAsia" w:ascii="宋体" w:hAnsi="宋体" w:eastAsia="宋体" w:cs="宋体"/>
                <w:kern w:val="0"/>
                <w:sz w:val="24"/>
                <w:szCs w:val="24"/>
              </w:rPr>
              <w:t>西淝河左堤</w:t>
            </w:r>
          </w:p>
        </w:tc>
        <w:tc>
          <w:tcPr>
            <w:tcW w:w="383" w:type="pct"/>
            <w:tcBorders>
              <w:top w:val="nil"/>
              <w:left w:val="nil"/>
              <w:bottom w:val="single" w:color="auto" w:sz="4" w:space="0"/>
              <w:right w:val="single" w:color="auto" w:sz="4" w:space="0"/>
            </w:tcBorders>
            <w:shd w:val="clear" w:color="auto" w:fill="auto"/>
            <w:vAlign w:val="center"/>
          </w:tcPr>
          <w:p w14:paraId="67A38864">
            <w:pPr>
              <w:widowControl/>
              <w:jc w:val="center"/>
              <w:rPr>
                <w:rFonts w:ascii="宋体" w:hAnsi="宋体" w:eastAsia="宋体" w:cs="宋体"/>
                <w:kern w:val="0"/>
                <w:sz w:val="24"/>
                <w:szCs w:val="24"/>
              </w:rPr>
            </w:pPr>
            <w:r>
              <w:rPr>
                <w:rFonts w:hint="eastAsia" w:ascii="宋体" w:hAnsi="宋体" w:eastAsia="宋体" w:cs="宋体"/>
                <w:kern w:val="0"/>
                <w:sz w:val="24"/>
                <w:szCs w:val="24"/>
              </w:rPr>
              <w:t>42.752</w:t>
            </w:r>
          </w:p>
        </w:tc>
        <w:tc>
          <w:tcPr>
            <w:tcW w:w="778" w:type="pct"/>
            <w:tcBorders>
              <w:top w:val="nil"/>
              <w:left w:val="nil"/>
              <w:bottom w:val="single" w:color="auto" w:sz="4" w:space="0"/>
              <w:right w:val="single" w:color="auto" w:sz="4" w:space="0"/>
            </w:tcBorders>
            <w:shd w:val="clear" w:color="auto" w:fill="auto"/>
            <w:vAlign w:val="center"/>
          </w:tcPr>
          <w:p w14:paraId="63B37842">
            <w:pPr>
              <w:widowControl/>
              <w:jc w:val="center"/>
              <w:rPr>
                <w:rFonts w:ascii="宋体" w:hAnsi="宋体" w:eastAsia="宋体" w:cs="宋体"/>
                <w:kern w:val="0"/>
                <w:sz w:val="24"/>
                <w:szCs w:val="24"/>
              </w:rPr>
            </w:pPr>
            <w:r>
              <w:rPr>
                <w:rFonts w:hint="eastAsia" w:ascii="宋体" w:hAnsi="宋体" w:eastAsia="宋体" w:cs="宋体"/>
                <w:kern w:val="0"/>
                <w:sz w:val="24"/>
                <w:szCs w:val="24"/>
              </w:rPr>
              <w:t>0+000~42+752</w:t>
            </w:r>
          </w:p>
        </w:tc>
        <w:tc>
          <w:tcPr>
            <w:tcW w:w="663" w:type="pct"/>
            <w:tcBorders>
              <w:top w:val="nil"/>
              <w:left w:val="nil"/>
              <w:bottom w:val="single" w:color="auto" w:sz="4" w:space="0"/>
              <w:right w:val="single" w:color="auto" w:sz="4" w:space="0"/>
            </w:tcBorders>
            <w:shd w:val="clear" w:color="auto" w:fill="auto"/>
            <w:noWrap/>
            <w:vAlign w:val="center"/>
          </w:tcPr>
          <w:p w14:paraId="6FF4E1B1">
            <w:pPr>
              <w:widowControl/>
              <w:jc w:val="center"/>
              <w:rPr>
                <w:rFonts w:ascii="宋体" w:hAnsi="宋体" w:eastAsia="宋体" w:cs="宋体"/>
                <w:kern w:val="0"/>
                <w:sz w:val="24"/>
                <w:szCs w:val="24"/>
              </w:rPr>
            </w:pPr>
            <w:r>
              <w:rPr>
                <w:rFonts w:hint="eastAsia" w:ascii="宋体" w:hAnsi="宋体" w:eastAsia="宋体" w:cs="宋体"/>
                <w:kern w:val="0"/>
                <w:sz w:val="24"/>
                <w:szCs w:val="24"/>
              </w:rPr>
              <w:t>1413687</w:t>
            </w:r>
          </w:p>
        </w:tc>
        <w:tc>
          <w:tcPr>
            <w:tcW w:w="268" w:type="pct"/>
            <w:tcBorders>
              <w:top w:val="nil"/>
              <w:left w:val="nil"/>
              <w:bottom w:val="single" w:color="auto" w:sz="4" w:space="0"/>
              <w:right w:val="single" w:color="auto" w:sz="4" w:space="0"/>
            </w:tcBorders>
            <w:shd w:val="clear" w:color="auto" w:fill="auto"/>
            <w:noWrap/>
            <w:vAlign w:val="center"/>
          </w:tcPr>
          <w:p w14:paraId="2A71FCCD">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390E3FD">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4A9612E5">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63B424A9">
            <w:pPr>
              <w:widowControl/>
              <w:jc w:val="center"/>
              <w:rPr>
                <w:rFonts w:ascii="宋体" w:hAnsi="宋体" w:eastAsia="宋体" w:cs="宋体"/>
                <w:kern w:val="0"/>
                <w:sz w:val="24"/>
                <w:szCs w:val="24"/>
              </w:rPr>
            </w:pPr>
            <w:r>
              <w:rPr>
                <w:rFonts w:hint="eastAsia" w:ascii="宋体" w:hAnsi="宋体" w:eastAsia="宋体" w:cs="宋体"/>
                <w:kern w:val="0"/>
                <w:sz w:val="24"/>
                <w:szCs w:val="24"/>
              </w:rPr>
              <w:t>953328</w:t>
            </w:r>
          </w:p>
        </w:tc>
        <w:tc>
          <w:tcPr>
            <w:tcW w:w="266" w:type="pct"/>
            <w:tcBorders>
              <w:top w:val="nil"/>
              <w:left w:val="nil"/>
              <w:bottom w:val="single" w:color="auto" w:sz="4" w:space="0"/>
              <w:right w:val="single" w:color="auto" w:sz="4" w:space="0"/>
            </w:tcBorders>
            <w:shd w:val="clear" w:color="auto" w:fill="auto"/>
            <w:noWrap/>
            <w:vAlign w:val="center"/>
          </w:tcPr>
          <w:p w14:paraId="6C7F576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3778F8B8">
        <w:tblPrEx>
          <w:tblCellMar>
            <w:top w:w="0" w:type="dxa"/>
            <w:left w:w="108" w:type="dxa"/>
            <w:bottom w:w="0" w:type="dxa"/>
            <w:right w:w="108" w:type="dxa"/>
          </w:tblCellMar>
        </w:tblPrEx>
        <w:trPr>
          <w:trHeight w:val="454" w:hRule="exact"/>
        </w:trPr>
        <w:tc>
          <w:tcPr>
            <w:tcW w:w="238" w:type="pct"/>
            <w:vMerge w:val="continue"/>
            <w:tcBorders>
              <w:top w:val="nil"/>
              <w:left w:val="single" w:color="auto" w:sz="4" w:space="0"/>
              <w:bottom w:val="single" w:color="auto" w:sz="4" w:space="0"/>
              <w:right w:val="single" w:color="auto" w:sz="4" w:space="0"/>
            </w:tcBorders>
            <w:vAlign w:val="center"/>
          </w:tcPr>
          <w:p w14:paraId="58C0AB6D">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001B2721">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2EEAF0DF">
            <w:pPr>
              <w:widowControl/>
              <w:jc w:val="center"/>
              <w:rPr>
                <w:rFonts w:ascii="宋体" w:hAnsi="宋体" w:eastAsia="宋体" w:cs="宋体"/>
                <w:kern w:val="0"/>
                <w:sz w:val="24"/>
                <w:szCs w:val="24"/>
              </w:rPr>
            </w:pPr>
            <w:r>
              <w:rPr>
                <w:rFonts w:hint="eastAsia" w:ascii="宋体" w:hAnsi="宋体" w:eastAsia="宋体" w:cs="宋体"/>
                <w:kern w:val="0"/>
                <w:sz w:val="24"/>
                <w:szCs w:val="24"/>
              </w:rPr>
              <w:t>茨淮新河右堤</w:t>
            </w:r>
          </w:p>
        </w:tc>
        <w:tc>
          <w:tcPr>
            <w:tcW w:w="383" w:type="pct"/>
            <w:tcBorders>
              <w:top w:val="nil"/>
              <w:left w:val="nil"/>
              <w:bottom w:val="single" w:color="auto" w:sz="4" w:space="0"/>
              <w:right w:val="single" w:color="auto" w:sz="4" w:space="0"/>
            </w:tcBorders>
            <w:shd w:val="clear" w:color="auto" w:fill="auto"/>
            <w:vAlign w:val="center"/>
          </w:tcPr>
          <w:p w14:paraId="1283E007">
            <w:pPr>
              <w:widowControl/>
              <w:jc w:val="center"/>
              <w:rPr>
                <w:rFonts w:ascii="宋体" w:hAnsi="宋体" w:eastAsia="宋体" w:cs="宋体"/>
                <w:kern w:val="0"/>
                <w:sz w:val="24"/>
                <w:szCs w:val="24"/>
              </w:rPr>
            </w:pPr>
            <w:r>
              <w:rPr>
                <w:rFonts w:hint="eastAsia" w:ascii="宋体" w:hAnsi="宋体" w:eastAsia="宋体" w:cs="宋体"/>
                <w:kern w:val="0"/>
                <w:sz w:val="24"/>
                <w:szCs w:val="24"/>
              </w:rPr>
              <w:t>31.374</w:t>
            </w:r>
          </w:p>
        </w:tc>
        <w:tc>
          <w:tcPr>
            <w:tcW w:w="778" w:type="pct"/>
            <w:tcBorders>
              <w:top w:val="nil"/>
              <w:left w:val="nil"/>
              <w:bottom w:val="single" w:color="auto" w:sz="4" w:space="0"/>
              <w:right w:val="single" w:color="auto" w:sz="4" w:space="0"/>
            </w:tcBorders>
            <w:shd w:val="clear" w:color="auto" w:fill="auto"/>
            <w:vAlign w:val="center"/>
          </w:tcPr>
          <w:p w14:paraId="0875B2DD">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663" w:type="pct"/>
            <w:tcBorders>
              <w:top w:val="nil"/>
              <w:left w:val="nil"/>
              <w:bottom w:val="single" w:color="auto" w:sz="4" w:space="0"/>
              <w:right w:val="single" w:color="auto" w:sz="4" w:space="0"/>
            </w:tcBorders>
            <w:shd w:val="clear" w:color="auto" w:fill="auto"/>
            <w:noWrap/>
            <w:vAlign w:val="center"/>
          </w:tcPr>
          <w:p w14:paraId="6C3B3906">
            <w:pPr>
              <w:widowControl/>
              <w:jc w:val="center"/>
              <w:rPr>
                <w:rFonts w:ascii="宋体" w:hAnsi="宋体" w:eastAsia="宋体" w:cs="宋体"/>
                <w:kern w:val="0"/>
                <w:sz w:val="24"/>
                <w:szCs w:val="24"/>
              </w:rPr>
            </w:pPr>
            <w:r>
              <w:rPr>
                <w:rFonts w:hint="eastAsia" w:ascii="宋体" w:hAnsi="宋体" w:eastAsia="宋体" w:cs="宋体"/>
                <w:kern w:val="0"/>
                <w:sz w:val="24"/>
                <w:szCs w:val="24"/>
              </w:rPr>
              <w:t>1160838</w:t>
            </w:r>
          </w:p>
        </w:tc>
        <w:tc>
          <w:tcPr>
            <w:tcW w:w="268" w:type="pct"/>
            <w:tcBorders>
              <w:top w:val="nil"/>
              <w:left w:val="nil"/>
              <w:bottom w:val="single" w:color="auto" w:sz="4" w:space="0"/>
              <w:right w:val="single" w:color="auto" w:sz="4" w:space="0"/>
            </w:tcBorders>
            <w:shd w:val="clear" w:color="auto" w:fill="auto"/>
            <w:noWrap/>
            <w:vAlign w:val="center"/>
          </w:tcPr>
          <w:p w14:paraId="42DC76F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65" w:type="pct"/>
            <w:tcBorders>
              <w:top w:val="nil"/>
              <w:left w:val="nil"/>
              <w:bottom w:val="single" w:color="auto" w:sz="4" w:space="0"/>
              <w:right w:val="single" w:color="auto" w:sz="4" w:space="0"/>
            </w:tcBorders>
            <w:shd w:val="clear" w:color="auto" w:fill="auto"/>
            <w:noWrap/>
            <w:vAlign w:val="center"/>
          </w:tcPr>
          <w:p w14:paraId="06B75080">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77" w:type="pct"/>
            <w:tcBorders>
              <w:top w:val="nil"/>
              <w:left w:val="nil"/>
              <w:bottom w:val="single" w:color="auto" w:sz="4" w:space="0"/>
              <w:right w:val="single" w:color="auto" w:sz="4" w:space="0"/>
            </w:tcBorders>
            <w:shd w:val="clear" w:color="auto" w:fill="auto"/>
            <w:noWrap/>
            <w:vAlign w:val="center"/>
          </w:tcPr>
          <w:p w14:paraId="41154E07">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81" w:type="pct"/>
            <w:tcBorders>
              <w:top w:val="nil"/>
              <w:left w:val="nil"/>
              <w:bottom w:val="single" w:color="auto" w:sz="4" w:space="0"/>
              <w:right w:val="single" w:color="auto" w:sz="4" w:space="0"/>
            </w:tcBorders>
            <w:shd w:val="clear" w:color="auto" w:fill="auto"/>
            <w:noWrap/>
            <w:vAlign w:val="center"/>
          </w:tcPr>
          <w:p w14:paraId="21C3AF0D">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7AAD7EB3">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25C6DFBF">
        <w:tblPrEx>
          <w:tblCellMar>
            <w:top w:w="0" w:type="dxa"/>
            <w:left w:w="108" w:type="dxa"/>
            <w:bottom w:w="0" w:type="dxa"/>
            <w:right w:w="108" w:type="dxa"/>
          </w:tblCellMar>
        </w:tblPrEx>
        <w:trPr>
          <w:trHeight w:val="1059" w:hRule="exact"/>
        </w:trPr>
        <w:tc>
          <w:tcPr>
            <w:tcW w:w="238" w:type="pct"/>
            <w:vMerge w:val="restart"/>
            <w:tcBorders>
              <w:top w:val="nil"/>
              <w:left w:val="single" w:color="auto" w:sz="4" w:space="0"/>
              <w:bottom w:val="single" w:color="auto" w:sz="4" w:space="0"/>
              <w:right w:val="single" w:color="auto" w:sz="4" w:space="0"/>
            </w:tcBorders>
            <w:shd w:val="clear" w:color="auto" w:fill="auto"/>
            <w:noWrap/>
            <w:vAlign w:val="center"/>
          </w:tcPr>
          <w:p w14:paraId="2A9522B5">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373" w:type="pct"/>
            <w:vMerge w:val="restart"/>
            <w:tcBorders>
              <w:top w:val="nil"/>
              <w:left w:val="single" w:color="auto" w:sz="4" w:space="0"/>
              <w:bottom w:val="single" w:color="000000" w:sz="4" w:space="0"/>
              <w:right w:val="single" w:color="auto" w:sz="4" w:space="0"/>
            </w:tcBorders>
            <w:shd w:val="clear" w:color="auto" w:fill="auto"/>
            <w:vAlign w:val="center"/>
          </w:tcPr>
          <w:p w14:paraId="2BDBAC5A">
            <w:pPr>
              <w:widowControl/>
              <w:jc w:val="center"/>
              <w:rPr>
                <w:rFonts w:ascii="宋体" w:hAnsi="宋体" w:eastAsia="宋体" w:cs="宋体"/>
                <w:kern w:val="0"/>
                <w:sz w:val="24"/>
                <w:szCs w:val="24"/>
              </w:rPr>
            </w:pPr>
            <w:r>
              <w:rPr>
                <w:rFonts w:hint="eastAsia" w:ascii="宋体" w:hAnsi="宋体" w:eastAsia="宋体" w:cs="宋体"/>
                <w:kern w:val="0"/>
                <w:sz w:val="24"/>
                <w:szCs w:val="24"/>
              </w:rPr>
              <w:t>凤台局2</w:t>
            </w:r>
          </w:p>
        </w:tc>
        <w:tc>
          <w:tcPr>
            <w:tcW w:w="707" w:type="pct"/>
            <w:tcBorders>
              <w:top w:val="nil"/>
              <w:left w:val="nil"/>
              <w:bottom w:val="single" w:color="auto" w:sz="4" w:space="0"/>
              <w:right w:val="single" w:color="auto" w:sz="4" w:space="0"/>
            </w:tcBorders>
            <w:shd w:val="clear" w:color="auto" w:fill="auto"/>
            <w:vAlign w:val="center"/>
          </w:tcPr>
          <w:p w14:paraId="2DBA54A7">
            <w:pPr>
              <w:widowControl/>
              <w:jc w:val="center"/>
              <w:rPr>
                <w:rFonts w:ascii="宋体" w:hAnsi="宋体" w:eastAsia="宋体" w:cs="宋体"/>
                <w:kern w:val="0"/>
                <w:sz w:val="24"/>
                <w:szCs w:val="24"/>
              </w:rPr>
            </w:pPr>
            <w:r>
              <w:rPr>
                <w:rFonts w:hint="eastAsia" w:ascii="宋体" w:hAnsi="宋体" w:eastAsia="宋体" w:cs="宋体"/>
                <w:kern w:val="0"/>
                <w:sz w:val="24"/>
                <w:szCs w:val="24"/>
              </w:rPr>
              <w:t>淮北大堤凤台段</w:t>
            </w:r>
          </w:p>
        </w:tc>
        <w:tc>
          <w:tcPr>
            <w:tcW w:w="383" w:type="pct"/>
            <w:tcBorders>
              <w:top w:val="nil"/>
              <w:left w:val="nil"/>
              <w:bottom w:val="single" w:color="auto" w:sz="4" w:space="0"/>
              <w:right w:val="single" w:color="auto" w:sz="4" w:space="0"/>
            </w:tcBorders>
            <w:shd w:val="clear" w:color="auto" w:fill="auto"/>
            <w:vAlign w:val="center"/>
          </w:tcPr>
          <w:p w14:paraId="68F57DD5">
            <w:pPr>
              <w:widowControl/>
              <w:jc w:val="center"/>
              <w:rPr>
                <w:rFonts w:ascii="宋体" w:hAnsi="宋体" w:eastAsia="宋体" w:cs="宋体"/>
                <w:kern w:val="0"/>
                <w:sz w:val="24"/>
                <w:szCs w:val="24"/>
              </w:rPr>
            </w:pPr>
            <w:r>
              <w:rPr>
                <w:rFonts w:hint="eastAsia" w:ascii="宋体" w:hAnsi="宋体" w:eastAsia="宋体" w:cs="宋体"/>
                <w:kern w:val="0"/>
                <w:sz w:val="24"/>
                <w:szCs w:val="24"/>
              </w:rPr>
              <w:t>30.872</w:t>
            </w:r>
          </w:p>
        </w:tc>
        <w:tc>
          <w:tcPr>
            <w:tcW w:w="778" w:type="pct"/>
            <w:tcBorders>
              <w:top w:val="nil"/>
              <w:left w:val="nil"/>
              <w:bottom w:val="single" w:color="auto" w:sz="4" w:space="0"/>
              <w:right w:val="single" w:color="auto" w:sz="4" w:space="0"/>
            </w:tcBorders>
            <w:shd w:val="clear" w:color="auto" w:fill="auto"/>
            <w:vAlign w:val="center"/>
          </w:tcPr>
          <w:p w14:paraId="1345C6B0">
            <w:pPr>
              <w:widowControl/>
              <w:jc w:val="center"/>
              <w:rPr>
                <w:rFonts w:ascii="宋体" w:hAnsi="宋体" w:eastAsia="宋体" w:cs="宋体"/>
                <w:kern w:val="0"/>
                <w:sz w:val="24"/>
                <w:szCs w:val="24"/>
              </w:rPr>
            </w:pPr>
            <w:r>
              <w:rPr>
                <w:rFonts w:hint="eastAsia" w:ascii="宋体" w:hAnsi="宋体" w:eastAsia="宋体" w:cs="宋体"/>
                <w:kern w:val="0"/>
                <w:sz w:val="24"/>
                <w:szCs w:val="24"/>
              </w:rPr>
              <w:t>17+482~34+603</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34+603~43+100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45+000~50+254</w:t>
            </w:r>
          </w:p>
        </w:tc>
        <w:tc>
          <w:tcPr>
            <w:tcW w:w="663" w:type="pct"/>
            <w:tcBorders>
              <w:top w:val="nil"/>
              <w:left w:val="nil"/>
              <w:bottom w:val="single" w:color="auto" w:sz="4" w:space="0"/>
              <w:right w:val="single" w:color="auto" w:sz="4" w:space="0"/>
            </w:tcBorders>
            <w:shd w:val="clear" w:color="auto" w:fill="auto"/>
            <w:noWrap/>
            <w:vAlign w:val="center"/>
          </w:tcPr>
          <w:p w14:paraId="623C8432">
            <w:pPr>
              <w:widowControl/>
              <w:jc w:val="center"/>
              <w:rPr>
                <w:rFonts w:ascii="宋体" w:hAnsi="宋体" w:eastAsia="宋体" w:cs="宋体"/>
                <w:kern w:val="0"/>
                <w:sz w:val="24"/>
                <w:szCs w:val="24"/>
              </w:rPr>
            </w:pPr>
            <w:r>
              <w:rPr>
                <w:rFonts w:hint="eastAsia" w:ascii="宋体" w:hAnsi="宋体" w:eastAsia="宋体" w:cs="宋体"/>
                <w:kern w:val="0"/>
                <w:sz w:val="24"/>
                <w:szCs w:val="24"/>
              </w:rPr>
              <w:t>877000</w:t>
            </w:r>
          </w:p>
        </w:tc>
        <w:tc>
          <w:tcPr>
            <w:tcW w:w="268" w:type="pct"/>
            <w:tcBorders>
              <w:top w:val="nil"/>
              <w:left w:val="nil"/>
              <w:bottom w:val="single" w:color="auto" w:sz="4" w:space="0"/>
              <w:right w:val="single" w:color="auto" w:sz="4" w:space="0"/>
            </w:tcBorders>
            <w:shd w:val="clear" w:color="auto" w:fill="auto"/>
            <w:noWrap/>
            <w:vAlign w:val="center"/>
          </w:tcPr>
          <w:p w14:paraId="1F5240E8">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044DF5D1">
            <w:pPr>
              <w:widowControl/>
              <w:jc w:val="center"/>
              <w:rPr>
                <w:rFonts w:ascii="宋体" w:hAnsi="宋体" w:eastAsia="宋体" w:cs="宋体"/>
                <w:kern w:val="0"/>
                <w:sz w:val="24"/>
                <w:szCs w:val="24"/>
              </w:rPr>
            </w:pPr>
            <w:r>
              <w:rPr>
                <w:rFonts w:hint="eastAsia" w:ascii="宋体" w:hAnsi="宋体" w:eastAsia="宋体" w:cs="宋体"/>
                <w:kern w:val="0"/>
                <w:sz w:val="24"/>
                <w:szCs w:val="24"/>
              </w:rPr>
              <w:t>675000</w:t>
            </w:r>
          </w:p>
        </w:tc>
        <w:tc>
          <w:tcPr>
            <w:tcW w:w="277" w:type="pct"/>
            <w:tcBorders>
              <w:top w:val="nil"/>
              <w:left w:val="nil"/>
              <w:bottom w:val="single" w:color="auto" w:sz="4" w:space="0"/>
              <w:right w:val="single" w:color="auto" w:sz="4" w:space="0"/>
            </w:tcBorders>
            <w:shd w:val="clear" w:color="auto" w:fill="auto"/>
            <w:noWrap/>
            <w:vAlign w:val="center"/>
          </w:tcPr>
          <w:p w14:paraId="225AE7A4">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0F0A0C7D">
            <w:pPr>
              <w:widowControl/>
              <w:jc w:val="center"/>
              <w:rPr>
                <w:rFonts w:ascii="宋体" w:hAnsi="宋体" w:eastAsia="宋体" w:cs="宋体"/>
                <w:kern w:val="0"/>
                <w:sz w:val="24"/>
                <w:szCs w:val="24"/>
              </w:rPr>
            </w:pPr>
            <w:r>
              <w:rPr>
                <w:rFonts w:hint="eastAsia" w:ascii="宋体" w:hAnsi="宋体" w:eastAsia="宋体" w:cs="宋体"/>
                <w:kern w:val="0"/>
                <w:sz w:val="24"/>
                <w:szCs w:val="24"/>
              </w:rPr>
              <w:t>647856</w:t>
            </w:r>
          </w:p>
        </w:tc>
        <w:tc>
          <w:tcPr>
            <w:tcW w:w="266" w:type="pct"/>
            <w:tcBorders>
              <w:top w:val="nil"/>
              <w:left w:val="nil"/>
              <w:bottom w:val="single" w:color="auto" w:sz="4" w:space="0"/>
              <w:right w:val="single" w:color="auto" w:sz="4" w:space="0"/>
            </w:tcBorders>
            <w:shd w:val="clear" w:color="auto" w:fill="auto"/>
            <w:noWrap/>
            <w:vAlign w:val="center"/>
          </w:tcPr>
          <w:p w14:paraId="3E41742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46E3BE1D">
        <w:tblPrEx>
          <w:tblCellMar>
            <w:top w:w="0" w:type="dxa"/>
            <w:left w:w="108" w:type="dxa"/>
            <w:bottom w:w="0" w:type="dxa"/>
            <w:right w:w="108" w:type="dxa"/>
          </w:tblCellMar>
        </w:tblPrEx>
        <w:trPr>
          <w:trHeight w:val="1021" w:hRule="exact"/>
        </w:trPr>
        <w:tc>
          <w:tcPr>
            <w:tcW w:w="238" w:type="pct"/>
            <w:vMerge w:val="continue"/>
            <w:tcBorders>
              <w:top w:val="nil"/>
              <w:left w:val="single" w:color="auto" w:sz="4" w:space="0"/>
              <w:bottom w:val="single" w:color="auto" w:sz="4" w:space="0"/>
              <w:right w:val="single" w:color="auto" w:sz="4" w:space="0"/>
            </w:tcBorders>
            <w:vAlign w:val="center"/>
          </w:tcPr>
          <w:p w14:paraId="0987D59C">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000000" w:sz="4" w:space="0"/>
              <w:right w:val="single" w:color="auto" w:sz="4" w:space="0"/>
            </w:tcBorders>
            <w:vAlign w:val="center"/>
          </w:tcPr>
          <w:p w14:paraId="15AFA01B">
            <w:pPr>
              <w:widowControl/>
              <w:jc w:val="left"/>
              <w:rPr>
                <w:rFonts w:ascii="宋体" w:hAnsi="宋体" w:eastAsia="宋体" w:cs="宋体"/>
                <w:kern w:val="0"/>
                <w:sz w:val="24"/>
                <w:szCs w:val="24"/>
              </w:rPr>
            </w:pPr>
          </w:p>
        </w:tc>
        <w:tc>
          <w:tcPr>
            <w:tcW w:w="707" w:type="pct"/>
            <w:tcBorders>
              <w:top w:val="nil"/>
              <w:left w:val="nil"/>
              <w:bottom w:val="single" w:color="auto" w:sz="4" w:space="0"/>
              <w:right w:val="single" w:color="auto" w:sz="4" w:space="0"/>
            </w:tcBorders>
            <w:shd w:val="clear" w:color="auto" w:fill="auto"/>
            <w:vAlign w:val="center"/>
          </w:tcPr>
          <w:p w14:paraId="78349151">
            <w:pPr>
              <w:widowControl/>
              <w:jc w:val="center"/>
              <w:rPr>
                <w:rFonts w:ascii="宋体" w:hAnsi="宋体" w:eastAsia="宋体" w:cs="宋体"/>
                <w:kern w:val="0"/>
                <w:sz w:val="24"/>
                <w:szCs w:val="24"/>
              </w:rPr>
            </w:pPr>
            <w:r>
              <w:rPr>
                <w:rFonts w:hint="eastAsia" w:ascii="宋体" w:hAnsi="宋体" w:eastAsia="宋体" w:cs="宋体"/>
                <w:kern w:val="0"/>
                <w:sz w:val="24"/>
                <w:szCs w:val="24"/>
              </w:rPr>
              <w:t>淮右堤凤台大山段</w:t>
            </w:r>
          </w:p>
        </w:tc>
        <w:tc>
          <w:tcPr>
            <w:tcW w:w="383" w:type="pct"/>
            <w:tcBorders>
              <w:top w:val="nil"/>
              <w:left w:val="nil"/>
              <w:bottom w:val="single" w:color="auto" w:sz="4" w:space="0"/>
              <w:right w:val="single" w:color="auto" w:sz="4" w:space="0"/>
            </w:tcBorders>
            <w:shd w:val="clear" w:color="auto" w:fill="auto"/>
            <w:vAlign w:val="center"/>
          </w:tcPr>
          <w:p w14:paraId="6E08F08C">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78" w:type="pct"/>
            <w:tcBorders>
              <w:top w:val="nil"/>
              <w:left w:val="nil"/>
              <w:bottom w:val="single" w:color="auto" w:sz="4" w:space="0"/>
              <w:right w:val="single" w:color="auto" w:sz="4" w:space="0"/>
            </w:tcBorders>
            <w:shd w:val="clear" w:color="auto" w:fill="auto"/>
            <w:vAlign w:val="center"/>
          </w:tcPr>
          <w:p w14:paraId="1C098734">
            <w:pPr>
              <w:widowControl/>
              <w:jc w:val="center"/>
              <w:rPr>
                <w:rFonts w:ascii="宋体" w:hAnsi="宋体" w:eastAsia="宋体" w:cs="宋体"/>
                <w:kern w:val="0"/>
                <w:sz w:val="24"/>
                <w:szCs w:val="24"/>
              </w:rPr>
            </w:pPr>
            <w:r>
              <w:rPr>
                <w:rFonts w:hint="eastAsia" w:ascii="宋体" w:hAnsi="宋体" w:eastAsia="宋体" w:cs="宋体"/>
                <w:kern w:val="0"/>
                <w:sz w:val="24"/>
                <w:szCs w:val="24"/>
              </w:rPr>
              <w:t>0+080~6+080</w:t>
            </w:r>
          </w:p>
        </w:tc>
        <w:tc>
          <w:tcPr>
            <w:tcW w:w="663" w:type="pct"/>
            <w:tcBorders>
              <w:top w:val="nil"/>
              <w:left w:val="nil"/>
              <w:bottom w:val="single" w:color="auto" w:sz="4" w:space="0"/>
              <w:right w:val="single" w:color="auto" w:sz="4" w:space="0"/>
            </w:tcBorders>
            <w:shd w:val="clear" w:color="auto" w:fill="auto"/>
            <w:noWrap/>
            <w:vAlign w:val="center"/>
          </w:tcPr>
          <w:p w14:paraId="121EC52C">
            <w:pPr>
              <w:widowControl/>
              <w:jc w:val="center"/>
              <w:rPr>
                <w:rFonts w:ascii="宋体" w:hAnsi="宋体" w:eastAsia="宋体" w:cs="宋体"/>
                <w:kern w:val="0"/>
                <w:sz w:val="24"/>
                <w:szCs w:val="24"/>
              </w:rPr>
            </w:pPr>
            <w:r>
              <w:rPr>
                <w:rFonts w:hint="eastAsia" w:ascii="宋体" w:hAnsi="宋体" w:eastAsia="宋体" w:cs="宋体"/>
                <w:kern w:val="0"/>
                <w:sz w:val="24"/>
                <w:szCs w:val="24"/>
              </w:rPr>
              <w:t>186000</w:t>
            </w:r>
          </w:p>
        </w:tc>
        <w:tc>
          <w:tcPr>
            <w:tcW w:w="268" w:type="pct"/>
            <w:tcBorders>
              <w:top w:val="nil"/>
              <w:left w:val="nil"/>
              <w:bottom w:val="single" w:color="auto" w:sz="4" w:space="0"/>
              <w:right w:val="single" w:color="auto" w:sz="4" w:space="0"/>
            </w:tcBorders>
            <w:shd w:val="clear" w:color="auto" w:fill="auto"/>
            <w:noWrap/>
            <w:vAlign w:val="center"/>
          </w:tcPr>
          <w:p w14:paraId="068B35AE">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E23A73A">
            <w:pPr>
              <w:widowControl/>
              <w:jc w:val="center"/>
              <w:rPr>
                <w:rFonts w:ascii="宋体" w:hAnsi="宋体" w:eastAsia="宋体" w:cs="宋体"/>
                <w:kern w:val="0"/>
                <w:sz w:val="24"/>
                <w:szCs w:val="24"/>
              </w:rPr>
            </w:pPr>
            <w:r>
              <w:rPr>
                <w:rFonts w:hint="eastAsia" w:ascii="宋体" w:hAnsi="宋体" w:eastAsia="宋体" w:cs="宋体"/>
                <w:kern w:val="0"/>
                <w:sz w:val="24"/>
                <w:szCs w:val="24"/>
              </w:rPr>
              <w:t>146000</w:t>
            </w:r>
          </w:p>
        </w:tc>
        <w:tc>
          <w:tcPr>
            <w:tcW w:w="277" w:type="pct"/>
            <w:tcBorders>
              <w:top w:val="nil"/>
              <w:left w:val="nil"/>
              <w:bottom w:val="single" w:color="auto" w:sz="4" w:space="0"/>
              <w:right w:val="single" w:color="auto" w:sz="4" w:space="0"/>
            </w:tcBorders>
            <w:shd w:val="clear" w:color="auto" w:fill="auto"/>
            <w:noWrap/>
            <w:vAlign w:val="center"/>
          </w:tcPr>
          <w:p w14:paraId="1830B5E8">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042E7CB9">
            <w:pPr>
              <w:widowControl/>
              <w:jc w:val="center"/>
              <w:rPr>
                <w:rFonts w:ascii="宋体" w:hAnsi="宋体" w:eastAsia="宋体" w:cs="宋体"/>
                <w:kern w:val="0"/>
                <w:sz w:val="24"/>
                <w:szCs w:val="24"/>
              </w:rPr>
            </w:pPr>
            <w:r>
              <w:rPr>
                <w:rFonts w:hint="eastAsia" w:ascii="宋体" w:hAnsi="宋体" w:eastAsia="宋体" w:cs="宋体"/>
                <w:kern w:val="0"/>
                <w:sz w:val="24"/>
                <w:szCs w:val="24"/>
              </w:rPr>
              <w:t>24320</w:t>
            </w:r>
          </w:p>
        </w:tc>
        <w:tc>
          <w:tcPr>
            <w:tcW w:w="266" w:type="pct"/>
            <w:tcBorders>
              <w:top w:val="nil"/>
              <w:left w:val="nil"/>
              <w:bottom w:val="single" w:color="auto" w:sz="4" w:space="0"/>
              <w:right w:val="single" w:color="auto" w:sz="4" w:space="0"/>
            </w:tcBorders>
            <w:shd w:val="clear" w:color="auto" w:fill="auto"/>
            <w:noWrap/>
            <w:vAlign w:val="center"/>
          </w:tcPr>
          <w:p w14:paraId="559526F1">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0FE2FB01">
        <w:tblPrEx>
          <w:tblCellMar>
            <w:top w:w="0" w:type="dxa"/>
            <w:left w:w="108" w:type="dxa"/>
            <w:bottom w:w="0" w:type="dxa"/>
            <w:right w:w="108" w:type="dxa"/>
          </w:tblCellMar>
        </w:tblPrEx>
        <w:trPr>
          <w:trHeight w:val="454" w:hRule="exact"/>
        </w:trPr>
        <w:tc>
          <w:tcPr>
            <w:tcW w:w="238" w:type="pct"/>
            <w:vMerge w:val="restart"/>
            <w:tcBorders>
              <w:top w:val="nil"/>
              <w:left w:val="single" w:color="auto" w:sz="4" w:space="0"/>
              <w:right w:val="single" w:color="auto" w:sz="4" w:space="0"/>
            </w:tcBorders>
            <w:shd w:val="clear" w:color="auto" w:fill="auto"/>
            <w:noWrap/>
            <w:vAlign w:val="center"/>
          </w:tcPr>
          <w:p w14:paraId="222E4AD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373" w:type="pct"/>
            <w:tcBorders>
              <w:top w:val="nil"/>
              <w:left w:val="nil"/>
              <w:bottom w:val="single" w:color="auto" w:sz="4" w:space="0"/>
              <w:right w:val="single" w:color="auto" w:sz="4" w:space="0"/>
            </w:tcBorders>
            <w:shd w:val="clear" w:color="auto" w:fill="auto"/>
            <w:vAlign w:val="center"/>
          </w:tcPr>
          <w:p w14:paraId="40509FC8">
            <w:pPr>
              <w:widowControl/>
              <w:jc w:val="center"/>
              <w:rPr>
                <w:rFonts w:ascii="宋体" w:hAnsi="宋体" w:eastAsia="宋体" w:cs="宋体"/>
                <w:kern w:val="0"/>
                <w:sz w:val="24"/>
                <w:szCs w:val="24"/>
              </w:rPr>
            </w:pPr>
            <w:r>
              <w:rPr>
                <w:rFonts w:hint="eastAsia" w:ascii="宋体" w:hAnsi="宋体" w:eastAsia="宋体" w:cs="宋体"/>
                <w:kern w:val="0"/>
                <w:sz w:val="24"/>
                <w:szCs w:val="24"/>
              </w:rPr>
              <w:t>阜阳闸</w:t>
            </w:r>
          </w:p>
        </w:tc>
        <w:tc>
          <w:tcPr>
            <w:tcW w:w="707" w:type="pct"/>
            <w:tcBorders>
              <w:top w:val="nil"/>
              <w:left w:val="nil"/>
              <w:bottom w:val="single" w:color="auto" w:sz="4" w:space="0"/>
              <w:right w:val="single" w:color="auto" w:sz="4" w:space="0"/>
            </w:tcBorders>
            <w:shd w:val="clear" w:color="auto" w:fill="auto"/>
            <w:vAlign w:val="center"/>
          </w:tcPr>
          <w:p w14:paraId="2E172B05">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颍河左堤阜阳闸段</w:t>
            </w:r>
          </w:p>
        </w:tc>
        <w:tc>
          <w:tcPr>
            <w:tcW w:w="383" w:type="pct"/>
            <w:tcBorders>
              <w:top w:val="nil"/>
              <w:left w:val="nil"/>
              <w:bottom w:val="single" w:color="auto" w:sz="4" w:space="0"/>
              <w:right w:val="single" w:color="auto" w:sz="4" w:space="0"/>
            </w:tcBorders>
            <w:shd w:val="clear" w:color="auto" w:fill="auto"/>
            <w:vAlign w:val="center"/>
          </w:tcPr>
          <w:p w14:paraId="5B731402">
            <w:pPr>
              <w:widowControl/>
              <w:jc w:val="center"/>
              <w:rPr>
                <w:rFonts w:ascii="宋体" w:hAnsi="宋体" w:eastAsia="宋体" w:cs="宋体"/>
                <w:kern w:val="0"/>
                <w:sz w:val="24"/>
                <w:szCs w:val="24"/>
              </w:rPr>
            </w:pPr>
            <w:r>
              <w:rPr>
                <w:rFonts w:hint="eastAsia" w:ascii="宋体" w:hAnsi="宋体" w:eastAsia="宋体" w:cs="宋体"/>
                <w:kern w:val="0"/>
                <w:sz w:val="24"/>
                <w:szCs w:val="24"/>
              </w:rPr>
              <w:t>0.5</w:t>
            </w:r>
          </w:p>
        </w:tc>
        <w:tc>
          <w:tcPr>
            <w:tcW w:w="778" w:type="pct"/>
            <w:tcBorders>
              <w:top w:val="nil"/>
              <w:left w:val="nil"/>
              <w:bottom w:val="single" w:color="auto" w:sz="4" w:space="0"/>
              <w:right w:val="single" w:color="auto" w:sz="4" w:space="0"/>
            </w:tcBorders>
            <w:shd w:val="clear" w:color="auto" w:fill="auto"/>
            <w:vAlign w:val="center"/>
          </w:tcPr>
          <w:p w14:paraId="7292AABA">
            <w:pPr>
              <w:widowControl/>
              <w:jc w:val="center"/>
              <w:rPr>
                <w:rFonts w:ascii="宋体" w:hAnsi="宋体" w:eastAsia="宋体" w:cs="宋体"/>
                <w:kern w:val="0"/>
                <w:sz w:val="24"/>
                <w:szCs w:val="24"/>
              </w:rPr>
            </w:pPr>
            <w:r>
              <w:rPr>
                <w:rFonts w:hint="eastAsia" w:ascii="宋体" w:hAnsi="宋体" w:eastAsia="宋体" w:cs="宋体"/>
                <w:kern w:val="0"/>
                <w:sz w:val="24"/>
                <w:szCs w:val="24"/>
              </w:rPr>
              <w:t>103+589~104+089</w:t>
            </w:r>
          </w:p>
        </w:tc>
        <w:tc>
          <w:tcPr>
            <w:tcW w:w="663" w:type="pct"/>
            <w:tcBorders>
              <w:top w:val="nil"/>
              <w:left w:val="nil"/>
              <w:bottom w:val="single" w:color="auto" w:sz="4" w:space="0"/>
              <w:right w:val="single" w:color="auto" w:sz="4" w:space="0"/>
            </w:tcBorders>
            <w:shd w:val="clear" w:color="auto" w:fill="auto"/>
            <w:noWrap/>
            <w:vAlign w:val="center"/>
          </w:tcPr>
          <w:p w14:paraId="4354AC1E">
            <w:pPr>
              <w:widowControl/>
              <w:jc w:val="center"/>
              <w:rPr>
                <w:rFonts w:ascii="宋体" w:hAnsi="宋体" w:eastAsia="宋体" w:cs="宋体"/>
                <w:kern w:val="0"/>
                <w:sz w:val="24"/>
                <w:szCs w:val="24"/>
              </w:rPr>
            </w:pPr>
            <w:r>
              <w:rPr>
                <w:rFonts w:hint="eastAsia" w:ascii="宋体" w:hAnsi="宋体" w:eastAsia="宋体" w:cs="宋体"/>
                <w:kern w:val="0"/>
                <w:sz w:val="24"/>
                <w:szCs w:val="24"/>
              </w:rPr>
              <w:t>35000</w:t>
            </w:r>
          </w:p>
        </w:tc>
        <w:tc>
          <w:tcPr>
            <w:tcW w:w="268" w:type="pct"/>
            <w:tcBorders>
              <w:top w:val="nil"/>
              <w:left w:val="nil"/>
              <w:bottom w:val="single" w:color="auto" w:sz="4" w:space="0"/>
              <w:right w:val="single" w:color="auto" w:sz="4" w:space="0"/>
            </w:tcBorders>
            <w:shd w:val="clear" w:color="auto" w:fill="auto"/>
            <w:noWrap/>
            <w:vAlign w:val="center"/>
          </w:tcPr>
          <w:p w14:paraId="3F02233B">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4ABBEADD">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277" w:type="pct"/>
            <w:tcBorders>
              <w:top w:val="nil"/>
              <w:left w:val="nil"/>
              <w:bottom w:val="single" w:color="auto" w:sz="4" w:space="0"/>
              <w:right w:val="single" w:color="auto" w:sz="4" w:space="0"/>
            </w:tcBorders>
            <w:shd w:val="clear" w:color="auto" w:fill="auto"/>
            <w:noWrap/>
            <w:vAlign w:val="center"/>
          </w:tcPr>
          <w:p w14:paraId="6FD6888B">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34C6DD25">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266" w:type="pct"/>
            <w:tcBorders>
              <w:top w:val="nil"/>
              <w:left w:val="nil"/>
              <w:bottom w:val="single" w:color="auto" w:sz="4" w:space="0"/>
              <w:right w:val="single" w:color="auto" w:sz="4" w:space="0"/>
            </w:tcBorders>
            <w:shd w:val="clear" w:color="auto" w:fill="auto"/>
            <w:noWrap/>
            <w:vAlign w:val="center"/>
          </w:tcPr>
          <w:p w14:paraId="24C21213">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r>
      <w:tr w14:paraId="2AEF6059">
        <w:tblPrEx>
          <w:tblCellMar>
            <w:top w:w="0" w:type="dxa"/>
            <w:left w:w="108" w:type="dxa"/>
            <w:bottom w:w="0" w:type="dxa"/>
            <w:right w:w="108" w:type="dxa"/>
          </w:tblCellMar>
        </w:tblPrEx>
        <w:trPr>
          <w:trHeight w:val="454" w:hRule="exact"/>
        </w:trPr>
        <w:tc>
          <w:tcPr>
            <w:tcW w:w="238" w:type="pct"/>
            <w:vMerge w:val="continue"/>
            <w:tcBorders>
              <w:left w:val="single" w:color="auto" w:sz="4" w:space="0"/>
              <w:bottom w:val="single" w:color="auto" w:sz="4" w:space="0"/>
              <w:right w:val="single" w:color="auto" w:sz="4" w:space="0"/>
            </w:tcBorders>
            <w:shd w:val="clear" w:color="auto" w:fill="auto"/>
            <w:noWrap/>
            <w:vAlign w:val="center"/>
          </w:tcPr>
          <w:p w14:paraId="753155BA">
            <w:pPr>
              <w:widowControl/>
              <w:jc w:val="left"/>
              <w:rPr>
                <w:rFonts w:ascii="宋体" w:hAnsi="宋体" w:eastAsia="宋体" w:cs="宋体"/>
                <w:kern w:val="0"/>
                <w:sz w:val="24"/>
                <w:szCs w:val="24"/>
              </w:rPr>
            </w:pPr>
          </w:p>
        </w:tc>
        <w:tc>
          <w:tcPr>
            <w:tcW w:w="373" w:type="pct"/>
            <w:tcBorders>
              <w:top w:val="nil"/>
              <w:left w:val="nil"/>
              <w:bottom w:val="single" w:color="auto" w:sz="4" w:space="0"/>
              <w:right w:val="single" w:color="auto" w:sz="4" w:space="0"/>
            </w:tcBorders>
            <w:shd w:val="clear" w:color="auto" w:fill="auto"/>
            <w:vAlign w:val="center"/>
          </w:tcPr>
          <w:p w14:paraId="780D0421">
            <w:pPr>
              <w:widowControl/>
              <w:jc w:val="center"/>
              <w:rPr>
                <w:rFonts w:ascii="宋体" w:hAnsi="宋体" w:eastAsia="宋体" w:cs="宋体"/>
                <w:kern w:val="0"/>
                <w:sz w:val="24"/>
                <w:szCs w:val="24"/>
              </w:rPr>
            </w:pPr>
            <w:r>
              <w:rPr>
                <w:rFonts w:hint="eastAsia" w:ascii="宋体" w:hAnsi="宋体" w:eastAsia="宋体" w:cs="宋体"/>
                <w:kern w:val="0"/>
                <w:sz w:val="24"/>
                <w:szCs w:val="24"/>
              </w:rPr>
              <w:t>颍东局</w:t>
            </w:r>
          </w:p>
        </w:tc>
        <w:tc>
          <w:tcPr>
            <w:tcW w:w="707" w:type="pct"/>
            <w:tcBorders>
              <w:top w:val="nil"/>
              <w:left w:val="nil"/>
              <w:bottom w:val="single" w:color="auto" w:sz="4" w:space="0"/>
              <w:right w:val="single" w:color="auto" w:sz="4" w:space="0"/>
            </w:tcBorders>
            <w:shd w:val="clear" w:color="auto" w:fill="auto"/>
            <w:vAlign w:val="center"/>
          </w:tcPr>
          <w:p w14:paraId="517EEABC">
            <w:pPr>
              <w:widowControl/>
              <w:jc w:val="center"/>
              <w:rPr>
                <w:rFonts w:ascii="宋体" w:hAnsi="宋体" w:eastAsia="宋体" w:cs="宋体"/>
                <w:kern w:val="0"/>
                <w:sz w:val="24"/>
                <w:szCs w:val="24"/>
              </w:rPr>
            </w:pPr>
            <w:r>
              <w:rPr>
                <w:rFonts w:hint="eastAsia" w:ascii="宋体" w:hAnsi="宋体" w:eastAsia="宋体" w:cs="宋体"/>
                <w:kern w:val="0"/>
                <w:sz w:val="24"/>
                <w:szCs w:val="24"/>
              </w:rPr>
              <w:t>颍河左堤颍东段</w:t>
            </w:r>
          </w:p>
        </w:tc>
        <w:tc>
          <w:tcPr>
            <w:tcW w:w="383" w:type="pct"/>
            <w:tcBorders>
              <w:top w:val="nil"/>
              <w:left w:val="nil"/>
              <w:bottom w:val="single" w:color="auto" w:sz="4" w:space="0"/>
              <w:right w:val="single" w:color="auto" w:sz="4" w:space="0"/>
            </w:tcBorders>
            <w:shd w:val="clear" w:color="auto" w:fill="auto"/>
            <w:vAlign w:val="center"/>
          </w:tcPr>
          <w:p w14:paraId="201F4EF1">
            <w:pPr>
              <w:widowControl/>
              <w:jc w:val="center"/>
              <w:rPr>
                <w:rFonts w:ascii="宋体" w:hAnsi="宋体" w:eastAsia="宋体" w:cs="宋体"/>
                <w:kern w:val="0"/>
                <w:sz w:val="24"/>
                <w:szCs w:val="24"/>
              </w:rPr>
            </w:pPr>
            <w:r>
              <w:rPr>
                <w:rFonts w:hint="eastAsia" w:ascii="宋体" w:hAnsi="宋体" w:eastAsia="宋体" w:cs="宋体"/>
                <w:kern w:val="0"/>
                <w:sz w:val="24"/>
                <w:szCs w:val="24"/>
              </w:rPr>
              <w:t>40.227</w:t>
            </w:r>
          </w:p>
        </w:tc>
        <w:tc>
          <w:tcPr>
            <w:tcW w:w="778" w:type="pct"/>
            <w:tcBorders>
              <w:top w:val="nil"/>
              <w:left w:val="nil"/>
              <w:bottom w:val="single" w:color="auto" w:sz="4" w:space="0"/>
              <w:right w:val="single" w:color="auto" w:sz="4" w:space="0"/>
            </w:tcBorders>
            <w:shd w:val="clear" w:color="auto" w:fill="auto"/>
            <w:vAlign w:val="center"/>
          </w:tcPr>
          <w:p w14:paraId="112D2805">
            <w:pPr>
              <w:widowControl/>
              <w:jc w:val="center"/>
              <w:rPr>
                <w:rFonts w:ascii="宋体" w:hAnsi="宋体" w:eastAsia="宋体" w:cs="宋体"/>
                <w:kern w:val="0"/>
                <w:sz w:val="24"/>
                <w:szCs w:val="24"/>
              </w:rPr>
            </w:pPr>
            <w:r>
              <w:rPr>
                <w:rFonts w:hint="eastAsia" w:ascii="宋体" w:hAnsi="宋体" w:eastAsia="宋体" w:cs="宋体"/>
                <w:kern w:val="0"/>
                <w:sz w:val="24"/>
                <w:szCs w:val="24"/>
              </w:rPr>
              <w:t>63+362~103+589</w:t>
            </w:r>
          </w:p>
        </w:tc>
        <w:tc>
          <w:tcPr>
            <w:tcW w:w="663" w:type="pct"/>
            <w:tcBorders>
              <w:top w:val="nil"/>
              <w:left w:val="nil"/>
              <w:bottom w:val="single" w:color="auto" w:sz="4" w:space="0"/>
              <w:right w:val="single" w:color="auto" w:sz="4" w:space="0"/>
            </w:tcBorders>
            <w:shd w:val="clear" w:color="auto" w:fill="auto"/>
            <w:noWrap/>
            <w:vAlign w:val="center"/>
          </w:tcPr>
          <w:p w14:paraId="3143E259">
            <w:pPr>
              <w:widowControl/>
              <w:jc w:val="center"/>
              <w:rPr>
                <w:rFonts w:ascii="宋体" w:hAnsi="宋体" w:eastAsia="宋体" w:cs="宋体"/>
                <w:kern w:val="0"/>
                <w:sz w:val="24"/>
                <w:szCs w:val="24"/>
              </w:rPr>
            </w:pPr>
            <w:r>
              <w:rPr>
                <w:rFonts w:hint="eastAsia" w:ascii="宋体" w:hAnsi="宋体" w:eastAsia="宋体" w:cs="宋体"/>
                <w:kern w:val="0"/>
                <w:sz w:val="24"/>
                <w:szCs w:val="24"/>
              </w:rPr>
              <w:t>1700000</w:t>
            </w:r>
          </w:p>
        </w:tc>
        <w:tc>
          <w:tcPr>
            <w:tcW w:w="268" w:type="pct"/>
            <w:tcBorders>
              <w:top w:val="nil"/>
              <w:left w:val="nil"/>
              <w:bottom w:val="single" w:color="auto" w:sz="4" w:space="0"/>
              <w:right w:val="single" w:color="auto" w:sz="4" w:space="0"/>
            </w:tcBorders>
            <w:shd w:val="clear" w:color="auto" w:fill="auto"/>
            <w:noWrap/>
            <w:vAlign w:val="center"/>
          </w:tcPr>
          <w:p w14:paraId="7EBD5E99">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5" w:type="pct"/>
            <w:tcBorders>
              <w:top w:val="nil"/>
              <w:left w:val="nil"/>
              <w:bottom w:val="single" w:color="auto" w:sz="4" w:space="0"/>
              <w:right w:val="single" w:color="auto" w:sz="4" w:space="0"/>
            </w:tcBorders>
            <w:shd w:val="clear" w:color="auto" w:fill="auto"/>
            <w:noWrap/>
            <w:vAlign w:val="center"/>
          </w:tcPr>
          <w:p w14:paraId="2E94F226">
            <w:pPr>
              <w:widowControl/>
              <w:jc w:val="center"/>
              <w:rPr>
                <w:rFonts w:ascii="宋体" w:hAnsi="宋体" w:eastAsia="宋体" w:cs="宋体"/>
                <w:kern w:val="0"/>
                <w:sz w:val="24"/>
                <w:szCs w:val="24"/>
              </w:rPr>
            </w:pPr>
            <w:r>
              <w:rPr>
                <w:rFonts w:hint="eastAsia" w:ascii="宋体" w:hAnsi="宋体" w:eastAsia="宋体" w:cs="宋体"/>
                <w:kern w:val="0"/>
                <w:sz w:val="24"/>
                <w:szCs w:val="24"/>
              </w:rPr>
              <w:t>25000</w:t>
            </w:r>
          </w:p>
        </w:tc>
        <w:tc>
          <w:tcPr>
            <w:tcW w:w="277" w:type="pct"/>
            <w:tcBorders>
              <w:top w:val="nil"/>
              <w:left w:val="nil"/>
              <w:bottom w:val="single" w:color="auto" w:sz="4" w:space="0"/>
              <w:right w:val="single" w:color="auto" w:sz="4" w:space="0"/>
            </w:tcBorders>
            <w:shd w:val="clear" w:color="auto" w:fill="auto"/>
            <w:noWrap/>
            <w:vAlign w:val="center"/>
          </w:tcPr>
          <w:p w14:paraId="6FE19789">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481" w:type="pct"/>
            <w:tcBorders>
              <w:top w:val="nil"/>
              <w:left w:val="nil"/>
              <w:bottom w:val="single" w:color="auto" w:sz="4" w:space="0"/>
              <w:right w:val="single" w:color="auto" w:sz="4" w:space="0"/>
            </w:tcBorders>
            <w:shd w:val="clear" w:color="auto" w:fill="auto"/>
            <w:noWrap/>
            <w:vAlign w:val="center"/>
          </w:tcPr>
          <w:p w14:paraId="791A288E">
            <w:pPr>
              <w:widowControl/>
              <w:jc w:val="center"/>
              <w:rPr>
                <w:rFonts w:ascii="宋体" w:hAnsi="宋体" w:eastAsia="宋体" w:cs="宋体"/>
                <w:kern w:val="0"/>
                <w:sz w:val="24"/>
                <w:szCs w:val="24"/>
              </w:rPr>
            </w:pPr>
            <w:r>
              <w:rPr>
                <w:rFonts w:hint="eastAsia" w:ascii="宋体" w:hAnsi="宋体" w:eastAsia="宋体" w:cs="宋体"/>
                <w:kern w:val="0"/>
                <w:sz w:val="24"/>
                <w:szCs w:val="24"/>
              </w:rPr>
              <w:t>400000</w:t>
            </w:r>
          </w:p>
        </w:tc>
        <w:tc>
          <w:tcPr>
            <w:tcW w:w="266" w:type="pct"/>
            <w:tcBorders>
              <w:top w:val="nil"/>
              <w:left w:val="nil"/>
              <w:bottom w:val="single" w:color="auto" w:sz="4" w:space="0"/>
              <w:right w:val="single" w:color="auto" w:sz="4" w:space="0"/>
            </w:tcBorders>
            <w:shd w:val="clear" w:color="auto" w:fill="auto"/>
            <w:noWrap/>
            <w:vAlign w:val="center"/>
          </w:tcPr>
          <w:p w14:paraId="2944725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bl>
    <w:p w14:paraId="2CF05E7C">
      <w:pPr>
        <w:spacing w:line="560" w:lineRule="exact"/>
        <w:rPr>
          <w:rFonts w:ascii="宋体" w:hAnsi="宋体" w:eastAsia="宋体" w:cs="宋体"/>
          <w:b/>
          <w:bCs/>
          <w:sz w:val="24"/>
          <w:szCs w:val="24"/>
        </w:rPr>
        <w:sectPr>
          <w:pgSz w:w="16838" w:h="11905" w:orient="landscape"/>
          <w:pgMar w:top="1814" w:right="1474" w:bottom="1814" w:left="1474" w:header="851" w:footer="992" w:gutter="0"/>
          <w:pgNumType w:fmt="decimal"/>
          <w:cols w:space="0" w:num="1"/>
          <w:docGrid w:linePitch="312" w:charSpace="0"/>
        </w:sectPr>
      </w:pPr>
    </w:p>
    <w:p w14:paraId="60BAE8AC">
      <w:pPr>
        <w:spacing w:line="5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（三）养护频次</w:t>
      </w:r>
    </w:p>
    <w:p w14:paraId="171D13B6">
      <w:pPr>
        <w:adjustRightInd w:val="0"/>
        <w:snapToGrid w:val="0"/>
        <w:spacing w:line="560" w:lineRule="exact"/>
        <w:ind w:left="560"/>
        <w:rPr>
          <w:rFonts w:ascii="宋体" w:hAnsi="宋体" w:eastAsia="宋体" w:cs="宋体"/>
          <w:sz w:val="24"/>
          <w:szCs w:val="24"/>
        </w:rPr>
      </w:pPr>
      <w:r>
        <w:rPr>
          <w:rFonts w:hint="eastAsia" w:ascii="宋体" w:hAnsi="宋体" w:eastAsia="宋体" w:cs="宋体"/>
          <w:sz w:val="24"/>
          <w:szCs w:val="24"/>
        </w:rPr>
        <w:t>1.堤防草皮及硬质护坡养护</w:t>
      </w:r>
    </w:p>
    <w:p w14:paraId="7C2D95C5">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（1）淮北大堤（不含石羊坝）、淮右堤凤台黑李上段、茨淮新河堤防潘集段、怀远城关圈堤每年控高不少于8次，其中第1次主要清理堤身的高杆杂草、油菜花等，面积按总面积的1/3考虑。</w:t>
      </w:r>
    </w:p>
    <w:p w14:paraId="6532471B">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（2）淮北大堤饶荆段末端（石羊坝）、茨淮新河堤防凤台段和怀远段、塌荆段，原则上5月、7月、8月每月至少养护1次，每年不少于3次。</w:t>
      </w:r>
    </w:p>
    <w:p w14:paraId="6A761D46">
      <w:pPr>
        <w:adjustRightInd w:val="0"/>
        <w:snapToGrid w:val="0"/>
        <w:spacing w:line="560" w:lineRule="exact"/>
        <w:ind w:firstLine="480" w:firstLineChars="200"/>
        <w:rPr>
          <w:rFonts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b/>
          <w:bCs/>
          <w:sz w:val="24"/>
          <w:szCs w:val="24"/>
        </w:rPr>
        <w:t>淮北大堤蚌埠闸段及分洪道每年控高次数不少于10次（4、5、9、10月份不少于1次，6、7、8月份不少于2次）, 每月除草周期不得超过10日。</w:t>
      </w:r>
    </w:p>
    <w:p w14:paraId="575C428A">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2.林间控高</w:t>
      </w:r>
    </w:p>
    <w:p w14:paraId="7EDE8C46">
      <w:pPr>
        <w:adjustRightInd w:val="0"/>
        <w:snapToGri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淮北大堤蚌埠闸段</w:t>
      </w:r>
      <w:r>
        <w:rPr>
          <w:rFonts w:hint="eastAsia" w:ascii="宋体" w:hAnsi="宋体" w:eastAsia="宋体" w:cs="宋体"/>
          <w:b/>
          <w:bCs/>
          <w:sz w:val="24"/>
          <w:szCs w:val="24"/>
        </w:rPr>
        <w:t>每年控高次数不少于7次（原则上4至10月各一次），护堤地林间杂草高度控制在20cm以下，整齐度不超过10cm，养护结束碎草需及时安排人员清运</w:t>
      </w:r>
      <w:r>
        <w:rPr>
          <w:rFonts w:hint="eastAsia" w:ascii="宋体" w:hAnsi="宋体" w:eastAsia="宋体" w:cs="宋体"/>
          <w:sz w:val="24"/>
          <w:szCs w:val="24"/>
        </w:rPr>
        <w:t>；其余堤段各单位根据实际情况实施，一年不少于3次。</w:t>
      </w:r>
    </w:p>
    <w:p w14:paraId="09DAB8C7">
      <w:pPr>
        <w:pStyle w:val="10"/>
        <w:adjustRightInd w:val="0"/>
        <w:snapToGrid w:val="0"/>
        <w:spacing w:line="560" w:lineRule="exact"/>
        <w:ind w:firstLine="480" w:firstLineChars="200"/>
        <w:rPr>
          <w:rFonts w:hAnsi="宋体" w:eastAsia="宋体" w:cs="宋体"/>
          <w:sz w:val="24"/>
          <w:szCs w:val="24"/>
        </w:rPr>
      </w:pPr>
      <w:r>
        <w:rPr>
          <w:rFonts w:hint="eastAsia" w:hAnsi="宋体" w:eastAsia="宋体" w:cs="宋体"/>
          <w:sz w:val="24"/>
          <w:szCs w:val="24"/>
        </w:rPr>
        <w:t>3.上述养护频次各单位可根据实际进行调整，但应保证草皮及林间控高常态化养护标准，每次养护开始时间具体以各单位通知为准。</w:t>
      </w:r>
    </w:p>
    <w:p w14:paraId="0EFD11E8">
      <w:pPr>
        <w:pStyle w:val="10"/>
        <w:adjustRightInd w:val="0"/>
        <w:snapToGrid w:val="0"/>
        <w:spacing w:line="560" w:lineRule="exact"/>
        <w:rPr>
          <w:rFonts w:hAnsi="宋体" w:eastAsia="宋体" w:cs="宋体"/>
          <w:sz w:val="24"/>
          <w:szCs w:val="24"/>
        </w:rPr>
      </w:pPr>
    </w:p>
    <w:p w14:paraId="51493512">
      <w:pPr>
        <w:spacing w:line="560" w:lineRule="exact"/>
        <w:rPr>
          <w:rFonts w:ascii="宋体" w:hAnsi="宋体" w:eastAsia="宋体" w:cs="宋体"/>
          <w:b/>
          <w:bCs/>
          <w:sz w:val="24"/>
          <w:szCs w:val="24"/>
        </w:rPr>
      </w:pPr>
      <w:bookmarkStart w:id="51" w:name="_Toc18052"/>
      <w:bookmarkStart w:id="52" w:name="_Toc12910"/>
      <w:r>
        <w:rPr>
          <w:rFonts w:hint="eastAsia" w:ascii="宋体" w:hAnsi="宋体" w:eastAsia="宋体" w:cs="宋体"/>
          <w:b/>
          <w:bCs/>
          <w:sz w:val="24"/>
          <w:szCs w:val="24"/>
        </w:rPr>
        <w:br w:type="page"/>
      </w:r>
      <w:r>
        <w:rPr>
          <w:rFonts w:hint="eastAsia" w:ascii="宋体" w:hAnsi="宋体" w:eastAsia="宋体" w:cs="宋体"/>
          <w:b/>
          <w:bCs/>
          <w:sz w:val="24"/>
          <w:szCs w:val="24"/>
        </w:rPr>
        <w:t>（四）养护标准</w:t>
      </w:r>
    </w:p>
    <w:p w14:paraId="28FF8FCB">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1.堤防草皮养护要求：</w:t>
      </w:r>
      <w:bookmarkStart w:id="53" w:name="_Hlk191589795"/>
      <w:r>
        <w:rPr>
          <w:rFonts w:hint="eastAsia" w:ascii="宋体" w:hAnsi="宋体" w:eastAsia="宋体" w:cs="宋体"/>
          <w:sz w:val="24"/>
          <w:szCs w:val="24"/>
        </w:rPr>
        <w:t>①基本要求：草皮养护控高应根据草皮长势情况及时开展，养护前人工清理坡面块石、碎石等垃圾杂物，防止造成人员伤亡；养护后的草皮总体整洁、美观，无杂树杂条，无藤类植物，无建筑、生活垃圾，养护</w:t>
      </w:r>
      <w:r>
        <w:rPr>
          <w:rFonts w:hint="eastAsia" w:ascii="宋体" w:hAnsi="宋体" w:eastAsia="宋体" w:cs="宋体"/>
          <w:kern w:val="0"/>
          <w:sz w:val="24"/>
          <w:szCs w:val="24"/>
        </w:rPr>
        <w:t>废草清运到堤防管理范围以外。</w:t>
      </w:r>
      <w:r>
        <w:rPr>
          <w:rFonts w:hint="eastAsia" w:ascii="宋体" w:hAnsi="宋体" w:eastAsia="宋体" w:cs="宋体"/>
          <w:sz w:val="24"/>
          <w:szCs w:val="24"/>
        </w:rPr>
        <w:t>②养护范围：</w:t>
      </w:r>
      <w:r>
        <w:rPr>
          <w:rFonts w:hint="eastAsia" w:ascii="宋体" w:hAnsi="宋体" w:eastAsia="宋体" w:cs="宋体"/>
          <w:kern w:val="0"/>
          <w:sz w:val="24"/>
          <w:szCs w:val="24"/>
        </w:rPr>
        <w:t>沿堤脚向外延伸2米或护堤地第一排树，</w:t>
      </w:r>
      <w:r>
        <w:rPr>
          <w:rFonts w:hint="eastAsia" w:ascii="宋体" w:hAnsi="宋体" w:eastAsia="宋体" w:cs="宋体"/>
          <w:sz w:val="24"/>
          <w:szCs w:val="24"/>
        </w:rPr>
        <w:t>上下堤道路养护控高至堤防管理范围边线。③养护高度：4、9月15cm以下，5、6、7、8、10、11月5cm以下。④养护时间：原则上每次养护作业应在14日历天内完成。</w:t>
      </w:r>
    </w:p>
    <w:bookmarkEnd w:id="53"/>
    <w:p w14:paraId="74BB607C">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2.硬质护坡养护要求：</w:t>
      </w:r>
      <w:r>
        <w:rPr>
          <w:rFonts w:hint="eastAsia" w:ascii="宋体" w:hAnsi="宋体" w:eastAsia="宋体" w:cs="宋体"/>
          <w:sz w:val="24"/>
          <w:szCs w:val="24"/>
        </w:rPr>
        <w:t>人工清理硬质护坡表面杂草、杂物等，确保护坡干净整洁，无其他覆盖物，无杂树杂草；养护废草、杂物等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0D693968">
      <w:pPr>
        <w:adjustRightInd w:val="0"/>
        <w:snapToGrid w:val="0"/>
        <w:spacing w:line="560" w:lineRule="exact"/>
        <w:ind w:firstLine="643"/>
        <w:rPr>
          <w:rFonts w:ascii="宋体" w:hAnsi="宋体" w:eastAsia="宋体" w:cs="宋体"/>
          <w:sz w:val="24"/>
          <w:szCs w:val="24"/>
        </w:rPr>
      </w:pPr>
      <w:r>
        <w:rPr>
          <w:rFonts w:hint="eastAsia" w:ascii="宋体" w:hAnsi="宋体" w:eastAsia="宋体" w:cs="宋体"/>
          <w:b/>
          <w:sz w:val="24"/>
          <w:szCs w:val="24"/>
        </w:rPr>
        <w:t>3.林间控高养护要求：</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2214F265">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1852"/>
        <w:gridCol w:w="5366"/>
      </w:tblGrid>
      <w:tr w14:paraId="02E4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6C15514D">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4DF2FD62">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78D39EE2">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4CD3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22FEB59E">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453452BF">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08697D61">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7B3B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22F03100">
            <w:pPr>
              <w:widowControl/>
              <w:spacing w:line="300" w:lineRule="exact"/>
              <w:jc w:val="center"/>
              <w:rPr>
                <w:rFonts w:ascii="宋体" w:hAnsi="宋体" w:eastAsia="宋体" w:cs="宋体"/>
                <w:sz w:val="24"/>
                <w:szCs w:val="24"/>
              </w:rPr>
            </w:pPr>
          </w:p>
        </w:tc>
        <w:tc>
          <w:tcPr>
            <w:tcW w:w="1035" w:type="pct"/>
            <w:vMerge w:val="restart"/>
            <w:vAlign w:val="center"/>
          </w:tcPr>
          <w:p w14:paraId="188CCEAB">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6898A84A">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堤身草皮养护高度：原则上4、9月15cm以下，5、6、7、8、10、11月5cm以下。</w:t>
            </w:r>
          </w:p>
        </w:tc>
      </w:tr>
      <w:tr w14:paraId="4E29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966" w:type="pct"/>
            <w:vMerge w:val="continue"/>
            <w:vAlign w:val="center"/>
          </w:tcPr>
          <w:p w14:paraId="66136622">
            <w:pPr>
              <w:widowControl/>
              <w:spacing w:line="300" w:lineRule="exact"/>
              <w:jc w:val="center"/>
              <w:rPr>
                <w:rFonts w:ascii="宋体" w:hAnsi="宋体" w:eastAsia="宋体" w:cs="宋体"/>
                <w:sz w:val="24"/>
                <w:szCs w:val="24"/>
              </w:rPr>
            </w:pPr>
          </w:p>
        </w:tc>
        <w:tc>
          <w:tcPr>
            <w:tcW w:w="1035" w:type="pct"/>
            <w:vMerge w:val="continue"/>
            <w:vAlign w:val="center"/>
          </w:tcPr>
          <w:p w14:paraId="7B6442A0">
            <w:pPr>
              <w:widowControl/>
              <w:spacing w:line="300" w:lineRule="exact"/>
              <w:jc w:val="center"/>
              <w:rPr>
                <w:rFonts w:ascii="宋体" w:hAnsi="宋体" w:eastAsia="宋体" w:cs="宋体"/>
                <w:sz w:val="24"/>
                <w:szCs w:val="24"/>
              </w:rPr>
            </w:pPr>
          </w:p>
        </w:tc>
        <w:tc>
          <w:tcPr>
            <w:tcW w:w="2999" w:type="pct"/>
            <w:vAlign w:val="center"/>
          </w:tcPr>
          <w:p w14:paraId="3A93D399">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1356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33B0C132">
            <w:pPr>
              <w:widowControl/>
              <w:spacing w:line="300" w:lineRule="exact"/>
              <w:jc w:val="center"/>
              <w:rPr>
                <w:rFonts w:ascii="宋体" w:hAnsi="宋体" w:eastAsia="宋体" w:cs="宋体"/>
                <w:sz w:val="24"/>
                <w:szCs w:val="24"/>
              </w:rPr>
            </w:pPr>
          </w:p>
        </w:tc>
        <w:tc>
          <w:tcPr>
            <w:tcW w:w="1035" w:type="pct"/>
            <w:vMerge w:val="continue"/>
            <w:vAlign w:val="center"/>
          </w:tcPr>
          <w:p w14:paraId="2B9E014C">
            <w:pPr>
              <w:widowControl/>
              <w:spacing w:line="300" w:lineRule="exact"/>
              <w:jc w:val="center"/>
              <w:rPr>
                <w:rFonts w:ascii="宋体" w:hAnsi="宋体" w:eastAsia="宋体" w:cs="宋体"/>
                <w:sz w:val="24"/>
                <w:szCs w:val="24"/>
              </w:rPr>
            </w:pPr>
          </w:p>
        </w:tc>
        <w:tc>
          <w:tcPr>
            <w:tcW w:w="2999" w:type="pct"/>
            <w:vAlign w:val="center"/>
          </w:tcPr>
          <w:p w14:paraId="5C1E2D0A">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19E9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4F1818BB">
            <w:pPr>
              <w:widowControl/>
              <w:spacing w:line="300" w:lineRule="exact"/>
              <w:jc w:val="center"/>
              <w:rPr>
                <w:rFonts w:ascii="宋体" w:hAnsi="宋体" w:eastAsia="宋体" w:cs="宋体"/>
                <w:sz w:val="24"/>
                <w:szCs w:val="24"/>
              </w:rPr>
            </w:pPr>
          </w:p>
        </w:tc>
        <w:tc>
          <w:tcPr>
            <w:tcW w:w="1035" w:type="pct"/>
            <w:vMerge w:val="continue"/>
            <w:vAlign w:val="center"/>
          </w:tcPr>
          <w:p w14:paraId="1487B646">
            <w:pPr>
              <w:widowControl/>
              <w:spacing w:line="300" w:lineRule="exact"/>
              <w:jc w:val="center"/>
              <w:rPr>
                <w:rFonts w:ascii="宋体" w:hAnsi="宋体" w:eastAsia="宋体" w:cs="宋体"/>
                <w:sz w:val="24"/>
                <w:szCs w:val="24"/>
              </w:rPr>
            </w:pPr>
          </w:p>
        </w:tc>
        <w:tc>
          <w:tcPr>
            <w:tcW w:w="2999" w:type="pct"/>
            <w:vAlign w:val="center"/>
          </w:tcPr>
          <w:p w14:paraId="05EE18B2">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0612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414F2A4D">
            <w:pPr>
              <w:widowControl/>
              <w:spacing w:line="300" w:lineRule="exact"/>
              <w:jc w:val="center"/>
              <w:rPr>
                <w:rFonts w:ascii="宋体" w:hAnsi="宋体" w:eastAsia="宋体" w:cs="宋体"/>
                <w:sz w:val="24"/>
                <w:szCs w:val="24"/>
              </w:rPr>
            </w:pPr>
          </w:p>
        </w:tc>
        <w:tc>
          <w:tcPr>
            <w:tcW w:w="1035" w:type="pct"/>
            <w:vAlign w:val="center"/>
          </w:tcPr>
          <w:p w14:paraId="1CB21148">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575D5D96">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1633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36BAC6A1">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5BEDEA1C">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28AA5D93">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2098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388330EB">
            <w:pPr>
              <w:widowControl/>
              <w:spacing w:line="300" w:lineRule="exact"/>
              <w:jc w:val="center"/>
              <w:rPr>
                <w:rFonts w:ascii="宋体" w:hAnsi="宋体" w:eastAsia="宋体" w:cs="宋体"/>
                <w:sz w:val="24"/>
                <w:szCs w:val="24"/>
              </w:rPr>
            </w:pPr>
          </w:p>
        </w:tc>
        <w:tc>
          <w:tcPr>
            <w:tcW w:w="1035" w:type="pct"/>
            <w:vMerge w:val="continue"/>
            <w:vAlign w:val="center"/>
          </w:tcPr>
          <w:p w14:paraId="6D3161EE">
            <w:pPr>
              <w:widowControl/>
              <w:spacing w:line="300" w:lineRule="exact"/>
              <w:jc w:val="center"/>
              <w:rPr>
                <w:rFonts w:ascii="宋体" w:hAnsi="宋体" w:eastAsia="宋体" w:cs="宋体"/>
                <w:sz w:val="24"/>
                <w:szCs w:val="24"/>
              </w:rPr>
            </w:pPr>
          </w:p>
        </w:tc>
        <w:tc>
          <w:tcPr>
            <w:tcW w:w="2999" w:type="pct"/>
            <w:vAlign w:val="center"/>
          </w:tcPr>
          <w:p w14:paraId="3698DC19">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2CF1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14D13241">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325F88D9">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6AE59B03">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3E6C90A3">
      <w:pPr>
        <w:rPr>
          <w:rFonts w:ascii="宋体" w:hAnsi="宋体" w:eastAsia="宋体" w:cs="宋体"/>
          <w:b/>
          <w:bCs/>
          <w:sz w:val="24"/>
          <w:szCs w:val="24"/>
        </w:rPr>
      </w:pPr>
    </w:p>
    <w:p w14:paraId="7AA741AD">
      <w:pPr>
        <w:adjustRightInd w:val="0"/>
        <w:snapToGrid w:val="0"/>
        <w:spacing w:line="560" w:lineRule="exact"/>
        <w:rPr>
          <w:rFonts w:ascii="宋体" w:hAnsi="宋体" w:eastAsia="宋体" w:cs="宋体"/>
          <w:b/>
          <w:sz w:val="24"/>
          <w:szCs w:val="24"/>
        </w:rPr>
      </w:pPr>
      <w:r>
        <w:rPr>
          <w:rFonts w:hint="eastAsia" w:ascii="宋体" w:hAnsi="宋体" w:eastAsia="宋体" w:cs="宋体"/>
          <w:b/>
          <w:sz w:val="24"/>
          <w:szCs w:val="24"/>
        </w:rPr>
        <w:t>（四）安全要求</w:t>
      </w:r>
    </w:p>
    <w:p w14:paraId="177CA53F">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1.中标人派驻人员：</w:t>
      </w:r>
    </w:p>
    <w:p w14:paraId="39F6A7E3">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1E9D1CEE">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②草皮养护及林间控高作业人员年龄不超过</w:t>
      </w:r>
      <w:r>
        <w:rPr>
          <w:rFonts w:hint="eastAsia" w:ascii="宋体" w:hAnsi="宋体" w:eastAsia="宋体" w:cs="宋体"/>
          <w:b/>
          <w:bCs/>
          <w:sz w:val="24"/>
          <w:szCs w:val="24"/>
        </w:rPr>
        <w:t>法定退休年龄</w:t>
      </w:r>
      <w:r>
        <w:rPr>
          <w:rFonts w:hint="eastAsia" w:ascii="宋体" w:hAnsi="宋体" w:eastAsia="宋体" w:cs="宋体"/>
          <w:sz w:val="24"/>
          <w:szCs w:val="24"/>
        </w:rPr>
        <w:t>，身体健康，无影响职业的疾病，无违法犯罪史，养护期间服从现场技术人员管理；</w:t>
      </w:r>
    </w:p>
    <w:p w14:paraId="03A05651">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2B91DADD">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388A32BD">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2.安全作业要求：</w:t>
      </w:r>
    </w:p>
    <w:p w14:paraId="040C3DE4">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①乙方必须明确本单位各级人员的安全生产责任，养护作业期间，项目负责人及现场专职或兼职安全员必须在项目现场方可开展养护作业，作业人员进场作业前必须接受安全教育，要有书面的安全技术交底，乙方作业人员如有变动的，须及时进行新进作业人员入场教育。</w:t>
      </w:r>
    </w:p>
    <w:p w14:paraId="2F87B318">
      <w:pPr>
        <w:adjustRightInd w:val="0"/>
        <w:snapToGrid w:val="0"/>
        <w:spacing w:line="560" w:lineRule="exact"/>
        <w:ind w:firstLine="640"/>
        <w:rPr>
          <w:rFonts w:ascii="宋体" w:hAnsi="宋体" w:eastAsia="宋体" w:cs="宋体"/>
          <w:sz w:val="24"/>
          <w:szCs w:val="24"/>
        </w:rPr>
      </w:pPr>
      <w:bookmarkStart w:id="54" w:name="_Hlk191590041"/>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22D2ABF7">
      <w:pPr>
        <w:adjustRightInd w:val="0"/>
        <w:snapToGrid w:val="0"/>
        <w:spacing w:line="560" w:lineRule="exact"/>
        <w:ind w:firstLine="640"/>
        <w:rPr>
          <w:sz w:val="24"/>
          <w:szCs w:val="24"/>
        </w:rPr>
      </w:pPr>
      <w:r>
        <w:rPr>
          <w:rFonts w:hint="eastAsia" w:cs="宋体" w:asciiTheme="minorEastAsia" w:hAnsiTheme="minorEastAsia" w:eastAsiaTheme="minorEastAsia"/>
          <w:sz w:val="24"/>
          <w:szCs w:val="24"/>
        </w:rPr>
        <w:t>③遇高温天气，应结合天气、养护进度等实际情况，加强作业人员身心关怀，合理安排作业时间，及时安排休息避暑，并配备防暑降温等必须的应急药品、物品，避免人员中暑、疲劳作业等情况。</w:t>
      </w:r>
    </w:p>
    <w:bookmarkEnd w:id="54"/>
    <w:p w14:paraId="32FBA541">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605BCBBC">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⑤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76F86C9F">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3.中标人须自备大型割草机或具备实施养护作业的足量机械。</w:t>
      </w:r>
    </w:p>
    <w:p w14:paraId="31A2CC79">
      <w:pPr>
        <w:spacing w:line="560" w:lineRule="exact"/>
        <w:rPr>
          <w:rFonts w:ascii="宋体" w:hAnsi="宋体" w:eastAsia="宋体" w:cs="宋体"/>
          <w:b/>
          <w:bCs/>
          <w:sz w:val="24"/>
          <w:szCs w:val="24"/>
        </w:rPr>
      </w:pPr>
      <w:r>
        <w:rPr>
          <w:rFonts w:hint="eastAsia" w:ascii="宋体" w:hAnsi="宋体" w:eastAsia="宋体" w:cs="宋体"/>
          <w:b/>
          <w:bCs/>
          <w:sz w:val="24"/>
          <w:szCs w:val="24"/>
        </w:rPr>
        <w:t>（五）日常监管及验收要求</w:t>
      </w:r>
    </w:p>
    <w:p w14:paraId="763C4DFD">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1.日常监管</w:t>
      </w:r>
    </w:p>
    <w:p w14:paraId="053CEE8C">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65DC2F48">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各合同甲方管理所负责所管堤段养护作业的现场管理工作，养护作业期间每日填写养护作业日常监管表，实时掌握养护作业情况，发现问题及时处理上报。</w:t>
      </w:r>
    </w:p>
    <w:p w14:paraId="3CEC2853">
      <w:pPr>
        <w:adjustRightInd w:val="0"/>
        <w:spacing w:line="560" w:lineRule="exact"/>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进场养护通知书</w:t>
      </w:r>
    </w:p>
    <w:p w14:paraId="339D59E9">
      <w:pPr>
        <w:spacing w:line="560" w:lineRule="exact"/>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6C579AD2">
      <w:pPr>
        <w:ind w:firstLine="198" w:firstLineChars="82"/>
        <w:rPr>
          <w:rFonts w:ascii="宋体" w:hAnsi="宋体" w:eastAsia="宋体" w:cs="宋体"/>
          <w:b/>
          <w:bCs/>
          <w:sz w:val="24"/>
          <w:szCs w:val="24"/>
        </w:rPr>
      </w:pPr>
      <w:r>
        <w:rPr>
          <w:rFonts w:hint="eastAsia" w:ascii="宋体" w:hAnsi="宋体" w:eastAsia="宋体" w:cs="宋体"/>
          <w:b/>
          <w:bCs/>
          <w:sz w:val="24"/>
          <w:szCs w:val="24"/>
        </w:rPr>
        <w:t>工程名称：********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8AA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2" w:hRule="atLeast"/>
          <w:jc w:val="center"/>
        </w:trPr>
        <w:tc>
          <w:tcPr>
            <w:tcW w:w="8522" w:type="dxa"/>
          </w:tcPr>
          <w:p w14:paraId="2CDDA620">
            <w:pPr>
              <w:ind w:firstLine="420"/>
              <w:rPr>
                <w:rFonts w:ascii="宋体" w:hAnsi="宋体" w:eastAsia="宋体" w:cs="宋体"/>
                <w:bCs/>
                <w:sz w:val="24"/>
                <w:szCs w:val="24"/>
              </w:rPr>
            </w:pPr>
            <w:r>
              <w:rPr>
                <w:rFonts w:hint="eastAsia" w:ascii="宋体" w:hAnsi="宋体" w:eastAsia="宋体" w:cs="宋体"/>
                <w:bCs/>
                <w:sz w:val="24"/>
                <w:szCs w:val="24"/>
              </w:rPr>
              <w:t xml:space="preserve">致：××××有限公司 </w:t>
            </w:r>
          </w:p>
          <w:p w14:paraId="124EF876">
            <w:pPr>
              <w:ind w:firstLine="470" w:firstLineChars="196"/>
              <w:rPr>
                <w:rFonts w:ascii="宋体" w:hAnsi="宋体" w:eastAsia="宋体" w:cs="宋体"/>
                <w:bCs/>
                <w:sz w:val="24"/>
                <w:szCs w:val="24"/>
              </w:rPr>
            </w:pPr>
            <w:r>
              <w:rPr>
                <w:rFonts w:hint="eastAsia" w:ascii="宋体" w:hAnsi="宋体" w:eastAsia="宋体" w:cs="宋体"/>
                <w:bCs/>
                <w:sz w:val="24"/>
                <w:szCs w:val="24"/>
              </w:rPr>
              <w:t>根据合同约定，你方于20××年×月××日开始进场进行第×次草皮养护。本次养护应在××日历天完成。</w:t>
            </w:r>
          </w:p>
          <w:p w14:paraId="611028C3">
            <w:pPr>
              <w:ind w:firstLine="470" w:firstLineChars="196"/>
              <w:rPr>
                <w:rFonts w:ascii="宋体" w:hAnsi="宋体" w:eastAsia="宋体" w:cs="宋体"/>
                <w:bCs/>
                <w:sz w:val="24"/>
                <w:szCs w:val="24"/>
              </w:rPr>
            </w:pPr>
            <w:r>
              <w:rPr>
                <w:rFonts w:hint="eastAsia" w:ascii="宋体" w:hAnsi="宋体" w:eastAsia="宋体" w:cs="宋体"/>
                <w:bCs/>
                <w:sz w:val="24"/>
                <w:szCs w:val="24"/>
              </w:rPr>
              <w:t>一、养护内容：</w:t>
            </w:r>
          </w:p>
          <w:p w14:paraId="2790CA39">
            <w:pPr>
              <w:ind w:firstLine="470" w:firstLineChars="196"/>
              <w:rPr>
                <w:rFonts w:ascii="宋体" w:hAnsi="宋体" w:eastAsia="宋体" w:cs="宋体"/>
                <w:bCs/>
                <w:sz w:val="24"/>
                <w:szCs w:val="24"/>
              </w:rPr>
            </w:pPr>
            <w:r>
              <w:rPr>
                <w:rFonts w:hint="eastAsia" w:ascii="宋体" w:hAnsi="宋体" w:eastAsia="宋体" w:cs="宋体"/>
                <w:bCs/>
                <w:sz w:val="24"/>
                <w:szCs w:val="24"/>
              </w:rPr>
              <w:t>对xx段堤防（桩号x+xxx-x+xxx）进行养护；</w:t>
            </w:r>
          </w:p>
          <w:p w14:paraId="105415B8">
            <w:pPr>
              <w:ind w:firstLine="470" w:firstLineChars="196"/>
              <w:rPr>
                <w:rFonts w:ascii="宋体" w:hAnsi="宋体" w:eastAsia="宋体" w:cs="宋体"/>
                <w:bCs/>
                <w:sz w:val="24"/>
                <w:szCs w:val="24"/>
              </w:rPr>
            </w:pPr>
            <w:r>
              <w:rPr>
                <w:rFonts w:hint="eastAsia" w:ascii="宋体" w:hAnsi="宋体" w:eastAsia="宋体" w:cs="宋体"/>
                <w:bCs/>
                <w:sz w:val="24"/>
                <w:szCs w:val="24"/>
              </w:rPr>
              <w:t>二、根据安全生产规定，安全生产告知如下：</w:t>
            </w:r>
          </w:p>
          <w:p w14:paraId="775DD214">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6F0DE96D">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06ADCDA5">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1244DA7B">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61D3B20C">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p w14:paraId="7C46C7D2">
            <w:pPr>
              <w:tabs>
                <w:tab w:val="left" w:pos="180"/>
              </w:tabs>
              <w:ind w:firstLine="420"/>
              <w:rPr>
                <w:rFonts w:ascii="宋体" w:hAnsi="宋体" w:eastAsia="宋体" w:cs="宋体"/>
                <w:bCs/>
                <w:sz w:val="24"/>
                <w:szCs w:val="24"/>
              </w:rPr>
            </w:pPr>
            <w:r>
              <w:rPr>
                <w:rFonts w:hint="eastAsia" w:ascii="宋体" w:hAnsi="宋体" w:eastAsia="宋体" w:cs="宋体"/>
                <w:bCs/>
                <w:sz w:val="24"/>
                <w:szCs w:val="24"/>
              </w:rPr>
              <w:t>养护作业完成后，向××河道管理局/管理处提出次验收申请。</w:t>
            </w:r>
          </w:p>
          <w:p w14:paraId="5692480D">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5634BB7D">
            <w:pPr>
              <w:ind w:firstLine="4560" w:firstLineChars="1900"/>
              <w:rPr>
                <w:rFonts w:ascii="宋体" w:hAnsi="宋体" w:eastAsia="宋体" w:cs="宋体"/>
                <w:bCs/>
                <w:sz w:val="24"/>
                <w:szCs w:val="24"/>
              </w:rPr>
            </w:pPr>
            <w:r>
              <w:rPr>
                <w:rFonts w:hint="eastAsia" w:ascii="宋体" w:hAnsi="宋体" w:eastAsia="宋体" w:cs="宋体"/>
                <w:bCs/>
                <w:sz w:val="24"/>
                <w:szCs w:val="24"/>
              </w:rPr>
              <w:t xml:space="preserve">  ××河道管理局</w:t>
            </w:r>
          </w:p>
          <w:p w14:paraId="66BEFC0F">
            <w:pPr>
              <w:ind w:firstLine="420"/>
              <w:rPr>
                <w:rFonts w:ascii="宋体" w:hAnsi="宋体" w:eastAsia="宋体" w:cs="宋体"/>
                <w:bCs/>
                <w:sz w:val="24"/>
                <w:szCs w:val="24"/>
              </w:rPr>
            </w:pPr>
            <w:r>
              <w:rPr>
                <w:rFonts w:hint="eastAsia" w:ascii="宋体" w:hAnsi="宋体" w:eastAsia="宋体" w:cs="宋体"/>
                <w:bCs/>
                <w:sz w:val="24"/>
                <w:szCs w:val="24"/>
              </w:rPr>
              <w:t xml:space="preserve">  </w:t>
            </w:r>
          </w:p>
          <w:p w14:paraId="42D15A8D">
            <w:pPr>
              <w:ind w:firstLine="4560" w:firstLineChars="1900"/>
              <w:rPr>
                <w:rFonts w:ascii="宋体" w:hAnsi="宋体" w:eastAsia="宋体" w:cs="宋体"/>
                <w:bCs/>
                <w:sz w:val="24"/>
                <w:szCs w:val="24"/>
              </w:rPr>
            </w:pPr>
            <w:r>
              <w:rPr>
                <w:rFonts w:hint="eastAsia" w:ascii="宋体" w:hAnsi="宋体" w:eastAsia="宋体" w:cs="宋体"/>
                <w:bCs/>
                <w:sz w:val="24"/>
                <w:szCs w:val="24"/>
              </w:rPr>
              <w:t>日期：20××年×月××日</w:t>
            </w:r>
          </w:p>
        </w:tc>
      </w:tr>
      <w:tr w14:paraId="4D62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8522" w:type="dxa"/>
          </w:tcPr>
          <w:p w14:paraId="2021A3D5">
            <w:pPr>
              <w:ind w:firstLine="420"/>
              <w:rPr>
                <w:rFonts w:ascii="宋体" w:hAnsi="宋体" w:eastAsia="宋体" w:cs="宋体"/>
                <w:bCs/>
                <w:sz w:val="24"/>
                <w:szCs w:val="24"/>
              </w:rPr>
            </w:pPr>
            <w:r>
              <w:rPr>
                <w:rFonts w:hint="eastAsia" w:ascii="宋体" w:hAnsi="宋体" w:eastAsia="宋体" w:cs="宋体"/>
                <w:bCs/>
                <w:sz w:val="24"/>
                <w:szCs w:val="24"/>
              </w:rPr>
              <w:t>今收到××淮河河道管理局堤防草皮养护和林间控高项目《进场养护通知书》（20××年第×次）。</w:t>
            </w:r>
          </w:p>
          <w:p w14:paraId="57008BD9">
            <w:pPr>
              <w:ind w:firstLine="468" w:firstLineChars="195"/>
              <w:rPr>
                <w:rFonts w:ascii="宋体" w:hAnsi="宋体" w:eastAsia="宋体" w:cs="宋体"/>
                <w:bCs/>
                <w:sz w:val="24"/>
                <w:szCs w:val="24"/>
              </w:rPr>
            </w:pPr>
            <w:r>
              <w:rPr>
                <w:rFonts w:hint="eastAsia" w:ascii="宋体" w:hAnsi="宋体" w:eastAsia="宋体" w:cs="宋体"/>
                <w:bCs/>
                <w:sz w:val="24"/>
                <w:szCs w:val="24"/>
              </w:rPr>
              <w:t xml:space="preserve">此 据！                      </w:t>
            </w:r>
          </w:p>
          <w:p w14:paraId="5BC5F5C4">
            <w:pPr>
              <w:ind w:firstLine="420"/>
              <w:rPr>
                <w:rFonts w:ascii="宋体" w:hAnsi="宋体" w:eastAsia="宋体" w:cs="宋体"/>
                <w:bCs/>
                <w:sz w:val="24"/>
                <w:szCs w:val="24"/>
              </w:rPr>
            </w:pPr>
          </w:p>
          <w:p w14:paraId="7BDA13AB">
            <w:pPr>
              <w:ind w:firstLine="5508" w:firstLineChars="2295"/>
              <w:rPr>
                <w:rFonts w:ascii="宋体" w:hAnsi="宋体" w:eastAsia="宋体" w:cs="宋体"/>
                <w:bCs/>
                <w:sz w:val="24"/>
                <w:szCs w:val="24"/>
              </w:rPr>
            </w:pPr>
            <w:r>
              <w:rPr>
                <w:rFonts w:hint="eastAsia" w:ascii="宋体" w:hAnsi="宋体" w:eastAsia="宋体" w:cs="宋体"/>
                <w:bCs/>
                <w:sz w:val="24"/>
                <w:szCs w:val="24"/>
              </w:rPr>
              <w:t>乙方：</w:t>
            </w:r>
          </w:p>
          <w:p w14:paraId="1A5A4A7E">
            <w:pPr>
              <w:ind w:firstLine="4920" w:firstLineChars="2050"/>
              <w:rPr>
                <w:rFonts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u w:val="single"/>
              </w:rPr>
              <w:t>20××年×月××日</w:t>
            </w:r>
          </w:p>
        </w:tc>
      </w:tr>
    </w:tbl>
    <w:p w14:paraId="053032C0">
      <w:pPr>
        <w:shd w:val="clear" w:color="auto" w:fill="FFFFFF"/>
        <w:spacing w:line="360" w:lineRule="auto"/>
        <w:ind w:firstLine="480"/>
        <w:rPr>
          <w:rFonts w:ascii="宋体" w:hAnsi="宋体" w:eastAsia="宋体" w:cs="宋体"/>
          <w:bCs/>
          <w:sz w:val="24"/>
          <w:szCs w:val="24"/>
        </w:rPr>
      </w:pPr>
      <w:r>
        <w:rPr>
          <w:rFonts w:hint="eastAsia" w:ascii="宋体" w:hAnsi="宋体" w:eastAsia="宋体" w:cs="宋体"/>
          <w:bCs/>
          <w:sz w:val="24"/>
          <w:szCs w:val="24"/>
        </w:rPr>
        <w:t>本通知一式二份，××水闸管理处、××××有限公司各执一份。</w:t>
      </w:r>
    </w:p>
    <w:p w14:paraId="0D60D1DE">
      <w:pPr>
        <w:jc w:val="center"/>
        <w:rPr>
          <w:rFonts w:ascii="宋体" w:hAnsi="宋体" w:eastAsia="宋体" w:cs="宋体"/>
          <w:b/>
          <w:bCs/>
          <w:kern w:val="0"/>
          <w:sz w:val="24"/>
          <w:szCs w:val="24"/>
        </w:rPr>
      </w:pPr>
      <w:r>
        <w:rPr>
          <w:rFonts w:hint="eastAsia" w:ascii="宋体" w:hAnsi="宋体" w:eastAsia="宋体" w:cs="宋体"/>
          <w:b/>
          <w:bCs/>
          <w:kern w:val="0"/>
          <w:sz w:val="24"/>
          <w:szCs w:val="24"/>
        </w:rPr>
        <w:br w:type="page"/>
      </w:r>
      <w:r>
        <w:rPr>
          <w:rFonts w:hint="eastAsia" w:ascii="宋体" w:hAnsi="宋体" w:eastAsia="宋体" w:cs="宋体"/>
          <w:b/>
          <w:bCs/>
          <w:kern w:val="0"/>
          <w:sz w:val="24"/>
          <w:szCs w:val="24"/>
        </w:rPr>
        <w:t>技术及安全交底记录表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709"/>
        <w:gridCol w:w="3906"/>
      </w:tblGrid>
      <w:tr w14:paraId="38EF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AE326B4">
            <w:pPr>
              <w:jc w:val="center"/>
              <w:rPr>
                <w:rFonts w:ascii="宋体" w:hAnsi="宋体" w:eastAsia="宋体" w:cs="宋体"/>
                <w:sz w:val="24"/>
                <w:szCs w:val="24"/>
              </w:rPr>
            </w:pPr>
            <w:r>
              <w:rPr>
                <w:rFonts w:hint="eastAsia" w:ascii="宋体" w:hAnsi="宋体" w:eastAsia="宋体" w:cs="宋体"/>
                <w:sz w:val="24"/>
                <w:szCs w:val="24"/>
              </w:rPr>
              <w:t>项目名称</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BB4B53">
            <w:pPr>
              <w:jc w:val="center"/>
              <w:rPr>
                <w:rFonts w:ascii="宋体" w:hAnsi="宋体" w:eastAsia="宋体" w:cs="宋体"/>
                <w:sz w:val="24"/>
                <w:szCs w:val="24"/>
              </w:rPr>
            </w:pPr>
          </w:p>
        </w:tc>
      </w:tr>
      <w:tr w14:paraId="4210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8CA8701">
            <w:pPr>
              <w:jc w:val="center"/>
              <w:rPr>
                <w:rFonts w:ascii="宋体" w:hAnsi="宋体" w:eastAsia="宋体" w:cs="宋体"/>
                <w:sz w:val="24"/>
                <w:szCs w:val="24"/>
              </w:rPr>
            </w:pPr>
            <w:r>
              <w:rPr>
                <w:rFonts w:hint="eastAsia" w:ascii="宋体" w:hAnsi="宋体" w:eastAsia="宋体" w:cs="宋体"/>
                <w:sz w:val="24"/>
                <w:szCs w:val="24"/>
              </w:rPr>
              <w:t>合同甲方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72D9C034">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1DD6C2">
            <w:pPr>
              <w:jc w:val="center"/>
              <w:rPr>
                <w:rFonts w:ascii="宋体" w:hAnsi="宋体" w:eastAsia="宋体" w:cs="宋体"/>
                <w:sz w:val="24"/>
                <w:szCs w:val="24"/>
              </w:rPr>
            </w:pPr>
            <w:r>
              <w:rPr>
                <w:rFonts w:hint="eastAsia" w:ascii="宋体" w:hAnsi="宋体" w:eastAsia="宋体" w:cs="宋体"/>
                <w:sz w:val="24"/>
                <w:szCs w:val="24"/>
              </w:rPr>
              <w:t>养护单位</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67FA35C0">
            <w:pPr>
              <w:jc w:val="center"/>
              <w:rPr>
                <w:rFonts w:ascii="宋体" w:hAnsi="宋体" w:eastAsia="宋体" w:cs="宋体"/>
                <w:sz w:val="24"/>
                <w:szCs w:val="24"/>
              </w:rPr>
            </w:pPr>
          </w:p>
        </w:tc>
      </w:tr>
      <w:tr w14:paraId="2AB4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21D312E">
            <w:pPr>
              <w:jc w:val="center"/>
              <w:rPr>
                <w:rFonts w:ascii="宋体" w:hAnsi="宋体" w:eastAsia="宋体" w:cs="宋体"/>
                <w:sz w:val="24"/>
                <w:szCs w:val="24"/>
              </w:rPr>
            </w:pPr>
            <w:r>
              <w:rPr>
                <w:rFonts w:hint="eastAsia" w:ascii="宋体" w:hAnsi="宋体" w:eastAsia="宋体" w:cs="宋体"/>
                <w:sz w:val="24"/>
                <w:szCs w:val="24"/>
              </w:rPr>
              <w:t>管理所</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A9B153">
            <w:pPr>
              <w:jc w:val="center"/>
              <w:rPr>
                <w:rFonts w:ascii="宋体" w:hAnsi="宋体" w:eastAsia="宋体" w:cs="宋体"/>
                <w:sz w:val="24"/>
                <w:szCs w:val="24"/>
              </w:rPr>
            </w:pPr>
          </w:p>
        </w:tc>
      </w:tr>
      <w:tr w14:paraId="46A6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9C07156">
            <w:pPr>
              <w:jc w:val="center"/>
              <w:rPr>
                <w:rFonts w:ascii="宋体" w:hAnsi="宋体" w:eastAsia="宋体" w:cs="宋体"/>
                <w:sz w:val="24"/>
                <w:szCs w:val="24"/>
              </w:rPr>
            </w:pPr>
            <w:r>
              <w:rPr>
                <w:rFonts w:hint="eastAsia" w:ascii="宋体" w:hAnsi="宋体" w:eastAsia="宋体" w:cs="宋体"/>
                <w:sz w:val="24"/>
                <w:szCs w:val="24"/>
              </w:rPr>
              <w:t>交底地点</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46361879">
            <w:pPr>
              <w:jc w:val="center"/>
              <w:rPr>
                <w:rFonts w:ascii="宋体" w:hAnsi="宋体" w:eastAsia="宋体" w:cs="宋体"/>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E21D125">
            <w:pPr>
              <w:jc w:val="center"/>
              <w:rPr>
                <w:rFonts w:ascii="宋体" w:hAnsi="宋体" w:eastAsia="宋体" w:cs="宋体"/>
                <w:sz w:val="24"/>
                <w:szCs w:val="24"/>
              </w:rPr>
            </w:pPr>
            <w:r>
              <w:rPr>
                <w:rFonts w:hint="eastAsia" w:ascii="宋体" w:hAnsi="宋体" w:eastAsia="宋体" w:cs="宋体"/>
                <w:sz w:val="24"/>
                <w:szCs w:val="24"/>
              </w:rPr>
              <w:t>交底日期</w:t>
            </w:r>
          </w:p>
        </w:tc>
        <w:tc>
          <w:tcPr>
            <w:tcW w:w="3906" w:type="dxa"/>
            <w:tcBorders>
              <w:top w:val="single" w:color="auto" w:sz="4" w:space="0"/>
              <w:left w:val="single" w:color="auto" w:sz="4" w:space="0"/>
              <w:bottom w:val="single" w:color="auto" w:sz="4" w:space="0"/>
              <w:right w:val="single" w:color="auto" w:sz="4" w:space="0"/>
            </w:tcBorders>
            <w:shd w:val="clear" w:color="auto" w:fill="auto"/>
            <w:vAlign w:val="center"/>
          </w:tcPr>
          <w:p w14:paraId="4E57616B">
            <w:pPr>
              <w:jc w:val="center"/>
              <w:rPr>
                <w:rFonts w:ascii="宋体" w:hAnsi="宋体" w:eastAsia="宋体" w:cs="宋体"/>
                <w:sz w:val="24"/>
                <w:szCs w:val="24"/>
              </w:rPr>
            </w:pPr>
          </w:p>
        </w:tc>
      </w:tr>
      <w:tr w14:paraId="39FE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8296" w:type="dxa"/>
            <w:gridSpan w:val="4"/>
            <w:tcBorders>
              <w:top w:val="single" w:color="auto" w:sz="4" w:space="0"/>
              <w:left w:val="single" w:color="auto" w:sz="4" w:space="0"/>
              <w:bottom w:val="single" w:color="auto" w:sz="4" w:space="0"/>
              <w:right w:val="single" w:color="auto" w:sz="4" w:space="0"/>
            </w:tcBorders>
            <w:shd w:val="clear" w:color="auto" w:fill="auto"/>
          </w:tcPr>
          <w:p w14:paraId="796F28AF">
            <w:pPr>
              <w:rPr>
                <w:rFonts w:ascii="宋体" w:hAnsi="宋体" w:eastAsia="宋体" w:cs="宋体"/>
                <w:b/>
                <w:bCs/>
                <w:sz w:val="24"/>
                <w:szCs w:val="24"/>
              </w:rPr>
            </w:pPr>
            <w:r>
              <w:rPr>
                <w:rFonts w:hint="eastAsia" w:ascii="宋体" w:hAnsi="宋体" w:eastAsia="宋体" w:cs="宋体"/>
                <w:b/>
                <w:bCs/>
                <w:sz w:val="24"/>
                <w:szCs w:val="24"/>
              </w:rPr>
              <w:t xml:space="preserve">一、技术交底 </w:t>
            </w:r>
          </w:p>
          <w:p w14:paraId="543DD582">
            <w:pPr>
              <w:ind w:firstLine="470" w:firstLineChars="196"/>
              <w:rPr>
                <w:rFonts w:ascii="宋体" w:hAnsi="宋体" w:eastAsia="宋体" w:cs="宋体"/>
                <w:sz w:val="24"/>
                <w:szCs w:val="24"/>
              </w:rPr>
            </w:pPr>
            <w:r>
              <w:rPr>
                <w:rFonts w:hint="eastAsia" w:ascii="宋体" w:hAnsi="宋体" w:eastAsia="宋体" w:cs="宋体"/>
                <w:sz w:val="24"/>
                <w:szCs w:val="24"/>
              </w:rPr>
              <w:t>1.堤防草皮养护要求：①基本要求：草皮养护控高应根据草皮长势情况及时开展，养护前人工清理坡面块石、碎石等垃圾杂物，防止造成人员伤亡；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2E35C812">
            <w:pPr>
              <w:ind w:firstLine="470" w:firstLineChars="196"/>
              <w:rPr>
                <w:rFonts w:ascii="宋体" w:hAnsi="宋体" w:eastAsia="宋体" w:cs="宋体"/>
                <w:sz w:val="24"/>
                <w:szCs w:val="24"/>
              </w:rPr>
            </w:pPr>
            <w:r>
              <w:rPr>
                <w:rFonts w:hint="eastAsia" w:ascii="宋体" w:hAnsi="宋体" w:eastAsia="宋体" w:cs="宋体"/>
                <w:sz w:val="24"/>
                <w:szCs w:val="24"/>
              </w:rPr>
              <w:t>2.硬质护坡养护要求：人工清理硬质护坡表面杂草、杂物等，确保护坡干净整洁，无其他覆盖物，无杂树杂草；养护废草、杂物等全部清运到堤防管理范围以外。</w:t>
            </w:r>
          </w:p>
          <w:p w14:paraId="0F2356D0">
            <w:pPr>
              <w:ind w:firstLine="470" w:firstLineChars="196"/>
              <w:rPr>
                <w:rFonts w:ascii="宋体" w:hAnsi="宋体" w:eastAsia="宋体" w:cs="宋体"/>
                <w:sz w:val="24"/>
                <w:szCs w:val="24"/>
              </w:rPr>
            </w:pPr>
            <w:r>
              <w:rPr>
                <w:rFonts w:hint="eastAsia" w:ascii="宋体" w:hAnsi="宋体" w:eastAsia="宋体" w:cs="宋体"/>
                <w:sz w:val="24"/>
                <w:szCs w:val="24"/>
              </w:rPr>
              <w:t>3.林间控高养护要求：无杂树杂条、无杂草丛生现象，养护高度5cm以下，养护废草、杂物等全部清运到堤防管理范围以外。</w:t>
            </w:r>
          </w:p>
          <w:p w14:paraId="748F0A06">
            <w:pPr>
              <w:pStyle w:val="10"/>
              <w:ind w:firstLine="480" w:firstLineChars="200"/>
              <w:rPr>
                <w:rFonts w:hAnsi="宋体" w:eastAsia="宋体" w:cs="宋体"/>
                <w:sz w:val="24"/>
                <w:szCs w:val="24"/>
              </w:rPr>
            </w:pPr>
            <w:r>
              <w:rPr>
                <w:rFonts w:hint="eastAsia"/>
                <w:sz w:val="24"/>
                <w:szCs w:val="24"/>
              </w:rPr>
              <w:t>4.养护频次：******（</w:t>
            </w:r>
            <w:r>
              <w:rPr>
                <w:rFonts w:hint="eastAsia" w:hAnsi="宋体" w:eastAsia="宋体" w:cs="宋体"/>
                <w:sz w:val="24"/>
                <w:szCs w:val="24"/>
              </w:rPr>
              <w:t>各单位可根据实际进行填写，但应保证草皮及林间控高常态化养护标准）。</w:t>
            </w:r>
          </w:p>
          <w:p w14:paraId="5CB62876">
            <w:pPr>
              <w:ind w:firstLine="470" w:firstLineChars="196"/>
              <w:rPr>
                <w:rFonts w:ascii="宋体" w:hAnsi="宋体" w:eastAsia="宋体" w:cs="宋体"/>
                <w:sz w:val="24"/>
                <w:szCs w:val="24"/>
              </w:rPr>
            </w:pPr>
            <w:r>
              <w:rPr>
                <w:rFonts w:hint="eastAsia" w:ascii="宋体" w:hAnsi="宋体" w:eastAsia="宋体" w:cs="宋体"/>
                <w:sz w:val="24"/>
                <w:szCs w:val="24"/>
              </w:rPr>
              <w:t>5.按照投标文件提供自备机械设备、项目组成员，并为所有项目人员购买雇主责任险或团体意外险，进场作业前由甲方验证。</w:t>
            </w:r>
          </w:p>
          <w:p w14:paraId="25467C3C">
            <w:pPr>
              <w:ind w:firstLine="470" w:firstLineChars="196"/>
              <w:rPr>
                <w:rFonts w:ascii="宋体" w:hAnsi="宋体" w:eastAsia="宋体" w:cs="宋体"/>
                <w:sz w:val="24"/>
                <w:szCs w:val="24"/>
              </w:rPr>
            </w:pPr>
            <w:r>
              <w:rPr>
                <w:rFonts w:hint="eastAsia" w:ascii="宋体" w:hAnsi="宋体" w:eastAsia="宋体" w:cs="宋体"/>
                <w:sz w:val="24"/>
                <w:szCs w:val="24"/>
              </w:rPr>
              <w:t>6.派驻人员：</w:t>
            </w:r>
          </w:p>
          <w:p w14:paraId="594EE729">
            <w:pPr>
              <w:ind w:firstLine="470" w:firstLineChars="196"/>
              <w:rPr>
                <w:rFonts w:ascii="宋体" w:hAnsi="宋体" w:eastAsia="宋体" w:cs="宋体"/>
                <w:sz w:val="24"/>
                <w:szCs w:val="24"/>
              </w:rPr>
            </w:pPr>
            <w:r>
              <w:rPr>
                <w:rFonts w:hint="eastAsia" w:ascii="宋体" w:hAnsi="宋体" w:eastAsia="宋体" w:cs="宋体"/>
                <w:sz w:val="24"/>
                <w:szCs w:val="24"/>
              </w:rPr>
              <w:t>（1）草皮养护及林间控高作业人员年龄不超过法定退休年龄，身体健康，无影响职业的疾病，无违法犯罪史，养护期间服从现场技术人员管理。</w:t>
            </w:r>
          </w:p>
          <w:p w14:paraId="576D6872">
            <w:pPr>
              <w:ind w:firstLine="470" w:firstLineChars="196"/>
              <w:rPr>
                <w:rFonts w:ascii="宋体" w:hAnsi="宋体" w:eastAsia="宋体" w:cs="宋体"/>
                <w:sz w:val="24"/>
                <w:szCs w:val="24"/>
              </w:rPr>
            </w:pPr>
            <w:r>
              <w:rPr>
                <w:rFonts w:hint="eastAsia" w:ascii="宋体" w:hAnsi="宋体" w:eastAsia="宋体" w:cs="宋体"/>
                <w:sz w:val="24"/>
                <w:szCs w:val="24"/>
              </w:rPr>
              <w:t>（2）乙方应为所有作业人员购买雇主责任险或作业人员团队意外险，其保险费已包含在签约合同价中；合同履行期间，作业人员突发疾病、意外等造成的人员伤亡及财产损失均由乙方负责。</w:t>
            </w:r>
          </w:p>
          <w:p w14:paraId="1D8E5267">
            <w:pPr>
              <w:ind w:firstLine="470" w:firstLineChars="196"/>
              <w:rPr>
                <w:rFonts w:ascii="宋体" w:hAnsi="宋体" w:eastAsia="宋体" w:cs="宋体"/>
                <w:sz w:val="24"/>
                <w:szCs w:val="24"/>
              </w:rPr>
            </w:pPr>
            <w:r>
              <w:rPr>
                <w:rFonts w:hint="eastAsia" w:ascii="宋体" w:hAnsi="宋体" w:eastAsia="宋体" w:cs="宋体"/>
                <w:sz w:val="24"/>
                <w:szCs w:val="24"/>
              </w:rPr>
              <w:t>（3）遇到突击任务时，项目负责人应服从甲方的安排调度（包括节假日、周末），及时增派人员完成甲方的工作内容。</w:t>
            </w:r>
          </w:p>
          <w:p w14:paraId="7BCB0B15">
            <w:pPr>
              <w:rPr>
                <w:rFonts w:ascii="宋体" w:hAnsi="宋体" w:eastAsia="宋体" w:cs="宋体"/>
                <w:b/>
                <w:bCs/>
                <w:sz w:val="24"/>
                <w:szCs w:val="24"/>
              </w:rPr>
            </w:pPr>
            <w:r>
              <w:rPr>
                <w:rFonts w:hint="eastAsia" w:ascii="宋体" w:hAnsi="宋体" w:eastAsia="宋体" w:cs="宋体"/>
                <w:b/>
                <w:bCs/>
                <w:sz w:val="24"/>
                <w:szCs w:val="24"/>
              </w:rPr>
              <w:t>二、安全交底</w:t>
            </w:r>
          </w:p>
          <w:p w14:paraId="5199EEDA">
            <w:pPr>
              <w:ind w:firstLine="470" w:firstLineChars="196"/>
              <w:rPr>
                <w:rFonts w:ascii="宋体" w:hAnsi="宋体" w:eastAsia="宋体" w:cs="宋体"/>
                <w:bCs/>
                <w:sz w:val="24"/>
                <w:szCs w:val="24"/>
              </w:rPr>
            </w:pPr>
            <w:r>
              <w:rPr>
                <w:rFonts w:hint="eastAsia" w:ascii="宋体" w:hAnsi="宋体" w:eastAsia="宋体" w:cs="宋体"/>
                <w:bCs/>
                <w:sz w:val="24"/>
                <w:szCs w:val="24"/>
              </w:rPr>
              <w:t>1.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4EA2FB65">
            <w:pPr>
              <w:ind w:firstLine="470" w:firstLineChars="196"/>
              <w:rPr>
                <w:rFonts w:ascii="宋体" w:hAnsi="宋体" w:eastAsia="宋体" w:cs="宋体"/>
                <w:bCs/>
                <w:sz w:val="24"/>
                <w:szCs w:val="24"/>
              </w:rPr>
            </w:pPr>
            <w:r>
              <w:rPr>
                <w:rFonts w:hint="eastAsia" w:ascii="宋体" w:hAnsi="宋体" w:eastAsia="宋体" w:cs="宋体"/>
                <w:bCs/>
                <w:sz w:val="24"/>
                <w:szCs w:val="24"/>
              </w:rPr>
              <w:t>2. 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1399476F">
            <w:pPr>
              <w:pStyle w:val="10"/>
              <w:ind w:firstLine="480" w:firstLineChars="200"/>
              <w:rPr>
                <w:rFonts w:hAnsi="宋体" w:eastAsia="宋体" w:cs="宋体"/>
                <w:sz w:val="24"/>
                <w:szCs w:val="24"/>
              </w:rPr>
            </w:pPr>
            <w:r>
              <w:rPr>
                <w:rFonts w:hint="eastAsia" w:hAnsi="宋体" w:eastAsia="宋体" w:cs="宋体"/>
                <w:bCs/>
                <w:sz w:val="24"/>
                <w:szCs w:val="24"/>
              </w:rPr>
              <w:t>3.遇高温天气，你方应结合天气、养护进度等实际情况，加强作业人员身心关怀，合理安排作业时间，及时安排休息避暑，并配备防暑降温等必须的应急药品、物品，避免人员中暑、疲劳作业等情况。</w:t>
            </w:r>
          </w:p>
          <w:p w14:paraId="33B1DDC5">
            <w:pPr>
              <w:ind w:firstLine="470" w:firstLineChars="196"/>
              <w:rPr>
                <w:rFonts w:ascii="宋体" w:hAnsi="宋体" w:eastAsia="宋体" w:cs="宋体"/>
                <w:bCs/>
                <w:sz w:val="24"/>
                <w:szCs w:val="24"/>
              </w:rPr>
            </w:pPr>
            <w:r>
              <w:rPr>
                <w:rFonts w:hint="eastAsia" w:ascii="宋体" w:hAnsi="宋体" w:eastAsia="宋体" w:cs="宋体"/>
                <w:bCs/>
                <w:sz w:val="24"/>
                <w:szCs w:val="24"/>
              </w:rPr>
              <w:t>4.临水临边作业，作业人员必须穿戴好救生衣，不得穿带钉易滑的硬底鞋，每次工作前对所用的救生衣进行检查确保其安全有效，禁止单人独自作业，室外作业时，当风力较大，影响作业安全时，立即停止工作。</w:t>
            </w:r>
          </w:p>
          <w:p w14:paraId="37A57160">
            <w:pPr>
              <w:tabs>
                <w:tab w:val="left" w:pos="180"/>
              </w:tabs>
              <w:ind w:firstLine="420"/>
              <w:rPr>
                <w:rFonts w:ascii="宋体" w:hAnsi="宋体" w:eastAsia="宋体" w:cs="宋体"/>
                <w:sz w:val="24"/>
                <w:szCs w:val="24"/>
              </w:rPr>
            </w:pPr>
            <w:r>
              <w:rPr>
                <w:rFonts w:hint="eastAsia" w:ascii="宋体" w:hAnsi="宋体" w:eastAsia="宋体" w:cs="宋体"/>
                <w:bCs/>
                <w:sz w:val="24"/>
                <w:szCs w:val="24"/>
              </w:rPr>
              <w:t>5.乙方在作业过程中，应加强人员管理，确保人员工作安全，防范安全生产事故，乙方在履行本合同过程中发生的任何工伤或意外伤亡等，均由乙方负责处理并承担全部费用；若因此给采购人或第三方造成损失，由乙方予以全额赔偿。</w:t>
            </w:r>
          </w:p>
        </w:tc>
      </w:tr>
      <w:tr w14:paraId="59FC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A7DB8C8">
            <w:pPr>
              <w:jc w:val="center"/>
              <w:rPr>
                <w:rFonts w:ascii="宋体" w:hAnsi="宋体" w:eastAsia="宋体" w:cs="宋体"/>
                <w:sz w:val="24"/>
                <w:szCs w:val="24"/>
              </w:rPr>
            </w:pPr>
            <w:r>
              <w:rPr>
                <w:rFonts w:hint="eastAsia" w:ascii="宋体" w:hAnsi="宋体" w:eastAsia="宋体" w:cs="宋体"/>
                <w:sz w:val="24"/>
                <w:szCs w:val="24"/>
              </w:rPr>
              <w:t>交底人员签字</w:t>
            </w:r>
          </w:p>
        </w:tc>
        <w:tc>
          <w:tcPr>
            <w:tcW w:w="75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314860">
            <w:pPr>
              <w:jc w:val="center"/>
              <w:rPr>
                <w:rFonts w:ascii="宋体" w:hAnsi="宋体" w:eastAsia="宋体" w:cs="宋体"/>
                <w:sz w:val="24"/>
                <w:szCs w:val="24"/>
              </w:rPr>
            </w:pPr>
          </w:p>
        </w:tc>
      </w:tr>
    </w:tbl>
    <w:p w14:paraId="516BC323">
      <w:pPr>
        <w:widowControl/>
        <w:jc w:val="center"/>
        <w:rPr>
          <w:rFonts w:ascii="宋体" w:hAnsi="宋体" w:eastAsia="宋体" w:cs="宋体"/>
          <w:sz w:val="24"/>
          <w:szCs w:val="24"/>
        </w:rPr>
      </w:pPr>
    </w:p>
    <w:p w14:paraId="7BA87623">
      <w:pPr>
        <w:pStyle w:val="10"/>
        <w:rPr>
          <w:rFonts w:hAnsi="宋体" w:eastAsia="宋体" w:cs="宋体"/>
          <w:sz w:val="24"/>
          <w:szCs w:val="24"/>
        </w:rPr>
      </w:pPr>
      <w:r>
        <w:rPr>
          <w:rFonts w:hint="eastAsia" w:hAnsi="宋体" w:eastAsia="宋体" w:cs="宋体"/>
          <w:sz w:val="24"/>
          <w:szCs w:val="24"/>
        </w:rPr>
        <w:br w:type="page"/>
      </w:r>
    </w:p>
    <w:p w14:paraId="54172FE4">
      <w:pPr>
        <w:widowControl/>
        <w:jc w:val="center"/>
        <w:rPr>
          <w:rFonts w:ascii="宋体" w:hAnsi="宋体" w:eastAsia="宋体" w:cs="宋体"/>
          <w:sz w:val="24"/>
          <w:szCs w:val="24"/>
        </w:rPr>
      </w:pPr>
      <w:r>
        <w:rPr>
          <w:rFonts w:hint="eastAsia" w:ascii="宋体" w:hAnsi="宋体" w:eastAsia="宋体" w:cs="宋体"/>
          <w:sz w:val="24"/>
          <w:szCs w:val="24"/>
          <w:lang w:eastAsia="zh-CN"/>
        </w:rPr>
        <w:t>省淮河局2025年堤防草皮养护及林间控高（第5包）</w:t>
      </w:r>
      <w:r>
        <w:rPr>
          <w:rFonts w:hint="eastAsia" w:ascii="宋体" w:hAnsi="宋体" w:eastAsia="宋体" w:cs="宋体"/>
          <w:sz w:val="24"/>
          <w:szCs w:val="24"/>
        </w:rPr>
        <w:t>项目第</w:t>
      </w:r>
      <w:r>
        <w:rPr>
          <w:rFonts w:hint="eastAsia" w:ascii="宋体" w:hAnsi="宋体" w:eastAsia="宋体" w:cs="宋体"/>
          <w:sz w:val="24"/>
          <w:szCs w:val="24"/>
          <w:u w:val="single"/>
        </w:rPr>
        <w:t xml:space="preserve">  </w:t>
      </w:r>
      <w:r>
        <w:rPr>
          <w:rFonts w:hint="eastAsia" w:ascii="宋体" w:hAnsi="宋体" w:eastAsia="宋体" w:cs="宋体"/>
          <w:sz w:val="24"/>
          <w:szCs w:val="24"/>
        </w:rPr>
        <w:t>包</w:t>
      </w:r>
    </w:p>
    <w:p w14:paraId="4E0162A3">
      <w:pPr>
        <w:widowControl/>
        <w:jc w:val="center"/>
        <w:rPr>
          <w:rFonts w:ascii="宋体" w:hAnsi="宋体" w:eastAsia="宋体" w:cs="宋体"/>
          <w:sz w:val="24"/>
          <w:szCs w:val="24"/>
        </w:rPr>
      </w:pPr>
      <w:r>
        <w:rPr>
          <w:rFonts w:hint="eastAsia" w:ascii="宋体" w:hAnsi="宋体" w:eastAsia="宋体" w:cs="宋体"/>
          <w:sz w:val="24"/>
          <w:szCs w:val="24"/>
        </w:rPr>
        <w:t>技术及安全交底会议签到表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530"/>
        <w:gridCol w:w="2444"/>
        <w:gridCol w:w="1530"/>
        <w:gridCol w:w="1680"/>
        <w:gridCol w:w="1004"/>
      </w:tblGrid>
      <w:tr w14:paraId="2928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322BA8B">
            <w:pPr>
              <w:jc w:val="center"/>
              <w:rPr>
                <w:rFonts w:ascii="宋体" w:hAnsi="宋体" w:eastAsia="宋体" w:cs="宋体"/>
                <w:sz w:val="24"/>
                <w:szCs w:val="24"/>
              </w:rPr>
            </w:pPr>
            <w:r>
              <w:rPr>
                <w:rFonts w:hint="eastAsia" w:ascii="宋体" w:hAnsi="宋体" w:eastAsia="宋体" w:cs="宋体"/>
                <w:sz w:val="24"/>
                <w:szCs w:val="24"/>
              </w:rPr>
              <w:t>序号</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E771AB7">
            <w:pPr>
              <w:jc w:val="center"/>
              <w:rPr>
                <w:rFonts w:ascii="宋体" w:hAnsi="宋体" w:eastAsia="宋体" w:cs="宋体"/>
                <w:sz w:val="24"/>
                <w:szCs w:val="24"/>
              </w:rPr>
            </w:pPr>
            <w:r>
              <w:rPr>
                <w:rFonts w:hint="eastAsia" w:ascii="宋体" w:hAnsi="宋体" w:eastAsia="宋体" w:cs="宋体"/>
                <w:sz w:val="24"/>
                <w:szCs w:val="24"/>
              </w:rPr>
              <w:t>姓名</w:t>
            </w: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329321A">
            <w:pPr>
              <w:jc w:val="center"/>
              <w:rPr>
                <w:rFonts w:ascii="宋体" w:hAnsi="宋体" w:eastAsia="宋体" w:cs="宋体"/>
                <w:sz w:val="24"/>
                <w:szCs w:val="24"/>
              </w:rPr>
            </w:pPr>
            <w:r>
              <w:rPr>
                <w:rFonts w:hint="eastAsia" w:ascii="宋体" w:hAnsi="宋体" w:eastAsia="宋体" w:cs="宋体"/>
                <w:sz w:val="24"/>
                <w:szCs w:val="24"/>
              </w:rPr>
              <w:t>工作单位</w:t>
            </w: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AEF316E">
            <w:pPr>
              <w:jc w:val="center"/>
              <w:rPr>
                <w:rFonts w:ascii="宋体" w:hAnsi="宋体" w:eastAsia="宋体" w:cs="宋体"/>
                <w:sz w:val="24"/>
                <w:szCs w:val="24"/>
              </w:rPr>
            </w:pPr>
            <w:r>
              <w:rPr>
                <w:rFonts w:hint="eastAsia" w:ascii="宋体" w:hAnsi="宋体" w:eastAsia="宋体" w:cs="宋体"/>
                <w:sz w:val="24"/>
                <w:szCs w:val="24"/>
              </w:rPr>
              <w:t>职务/职称</w:t>
            </w: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88CDE4F">
            <w:pPr>
              <w:jc w:val="center"/>
              <w:rPr>
                <w:rFonts w:ascii="宋体" w:hAnsi="宋体" w:eastAsia="宋体" w:cs="宋体"/>
                <w:sz w:val="24"/>
                <w:szCs w:val="24"/>
              </w:rPr>
            </w:pPr>
            <w:r>
              <w:rPr>
                <w:rFonts w:hint="eastAsia" w:ascii="宋体" w:hAnsi="宋体" w:eastAsia="宋体" w:cs="宋体"/>
                <w:sz w:val="24"/>
                <w:szCs w:val="24"/>
              </w:rPr>
              <w:t>联系电话</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453E65BA">
            <w:pPr>
              <w:jc w:val="center"/>
              <w:rPr>
                <w:rFonts w:ascii="宋体" w:hAnsi="宋体" w:eastAsia="宋体" w:cs="宋体"/>
                <w:sz w:val="24"/>
                <w:szCs w:val="24"/>
              </w:rPr>
            </w:pPr>
            <w:r>
              <w:rPr>
                <w:rFonts w:hint="eastAsia" w:ascii="宋体" w:hAnsi="宋体" w:eastAsia="宋体" w:cs="宋体"/>
                <w:sz w:val="24"/>
                <w:szCs w:val="24"/>
              </w:rPr>
              <w:t>备注</w:t>
            </w:r>
          </w:p>
        </w:tc>
      </w:tr>
      <w:tr w14:paraId="4B36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0543B6F">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2A56112">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2099F3A8">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5E9AB2F">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09F2EE1">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151DAD19">
            <w:pPr>
              <w:rPr>
                <w:rFonts w:ascii="宋体" w:hAnsi="宋体" w:eastAsia="宋体" w:cs="宋体"/>
                <w:sz w:val="24"/>
                <w:szCs w:val="24"/>
              </w:rPr>
            </w:pPr>
          </w:p>
        </w:tc>
      </w:tr>
      <w:tr w14:paraId="62E9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D4B6969">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87E1A4B">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236840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07119C4">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52A6D8D6">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20E570F">
            <w:pPr>
              <w:rPr>
                <w:rFonts w:ascii="宋体" w:hAnsi="宋体" w:eastAsia="宋体" w:cs="宋体"/>
                <w:sz w:val="24"/>
                <w:szCs w:val="24"/>
              </w:rPr>
            </w:pPr>
          </w:p>
        </w:tc>
      </w:tr>
      <w:tr w14:paraId="63BA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CB5E496">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B49FC91">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5B344492">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0E779D9">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2111A9A">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5E99C81">
            <w:pPr>
              <w:rPr>
                <w:rFonts w:ascii="宋体" w:hAnsi="宋体" w:eastAsia="宋体" w:cs="宋体"/>
                <w:sz w:val="24"/>
                <w:szCs w:val="24"/>
              </w:rPr>
            </w:pPr>
          </w:p>
        </w:tc>
      </w:tr>
      <w:tr w14:paraId="2725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9680328">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C703F86">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5E83F14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F44359A">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434028CD">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08E4A3C3">
            <w:pPr>
              <w:rPr>
                <w:rFonts w:ascii="宋体" w:hAnsi="宋体" w:eastAsia="宋体" w:cs="宋体"/>
                <w:sz w:val="24"/>
                <w:szCs w:val="24"/>
              </w:rPr>
            </w:pPr>
          </w:p>
        </w:tc>
      </w:tr>
      <w:tr w14:paraId="2399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2774B79">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B94FAEA">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8BC0D9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57948EF1">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68809766">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5E4AD162">
            <w:pPr>
              <w:rPr>
                <w:rFonts w:ascii="宋体" w:hAnsi="宋体" w:eastAsia="宋体" w:cs="宋体"/>
                <w:sz w:val="24"/>
                <w:szCs w:val="24"/>
              </w:rPr>
            </w:pPr>
          </w:p>
        </w:tc>
      </w:tr>
      <w:tr w14:paraId="0CF6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FCE296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FDE8BCA">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54FA33AA">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9274670">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7BDDBA5F">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732248D5">
            <w:pPr>
              <w:rPr>
                <w:rFonts w:ascii="宋体" w:hAnsi="宋体" w:eastAsia="宋体" w:cs="宋体"/>
                <w:sz w:val="24"/>
                <w:szCs w:val="24"/>
              </w:rPr>
            </w:pPr>
          </w:p>
        </w:tc>
      </w:tr>
      <w:tr w14:paraId="3B8B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463B0F6">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256E3A7">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2677CD9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AFAED7F">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24B0FA7F">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E5D9128">
            <w:pPr>
              <w:rPr>
                <w:rFonts w:ascii="宋体" w:hAnsi="宋体" w:eastAsia="宋体" w:cs="宋体"/>
                <w:sz w:val="24"/>
                <w:szCs w:val="24"/>
              </w:rPr>
            </w:pPr>
          </w:p>
        </w:tc>
      </w:tr>
      <w:tr w14:paraId="16D3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C7A2460">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0B408D69">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6505B81B">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35D3839F">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5A6123C">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2EE6150">
            <w:pPr>
              <w:rPr>
                <w:rFonts w:ascii="宋体" w:hAnsi="宋体" w:eastAsia="宋体" w:cs="宋体"/>
                <w:sz w:val="24"/>
                <w:szCs w:val="24"/>
              </w:rPr>
            </w:pPr>
          </w:p>
        </w:tc>
      </w:tr>
      <w:tr w14:paraId="4658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888C77C">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6AEB9343">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7AC1F11">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71FA333">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FCFCCB2">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0EB7F661">
            <w:pPr>
              <w:rPr>
                <w:rFonts w:ascii="宋体" w:hAnsi="宋体" w:eastAsia="宋体" w:cs="宋体"/>
                <w:sz w:val="24"/>
                <w:szCs w:val="24"/>
              </w:rPr>
            </w:pPr>
          </w:p>
        </w:tc>
      </w:tr>
      <w:tr w14:paraId="415A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50D550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5A920B1">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0B09B41C">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B4CE403">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38B60D6">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8D24BCF">
            <w:pPr>
              <w:rPr>
                <w:rFonts w:ascii="宋体" w:hAnsi="宋体" w:eastAsia="宋体" w:cs="宋体"/>
                <w:sz w:val="24"/>
                <w:szCs w:val="24"/>
              </w:rPr>
            </w:pPr>
          </w:p>
        </w:tc>
      </w:tr>
      <w:tr w14:paraId="7F20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3DF110A">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3D00E1E">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1BF4D933">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4AF0DEBA">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0BC543E8">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6E87BC0E">
            <w:pPr>
              <w:rPr>
                <w:rFonts w:ascii="宋体" w:hAnsi="宋体" w:eastAsia="宋体" w:cs="宋体"/>
                <w:sz w:val="24"/>
                <w:szCs w:val="24"/>
              </w:rPr>
            </w:pPr>
          </w:p>
        </w:tc>
      </w:tr>
      <w:tr w14:paraId="4885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679EDEF">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D48738F">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41F5DA74">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7769D3E9">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0DC3017">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37A7E599">
            <w:pPr>
              <w:rPr>
                <w:rFonts w:ascii="宋体" w:hAnsi="宋体" w:eastAsia="宋体" w:cs="宋体"/>
                <w:sz w:val="24"/>
                <w:szCs w:val="24"/>
              </w:rPr>
            </w:pPr>
          </w:p>
        </w:tc>
      </w:tr>
      <w:tr w14:paraId="450D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B20F90C">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12764B2C">
            <w:pPr>
              <w:rPr>
                <w:rFonts w:ascii="宋体" w:hAnsi="宋体" w:eastAsia="宋体" w:cs="宋体"/>
                <w:sz w:val="24"/>
                <w:szCs w:val="24"/>
              </w:rPr>
            </w:pPr>
          </w:p>
        </w:tc>
        <w:tc>
          <w:tcPr>
            <w:tcW w:w="1366" w:type="pct"/>
            <w:tcBorders>
              <w:top w:val="single" w:color="auto" w:sz="4" w:space="0"/>
              <w:left w:val="single" w:color="auto" w:sz="4" w:space="0"/>
              <w:bottom w:val="single" w:color="auto" w:sz="4" w:space="0"/>
              <w:right w:val="single" w:color="auto" w:sz="4" w:space="0"/>
            </w:tcBorders>
            <w:shd w:val="clear" w:color="auto" w:fill="auto"/>
            <w:vAlign w:val="center"/>
          </w:tcPr>
          <w:p w14:paraId="318CFA96">
            <w:pPr>
              <w:rPr>
                <w:rFonts w:ascii="宋体" w:hAnsi="宋体" w:eastAsia="宋体" w:cs="宋体"/>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vAlign w:val="center"/>
          </w:tcPr>
          <w:p w14:paraId="25ED91B8">
            <w:pPr>
              <w:rPr>
                <w:rFonts w:ascii="宋体" w:hAnsi="宋体" w:eastAsia="宋体" w:cs="宋体"/>
                <w:sz w:val="24"/>
                <w:szCs w:val="24"/>
              </w:rPr>
            </w:pPr>
          </w:p>
        </w:tc>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14:paraId="19C2FCBC">
            <w:pPr>
              <w:rPr>
                <w:rFonts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14:paraId="2A9BBBDA">
            <w:pPr>
              <w:rPr>
                <w:rFonts w:ascii="宋体" w:hAnsi="宋体" w:eastAsia="宋体" w:cs="宋体"/>
                <w:sz w:val="24"/>
                <w:szCs w:val="24"/>
              </w:rPr>
            </w:pPr>
          </w:p>
        </w:tc>
      </w:tr>
    </w:tbl>
    <w:p w14:paraId="555DA18F">
      <w:pPr>
        <w:ind w:firstLine="420"/>
        <w:rPr>
          <w:rFonts w:ascii="宋体" w:hAnsi="宋体" w:eastAsia="宋体" w:cs="宋体"/>
          <w:sz w:val="24"/>
          <w:szCs w:val="24"/>
        </w:rPr>
      </w:pPr>
    </w:p>
    <w:p w14:paraId="245B02FE">
      <w:pPr>
        <w:widowControl/>
        <w:jc w:val="center"/>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xx管理所养护作业日常监管表</w:t>
      </w:r>
    </w:p>
    <w:p w14:paraId="766CBF18">
      <w:pPr>
        <w:ind w:firstLine="482"/>
        <w:jc w:val="center"/>
        <w:rPr>
          <w:rFonts w:ascii="宋体" w:hAnsi="宋体" w:eastAsia="宋体" w:cs="宋体"/>
          <w:b/>
          <w:bCs/>
          <w:sz w:val="24"/>
          <w:szCs w:val="24"/>
        </w:rPr>
      </w:pPr>
      <w:r>
        <w:rPr>
          <w:rFonts w:hint="eastAsia" w:ascii="宋体" w:hAnsi="宋体" w:eastAsia="宋体" w:cs="宋体"/>
          <w:b/>
          <w:bCs/>
          <w:sz w:val="24"/>
          <w:szCs w:val="24"/>
        </w:rPr>
        <w:t>编号：20**年第**次</w:t>
      </w:r>
    </w:p>
    <w:p w14:paraId="36EA1E8E">
      <w:pPr>
        <w:adjustRightInd w:val="0"/>
        <w:snapToGrid w:val="0"/>
        <w:spacing w:line="360" w:lineRule="auto"/>
        <w:ind w:firstLine="198" w:firstLineChars="82"/>
        <w:rPr>
          <w:rFonts w:ascii="宋体" w:hAnsi="宋体" w:eastAsia="宋体" w:cs="宋体"/>
          <w:b/>
          <w:sz w:val="24"/>
          <w:szCs w:val="24"/>
        </w:rPr>
      </w:pPr>
      <w:r>
        <w:rPr>
          <w:rFonts w:hint="eastAsia" w:ascii="宋体" w:hAnsi="宋体" w:eastAsia="宋体" w:cs="宋体"/>
          <w:b/>
          <w:sz w:val="24"/>
          <w:szCs w:val="24"/>
        </w:rPr>
        <w:t>管理堤段：xxx（桩号:x+xxx-x+xxx）</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245"/>
        <w:gridCol w:w="968"/>
        <w:gridCol w:w="968"/>
        <w:gridCol w:w="1037"/>
        <w:gridCol w:w="1171"/>
      </w:tblGrid>
      <w:tr w14:paraId="5B0B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tcPr>
          <w:p w14:paraId="7091E88D">
            <w:pPr>
              <w:jc w:val="center"/>
              <w:rPr>
                <w:rFonts w:ascii="宋体" w:hAnsi="宋体" w:eastAsia="宋体" w:cs="宋体"/>
                <w:b/>
                <w:bCs/>
                <w:sz w:val="24"/>
                <w:szCs w:val="24"/>
              </w:rPr>
            </w:pPr>
            <w:r>
              <w:rPr>
                <w:rFonts w:hint="eastAsia" w:ascii="宋体" w:hAnsi="宋体" w:eastAsia="宋体" w:cs="宋体"/>
                <w:b/>
                <w:bCs/>
                <w:sz w:val="24"/>
                <w:szCs w:val="24"/>
              </w:rPr>
              <w:t>日期</w:t>
            </w:r>
          </w:p>
        </w:tc>
        <w:tc>
          <w:tcPr>
            <w:tcW w:w="3245" w:type="dxa"/>
          </w:tcPr>
          <w:p w14:paraId="03DDE56F">
            <w:pPr>
              <w:jc w:val="center"/>
              <w:rPr>
                <w:rFonts w:ascii="宋体" w:hAnsi="宋体" w:eastAsia="宋体" w:cs="宋体"/>
                <w:b/>
                <w:bCs/>
                <w:sz w:val="24"/>
                <w:szCs w:val="24"/>
              </w:rPr>
            </w:pPr>
            <w:r>
              <w:rPr>
                <w:rFonts w:hint="eastAsia" w:ascii="宋体" w:hAnsi="宋体" w:eastAsia="宋体" w:cs="宋体"/>
                <w:b/>
                <w:bCs/>
                <w:sz w:val="24"/>
                <w:szCs w:val="24"/>
              </w:rPr>
              <w:t>20xx年   月   日</w:t>
            </w:r>
          </w:p>
        </w:tc>
        <w:tc>
          <w:tcPr>
            <w:tcW w:w="968" w:type="dxa"/>
          </w:tcPr>
          <w:p w14:paraId="334BB988">
            <w:pPr>
              <w:jc w:val="center"/>
              <w:rPr>
                <w:rFonts w:ascii="宋体" w:hAnsi="宋体" w:eastAsia="宋体" w:cs="宋体"/>
                <w:b/>
                <w:bCs/>
                <w:sz w:val="24"/>
                <w:szCs w:val="24"/>
              </w:rPr>
            </w:pPr>
            <w:r>
              <w:rPr>
                <w:rFonts w:hint="eastAsia" w:ascii="宋体" w:hAnsi="宋体" w:eastAsia="宋体" w:cs="宋体"/>
                <w:b/>
                <w:bCs/>
                <w:sz w:val="24"/>
                <w:szCs w:val="24"/>
              </w:rPr>
              <w:t>星期</w:t>
            </w:r>
          </w:p>
        </w:tc>
        <w:tc>
          <w:tcPr>
            <w:tcW w:w="968" w:type="dxa"/>
          </w:tcPr>
          <w:p w14:paraId="363389CA">
            <w:pPr>
              <w:jc w:val="center"/>
              <w:rPr>
                <w:rFonts w:ascii="宋体" w:hAnsi="宋体" w:eastAsia="宋体" w:cs="宋体"/>
                <w:b/>
                <w:bCs/>
                <w:sz w:val="24"/>
                <w:szCs w:val="24"/>
              </w:rPr>
            </w:pPr>
          </w:p>
        </w:tc>
        <w:tc>
          <w:tcPr>
            <w:tcW w:w="1037" w:type="dxa"/>
          </w:tcPr>
          <w:p w14:paraId="76E2EB83">
            <w:pPr>
              <w:jc w:val="center"/>
              <w:rPr>
                <w:rFonts w:ascii="宋体" w:hAnsi="宋体" w:eastAsia="宋体" w:cs="宋体"/>
                <w:b/>
                <w:bCs/>
                <w:sz w:val="24"/>
                <w:szCs w:val="24"/>
              </w:rPr>
            </w:pPr>
            <w:r>
              <w:rPr>
                <w:rFonts w:hint="eastAsia" w:ascii="宋体" w:hAnsi="宋体" w:eastAsia="宋体" w:cs="宋体"/>
                <w:b/>
                <w:bCs/>
                <w:sz w:val="24"/>
                <w:szCs w:val="24"/>
              </w:rPr>
              <w:t>天气</w:t>
            </w:r>
          </w:p>
        </w:tc>
        <w:tc>
          <w:tcPr>
            <w:tcW w:w="1171" w:type="dxa"/>
          </w:tcPr>
          <w:p w14:paraId="785246C2">
            <w:pPr>
              <w:jc w:val="center"/>
              <w:rPr>
                <w:rFonts w:ascii="宋体" w:hAnsi="宋体" w:eastAsia="宋体" w:cs="宋体"/>
                <w:b/>
                <w:bCs/>
                <w:sz w:val="24"/>
                <w:szCs w:val="24"/>
              </w:rPr>
            </w:pPr>
          </w:p>
        </w:tc>
      </w:tr>
      <w:tr w14:paraId="62C3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0" w:hRule="atLeast"/>
          <w:jc w:val="center"/>
        </w:trPr>
        <w:tc>
          <w:tcPr>
            <w:tcW w:w="1133" w:type="dxa"/>
            <w:vAlign w:val="center"/>
          </w:tcPr>
          <w:p w14:paraId="26A5EBAF">
            <w:pPr>
              <w:jc w:val="center"/>
              <w:rPr>
                <w:rFonts w:ascii="宋体" w:hAnsi="宋体" w:eastAsia="宋体" w:cs="宋体"/>
                <w:b/>
                <w:bCs/>
                <w:sz w:val="24"/>
                <w:szCs w:val="24"/>
              </w:rPr>
            </w:pPr>
            <w:r>
              <w:rPr>
                <w:rFonts w:hint="eastAsia" w:ascii="宋体" w:hAnsi="宋体" w:eastAsia="宋体" w:cs="宋体"/>
                <w:b/>
                <w:bCs/>
                <w:sz w:val="24"/>
                <w:szCs w:val="24"/>
              </w:rPr>
              <w:t>养护</w:t>
            </w:r>
          </w:p>
          <w:p w14:paraId="58F561C3">
            <w:pPr>
              <w:jc w:val="center"/>
              <w:rPr>
                <w:rFonts w:ascii="宋体" w:hAnsi="宋体" w:eastAsia="宋体" w:cs="宋体"/>
                <w:b/>
                <w:bCs/>
                <w:sz w:val="24"/>
                <w:szCs w:val="24"/>
              </w:rPr>
            </w:pPr>
            <w:r>
              <w:rPr>
                <w:rFonts w:hint="eastAsia" w:ascii="宋体" w:hAnsi="宋体" w:eastAsia="宋体" w:cs="宋体"/>
                <w:b/>
                <w:bCs/>
                <w:sz w:val="24"/>
                <w:szCs w:val="24"/>
              </w:rPr>
              <w:t>记录</w:t>
            </w:r>
          </w:p>
        </w:tc>
        <w:tc>
          <w:tcPr>
            <w:tcW w:w="7389" w:type="dxa"/>
            <w:gridSpan w:val="5"/>
          </w:tcPr>
          <w:p w14:paraId="2E85E382">
            <w:pPr>
              <w:ind w:firstLine="480" w:firstLineChars="200"/>
              <w:rPr>
                <w:rFonts w:ascii="宋体" w:hAnsi="宋体" w:eastAsia="宋体" w:cs="宋体"/>
                <w:sz w:val="24"/>
                <w:szCs w:val="24"/>
              </w:rPr>
            </w:pPr>
            <w:r>
              <w:rPr>
                <w:rFonts w:hint="eastAsia" w:ascii="宋体" w:hAnsi="宋体" w:eastAsia="宋体" w:cs="宋体"/>
                <w:sz w:val="24"/>
                <w:szCs w:val="24"/>
              </w:rPr>
              <w:t>x月x日，养护公司xxxxx对淮北大堤xx段（桩号x+xxx-x+xxx）进行了草皮养护作业，全天共计用工x人，大型割草机x台、背负式割草机x台，养护用时x小时（6:00~10:00、15:00~19:00）。</w:t>
            </w:r>
          </w:p>
          <w:p w14:paraId="066C8AC3">
            <w:pPr>
              <w:ind w:firstLine="480" w:firstLineChars="200"/>
              <w:rPr>
                <w:rFonts w:ascii="宋体" w:hAnsi="宋体" w:eastAsia="宋体" w:cs="宋体"/>
                <w:sz w:val="24"/>
                <w:szCs w:val="24"/>
              </w:rPr>
            </w:pPr>
            <w:r>
              <w:rPr>
                <w:rFonts w:hint="eastAsia" w:ascii="宋体" w:hAnsi="宋体" w:eastAsia="宋体" w:cs="宋体"/>
                <w:sz w:val="24"/>
                <w:szCs w:val="24"/>
              </w:rPr>
              <w:t>管理所xx、xx负责本次现场养护作业监管，养护前作业人员人工清理坡面块石、碎石等硬物以及垃圾杂物，养护作业时堤身草皮养护高度严格控制在</w:t>
            </w:r>
            <w:r>
              <w:rPr>
                <w:rFonts w:hint="eastAsia" w:ascii="宋体" w:hAnsi="宋体" w:eastAsia="宋体" w:cs="宋体"/>
                <w:sz w:val="24"/>
                <w:szCs w:val="24"/>
                <w:u w:val="single"/>
              </w:rPr>
              <w:t xml:space="preserve">  </w:t>
            </w:r>
            <w:r>
              <w:rPr>
                <w:rFonts w:hint="eastAsia" w:ascii="宋体" w:hAnsi="宋体" w:eastAsia="宋体" w:cs="宋体"/>
                <w:sz w:val="24"/>
                <w:szCs w:val="24"/>
              </w:rPr>
              <w:t>cm以下，养护至沿堤脚向外延伸2米或护堤地第一排树，硬质护坡缝隙杂草清除干净，坡面平整，林间杂草高度控制在5cm以下，并及时清理废草、垃圾等，养护完成后该段堤防堤坡、上下堤路草皮总体整洁、美观，无杂树杂条，无藤类植物，无建筑及生活垃圾，林间无杂草，杂条现象，草皮整齐，满足养护标准。</w:t>
            </w:r>
          </w:p>
          <w:p w14:paraId="0502A814">
            <w:pPr>
              <w:ind w:firstLine="480" w:firstLineChars="200"/>
              <w:rPr>
                <w:rFonts w:ascii="宋体" w:hAnsi="宋体" w:eastAsia="宋体" w:cs="宋体"/>
                <w:sz w:val="24"/>
                <w:szCs w:val="24"/>
              </w:rPr>
            </w:pPr>
            <w:r>
              <w:rPr>
                <w:rFonts w:hint="eastAsia" w:ascii="宋体" w:hAnsi="宋体" w:eastAsia="宋体" w:cs="宋体"/>
                <w:sz w:val="24"/>
                <w:szCs w:val="24"/>
              </w:rPr>
              <w:t>安全监管：养护期间，项目负责人xxx及专（兼)职安全员xxx全程在场， 割草机启动前按要求进行了全面检查，启动时远离物体1米以上，作业人员按要求规范佩戴护目镜等防护用具，穿戴反光背心，全程严格保证作业半径5米范围内无任何人员。</w:t>
            </w:r>
          </w:p>
          <w:p w14:paraId="29FA765D">
            <w:pPr>
              <w:ind w:firstLine="480" w:firstLineChars="200"/>
              <w:rPr>
                <w:rFonts w:ascii="宋体" w:hAnsi="宋体" w:eastAsia="宋体" w:cs="宋体"/>
                <w:sz w:val="24"/>
                <w:szCs w:val="24"/>
              </w:rPr>
            </w:pPr>
            <w:r>
              <w:rPr>
                <w:rFonts w:hint="eastAsia" w:ascii="宋体" w:hAnsi="宋体" w:eastAsia="宋体" w:cs="宋体"/>
                <w:sz w:val="24"/>
                <w:szCs w:val="24"/>
              </w:rPr>
              <w:t>高温天气，养护人员进行了错峰作业，调整养护时间为：6:00~10:00、15:00~19:00。</w:t>
            </w:r>
          </w:p>
          <w:p w14:paraId="2CECF08E">
            <w:pPr>
              <w:ind w:firstLine="480" w:firstLineChars="200"/>
              <w:rPr>
                <w:rFonts w:ascii="宋体" w:hAnsi="宋体" w:eastAsia="宋体" w:cs="宋体"/>
                <w:sz w:val="24"/>
                <w:szCs w:val="24"/>
              </w:rPr>
            </w:pPr>
          </w:p>
        </w:tc>
      </w:tr>
      <w:tr w14:paraId="55A5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133" w:type="dxa"/>
            <w:vAlign w:val="center"/>
          </w:tcPr>
          <w:p w14:paraId="10675A80">
            <w:pPr>
              <w:jc w:val="center"/>
              <w:rPr>
                <w:rFonts w:ascii="宋体" w:hAnsi="宋体" w:eastAsia="宋体" w:cs="宋体"/>
                <w:b/>
                <w:bCs/>
                <w:sz w:val="24"/>
                <w:szCs w:val="24"/>
              </w:rPr>
            </w:pPr>
            <w:r>
              <w:rPr>
                <w:rFonts w:hint="eastAsia" w:ascii="宋体" w:hAnsi="宋体" w:eastAsia="宋体" w:cs="宋体"/>
                <w:b/>
                <w:bCs/>
                <w:sz w:val="24"/>
                <w:szCs w:val="24"/>
              </w:rPr>
              <w:t>存在</w:t>
            </w:r>
          </w:p>
          <w:p w14:paraId="54B9E163">
            <w:pPr>
              <w:jc w:val="center"/>
              <w:rPr>
                <w:rFonts w:ascii="宋体" w:hAnsi="宋体" w:eastAsia="宋体" w:cs="宋体"/>
                <w:b/>
                <w:bCs/>
                <w:sz w:val="24"/>
                <w:szCs w:val="24"/>
              </w:rPr>
            </w:pPr>
            <w:r>
              <w:rPr>
                <w:rFonts w:hint="eastAsia" w:ascii="宋体" w:hAnsi="宋体" w:eastAsia="宋体" w:cs="宋体"/>
                <w:b/>
                <w:bCs/>
                <w:sz w:val="24"/>
                <w:szCs w:val="24"/>
              </w:rPr>
              <w:t>问题</w:t>
            </w:r>
          </w:p>
        </w:tc>
        <w:tc>
          <w:tcPr>
            <w:tcW w:w="7389" w:type="dxa"/>
            <w:gridSpan w:val="5"/>
          </w:tcPr>
          <w:p w14:paraId="0CD1EA71">
            <w:pPr>
              <w:rPr>
                <w:rFonts w:ascii="宋体" w:hAnsi="宋体" w:eastAsia="宋体" w:cs="宋体"/>
                <w:b/>
                <w:bCs/>
                <w:sz w:val="24"/>
                <w:szCs w:val="24"/>
              </w:rPr>
            </w:pPr>
          </w:p>
        </w:tc>
      </w:tr>
      <w:tr w14:paraId="0CAB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133" w:type="dxa"/>
            <w:vAlign w:val="center"/>
          </w:tcPr>
          <w:p w14:paraId="7AA17FFD">
            <w:pPr>
              <w:jc w:val="center"/>
              <w:rPr>
                <w:rFonts w:ascii="宋体" w:hAnsi="宋体" w:eastAsia="宋体" w:cs="宋体"/>
                <w:b/>
                <w:bCs/>
                <w:sz w:val="24"/>
                <w:szCs w:val="24"/>
              </w:rPr>
            </w:pPr>
            <w:r>
              <w:rPr>
                <w:rFonts w:hint="eastAsia" w:ascii="宋体" w:hAnsi="宋体" w:eastAsia="宋体" w:cs="宋体"/>
                <w:b/>
                <w:bCs/>
                <w:sz w:val="24"/>
                <w:szCs w:val="24"/>
              </w:rPr>
              <w:t>现场监管人员（签字）</w:t>
            </w:r>
          </w:p>
        </w:tc>
        <w:tc>
          <w:tcPr>
            <w:tcW w:w="7389" w:type="dxa"/>
            <w:gridSpan w:val="5"/>
          </w:tcPr>
          <w:p w14:paraId="3C8AD8A2">
            <w:pPr>
              <w:rPr>
                <w:rFonts w:ascii="宋体" w:hAnsi="宋体" w:eastAsia="宋体" w:cs="宋体"/>
                <w:b/>
                <w:bCs/>
                <w:sz w:val="24"/>
                <w:szCs w:val="24"/>
              </w:rPr>
            </w:pPr>
          </w:p>
        </w:tc>
      </w:tr>
    </w:tbl>
    <w:p w14:paraId="0C11CF31">
      <w:pPr>
        <w:pStyle w:val="7"/>
        <w:ind w:firstLine="0"/>
        <w:rPr>
          <w:rFonts w:hAnsi="宋体" w:cs="宋体"/>
          <w:szCs w:val="24"/>
        </w:rPr>
      </w:pPr>
    </w:p>
    <w:p w14:paraId="64845FA4">
      <w:pPr>
        <w:widowControl/>
        <w:shd w:val="clear" w:color="auto" w:fill="FFFFFF"/>
        <w:adjustRightInd w:val="0"/>
        <w:snapToGrid w:val="0"/>
        <w:spacing w:line="560" w:lineRule="exact"/>
        <w:ind w:firstLine="643"/>
        <w:rPr>
          <w:rFonts w:ascii="宋体" w:hAnsi="宋体" w:eastAsia="宋体" w:cs="宋体"/>
          <w:b/>
          <w:bCs/>
          <w:sz w:val="24"/>
          <w:szCs w:val="24"/>
        </w:rPr>
      </w:pPr>
      <w:r>
        <w:rPr>
          <w:rFonts w:hint="eastAsia" w:ascii="宋体" w:hAnsi="宋体" w:eastAsia="宋体" w:cs="宋体"/>
          <w:b/>
          <w:bCs/>
          <w:sz w:val="24"/>
          <w:szCs w:val="24"/>
        </w:rPr>
        <w:t>2.验收要求</w:t>
      </w:r>
    </w:p>
    <w:p w14:paraId="1E6BC032">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55CC91B3">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1C5B7E33">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684B3F4C">
      <w:pPr>
        <w:jc w:val="center"/>
        <w:rPr>
          <w:rFonts w:ascii="宋体" w:hAnsi="宋体" w:eastAsia="宋体" w:cs="宋体"/>
          <w:sz w:val="24"/>
          <w:szCs w:val="24"/>
        </w:rPr>
      </w:pPr>
      <w:bookmarkStart w:id="55" w:name="_Toc31495_WPSOffice_Level2"/>
      <w:bookmarkStart w:id="56" w:name="_Toc16371_WPSOffice_Level2"/>
      <w:r>
        <w:rPr>
          <w:rFonts w:hint="eastAsia" w:ascii="宋体" w:hAnsi="宋体" w:eastAsia="宋体" w:cs="宋体"/>
          <w:b/>
          <w:bCs/>
          <w:sz w:val="24"/>
          <w:szCs w:val="24"/>
        </w:rPr>
        <w:br w:type="page"/>
      </w:r>
      <w:bookmarkEnd w:id="55"/>
      <w:bookmarkEnd w:id="56"/>
      <w:r>
        <w:rPr>
          <w:rFonts w:hint="eastAsia" w:ascii="宋体" w:hAnsi="宋体" w:eastAsia="宋体" w:cs="宋体"/>
          <w:sz w:val="24"/>
          <w:szCs w:val="24"/>
        </w:rPr>
        <w:t>草皮养护次验收评分表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15"/>
        <w:gridCol w:w="2575"/>
        <w:gridCol w:w="766"/>
        <w:gridCol w:w="2802"/>
        <w:gridCol w:w="714"/>
      </w:tblGrid>
      <w:tr w14:paraId="4902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45" w:type="pct"/>
            <w:vAlign w:val="center"/>
          </w:tcPr>
          <w:p w14:paraId="7A17F7FC">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验收内容</w:t>
            </w:r>
          </w:p>
        </w:tc>
        <w:tc>
          <w:tcPr>
            <w:tcW w:w="623" w:type="pct"/>
            <w:vAlign w:val="center"/>
          </w:tcPr>
          <w:p w14:paraId="5205430B">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评分指标</w:t>
            </w:r>
          </w:p>
        </w:tc>
        <w:tc>
          <w:tcPr>
            <w:tcW w:w="1439" w:type="pct"/>
            <w:vAlign w:val="center"/>
          </w:tcPr>
          <w:p w14:paraId="439DD4FB">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验收标准</w:t>
            </w:r>
          </w:p>
        </w:tc>
        <w:tc>
          <w:tcPr>
            <w:tcW w:w="428" w:type="pct"/>
            <w:vAlign w:val="center"/>
          </w:tcPr>
          <w:p w14:paraId="1F4B329A">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标准分</w:t>
            </w:r>
          </w:p>
        </w:tc>
        <w:tc>
          <w:tcPr>
            <w:tcW w:w="1566" w:type="pct"/>
            <w:vAlign w:val="center"/>
          </w:tcPr>
          <w:p w14:paraId="6EDC4F00">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赋分依据</w:t>
            </w:r>
          </w:p>
        </w:tc>
        <w:tc>
          <w:tcPr>
            <w:tcW w:w="399" w:type="pct"/>
            <w:vAlign w:val="center"/>
          </w:tcPr>
          <w:p w14:paraId="00AD2E22">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lang w:bidi="ar"/>
              </w:rPr>
              <w:t>得分</w:t>
            </w:r>
          </w:p>
        </w:tc>
      </w:tr>
      <w:tr w14:paraId="455D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45" w:type="pct"/>
            <w:vMerge w:val="restart"/>
            <w:vAlign w:val="center"/>
          </w:tcPr>
          <w:p w14:paraId="04EFA55C">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 身</w:t>
            </w:r>
          </w:p>
        </w:tc>
        <w:tc>
          <w:tcPr>
            <w:tcW w:w="623" w:type="pct"/>
            <w:vAlign w:val="center"/>
          </w:tcPr>
          <w:p w14:paraId="47E9AE0E">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杂物清理（5分）</w:t>
            </w:r>
          </w:p>
        </w:tc>
        <w:tc>
          <w:tcPr>
            <w:tcW w:w="1439" w:type="pct"/>
            <w:vAlign w:val="center"/>
          </w:tcPr>
          <w:p w14:paraId="73766710">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养护前人工清理坡面块石、碎石等硬物以及垃圾杂物。</w:t>
            </w:r>
          </w:p>
        </w:tc>
        <w:tc>
          <w:tcPr>
            <w:tcW w:w="428" w:type="pct"/>
            <w:vAlign w:val="center"/>
          </w:tcPr>
          <w:p w14:paraId="6E78BBC4">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7FC97707">
            <w:pPr>
              <w:spacing w:line="320" w:lineRule="exact"/>
              <w:jc w:val="left"/>
              <w:rPr>
                <w:rFonts w:ascii="宋体" w:hAnsi="宋体" w:eastAsia="宋体" w:cs="宋体"/>
                <w:bCs/>
                <w:kern w:val="0"/>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每发现一处扣1分。（5分）</w:t>
            </w:r>
          </w:p>
        </w:tc>
        <w:tc>
          <w:tcPr>
            <w:tcW w:w="399" w:type="pct"/>
            <w:vAlign w:val="center"/>
          </w:tcPr>
          <w:p w14:paraId="29A78CEA">
            <w:pPr>
              <w:widowControl/>
              <w:spacing w:line="320" w:lineRule="exact"/>
              <w:jc w:val="center"/>
              <w:rPr>
                <w:rFonts w:ascii="宋体" w:hAnsi="宋体" w:eastAsia="宋体" w:cs="宋体"/>
                <w:bCs/>
                <w:sz w:val="24"/>
                <w:szCs w:val="24"/>
              </w:rPr>
            </w:pPr>
          </w:p>
        </w:tc>
      </w:tr>
      <w:tr w14:paraId="612B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45" w:type="pct"/>
            <w:vMerge w:val="continue"/>
            <w:vAlign w:val="center"/>
          </w:tcPr>
          <w:p w14:paraId="3E8C32F4">
            <w:pPr>
              <w:spacing w:line="320" w:lineRule="exact"/>
              <w:jc w:val="center"/>
              <w:rPr>
                <w:rFonts w:ascii="宋体" w:hAnsi="宋体" w:eastAsia="宋体" w:cs="宋体"/>
                <w:bCs/>
                <w:sz w:val="24"/>
                <w:szCs w:val="24"/>
              </w:rPr>
            </w:pPr>
          </w:p>
        </w:tc>
        <w:tc>
          <w:tcPr>
            <w:tcW w:w="623" w:type="pct"/>
            <w:vMerge w:val="restart"/>
            <w:vAlign w:val="center"/>
          </w:tcPr>
          <w:p w14:paraId="342983CD">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堤身草皮控高，杂草清理（30分）</w:t>
            </w:r>
          </w:p>
        </w:tc>
        <w:tc>
          <w:tcPr>
            <w:tcW w:w="1439" w:type="pct"/>
            <w:vAlign w:val="center"/>
          </w:tcPr>
          <w:p w14:paraId="6582D757">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堤身草皮养护高度：原则上4、9月15cm以下，5、6、7、8、10、11月5cm以下。</w:t>
            </w:r>
          </w:p>
        </w:tc>
        <w:tc>
          <w:tcPr>
            <w:tcW w:w="428" w:type="pct"/>
            <w:vAlign w:val="center"/>
          </w:tcPr>
          <w:p w14:paraId="4F375B5F">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15</w:t>
            </w:r>
          </w:p>
        </w:tc>
        <w:tc>
          <w:tcPr>
            <w:tcW w:w="1566" w:type="pct"/>
            <w:vAlign w:val="center"/>
          </w:tcPr>
          <w:p w14:paraId="1573462C">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以上的）扣2分，</w:t>
            </w:r>
            <w:r>
              <w:rPr>
                <w:rFonts w:hint="eastAsia" w:ascii="宋体" w:hAnsi="宋体" w:eastAsia="宋体" w:cs="宋体"/>
                <w:bCs/>
                <w:kern w:val="0"/>
                <w:sz w:val="24"/>
                <w:szCs w:val="24"/>
                <w:lang w:bidi="ar"/>
              </w:rPr>
              <w:t>（长度20m/处</w:t>
            </w:r>
            <w:r>
              <w:rPr>
                <w:rFonts w:hint="eastAsia" w:ascii="宋体" w:hAnsi="宋体" w:eastAsia="宋体" w:cs="宋体"/>
                <w:bCs/>
                <w:sz w:val="24"/>
                <w:szCs w:val="24"/>
                <w:lang w:bidi="ar"/>
              </w:rPr>
              <w:t>以上</w:t>
            </w:r>
            <w:r>
              <w:rPr>
                <w:rFonts w:hint="eastAsia" w:ascii="宋体" w:hAnsi="宋体" w:eastAsia="宋体" w:cs="宋体"/>
                <w:bCs/>
                <w:kern w:val="0"/>
                <w:sz w:val="24"/>
                <w:szCs w:val="24"/>
                <w:lang w:bidi="ar"/>
              </w:rPr>
              <w:t>)</w:t>
            </w:r>
            <w:r>
              <w:rPr>
                <w:rFonts w:hint="eastAsia" w:ascii="宋体" w:hAnsi="宋体" w:eastAsia="宋体" w:cs="宋体"/>
                <w:bCs/>
                <w:sz w:val="24"/>
                <w:szCs w:val="24"/>
                <w:lang w:bidi="ar"/>
              </w:rPr>
              <w:t>的扣3分。（15分）</w:t>
            </w:r>
          </w:p>
        </w:tc>
        <w:tc>
          <w:tcPr>
            <w:tcW w:w="399" w:type="pct"/>
            <w:vAlign w:val="center"/>
          </w:tcPr>
          <w:p w14:paraId="43E047AD">
            <w:pPr>
              <w:widowControl/>
              <w:spacing w:line="320" w:lineRule="exact"/>
              <w:jc w:val="center"/>
              <w:rPr>
                <w:rFonts w:ascii="宋体" w:hAnsi="宋体" w:eastAsia="宋体" w:cs="宋体"/>
                <w:bCs/>
                <w:sz w:val="24"/>
                <w:szCs w:val="24"/>
              </w:rPr>
            </w:pPr>
          </w:p>
        </w:tc>
      </w:tr>
      <w:tr w14:paraId="42ED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2E1AD19C">
            <w:pPr>
              <w:spacing w:line="320" w:lineRule="exact"/>
              <w:jc w:val="center"/>
              <w:rPr>
                <w:rFonts w:ascii="宋体" w:hAnsi="宋体" w:eastAsia="宋体" w:cs="宋体"/>
                <w:bCs/>
                <w:sz w:val="24"/>
                <w:szCs w:val="24"/>
              </w:rPr>
            </w:pPr>
          </w:p>
        </w:tc>
        <w:tc>
          <w:tcPr>
            <w:tcW w:w="623" w:type="pct"/>
            <w:vMerge w:val="continue"/>
            <w:vAlign w:val="center"/>
          </w:tcPr>
          <w:p w14:paraId="75941F54">
            <w:pPr>
              <w:spacing w:line="320" w:lineRule="exact"/>
              <w:jc w:val="center"/>
              <w:rPr>
                <w:rFonts w:ascii="宋体" w:hAnsi="宋体" w:eastAsia="宋体" w:cs="宋体"/>
                <w:bCs/>
                <w:sz w:val="24"/>
                <w:szCs w:val="24"/>
              </w:rPr>
            </w:pPr>
          </w:p>
        </w:tc>
        <w:tc>
          <w:tcPr>
            <w:tcW w:w="1439" w:type="pct"/>
            <w:vAlign w:val="center"/>
          </w:tcPr>
          <w:p w14:paraId="4982530F">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堤脚控高满足要求，养护至沿堤脚向外延伸2米或护堤地第一排树，清理干净，无杂树杂条，无藤类植物等。</w:t>
            </w:r>
          </w:p>
        </w:tc>
        <w:tc>
          <w:tcPr>
            <w:tcW w:w="428" w:type="pct"/>
            <w:vAlign w:val="center"/>
          </w:tcPr>
          <w:p w14:paraId="3EC60A97">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39A25DC7">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50DACA22">
            <w:pPr>
              <w:widowControl/>
              <w:spacing w:line="320" w:lineRule="exact"/>
              <w:jc w:val="center"/>
              <w:rPr>
                <w:rFonts w:ascii="宋体" w:hAnsi="宋体" w:eastAsia="宋体" w:cs="宋体"/>
                <w:bCs/>
                <w:sz w:val="24"/>
                <w:szCs w:val="24"/>
              </w:rPr>
            </w:pPr>
          </w:p>
        </w:tc>
      </w:tr>
      <w:tr w14:paraId="6F20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3FE43DDF">
            <w:pPr>
              <w:spacing w:line="320" w:lineRule="exact"/>
              <w:jc w:val="center"/>
              <w:rPr>
                <w:rFonts w:ascii="宋体" w:hAnsi="宋体" w:eastAsia="宋体" w:cs="宋体"/>
                <w:bCs/>
                <w:sz w:val="24"/>
                <w:szCs w:val="24"/>
              </w:rPr>
            </w:pPr>
          </w:p>
        </w:tc>
        <w:tc>
          <w:tcPr>
            <w:tcW w:w="623" w:type="pct"/>
            <w:vMerge w:val="continue"/>
            <w:vAlign w:val="center"/>
          </w:tcPr>
          <w:p w14:paraId="08CF1963">
            <w:pPr>
              <w:spacing w:line="320" w:lineRule="exact"/>
              <w:jc w:val="center"/>
              <w:rPr>
                <w:rFonts w:ascii="宋体" w:hAnsi="宋体" w:eastAsia="宋体" w:cs="宋体"/>
                <w:bCs/>
                <w:sz w:val="24"/>
                <w:szCs w:val="24"/>
              </w:rPr>
            </w:pPr>
          </w:p>
        </w:tc>
        <w:tc>
          <w:tcPr>
            <w:tcW w:w="1439" w:type="pct"/>
            <w:vAlign w:val="center"/>
          </w:tcPr>
          <w:p w14:paraId="124D1F54">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堤坡、上下堤路草皮总体整洁、美观，无杂树杂条，无藤类植物，无建筑及生活垃圾。</w:t>
            </w:r>
          </w:p>
        </w:tc>
        <w:tc>
          <w:tcPr>
            <w:tcW w:w="428" w:type="pct"/>
            <w:vAlign w:val="center"/>
          </w:tcPr>
          <w:p w14:paraId="35DCCA2B">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05DF5FFD">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0F40BD2E">
            <w:pPr>
              <w:widowControl/>
              <w:spacing w:line="320" w:lineRule="exact"/>
              <w:jc w:val="center"/>
              <w:rPr>
                <w:rFonts w:ascii="宋体" w:hAnsi="宋体" w:eastAsia="宋体" w:cs="宋体"/>
                <w:bCs/>
                <w:sz w:val="24"/>
                <w:szCs w:val="24"/>
              </w:rPr>
            </w:pPr>
          </w:p>
        </w:tc>
      </w:tr>
      <w:tr w14:paraId="6F11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45" w:type="pct"/>
            <w:vMerge w:val="continue"/>
            <w:vAlign w:val="center"/>
          </w:tcPr>
          <w:p w14:paraId="4AA97A55">
            <w:pPr>
              <w:spacing w:line="320" w:lineRule="exact"/>
              <w:jc w:val="center"/>
              <w:rPr>
                <w:rFonts w:ascii="宋体" w:hAnsi="宋体" w:eastAsia="宋体" w:cs="宋体"/>
                <w:bCs/>
                <w:sz w:val="24"/>
                <w:szCs w:val="24"/>
              </w:rPr>
            </w:pPr>
          </w:p>
        </w:tc>
        <w:tc>
          <w:tcPr>
            <w:tcW w:w="623" w:type="pct"/>
            <w:vMerge w:val="continue"/>
            <w:vAlign w:val="center"/>
          </w:tcPr>
          <w:p w14:paraId="61FE8FA8">
            <w:pPr>
              <w:spacing w:line="320" w:lineRule="exact"/>
              <w:jc w:val="center"/>
              <w:rPr>
                <w:rFonts w:ascii="宋体" w:hAnsi="宋体" w:eastAsia="宋体" w:cs="宋体"/>
                <w:bCs/>
                <w:sz w:val="24"/>
                <w:szCs w:val="24"/>
              </w:rPr>
            </w:pPr>
          </w:p>
        </w:tc>
        <w:tc>
          <w:tcPr>
            <w:tcW w:w="1439" w:type="pct"/>
            <w:vAlign w:val="center"/>
          </w:tcPr>
          <w:p w14:paraId="1E082A57">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硬质护坡缝隙杂草清除干净，坡面平整。</w:t>
            </w:r>
          </w:p>
        </w:tc>
        <w:tc>
          <w:tcPr>
            <w:tcW w:w="428" w:type="pct"/>
            <w:vAlign w:val="center"/>
          </w:tcPr>
          <w:p w14:paraId="6F124C1F">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3BAC386E">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w:t>
            </w:r>
            <w:r>
              <w:rPr>
                <w:rFonts w:hint="eastAsia" w:ascii="宋体" w:hAnsi="宋体" w:eastAsia="宋体" w:cs="宋体"/>
                <w:bCs/>
                <w:kern w:val="0"/>
                <w:sz w:val="24"/>
                <w:szCs w:val="24"/>
                <w:lang w:bidi="ar"/>
              </w:rPr>
              <w:t>（长度10m/处)</w:t>
            </w:r>
            <w:r>
              <w:rPr>
                <w:rFonts w:hint="eastAsia" w:ascii="宋体" w:hAnsi="宋体" w:eastAsia="宋体" w:cs="宋体"/>
                <w:bCs/>
                <w:sz w:val="24"/>
                <w:szCs w:val="24"/>
                <w:lang w:bidi="ar"/>
              </w:rPr>
              <w:t>扣1分。（5分）</w:t>
            </w:r>
          </w:p>
        </w:tc>
        <w:tc>
          <w:tcPr>
            <w:tcW w:w="399" w:type="pct"/>
            <w:vAlign w:val="center"/>
          </w:tcPr>
          <w:p w14:paraId="3790C09D">
            <w:pPr>
              <w:widowControl/>
              <w:spacing w:line="320" w:lineRule="exact"/>
              <w:jc w:val="center"/>
              <w:rPr>
                <w:rFonts w:ascii="宋体" w:hAnsi="宋体" w:eastAsia="宋体" w:cs="宋体"/>
                <w:bCs/>
                <w:sz w:val="24"/>
                <w:szCs w:val="24"/>
              </w:rPr>
            </w:pPr>
          </w:p>
        </w:tc>
      </w:tr>
      <w:tr w14:paraId="3EA6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45" w:type="pct"/>
            <w:vMerge w:val="continue"/>
            <w:vAlign w:val="center"/>
          </w:tcPr>
          <w:p w14:paraId="6F3A6198">
            <w:pPr>
              <w:spacing w:line="320" w:lineRule="exact"/>
              <w:jc w:val="center"/>
              <w:rPr>
                <w:rFonts w:ascii="宋体" w:hAnsi="宋体" w:eastAsia="宋体" w:cs="宋体"/>
                <w:bCs/>
                <w:sz w:val="24"/>
                <w:szCs w:val="24"/>
              </w:rPr>
            </w:pPr>
          </w:p>
        </w:tc>
        <w:tc>
          <w:tcPr>
            <w:tcW w:w="623" w:type="pct"/>
            <w:vAlign w:val="center"/>
          </w:tcPr>
          <w:p w14:paraId="0730142D">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养护遗留草屑清除（5分）</w:t>
            </w:r>
          </w:p>
        </w:tc>
        <w:tc>
          <w:tcPr>
            <w:tcW w:w="1439" w:type="pct"/>
            <w:vAlign w:val="center"/>
          </w:tcPr>
          <w:p w14:paraId="151BC36F">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控高所产生的废草等垃圾及时清理干净，全部清运到堤防管理范围外。</w:t>
            </w:r>
          </w:p>
        </w:tc>
        <w:tc>
          <w:tcPr>
            <w:tcW w:w="428" w:type="pct"/>
            <w:vAlign w:val="center"/>
          </w:tcPr>
          <w:p w14:paraId="2A223B91">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5</w:t>
            </w:r>
          </w:p>
        </w:tc>
        <w:tc>
          <w:tcPr>
            <w:tcW w:w="1566" w:type="pct"/>
            <w:vAlign w:val="center"/>
          </w:tcPr>
          <w:p w14:paraId="5E83BE6B">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lang w:bidi="ar"/>
              </w:rPr>
              <w:t>按要求完成的不扣分，未清理干净的累计面积20m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以下的扣1分；累计面积每增加20m</w:t>
            </w:r>
            <w:r>
              <w:rPr>
                <w:rFonts w:hint="eastAsia" w:ascii="宋体" w:hAnsi="宋体" w:eastAsia="宋体" w:cs="宋体"/>
                <w:bCs/>
                <w:sz w:val="24"/>
                <w:szCs w:val="24"/>
                <w:vertAlign w:val="superscript"/>
                <w:lang w:bidi="ar"/>
              </w:rPr>
              <w:t>2</w:t>
            </w:r>
            <w:r>
              <w:rPr>
                <w:rFonts w:hint="eastAsia" w:ascii="宋体" w:hAnsi="宋体" w:eastAsia="宋体" w:cs="宋体"/>
                <w:bCs/>
                <w:sz w:val="24"/>
                <w:szCs w:val="24"/>
                <w:lang w:bidi="ar"/>
              </w:rPr>
              <w:t>扣2分；以此类推，直至扣完为止。（5分）</w:t>
            </w:r>
          </w:p>
        </w:tc>
        <w:tc>
          <w:tcPr>
            <w:tcW w:w="399" w:type="pct"/>
            <w:vAlign w:val="center"/>
          </w:tcPr>
          <w:p w14:paraId="288DD9D0">
            <w:pPr>
              <w:widowControl/>
              <w:spacing w:line="320" w:lineRule="exact"/>
              <w:jc w:val="center"/>
              <w:rPr>
                <w:rFonts w:ascii="宋体" w:hAnsi="宋体" w:eastAsia="宋体" w:cs="宋体"/>
                <w:bCs/>
                <w:sz w:val="24"/>
                <w:szCs w:val="24"/>
              </w:rPr>
            </w:pPr>
          </w:p>
        </w:tc>
      </w:tr>
      <w:tr w14:paraId="261D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45" w:type="pct"/>
            <w:vMerge w:val="restart"/>
            <w:vAlign w:val="center"/>
          </w:tcPr>
          <w:p w14:paraId="5EEEBC61">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护堤地林间</w:t>
            </w:r>
          </w:p>
        </w:tc>
        <w:tc>
          <w:tcPr>
            <w:tcW w:w="623" w:type="pct"/>
            <w:vMerge w:val="restart"/>
            <w:vAlign w:val="center"/>
          </w:tcPr>
          <w:p w14:paraId="4BC0CA06">
            <w:pPr>
              <w:widowControl/>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林间及闸区杂草、杂条、杂树清理（20分）</w:t>
            </w:r>
          </w:p>
        </w:tc>
        <w:tc>
          <w:tcPr>
            <w:tcW w:w="1439" w:type="pct"/>
            <w:vAlign w:val="center"/>
          </w:tcPr>
          <w:p w14:paraId="0051BC0B">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林间及闸管范围内，无杂草，杂条现象，草皮整齐。</w:t>
            </w:r>
          </w:p>
        </w:tc>
        <w:tc>
          <w:tcPr>
            <w:tcW w:w="428" w:type="pct"/>
            <w:vAlign w:val="center"/>
          </w:tcPr>
          <w:p w14:paraId="3B5F0911">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61DF647E">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09C85052">
            <w:pPr>
              <w:widowControl/>
              <w:spacing w:line="320" w:lineRule="exact"/>
              <w:jc w:val="center"/>
              <w:rPr>
                <w:rFonts w:ascii="宋体" w:hAnsi="宋体" w:eastAsia="宋体" w:cs="宋体"/>
                <w:bCs/>
                <w:sz w:val="24"/>
                <w:szCs w:val="24"/>
              </w:rPr>
            </w:pPr>
          </w:p>
        </w:tc>
      </w:tr>
      <w:tr w14:paraId="5E91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5" w:type="pct"/>
            <w:vMerge w:val="continue"/>
            <w:vAlign w:val="center"/>
          </w:tcPr>
          <w:p w14:paraId="15EE6EEA">
            <w:pPr>
              <w:spacing w:line="320" w:lineRule="exact"/>
              <w:jc w:val="center"/>
              <w:rPr>
                <w:rFonts w:ascii="宋体" w:hAnsi="宋体" w:eastAsia="宋体" w:cs="宋体"/>
                <w:bCs/>
                <w:sz w:val="24"/>
                <w:szCs w:val="24"/>
              </w:rPr>
            </w:pPr>
          </w:p>
        </w:tc>
        <w:tc>
          <w:tcPr>
            <w:tcW w:w="623" w:type="pct"/>
            <w:vMerge w:val="continue"/>
            <w:vAlign w:val="center"/>
          </w:tcPr>
          <w:p w14:paraId="5CF9FA15">
            <w:pPr>
              <w:spacing w:line="320" w:lineRule="exact"/>
              <w:jc w:val="center"/>
              <w:rPr>
                <w:rFonts w:ascii="宋体" w:hAnsi="宋体" w:eastAsia="宋体" w:cs="宋体"/>
                <w:bCs/>
                <w:sz w:val="24"/>
                <w:szCs w:val="24"/>
              </w:rPr>
            </w:pPr>
          </w:p>
        </w:tc>
        <w:tc>
          <w:tcPr>
            <w:tcW w:w="1439" w:type="pct"/>
            <w:vAlign w:val="center"/>
          </w:tcPr>
          <w:p w14:paraId="0348C15B">
            <w:pPr>
              <w:spacing w:line="320" w:lineRule="exact"/>
              <w:jc w:val="left"/>
              <w:rPr>
                <w:rFonts w:ascii="宋体" w:hAnsi="宋体" w:eastAsia="宋体" w:cs="宋体"/>
                <w:bCs/>
                <w:sz w:val="24"/>
                <w:szCs w:val="24"/>
              </w:rPr>
            </w:pPr>
            <w:r>
              <w:rPr>
                <w:rFonts w:hint="eastAsia" w:ascii="宋体" w:hAnsi="宋体" w:eastAsia="宋体" w:cs="宋体"/>
                <w:bCs/>
                <w:sz w:val="24"/>
                <w:szCs w:val="24"/>
                <w:lang w:bidi="ar"/>
              </w:rPr>
              <w:t>林间除杂高度满足要求，养护高度5cm以下。</w:t>
            </w:r>
          </w:p>
        </w:tc>
        <w:tc>
          <w:tcPr>
            <w:tcW w:w="428" w:type="pct"/>
            <w:vAlign w:val="center"/>
          </w:tcPr>
          <w:p w14:paraId="425E9915">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32684387">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如不符合要求：</w:t>
            </w:r>
            <w:r>
              <w:rPr>
                <w:rFonts w:hint="eastAsia" w:ascii="宋体" w:hAnsi="宋体" w:eastAsia="宋体" w:cs="宋体"/>
                <w:bCs/>
                <w:sz w:val="24"/>
                <w:szCs w:val="24"/>
                <w:lang w:bidi="ar"/>
              </w:rPr>
              <w:t>每发现一处扣1分。（10分）</w:t>
            </w:r>
          </w:p>
        </w:tc>
        <w:tc>
          <w:tcPr>
            <w:tcW w:w="399" w:type="pct"/>
            <w:vAlign w:val="center"/>
          </w:tcPr>
          <w:p w14:paraId="66D8159F">
            <w:pPr>
              <w:widowControl/>
              <w:spacing w:line="320" w:lineRule="exact"/>
              <w:jc w:val="center"/>
              <w:rPr>
                <w:rFonts w:ascii="宋体" w:hAnsi="宋体" w:eastAsia="宋体" w:cs="宋体"/>
                <w:bCs/>
                <w:sz w:val="24"/>
                <w:szCs w:val="24"/>
              </w:rPr>
            </w:pPr>
          </w:p>
        </w:tc>
      </w:tr>
      <w:tr w14:paraId="6931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1104AC23">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lang w:bidi="ar"/>
              </w:rPr>
              <w:t>养护工期</w:t>
            </w:r>
          </w:p>
        </w:tc>
        <w:tc>
          <w:tcPr>
            <w:tcW w:w="623" w:type="pct"/>
            <w:vAlign w:val="center"/>
          </w:tcPr>
          <w:p w14:paraId="16123124">
            <w:pPr>
              <w:widowControl/>
              <w:spacing w:line="320" w:lineRule="exact"/>
              <w:jc w:val="center"/>
              <w:rPr>
                <w:rFonts w:ascii="宋体" w:hAnsi="宋体" w:eastAsia="宋体" w:cs="宋体"/>
                <w:bCs/>
                <w:sz w:val="24"/>
                <w:szCs w:val="24"/>
              </w:rPr>
            </w:pPr>
            <w:r>
              <w:rPr>
                <w:rFonts w:hint="eastAsia" w:ascii="宋体" w:hAnsi="宋体" w:eastAsia="宋体" w:cs="宋体"/>
                <w:bCs/>
                <w:kern w:val="0"/>
                <w:sz w:val="24"/>
                <w:szCs w:val="24"/>
                <w:lang w:bidi="ar"/>
              </w:rPr>
              <w:t>养护完成时间</w:t>
            </w:r>
            <w:r>
              <w:rPr>
                <w:rFonts w:hint="eastAsia" w:ascii="宋体" w:hAnsi="宋体" w:eastAsia="宋体" w:cs="宋体"/>
                <w:bCs/>
                <w:sz w:val="24"/>
                <w:szCs w:val="24"/>
                <w:lang w:bidi="ar"/>
              </w:rPr>
              <w:t>（10分）</w:t>
            </w:r>
          </w:p>
        </w:tc>
        <w:tc>
          <w:tcPr>
            <w:tcW w:w="1439" w:type="pct"/>
            <w:vAlign w:val="center"/>
          </w:tcPr>
          <w:p w14:paraId="68D445CF">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按规定时间完成养护作业。</w:t>
            </w:r>
          </w:p>
        </w:tc>
        <w:tc>
          <w:tcPr>
            <w:tcW w:w="428" w:type="pct"/>
            <w:vAlign w:val="center"/>
          </w:tcPr>
          <w:p w14:paraId="26409D2F">
            <w:pPr>
              <w:spacing w:line="320" w:lineRule="exact"/>
              <w:jc w:val="center"/>
              <w:rPr>
                <w:rFonts w:ascii="宋体" w:hAnsi="宋体" w:eastAsia="宋体" w:cs="宋体"/>
                <w:bCs/>
                <w:sz w:val="24"/>
                <w:szCs w:val="24"/>
              </w:rPr>
            </w:pPr>
            <w:r>
              <w:rPr>
                <w:rFonts w:hint="eastAsia" w:ascii="宋体" w:hAnsi="宋体" w:eastAsia="宋体" w:cs="宋体"/>
                <w:bCs/>
                <w:sz w:val="24"/>
                <w:szCs w:val="24"/>
                <w:lang w:bidi="ar"/>
              </w:rPr>
              <w:t>10</w:t>
            </w:r>
          </w:p>
        </w:tc>
        <w:tc>
          <w:tcPr>
            <w:tcW w:w="1566" w:type="pct"/>
            <w:vAlign w:val="center"/>
          </w:tcPr>
          <w:p w14:paraId="3732DCAE">
            <w:pPr>
              <w:spacing w:line="320" w:lineRule="exact"/>
              <w:jc w:val="left"/>
              <w:rPr>
                <w:rFonts w:ascii="宋体" w:hAnsi="宋体" w:eastAsia="宋体" w:cs="宋体"/>
                <w:bCs/>
                <w:sz w:val="24"/>
                <w:szCs w:val="24"/>
              </w:rPr>
            </w:pPr>
            <w:r>
              <w:rPr>
                <w:rFonts w:hint="eastAsia" w:ascii="宋体" w:hAnsi="宋体" w:eastAsia="宋体" w:cs="宋体"/>
                <w:bCs/>
                <w:kern w:val="0"/>
                <w:sz w:val="24"/>
                <w:szCs w:val="24"/>
                <w:lang w:bidi="ar"/>
              </w:rPr>
              <w:t>按规定时间完成的不扣分，超期完成扣分，直到扣完为止（因雨天及不可抗力顺延计算）。超工期1天扣1分；超工期2天扣4分；超工期3天扣6分；超工期4天扣10分。</w:t>
            </w:r>
            <w:r>
              <w:rPr>
                <w:rFonts w:hint="eastAsia" w:ascii="宋体" w:hAnsi="宋体" w:eastAsia="宋体" w:cs="宋体"/>
                <w:bCs/>
                <w:sz w:val="24"/>
                <w:szCs w:val="24"/>
                <w:lang w:bidi="ar"/>
              </w:rPr>
              <w:t>（10分）</w:t>
            </w:r>
          </w:p>
        </w:tc>
        <w:tc>
          <w:tcPr>
            <w:tcW w:w="399" w:type="pct"/>
            <w:vAlign w:val="center"/>
          </w:tcPr>
          <w:p w14:paraId="31580C1B">
            <w:pPr>
              <w:widowControl/>
              <w:spacing w:line="320" w:lineRule="exact"/>
              <w:jc w:val="center"/>
              <w:rPr>
                <w:rFonts w:ascii="宋体" w:hAnsi="宋体" w:eastAsia="宋体" w:cs="宋体"/>
                <w:bCs/>
                <w:sz w:val="24"/>
                <w:szCs w:val="24"/>
              </w:rPr>
            </w:pPr>
          </w:p>
        </w:tc>
      </w:tr>
      <w:tr w14:paraId="105C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5" w:type="pct"/>
            <w:vAlign w:val="center"/>
          </w:tcPr>
          <w:p w14:paraId="61EA4503">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安全生产</w:t>
            </w:r>
          </w:p>
        </w:tc>
        <w:tc>
          <w:tcPr>
            <w:tcW w:w="623" w:type="pct"/>
            <w:vAlign w:val="center"/>
          </w:tcPr>
          <w:p w14:paraId="3352A278">
            <w:pPr>
              <w:widowControl/>
              <w:spacing w:line="320" w:lineRule="exact"/>
              <w:jc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安全管理</w:t>
            </w:r>
            <w:r>
              <w:rPr>
                <w:rFonts w:hint="eastAsia" w:ascii="宋体" w:hAnsi="宋体" w:eastAsia="宋体" w:cs="宋体"/>
                <w:bCs/>
                <w:sz w:val="24"/>
                <w:szCs w:val="24"/>
                <w:lang w:bidi="ar"/>
              </w:rPr>
              <w:t>（30分）</w:t>
            </w:r>
          </w:p>
        </w:tc>
        <w:tc>
          <w:tcPr>
            <w:tcW w:w="1439" w:type="pct"/>
            <w:vAlign w:val="center"/>
          </w:tcPr>
          <w:p w14:paraId="29CCF226">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落实对养护人员的安全教育，项目负责人及现场专职或兼职安全员必须在项目现场方可开展养护作业，养护期间规范佩戴护目镜等防护用具；使用割草机作业时，作业半径5米内禁止任何人员进入；临水临空等安全风险较大的作业应有现场安全监督人员现场监督，并通知管理单位技术人员到场。</w:t>
            </w:r>
          </w:p>
        </w:tc>
        <w:tc>
          <w:tcPr>
            <w:tcW w:w="428" w:type="pct"/>
            <w:vAlign w:val="center"/>
          </w:tcPr>
          <w:p w14:paraId="7C5158D4">
            <w:pPr>
              <w:spacing w:line="320" w:lineRule="exact"/>
              <w:jc w:val="center"/>
              <w:rPr>
                <w:rFonts w:ascii="宋体" w:hAnsi="宋体" w:eastAsia="宋体" w:cs="宋体"/>
                <w:bCs/>
                <w:sz w:val="24"/>
                <w:szCs w:val="24"/>
                <w:lang w:bidi="ar"/>
              </w:rPr>
            </w:pPr>
            <w:r>
              <w:rPr>
                <w:rFonts w:hint="eastAsia" w:ascii="宋体" w:hAnsi="宋体" w:eastAsia="宋体" w:cs="宋体"/>
                <w:bCs/>
                <w:sz w:val="24"/>
                <w:szCs w:val="24"/>
                <w:lang w:bidi="ar"/>
              </w:rPr>
              <w:t>30</w:t>
            </w:r>
          </w:p>
        </w:tc>
        <w:tc>
          <w:tcPr>
            <w:tcW w:w="1566" w:type="pct"/>
            <w:vAlign w:val="center"/>
          </w:tcPr>
          <w:p w14:paraId="67CA6991">
            <w:pPr>
              <w:spacing w:line="320" w:lineRule="exact"/>
              <w:jc w:val="left"/>
              <w:rPr>
                <w:rFonts w:ascii="宋体" w:hAnsi="宋体" w:eastAsia="宋体" w:cs="宋体"/>
                <w:bCs/>
                <w:kern w:val="0"/>
                <w:sz w:val="24"/>
                <w:szCs w:val="24"/>
                <w:lang w:bidi="ar"/>
              </w:rPr>
            </w:pPr>
            <w:r>
              <w:rPr>
                <w:rFonts w:hint="eastAsia" w:ascii="宋体" w:hAnsi="宋体" w:eastAsia="宋体" w:cs="宋体"/>
                <w:bCs/>
                <w:kern w:val="0"/>
                <w:sz w:val="24"/>
                <w:szCs w:val="24"/>
                <w:lang w:bidi="ar"/>
              </w:rPr>
              <w:t>日常监管过程中发现护目镜等防护用具佩戴不规范等情况，发现一次扣5分；养护作业时项目负责人及现场专职或兼职安全员未在项目现场的，发现一次扣5分；使用割草机作业时，作业半径5米内发现有其他任何人员的，发现一次扣5分；临水作业现场无安全监督人员的扣5分，未通知管理单位技术人员，扣5分。（30分）</w:t>
            </w:r>
          </w:p>
        </w:tc>
        <w:tc>
          <w:tcPr>
            <w:tcW w:w="399" w:type="pct"/>
            <w:vAlign w:val="center"/>
          </w:tcPr>
          <w:p w14:paraId="39D3377A">
            <w:pPr>
              <w:widowControl/>
              <w:spacing w:line="320" w:lineRule="exact"/>
              <w:jc w:val="center"/>
              <w:rPr>
                <w:rFonts w:ascii="宋体" w:hAnsi="宋体" w:eastAsia="宋体" w:cs="宋体"/>
                <w:bCs/>
                <w:sz w:val="24"/>
                <w:szCs w:val="24"/>
              </w:rPr>
            </w:pPr>
          </w:p>
        </w:tc>
      </w:tr>
      <w:tr w14:paraId="1EA3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000" w:type="pct"/>
            <w:gridSpan w:val="6"/>
            <w:vAlign w:val="center"/>
          </w:tcPr>
          <w:p w14:paraId="13DEFA35">
            <w:pPr>
              <w:widowControl/>
              <w:spacing w:line="320" w:lineRule="exact"/>
              <w:rPr>
                <w:rFonts w:ascii="宋体" w:hAnsi="宋体" w:eastAsia="宋体" w:cs="宋体"/>
                <w:bCs/>
                <w:sz w:val="24"/>
                <w:szCs w:val="24"/>
                <w:lang w:bidi="ar"/>
              </w:rPr>
            </w:pPr>
            <w:r>
              <w:rPr>
                <w:rFonts w:hint="eastAsia" w:ascii="宋体" w:hAnsi="宋体" w:eastAsia="宋体" w:cs="宋体"/>
                <w:bCs/>
                <w:sz w:val="24"/>
                <w:szCs w:val="24"/>
                <w:lang w:bidi="ar"/>
              </w:rPr>
              <w:t>次验收得分率＝（次验收得分/应得分）×100％</w:t>
            </w:r>
          </w:p>
          <w:p w14:paraId="7D1A9E11">
            <w:pPr>
              <w:widowControl/>
              <w:spacing w:line="320" w:lineRule="exact"/>
              <w:rPr>
                <w:rFonts w:ascii="宋体" w:hAnsi="宋体" w:eastAsia="宋体" w:cs="宋体"/>
                <w:bCs/>
                <w:sz w:val="24"/>
                <w:szCs w:val="24"/>
              </w:rPr>
            </w:pPr>
            <w:r>
              <w:rPr>
                <w:rFonts w:hint="eastAsia" w:ascii="宋体" w:hAnsi="宋体" w:eastAsia="宋体" w:cs="宋体"/>
                <w:bCs/>
                <w:sz w:val="24"/>
                <w:szCs w:val="24"/>
                <w:lang w:bidi="ar"/>
              </w:rPr>
              <w:t>说明：局直各单位根据草皮养护验收实际情况，若出现合理缺项，该缺项可不进行赋分，应得分=标准分总分-合理缺项标准分。</w:t>
            </w:r>
          </w:p>
        </w:tc>
      </w:tr>
    </w:tbl>
    <w:p w14:paraId="135558A0">
      <w:pPr>
        <w:rPr>
          <w:rFonts w:ascii="宋体" w:hAnsi="宋体" w:eastAsia="宋体" w:cs="宋体"/>
          <w:bCs/>
          <w:kern w:val="0"/>
          <w:sz w:val="24"/>
          <w:szCs w:val="24"/>
        </w:rPr>
      </w:pPr>
      <w:r>
        <w:rPr>
          <w:rFonts w:hint="eastAsia" w:ascii="宋体" w:hAnsi="宋体" w:eastAsia="宋体" w:cs="宋体"/>
          <w:bCs/>
          <w:kern w:val="0"/>
          <w:sz w:val="24"/>
          <w:szCs w:val="24"/>
        </w:rPr>
        <w:t>验收人员签名：                                验收时间：</w:t>
      </w:r>
    </w:p>
    <w:p w14:paraId="4AAF5B7A">
      <w:pPr>
        <w:spacing w:after="120"/>
        <w:ind w:firstLine="480"/>
        <w:rPr>
          <w:rFonts w:ascii="宋体" w:hAnsi="宋体" w:eastAsia="宋体" w:cs="宋体"/>
          <w:bCs/>
          <w:sz w:val="24"/>
          <w:szCs w:val="24"/>
        </w:rPr>
      </w:pPr>
    </w:p>
    <w:p w14:paraId="12D3DF61">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p w14:paraId="3DF101E7">
      <w:pPr>
        <w:jc w:val="center"/>
        <w:rPr>
          <w:rFonts w:ascii="宋体" w:hAnsi="宋体" w:eastAsia="宋体" w:cs="宋体"/>
          <w:b/>
          <w:bCs/>
          <w:sz w:val="24"/>
          <w:szCs w:val="24"/>
        </w:rPr>
      </w:pPr>
      <w:r>
        <w:rPr>
          <w:rFonts w:hint="eastAsia" w:ascii="宋体" w:hAnsi="宋体" w:eastAsia="宋体" w:cs="宋体"/>
          <w:b/>
          <w:bCs/>
          <w:sz w:val="24"/>
          <w:szCs w:val="24"/>
        </w:rPr>
        <w:t>支付申请单</w:t>
      </w:r>
    </w:p>
    <w:p w14:paraId="3D15661D">
      <w:pPr>
        <w:jc w:val="left"/>
        <w:rPr>
          <w:rFonts w:ascii="宋体" w:hAnsi="宋体" w:eastAsia="宋体" w:cs="宋体"/>
          <w:bCs/>
          <w:sz w:val="24"/>
          <w:szCs w:val="24"/>
        </w:rPr>
      </w:pPr>
      <w:r>
        <w:rPr>
          <w:rFonts w:hint="eastAsia" w:ascii="宋体" w:hAnsi="宋体" w:eastAsia="宋体" w:cs="宋体"/>
          <w:bCs/>
          <w:sz w:val="24"/>
          <w:szCs w:val="24"/>
        </w:rPr>
        <w:t>项目名称：</w:t>
      </w:r>
    </w:p>
    <w:tbl>
      <w:tblPr>
        <w:tblStyle w:val="21"/>
        <w:tblW w:w="5000" w:type="pct"/>
        <w:jc w:val="center"/>
        <w:tblLayout w:type="autofit"/>
        <w:tblCellMar>
          <w:top w:w="0" w:type="dxa"/>
          <w:left w:w="108" w:type="dxa"/>
          <w:bottom w:w="0" w:type="dxa"/>
          <w:right w:w="108" w:type="dxa"/>
        </w:tblCellMar>
      </w:tblPr>
      <w:tblGrid>
        <w:gridCol w:w="8947"/>
      </w:tblGrid>
      <w:tr w14:paraId="044B6E84">
        <w:tblPrEx>
          <w:tblCellMar>
            <w:top w:w="0" w:type="dxa"/>
            <w:left w:w="108" w:type="dxa"/>
            <w:bottom w:w="0" w:type="dxa"/>
            <w:right w:w="108" w:type="dxa"/>
          </w:tblCellMar>
        </w:tblPrEx>
        <w:trPr>
          <w:cantSplit/>
          <w:trHeight w:val="5986"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6FC880F6">
            <w:pPr>
              <w:pStyle w:val="57"/>
              <w:spacing w:before="0" w:line="240" w:lineRule="auto"/>
              <w:rPr>
                <w:rFonts w:cs="宋体"/>
                <w:color w:val="auto"/>
                <w:sz w:val="24"/>
                <w:szCs w:val="24"/>
              </w:rPr>
            </w:pPr>
            <w:r>
              <w:rPr>
                <w:rFonts w:hint="eastAsia" w:cs="宋体"/>
                <w:color w:val="auto"/>
                <w:sz w:val="24"/>
                <w:szCs w:val="24"/>
              </w:rPr>
              <w:t>x xx xx x：</w:t>
            </w:r>
          </w:p>
          <w:p w14:paraId="5937DDD3">
            <w:pPr>
              <w:pStyle w:val="57"/>
              <w:spacing w:before="0" w:line="240" w:lineRule="auto"/>
              <w:rPr>
                <w:rFonts w:cs="宋体"/>
                <w:color w:val="auto"/>
                <w:sz w:val="24"/>
                <w:szCs w:val="24"/>
              </w:rPr>
            </w:pPr>
            <w:r>
              <w:rPr>
                <w:rFonts w:hint="eastAsia" w:cs="宋体"/>
                <w:color w:val="auto"/>
                <w:sz w:val="24"/>
                <w:szCs w:val="24"/>
              </w:rPr>
              <w:t xml:space="preserve">     我公司承担</w:t>
            </w:r>
            <w:r>
              <w:rPr>
                <w:rFonts w:hint="eastAsia" w:cs="宋体"/>
                <w:color w:val="auto"/>
                <w:sz w:val="24"/>
                <w:szCs w:val="24"/>
                <w:u w:val="single"/>
              </w:rPr>
              <w:t>省淮河局堤防草皮养护和林间控告项目（第  包）</w:t>
            </w:r>
            <w:r>
              <w:rPr>
                <w:rFonts w:hint="eastAsia" w:cs="宋体"/>
                <w:color w:val="auto"/>
                <w:sz w:val="24"/>
                <w:szCs w:val="24"/>
              </w:rPr>
              <w:t>已于20xx年x月xx日通过次验收/年度验收，现根据合同条款“xxxxxxxxxxx”，特申请支付款项</w:t>
            </w:r>
            <w:r>
              <w:rPr>
                <w:rFonts w:hint="eastAsia" w:cs="宋体"/>
                <w:color w:val="auto"/>
                <w:sz w:val="24"/>
                <w:szCs w:val="24"/>
                <w:u w:val="single"/>
              </w:rPr>
              <w:t>xxxxxxx圆整（￥：xxxx.xx元）</w:t>
            </w:r>
            <w:r>
              <w:rPr>
                <w:rFonts w:hint="eastAsia" w:cs="宋体"/>
                <w:color w:val="auto"/>
                <w:sz w:val="24"/>
                <w:szCs w:val="24"/>
              </w:rPr>
              <w:t>。</w:t>
            </w:r>
          </w:p>
          <w:p w14:paraId="47699979">
            <w:pPr>
              <w:pStyle w:val="57"/>
              <w:spacing w:before="0" w:line="240" w:lineRule="auto"/>
              <w:rPr>
                <w:rFonts w:cs="宋体"/>
                <w:color w:val="auto"/>
                <w:sz w:val="24"/>
                <w:szCs w:val="24"/>
              </w:rPr>
            </w:pPr>
            <w:r>
              <w:rPr>
                <w:rFonts w:hint="eastAsia" w:cs="宋体"/>
                <w:color w:val="auto"/>
                <w:sz w:val="24"/>
                <w:szCs w:val="24"/>
              </w:rPr>
              <w:t>附件：</w:t>
            </w:r>
          </w:p>
          <w:p w14:paraId="5FDB24E3">
            <w:pPr>
              <w:pStyle w:val="57"/>
              <w:spacing w:before="0" w:line="240" w:lineRule="auto"/>
              <w:rPr>
                <w:rFonts w:cs="宋体"/>
                <w:color w:val="auto"/>
                <w:sz w:val="24"/>
                <w:szCs w:val="24"/>
              </w:rPr>
            </w:pPr>
            <w:r>
              <w:rPr>
                <w:rFonts w:hint="eastAsia" w:cs="宋体"/>
                <w:color w:val="auto"/>
                <w:sz w:val="24"/>
                <w:szCs w:val="24"/>
              </w:rPr>
              <w:t xml:space="preserve">      1.次验收评分表/年度验收鉴定书；</w:t>
            </w:r>
          </w:p>
          <w:p w14:paraId="33740DC3">
            <w:pPr>
              <w:pStyle w:val="57"/>
              <w:spacing w:before="0" w:line="240" w:lineRule="auto"/>
              <w:rPr>
                <w:rFonts w:cs="宋体"/>
                <w:color w:val="auto"/>
                <w:sz w:val="24"/>
                <w:szCs w:val="24"/>
              </w:rPr>
            </w:pPr>
            <w:r>
              <w:rPr>
                <w:rFonts w:hint="eastAsia" w:cs="宋体"/>
                <w:color w:val="auto"/>
                <w:sz w:val="24"/>
                <w:szCs w:val="24"/>
              </w:rPr>
              <w:t xml:space="preserve">      2.第×次进度款结算表。</w:t>
            </w:r>
          </w:p>
          <w:p w14:paraId="53ECDA8E">
            <w:pPr>
              <w:pStyle w:val="57"/>
              <w:spacing w:before="0" w:line="240" w:lineRule="auto"/>
              <w:rPr>
                <w:rFonts w:cs="宋体"/>
                <w:color w:val="auto"/>
                <w:sz w:val="24"/>
                <w:szCs w:val="24"/>
              </w:rPr>
            </w:pPr>
            <w:r>
              <w:rPr>
                <w:rFonts w:hint="eastAsia" w:cs="宋体"/>
                <w:color w:val="auto"/>
                <w:sz w:val="24"/>
                <w:szCs w:val="24"/>
              </w:rPr>
              <w:t xml:space="preserve">                                 养护单位（盖章）</w:t>
            </w:r>
          </w:p>
          <w:p w14:paraId="081CBD40">
            <w:pPr>
              <w:pStyle w:val="57"/>
              <w:spacing w:before="0" w:line="240" w:lineRule="auto"/>
              <w:rPr>
                <w:rFonts w:cs="宋体"/>
                <w:color w:val="auto"/>
                <w:sz w:val="24"/>
                <w:szCs w:val="24"/>
              </w:rPr>
            </w:pPr>
            <w:r>
              <w:rPr>
                <w:rFonts w:hint="eastAsia" w:cs="宋体"/>
                <w:color w:val="auto"/>
                <w:sz w:val="24"/>
                <w:szCs w:val="24"/>
              </w:rPr>
              <w:t xml:space="preserve">                                 项目负责人：</w:t>
            </w:r>
          </w:p>
          <w:p w14:paraId="4C7E5A4D">
            <w:pPr>
              <w:pStyle w:val="57"/>
              <w:spacing w:before="0" w:line="240" w:lineRule="auto"/>
              <w:rPr>
                <w:rFonts w:cs="宋体"/>
                <w:color w:val="auto"/>
                <w:sz w:val="24"/>
                <w:szCs w:val="24"/>
              </w:rPr>
            </w:pPr>
            <w:r>
              <w:rPr>
                <w:rFonts w:hint="eastAsia" w:cs="宋体"/>
                <w:color w:val="auto"/>
                <w:sz w:val="24"/>
                <w:szCs w:val="24"/>
              </w:rPr>
              <w:t xml:space="preserve">                                 日    期：    年   月   日</w:t>
            </w:r>
          </w:p>
        </w:tc>
      </w:tr>
      <w:tr w14:paraId="1A40EE03">
        <w:tblPrEx>
          <w:tblCellMar>
            <w:top w:w="0" w:type="dxa"/>
            <w:left w:w="108" w:type="dxa"/>
            <w:bottom w:w="0" w:type="dxa"/>
            <w:right w:w="108" w:type="dxa"/>
          </w:tblCellMar>
        </w:tblPrEx>
        <w:trPr>
          <w:cantSplit/>
          <w:trHeight w:val="282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09CEC126">
            <w:pPr>
              <w:pStyle w:val="57"/>
              <w:spacing w:before="156" w:beforeLines="50" w:line="560" w:lineRule="exact"/>
              <w:rPr>
                <w:rFonts w:cs="宋体"/>
                <w:color w:val="auto"/>
                <w:sz w:val="24"/>
                <w:szCs w:val="24"/>
              </w:rPr>
            </w:pPr>
            <w:r>
              <w:rPr>
                <w:rFonts w:hint="eastAsia" w:cs="宋体"/>
                <w:color w:val="auto"/>
                <w:sz w:val="24"/>
                <w:szCs w:val="24"/>
              </w:rPr>
              <w:t>合同甲方意见：</w:t>
            </w:r>
          </w:p>
          <w:p w14:paraId="0C3854D3">
            <w:pPr>
              <w:pStyle w:val="57"/>
              <w:spacing w:before="156" w:beforeLines="50" w:line="560" w:lineRule="exact"/>
              <w:rPr>
                <w:rFonts w:cs="宋体"/>
                <w:color w:val="auto"/>
                <w:sz w:val="24"/>
                <w:szCs w:val="24"/>
              </w:rPr>
            </w:pPr>
          </w:p>
          <w:p w14:paraId="6BB26E49">
            <w:pPr>
              <w:pStyle w:val="57"/>
              <w:spacing w:before="156" w:beforeLines="50" w:line="560" w:lineRule="exact"/>
              <w:rPr>
                <w:rFonts w:cs="宋体"/>
                <w:color w:val="auto"/>
                <w:sz w:val="24"/>
                <w:szCs w:val="24"/>
              </w:rPr>
            </w:pPr>
          </w:p>
          <w:p w14:paraId="6120C148">
            <w:pPr>
              <w:pStyle w:val="57"/>
              <w:spacing w:before="156" w:beforeLines="50" w:line="560" w:lineRule="exact"/>
              <w:rPr>
                <w:rFonts w:cs="宋体"/>
                <w:color w:val="auto"/>
                <w:sz w:val="24"/>
                <w:szCs w:val="24"/>
              </w:rPr>
            </w:pPr>
          </w:p>
          <w:p w14:paraId="10821E65">
            <w:pPr>
              <w:pStyle w:val="57"/>
              <w:spacing w:before="156" w:beforeLines="50" w:line="560" w:lineRule="exact"/>
              <w:rPr>
                <w:rFonts w:cs="宋体"/>
                <w:color w:val="auto"/>
                <w:sz w:val="24"/>
                <w:szCs w:val="24"/>
              </w:rPr>
            </w:pPr>
          </w:p>
          <w:p w14:paraId="176248FA">
            <w:pPr>
              <w:pStyle w:val="57"/>
              <w:spacing w:before="0" w:line="560" w:lineRule="exact"/>
              <w:rPr>
                <w:rFonts w:cs="宋体"/>
                <w:color w:val="auto"/>
                <w:sz w:val="24"/>
                <w:szCs w:val="24"/>
              </w:rPr>
            </w:pPr>
            <w:r>
              <w:rPr>
                <w:rFonts w:hint="eastAsia" w:cs="宋体"/>
                <w:color w:val="auto"/>
                <w:sz w:val="24"/>
                <w:szCs w:val="24"/>
              </w:rPr>
              <w:t xml:space="preserve">                                 负责人（签字）：              </w:t>
            </w:r>
          </w:p>
          <w:p w14:paraId="5A0DDB08">
            <w:pPr>
              <w:pStyle w:val="57"/>
              <w:spacing w:before="0" w:line="560" w:lineRule="exact"/>
              <w:rPr>
                <w:rFonts w:cs="宋体"/>
                <w:color w:val="auto"/>
                <w:sz w:val="24"/>
                <w:szCs w:val="24"/>
              </w:rPr>
            </w:pPr>
            <w:r>
              <w:rPr>
                <w:rFonts w:hint="eastAsia" w:cs="宋体"/>
                <w:color w:val="auto"/>
                <w:sz w:val="24"/>
                <w:szCs w:val="24"/>
              </w:rPr>
              <w:t xml:space="preserve">                             日    期：   年   月   日</w:t>
            </w:r>
          </w:p>
        </w:tc>
      </w:tr>
    </w:tbl>
    <w:p w14:paraId="5700FD99">
      <w:pPr>
        <w:ind w:firstLine="1440"/>
        <w:rPr>
          <w:rFonts w:ascii="宋体" w:hAnsi="宋体" w:eastAsia="宋体" w:cs="宋体"/>
          <w:sz w:val="24"/>
          <w:szCs w:val="24"/>
        </w:rPr>
        <w:sectPr>
          <w:pgSz w:w="11906" w:h="16838"/>
          <w:pgMar w:top="1701" w:right="1587" w:bottom="1701" w:left="1588" w:header="851" w:footer="992" w:gutter="0"/>
          <w:pgNumType w:fmt="decimal"/>
          <w:cols w:space="720" w:num="1"/>
          <w:docGrid w:type="lines" w:linePitch="312" w:charSpace="0"/>
        </w:sectPr>
      </w:pPr>
    </w:p>
    <w:tbl>
      <w:tblPr>
        <w:tblStyle w:val="21"/>
        <w:tblW w:w="13559" w:type="dxa"/>
        <w:tblInd w:w="93" w:type="dxa"/>
        <w:tblLayout w:type="fixed"/>
        <w:tblCellMar>
          <w:top w:w="0" w:type="dxa"/>
          <w:left w:w="108" w:type="dxa"/>
          <w:bottom w:w="0" w:type="dxa"/>
          <w:right w:w="108" w:type="dxa"/>
        </w:tblCellMar>
      </w:tblPr>
      <w:tblGrid>
        <w:gridCol w:w="802"/>
        <w:gridCol w:w="765"/>
        <w:gridCol w:w="795"/>
        <w:gridCol w:w="765"/>
        <w:gridCol w:w="1125"/>
        <w:gridCol w:w="705"/>
        <w:gridCol w:w="734"/>
        <w:gridCol w:w="534"/>
        <w:gridCol w:w="866"/>
        <w:gridCol w:w="1067"/>
        <w:gridCol w:w="1033"/>
        <w:gridCol w:w="734"/>
        <w:gridCol w:w="900"/>
        <w:gridCol w:w="886"/>
        <w:gridCol w:w="536"/>
        <w:gridCol w:w="885"/>
        <w:gridCol w:w="427"/>
      </w:tblGrid>
      <w:tr w14:paraId="41493B58">
        <w:tblPrEx>
          <w:tblCellMar>
            <w:top w:w="0" w:type="dxa"/>
            <w:left w:w="108" w:type="dxa"/>
            <w:bottom w:w="0" w:type="dxa"/>
            <w:right w:w="108" w:type="dxa"/>
          </w:tblCellMar>
        </w:tblPrEx>
        <w:trPr>
          <w:trHeight w:val="365" w:hRule="atLeast"/>
        </w:trPr>
        <w:tc>
          <w:tcPr>
            <w:tcW w:w="13559" w:type="dxa"/>
            <w:gridSpan w:val="17"/>
            <w:tcBorders>
              <w:top w:val="nil"/>
              <w:left w:val="nil"/>
              <w:bottom w:val="nil"/>
              <w:right w:val="nil"/>
            </w:tcBorders>
            <w:noWrap/>
            <w:vAlign w:val="bottom"/>
          </w:tcPr>
          <w:p w14:paraId="54D6444C">
            <w:pPr>
              <w:widowControl/>
              <w:spacing w:line="560" w:lineRule="exact"/>
              <w:jc w:val="center"/>
              <w:textAlignment w:val="bottom"/>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xx淮河河道管理局堤防草皮养护和林间控高项目（第  包）</w:t>
            </w:r>
          </w:p>
          <w:p w14:paraId="06A8E2D6">
            <w:pPr>
              <w:widowControl/>
              <w:spacing w:line="560" w:lineRule="exact"/>
              <w:jc w:val="center"/>
              <w:textAlignment w:val="bottom"/>
              <w:rPr>
                <w:rFonts w:ascii="宋体" w:hAnsi="宋体" w:eastAsia="宋体" w:cs="宋体"/>
                <w:b/>
                <w:bCs/>
                <w:sz w:val="24"/>
                <w:szCs w:val="24"/>
                <w:u w:val="single"/>
              </w:rPr>
            </w:pPr>
            <w:r>
              <w:rPr>
                <w:rFonts w:hint="eastAsia" w:ascii="宋体" w:hAnsi="宋体" w:eastAsia="宋体" w:cs="宋体"/>
                <w:b/>
                <w:bCs/>
                <w:sz w:val="24"/>
                <w:szCs w:val="24"/>
                <w:lang w:bidi="ar"/>
              </w:rPr>
              <w:t>第×次进度款结算表</w:t>
            </w:r>
          </w:p>
        </w:tc>
      </w:tr>
      <w:tr w14:paraId="08DB0492">
        <w:tblPrEx>
          <w:tblCellMar>
            <w:top w:w="0" w:type="dxa"/>
            <w:left w:w="108" w:type="dxa"/>
            <w:bottom w:w="0" w:type="dxa"/>
            <w:right w:w="108" w:type="dxa"/>
          </w:tblCellMar>
        </w:tblPrEx>
        <w:trPr>
          <w:trHeight w:val="674" w:hRule="atLeast"/>
        </w:trPr>
        <w:tc>
          <w:tcPr>
            <w:tcW w:w="13559" w:type="dxa"/>
            <w:gridSpan w:val="17"/>
            <w:tcBorders>
              <w:top w:val="nil"/>
              <w:left w:val="nil"/>
              <w:bottom w:val="nil"/>
              <w:right w:val="nil"/>
            </w:tcBorders>
            <w:noWrap/>
            <w:vAlign w:val="bottom"/>
          </w:tcPr>
          <w:p w14:paraId="37783FDF">
            <w:pPr>
              <w:rPr>
                <w:rFonts w:ascii="宋体" w:hAnsi="宋体" w:eastAsia="宋体" w:cs="宋体"/>
                <w:bCs/>
                <w:sz w:val="24"/>
                <w:szCs w:val="24"/>
              </w:rPr>
            </w:pPr>
            <w:r>
              <w:rPr>
                <w:rFonts w:hint="eastAsia" w:ascii="宋体" w:hAnsi="宋体" w:eastAsia="宋体" w:cs="宋体"/>
                <w:bCs/>
                <w:kern w:val="0"/>
                <w:sz w:val="24"/>
                <w:szCs w:val="24"/>
                <w:lang w:bidi="ar"/>
              </w:rPr>
              <w:t xml:space="preserve">合同工程名称：                                                     结算期限：  年   月   日至   年   月   日                                                                                      </w:t>
            </w:r>
          </w:p>
        </w:tc>
      </w:tr>
      <w:tr w14:paraId="1853F6D1">
        <w:tblPrEx>
          <w:tblCellMar>
            <w:top w:w="0" w:type="dxa"/>
            <w:left w:w="108" w:type="dxa"/>
            <w:bottom w:w="0" w:type="dxa"/>
            <w:right w:w="108" w:type="dxa"/>
          </w:tblCellMar>
        </w:tblPrEx>
        <w:trPr>
          <w:trHeight w:val="680" w:hRule="atLeast"/>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14:paraId="7FA279AF">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项目编号</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13B12C6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项目名称</w:t>
            </w:r>
          </w:p>
        </w:tc>
        <w:tc>
          <w:tcPr>
            <w:tcW w:w="795" w:type="dxa"/>
            <w:vMerge w:val="restart"/>
            <w:tcBorders>
              <w:top w:val="single" w:color="000000" w:sz="4" w:space="0"/>
              <w:left w:val="single" w:color="000000" w:sz="4" w:space="0"/>
              <w:bottom w:val="single" w:color="000000" w:sz="4" w:space="0"/>
              <w:right w:val="single" w:color="000000" w:sz="4" w:space="0"/>
            </w:tcBorders>
            <w:vAlign w:val="center"/>
          </w:tcPr>
          <w:p w14:paraId="7966C116">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计量单位</w:t>
            </w:r>
          </w:p>
        </w:tc>
        <w:tc>
          <w:tcPr>
            <w:tcW w:w="2595" w:type="dxa"/>
            <w:gridSpan w:val="3"/>
            <w:tcBorders>
              <w:top w:val="single" w:color="000000" w:sz="4" w:space="0"/>
              <w:left w:val="single" w:color="000000" w:sz="4" w:space="0"/>
              <w:bottom w:val="single" w:color="000000" w:sz="4" w:space="0"/>
              <w:right w:val="single" w:color="000000" w:sz="4" w:space="0"/>
            </w:tcBorders>
            <w:vAlign w:val="center"/>
          </w:tcPr>
          <w:p w14:paraId="7F5A72FA">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合同工作量、价款</w:t>
            </w:r>
          </w:p>
        </w:tc>
        <w:tc>
          <w:tcPr>
            <w:tcW w:w="2134" w:type="dxa"/>
            <w:gridSpan w:val="3"/>
            <w:tcBorders>
              <w:top w:val="single" w:color="000000" w:sz="4" w:space="0"/>
              <w:left w:val="single" w:color="000000" w:sz="4" w:space="0"/>
              <w:bottom w:val="single" w:color="000000" w:sz="4" w:space="0"/>
              <w:right w:val="single" w:color="000000" w:sz="4" w:space="0"/>
            </w:tcBorders>
            <w:vAlign w:val="center"/>
          </w:tcPr>
          <w:p w14:paraId="346166B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本期以前累计结算金额</w:t>
            </w:r>
          </w:p>
        </w:tc>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349FF405">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本期承包人申报</w:t>
            </w:r>
          </w:p>
        </w:tc>
        <w:tc>
          <w:tcPr>
            <w:tcW w:w="1634" w:type="dxa"/>
            <w:gridSpan w:val="2"/>
            <w:tcBorders>
              <w:top w:val="single" w:color="000000" w:sz="4" w:space="0"/>
              <w:left w:val="single" w:color="000000" w:sz="4" w:space="0"/>
              <w:bottom w:val="single" w:color="000000" w:sz="4" w:space="0"/>
              <w:right w:val="single" w:color="000000" w:sz="4" w:space="0"/>
            </w:tcBorders>
            <w:vAlign w:val="center"/>
          </w:tcPr>
          <w:p w14:paraId="04483FD3">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本期合同甲方核定</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14:paraId="464B515C">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累计结算金额</w:t>
            </w:r>
          </w:p>
        </w:tc>
        <w:tc>
          <w:tcPr>
            <w:tcW w:w="427" w:type="dxa"/>
            <w:vMerge w:val="restart"/>
            <w:tcBorders>
              <w:top w:val="single" w:color="000000" w:sz="4" w:space="0"/>
              <w:left w:val="single" w:color="000000" w:sz="4" w:space="0"/>
              <w:bottom w:val="single" w:color="000000" w:sz="4" w:space="0"/>
              <w:right w:val="single" w:color="000000" w:sz="4" w:space="0"/>
            </w:tcBorders>
            <w:vAlign w:val="center"/>
          </w:tcPr>
          <w:p w14:paraId="222F7D9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备注</w:t>
            </w:r>
          </w:p>
        </w:tc>
      </w:tr>
      <w:tr w14:paraId="1F4CE52E">
        <w:tblPrEx>
          <w:tblCellMar>
            <w:top w:w="0" w:type="dxa"/>
            <w:left w:w="108" w:type="dxa"/>
            <w:bottom w:w="0" w:type="dxa"/>
            <w:right w:w="108" w:type="dxa"/>
          </w:tblCellMar>
        </w:tblPrEx>
        <w:trPr>
          <w:trHeight w:val="1147"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14:paraId="4DC13E85">
            <w:pPr>
              <w:jc w:val="center"/>
              <w:rPr>
                <w:rFonts w:ascii="宋体" w:hAnsi="宋体" w:eastAsia="宋体" w:cs="宋体"/>
                <w:bCs/>
                <w:sz w:val="24"/>
                <w:szCs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40E6DF33">
            <w:pPr>
              <w:jc w:val="center"/>
              <w:rPr>
                <w:rFonts w:ascii="宋体" w:hAnsi="宋体" w:eastAsia="宋体" w:cs="宋体"/>
                <w:bCs/>
                <w:sz w:val="24"/>
                <w:szCs w:val="24"/>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7870EE71">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F3F9AF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125" w:type="dxa"/>
            <w:tcBorders>
              <w:top w:val="single" w:color="000000" w:sz="4" w:space="0"/>
              <w:left w:val="single" w:color="000000" w:sz="4" w:space="0"/>
              <w:bottom w:val="single" w:color="000000" w:sz="4" w:space="0"/>
              <w:right w:val="single" w:color="000000" w:sz="4" w:space="0"/>
            </w:tcBorders>
            <w:vAlign w:val="center"/>
          </w:tcPr>
          <w:p w14:paraId="6B9D1EA6">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单价</w:t>
            </w:r>
          </w:p>
          <w:p w14:paraId="72C6EDAB">
            <w:pPr>
              <w:widowControl/>
              <w:jc w:val="center"/>
              <w:textAlignment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310CF3CA">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合价（元）</w:t>
            </w:r>
          </w:p>
        </w:tc>
        <w:tc>
          <w:tcPr>
            <w:tcW w:w="734" w:type="dxa"/>
            <w:tcBorders>
              <w:top w:val="single" w:color="000000" w:sz="4" w:space="0"/>
              <w:left w:val="single" w:color="000000" w:sz="4" w:space="0"/>
              <w:bottom w:val="single" w:color="000000" w:sz="4" w:space="0"/>
              <w:right w:val="single" w:color="000000" w:sz="4" w:space="0"/>
            </w:tcBorders>
            <w:vAlign w:val="center"/>
          </w:tcPr>
          <w:p w14:paraId="4EE48B87">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累计完成量</w:t>
            </w:r>
          </w:p>
        </w:tc>
        <w:tc>
          <w:tcPr>
            <w:tcW w:w="534" w:type="dxa"/>
            <w:tcBorders>
              <w:top w:val="single" w:color="000000" w:sz="4" w:space="0"/>
              <w:left w:val="single" w:color="000000" w:sz="4" w:space="0"/>
              <w:bottom w:val="single" w:color="000000" w:sz="4" w:space="0"/>
              <w:right w:val="single" w:color="000000" w:sz="4" w:space="0"/>
            </w:tcBorders>
            <w:vAlign w:val="center"/>
          </w:tcPr>
          <w:p w14:paraId="2B998912">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66" w:type="dxa"/>
            <w:tcBorders>
              <w:top w:val="single" w:color="000000" w:sz="4" w:space="0"/>
              <w:left w:val="single" w:color="000000" w:sz="4" w:space="0"/>
              <w:bottom w:val="single" w:color="000000" w:sz="4" w:space="0"/>
              <w:right w:val="single" w:color="000000" w:sz="4" w:space="0"/>
            </w:tcBorders>
            <w:vAlign w:val="center"/>
          </w:tcPr>
          <w:p w14:paraId="4A28A42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1067" w:type="dxa"/>
            <w:tcBorders>
              <w:top w:val="single" w:color="000000" w:sz="4" w:space="0"/>
              <w:left w:val="single" w:color="000000" w:sz="4" w:space="0"/>
              <w:bottom w:val="single" w:color="000000" w:sz="4" w:space="0"/>
              <w:right w:val="single" w:color="000000" w:sz="4" w:space="0"/>
            </w:tcBorders>
            <w:vAlign w:val="center"/>
          </w:tcPr>
          <w:p w14:paraId="259CC941">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1033" w:type="dxa"/>
            <w:tcBorders>
              <w:top w:val="single" w:color="000000" w:sz="4" w:space="0"/>
              <w:left w:val="single" w:color="000000" w:sz="4" w:space="0"/>
              <w:bottom w:val="single" w:color="000000" w:sz="4" w:space="0"/>
              <w:right w:val="single" w:color="000000" w:sz="4" w:space="0"/>
            </w:tcBorders>
            <w:vAlign w:val="center"/>
          </w:tcPr>
          <w:p w14:paraId="7637B24A">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734" w:type="dxa"/>
            <w:tcBorders>
              <w:top w:val="single" w:color="000000" w:sz="4" w:space="0"/>
              <w:left w:val="single" w:color="000000" w:sz="4" w:space="0"/>
              <w:bottom w:val="single" w:color="000000" w:sz="4" w:space="0"/>
              <w:right w:val="single" w:color="000000" w:sz="4" w:space="0"/>
            </w:tcBorders>
            <w:vAlign w:val="center"/>
          </w:tcPr>
          <w:p w14:paraId="4632C35E">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工作量</w:t>
            </w:r>
          </w:p>
        </w:tc>
        <w:tc>
          <w:tcPr>
            <w:tcW w:w="900" w:type="dxa"/>
            <w:tcBorders>
              <w:top w:val="single" w:color="000000" w:sz="4" w:space="0"/>
              <w:left w:val="single" w:color="000000" w:sz="4" w:space="0"/>
              <w:bottom w:val="single" w:color="000000" w:sz="4" w:space="0"/>
              <w:right w:val="single" w:color="000000" w:sz="4" w:space="0"/>
            </w:tcBorders>
            <w:vAlign w:val="center"/>
          </w:tcPr>
          <w:p w14:paraId="2A1FC609">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886" w:type="dxa"/>
            <w:tcBorders>
              <w:top w:val="single" w:color="000000" w:sz="4" w:space="0"/>
              <w:left w:val="single" w:color="000000" w:sz="4" w:space="0"/>
              <w:bottom w:val="single" w:color="000000" w:sz="4" w:space="0"/>
              <w:right w:val="single" w:color="000000" w:sz="4" w:space="0"/>
            </w:tcBorders>
            <w:vAlign w:val="center"/>
          </w:tcPr>
          <w:p w14:paraId="03216E8D">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累计工作量</w:t>
            </w:r>
          </w:p>
        </w:tc>
        <w:tc>
          <w:tcPr>
            <w:tcW w:w="536" w:type="dxa"/>
            <w:tcBorders>
              <w:top w:val="single" w:color="000000" w:sz="4" w:space="0"/>
              <w:left w:val="single" w:color="000000" w:sz="4" w:space="0"/>
              <w:bottom w:val="single" w:color="000000" w:sz="4" w:space="0"/>
              <w:right w:val="single" w:color="000000" w:sz="4" w:space="0"/>
            </w:tcBorders>
            <w:vAlign w:val="center"/>
          </w:tcPr>
          <w:p w14:paraId="5289F5F0">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次数</w:t>
            </w:r>
          </w:p>
        </w:tc>
        <w:tc>
          <w:tcPr>
            <w:tcW w:w="885" w:type="dxa"/>
            <w:tcBorders>
              <w:top w:val="single" w:color="000000" w:sz="4" w:space="0"/>
              <w:left w:val="single" w:color="000000" w:sz="4" w:space="0"/>
              <w:bottom w:val="single" w:color="000000" w:sz="4" w:space="0"/>
              <w:right w:val="single" w:color="000000" w:sz="4" w:space="0"/>
            </w:tcBorders>
            <w:vAlign w:val="center"/>
          </w:tcPr>
          <w:p w14:paraId="547793D9">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价款（元）</w:t>
            </w:r>
          </w:p>
        </w:tc>
        <w:tc>
          <w:tcPr>
            <w:tcW w:w="427" w:type="dxa"/>
            <w:vMerge w:val="continue"/>
            <w:tcBorders>
              <w:top w:val="single" w:color="000000" w:sz="4" w:space="0"/>
              <w:left w:val="single" w:color="000000" w:sz="4" w:space="0"/>
              <w:bottom w:val="single" w:color="000000" w:sz="4" w:space="0"/>
              <w:right w:val="single" w:color="000000" w:sz="4" w:space="0"/>
            </w:tcBorders>
            <w:vAlign w:val="center"/>
          </w:tcPr>
          <w:p w14:paraId="33B91519">
            <w:pPr>
              <w:jc w:val="center"/>
              <w:rPr>
                <w:rFonts w:ascii="宋体" w:hAnsi="宋体" w:eastAsia="宋体" w:cs="宋体"/>
                <w:bCs/>
                <w:sz w:val="24"/>
                <w:szCs w:val="24"/>
              </w:rPr>
            </w:pPr>
          </w:p>
        </w:tc>
      </w:tr>
      <w:tr w14:paraId="1252EC82">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40026213">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15C1178">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4D1E086">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8424297">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8B1C082">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3E54114">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6CDBE82">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01AE7B2F">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549E1588">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496FC4B3">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1BF22B2B">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616D2C65">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EBF6C20">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8D3B96A">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4FF1AE27">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3661908">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01A30DE9">
            <w:pPr>
              <w:jc w:val="center"/>
              <w:rPr>
                <w:rFonts w:ascii="宋体" w:hAnsi="宋体" w:eastAsia="宋体" w:cs="宋体"/>
                <w:bCs/>
                <w:sz w:val="24"/>
                <w:szCs w:val="24"/>
              </w:rPr>
            </w:pPr>
          </w:p>
        </w:tc>
      </w:tr>
      <w:tr w14:paraId="1AA53F08">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38E468A1">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2933273">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4ABFCDA">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81FD8B3">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5D9164B">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2C18763D">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00E88BE">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749BD90D">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2487304E">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4E2E7AB0">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DC62451">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DF70BC8">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1D5B773">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04D4F7E">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97A1494">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691FD3A">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424FCC17">
            <w:pPr>
              <w:jc w:val="center"/>
              <w:rPr>
                <w:rFonts w:ascii="宋体" w:hAnsi="宋体" w:eastAsia="宋体" w:cs="宋体"/>
                <w:bCs/>
                <w:sz w:val="24"/>
                <w:szCs w:val="24"/>
              </w:rPr>
            </w:pPr>
          </w:p>
        </w:tc>
      </w:tr>
      <w:tr w14:paraId="1649D165">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02ACC79D">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744D583">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C58DBE6">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3DA5D65">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03CCFA3">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4EE57A96">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D62FE88">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6712E68E">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74FCF909">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177EF7E9">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0813404A">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C99B103">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3CAF41E">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7EDD2450">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51C6221B">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8EB973C">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42A9BC02">
            <w:pPr>
              <w:jc w:val="center"/>
              <w:rPr>
                <w:rFonts w:ascii="宋体" w:hAnsi="宋体" w:eastAsia="宋体" w:cs="宋体"/>
                <w:bCs/>
                <w:sz w:val="24"/>
                <w:szCs w:val="24"/>
              </w:rPr>
            </w:pPr>
          </w:p>
        </w:tc>
      </w:tr>
      <w:tr w14:paraId="4FAF1849">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69EA5A82">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229A627">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93EFCA2">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C0A9A06">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79EE717">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0BFFFDFF">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FC5B275">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6D0283EB">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26B59224">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19C10E1C">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4766EB49">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D4C3226">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3B08268">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5C62FDB2">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548C5AA5">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767C836">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31CBD353">
            <w:pPr>
              <w:jc w:val="center"/>
              <w:rPr>
                <w:rFonts w:ascii="宋体" w:hAnsi="宋体" w:eastAsia="宋体" w:cs="宋体"/>
                <w:bCs/>
                <w:sz w:val="24"/>
                <w:szCs w:val="24"/>
              </w:rPr>
            </w:pPr>
          </w:p>
        </w:tc>
      </w:tr>
      <w:tr w14:paraId="3BF48A42">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vAlign w:val="center"/>
          </w:tcPr>
          <w:p w14:paraId="6530392F">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FAC219D">
            <w:pPr>
              <w:jc w:val="center"/>
              <w:rPr>
                <w:rFonts w:ascii="宋体" w:hAnsi="宋体" w:eastAsia="宋体" w:cs="宋体"/>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56C124E">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0E0EA752">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128E52EC">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088E01FB">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A83E0F4">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2C9ECB50">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7CA3E577">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1E8CFB5">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1BA3C736">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02EB0964">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1D64ACF">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5272DB6">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6422AE3">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EFCF001">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2E0A986A">
            <w:pPr>
              <w:jc w:val="center"/>
              <w:rPr>
                <w:rFonts w:ascii="宋体" w:hAnsi="宋体" w:eastAsia="宋体" w:cs="宋体"/>
                <w:bCs/>
                <w:sz w:val="24"/>
                <w:szCs w:val="24"/>
              </w:rPr>
            </w:pPr>
          </w:p>
        </w:tc>
      </w:tr>
      <w:tr w14:paraId="5B64AB17">
        <w:tblPrEx>
          <w:tblCellMar>
            <w:top w:w="0" w:type="dxa"/>
            <w:left w:w="108" w:type="dxa"/>
            <w:bottom w:w="0" w:type="dxa"/>
            <w:right w:w="108" w:type="dxa"/>
          </w:tblCellMar>
        </w:tblPrEx>
        <w:trPr>
          <w:trHeight w:val="385" w:hRule="atLeast"/>
        </w:trPr>
        <w:tc>
          <w:tcPr>
            <w:tcW w:w="802" w:type="dxa"/>
            <w:tcBorders>
              <w:top w:val="single" w:color="000000" w:sz="4" w:space="0"/>
              <w:left w:val="single" w:color="000000" w:sz="4" w:space="0"/>
              <w:bottom w:val="single" w:color="000000" w:sz="4" w:space="0"/>
              <w:right w:val="single" w:color="000000" w:sz="4" w:space="0"/>
            </w:tcBorders>
            <w:noWrap/>
            <w:vAlign w:val="center"/>
          </w:tcPr>
          <w:p w14:paraId="47DB52AB">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4DB9370">
            <w:pPr>
              <w:jc w:val="center"/>
              <w:rPr>
                <w:rFonts w:ascii="宋体" w:hAnsi="宋体" w:eastAsia="宋体" w:cs="宋体"/>
                <w:b/>
                <w:bCs/>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74C8F1C">
            <w:pPr>
              <w:jc w:val="center"/>
              <w:rPr>
                <w:rFonts w:ascii="宋体" w:hAnsi="宋体" w:eastAsia="宋体" w:cs="宋体"/>
                <w:b/>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9799640">
            <w:pPr>
              <w:jc w:val="center"/>
              <w:rPr>
                <w:rFonts w:ascii="宋体" w:hAnsi="宋体" w:eastAsia="宋体" w:cs="宋体"/>
                <w:b/>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7C52667">
            <w:pPr>
              <w:jc w:val="center"/>
              <w:rPr>
                <w:rFonts w:ascii="宋体" w:hAnsi="宋体" w:eastAsia="宋体" w:cs="宋体"/>
                <w:b/>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305EA4A">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7D3A9539">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46F2E0A8">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4D642522">
            <w:pPr>
              <w:jc w:val="center"/>
              <w:rPr>
                <w:rFonts w:ascii="宋体" w:hAnsi="宋体" w:eastAsia="宋体" w:cs="宋体"/>
                <w:b/>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7DBA36F4">
            <w:pPr>
              <w:jc w:val="center"/>
              <w:rPr>
                <w:rFonts w:ascii="宋体" w:hAnsi="宋体" w:eastAsia="宋体" w:cs="宋体"/>
                <w:b/>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458744CF">
            <w:pPr>
              <w:jc w:val="center"/>
              <w:rPr>
                <w:rFonts w:ascii="宋体" w:hAnsi="宋体" w:eastAsia="宋体" w:cs="宋体"/>
                <w:b/>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47A1DCD">
            <w:pPr>
              <w:jc w:val="center"/>
              <w:rPr>
                <w:rFonts w:ascii="宋体" w:hAnsi="宋体" w:eastAsia="宋体" w:cs="宋体"/>
                <w:b/>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7346265">
            <w:pPr>
              <w:jc w:val="center"/>
              <w:rPr>
                <w:rFonts w:ascii="宋体" w:hAnsi="宋体" w:eastAsia="宋体" w:cs="宋体"/>
                <w:b/>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15ED7A67">
            <w:pPr>
              <w:jc w:val="center"/>
              <w:rPr>
                <w:rFonts w:ascii="宋体" w:hAnsi="宋体" w:eastAsia="宋体" w:cs="宋体"/>
                <w:b/>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277934D9">
            <w:pPr>
              <w:jc w:val="center"/>
              <w:rPr>
                <w:rFonts w:ascii="宋体" w:hAnsi="宋体" w:eastAsia="宋体" w:cs="宋体"/>
                <w:b/>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E190FF7">
            <w:pPr>
              <w:jc w:val="center"/>
              <w:rPr>
                <w:rFonts w:ascii="宋体" w:hAnsi="宋体" w:eastAsia="宋体" w:cs="宋体"/>
                <w:b/>
                <w:bCs/>
                <w:sz w:val="24"/>
                <w:szCs w:val="24"/>
              </w:rPr>
            </w:pPr>
          </w:p>
        </w:tc>
        <w:tc>
          <w:tcPr>
            <w:tcW w:w="427" w:type="dxa"/>
            <w:tcBorders>
              <w:top w:val="single" w:color="000000" w:sz="4" w:space="0"/>
              <w:left w:val="single" w:color="000000" w:sz="4" w:space="0"/>
              <w:bottom w:val="single" w:color="000000" w:sz="4" w:space="0"/>
              <w:right w:val="single" w:color="000000" w:sz="4" w:space="0"/>
            </w:tcBorders>
            <w:vAlign w:val="center"/>
          </w:tcPr>
          <w:p w14:paraId="30D18CC4">
            <w:pPr>
              <w:jc w:val="center"/>
              <w:rPr>
                <w:rFonts w:ascii="宋体" w:hAnsi="宋体" w:eastAsia="宋体" w:cs="宋体"/>
                <w:b/>
                <w:bCs/>
                <w:sz w:val="24"/>
                <w:szCs w:val="24"/>
              </w:rPr>
            </w:pPr>
          </w:p>
        </w:tc>
      </w:tr>
      <w:tr w14:paraId="660B9514">
        <w:tblPrEx>
          <w:tblCellMar>
            <w:top w:w="0" w:type="dxa"/>
            <w:left w:w="108" w:type="dxa"/>
            <w:bottom w:w="0" w:type="dxa"/>
            <w:right w:w="108" w:type="dxa"/>
          </w:tblCellMar>
        </w:tblPrEx>
        <w:trPr>
          <w:trHeight w:val="385" w:hRule="atLeast"/>
        </w:trPr>
        <w:tc>
          <w:tcPr>
            <w:tcW w:w="1567" w:type="dxa"/>
            <w:gridSpan w:val="2"/>
            <w:tcBorders>
              <w:top w:val="single" w:color="000000" w:sz="4" w:space="0"/>
              <w:left w:val="single" w:color="000000" w:sz="4" w:space="0"/>
              <w:bottom w:val="single" w:color="000000" w:sz="4" w:space="0"/>
              <w:right w:val="single" w:color="000000" w:sz="4" w:space="0"/>
            </w:tcBorders>
            <w:vAlign w:val="center"/>
          </w:tcPr>
          <w:p w14:paraId="06B4537E">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合计</w:t>
            </w:r>
          </w:p>
        </w:tc>
        <w:tc>
          <w:tcPr>
            <w:tcW w:w="795" w:type="dxa"/>
            <w:tcBorders>
              <w:top w:val="single" w:color="000000" w:sz="4" w:space="0"/>
              <w:left w:val="single" w:color="000000" w:sz="4" w:space="0"/>
              <w:bottom w:val="single" w:color="000000" w:sz="4" w:space="0"/>
              <w:right w:val="single" w:color="000000" w:sz="4" w:space="0"/>
            </w:tcBorders>
            <w:vAlign w:val="center"/>
          </w:tcPr>
          <w:p w14:paraId="544E55E2">
            <w:pPr>
              <w:jc w:val="center"/>
              <w:rPr>
                <w:rFonts w:ascii="宋体" w:hAnsi="宋体" w:eastAsia="宋体" w:cs="宋体"/>
                <w:bCs/>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596B6BD">
            <w:pPr>
              <w:jc w:val="center"/>
              <w:rPr>
                <w:rFonts w:ascii="宋体" w:hAnsi="宋体" w:eastAsia="宋体" w:cs="宋体"/>
                <w:bCs/>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46E9EB2">
            <w:pPr>
              <w:jc w:val="center"/>
              <w:rPr>
                <w:rFonts w:ascii="宋体" w:hAnsi="宋体" w:eastAsia="宋体" w:cs="宋体"/>
                <w:bCs/>
                <w:sz w:val="24"/>
                <w:szCs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6DAC5C9A">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451A7955">
            <w:pPr>
              <w:jc w:val="center"/>
              <w:rPr>
                <w:rFonts w:ascii="宋体" w:hAnsi="宋体" w:eastAsia="宋体" w:cs="宋体"/>
                <w:bCs/>
                <w:sz w:val="24"/>
                <w:szCs w:val="24"/>
              </w:rPr>
            </w:pPr>
          </w:p>
        </w:tc>
        <w:tc>
          <w:tcPr>
            <w:tcW w:w="534" w:type="dxa"/>
            <w:tcBorders>
              <w:top w:val="single" w:color="000000" w:sz="4" w:space="0"/>
              <w:left w:val="single" w:color="000000" w:sz="4" w:space="0"/>
              <w:bottom w:val="single" w:color="000000" w:sz="4" w:space="0"/>
              <w:right w:val="single" w:color="000000" w:sz="4" w:space="0"/>
            </w:tcBorders>
            <w:vAlign w:val="center"/>
          </w:tcPr>
          <w:p w14:paraId="7CD036C5">
            <w:pPr>
              <w:jc w:val="center"/>
              <w:rPr>
                <w:rFonts w:ascii="宋体" w:hAnsi="宋体" w:eastAsia="宋体" w:cs="宋体"/>
                <w:bCs/>
                <w:sz w:val="24"/>
                <w:szCs w:val="24"/>
              </w:rPr>
            </w:pPr>
          </w:p>
        </w:tc>
        <w:tc>
          <w:tcPr>
            <w:tcW w:w="866" w:type="dxa"/>
            <w:tcBorders>
              <w:top w:val="single" w:color="000000" w:sz="4" w:space="0"/>
              <w:left w:val="single" w:color="000000" w:sz="4" w:space="0"/>
              <w:bottom w:val="single" w:color="000000" w:sz="4" w:space="0"/>
              <w:right w:val="single" w:color="000000" w:sz="4" w:space="0"/>
            </w:tcBorders>
            <w:vAlign w:val="center"/>
          </w:tcPr>
          <w:p w14:paraId="706F47A0">
            <w:pPr>
              <w:jc w:val="center"/>
              <w:rPr>
                <w:rFonts w:ascii="宋体" w:hAnsi="宋体" w:eastAsia="宋体" w:cs="宋体"/>
                <w:bCs/>
                <w:sz w:val="24"/>
                <w:szCs w:val="24"/>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1C86839E">
            <w:pPr>
              <w:jc w:val="center"/>
              <w:rPr>
                <w:rFonts w:ascii="宋体" w:hAnsi="宋体" w:eastAsia="宋体" w:cs="宋体"/>
                <w:bCs/>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624E67D3">
            <w:pPr>
              <w:jc w:val="center"/>
              <w:rPr>
                <w:rFonts w:ascii="宋体" w:hAnsi="宋体" w:eastAsia="宋体" w:cs="宋体"/>
                <w:bCs/>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5BDC2771">
            <w:pPr>
              <w:jc w:val="center"/>
              <w:rPr>
                <w:rFonts w:ascii="宋体" w:hAnsi="宋体" w:eastAsia="宋体" w:cs="宋体"/>
                <w:bCs/>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29D3C63">
            <w:pPr>
              <w:jc w:val="center"/>
              <w:rPr>
                <w:rFonts w:ascii="宋体" w:hAnsi="宋体" w:eastAsia="宋体" w:cs="宋体"/>
                <w:bCs/>
                <w:sz w:val="24"/>
                <w:szCs w:val="24"/>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4714BF73">
            <w:pPr>
              <w:jc w:val="center"/>
              <w:rPr>
                <w:rFonts w:ascii="宋体" w:hAnsi="宋体" w:eastAsia="宋体" w:cs="宋体"/>
                <w:bCs/>
                <w:sz w:val="24"/>
                <w:szCs w:val="24"/>
              </w:rPr>
            </w:pPr>
          </w:p>
        </w:tc>
        <w:tc>
          <w:tcPr>
            <w:tcW w:w="536" w:type="dxa"/>
            <w:tcBorders>
              <w:top w:val="single" w:color="000000" w:sz="4" w:space="0"/>
              <w:left w:val="single" w:color="000000" w:sz="4" w:space="0"/>
              <w:bottom w:val="single" w:color="000000" w:sz="4" w:space="0"/>
              <w:right w:val="single" w:color="000000" w:sz="4" w:space="0"/>
            </w:tcBorders>
            <w:vAlign w:val="center"/>
          </w:tcPr>
          <w:p w14:paraId="0A15B8FA">
            <w:pPr>
              <w:jc w:val="center"/>
              <w:rPr>
                <w:rFonts w:ascii="宋体" w:hAnsi="宋体" w:eastAsia="宋体" w:cs="宋体"/>
                <w:bCs/>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0AC7E22">
            <w:pPr>
              <w:jc w:val="center"/>
              <w:rPr>
                <w:rFonts w:ascii="宋体" w:hAnsi="宋体" w:eastAsia="宋体" w:cs="宋体"/>
                <w:bCs/>
                <w:sz w:val="24"/>
                <w:szCs w:val="24"/>
              </w:rPr>
            </w:pPr>
          </w:p>
        </w:tc>
        <w:tc>
          <w:tcPr>
            <w:tcW w:w="427" w:type="dxa"/>
            <w:tcBorders>
              <w:top w:val="single" w:color="000000" w:sz="4" w:space="0"/>
              <w:left w:val="single" w:color="000000" w:sz="4" w:space="0"/>
              <w:bottom w:val="single" w:color="000000" w:sz="4" w:space="0"/>
              <w:right w:val="single" w:color="000000" w:sz="4" w:space="0"/>
            </w:tcBorders>
            <w:noWrap/>
            <w:vAlign w:val="center"/>
          </w:tcPr>
          <w:p w14:paraId="35BAB6D0">
            <w:pPr>
              <w:jc w:val="center"/>
              <w:rPr>
                <w:rFonts w:ascii="宋体" w:hAnsi="宋体" w:eastAsia="宋体" w:cs="宋体"/>
                <w:bCs/>
                <w:sz w:val="24"/>
                <w:szCs w:val="24"/>
              </w:rPr>
            </w:pPr>
          </w:p>
        </w:tc>
      </w:tr>
      <w:tr w14:paraId="221E42BD">
        <w:tblPrEx>
          <w:tblCellMar>
            <w:top w:w="0" w:type="dxa"/>
            <w:left w:w="108" w:type="dxa"/>
            <w:bottom w:w="0" w:type="dxa"/>
            <w:right w:w="108" w:type="dxa"/>
          </w:tblCellMar>
        </w:tblPrEx>
        <w:trPr>
          <w:trHeight w:val="680" w:hRule="atLeast"/>
        </w:trPr>
        <w:tc>
          <w:tcPr>
            <w:tcW w:w="7091" w:type="dxa"/>
            <w:gridSpan w:val="9"/>
            <w:tcBorders>
              <w:top w:val="nil"/>
              <w:left w:val="nil"/>
              <w:bottom w:val="nil"/>
              <w:right w:val="nil"/>
            </w:tcBorders>
            <w:vAlign w:val="center"/>
          </w:tcPr>
          <w:p w14:paraId="5AE540EB">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承包单位（盖章）:</w:t>
            </w:r>
          </w:p>
        </w:tc>
        <w:tc>
          <w:tcPr>
            <w:tcW w:w="6468" w:type="dxa"/>
            <w:gridSpan w:val="8"/>
            <w:tcBorders>
              <w:top w:val="nil"/>
              <w:left w:val="nil"/>
              <w:bottom w:val="nil"/>
              <w:right w:val="nil"/>
            </w:tcBorders>
            <w:vAlign w:val="center"/>
          </w:tcPr>
          <w:p w14:paraId="618D54DB">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xxx（盖章）：</w:t>
            </w:r>
          </w:p>
        </w:tc>
      </w:tr>
      <w:tr w14:paraId="5927B44C">
        <w:tblPrEx>
          <w:tblCellMar>
            <w:top w:w="0" w:type="dxa"/>
            <w:left w:w="108" w:type="dxa"/>
            <w:bottom w:w="0" w:type="dxa"/>
            <w:right w:w="108" w:type="dxa"/>
          </w:tblCellMar>
        </w:tblPrEx>
        <w:trPr>
          <w:trHeight w:val="486" w:hRule="atLeast"/>
        </w:trPr>
        <w:tc>
          <w:tcPr>
            <w:tcW w:w="7091" w:type="dxa"/>
            <w:gridSpan w:val="9"/>
            <w:vMerge w:val="restart"/>
            <w:tcBorders>
              <w:top w:val="nil"/>
              <w:left w:val="nil"/>
              <w:bottom w:val="nil"/>
              <w:right w:val="nil"/>
            </w:tcBorders>
            <w:vAlign w:val="center"/>
          </w:tcPr>
          <w:p w14:paraId="1579A45C">
            <w:pPr>
              <w:widowControl/>
              <w:jc w:val="left"/>
              <w:textAlignment w:val="center"/>
              <w:rPr>
                <w:rFonts w:ascii="宋体" w:hAnsi="宋体" w:eastAsia="宋体" w:cs="宋体"/>
                <w:bCs/>
                <w:sz w:val="24"/>
                <w:szCs w:val="24"/>
              </w:rPr>
            </w:pPr>
            <w:r>
              <w:rPr>
                <w:rFonts w:hint="eastAsia" w:ascii="宋体" w:hAnsi="宋体" w:eastAsia="宋体" w:cs="宋体"/>
                <w:bCs/>
                <w:kern w:val="0"/>
                <w:sz w:val="24"/>
                <w:szCs w:val="24"/>
                <w:lang w:bidi="ar"/>
              </w:rPr>
              <w:t>项目负责人（签字）:</w:t>
            </w:r>
          </w:p>
        </w:tc>
        <w:tc>
          <w:tcPr>
            <w:tcW w:w="6468" w:type="dxa"/>
            <w:gridSpan w:val="8"/>
            <w:vMerge w:val="restart"/>
            <w:tcBorders>
              <w:top w:val="nil"/>
              <w:left w:val="nil"/>
              <w:bottom w:val="nil"/>
              <w:right w:val="nil"/>
            </w:tcBorders>
            <w:vAlign w:val="center"/>
          </w:tcPr>
          <w:p w14:paraId="49968F32">
            <w:pPr>
              <w:widowControl/>
              <w:textAlignment w:val="center"/>
              <w:rPr>
                <w:rFonts w:ascii="宋体" w:hAnsi="宋体" w:eastAsia="宋体" w:cs="宋体"/>
                <w:bCs/>
                <w:kern w:val="0"/>
                <w:sz w:val="24"/>
                <w:szCs w:val="24"/>
                <w:lang w:bidi="ar"/>
              </w:rPr>
            </w:pPr>
            <w:r>
              <w:rPr>
                <w:rFonts w:hint="eastAsia" w:ascii="宋体" w:hAnsi="宋体" w:eastAsia="宋体" w:cs="宋体"/>
                <w:bCs/>
                <w:kern w:val="0"/>
                <w:sz w:val="24"/>
                <w:szCs w:val="24"/>
                <w:lang w:bidi="ar"/>
              </w:rPr>
              <w:t>经办人：</w:t>
            </w:r>
          </w:p>
          <w:p w14:paraId="61F21F88">
            <w:pPr>
              <w:pStyle w:val="10"/>
              <w:rPr>
                <w:rFonts w:hAnsi="宋体" w:eastAsia="宋体" w:cs="宋体"/>
                <w:sz w:val="24"/>
                <w:szCs w:val="24"/>
              </w:rPr>
            </w:pPr>
          </w:p>
          <w:p w14:paraId="1615C0F4">
            <w:pPr>
              <w:widowControl/>
              <w:textAlignment w:val="center"/>
              <w:rPr>
                <w:rFonts w:ascii="宋体" w:hAnsi="宋体" w:eastAsia="宋体" w:cs="宋体"/>
                <w:bCs/>
                <w:sz w:val="24"/>
                <w:szCs w:val="24"/>
              </w:rPr>
            </w:pPr>
            <w:r>
              <w:rPr>
                <w:rFonts w:hint="eastAsia" w:ascii="宋体" w:hAnsi="宋体" w:eastAsia="宋体" w:cs="宋体"/>
                <w:bCs/>
                <w:kern w:val="0"/>
                <w:sz w:val="24"/>
                <w:szCs w:val="24"/>
                <w:lang w:bidi="ar"/>
              </w:rPr>
              <w:t>负责人（签字）：</w:t>
            </w:r>
          </w:p>
        </w:tc>
      </w:tr>
      <w:tr w14:paraId="70D93E6F">
        <w:tblPrEx>
          <w:tblCellMar>
            <w:top w:w="0" w:type="dxa"/>
            <w:left w:w="108" w:type="dxa"/>
            <w:bottom w:w="0" w:type="dxa"/>
            <w:right w:w="108" w:type="dxa"/>
          </w:tblCellMar>
        </w:tblPrEx>
        <w:trPr>
          <w:trHeight w:val="624" w:hRule="atLeast"/>
        </w:trPr>
        <w:tc>
          <w:tcPr>
            <w:tcW w:w="7091" w:type="dxa"/>
            <w:gridSpan w:val="9"/>
            <w:vMerge w:val="continue"/>
            <w:tcBorders>
              <w:top w:val="nil"/>
              <w:left w:val="nil"/>
              <w:bottom w:val="nil"/>
              <w:right w:val="nil"/>
            </w:tcBorders>
            <w:vAlign w:val="center"/>
          </w:tcPr>
          <w:p w14:paraId="45347E2D">
            <w:pPr>
              <w:jc w:val="left"/>
              <w:rPr>
                <w:rFonts w:ascii="宋体" w:hAnsi="宋体" w:eastAsia="宋体" w:cs="宋体"/>
                <w:bCs/>
                <w:sz w:val="24"/>
                <w:szCs w:val="24"/>
              </w:rPr>
            </w:pPr>
          </w:p>
        </w:tc>
        <w:tc>
          <w:tcPr>
            <w:tcW w:w="6468" w:type="dxa"/>
            <w:gridSpan w:val="8"/>
            <w:vMerge w:val="continue"/>
            <w:tcBorders>
              <w:top w:val="nil"/>
              <w:left w:val="nil"/>
              <w:bottom w:val="nil"/>
              <w:right w:val="nil"/>
            </w:tcBorders>
            <w:vAlign w:val="center"/>
          </w:tcPr>
          <w:p w14:paraId="59F9658A">
            <w:pPr>
              <w:jc w:val="center"/>
              <w:rPr>
                <w:rFonts w:ascii="宋体" w:hAnsi="宋体" w:eastAsia="宋体" w:cs="宋体"/>
                <w:bCs/>
                <w:sz w:val="24"/>
                <w:szCs w:val="24"/>
              </w:rPr>
            </w:pPr>
          </w:p>
        </w:tc>
      </w:tr>
    </w:tbl>
    <w:p w14:paraId="2EE0F18A">
      <w:pPr>
        <w:pStyle w:val="7"/>
        <w:ind w:firstLine="0"/>
        <w:jc w:val="center"/>
        <w:rPr>
          <w:rFonts w:hAnsi="宋体" w:cs="宋体"/>
          <w:szCs w:val="24"/>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1440" w:bottom="1797" w:left="1440" w:header="851" w:footer="992" w:gutter="0"/>
          <w:pgNumType w:fmt="decimal"/>
          <w:cols w:space="720" w:num="1"/>
          <w:docGrid w:type="lines" w:linePitch="312" w:charSpace="0"/>
        </w:sectPr>
      </w:pPr>
    </w:p>
    <w:p w14:paraId="5837D2E2">
      <w:pPr>
        <w:widowControl/>
        <w:shd w:val="clear" w:color="auto" w:fill="FFFFFF"/>
        <w:adjustRightInd w:val="0"/>
        <w:snapToGrid w:val="0"/>
        <w:spacing w:line="560" w:lineRule="exact"/>
        <w:ind w:firstLine="640"/>
        <w:rPr>
          <w:rFonts w:ascii="宋体" w:hAnsi="宋体" w:eastAsia="宋体" w:cs="宋体"/>
          <w:sz w:val="24"/>
          <w:szCs w:val="24"/>
        </w:rPr>
      </w:pPr>
      <w:r>
        <w:rPr>
          <w:rFonts w:hint="eastAsia" w:ascii="宋体" w:hAnsi="宋体" w:eastAsia="宋体" w:cs="宋体"/>
          <w:sz w:val="24"/>
          <w:szCs w:val="24"/>
        </w:rPr>
        <w:t>（3）年度验收要求</w:t>
      </w:r>
    </w:p>
    <w:p w14:paraId="6803F595">
      <w:pPr>
        <w:spacing w:line="560" w:lineRule="exact"/>
        <w:ind w:firstLine="64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p>
    <w:p w14:paraId="666E09CF">
      <w:pPr>
        <w:adjustRightInd w:val="0"/>
        <w:jc w:val="center"/>
        <w:textAlignment w:val="baseline"/>
        <w:rPr>
          <w:rFonts w:ascii="宋体" w:hAnsi="宋体" w:eastAsia="宋体" w:cs="宋体"/>
          <w:b/>
          <w:bCs/>
          <w:kern w:val="0"/>
          <w:sz w:val="24"/>
          <w:szCs w:val="24"/>
        </w:rPr>
      </w:pPr>
      <w:r>
        <w:rPr>
          <w:rFonts w:hint="eastAsia" w:ascii="宋体" w:hAnsi="宋体" w:eastAsia="宋体" w:cs="宋体"/>
          <w:bCs/>
          <w:kern w:val="0"/>
          <w:sz w:val="24"/>
          <w:szCs w:val="24"/>
        </w:rPr>
        <w:br w:type="page"/>
      </w:r>
      <w:r>
        <w:rPr>
          <w:rFonts w:hint="eastAsia" w:ascii="宋体" w:hAnsi="宋体" w:eastAsia="宋体" w:cs="宋体"/>
          <w:b/>
          <w:bCs/>
          <w:kern w:val="0"/>
          <w:sz w:val="24"/>
          <w:szCs w:val="24"/>
        </w:rPr>
        <w:t>××××××项目</w:t>
      </w:r>
    </w:p>
    <w:p w14:paraId="35F1DA95">
      <w:pPr>
        <w:adjustRightInd w:val="0"/>
        <w:spacing w:line="720" w:lineRule="auto"/>
        <w:jc w:val="center"/>
        <w:textAlignment w:val="baseline"/>
        <w:rPr>
          <w:rFonts w:ascii="宋体" w:hAnsi="宋体" w:eastAsia="宋体" w:cs="宋体"/>
          <w:b/>
          <w:bCs/>
          <w:kern w:val="0"/>
          <w:sz w:val="24"/>
          <w:szCs w:val="24"/>
        </w:rPr>
      </w:pPr>
      <w:bookmarkStart w:id="57" w:name="_Toc25243"/>
      <w:bookmarkStart w:id="58" w:name="_Toc4689_WPSOffice_Level2"/>
      <w:bookmarkStart w:id="59" w:name="_Toc21053_WPSOffice_Level2"/>
    </w:p>
    <w:p w14:paraId="3F220CC4">
      <w:pPr>
        <w:adjustRightInd w:val="0"/>
        <w:spacing w:line="720" w:lineRule="auto"/>
        <w:jc w:val="center"/>
        <w:textAlignment w:val="baseline"/>
        <w:rPr>
          <w:rFonts w:ascii="宋体" w:hAnsi="宋体" w:eastAsia="宋体" w:cs="宋体"/>
          <w:b/>
          <w:bCs/>
          <w:kern w:val="0"/>
          <w:sz w:val="24"/>
          <w:szCs w:val="24"/>
        </w:rPr>
      </w:pPr>
      <w:bookmarkStart w:id="60" w:name="_Toc70347464"/>
      <w:r>
        <w:rPr>
          <w:rFonts w:hint="eastAsia" w:ascii="宋体" w:hAnsi="宋体" w:eastAsia="宋体" w:cs="宋体"/>
          <w:b/>
          <w:bCs/>
          <w:kern w:val="0"/>
          <w:sz w:val="24"/>
          <w:szCs w:val="24"/>
        </w:rPr>
        <w:t>养护年度验收鉴定书</w:t>
      </w:r>
      <w:bookmarkEnd w:id="57"/>
      <w:bookmarkEnd w:id="58"/>
      <w:bookmarkEnd w:id="59"/>
      <w:bookmarkEnd w:id="60"/>
    </w:p>
    <w:p w14:paraId="4E32738E">
      <w:pPr>
        <w:adjustRightInd w:val="0"/>
        <w:ind w:firstLine="1440"/>
        <w:jc w:val="center"/>
        <w:textAlignment w:val="baseline"/>
        <w:rPr>
          <w:rFonts w:ascii="宋体" w:hAnsi="宋体" w:eastAsia="宋体" w:cs="宋体"/>
          <w:bCs/>
          <w:kern w:val="0"/>
          <w:sz w:val="24"/>
          <w:szCs w:val="24"/>
        </w:rPr>
      </w:pPr>
    </w:p>
    <w:p w14:paraId="5341E6CF">
      <w:pPr>
        <w:adjustRightInd w:val="0"/>
        <w:ind w:firstLine="880"/>
        <w:jc w:val="center"/>
        <w:textAlignment w:val="baseline"/>
        <w:rPr>
          <w:rFonts w:ascii="宋体" w:hAnsi="宋体" w:eastAsia="宋体" w:cs="宋体"/>
          <w:bCs/>
          <w:kern w:val="0"/>
          <w:sz w:val="24"/>
          <w:szCs w:val="24"/>
        </w:rPr>
      </w:pPr>
    </w:p>
    <w:p w14:paraId="05E28204">
      <w:pPr>
        <w:adjustRightInd w:val="0"/>
        <w:ind w:firstLine="880"/>
        <w:jc w:val="center"/>
        <w:textAlignment w:val="baseline"/>
        <w:rPr>
          <w:rFonts w:ascii="宋体" w:hAnsi="宋体" w:eastAsia="宋体" w:cs="宋体"/>
          <w:bCs/>
          <w:kern w:val="0"/>
          <w:sz w:val="24"/>
          <w:szCs w:val="24"/>
        </w:rPr>
      </w:pPr>
    </w:p>
    <w:p w14:paraId="187BF820">
      <w:pPr>
        <w:adjustRightInd w:val="0"/>
        <w:ind w:firstLine="880"/>
        <w:jc w:val="center"/>
        <w:textAlignment w:val="baseline"/>
        <w:rPr>
          <w:rFonts w:ascii="宋体" w:hAnsi="宋体" w:eastAsia="宋体" w:cs="宋体"/>
          <w:bCs/>
          <w:kern w:val="0"/>
          <w:sz w:val="24"/>
          <w:szCs w:val="24"/>
        </w:rPr>
      </w:pPr>
    </w:p>
    <w:p w14:paraId="1580BB06">
      <w:pPr>
        <w:adjustRightInd w:val="0"/>
        <w:ind w:firstLine="880"/>
        <w:jc w:val="center"/>
        <w:textAlignment w:val="baseline"/>
        <w:rPr>
          <w:rFonts w:ascii="宋体" w:hAnsi="宋体" w:eastAsia="宋体" w:cs="宋体"/>
          <w:bCs/>
          <w:kern w:val="0"/>
          <w:sz w:val="24"/>
          <w:szCs w:val="24"/>
        </w:rPr>
      </w:pPr>
    </w:p>
    <w:p w14:paraId="58419C31">
      <w:pPr>
        <w:adjustRightInd w:val="0"/>
        <w:ind w:firstLine="880"/>
        <w:textAlignment w:val="baseline"/>
        <w:rPr>
          <w:rFonts w:ascii="宋体" w:hAnsi="宋体" w:eastAsia="宋体" w:cs="宋体"/>
          <w:bCs/>
          <w:kern w:val="0"/>
          <w:sz w:val="24"/>
          <w:szCs w:val="24"/>
        </w:rPr>
      </w:pPr>
    </w:p>
    <w:p w14:paraId="1D3ED917">
      <w:pPr>
        <w:adjustRightInd w:val="0"/>
        <w:ind w:firstLine="480"/>
        <w:jc w:val="center"/>
        <w:textAlignment w:val="baseline"/>
        <w:rPr>
          <w:rFonts w:ascii="宋体" w:hAnsi="宋体" w:eastAsia="宋体" w:cs="宋体"/>
          <w:bCs/>
          <w:kern w:val="0"/>
          <w:sz w:val="24"/>
          <w:szCs w:val="24"/>
        </w:rPr>
      </w:pPr>
    </w:p>
    <w:p w14:paraId="3E815E7B">
      <w:pPr>
        <w:adjustRightInd w:val="0"/>
        <w:ind w:firstLine="480"/>
        <w:jc w:val="center"/>
        <w:textAlignment w:val="baseline"/>
        <w:rPr>
          <w:rFonts w:ascii="宋体" w:hAnsi="宋体" w:eastAsia="宋体" w:cs="宋体"/>
          <w:bCs/>
          <w:kern w:val="0"/>
          <w:sz w:val="24"/>
          <w:szCs w:val="24"/>
        </w:rPr>
      </w:pPr>
    </w:p>
    <w:p w14:paraId="6C8BA1EF">
      <w:pPr>
        <w:adjustRightInd w:val="0"/>
        <w:ind w:firstLine="480"/>
        <w:jc w:val="center"/>
        <w:textAlignment w:val="baseline"/>
        <w:rPr>
          <w:rFonts w:ascii="宋体" w:hAnsi="宋体" w:eastAsia="宋体" w:cs="宋体"/>
          <w:bCs/>
          <w:kern w:val="0"/>
          <w:sz w:val="24"/>
          <w:szCs w:val="24"/>
        </w:rPr>
      </w:pPr>
    </w:p>
    <w:p w14:paraId="1451C0A4">
      <w:pPr>
        <w:adjustRightInd w:val="0"/>
        <w:ind w:firstLine="480"/>
        <w:jc w:val="center"/>
        <w:textAlignment w:val="baseline"/>
        <w:rPr>
          <w:rFonts w:ascii="宋体" w:hAnsi="宋体" w:eastAsia="宋体" w:cs="宋体"/>
          <w:bCs/>
          <w:kern w:val="0"/>
          <w:sz w:val="24"/>
          <w:szCs w:val="24"/>
        </w:rPr>
      </w:pPr>
    </w:p>
    <w:p w14:paraId="3ABFB28C">
      <w:pPr>
        <w:adjustRightInd w:val="0"/>
        <w:ind w:firstLine="720"/>
        <w:jc w:val="center"/>
        <w:textAlignment w:val="baseline"/>
        <w:rPr>
          <w:rFonts w:ascii="宋体" w:hAnsi="宋体" w:eastAsia="宋体" w:cs="宋体"/>
          <w:bCs/>
          <w:kern w:val="0"/>
          <w:sz w:val="24"/>
          <w:szCs w:val="24"/>
        </w:rPr>
      </w:pPr>
    </w:p>
    <w:p w14:paraId="34FA0AB5">
      <w:pPr>
        <w:adjustRightInd w:val="0"/>
        <w:ind w:firstLine="723"/>
        <w:jc w:val="center"/>
        <w:textAlignment w:val="baseline"/>
        <w:rPr>
          <w:rFonts w:ascii="宋体" w:hAnsi="宋体" w:eastAsia="宋体" w:cs="宋体"/>
          <w:bCs/>
          <w:kern w:val="0"/>
          <w:sz w:val="24"/>
          <w:szCs w:val="24"/>
        </w:rPr>
      </w:pPr>
      <w:bookmarkStart w:id="61" w:name="_Toc26442_WPSOffice_Level2"/>
      <w:bookmarkStart w:id="62" w:name="_Toc31178_WPSOffice_Level2"/>
      <w:r>
        <w:rPr>
          <w:rFonts w:hint="eastAsia" w:ascii="宋体" w:hAnsi="宋体" w:eastAsia="宋体" w:cs="宋体"/>
          <w:b/>
          <w:bCs/>
          <w:kern w:val="0"/>
          <w:sz w:val="24"/>
          <w:szCs w:val="24"/>
        </w:rPr>
        <w:t>××××××项目养护验收工作组</w:t>
      </w:r>
      <w:bookmarkEnd w:id="61"/>
      <w:bookmarkEnd w:id="62"/>
    </w:p>
    <w:p w14:paraId="29363FA9">
      <w:pPr>
        <w:ind w:firstLine="723"/>
        <w:jc w:val="center"/>
        <w:rPr>
          <w:rFonts w:ascii="宋体" w:hAnsi="宋体" w:eastAsia="宋体" w:cs="宋体"/>
          <w:b/>
          <w:bCs/>
          <w:sz w:val="24"/>
          <w:szCs w:val="24"/>
        </w:rPr>
      </w:pPr>
      <w:bookmarkStart w:id="63" w:name="_Toc12562_WPSOffice_Level2"/>
      <w:bookmarkStart w:id="64" w:name="_Toc24197_WPSOffice_Level2"/>
      <w:r>
        <w:rPr>
          <w:rFonts w:hint="eastAsia" w:ascii="宋体" w:hAnsi="宋体" w:eastAsia="宋体" w:cs="宋体"/>
          <w:b/>
          <w:bCs/>
          <w:sz w:val="24"/>
          <w:szCs w:val="24"/>
        </w:rPr>
        <w:t>二○××年××月××日</w:t>
      </w:r>
      <w:bookmarkEnd w:id="63"/>
      <w:bookmarkEnd w:id="64"/>
    </w:p>
    <w:p w14:paraId="66CED27B">
      <w:pPr>
        <w:adjustRightInd w:val="0"/>
        <w:ind w:firstLine="600"/>
        <w:jc w:val="center"/>
        <w:textAlignment w:val="baseline"/>
        <w:rPr>
          <w:rFonts w:ascii="宋体" w:hAnsi="宋体" w:eastAsia="宋体" w:cs="宋体"/>
          <w:bCs/>
          <w:kern w:val="0"/>
          <w:sz w:val="24"/>
          <w:szCs w:val="24"/>
        </w:rPr>
      </w:pPr>
    </w:p>
    <w:p w14:paraId="296F5F70">
      <w:pPr>
        <w:adjustRightInd w:val="0"/>
        <w:ind w:firstLine="600"/>
        <w:jc w:val="center"/>
        <w:textAlignment w:val="baseline"/>
        <w:rPr>
          <w:rFonts w:ascii="宋体" w:hAnsi="宋体" w:eastAsia="宋体" w:cs="宋体"/>
          <w:bCs/>
          <w:kern w:val="0"/>
          <w:sz w:val="24"/>
          <w:szCs w:val="24"/>
        </w:rPr>
      </w:pPr>
    </w:p>
    <w:p w14:paraId="1A1F00B7">
      <w:pPr>
        <w:adjustRightInd w:val="0"/>
        <w:spacing w:line="360" w:lineRule="auto"/>
        <w:ind w:firstLine="600"/>
        <w:textAlignment w:val="baseline"/>
        <w:rPr>
          <w:rFonts w:ascii="宋体" w:hAnsi="宋体" w:eastAsia="宋体" w:cs="宋体"/>
          <w:bCs/>
          <w:kern w:val="0"/>
          <w:sz w:val="24"/>
          <w:szCs w:val="24"/>
        </w:rPr>
      </w:pPr>
    </w:p>
    <w:p w14:paraId="1924F267">
      <w:pPr>
        <w:adjustRightInd w:val="0"/>
        <w:spacing w:line="360" w:lineRule="auto"/>
        <w:ind w:firstLine="460" w:firstLineChars="192"/>
        <w:textAlignment w:val="baseline"/>
        <w:rPr>
          <w:rFonts w:ascii="宋体" w:hAnsi="宋体" w:eastAsia="宋体" w:cs="宋体"/>
          <w:bCs/>
          <w:kern w:val="0"/>
          <w:sz w:val="24"/>
          <w:szCs w:val="24"/>
        </w:rPr>
      </w:pPr>
    </w:p>
    <w:p w14:paraId="12E867D5">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br w:type="page"/>
      </w:r>
    </w:p>
    <w:p w14:paraId="5C7D9332">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养护验收单位：</w:t>
      </w:r>
    </w:p>
    <w:p w14:paraId="1EA82C71">
      <w:pPr>
        <w:adjustRightInd w:val="0"/>
        <w:spacing w:line="360" w:lineRule="auto"/>
        <w:ind w:firstLine="600"/>
        <w:textAlignment w:val="baseline"/>
        <w:rPr>
          <w:rFonts w:ascii="宋体" w:hAnsi="宋体" w:eastAsia="宋体" w:cs="宋体"/>
          <w:bCs/>
          <w:kern w:val="0"/>
          <w:sz w:val="24"/>
          <w:szCs w:val="24"/>
        </w:rPr>
      </w:pPr>
    </w:p>
    <w:p w14:paraId="2CB59761">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养护单位：</w:t>
      </w:r>
    </w:p>
    <w:p w14:paraId="2055EFD5">
      <w:pPr>
        <w:adjustRightInd w:val="0"/>
        <w:spacing w:line="360" w:lineRule="auto"/>
        <w:ind w:firstLine="460" w:firstLineChars="192"/>
        <w:textAlignment w:val="baseline"/>
        <w:rPr>
          <w:rFonts w:ascii="宋体" w:hAnsi="宋体" w:eastAsia="宋体" w:cs="宋体"/>
          <w:bCs/>
          <w:kern w:val="0"/>
          <w:sz w:val="24"/>
          <w:szCs w:val="24"/>
        </w:rPr>
      </w:pPr>
    </w:p>
    <w:p w14:paraId="49CA945C">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验收时间： ××年××月××日</w:t>
      </w:r>
    </w:p>
    <w:p w14:paraId="3FA35C66">
      <w:pPr>
        <w:adjustRightInd w:val="0"/>
        <w:spacing w:line="360" w:lineRule="auto"/>
        <w:ind w:firstLine="460" w:firstLineChars="192"/>
        <w:textAlignment w:val="baseline"/>
        <w:rPr>
          <w:rFonts w:ascii="宋体" w:hAnsi="宋体" w:eastAsia="宋体" w:cs="宋体"/>
          <w:bCs/>
          <w:kern w:val="0"/>
          <w:sz w:val="24"/>
          <w:szCs w:val="24"/>
        </w:rPr>
      </w:pPr>
    </w:p>
    <w:p w14:paraId="660AEB1A">
      <w:pPr>
        <w:adjustRightInd w:val="0"/>
        <w:spacing w:line="360" w:lineRule="auto"/>
        <w:ind w:firstLine="460" w:firstLineChars="192"/>
        <w:textAlignment w:val="baseline"/>
        <w:rPr>
          <w:rFonts w:ascii="宋体" w:hAnsi="宋体" w:eastAsia="宋体" w:cs="宋体"/>
          <w:bCs/>
          <w:kern w:val="0"/>
          <w:sz w:val="24"/>
          <w:szCs w:val="24"/>
        </w:rPr>
      </w:pPr>
      <w:r>
        <w:rPr>
          <w:rFonts w:hint="eastAsia" w:ascii="宋体" w:hAnsi="宋体" w:eastAsia="宋体" w:cs="宋体"/>
          <w:bCs/>
          <w:kern w:val="0"/>
          <w:sz w:val="24"/>
          <w:szCs w:val="24"/>
        </w:rPr>
        <w:t>验收地点：</w:t>
      </w:r>
    </w:p>
    <w:p w14:paraId="549627FF">
      <w:pPr>
        <w:spacing w:line="360" w:lineRule="auto"/>
        <w:ind w:firstLine="600"/>
        <w:jc w:val="center"/>
        <w:rPr>
          <w:rFonts w:ascii="宋体" w:hAnsi="宋体" w:eastAsia="宋体" w:cs="宋体"/>
          <w:bCs/>
          <w:sz w:val="24"/>
          <w:szCs w:val="24"/>
        </w:rPr>
      </w:pPr>
    </w:p>
    <w:p w14:paraId="33573425">
      <w:pPr>
        <w:spacing w:line="360" w:lineRule="auto"/>
        <w:ind w:firstLine="600"/>
        <w:jc w:val="center"/>
        <w:rPr>
          <w:rFonts w:ascii="宋体" w:hAnsi="宋体" w:eastAsia="宋体" w:cs="宋体"/>
          <w:bCs/>
          <w:sz w:val="24"/>
          <w:szCs w:val="24"/>
        </w:rPr>
      </w:pPr>
    </w:p>
    <w:p w14:paraId="1F1294B3">
      <w:pPr>
        <w:spacing w:line="360" w:lineRule="auto"/>
        <w:ind w:firstLine="600"/>
        <w:jc w:val="center"/>
        <w:rPr>
          <w:rFonts w:ascii="宋体" w:hAnsi="宋体" w:eastAsia="宋体" w:cs="宋体"/>
          <w:bCs/>
          <w:sz w:val="24"/>
          <w:szCs w:val="24"/>
        </w:rPr>
      </w:pPr>
    </w:p>
    <w:p w14:paraId="37BE7FA5">
      <w:pPr>
        <w:spacing w:line="360" w:lineRule="auto"/>
        <w:ind w:firstLine="883"/>
        <w:rPr>
          <w:rFonts w:ascii="宋体" w:hAnsi="宋体" w:eastAsia="宋体" w:cs="宋体"/>
          <w:b/>
          <w:bCs/>
          <w:sz w:val="24"/>
          <w:szCs w:val="24"/>
        </w:rPr>
      </w:pPr>
    </w:p>
    <w:p w14:paraId="1EBB455E">
      <w:pPr>
        <w:ind w:firstLine="883"/>
        <w:rPr>
          <w:rFonts w:ascii="宋体" w:hAnsi="宋体" w:eastAsia="宋体" w:cs="宋体"/>
          <w:b/>
          <w:bCs/>
          <w:sz w:val="24"/>
          <w:szCs w:val="24"/>
        </w:rPr>
      </w:pPr>
    </w:p>
    <w:p w14:paraId="726E9004">
      <w:pPr>
        <w:ind w:firstLine="883"/>
        <w:rPr>
          <w:rFonts w:ascii="宋体" w:hAnsi="宋体" w:eastAsia="宋体" w:cs="宋体"/>
          <w:b/>
          <w:bCs/>
          <w:sz w:val="24"/>
          <w:szCs w:val="24"/>
        </w:rPr>
      </w:pPr>
    </w:p>
    <w:p w14:paraId="7F7AD979">
      <w:pPr>
        <w:ind w:firstLine="883"/>
        <w:rPr>
          <w:rFonts w:ascii="宋体" w:hAnsi="宋体" w:eastAsia="宋体" w:cs="宋体"/>
          <w:b/>
          <w:bCs/>
          <w:sz w:val="24"/>
          <w:szCs w:val="24"/>
        </w:rPr>
      </w:pPr>
    </w:p>
    <w:p w14:paraId="2F030D22">
      <w:pPr>
        <w:ind w:firstLine="883"/>
        <w:rPr>
          <w:rFonts w:ascii="宋体" w:hAnsi="宋体" w:eastAsia="宋体" w:cs="宋体"/>
          <w:b/>
          <w:bCs/>
          <w:sz w:val="24"/>
          <w:szCs w:val="24"/>
        </w:rPr>
      </w:pPr>
    </w:p>
    <w:p w14:paraId="05A1E7BB">
      <w:pPr>
        <w:ind w:firstLine="883"/>
        <w:rPr>
          <w:rFonts w:ascii="宋体" w:hAnsi="宋体" w:eastAsia="宋体" w:cs="宋体"/>
          <w:b/>
          <w:bCs/>
          <w:sz w:val="24"/>
          <w:szCs w:val="24"/>
        </w:rPr>
      </w:pPr>
    </w:p>
    <w:p w14:paraId="22C52D52">
      <w:pPr>
        <w:ind w:firstLine="643"/>
        <w:rPr>
          <w:rFonts w:ascii="宋体" w:hAnsi="宋体" w:eastAsia="宋体" w:cs="宋体"/>
          <w:b/>
          <w:bCs/>
          <w:sz w:val="24"/>
          <w:szCs w:val="24"/>
        </w:rPr>
      </w:pPr>
    </w:p>
    <w:p w14:paraId="142CCF0A">
      <w:pPr>
        <w:ind w:firstLine="480"/>
        <w:rPr>
          <w:rFonts w:ascii="宋体" w:hAnsi="宋体" w:eastAsia="宋体" w:cs="宋体"/>
          <w:bCs/>
          <w:sz w:val="24"/>
          <w:szCs w:val="24"/>
        </w:rPr>
      </w:pPr>
    </w:p>
    <w:p w14:paraId="4053EDD4">
      <w:pPr>
        <w:widowControl/>
        <w:ind w:firstLine="880"/>
        <w:jc w:val="left"/>
        <w:rPr>
          <w:rFonts w:ascii="宋体" w:hAnsi="宋体" w:eastAsia="宋体" w:cs="宋体"/>
          <w:bCs/>
          <w:sz w:val="24"/>
          <w:szCs w:val="24"/>
        </w:rPr>
      </w:pPr>
      <w:bookmarkStart w:id="65" w:name="_Toc32069_WPSOffice_Level1"/>
      <w:bookmarkStart w:id="66" w:name="_Toc20_WPSOffice_Level1"/>
      <w:bookmarkStart w:id="67" w:name="_Toc5203"/>
      <w:r>
        <w:rPr>
          <w:rFonts w:hint="eastAsia" w:ascii="宋体" w:hAnsi="宋体" w:eastAsia="宋体" w:cs="宋体"/>
          <w:bCs/>
          <w:sz w:val="24"/>
          <w:szCs w:val="24"/>
        </w:rPr>
        <w:br w:type="page"/>
      </w:r>
    </w:p>
    <w:p w14:paraId="4F5A827D">
      <w:pPr>
        <w:adjustRightInd w:val="0"/>
        <w:snapToGrid w:val="0"/>
        <w:ind w:right="210" w:rightChars="100"/>
        <w:jc w:val="center"/>
        <w:rPr>
          <w:rFonts w:ascii="宋体" w:hAnsi="宋体" w:eastAsia="宋体" w:cs="宋体"/>
          <w:bCs/>
          <w:sz w:val="24"/>
          <w:szCs w:val="24"/>
        </w:rPr>
      </w:pPr>
      <w:r>
        <w:rPr>
          <w:rFonts w:hint="eastAsia" w:ascii="宋体" w:hAnsi="宋体" w:eastAsia="宋体" w:cs="宋体"/>
          <w:bCs/>
          <w:sz w:val="24"/>
          <w:szCs w:val="24"/>
        </w:rPr>
        <w:t>××××××××项目验收</w:t>
      </w:r>
      <w:bookmarkEnd w:id="65"/>
      <w:bookmarkEnd w:id="66"/>
      <w:bookmarkEnd w:id="67"/>
    </w:p>
    <w:p w14:paraId="299C39A1">
      <w:pPr>
        <w:adjustRightInd w:val="0"/>
        <w:snapToGrid w:val="0"/>
        <w:ind w:right="210" w:rightChars="100"/>
        <w:jc w:val="center"/>
        <w:rPr>
          <w:rFonts w:ascii="宋体" w:hAnsi="宋体" w:eastAsia="宋体" w:cs="宋体"/>
          <w:bCs/>
          <w:sz w:val="24"/>
          <w:szCs w:val="24"/>
        </w:rPr>
      </w:pPr>
      <w:bookmarkStart w:id="68" w:name="_Toc537_WPSOffice_Level1"/>
      <w:bookmarkStart w:id="69" w:name="_Toc7394_WPSOffice_Level1"/>
      <w:bookmarkStart w:id="70" w:name="_Toc14439"/>
      <w:r>
        <w:rPr>
          <w:rFonts w:hint="eastAsia" w:ascii="宋体" w:hAnsi="宋体" w:eastAsia="宋体" w:cs="宋体"/>
          <w:bCs/>
          <w:sz w:val="24"/>
          <w:szCs w:val="24"/>
        </w:rPr>
        <w:t>鉴  定  书</w:t>
      </w:r>
      <w:bookmarkEnd w:id="68"/>
      <w:bookmarkEnd w:id="69"/>
      <w:bookmarkEnd w:id="70"/>
    </w:p>
    <w:p w14:paraId="212AE2ED">
      <w:pPr>
        <w:adjustRightInd w:val="0"/>
        <w:snapToGrid w:val="0"/>
        <w:spacing w:after="120"/>
        <w:ind w:right="210" w:rightChars="100" w:firstLine="600"/>
        <w:jc w:val="left"/>
        <w:rPr>
          <w:rFonts w:ascii="宋体" w:hAnsi="宋体" w:eastAsia="宋体" w:cs="宋体"/>
          <w:bCs/>
          <w:sz w:val="24"/>
          <w:szCs w:val="24"/>
        </w:rPr>
      </w:pPr>
      <w:bookmarkStart w:id="71" w:name="_Toc5554_WPSOffice_Level1"/>
      <w:bookmarkStart w:id="72" w:name="_Toc4879_WPSOffice_Level1"/>
    </w:p>
    <w:bookmarkEnd w:id="71"/>
    <w:bookmarkEnd w:id="72"/>
    <w:p w14:paraId="420595B7">
      <w:pPr>
        <w:ind w:right="210" w:rightChars="100" w:firstLine="640"/>
        <w:rPr>
          <w:rFonts w:ascii="宋体" w:hAnsi="宋体" w:eastAsia="宋体" w:cs="宋体"/>
          <w:bCs/>
          <w:sz w:val="24"/>
          <w:szCs w:val="24"/>
        </w:rPr>
      </w:pPr>
      <w:r>
        <w:rPr>
          <w:rFonts w:hint="eastAsia" w:ascii="宋体" w:hAnsi="宋体" w:eastAsia="宋体" w:cs="宋体"/>
          <w:bCs/>
          <w:sz w:val="24"/>
          <w:szCs w:val="24"/>
        </w:rPr>
        <w:t>20××年××月××日， ××（单位）主持召开了XX项目养护年度验收会议，参加会议的有XXXX管理局、XXXX公司等有关单位的代表，并组成验收工作组。验收工作组通过查看项目现场、听取有关单位汇报、查阅项目资料等方式，了解项目实施及完成情况，进行了充分讨论，形成以下鉴定意见。</w:t>
      </w:r>
    </w:p>
    <w:p w14:paraId="6BF33911">
      <w:pPr>
        <w:ind w:firstLine="640"/>
        <w:rPr>
          <w:rFonts w:ascii="宋体" w:hAnsi="宋体" w:eastAsia="宋体" w:cs="宋体"/>
          <w:bCs/>
          <w:sz w:val="24"/>
          <w:szCs w:val="24"/>
        </w:rPr>
      </w:pPr>
      <w:bookmarkStart w:id="73" w:name="_Toc323"/>
      <w:bookmarkStart w:id="74" w:name="_Toc16398_WPSOffice_Level1"/>
      <w:bookmarkStart w:id="75" w:name="_Toc24827_WPSOffice_Level1"/>
      <w:r>
        <w:rPr>
          <w:rFonts w:hint="eastAsia" w:ascii="宋体" w:hAnsi="宋体" w:eastAsia="宋体" w:cs="宋体"/>
          <w:bCs/>
          <w:sz w:val="24"/>
          <w:szCs w:val="24"/>
        </w:rPr>
        <w:t>一、项目概况</w:t>
      </w:r>
      <w:bookmarkEnd w:id="73"/>
      <w:bookmarkEnd w:id="74"/>
      <w:bookmarkEnd w:id="75"/>
    </w:p>
    <w:p w14:paraId="709783F9">
      <w:pPr>
        <w:ind w:right="210" w:rightChars="100" w:firstLine="643"/>
        <w:rPr>
          <w:rFonts w:ascii="宋体" w:hAnsi="宋体" w:eastAsia="宋体" w:cs="宋体"/>
          <w:b/>
          <w:bCs/>
          <w:sz w:val="24"/>
          <w:szCs w:val="24"/>
        </w:rPr>
      </w:pPr>
      <w:bookmarkStart w:id="76" w:name="_Toc603_WPSOffice_Level2"/>
      <w:bookmarkStart w:id="77" w:name="_Toc16299"/>
      <w:bookmarkStart w:id="78" w:name="_Toc26059_WPSOffice_Level2"/>
      <w:r>
        <w:rPr>
          <w:rFonts w:hint="eastAsia" w:ascii="宋体" w:hAnsi="宋体" w:eastAsia="宋体" w:cs="宋体"/>
          <w:b/>
          <w:bCs/>
          <w:sz w:val="24"/>
          <w:szCs w:val="24"/>
        </w:rPr>
        <w:t>（一）项目名称及位置</w:t>
      </w:r>
      <w:bookmarkEnd w:id="76"/>
      <w:bookmarkEnd w:id="77"/>
      <w:bookmarkEnd w:id="78"/>
    </w:p>
    <w:p w14:paraId="0C3F9B8E">
      <w:pPr>
        <w:adjustRightInd w:val="0"/>
        <w:ind w:right="210" w:rightChars="100" w:firstLine="640"/>
        <w:rPr>
          <w:rFonts w:ascii="宋体" w:hAnsi="宋体" w:eastAsia="宋体" w:cs="宋体"/>
          <w:bCs/>
          <w:kern w:val="0"/>
          <w:sz w:val="24"/>
          <w:szCs w:val="24"/>
        </w:rPr>
      </w:pPr>
      <w:bookmarkStart w:id="79" w:name="_Toc31186_WPSOffice_Level3"/>
      <w:bookmarkStart w:id="80" w:name="_Toc27005_WPSOffice_Level3"/>
      <w:r>
        <w:rPr>
          <w:rFonts w:hint="eastAsia" w:ascii="宋体" w:hAnsi="宋体" w:eastAsia="宋体" w:cs="宋体"/>
          <w:bCs/>
          <w:kern w:val="0"/>
          <w:sz w:val="24"/>
          <w:szCs w:val="24"/>
        </w:rPr>
        <w:t>1、项目名称：</w:t>
      </w:r>
      <w:bookmarkEnd w:id="79"/>
      <w:bookmarkEnd w:id="80"/>
    </w:p>
    <w:p w14:paraId="19556CB7">
      <w:pPr>
        <w:ind w:right="210" w:rightChars="100" w:firstLine="640"/>
        <w:rPr>
          <w:rFonts w:ascii="宋体" w:hAnsi="宋体" w:eastAsia="宋体" w:cs="宋体"/>
          <w:bCs/>
          <w:sz w:val="24"/>
          <w:szCs w:val="24"/>
        </w:rPr>
      </w:pPr>
      <w:bookmarkStart w:id="81" w:name="_Toc8608_WPSOffice_Level3"/>
      <w:bookmarkStart w:id="82" w:name="_Toc31116_WPSOffice_Level3"/>
      <w:r>
        <w:rPr>
          <w:rFonts w:hint="eastAsia" w:ascii="宋体" w:hAnsi="宋体" w:eastAsia="宋体" w:cs="宋体"/>
          <w:bCs/>
          <w:sz w:val="24"/>
          <w:szCs w:val="24"/>
        </w:rPr>
        <w:t>2、位    置：</w:t>
      </w:r>
      <w:bookmarkEnd w:id="81"/>
      <w:bookmarkEnd w:id="82"/>
    </w:p>
    <w:p w14:paraId="04FA9C80">
      <w:pPr>
        <w:ind w:right="210" w:rightChars="100" w:firstLine="643"/>
        <w:rPr>
          <w:rFonts w:ascii="宋体" w:hAnsi="宋体" w:eastAsia="宋体" w:cs="宋体"/>
          <w:b/>
          <w:bCs/>
          <w:sz w:val="24"/>
          <w:szCs w:val="24"/>
        </w:rPr>
      </w:pPr>
      <w:bookmarkStart w:id="83" w:name="_Toc13369_WPSOffice_Level2"/>
      <w:bookmarkStart w:id="84" w:name="_Toc7882"/>
      <w:bookmarkStart w:id="85" w:name="_Toc3296_WPSOffice_Level2"/>
      <w:r>
        <w:rPr>
          <w:rFonts w:hint="eastAsia" w:ascii="宋体" w:hAnsi="宋体" w:eastAsia="宋体" w:cs="宋体"/>
          <w:b/>
          <w:bCs/>
          <w:sz w:val="24"/>
          <w:szCs w:val="24"/>
        </w:rPr>
        <w:t>（二）项目主要实施内容</w:t>
      </w:r>
      <w:bookmarkEnd w:id="83"/>
      <w:bookmarkEnd w:id="84"/>
      <w:bookmarkEnd w:id="85"/>
    </w:p>
    <w:p w14:paraId="6751BBD9">
      <w:pPr>
        <w:ind w:right="210" w:rightChars="100" w:firstLine="640"/>
        <w:rPr>
          <w:rFonts w:ascii="宋体" w:hAnsi="宋体" w:eastAsia="宋体" w:cs="宋体"/>
          <w:bCs/>
          <w:sz w:val="24"/>
          <w:szCs w:val="24"/>
        </w:rPr>
      </w:pPr>
      <w:bookmarkStart w:id="86" w:name="_Toc31954_WPSOffice_Level3"/>
      <w:bookmarkStart w:id="87" w:name="_Toc27356_WPSOffice_Level3"/>
      <w:r>
        <w:rPr>
          <w:rFonts w:hint="eastAsia" w:ascii="宋体" w:hAnsi="宋体" w:eastAsia="宋体" w:cs="宋体"/>
          <w:bCs/>
          <w:sz w:val="24"/>
          <w:szCs w:val="24"/>
        </w:rPr>
        <w:t>简要叙述项目主要实施内容</w:t>
      </w:r>
      <w:bookmarkEnd w:id="86"/>
      <w:bookmarkEnd w:id="87"/>
      <w:r>
        <w:rPr>
          <w:rFonts w:hint="eastAsia" w:ascii="宋体" w:hAnsi="宋体" w:eastAsia="宋体" w:cs="宋体"/>
          <w:bCs/>
          <w:sz w:val="24"/>
          <w:szCs w:val="24"/>
        </w:rPr>
        <w:t>，合同养护工作量、合同签订情况</w:t>
      </w:r>
    </w:p>
    <w:p w14:paraId="2BD79FBE">
      <w:pPr>
        <w:ind w:right="210" w:rightChars="100" w:firstLine="643"/>
        <w:rPr>
          <w:rFonts w:ascii="宋体" w:hAnsi="宋体" w:eastAsia="宋体" w:cs="宋体"/>
          <w:b/>
          <w:bCs/>
          <w:sz w:val="24"/>
          <w:szCs w:val="24"/>
        </w:rPr>
      </w:pPr>
      <w:bookmarkStart w:id="88" w:name="_Toc30747"/>
      <w:bookmarkStart w:id="89" w:name="_Toc2324_WPSOffice_Level2"/>
      <w:bookmarkStart w:id="90" w:name="_Toc22704_WPSOffice_Level2"/>
      <w:r>
        <w:rPr>
          <w:rFonts w:hint="eastAsia" w:ascii="宋体" w:hAnsi="宋体" w:eastAsia="宋体" w:cs="宋体"/>
          <w:b/>
          <w:bCs/>
          <w:sz w:val="24"/>
          <w:szCs w:val="24"/>
        </w:rPr>
        <w:t>（三）项目建设过程</w:t>
      </w:r>
      <w:bookmarkEnd w:id="88"/>
      <w:bookmarkEnd w:id="89"/>
      <w:bookmarkEnd w:id="90"/>
    </w:p>
    <w:p w14:paraId="3BE16E12">
      <w:pPr>
        <w:ind w:right="210" w:rightChars="100" w:firstLine="640"/>
        <w:rPr>
          <w:rFonts w:ascii="宋体" w:hAnsi="宋体" w:eastAsia="宋体" w:cs="宋体"/>
          <w:bCs/>
          <w:sz w:val="24"/>
          <w:szCs w:val="24"/>
        </w:rPr>
      </w:pPr>
      <w:r>
        <w:rPr>
          <w:rFonts w:hint="eastAsia" w:ascii="宋体" w:hAnsi="宋体" w:eastAsia="宋体" w:cs="宋体"/>
          <w:bCs/>
          <w:sz w:val="24"/>
          <w:szCs w:val="24"/>
        </w:rPr>
        <w:t>简述项目开始、结束日期，主要关键节点完成时间和养护主要过程；工期提前或延误情况说明等。</w:t>
      </w:r>
    </w:p>
    <w:p w14:paraId="083A7292">
      <w:pPr>
        <w:ind w:right="210" w:rightChars="100" w:firstLine="640"/>
        <w:rPr>
          <w:rFonts w:ascii="宋体" w:hAnsi="宋体" w:eastAsia="宋体" w:cs="宋体"/>
          <w:bCs/>
          <w:sz w:val="24"/>
          <w:szCs w:val="24"/>
        </w:rPr>
      </w:pPr>
      <w:bookmarkStart w:id="91" w:name="_Toc27290_WPSOffice_Level1"/>
      <w:bookmarkStart w:id="92" w:name="_Toc30476"/>
      <w:bookmarkStart w:id="93" w:name="_Toc26595_WPSOffice_Level1"/>
      <w:r>
        <w:rPr>
          <w:rFonts w:hint="eastAsia" w:ascii="宋体" w:hAnsi="宋体" w:eastAsia="宋体" w:cs="宋体"/>
          <w:bCs/>
          <w:sz w:val="24"/>
          <w:szCs w:val="24"/>
        </w:rPr>
        <w:t>二、验收范围</w:t>
      </w:r>
      <w:bookmarkEnd w:id="91"/>
      <w:bookmarkEnd w:id="92"/>
      <w:bookmarkEnd w:id="93"/>
    </w:p>
    <w:p w14:paraId="686B4E48">
      <w:pPr>
        <w:ind w:right="210" w:rightChars="100" w:firstLine="640"/>
        <w:rPr>
          <w:rFonts w:ascii="宋体" w:hAnsi="宋体" w:eastAsia="宋体" w:cs="宋体"/>
          <w:bCs/>
          <w:sz w:val="24"/>
          <w:szCs w:val="24"/>
        </w:rPr>
      </w:pPr>
    </w:p>
    <w:p w14:paraId="3D834BA6">
      <w:pPr>
        <w:ind w:right="210" w:rightChars="100" w:firstLine="640"/>
        <w:rPr>
          <w:rFonts w:ascii="宋体" w:hAnsi="宋体" w:eastAsia="宋体" w:cs="宋体"/>
          <w:bCs/>
          <w:sz w:val="24"/>
          <w:szCs w:val="24"/>
        </w:rPr>
      </w:pPr>
      <w:bookmarkStart w:id="94" w:name="_Toc15122_WPSOffice_Level1"/>
      <w:bookmarkStart w:id="95" w:name="_Toc8908_WPSOffice_Level1"/>
      <w:bookmarkStart w:id="96" w:name="_Toc19646"/>
      <w:r>
        <w:rPr>
          <w:rFonts w:hint="eastAsia" w:ascii="宋体" w:hAnsi="宋体" w:eastAsia="宋体" w:cs="宋体"/>
          <w:bCs/>
          <w:sz w:val="24"/>
          <w:szCs w:val="24"/>
        </w:rPr>
        <w:t>三、项目完成情况和完成的主要工作量</w:t>
      </w:r>
      <w:bookmarkEnd w:id="94"/>
      <w:bookmarkEnd w:id="95"/>
      <w:bookmarkEnd w:id="96"/>
    </w:p>
    <w:p w14:paraId="02608AA0">
      <w:pPr>
        <w:ind w:right="210" w:rightChars="100" w:firstLine="640"/>
        <w:rPr>
          <w:rFonts w:ascii="宋体" w:hAnsi="宋体" w:eastAsia="宋体" w:cs="宋体"/>
          <w:bCs/>
          <w:sz w:val="24"/>
          <w:szCs w:val="24"/>
        </w:rPr>
      </w:pPr>
    </w:p>
    <w:p w14:paraId="57654516">
      <w:pPr>
        <w:ind w:right="210" w:rightChars="100" w:firstLine="640"/>
        <w:rPr>
          <w:rFonts w:ascii="宋体" w:hAnsi="宋体" w:eastAsia="宋体" w:cs="宋体"/>
          <w:bCs/>
          <w:sz w:val="24"/>
          <w:szCs w:val="24"/>
        </w:rPr>
      </w:pPr>
      <w:bookmarkStart w:id="97" w:name="_Toc11618_WPSOffice_Level1"/>
      <w:bookmarkStart w:id="98" w:name="_Toc14981"/>
      <w:bookmarkStart w:id="99" w:name="_Toc25407_WPSOffice_Level1"/>
      <w:r>
        <w:rPr>
          <w:rFonts w:hint="eastAsia" w:ascii="宋体" w:hAnsi="宋体" w:eastAsia="宋体" w:cs="宋体"/>
          <w:bCs/>
          <w:sz w:val="24"/>
          <w:szCs w:val="24"/>
        </w:rPr>
        <w:t>四、</w:t>
      </w:r>
      <w:bookmarkEnd w:id="97"/>
      <w:bookmarkEnd w:id="98"/>
      <w:bookmarkEnd w:id="99"/>
      <w:r>
        <w:rPr>
          <w:rFonts w:hint="eastAsia" w:ascii="宋体" w:hAnsi="宋体" w:eastAsia="宋体" w:cs="宋体"/>
          <w:bCs/>
          <w:sz w:val="24"/>
          <w:szCs w:val="24"/>
        </w:rPr>
        <w:t>历次养护验收情况</w:t>
      </w:r>
    </w:p>
    <w:p w14:paraId="3130614C">
      <w:pPr>
        <w:ind w:right="210" w:rightChars="100" w:firstLine="640"/>
        <w:rPr>
          <w:rFonts w:ascii="宋体" w:hAnsi="宋体" w:eastAsia="宋体" w:cs="宋体"/>
          <w:bCs/>
          <w:sz w:val="24"/>
          <w:szCs w:val="24"/>
        </w:rPr>
      </w:pPr>
      <w:bookmarkStart w:id="100" w:name="_Toc12620"/>
      <w:bookmarkStart w:id="101" w:name="_Toc9232_WPSOffice_Level1"/>
      <w:bookmarkStart w:id="102" w:name="_Toc14654_WPSOffice_Level1"/>
    </w:p>
    <w:p w14:paraId="00C4102E">
      <w:pPr>
        <w:ind w:right="210" w:rightChars="100" w:firstLine="640"/>
        <w:rPr>
          <w:rFonts w:ascii="宋体" w:hAnsi="宋体" w:eastAsia="宋体" w:cs="宋体"/>
          <w:bCs/>
          <w:sz w:val="24"/>
          <w:szCs w:val="24"/>
        </w:rPr>
      </w:pPr>
      <w:r>
        <w:rPr>
          <w:rFonts w:hint="eastAsia" w:ascii="宋体" w:hAnsi="宋体" w:eastAsia="宋体" w:cs="宋体"/>
          <w:bCs/>
          <w:sz w:val="24"/>
          <w:szCs w:val="24"/>
        </w:rPr>
        <w:t>五、遗留问题处理情况</w:t>
      </w:r>
      <w:bookmarkEnd w:id="100"/>
      <w:bookmarkEnd w:id="101"/>
      <w:bookmarkEnd w:id="102"/>
    </w:p>
    <w:p w14:paraId="0E62A61C">
      <w:pPr>
        <w:ind w:right="210" w:rightChars="100" w:firstLine="640"/>
        <w:rPr>
          <w:rFonts w:ascii="宋体" w:hAnsi="宋体" w:eastAsia="宋体" w:cs="宋体"/>
          <w:bCs/>
          <w:sz w:val="24"/>
          <w:szCs w:val="24"/>
        </w:rPr>
      </w:pPr>
    </w:p>
    <w:p w14:paraId="72E7607E">
      <w:pPr>
        <w:ind w:right="210" w:rightChars="100" w:firstLine="640"/>
        <w:rPr>
          <w:rFonts w:ascii="宋体" w:hAnsi="宋体" w:eastAsia="宋体" w:cs="宋体"/>
          <w:bCs/>
          <w:sz w:val="24"/>
          <w:szCs w:val="24"/>
        </w:rPr>
      </w:pPr>
      <w:bookmarkStart w:id="103" w:name="_Toc9870"/>
      <w:bookmarkStart w:id="104" w:name="_Toc11498_WPSOffice_Level1"/>
      <w:bookmarkStart w:id="105" w:name="_Toc28835_WPSOffice_Level1"/>
      <w:r>
        <w:rPr>
          <w:rFonts w:hint="eastAsia" w:ascii="宋体" w:hAnsi="宋体" w:eastAsia="宋体" w:cs="宋体"/>
          <w:bCs/>
          <w:sz w:val="24"/>
          <w:szCs w:val="24"/>
        </w:rPr>
        <w:t>六、存在的主要问题及处理意见</w:t>
      </w:r>
      <w:bookmarkEnd w:id="103"/>
      <w:bookmarkEnd w:id="104"/>
      <w:bookmarkEnd w:id="105"/>
    </w:p>
    <w:p w14:paraId="42B3EBF4">
      <w:pPr>
        <w:ind w:right="210" w:rightChars="100" w:firstLine="640"/>
        <w:rPr>
          <w:rFonts w:ascii="宋体" w:hAnsi="宋体" w:eastAsia="宋体" w:cs="宋体"/>
          <w:bCs/>
          <w:sz w:val="24"/>
          <w:szCs w:val="24"/>
        </w:rPr>
      </w:pPr>
    </w:p>
    <w:p w14:paraId="7C63B558">
      <w:pPr>
        <w:ind w:right="210" w:rightChars="100" w:firstLine="640"/>
        <w:rPr>
          <w:rFonts w:ascii="宋体" w:hAnsi="宋体" w:eastAsia="宋体" w:cs="宋体"/>
          <w:bCs/>
          <w:sz w:val="24"/>
          <w:szCs w:val="24"/>
        </w:rPr>
      </w:pPr>
      <w:bookmarkStart w:id="106" w:name="_Toc28539_WPSOffice_Level1"/>
      <w:bookmarkStart w:id="107" w:name="_Toc11316"/>
      <w:bookmarkStart w:id="108" w:name="_Toc31517_WPSOffice_Level1"/>
      <w:r>
        <w:rPr>
          <w:rFonts w:hint="eastAsia" w:ascii="宋体" w:hAnsi="宋体" w:eastAsia="宋体" w:cs="宋体"/>
          <w:bCs/>
          <w:sz w:val="24"/>
          <w:szCs w:val="24"/>
        </w:rPr>
        <w:t>七、意见和建议</w:t>
      </w:r>
      <w:bookmarkEnd w:id="106"/>
      <w:bookmarkEnd w:id="107"/>
      <w:bookmarkEnd w:id="108"/>
    </w:p>
    <w:p w14:paraId="44ECF6CC">
      <w:pPr>
        <w:ind w:right="210" w:rightChars="100" w:firstLine="640"/>
        <w:rPr>
          <w:rFonts w:ascii="宋体" w:hAnsi="宋体" w:eastAsia="宋体" w:cs="宋体"/>
          <w:bCs/>
          <w:sz w:val="24"/>
          <w:szCs w:val="24"/>
        </w:rPr>
      </w:pPr>
    </w:p>
    <w:p w14:paraId="5F4BAC3E">
      <w:pPr>
        <w:ind w:right="210" w:rightChars="100" w:firstLine="640"/>
        <w:rPr>
          <w:rFonts w:ascii="宋体" w:hAnsi="宋体" w:eastAsia="宋体" w:cs="宋体"/>
          <w:bCs/>
          <w:sz w:val="24"/>
          <w:szCs w:val="24"/>
        </w:rPr>
      </w:pPr>
      <w:bookmarkStart w:id="109" w:name="_Toc21615"/>
      <w:bookmarkStart w:id="110" w:name="_Toc2035_WPSOffice_Level1"/>
      <w:bookmarkStart w:id="111" w:name="_Toc20555_WPSOffice_Level1"/>
      <w:r>
        <w:rPr>
          <w:rFonts w:hint="eastAsia" w:ascii="宋体" w:hAnsi="宋体" w:eastAsia="宋体" w:cs="宋体"/>
          <w:bCs/>
          <w:sz w:val="24"/>
          <w:szCs w:val="24"/>
        </w:rPr>
        <w:t>八、结论</w:t>
      </w:r>
      <w:bookmarkEnd w:id="109"/>
      <w:bookmarkEnd w:id="110"/>
      <w:bookmarkEnd w:id="111"/>
    </w:p>
    <w:p w14:paraId="619BB814">
      <w:pPr>
        <w:ind w:right="210" w:rightChars="100" w:firstLine="640"/>
        <w:rPr>
          <w:rFonts w:ascii="宋体" w:hAnsi="宋体" w:eastAsia="宋体" w:cs="宋体"/>
          <w:bCs/>
          <w:sz w:val="24"/>
          <w:szCs w:val="24"/>
        </w:rPr>
      </w:pPr>
      <w:r>
        <w:rPr>
          <w:rFonts w:hint="eastAsia" w:ascii="宋体" w:hAnsi="宋体" w:eastAsia="宋体" w:cs="宋体"/>
          <w:bCs/>
          <w:sz w:val="24"/>
          <w:szCs w:val="24"/>
        </w:rPr>
        <w:t>验收工作组通过察看现场、听取汇报、查阅资料和充分讨论，认为本项目已按照要求完成合同全部内容，质量合格，财务管理和预算执行符合有关规定，档案资料基本齐全完整，同意通过年度验收。</w:t>
      </w:r>
    </w:p>
    <w:p w14:paraId="2D9A7B66">
      <w:pPr>
        <w:ind w:right="210" w:rightChars="100" w:firstLine="640"/>
        <w:rPr>
          <w:rFonts w:ascii="宋体" w:hAnsi="宋体" w:eastAsia="宋体" w:cs="宋体"/>
          <w:bCs/>
          <w:sz w:val="24"/>
          <w:szCs w:val="24"/>
        </w:rPr>
      </w:pPr>
      <w:bookmarkStart w:id="112" w:name="_Toc13288"/>
      <w:bookmarkStart w:id="113" w:name="_Toc28806_WPSOffice_Level1"/>
      <w:bookmarkStart w:id="114" w:name="_Toc9751_WPSOffice_Level1"/>
      <w:r>
        <w:rPr>
          <w:rFonts w:hint="eastAsia" w:ascii="宋体" w:hAnsi="宋体" w:eastAsia="宋体" w:cs="宋体"/>
          <w:bCs/>
          <w:sz w:val="24"/>
          <w:szCs w:val="24"/>
        </w:rPr>
        <w:t>九、保留意见（应有本人签字）</w:t>
      </w:r>
      <w:bookmarkEnd w:id="112"/>
      <w:bookmarkEnd w:id="113"/>
      <w:bookmarkEnd w:id="114"/>
    </w:p>
    <w:p w14:paraId="665B5CAD">
      <w:pPr>
        <w:ind w:right="210" w:rightChars="100" w:firstLine="640"/>
        <w:rPr>
          <w:rFonts w:ascii="宋体" w:hAnsi="宋体" w:eastAsia="宋体" w:cs="宋体"/>
          <w:bCs/>
          <w:sz w:val="24"/>
          <w:szCs w:val="24"/>
        </w:rPr>
      </w:pPr>
    </w:p>
    <w:p w14:paraId="09FB1959">
      <w:pPr>
        <w:ind w:right="210" w:rightChars="100" w:firstLine="640"/>
        <w:rPr>
          <w:rFonts w:ascii="宋体" w:hAnsi="宋体" w:eastAsia="宋体" w:cs="宋体"/>
          <w:bCs/>
          <w:sz w:val="24"/>
          <w:szCs w:val="24"/>
        </w:rPr>
      </w:pPr>
      <w:bookmarkStart w:id="115" w:name="_Toc30658_WPSOffice_Level1"/>
      <w:bookmarkStart w:id="116" w:name="_Toc15592_WPSOffice_Level1"/>
      <w:bookmarkStart w:id="117" w:name="_Toc16884"/>
      <w:r>
        <w:rPr>
          <w:rFonts w:hint="eastAsia" w:ascii="宋体" w:hAnsi="宋体" w:eastAsia="宋体" w:cs="宋体"/>
          <w:bCs/>
          <w:sz w:val="24"/>
          <w:szCs w:val="24"/>
        </w:rPr>
        <w:t>十、验收工作组成员签字表</w:t>
      </w:r>
      <w:bookmarkEnd w:id="115"/>
      <w:bookmarkEnd w:id="116"/>
      <w:bookmarkEnd w:id="117"/>
    </w:p>
    <w:p w14:paraId="65E6E5F3">
      <w:pPr>
        <w:ind w:firstLine="480"/>
        <w:rPr>
          <w:rFonts w:ascii="宋体" w:hAnsi="宋体" w:eastAsia="宋体" w:cs="宋体"/>
          <w:bCs/>
          <w:sz w:val="24"/>
          <w:szCs w:val="24"/>
        </w:rPr>
      </w:pPr>
      <w:bookmarkStart w:id="118" w:name="_Toc23157_WPSOffice_Level1"/>
      <w:bookmarkStart w:id="119" w:name="_Toc13211"/>
      <w:bookmarkStart w:id="120" w:name="_Toc10026_WPSOffice_Level1"/>
      <w:r>
        <w:rPr>
          <w:rFonts w:hint="eastAsia" w:ascii="宋体" w:hAnsi="宋体" w:eastAsia="宋体" w:cs="宋体"/>
          <w:bCs/>
          <w:sz w:val="24"/>
          <w:szCs w:val="24"/>
        </w:rPr>
        <w:br w:type="page"/>
      </w:r>
    </w:p>
    <w:p w14:paraId="08AC198D">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××××××项目验收工作组成员签字表</w:t>
      </w:r>
      <w:bookmarkEnd w:id="118"/>
      <w:bookmarkEnd w:id="119"/>
      <w:bookmarkEnd w:id="120"/>
    </w:p>
    <w:tbl>
      <w:tblPr>
        <w:tblStyle w:val="21"/>
        <w:tblpPr w:leftFromText="180" w:rightFromText="180" w:vertAnchor="text" w:horzAnchor="page" w:tblpXSpec="center" w:tblpY="475"/>
        <w:tblOverlap w:val="never"/>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986"/>
        <w:gridCol w:w="3245"/>
        <w:gridCol w:w="1643"/>
        <w:gridCol w:w="1682"/>
      </w:tblGrid>
      <w:tr w14:paraId="50D1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53" w:type="dxa"/>
            <w:vAlign w:val="center"/>
          </w:tcPr>
          <w:p w14:paraId="0964A21D">
            <w:pPr>
              <w:spacing w:line="380" w:lineRule="exact"/>
              <w:jc w:val="center"/>
              <w:rPr>
                <w:rFonts w:ascii="宋体" w:hAnsi="宋体" w:eastAsia="宋体" w:cs="宋体"/>
                <w:bCs/>
                <w:sz w:val="24"/>
                <w:szCs w:val="24"/>
              </w:rPr>
            </w:pPr>
            <w:r>
              <w:rPr>
                <w:rFonts w:hint="eastAsia" w:ascii="宋体" w:hAnsi="宋体" w:eastAsia="宋体" w:cs="宋体"/>
                <w:bCs/>
                <w:sz w:val="24"/>
                <w:szCs w:val="24"/>
              </w:rPr>
              <w:t>序号</w:t>
            </w:r>
          </w:p>
        </w:tc>
        <w:tc>
          <w:tcPr>
            <w:tcW w:w="986" w:type="dxa"/>
            <w:vAlign w:val="center"/>
          </w:tcPr>
          <w:p w14:paraId="7E856838">
            <w:pPr>
              <w:spacing w:line="380" w:lineRule="exact"/>
              <w:jc w:val="center"/>
              <w:rPr>
                <w:rFonts w:ascii="宋体" w:hAnsi="宋体" w:eastAsia="宋体" w:cs="宋体"/>
                <w:bCs/>
                <w:sz w:val="24"/>
                <w:szCs w:val="24"/>
              </w:rPr>
            </w:pPr>
            <w:r>
              <w:rPr>
                <w:rFonts w:hint="eastAsia" w:ascii="宋体" w:hAnsi="宋体" w:eastAsia="宋体" w:cs="宋体"/>
                <w:bCs/>
                <w:sz w:val="24"/>
                <w:szCs w:val="24"/>
              </w:rPr>
              <w:t>姓名</w:t>
            </w:r>
          </w:p>
        </w:tc>
        <w:tc>
          <w:tcPr>
            <w:tcW w:w="3245" w:type="dxa"/>
            <w:vAlign w:val="center"/>
          </w:tcPr>
          <w:p w14:paraId="0F665537">
            <w:pPr>
              <w:spacing w:line="380" w:lineRule="exact"/>
              <w:jc w:val="center"/>
              <w:rPr>
                <w:rFonts w:ascii="宋体" w:hAnsi="宋体" w:eastAsia="宋体" w:cs="宋体"/>
                <w:bCs/>
                <w:sz w:val="24"/>
                <w:szCs w:val="24"/>
              </w:rPr>
            </w:pPr>
            <w:r>
              <w:rPr>
                <w:rFonts w:hint="eastAsia" w:ascii="宋体" w:hAnsi="宋体" w:eastAsia="宋体" w:cs="宋体"/>
                <w:bCs/>
                <w:sz w:val="24"/>
                <w:szCs w:val="24"/>
              </w:rPr>
              <w:t>单位</w:t>
            </w:r>
          </w:p>
        </w:tc>
        <w:tc>
          <w:tcPr>
            <w:tcW w:w="1643" w:type="dxa"/>
            <w:vAlign w:val="center"/>
          </w:tcPr>
          <w:p w14:paraId="085A3877">
            <w:pPr>
              <w:spacing w:line="380" w:lineRule="exact"/>
              <w:jc w:val="center"/>
              <w:rPr>
                <w:rFonts w:ascii="宋体" w:hAnsi="宋体" w:eastAsia="宋体" w:cs="宋体"/>
                <w:bCs/>
                <w:sz w:val="24"/>
                <w:szCs w:val="24"/>
              </w:rPr>
            </w:pPr>
            <w:r>
              <w:rPr>
                <w:rFonts w:hint="eastAsia" w:ascii="宋体" w:hAnsi="宋体" w:eastAsia="宋体" w:cs="宋体"/>
                <w:bCs/>
                <w:sz w:val="24"/>
                <w:szCs w:val="24"/>
              </w:rPr>
              <w:t>职务/职称</w:t>
            </w:r>
          </w:p>
        </w:tc>
        <w:tc>
          <w:tcPr>
            <w:tcW w:w="1682" w:type="dxa"/>
            <w:vAlign w:val="center"/>
          </w:tcPr>
          <w:p w14:paraId="2068010C">
            <w:pPr>
              <w:spacing w:line="380" w:lineRule="exact"/>
              <w:jc w:val="center"/>
              <w:rPr>
                <w:rFonts w:ascii="宋体" w:hAnsi="宋体" w:eastAsia="宋体" w:cs="宋体"/>
                <w:bCs/>
                <w:sz w:val="24"/>
                <w:szCs w:val="24"/>
              </w:rPr>
            </w:pPr>
            <w:r>
              <w:rPr>
                <w:rFonts w:hint="eastAsia" w:ascii="宋体" w:hAnsi="宋体" w:eastAsia="宋体" w:cs="宋体"/>
                <w:bCs/>
                <w:sz w:val="24"/>
                <w:szCs w:val="24"/>
              </w:rPr>
              <w:t>签字</w:t>
            </w:r>
          </w:p>
        </w:tc>
      </w:tr>
      <w:tr w14:paraId="0665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4CA3C7F5">
            <w:pPr>
              <w:spacing w:line="38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986" w:type="dxa"/>
            <w:vAlign w:val="center"/>
          </w:tcPr>
          <w:p w14:paraId="0B3515C5">
            <w:pPr>
              <w:spacing w:line="380" w:lineRule="exact"/>
              <w:jc w:val="center"/>
              <w:rPr>
                <w:rFonts w:ascii="宋体" w:hAnsi="宋体" w:eastAsia="宋体" w:cs="宋体"/>
                <w:bCs/>
                <w:sz w:val="24"/>
                <w:szCs w:val="24"/>
              </w:rPr>
            </w:pPr>
          </w:p>
        </w:tc>
        <w:tc>
          <w:tcPr>
            <w:tcW w:w="3245" w:type="dxa"/>
            <w:vAlign w:val="center"/>
          </w:tcPr>
          <w:p w14:paraId="116EBB5F">
            <w:pPr>
              <w:spacing w:line="380" w:lineRule="exact"/>
              <w:jc w:val="center"/>
              <w:rPr>
                <w:rFonts w:ascii="宋体" w:hAnsi="宋体" w:eastAsia="宋体" w:cs="宋体"/>
                <w:bCs/>
                <w:sz w:val="24"/>
                <w:szCs w:val="24"/>
              </w:rPr>
            </w:pPr>
          </w:p>
        </w:tc>
        <w:tc>
          <w:tcPr>
            <w:tcW w:w="1643" w:type="dxa"/>
            <w:vAlign w:val="center"/>
          </w:tcPr>
          <w:p w14:paraId="009D267F">
            <w:pPr>
              <w:spacing w:line="380" w:lineRule="exact"/>
              <w:jc w:val="center"/>
              <w:rPr>
                <w:rFonts w:ascii="宋体" w:hAnsi="宋体" w:eastAsia="宋体" w:cs="宋体"/>
                <w:bCs/>
                <w:sz w:val="24"/>
                <w:szCs w:val="24"/>
              </w:rPr>
            </w:pPr>
          </w:p>
        </w:tc>
        <w:tc>
          <w:tcPr>
            <w:tcW w:w="1682" w:type="dxa"/>
            <w:vAlign w:val="center"/>
          </w:tcPr>
          <w:p w14:paraId="0DA888EA">
            <w:pPr>
              <w:spacing w:line="380" w:lineRule="exact"/>
              <w:jc w:val="center"/>
              <w:rPr>
                <w:rFonts w:ascii="宋体" w:hAnsi="宋体" w:eastAsia="宋体" w:cs="宋体"/>
                <w:bCs/>
                <w:sz w:val="24"/>
                <w:szCs w:val="24"/>
              </w:rPr>
            </w:pPr>
          </w:p>
          <w:p w14:paraId="00DEF7BA">
            <w:pPr>
              <w:spacing w:line="380" w:lineRule="exact"/>
              <w:jc w:val="center"/>
              <w:rPr>
                <w:rFonts w:ascii="宋体" w:hAnsi="宋体" w:eastAsia="宋体" w:cs="宋体"/>
                <w:bCs/>
                <w:sz w:val="24"/>
                <w:szCs w:val="24"/>
              </w:rPr>
            </w:pPr>
          </w:p>
          <w:p w14:paraId="6D434D86">
            <w:pPr>
              <w:spacing w:line="380" w:lineRule="exact"/>
              <w:jc w:val="center"/>
              <w:rPr>
                <w:rFonts w:ascii="宋体" w:hAnsi="宋体" w:eastAsia="宋体" w:cs="宋体"/>
                <w:bCs/>
                <w:sz w:val="24"/>
                <w:szCs w:val="24"/>
              </w:rPr>
            </w:pPr>
          </w:p>
        </w:tc>
      </w:tr>
      <w:tr w14:paraId="6BE2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3A63F48">
            <w:pPr>
              <w:spacing w:line="380" w:lineRule="exact"/>
              <w:jc w:val="center"/>
              <w:rPr>
                <w:rFonts w:ascii="宋体" w:hAnsi="宋体" w:eastAsia="宋体" w:cs="宋体"/>
                <w:bCs/>
                <w:sz w:val="24"/>
                <w:szCs w:val="24"/>
              </w:rPr>
            </w:pPr>
            <w:r>
              <w:rPr>
                <w:rFonts w:hint="eastAsia" w:ascii="宋体" w:hAnsi="宋体" w:eastAsia="宋体" w:cs="宋体"/>
                <w:bCs/>
                <w:sz w:val="24"/>
                <w:szCs w:val="24"/>
              </w:rPr>
              <w:t>2</w:t>
            </w:r>
          </w:p>
        </w:tc>
        <w:tc>
          <w:tcPr>
            <w:tcW w:w="986" w:type="dxa"/>
            <w:vAlign w:val="center"/>
          </w:tcPr>
          <w:p w14:paraId="2C79A572">
            <w:pPr>
              <w:spacing w:line="380" w:lineRule="exact"/>
              <w:jc w:val="center"/>
              <w:rPr>
                <w:rFonts w:ascii="宋体" w:hAnsi="宋体" w:eastAsia="宋体" w:cs="宋体"/>
                <w:bCs/>
                <w:sz w:val="24"/>
                <w:szCs w:val="24"/>
              </w:rPr>
            </w:pPr>
          </w:p>
        </w:tc>
        <w:tc>
          <w:tcPr>
            <w:tcW w:w="3245" w:type="dxa"/>
            <w:vAlign w:val="center"/>
          </w:tcPr>
          <w:p w14:paraId="028EC85D">
            <w:pPr>
              <w:spacing w:line="380" w:lineRule="exact"/>
              <w:jc w:val="center"/>
              <w:rPr>
                <w:rFonts w:ascii="宋体" w:hAnsi="宋体" w:eastAsia="宋体" w:cs="宋体"/>
                <w:bCs/>
                <w:sz w:val="24"/>
                <w:szCs w:val="24"/>
              </w:rPr>
            </w:pPr>
          </w:p>
        </w:tc>
        <w:tc>
          <w:tcPr>
            <w:tcW w:w="1643" w:type="dxa"/>
            <w:vAlign w:val="center"/>
          </w:tcPr>
          <w:p w14:paraId="65E2001B">
            <w:pPr>
              <w:spacing w:line="380" w:lineRule="exact"/>
              <w:jc w:val="center"/>
              <w:rPr>
                <w:rFonts w:ascii="宋体" w:hAnsi="宋体" w:eastAsia="宋体" w:cs="宋体"/>
                <w:bCs/>
                <w:sz w:val="24"/>
                <w:szCs w:val="24"/>
              </w:rPr>
            </w:pPr>
          </w:p>
        </w:tc>
        <w:tc>
          <w:tcPr>
            <w:tcW w:w="1682" w:type="dxa"/>
            <w:vAlign w:val="center"/>
          </w:tcPr>
          <w:p w14:paraId="0E5F3A19">
            <w:pPr>
              <w:spacing w:line="380" w:lineRule="exact"/>
              <w:jc w:val="center"/>
              <w:rPr>
                <w:rFonts w:ascii="宋体" w:hAnsi="宋体" w:eastAsia="宋体" w:cs="宋体"/>
                <w:bCs/>
                <w:sz w:val="24"/>
                <w:szCs w:val="24"/>
              </w:rPr>
            </w:pPr>
          </w:p>
        </w:tc>
      </w:tr>
      <w:tr w14:paraId="442F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3622939E">
            <w:pPr>
              <w:spacing w:line="380" w:lineRule="exact"/>
              <w:jc w:val="center"/>
              <w:rPr>
                <w:rFonts w:ascii="宋体" w:hAnsi="宋体" w:eastAsia="宋体" w:cs="宋体"/>
                <w:bCs/>
                <w:sz w:val="24"/>
                <w:szCs w:val="24"/>
              </w:rPr>
            </w:pPr>
            <w:r>
              <w:rPr>
                <w:rFonts w:hint="eastAsia" w:ascii="宋体" w:hAnsi="宋体" w:eastAsia="宋体" w:cs="宋体"/>
                <w:bCs/>
                <w:sz w:val="24"/>
                <w:szCs w:val="24"/>
              </w:rPr>
              <w:t>3</w:t>
            </w:r>
          </w:p>
        </w:tc>
        <w:tc>
          <w:tcPr>
            <w:tcW w:w="986" w:type="dxa"/>
            <w:vAlign w:val="center"/>
          </w:tcPr>
          <w:p w14:paraId="204A84BE">
            <w:pPr>
              <w:spacing w:line="380" w:lineRule="exact"/>
              <w:jc w:val="center"/>
              <w:rPr>
                <w:rFonts w:ascii="宋体" w:hAnsi="宋体" w:eastAsia="宋体" w:cs="宋体"/>
                <w:bCs/>
                <w:sz w:val="24"/>
                <w:szCs w:val="24"/>
              </w:rPr>
            </w:pPr>
          </w:p>
        </w:tc>
        <w:tc>
          <w:tcPr>
            <w:tcW w:w="3245" w:type="dxa"/>
            <w:vAlign w:val="center"/>
          </w:tcPr>
          <w:p w14:paraId="3E686070">
            <w:pPr>
              <w:spacing w:line="380" w:lineRule="exact"/>
              <w:jc w:val="center"/>
              <w:rPr>
                <w:rFonts w:ascii="宋体" w:hAnsi="宋体" w:eastAsia="宋体" w:cs="宋体"/>
                <w:bCs/>
                <w:sz w:val="24"/>
                <w:szCs w:val="24"/>
              </w:rPr>
            </w:pPr>
          </w:p>
        </w:tc>
        <w:tc>
          <w:tcPr>
            <w:tcW w:w="1643" w:type="dxa"/>
            <w:vAlign w:val="center"/>
          </w:tcPr>
          <w:p w14:paraId="2E47B639">
            <w:pPr>
              <w:spacing w:line="380" w:lineRule="exact"/>
              <w:jc w:val="center"/>
              <w:rPr>
                <w:rFonts w:ascii="宋体" w:hAnsi="宋体" w:eastAsia="宋体" w:cs="宋体"/>
                <w:bCs/>
                <w:sz w:val="24"/>
                <w:szCs w:val="24"/>
              </w:rPr>
            </w:pPr>
          </w:p>
        </w:tc>
        <w:tc>
          <w:tcPr>
            <w:tcW w:w="1682" w:type="dxa"/>
            <w:vAlign w:val="center"/>
          </w:tcPr>
          <w:p w14:paraId="767D856F">
            <w:pPr>
              <w:spacing w:line="380" w:lineRule="exact"/>
              <w:jc w:val="center"/>
              <w:rPr>
                <w:rFonts w:ascii="宋体" w:hAnsi="宋体" w:eastAsia="宋体" w:cs="宋体"/>
                <w:bCs/>
                <w:sz w:val="24"/>
                <w:szCs w:val="24"/>
              </w:rPr>
            </w:pPr>
          </w:p>
        </w:tc>
      </w:tr>
      <w:tr w14:paraId="6292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1D2D4775">
            <w:pPr>
              <w:spacing w:line="380" w:lineRule="exact"/>
              <w:jc w:val="center"/>
              <w:rPr>
                <w:rFonts w:ascii="宋体" w:hAnsi="宋体" w:eastAsia="宋体" w:cs="宋体"/>
                <w:bCs/>
                <w:sz w:val="24"/>
                <w:szCs w:val="24"/>
              </w:rPr>
            </w:pPr>
            <w:r>
              <w:rPr>
                <w:rFonts w:hint="eastAsia" w:ascii="宋体" w:hAnsi="宋体" w:eastAsia="宋体" w:cs="宋体"/>
                <w:bCs/>
                <w:sz w:val="24"/>
                <w:szCs w:val="24"/>
              </w:rPr>
              <w:t>4</w:t>
            </w:r>
          </w:p>
        </w:tc>
        <w:tc>
          <w:tcPr>
            <w:tcW w:w="986" w:type="dxa"/>
            <w:vAlign w:val="center"/>
          </w:tcPr>
          <w:p w14:paraId="13224590">
            <w:pPr>
              <w:spacing w:line="380" w:lineRule="exact"/>
              <w:jc w:val="center"/>
              <w:rPr>
                <w:rFonts w:ascii="宋体" w:hAnsi="宋体" w:eastAsia="宋体" w:cs="宋体"/>
                <w:bCs/>
                <w:sz w:val="24"/>
                <w:szCs w:val="24"/>
              </w:rPr>
            </w:pPr>
          </w:p>
        </w:tc>
        <w:tc>
          <w:tcPr>
            <w:tcW w:w="3245" w:type="dxa"/>
            <w:vAlign w:val="center"/>
          </w:tcPr>
          <w:p w14:paraId="771652FD">
            <w:pPr>
              <w:spacing w:line="380" w:lineRule="exact"/>
              <w:jc w:val="center"/>
              <w:rPr>
                <w:rFonts w:ascii="宋体" w:hAnsi="宋体" w:eastAsia="宋体" w:cs="宋体"/>
                <w:bCs/>
                <w:sz w:val="24"/>
                <w:szCs w:val="24"/>
              </w:rPr>
            </w:pPr>
          </w:p>
        </w:tc>
        <w:tc>
          <w:tcPr>
            <w:tcW w:w="1643" w:type="dxa"/>
            <w:vAlign w:val="center"/>
          </w:tcPr>
          <w:p w14:paraId="233C26A7">
            <w:pPr>
              <w:spacing w:line="380" w:lineRule="exact"/>
              <w:jc w:val="center"/>
              <w:rPr>
                <w:rFonts w:ascii="宋体" w:hAnsi="宋体" w:eastAsia="宋体" w:cs="宋体"/>
                <w:bCs/>
                <w:sz w:val="24"/>
                <w:szCs w:val="24"/>
              </w:rPr>
            </w:pPr>
          </w:p>
        </w:tc>
        <w:tc>
          <w:tcPr>
            <w:tcW w:w="1682" w:type="dxa"/>
            <w:vAlign w:val="center"/>
          </w:tcPr>
          <w:p w14:paraId="515D379D">
            <w:pPr>
              <w:spacing w:line="380" w:lineRule="exact"/>
              <w:jc w:val="center"/>
              <w:rPr>
                <w:rFonts w:ascii="宋体" w:hAnsi="宋体" w:eastAsia="宋体" w:cs="宋体"/>
                <w:bCs/>
                <w:sz w:val="24"/>
                <w:szCs w:val="24"/>
              </w:rPr>
            </w:pPr>
          </w:p>
          <w:p w14:paraId="326F1E49">
            <w:pPr>
              <w:spacing w:line="380" w:lineRule="exact"/>
              <w:jc w:val="center"/>
              <w:rPr>
                <w:rFonts w:ascii="宋体" w:hAnsi="宋体" w:eastAsia="宋体" w:cs="宋体"/>
                <w:bCs/>
                <w:sz w:val="24"/>
                <w:szCs w:val="24"/>
              </w:rPr>
            </w:pPr>
          </w:p>
          <w:p w14:paraId="2C35AE22">
            <w:pPr>
              <w:spacing w:line="380" w:lineRule="exact"/>
              <w:jc w:val="center"/>
              <w:rPr>
                <w:rFonts w:ascii="宋体" w:hAnsi="宋体" w:eastAsia="宋体" w:cs="宋体"/>
                <w:bCs/>
                <w:sz w:val="24"/>
                <w:szCs w:val="24"/>
              </w:rPr>
            </w:pPr>
          </w:p>
        </w:tc>
      </w:tr>
      <w:tr w14:paraId="07F6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2561BC8A">
            <w:pPr>
              <w:spacing w:line="380" w:lineRule="exact"/>
              <w:jc w:val="center"/>
              <w:rPr>
                <w:rFonts w:ascii="宋体" w:hAnsi="宋体" w:eastAsia="宋体" w:cs="宋体"/>
                <w:bCs/>
                <w:sz w:val="24"/>
                <w:szCs w:val="24"/>
              </w:rPr>
            </w:pPr>
            <w:r>
              <w:rPr>
                <w:rFonts w:hint="eastAsia" w:ascii="宋体" w:hAnsi="宋体" w:eastAsia="宋体" w:cs="宋体"/>
                <w:bCs/>
                <w:sz w:val="24"/>
                <w:szCs w:val="24"/>
              </w:rPr>
              <w:t>5</w:t>
            </w:r>
          </w:p>
        </w:tc>
        <w:tc>
          <w:tcPr>
            <w:tcW w:w="986" w:type="dxa"/>
            <w:vAlign w:val="center"/>
          </w:tcPr>
          <w:p w14:paraId="4862602D">
            <w:pPr>
              <w:spacing w:line="380" w:lineRule="exact"/>
              <w:jc w:val="center"/>
              <w:rPr>
                <w:rFonts w:ascii="宋体" w:hAnsi="宋体" w:eastAsia="宋体" w:cs="宋体"/>
                <w:bCs/>
                <w:sz w:val="24"/>
                <w:szCs w:val="24"/>
              </w:rPr>
            </w:pPr>
          </w:p>
        </w:tc>
        <w:tc>
          <w:tcPr>
            <w:tcW w:w="3245" w:type="dxa"/>
            <w:vAlign w:val="center"/>
          </w:tcPr>
          <w:p w14:paraId="40DEE329">
            <w:pPr>
              <w:spacing w:line="380" w:lineRule="exact"/>
              <w:jc w:val="center"/>
              <w:rPr>
                <w:rFonts w:ascii="宋体" w:hAnsi="宋体" w:eastAsia="宋体" w:cs="宋体"/>
                <w:bCs/>
                <w:sz w:val="24"/>
                <w:szCs w:val="24"/>
              </w:rPr>
            </w:pPr>
          </w:p>
        </w:tc>
        <w:tc>
          <w:tcPr>
            <w:tcW w:w="1643" w:type="dxa"/>
            <w:vAlign w:val="center"/>
          </w:tcPr>
          <w:p w14:paraId="65685057">
            <w:pPr>
              <w:spacing w:line="380" w:lineRule="exact"/>
              <w:jc w:val="center"/>
              <w:rPr>
                <w:rFonts w:ascii="宋体" w:hAnsi="宋体" w:eastAsia="宋体" w:cs="宋体"/>
                <w:bCs/>
                <w:sz w:val="24"/>
                <w:szCs w:val="24"/>
              </w:rPr>
            </w:pPr>
          </w:p>
        </w:tc>
        <w:tc>
          <w:tcPr>
            <w:tcW w:w="1682" w:type="dxa"/>
            <w:vAlign w:val="center"/>
          </w:tcPr>
          <w:p w14:paraId="182A638A">
            <w:pPr>
              <w:spacing w:line="380" w:lineRule="exact"/>
              <w:jc w:val="center"/>
              <w:rPr>
                <w:rFonts w:ascii="宋体" w:hAnsi="宋体" w:eastAsia="宋体" w:cs="宋体"/>
                <w:bCs/>
                <w:sz w:val="24"/>
                <w:szCs w:val="24"/>
              </w:rPr>
            </w:pPr>
          </w:p>
          <w:p w14:paraId="63A446B2">
            <w:pPr>
              <w:spacing w:line="380" w:lineRule="exact"/>
              <w:jc w:val="center"/>
              <w:rPr>
                <w:rFonts w:ascii="宋体" w:hAnsi="宋体" w:eastAsia="宋体" w:cs="宋体"/>
                <w:bCs/>
                <w:sz w:val="24"/>
                <w:szCs w:val="24"/>
              </w:rPr>
            </w:pPr>
          </w:p>
          <w:p w14:paraId="17DCE2BA">
            <w:pPr>
              <w:spacing w:line="380" w:lineRule="exact"/>
              <w:jc w:val="center"/>
              <w:rPr>
                <w:rFonts w:ascii="宋体" w:hAnsi="宋体" w:eastAsia="宋体" w:cs="宋体"/>
                <w:bCs/>
                <w:sz w:val="24"/>
                <w:szCs w:val="24"/>
              </w:rPr>
            </w:pPr>
          </w:p>
        </w:tc>
      </w:tr>
      <w:tr w14:paraId="2BE3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16A2B7E0">
            <w:pPr>
              <w:spacing w:line="380" w:lineRule="exact"/>
              <w:jc w:val="center"/>
              <w:rPr>
                <w:rFonts w:ascii="宋体" w:hAnsi="宋体" w:eastAsia="宋体" w:cs="宋体"/>
                <w:bCs/>
                <w:sz w:val="24"/>
                <w:szCs w:val="24"/>
              </w:rPr>
            </w:pPr>
            <w:r>
              <w:rPr>
                <w:rFonts w:hint="eastAsia" w:ascii="宋体" w:hAnsi="宋体" w:eastAsia="宋体" w:cs="宋体"/>
                <w:bCs/>
                <w:sz w:val="24"/>
                <w:szCs w:val="24"/>
              </w:rPr>
              <w:t>6</w:t>
            </w:r>
          </w:p>
        </w:tc>
        <w:tc>
          <w:tcPr>
            <w:tcW w:w="986" w:type="dxa"/>
            <w:vAlign w:val="center"/>
          </w:tcPr>
          <w:p w14:paraId="070EAE08">
            <w:pPr>
              <w:spacing w:line="380" w:lineRule="exact"/>
              <w:jc w:val="center"/>
              <w:rPr>
                <w:rFonts w:ascii="宋体" w:hAnsi="宋体" w:eastAsia="宋体" w:cs="宋体"/>
                <w:bCs/>
                <w:sz w:val="24"/>
                <w:szCs w:val="24"/>
              </w:rPr>
            </w:pPr>
          </w:p>
        </w:tc>
        <w:tc>
          <w:tcPr>
            <w:tcW w:w="3245" w:type="dxa"/>
            <w:vAlign w:val="center"/>
          </w:tcPr>
          <w:p w14:paraId="4447E3FF">
            <w:pPr>
              <w:spacing w:line="380" w:lineRule="exact"/>
              <w:jc w:val="center"/>
              <w:rPr>
                <w:rFonts w:ascii="宋体" w:hAnsi="宋体" w:eastAsia="宋体" w:cs="宋体"/>
                <w:bCs/>
                <w:sz w:val="24"/>
                <w:szCs w:val="24"/>
              </w:rPr>
            </w:pPr>
          </w:p>
        </w:tc>
        <w:tc>
          <w:tcPr>
            <w:tcW w:w="1643" w:type="dxa"/>
            <w:vAlign w:val="center"/>
          </w:tcPr>
          <w:p w14:paraId="60DBE109">
            <w:pPr>
              <w:spacing w:line="380" w:lineRule="exact"/>
              <w:jc w:val="center"/>
              <w:rPr>
                <w:rFonts w:ascii="宋体" w:hAnsi="宋体" w:eastAsia="宋体" w:cs="宋体"/>
                <w:bCs/>
                <w:sz w:val="24"/>
                <w:szCs w:val="24"/>
              </w:rPr>
            </w:pPr>
          </w:p>
        </w:tc>
        <w:tc>
          <w:tcPr>
            <w:tcW w:w="1682" w:type="dxa"/>
            <w:vAlign w:val="center"/>
          </w:tcPr>
          <w:p w14:paraId="7338A7EC">
            <w:pPr>
              <w:spacing w:line="380" w:lineRule="exact"/>
              <w:jc w:val="center"/>
              <w:rPr>
                <w:rFonts w:ascii="宋体" w:hAnsi="宋体" w:eastAsia="宋体" w:cs="宋体"/>
                <w:bCs/>
                <w:sz w:val="24"/>
                <w:szCs w:val="24"/>
              </w:rPr>
            </w:pPr>
          </w:p>
          <w:p w14:paraId="572E45EA">
            <w:pPr>
              <w:spacing w:line="380" w:lineRule="exact"/>
              <w:jc w:val="center"/>
              <w:rPr>
                <w:rFonts w:ascii="宋体" w:hAnsi="宋体" w:eastAsia="宋体" w:cs="宋体"/>
                <w:bCs/>
                <w:sz w:val="24"/>
                <w:szCs w:val="24"/>
              </w:rPr>
            </w:pPr>
          </w:p>
          <w:p w14:paraId="53E0EF0E">
            <w:pPr>
              <w:spacing w:line="380" w:lineRule="exact"/>
              <w:jc w:val="center"/>
              <w:rPr>
                <w:rFonts w:ascii="宋体" w:hAnsi="宋体" w:eastAsia="宋体" w:cs="宋体"/>
                <w:bCs/>
                <w:sz w:val="24"/>
                <w:szCs w:val="24"/>
              </w:rPr>
            </w:pPr>
          </w:p>
        </w:tc>
      </w:tr>
      <w:tr w14:paraId="4414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1F36F703">
            <w:pPr>
              <w:spacing w:line="380" w:lineRule="exact"/>
              <w:jc w:val="center"/>
              <w:rPr>
                <w:rFonts w:ascii="宋体" w:hAnsi="宋体" w:eastAsia="宋体" w:cs="宋体"/>
                <w:bCs/>
                <w:sz w:val="24"/>
                <w:szCs w:val="24"/>
              </w:rPr>
            </w:pPr>
            <w:r>
              <w:rPr>
                <w:rFonts w:hint="eastAsia" w:ascii="宋体" w:hAnsi="宋体" w:eastAsia="宋体" w:cs="宋体"/>
                <w:bCs/>
                <w:sz w:val="24"/>
                <w:szCs w:val="24"/>
              </w:rPr>
              <w:t>7</w:t>
            </w:r>
          </w:p>
        </w:tc>
        <w:tc>
          <w:tcPr>
            <w:tcW w:w="986" w:type="dxa"/>
            <w:vAlign w:val="center"/>
          </w:tcPr>
          <w:p w14:paraId="29C2C2FC">
            <w:pPr>
              <w:spacing w:line="380" w:lineRule="exact"/>
              <w:jc w:val="center"/>
              <w:rPr>
                <w:rFonts w:ascii="宋体" w:hAnsi="宋体" w:eastAsia="宋体" w:cs="宋体"/>
                <w:bCs/>
                <w:sz w:val="24"/>
                <w:szCs w:val="24"/>
              </w:rPr>
            </w:pPr>
          </w:p>
        </w:tc>
        <w:tc>
          <w:tcPr>
            <w:tcW w:w="3245" w:type="dxa"/>
            <w:vAlign w:val="center"/>
          </w:tcPr>
          <w:p w14:paraId="04244597">
            <w:pPr>
              <w:spacing w:line="380" w:lineRule="exact"/>
              <w:jc w:val="center"/>
              <w:rPr>
                <w:rFonts w:ascii="宋体" w:hAnsi="宋体" w:eastAsia="宋体" w:cs="宋体"/>
                <w:bCs/>
                <w:sz w:val="24"/>
                <w:szCs w:val="24"/>
              </w:rPr>
            </w:pPr>
          </w:p>
        </w:tc>
        <w:tc>
          <w:tcPr>
            <w:tcW w:w="1643" w:type="dxa"/>
            <w:vAlign w:val="center"/>
          </w:tcPr>
          <w:p w14:paraId="35962076">
            <w:pPr>
              <w:spacing w:line="380" w:lineRule="exact"/>
              <w:jc w:val="center"/>
              <w:rPr>
                <w:rFonts w:ascii="宋体" w:hAnsi="宋体" w:eastAsia="宋体" w:cs="宋体"/>
                <w:bCs/>
                <w:sz w:val="24"/>
                <w:szCs w:val="24"/>
              </w:rPr>
            </w:pPr>
          </w:p>
        </w:tc>
        <w:tc>
          <w:tcPr>
            <w:tcW w:w="1682" w:type="dxa"/>
            <w:vAlign w:val="center"/>
          </w:tcPr>
          <w:p w14:paraId="049BD537">
            <w:pPr>
              <w:spacing w:line="380" w:lineRule="exact"/>
              <w:jc w:val="center"/>
              <w:rPr>
                <w:rFonts w:ascii="宋体" w:hAnsi="宋体" w:eastAsia="宋体" w:cs="宋体"/>
                <w:bCs/>
                <w:sz w:val="24"/>
                <w:szCs w:val="24"/>
              </w:rPr>
            </w:pPr>
          </w:p>
          <w:p w14:paraId="19BD0B25">
            <w:pPr>
              <w:spacing w:line="380" w:lineRule="exact"/>
              <w:jc w:val="center"/>
              <w:rPr>
                <w:rFonts w:ascii="宋体" w:hAnsi="宋体" w:eastAsia="宋体" w:cs="宋体"/>
                <w:bCs/>
                <w:sz w:val="24"/>
                <w:szCs w:val="24"/>
              </w:rPr>
            </w:pPr>
          </w:p>
          <w:p w14:paraId="39E043DE">
            <w:pPr>
              <w:spacing w:line="380" w:lineRule="exact"/>
              <w:jc w:val="center"/>
              <w:rPr>
                <w:rFonts w:ascii="宋体" w:hAnsi="宋体" w:eastAsia="宋体" w:cs="宋体"/>
                <w:bCs/>
                <w:sz w:val="24"/>
                <w:szCs w:val="24"/>
              </w:rPr>
            </w:pPr>
          </w:p>
        </w:tc>
      </w:tr>
      <w:tr w14:paraId="0336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2C4C5E93">
            <w:pPr>
              <w:spacing w:line="380" w:lineRule="exact"/>
              <w:jc w:val="center"/>
              <w:rPr>
                <w:rFonts w:ascii="宋体" w:hAnsi="宋体" w:eastAsia="宋体" w:cs="宋体"/>
                <w:bCs/>
                <w:sz w:val="24"/>
                <w:szCs w:val="24"/>
              </w:rPr>
            </w:pPr>
            <w:r>
              <w:rPr>
                <w:rFonts w:hint="eastAsia" w:ascii="宋体" w:hAnsi="宋体" w:eastAsia="宋体" w:cs="宋体"/>
                <w:bCs/>
                <w:sz w:val="24"/>
                <w:szCs w:val="24"/>
              </w:rPr>
              <w:t>8</w:t>
            </w:r>
          </w:p>
        </w:tc>
        <w:tc>
          <w:tcPr>
            <w:tcW w:w="986" w:type="dxa"/>
            <w:vAlign w:val="center"/>
          </w:tcPr>
          <w:p w14:paraId="5C4950AC">
            <w:pPr>
              <w:spacing w:line="380" w:lineRule="exact"/>
              <w:jc w:val="center"/>
              <w:rPr>
                <w:rFonts w:ascii="宋体" w:hAnsi="宋体" w:eastAsia="宋体" w:cs="宋体"/>
                <w:bCs/>
                <w:sz w:val="24"/>
                <w:szCs w:val="24"/>
              </w:rPr>
            </w:pPr>
          </w:p>
        </w:tc>
        <w:tc>
          <w:tcPr>
            <w:tcW w:w="3245" w:type="dxa"/>
            <w:vAlign w:val="center"/>
          </w:tcPr>
          <w:p w14:paraId="54E438EB">
            <w:pPr>
              <w:spacing w:line="380" w:lineRule="exact"/>
              <w:jc w:val="center"/>
              <w:rPr>
                <w:rFonts w:ascii="宋体" w:hAnsi="宋体" w:eastAsia="宋体" w:cs="宋体"/>
                <w:bCs/>
                <w:sz w:val="24"/>
                <w:szCs w:val="24"/>
              </w:rPr>
            </w:pPr>
          </w:p>
        </w:tc>
        <w:tc>
          <w:tcPr>
            <w:tcW w:w="1643" w:type="dxa"/>
            <w:vAlign w:val="center"/>
          </w:tcPr>
          <w:p w14:paraId="7F4073EB">
            <w:pPr>
              <w:spacing w:line="380" w:lineRule="exact"/>
              <w:jc w:val="center"/>
              <w:rPr>
                <w:rFonts w:ascii="宋体" w:hAnsi="宋体" w:eastAsia="宋体" w:cs="宋体"/>
                <w:bCs/>
                <w:sz w:val="24"/>
                <w:szCs w:val="24"/>
              </w:rPr>
            </w:pPr>
          </w:p>
        </w:tc>
        <w:tc>
          <w:tcPr>
            <w:tcW w:w="1682" w:type="dxa"/>
            <w:vAlign w:val="center"/>
          </w:tcPr>
          <w:p w14:paraId="4E4DAF66">
            <w:pPr>
              <w:spacing w:line="380" w:lineRule="exact"/>
              <w:jc w:val="center"/>
              <w:rPr>
                <w:rFonts w:ascii="宋体" w:hAnsi="宋体" w:eastAsia="宋体" w:cs="宋体"/>
                <w:bCs/>
                <w:sz w:val="24"/>
                <w:szCs w:val="24"/>
              </w:rPr>
            </w:pPr>
          </w:p>
          <w:p w14:paraId="2593B55E">
            <w:pPr>
              <w:spacing w:line="380" w:lineRule="exact"/>
              <w:jc w:val="center"/>
              <w:rPr>
                <w:rFonts w:ascii="宋体" w:hAnsi="宋体" w:eastAsia="宋体" w:cs="宋体"/>
                <w:bCs/>
                <w:sz w:val="24"/>
                <w:szCs w:val="24"/>
              </w:rPr>
            </w:pPr>
          </w:p>
        </w:tc>
      </w:tr>
      <w:tr w14:paraId="5B0C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7707E41">
            <w:pPr>
              <w:spacing w:line="380" w:lineRule="exact"/>
              <w:jc w:val="center"/>
              <w:rPr>
                <w:rFonts w:ascii="宋体" w:hAnsi="宋体" w:eastAsia="宋体" w:cs="宋体"/>
                <w:bCs/>
                <w:sz w:val="24"/>
                <w:szCs w:val="24"/>
              </w:rPr>
            </w:pPr>
            <w:r>
              <w:rPr>
                <w:rFonts w:hint="eastAsia" w:ascii="宋体" w:hAnsi="宋体" w:eastAsia="宋体" w:cs="宋体"/>
                <w:bCs/>
                <w:sz w:val="24"/>
                <w:szCs w:val="24"/>
              </w:rPr>
              <w:t>9</w:t>
            </w:r>
          </w:p>
        </w:tc>
        <w:tc>
          <w:tcPr>
            <w:tcW w:w="986" w:type="dxa"/>
            <w:vAlign w:val="center"/>
          </w:tcPr>
          <w:p w14:paraId="234E151D">
            <w:pPr>
              <w:spacing w:line="380" w:lineRule="exact"/>
              <w:jc w:val="center"/>
              <w:rPr>
                <w:rFonts w:ascii="宋体" w:hAnsi="宋体" w:eastAsia="宋体" w:cs="宋体"/>
                <w:bCs/>
                <w:sz w:val="24"/>
                <w:szCs w:val="24"/>
              </w:rPr>
            </w:pPr>
          </w:p>
        </w:tc>
        <w:tc>
          <w:tcPr>
            <w:tcW w:w="3245" w:type="dxa"/>
            <w:vAlign w:val="center"/>
          </w:tcPr>
          <w:p w14:paraId="730D6D5F">
            <w:pPr>
              <w:spacing w:line="380" w:lineRule="exact"/>
              <w:jc w:val="center"/>
              <w:rPr>
                <w:rFonts w:ascii="宋体" w:hAnsi="宋体" w:eastAsia="宋体" w:cs="宋体"/>
                <w:bCs/>
                <w:sz w:val="24"/>
                <w:szCs w:val="24"/>
              </w:rPr>
            </w:pPr>
          </w:p>
        </w:tc>
        <w:tc>
          <w:tcPr>
            <w:tcW w:w="1643" w:type="dxa"/>
            <w:vAlign w:val="center"/>
          </w:tcPr>
          <w:p w14:paraId="4610FA55">
            <w:pPr>
              <w:spacing w:line="380" w:lineRule="exact"/>
              <w:jc w:val="center"/>
              <w:rPr>
                <w:rFonts w:ascii="宋体" w:hAnsi="宋体" w:eastAsia="宋体" w:cs="宋体"/>
                <w:bCs/>
                <w:sz w:val="24"/>
                <w:szCs w:val="24"/>
              </w:rPr>
            </w:pPr>
          </w:p>
        </w:tc>
        <w:tc>
          <w:tcPr>
            <w:tcW w:w="1682" w:type="dxa"/>
            <w:vAlign w:val="center"/>
          </w:tcPr>
          <w:p w14:paraId="5FAB87C8">
            <w:pPr>
              <w:spacing w:line="380" w:lineRule="exact"/>
              <w:jc w:val="center"/>
              <w:rPr>
                <w:rFonts w:ascii="宋体" w:hAnsi="宋体" w:eastAsia="宋体" w:cs="宋体"/>
                <w:bCs/>
                <w:sz w:val="24"/>
                <w:szCs w:val="24"/>
              </w:rPr>
            </w:pPr>
          </w:p>
        </w:tc>
      </w:tr>
      <w:tr w14:paraId="3CB2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710C12EB">
            <w:pPr>
              <w:spacing w:line="380" w:lineRule="exact"/>
              <w:jc w:val="center"/>
              <w:rPr>
                <w:rFonts w:ascii="宋体" w:hAnsi="宋体" w:eastAsia="宋体" w:cs="宋体"/>
                <w:bCs/>
                <w:sz w:val="24"/>
                <w:szCs w:val="24"/>
              </w:rPr>
            </w:pPr>
            <w:r>
              <w:rPr>
                <w:rFonts w:hint="eastAsia" w:ascii="宋体" w:hAnsi="宋体" w:eastAsia="宋体" w:cs="宋体"/>
                <w:bCs/>
                <w:sz w:val="24"/>
                <w:szCs w:val="24"/>
              </w:rPr>
              <w:t>10</w:t>
            </w:r>
          </w:p>
        </w:tc>
        <w:tc>
          <w:tcPr>
            <w:tcW w:w="986" w:type="dxa"/>
            <w:vAlign w:val="center"/>
          </w:tcPr>
          <w:p w14:paraId="6097564F">
            <w:pPr>
              <w:spacing w:line="380" w:lineRule="exact"/>
              <w:jc w:val="center"/>
              <w:rPr>
                <w:rFonts w:ascii="宋体" w:hAnsi="宋体" w:eastAsia="宋体" w:cs="宋体"/>
                <w:bCs/>
                <w:sz w:val="24"/>
                <w:szCs w:val="24"/>
              </w:rPr>
            </w:pPr>
          </w:p>
        </w:tc>
        <w:tc>
          <w:tcPr>
            <w:tcW w:w="3245" w:type="dxa"/>
            <w:vAlign w:val="center"/>
          </w:tcPr>
          <w:p w14:paraId="06A2F133">
            <w:pPr>
              <w:spacing w:line="380" w:lineRule="exact"/>
              <w:jc w:val="center"/>
              <w:rPr>
                <w:rFonts w:ascii="宋体" w:hAnsi="宋体" w:eastAsia="宋体" w:cs="宋体"/>
                <w:bCs/>
                <w:sz w:val="24"/>
                <w:szCs w:val="24"/>
              </w:rPr>
            </w:pPr>
          </w:p>
        </w:tc>
        <w:tc>
          <w:tcPr>
            <w:tcW w:w="1643" w:type="dxa"/>
            <w:vAlign w:val="center"/>
          </w:tcPr>
          <w:p w14:paraId="69EB8ED8">
            <w:pPr>
              <w:spacing w:line="380" w:lineRule="exact"/>
              <w:jc w:val="center"/>
              <w:rPr>
                <w:rFonts w:ascii="宋体" w:hAnsi="宋体" w:eastAsia="宋体" w:cs="宋体"/>
                <w:bCs/>
                <w:sz w:val="24"/>
                <w:szCs w:val="24"/>
              </w:rPr>
            </w:pPr>
          </w:p>
        </w:tc>
        <w:tc>
          <w:tcPr>
            <w:tcW w:w="1682" w:type="dxa"/>
            <w:vAlign w:val="center"/>
          </w:tcPr>
          <w:p w14:paraId="266CE637">
            <w:pPr>
              <w:spacing w:line="380" w:lineRule="exact"/>
              <w:jc w:val="center"/>
              <w:rPr>
                <w:rFonts w:ascii="宋体" w:hAnsi="宋体" w:eastAsia="宋体" w:cs="宋体"/>
                <w:bCs/>
                <w:sz w:val="24"/>
                <w:szCs w:val="24"/>
              </w:rPr>
            </w:pPr>
          </w:p>
        </w:tc>
      </w:tr>
      <w:tr w14:paraId="6086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53" w:type="dxa"/>
            <w:vAlign w:val="center"/>
          </w:tcPr>
          <w:p w14:paraId="392D64D5">
            <w:pPr>
              <w:spacing w:line="380" w:lineRule="exact"/>
              <w:jc w:val="center"/>
              <w:rPr>
                <w:rFonts w:ascii="宋体" w:hAnsi="宋体" w:eastAsia="宋体" w:cs="宋体"/>
                <w:bCs/>
                <w:sz w:val="24"/>
                <w:szCs w:val="24"/>
              </w:rPr>
            </w:pPr>
            <w:r>
              <w:rPr>
                <w:rFonts w:hint="eastAsia" w:ascii="宋体" w:hAnsi="宋体" w:eastAsia="宋体" w:cs="宋体"/>
                <w:bCs/>
                <w:sz w:val="24"/>
                <w:szCs w:val="24"/>
              </w:rPr>
              <w:t>11</w:t>
            </w:r>
          </w:p>
        </w:tc>
        <w:tc>
          <w:tcPr>
            <w:tcW w:w="986" w:type="dxa"/>
            <w:vAlign w:val="center"/>
          </w:tcPr>
          <w:p w14:paraId="535F4BF4">
            <w:pPr>
              <w:spacing w:line="380" w:lineRule="exact"/>
              <w:jc w:val="center"/>
              <w:rPr>
                <w:rFonts w:ascii="宋体" w:hAnsi="宋体" w:eastAsia="宋体" w:cs="宋体"/>
                <w:bCs/>
                <w:sz w:val="24"/>
                <w:szCs w:val="24"/>
              </w:rPr>
            </w:pPr>
          </w:p>
        </w:tc>
        <w:tc>
          <w:tcPr>
            <w:tcW w:w="3245" w:type="dxa"/>
            <w:vAlign w:val="center"/>
          </w:tcPr>
          <w:p w14:paraId="03B42EE8">
            <w:pPr>
              <w:spacing w:line="380" w:lineRule="exact"/>
              <w:jc w:val="center"/>
              <w:rPr>
                <w:rFonts w:ascii="宋体" w:hAnsi="宋体" w:eastAsia="宋体" w:cs="宋体"/>
                <w:bCs/>
                <w:sz w:val="24"/>
                <w:szCs w:val="24"/>
              </w:rPr>
            </w:pPr>
          </w:p>
        </w:tc>
        <w:tc>
          <w:tcPr>
            <w:tcW w:w="1643" w:type="dxa"/>
            <w:vAlign w:val="center"/>
          </w:tcPr>
          <w:p w14:paraId="2DE428CB">
            <w:pPr>
              <w:spacing w:line="380" w:lineRule="exact"/>
              <w:jc w:val="center"/>
              <w:rPr>
                <w:rFonts w:ascii="宋体" w:hAnsi="宋体" w:eastAsia="宋体" w:cs="宋体"/>
                <w:bCs/>
                <w:sz w:val="24"/>
                <w:szCs w:val="24"/>
              </w:rPr>
            </w:pPr>
          </w:p>
        </w:tc>
        <w:tc>
          <w:tcPr>
            <w:tcW w:w="1682" w:type="dxa"/>
            <w:vAlign w:val="center"/>
          </w:tcPr>
          <w:p w14:paraId="54405F80">
            <w:pPr>
              <w:spacing w:line="380" w:lineRule="exact"/>
              <w:jc w:val="center"/>
              <w:rPr>
                <w:rFonts w:ascii="宋体" w:hAnsi="宋体" w:eastAsia="宋体" w:cs="宋体"/>
                <w:bCs/>
                <w:sz w:val="24"/>
                <w:szCs w:val="24"/>
              </w:rPr>
            </w:pPr>
          </w:p>
        </w:tc>
      </w:tr>
    </w:tbl>
    <w:p w14:paraId="649170A8">
      <w:pPr>
        <w:widowControl/>
        <w:jc w:val="left"/>
        <w:rPr>
          <w:rFonts w:ascii="宋体" w:hAnsi="宋体" w:eastAsia="宋体" w:cs="宋体"/>
          <w:b/>
          <w:bCs/>
          <w:sz w:val="24"/>
          <w:szCs w:val="24"/>
        </w:rPr>
      </w:pPr>
    </w:p>
    <w:p w14:paraId="7058E528">
      <w:pPr>
        <w:rPr>
          <w:rFonts w:ascii="宋体" w:hAnsi="宋体" w:eastAsia="宋体" w:cs="宋体"/>
          <w:b/>
          <w:bCs/>
          <w:sz w:val="24"/>
          <w:szCs w:val="24"/>
        </w:rPr>
      </w:pPr>
      <w:r>
        <w:rPr>
          <w:rFonts w:hint="eastAsia" w:ascii="宋体" w:hAnsi="宋体" w:eastAsia="宋体" w:cs="宋体"/>
          <w:b/>
          <w:bCs/>
          <w:sz w:val="24"/>
          <w:szCs w:val="24"/>
        </w:rPr>
        <w:br w:type="page"/>
      </w:r>
    </w:p>
    <w:bookmarkEnd w:id="51"/>
    <w:bookmarkEnd w:id="52"/>
    <w:p w14:paraId="75D8AF40">
      <w:pPr>
        <w:spacing w:line="360" w:lineRule="auto"/>
        <w:jc w:val="center"/>
        <w:outlineLvl w:val="0"/>
        <w:rPr>
          <w:rFonts w:asciiTheme="minorEastAsia" w:hAnsiTheme="minorEastAsia" w:eastAsiaTheme="minorEastAsia"/>
          <w:b/>
          <w:sz w:val="28"/>
        </w:rPr>
      </w:pPr>
      <w:bookmarkStart w:id="121" w:name="_Toc30824"/>
      <w:r>
        <w:rPr>
          <w:rFonts w:hint="eastAsia" w:asciiTheme="minorEastAsia" w:hAnsiTheme="minorEastAsia" w:eastAsiaTheme="minorEastAsia"/>
          <w:b/>
          <w:sz w:val="28"/>
        </w:rPr>
        <w:t>第四章  评标方法和标准（综合评分法）</w:t>
      </w:r>
      <w:bookmarkEnd w:id="121"/>
    </w:p>
    <w:p w14:paraId="3A5D6872">
      <w:pPr>
        <w:spacing w:line="360" w:lineRule="auto"/>
        <w:ind w:firstLine="437"/>
        <w:outlineLvl w:val="1"/>
        <w:rPr>
          <w:rFonts w:asciiTheme="minorEastAsia" w:hAnsiTheme="minorEastAsia" w:eastAsiaTheme="minorEastAsia"/>
          <w:b/>
          <w:sz w:val="24"/>
        </w:rPr>
      </w:pPr>
      <w:bookmarkStart w:id="122" w:name="_Toc4705"/>
      <w:bookmarkStart w:id="123" w:name="_Toc11823"/>
      <w:r>
        <w:rPr>
          <w:rFonts w:hint="eastAsia" w:asciiTheme="minorEastAsia" w:hAnsiTheme="minorEastAsia" w:eastAsiaTheme="minorEastAsia"/>
          <w:b/>
          <w:sz w:val="24"/>
        </w:rPr>
        <w:t>一、总则</w:t>
      </w:r>
      <w:bookmarkEnd w:id="122"/>
      <w:bookmarkEnd w:id="123"/>
    </w:p>
    <w:p w14:paraId="40EBB3E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本项目将按照招标文件第二章投标人须知的相关要求</w:t>
      </w:r>
      <w:r>
        <w:rPr>
          <w:rFonts w:asciiTheme="minorEastAsia" w:hAnsiTheme="minorEastAsia" w:eastAsiaTheme="minorEastAsia"/>
          <w:sz w:val="24"/>
        </w:rPr>
        <w:t>及本章的规定评标。</w:t>
      </w:r>
    </w:p>
    <w:p w14:paraId="67BE9852">
      <w:pPr>
        <w:spacing w:line="360" w:lineRule="auto"/>
        <w:ind w:firstLine="437"/>
        <w:outlineLvl w:val="1"/>
        <w:rPr>
          <w:rFonts w:asciiTheme="minorEastAsia" w:hAnsiTheme="minorEastAsia" w:eastAsiaTheme="minorEastAsia"/>
          <w:b/>
          <w:sz w:val="24"/>
        </w:rPr>
      </w:pPr>
      <w:bookmarkStart w:id="124" w:name="_Toc32410"/>
      <w:bookmarkStart w:id="125" w:name="_Toc31871"/>
      <w:r>
        <w:rPr>
          <w:rFonts w:hint="eastAsia" w:asciiTheme="minorEastAsia" w:hAnsiTheme="minorEastAsia" w:eastAsiaTheme="minorEastAsia"/>
          <w:b/>
          <w:sz w:val="24"/>
        </w:rPr>
        <w:t>二、评标方法</w:t>
      </w:r>
      <w:bookmarkEnd w:id="124"/>
      <w:bookmarkEnd w:id="125"/>
    </w:p>
    <w:p w14:paraId="401113B5">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2.1资格审查</w:t>
      </w:r>
    </w:p>
    <w:tbl>
      <w:tblPr>
        <w:tblStyle w:val="21"/>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645"/>
        <w:gridCol w:w="4542"/>
        <w:gridCol w:w="1888"/>
      </w:tblGrid>
      <w:tr w14:paraId="0199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73E7412">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资格审查表</w:t>
            </w:r>
          </w:p>
        </w:tc>
      </w:tr>
      <w:tr w14:paraId="2670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163B682A">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1E516926">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审查因素</w:t>
            </w:r>
          </w:p>
        </w:tc>
        <w:tc>
          <w:tcPr>
            <w:tcW w:w="2601" w:type="pct"/>
            <w:tcBorders>
              <w:bottom w:val="single" w:color="auto" w:sz="4" w:space="0"/>
            </w:tcBorders>
            <w:vAlign w:val="center"/>
          </w:tcPr>
          <w:p w14:paraId="19D99A77">
            <w:pPr>
              <w:adjustRightInd w:val="0"/>
              <w:snapToGrid w:val="0"/>
              <w:spacing w:line="360" w:lineRule="auto"/>
              <w:ind w:right="-10"/>
              <w:jc w:val="center"/>
              <w:rPr>
                <w:rFonts w:ascii="宋体" w:hAnsi="宋体" w:eastAsia="宋体"/>
                <w:sz w:val="24"/>
              </w:rPr>
            </w:pPr>
            <w:r>
              <w:rPr>
                <w:rFonts w:hint="eastAsia" w:ascii="宋体" w:hAnsi="宋体" w:eastAsia="宋体"/>
                <w:sz w:val="24"/>
              </w:rPr>
              <w:t>审查内容</w:t>
            </w:r>
          </w:p>
        </w:tc>
        <w:tc>
          <w:tcPr>
            <w:tcW w:w="1080" w:type="pct"/>
            <w:tcBorders>
              <w:bottom w:val="single" w:color="auto" w:sz="4" w:space="0"/>
            </w:tcBorders>
            <w:vAlign w:val="center"/>
          </w:tcPr>
          <w:p w14:paraId="5A1C1FF0">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05C3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7485E069">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0B4C0536">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1" w:type="pct"/>
            <w:tcBorders>
              <w:bottom w:val="single" w:color="auto" w:sz="4" w:space="0"/>
            </w:tcBorders>
            <w:vAlign w:val="center"/>
          </w:tcPr>
          <w:p w14:paraId="07573299">
            <w:pPr>
              <w:spacing w:after="50" w:line="360" w:lineRule="auto"/>
              <w:ind w:right="-10"/>
              <w:jc w:val="left"/>
              <w:rPr>
                <w:rFonts w:ascii="宋体" w:hAnsi="宋体" w:eastAsia="宋体"/>
                <w:sz w:val="24"/>
                <w:szCs w:val="28"/>
              </w:rPr>
            </w:pP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tc>
        <w:tc>
          <w:tcPr>
            <w:tcW w:w="1080" w:type="pct"/>
            <w:vAlign w:val="center"/>
          </w:tcPr>
          <w:p w14:paraId="732CDBFE">
            <w:pPr>
              <w:spacing w:line="360" w:lineRule="auto"/>
              <w:jc w:val="left"/>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r w14:paraId="50D0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2E2468A5">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6F09E307">
            <w:pPr>
              <w:spacing w:after="50" w:line="360" w:lineRule="auto"/>
              <w:ind w:right="-10"/>
              <w:jc w:val="center"/>
              <w:rPr>
                <w:rFonts w:ascii="宋体" w:hAnsi="宋体" w:eastAsia="宋体"/>
                <w:sz w:val="24"/>
                <w:szCs w:val="28"/>
              </w:rPr>
            </w:pPr>
            <w:r>
              <w:rPr>
                <w:rFonts w:hint="eastAsia" w:ascii="宋体" w:hAnsi="宋体" w:eastAsia="宋体"/>
                <w:sz w:val="24"/>
                <w:szCs w:val="18"/>
              </w:rPr>
              <w:t>投标人资格声明书</w:t>
            </w:r>
          </w:p>
        </w:tc>
        <w:tc>
          <w:tcPr>
            <w:tcW w:w="2601" w:type="pct"/>
            <w:tcBorders>
              <w:bottom w:val="single" w:color="auto" w:sz="4" w:space="0"/>
            </w:tcBorders>
            <w:vAlign w:val="center"/>
          </w:tcPr>
          <w:p w14:paraId="72C878BA">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080" w:type="pct"/>
            <w:vAlign w:val="center"/>
          </w:tcPr>
          <w:p w14:paraId="6830A4A2">
            <w:pPr>
              <w:spacing w:line="360" w:lineRule="auto"/>
              <w:jc w:val="left"/>
              <w:rPr>
                <w:rFonts w:ascii="宋体" w:hAnsi="宋体" w:eastAsia="宋体" w:cs="宋体"/>
                <w:sz w:val="24"/>
                <w:szCs w:val="24"/>
              </w:rPr>
            </w:pPr>
            <w:r>
              <w:rPr>
                <w:rFonts w:hint="eastAsia" w:ascii="宋体" w:hAnsi="宋体" w:eastAsia="宋体"/>
                <w:sz w:val="24"/>
              </w:rPr>
              <w:t>详见第六章投标文件格式。</w:t>
            </w:r>
          </w:p>
        </w:tc>
      </w:tr>
      <w:tr w14:paraId="55AE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20A707BA">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942" w:type="pct"/>
            <w:tcBorders>
              <w:bottom w:val="single" w:color="auto" w:sz="4" w:space="0"/>
            </w:tcBorders>
            <w:vAlign w:val="center"/>
          </w:tcPr>
          <w:p w14:paraId="5869067C">
            <w:pPr>
              <w:spacing w:after="50" w:line="360" w:lineRule="auto"/>
              <w:ind w:right="-10"/>
              <w:jc w:val="center"/>
              <w:rPr>
                <w:rFonts w:ascii="宋体" w:hAnsi="宋体" w:eastAsia="宋体"/>
                <w:sz w:val="24"/>
                <w:szCs w:val="28"/>
              </w:rPr>
            </w:pPr>
            <w:r>
              <w:rPr>
                <w:rFonts w:hint="eastAsia" w:ascii="宋体" w:hAnsi="宋体" w:eastAsia="宋体" w:cs="宋体"/>
                <w:sz w:val="24"/>
                <w:szCs w:val="24"/>
              </w:rPr>
              <w:t>投标人信用记录</w:t>
            </w:r>
          </w:p>
        </w:tc>
        <w:tc>
          <w:tcPr>
            <w:tcW w:w="2601" w:type="pct"/>
            <w:tcBorders>
              <w:bottom w:val="single" w:color="auto" w:sz="4" w:space="0"/>
            </w:tcBorders>
            <w:vAlign w:val="center"/>
          </w:tcPr>
          <w:p w14:paraId="353077E8">
            <w:pPr>
              <w:spacing w:after="50" w:line="360" w:lineRule="auto"/>
              <w:ind w:right="-10"/>
              <w:jc w:val="left"/>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80" w:type="pct"/>
            <w:tcBorders>
              <w:bottom w:val="single" w:color="auto" w:sz="4" w:space="0"/>
            </w:tcBorders>
            <w:vAlign w:val="center"/>
          </w:tcPr>
          <w:p w14:paraId="0FEE32A0">
            <w:pPr>
              <w:spacing w:line="360" w:lineRule="auto"/>
              <w:jc w:val="left"/>
            </w:pPr>
            <w:r>
              <w:rPr>
                <w:rFonts w:hint="eastAsia" w:ascii="宋体" w:hAnsi="宋体" w:eastAsia="宋体" w:cs="宋体"/>
                <w:sz w:val="24"/>
                <w:szCs w:val="24"/>
              </w:rPr>
              <w:t>投标人提供，并且由采购人或采购代理机构查询。</w:t>
            </w:r>
          </w:p>
        </w:tc>
      </w:tr>
      <w:tr w14:paraId="4099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76" w:type="pct"/>
            <w:tcBorders>
              <w:bottom w:val="single" w:color="auto" w:sz="4" w:space="0"/>
            </w:tcBorders>
            <w:vAlign w:val="center"/>
          </w:tcPr>
          <w:p w14:paraId="751AEDA7">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942" w:type="pct"/>
            <w:tcBorders>
              <w:bottom w:val="single" w:color="auto" w:sz="4" w:space="0"/>
            </w:tcBorders>
            <w:vAlign w:val="center"/>
          </w:tcPr>
          <w:p w14:paraId="4D6ED0F2">
            <w:pPr>
              <w:spacing w:after="50" w:line="360" w:lineRule="auto"/>
              <w:ind w:right="-10"/>
              <w:rPr>
                <w:rFonts w:ascii="宋体" w:hAnsi="宋体" w:eastAsia="宋体" w:cs="宋体"/>
                <w:sz w:val="24"/>
                <w:szCs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601" w:type="pct"/>
            <w:tcBorders>
              <w:bottom w:val="single" w:color="auto" w:sz="4" w:space="0"/>
            </w:tcBorders>
            <w:vAlign w:val="center"/>
          </w:tcPr>
          <w:p w14:paraId="47575201">
            <w:pPr>
              <w:spacing w:after="50" w:line="360" w:lineRule="auto"/>
              <w:ind w:right="-10"/>
              <w:rPr>
                <w:rFonts w:ascii="宋体" w:hAnsi="宋体" w:eastAsia="宋体" w:cs="宋体"/>
                <w:sz w:val="24"/>
                <w:szCs w:val="24"/>
              </w:rPr>
            </w:pPr>
            <w:r>
              <w:rPr>
                <w:rFonts w:ascii="宋体" w:hAnsi="宋体" w:eastAsia="宋体" w:cs="宋体"/>
                <w:spacing w:val="-2"/>
                <w:sz w:val="24"/>
                <w:szCs w:val="24"/>
              </w:rPr>
              <w:t>如有，见第一章《投标邀请》</w:t>
            </w:r>
          </w:p>
        </w:tc>
        <w:tc>
          <w:tcPr>
            <w:tcW w:w="1080" w:type="pct"/>
            <w:tcBorders>
              <w:bottom w:val="single" w:color="auto" w:sz="4" w:space="0"/>
            </w:tcBorders>
            <w:vAlign w:val="center"/>
          </w:tcPr>
          <w:p w14:paraId="3BFCBFF6">
            <w:pPr>
              <w:spacing w:after="50" w:line="360" w:lineRule="auto"/>
              <w:ind w:right="-10"/>
              <w:rPr>
                <w:rFonts w:ascii="宋体" w:hAnsi="宋体" w:eastAsia="宋体"/>
                <w:sz w:val="24"/>
              </w:rPr>
            </w:pPr>
            <w:r>
              <w:rPr>
                <w:rFonts w:hint="eastAsia" w:ascii="宋体" w:hAnsi="宋体" w:eastAsia="宋体" w:cs="宋体"/>
                <w:sz w:val="24"/>
                <w:szCs w:val="24"/>
              </w:rPr>
              <w:t>提供材料扫描件或电子证照，应完整的体现出材料或电子证照全部内容。</w:t>
            </w:r>
          </w:p>
        </w:tc>
      </w:tr>
    </w:tbl>
    <w:p w14:paraId="6B2AB9BD">
      <w:pPr>
        <w:spacing w:line="360" w:lineRule="auto"/>
        <w:ind w:firstLine="435"/>
        <w:rPr>
          <w:rFonts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投标人必须通过资格审查表中的全部评标指标。</w:t>
      </w:r>
    </w:p>
    <w:p w14:paraId="33251A6A">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2.2符合性审查</w:t>
      </w:r>
    </w:p>
    <w:p w14:paraId="03DCC8B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110"/>
        <w:gridCol w:w="3117"/>
        <w:gridCol w:w="2502"/>
      </w:tblGrid>
      <w:tr w14:paraId="03C3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248FAF21">
            <w:pPr>
              <w:adjustRightInd w:val="0"/>
              <w:snapToGrid w:val="0"/>
              <w:spacing w:line="360" w:lineRule="auto"/>
              <w:ind w:right="-10"/>
              <w:jc w:val="center"/>
              <w:rPr>
                <w:rFonts w:ascii="宋体" w:hAnsi="宋体" w:eastAsia="宋体"/>
                <w:b/>
                <w:bCs/>
                <w:sz w:val="24"/>
              </w:rPr>
            </w:pPr>
            <w:r>
              <w:rPr>
                <w:rFonts w:hint="eastAsia" w:ascii="宋体" w:hAnsi="宋体" w:eastAsia="宋体"/>
                <w:b/>
                <w:bCs/>
                <w:sz w:val="24"/>
              </w:rPr>
              <w:t>符合性审查表</w:t>
            </w:r>
          </w:p>
        </w:tc>
      </w:tr>
      <w:tr w14:paraId="5C2F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0A608FC4">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242" w:type="pct"/>
            <w:tcBorders>
              <w:bottom w:val="single" w:color="auto" w:sz="4" w:space="0"/>
            </w:tcBorders>
            <w:vAlign w:val="center"/>
          </w:tcPr>
          <w:p w14:paraId="530D203F">
            <w:pPr>
              <w:pStyle w:val="30"/>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审查指标</w:t>
            </w:r>
          </w:p>
        </w:tc>
        <w:tc>
          <w:tcPr>
            <w:tcW w:w="1835" w:type="pct"/>
            <w:tcBorders>
              <w:bottom w:val="single" w:color="auto" w:sz="4" w:space="0"/>
            </w:tcBorders>
            <w:vAlign w:val="center"/>
          </w:tcPr>
          <w:p w14:paraId="55C6CAD4">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472" w:type="pct"/>
            <w:tcBorders>
              <w:bottom w:val="single" w:color="auto" w:sz="4" w:space="0"/>
            </w:tcBorders>
            <w:vAlign w:val="center"/>
          </w:tcPr>
          <w:p w14:paraId="1D6E452F">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1EBE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47C367E">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242" w:type="pct"/>
            <w:vAlign w:val="center"/>
          </w:tcPr>
          <w:p w14:paraId="5DDA4D39">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835" w:type="pct"/>
            <w:vAlign w:val="center"/>
          </w:tcPr>
          <w:p w14:paraId="590E292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5B4E89D9">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1ADF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9582CA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242" w:type="pct"/>
            <w:vAlign w:val="center"/>
          </w:tcPr>
          <w:p w14:paraId="2859DC1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835" w:type="pct"/>
            <w:vAlign w:val="center"/>
          </w:tcPr>
          <w:p w14:paraId="2115EDA0">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5030B6DC">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4DE4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DB65B93">
            <w:pPr>
              <w:adjustRightInd w:val="0"/>
              <w:snapToGrid w:val="0"/>
              <w:spacing w:line="360" w:lineRule="auto"/>
              <w:ind w:right="-10"/>
              <w:jc w:val="center"/>
              <w:rPr>
                <w:rFonts w:asciiTheme="minorEastAsia" w:hAnsiTheme="minorEastAsia" w:eastAsiaTheme="minorEastAsia"/>
                <w:sz w:val="24"/>
              </w:rPr>
            </w:pPr>
            <w:r>
              <w:rPr>
                <w:rFonts w:asciiTheme="minorEastAsia" w:hAnsiTheme="minorEastAsia" w:eastAsiaTheme="minorEastAsia"/>
                <w:sz w:val="24"/>
              </w:rPr>
              <w:t>3</w:t>
            </w:r>
          </w:p>
        </w:tc>
        <w:tc>
          <w:tcPr>
            <w:tcW w:w="1242" w:type="pct"/>
            <w:vAlign w:val="center"/>
          </w:tcPr>
          <w:p w14:paraId="44D750E9">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835" w:type="pct"/>
            <w:vAlign w:val="center"/>
          </w:tcPr>
          <w:p w14:paraId="710AB39F">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格式、填写要求符合招标文件规定并加盖投标人电子签章</w:t>
            </w:r>
          </w:p>
        </w:tc>
        <w:tc>
          <w:tcPr>
            <w:tcW w:w="1472" w:type="pct"/>
            <w:vAlign w:val="center"/>
          </w:tcPr>
          <w:p w14:paraId="74AF1B18">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5408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E97FDC3">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242" w:type="pct"/>
            <w:vAlign w:val="center"/>
          </w:tcPr>
          <w:p w14:paraId="4EBB91B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835" w:type="pct"/>
            <w:vAlign w:val="center"/>
          </w:tcPr>
          <w:p w14:paraId="413347F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472" w:type="pct"/>
            <w:vAlign w:val="center"/>
          </w:tcPr>
          <w:p w14:paraId="250AB3A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6DBA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A264C87">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1242" w:type="pct"/>
            <w:vAlign w:val="center"/>
          </w:tcPr>
          <w:p w14:paraId="476DA20C">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3430" w:type="dxa"/>
            <w:vAlign w:val="center"/>
          </w:tcPr>
          <w:p w14:paraId="30384953">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符合招标文件采购需求中对付款方式、服务地点、服务期限等实质性要求</w:t>
            </w:r>
          </w:p>
        </w:tc>
        <w:tc>
          <w:tcPr>
            <w:tcW w:w="1472" w:type="pct"/>
            <w:vAlign w:val="center"/>
          </w:tcPr>
          <w:p w14:paraId="55DC6DF0">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0E9B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570EDE6">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1242" w:type="pct"/>
            <w:vAlign w:val="center"/>
          </w:tcPr>
          <w:p w14:paraId="696B0081">
            <w:pPr>
              <w:spacing w:line="360" w:lineRule="auto"/>
              <w:jc w:val="center"/>
              <w:outlineLvl w:val="2"/>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3430" w:type="dxa"/>
            <w:vAlign w:val="center"/>
          </w:tcPr>
          <w:p w14:paraId="4E95B647">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w:t>
            </w:r>
            <w:r>
              <w:rPr>
                <w:rFonts w:hint="eastAsia" w:asciiTheme="minorEastAsia" w:hAnsiTheme="minorEastAsia" w:eastAsiaTheme="minorEastAsia"/>
                <w:sz w:val="24"/>
                <w:szCs w:val="28"/>
                <w:lang w:val="en-US" w:eastAsia="zh-CN"/>
              </w:rPr>
              <w:t>服务方案</w:t>
            </w:r>
            <w:r>
              <w:rPr>
                <w:rFonts w:hint="eastAsia" w:asciiTheme="minorEastAsia" w:hAnsiTheme="minorEastAsia" w:eastAsiaTheme="minorEastAsia"/>
                <w:sz w:val="24"/>
                <w:szCs w:val="28"/>
              </w:rPr>
              <w:t>等实质性要求</w:t>
            </w:r>
          </w:p>
        </w:tc>
        <w:tc>
          <w:tcPr>
            <w:tcW w:w="1472" w:type="pct"/>
            <w:vAlign w:val="center"/>
          </w:tcPr>
          <w:p w14:paraId="0F3707F4">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4C46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2C840A0">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1242" w:type="pct"/>
            <w:vAlign w:val="center"/>
          </w:tcPr>
          <w:p w14:paraId="2D6781C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3430" w:type="dxa"/>
            <w:vAlign w:val="center"/>
          </w:tcPr>
          <w:p w14:paraId="628D0FE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472" w:type="pct"/>
            <w:vAlign w:val="center"/>
          </w:tcPr>
          <w:p w14:paraId="69E524F2">
            <w:pPr>
              <w:adjustRightInd w:val="0"/>
              <w:snapToGrid w:val="0"/>
              <w:spacing w:line="360" w:lineRule="auto"/>
              <w:ind w:right="-10"/>
              <w:jc w:val="center"/>
              <w:rPr>
                <w:rFonts w:asciiTheme="minorEastAsia" w:hAnsiTheme="minorEastAsia" w:eastAsiaTheme="minorEastAsia"/>
                <w:sz w:val="24"/>
              </w:rPr>
            </w:pPr>
          </w:p>
        </w:tc>
      </w:tr>
    </w:tbl>
    <w:p w14:paraId="4047B1F7">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投标人必须通过符合性审查表中的全部评标指标。</w:t>
      </w:r>
    </w:p>
    <w:p w14:paraId="5A872554">
      <w:pPr>
        <w:spacing w:line="360" w:lineRule="auto"/>
        <w:ind w:firstLine="437"/>
        <w:outlineLvl w:val="2"/>
        <w:rPr>
          <w:rFonts w:asciiTheme="minorEastAsia" w:hAnsiTheme="minorEastAsia" w:eastAsiaTheme="minorEastAsia"/>
          <w:sz w:val="24"/>
        </w:rPr>
      </w:pPr>
      <w:r>
        <w:rPr>
          <w:rFonts w:hint="eastAsia" w:asciiTheme="minorEastAsia" w:hAnsiTheme="minorEastAsia" w:eastAsiaTheme="minorEastAsia"/>
          <w:sz w:val="24"/>
        </w:rPr>
        <w:t>2.3详细审查</w:t>
      </w:r>
    </w:p>
    <w:p w14:paraId="16531E3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.3.1</w:t>
      </w:r>
      <w:r>
        <w:rPr>
          <w:rFonts w:hint="eastAsia" w:asciiTheme="minorEastAsia" w:hAnsiTheme="minorEastAsia" w:eastAsiaTheme="minorEastAsia"/>
          <w:sz w:val="24"/>
        </w:rPr>
        <w:t>评标委员会按照下表对投标文件进行详细审查和评分。</w:t>
      </w:r>
    </w:p>
    <w:p w14:paraId="19CC804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hint="eastAsia" w:asciiTheme="minorEastAsia" w:hAnsiTheme="minorEastAsia" w:eastAsiaTheme="minorEastAsia"/>
          <w:sz w:val="24"/>
          <w:u w:val="single"/>
        </w:rPr>
        <w:t>90</w:t>
      </w:r>
      <w:r>
        <w:rPr>
          <w:rFonts w:asciiTheme="minorEastAsia" w:hAnsiTheme="minorEastAsia" w:eastAsiaTheme="minorEastAsia"/>
          <w:sz w:val="24"/>
          <w:u w:val="single"/>
        </w:rPr>
        <w:t xml:space="preserve"> </w:t>
      </w:r>
      <w:r>
        <w:rPr>
          <w:rFonts w:asciiTheme="minorEastAsia" w:hAnsiTheme="minorEastAsia" w:eastAsiaTheme="minorEastAsia"/>
          <w:sz w:val="24"/>
        </w:rPr>
        <w:t>%，价格分值占总分值的权重为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10</w:t>
      </w:r>
      <w:r>
        <w:rPr>
          <w:rFonts w:asciiTheme="minorEastAsia" w:hAnsiTheme="minorEastAsia" w:eastAsiaTheme="minorEastAsia"/>
          <w:sz w:val="24"/>
          <w:u w:val="single"/>
        </w:rPr>
        <w:t xml:space="preserve"> </w:t>
      </w:r>
      <w:r>
        <w:rPr>
          <w:rFonts w:asciiTheme="minorEastAsia" w:hAnsiTheme="minorEastAsia" w:eastAsiaTheme="minorEastAsia"/>
          <w:sz w:val="24"/>
        </w:rPr>
        <w:t>%。具体评分细则如下：</w:t>
      </w:r>
    </w:p>
    <w:p w14:paraId="2B699BB5">
      <w:pPr>
        <w:pStyle w:val="2"/>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32"/>
        <w:gridCol w:w="5485"/>
        <w:gridCol w:w="934"/>
      </w:tblGrid>
      <w:tr w14:paraId="28AF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14:paraId="1E5578EC">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类别</w:t>
            </w:r>
          </w:p>
        </w:tc>
        <w:tc>
          <w:tcPr>
            <w:tcW w:w="784" w:type="pct"/>
            <w:tcBorders>
              <w:top w:val="single" w:color="auto" w:sz="4" w:space="0"/>
              <w:left w:val="single" w:color="auto" w:sz="4" w:space="0"/>
              <w:bottom w:val="single" w:color="auto" w:sz="4" w:space="0"/>
              <w:right w:val="single" w:color="auto" w:sz="4" w:space="0"/>
            </w:tcBorders>
            <w:vAlign w:val="center"/>
          </w:tcPr>
          <w:p w14:paraId="4C2E1F56">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3227" w:type="pct"/>
            <w:tcBorders>
              <w:top w:val="single" w:color="auto" w:sz="4" w:space="0"/>
              <w:left w:val="single" w:color="auto" w:sz="4" w:space="0"/>
              <w:bottom w:val="single" w:color="auto" w:sz="4" w:space="0"/>
              <w:right w:val="single" w:color="auto" w:sz="4" w:space="0"/>
            </w:tcBorders>
            <w:vAlign w:val="center"/>
          </w:tcPr>
          <w:p w14:paraId="6E765F50">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c>
          <w:tcPr>
            <w:tcW w:w="550" w:type="pct"/>
            <w:tcBorders>
              <w:top w:val="single" w:color="auto" w:sz="4" w:space="0"/>
              <w:left w:val="single" w:color="auto" w:sz="4" w:space="0"/>
              <w:bottom w:val="single" w:color="auto" w:sz="4" w:space="0"/>
              <w:right w:val="single" w:color="auto" w:sz="4" w:space="0"/>
            </w:tcBorders>
            <w:vAlign w:val="center"/>
          </w:tcPr>
          <w:p w14:paraId="4D206B80">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分值范围</w:t>
            </w:r>
          </w:p>
        </w:tc>
      </w:tr>
      <w:tr w14:paraId="7585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restart"/>
            <w:tcBorders>
              <w:top w:val="single" w:color="auto" w:sz="4" w:space="0"/>
              <w:left w:val="single" w:color="auto" w:sz="4" w:space="0"/>
              <w:right w:val="single" w:color="auto" w:sz="4" w:space="0"/>
            </w:tcBorders>
            <w:vAlign w:val="center"/>
          </w:tcPr>
          <w:p w14:paraId="605BB907">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技术资信分</w:t>
            </w:r>
          </w:p>
          <w:p w14:paraId="6F981FD4">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（90</w:t>
            </w:r>
            <w:r>
              <w:rPr>
                <w:rFonts w:hint="eastAsia" w:asciiTheme="minorEastAsia" w:hAnsiTheme="minorEastAsia" w:eastAsiaTheme="minorEastAsia"/>
                <w:b/>
                <w:bCs/>
                <w:sz w:val="24"/>
                <w:u w:val="single"/>
              </w:rPr>
              <w:t xml:space="preserve">   </w:t>
            </w:r>
            <w:r>
              <w:rPr>
                <w:rFonts w:hint="eastAsia" w:asciiTheme="minorEastAsia" w:hAnsiTheme="minorEastAsia" w:eastAsiaTheme="minorEastAsia"/>
                <w:b/>
                <w:bCs/>
                <w:sz w:val="24"/>
              </w:rPr>
              <w:t>分）</w:t>
            </w:r>
          </w:p>
        </w:tc>
        <w:tc>
          <w:tcPr>
            <w:tcW w:w="784" w:type="pct"/>
            <w:tcBorders>
              <w:top w:val="single" w:color="auto" w:sz="4" w:space="0"/>
              <w:left w:val="single" w:color="auto" w:sz="4" w:space="0"/>
              <w:bottom w:val="single" w:color="auto" w:sz="4" w:space="0"/>
              <w:right w:val="single" w:color="auto" w:sz="4" w:space="0"/>
            </w:tcBorders>
            <w:vAlign w:val="center"/>
          </w:tcPr>
          <w:p w14:paraId="1B3F32EE">
            <w:pPr>
              <w:spacing w:line="360" w:lineRule="auto"/>
              <w:jc w:val="center"/>
              <w:rPr>
                <w:rFonts w:asciiTheme="minorEastAsia" w:hAnsiTheme="minorEastAsia" w:eastAsiaTheme="minorEastAsia"/>
                <w:bCs/>
                <w:sz w:val="24"/>
              </w:rPr>
            </w:pPr>
            <w:r>
              <w:rPr>
                <w:rFonts w:hint="eastAsia" w:ascii="宋体" w:hAnsi="宋体" w:eastAsia="宋体" w:cs="宋体"/>
                <w:b/>
                <w:bCs/>
                <w:kern w:val="0"/>
                <w:sz w:val="24"/>
                <w:szCs w:val="24"/>
              </w:rPr>
              <w:t>（一）投标人业绩</w:t>
            </w:r>
          </w:p>
        </w:tc>
        <w:tc>
          <w:tcPr>
            <w:tcW w:w="3227" w:type="pct"/>
            <w:tcBorders>
              <w:top w:val="single" w:color="auto" w:sz="4" w:space="0"/>
              <w:left w:val="single" w:color="auto" w:sz="4" w:space="0"/>
              <w:bottom w:val="single" w:color="auto" w:sz="4" w:space="0"/>
              <w:right w:val="single" w:color="auto" w:sz="4" w:space="0"/>
            </w:tcBorders>
            <w:vAlign w:val="center"/>
          </w:tcPr>
          <w:p w14:paraId="6122652A">
            <w:pPr>
              <w:jc w:val="left"/>
              <w:rPr>
                <w:rFonts w:ascii="宋体" w:hAnsi="宋体" w:eastAsia="宋体" w:cs="宋体"/>
                <w:bCs/>
                <w:sz w:val="24"/>
                <w:szCs w:val="24"/>
              </w:rPr>
            </w:pPr>
            <w:r>
              <w:rPr>
                <w:rFonts w:hint="eastAsia" w:ascii="宋体" w:hAnsi="宋体" w:eastAsia="宋体" w:cs="宋体"/>
                <w:bCs/>
                <w:sz w:val="24"/>
                <w:szCs w:val="24"/>
              </w:rPr>
              <w:t>投标人2022年1月1日以来（以合同签订时间为准），每有1项水利工程施工或水利设施养护业绩得5分，最多得15分。</w:t>
            </w:r>
          </w:p>
          <w:p w14:paraId="038A3E1C">
            <w:pPr>
              <w:jc w:val="left"/>
              <w:rPr>
                <w:rFonts w:asciiTheme="minorEastAsia" w:hAnsiTheme="minorEastAsia" w:eastAsiaTheme="minorEastAsia"/>
                <w:bCs/>
                <w:sz w:val="24"/>
              </w:rPr>
            </w:pPr>
            <w:r>
              <w:rPr>
                <w:rFonts w:hint="eastAsia" w:ascii="宋体" w:hAnsi="宋体" w:eastAsia="宋体" w:cs="宋体"/>
                <w:b/>
                <w:sz w:val="24"/>
                <w:szCs w:val="24"/>
              </w:rPr>
              <w:t>注：投标文件中须提供合同扫描件，如合同无法体现签订时间、业绩内容等评审要素的，须另附合同甲方加盖公章的证明材料扫描件，否则本项不得分。</w:t>
            </w:r>
          </w:p>
        </w:tc>
        <w:tc>
          <w:tcPr>
            <w:tcW w:w="550" w:type="pct"/>
            <w:tcBorders>
              <w:top w:val="single" w:color="auto" w:sz="4" w:space="0"/>
              <w:left w:val="single" w:color="auto" w:sz="4" w:space="0"/>
              <w:bottom w:val="single" w:color="auto" w:sz="4" w:space="0"/>
              <w:right w:val="single" w:color="auto" w:sz="4" w:space="0"/>
            </w:tcBorders>
            <w:vAlign w:val="center"/>
          </w:tcPr>
          <w:p w14:paraId="3266BB8C">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637F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937C9FD">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57297BF0">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（二）项目负责人能力</w:t>
            </w:r>
          </w:p>
        </w:tc>
        <w:tc>
          <w:tcPr>
            <w:tcW w:w="3227" w:type="pct"/>
            <w:tcBorders>
              <w:top w:val="single" w:color="auto" w:sz="4" w:space="0"/>
              <w:left w:val="single" w:color="auto" w:sz="4" w:space="0"/>
              <w:bottom w:val="single" w:color="auto" w:sz="4" w:space="0"/>
              <w:right w:val="single" w:color="auto" w:sz="4" w:space="0"/>
            </w:tcBorders>
            <w:vAlign w:val="center"/>
          </w:tcPr>
          <w:p w14:paraId="10A1CDB0">
            <w:pPr>
              <w:jc w:val="left"/>
              <w:rPr>
                <w:rFonts w:ascii="宋体" w:hAnsi="宋体" w:eastAsia="宋体" w:cs="宋体"/>
                <w:bCs/>
                <w:sz w:val="24"/>
                <w:szCs w:val="24"/>
              </w:rPr>
            </w:pPr>
            <w:r>
              <w:rPr>
                <w:rFonts w:hint="eastAsia" w:ascii="宋体" w:hAnsi="宋体" w:eastAsia="宋体" w:cs="宋体"/>
                <w:bCs/>
                <w:sz w:val="24"/>
                <w:szCs w:val="24"/>
              </w:rPr>
              <w:t>（1）投标人拟任项目负责人每有1项水利工程施工或水利设施养护项目负责人业绩得5分，最多得10分。</w:t>
            </w:r>
          </w:p>
          <w:p w14:paraId="43CA1BAE">
            <w:pPr>
              <w:pStyle w:val="10"/>
              <w:rPr>
                <w:rFonts w:asciiTheme="minorEastAsia" w:hAnsiTheme="minorEastAsia"/>
                <w:sz w:val="24"/>
              </w:rPr>
            </w:pPr>
            <w:r>
              <w:rPr>
                <w:rStyle w:val="59"/>
                <w:rFonts w:hint="eastAsia" w:hAnsi="宋体" w:eastAsia="宋体" w:cs="宋体"/>
                <w:b/>
                <w:bCs/>
                <w:sz w:val="24"/>
                <w:szCs w:val="24"/>
              </w:rPr>
              <w:t>注：</w:t>
            </w:r>
            <w:r>
              <w:rPr>
                <w:rFonts w:hint="eastAsia" w:hAnsi="宋体" w:eastAsia="宋体" w:cs="宋体"/>
                <w:b/>
                <w:sz w:val="24"/>
                <w:szCs w:val="24"/>
              </w:rPr>
              <w:t>投标文件中须提供合同扫描件，如合同无法体现签订时间、业绩内容、项目负责人姓名等评审要素的，须另附合同甲方加盖公章的证明材料扫描件，否则本项不得分。</w:t>
            </w:r>
          </w:p>
        </w:tc>
        <w:tc>
          <w:tcPr>
            <w:tcW w:w="550" w:type="pct"/>
            <w:vMerge w:val="restart"/>
            <w:tcBorders>
              <w:top w:val="single" w:color="auto" w:sz="4" w:space="0"/>
              <w:left w:val="single" w:color="auto" w:sz="4" w:space="0"/>
              <w:right w:val="single" w:color="auto" w:sz="4" w:space="0"/>
            </w:tcBorders>
            <w:vAlign w:val="center"/>
          </w:tcPr>
          <w:p w14:paraId="4009B0A2">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0-15分</w:t>
            </w:r>
          </w:p>
        </w:tc>
      </w:tr>
      <w:tr w14:paraId="026D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279BA082">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right w:val="single" w:color="auto" w:sz="4" w:space="0"/>
            </w:tcBorders>
            <w:vAlign w:val="center"/>
          </w:tcPr>
          <w:p w14:paraId="79BA5549">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40C3FEA4">
            <w:pPr>
              <w:pStyle w:val="10"/>
              <w:numPr>
                <w:ilvl w:val="0"/>
                <w:numId w:val="4"/>
              </w:numPr>
              <w:rPr>
                <w:rFonts w:hAnsi="宋体" w:eastAsia="宋体" w:cs="宋体"/>
                <w:bCs/>
                <w:sz w:val="24"/>
                <w:szCs w:val="24"/>
              </w:rPr>
            </w:pPr>
            <w:r>
              <w:rPr>
                <w:rFonts w:hint="eastAsia" w:hAnsi="宋体" w:eastAsia="宋体" w:cs="宋体"/>
                <w:bCs/>
                <w:sz w:val="24"/>
                <w:szCs w:val="24"/>
              </w:rPr>
              <w:t>项目负责人具有安全相关人员证书的得3分。</w:t>
            </w:r>
          </w:p>
          <w:p w14:paraId="748734B7">
            <w:pPr>
              <w:pStyle w:val="10"/>
              <w:rPr>
                <w:rStyle w:val="59"/>
                <w:rFonts w:hAnsi="宋体" w:eastAsia="宋体" w:cs="宋体"/>
                <w:b/>
                <w:bCs/>
                <w:sz w:val="24"/>
                <w:szCs w:val="24"/>
              </w:rPr>
            </w:pPr>
            <w:r>
              <w:rPr>
                <w:rFonts w:hint="eastAsia" w:hAnsi="宋体" w:eastAsia="宋体" w:cs="宋体"/>
                <w:bCs/>
                <w:sz w:val="24"/>
                <w:szCs w:val="24"/>
              </w:rPr>
              <w:t>注：</w:t>
            </w:r>
            <w:r>
              <w:rPr>
                <w:rFonts w:hint="eastAsia" w:hAnsi="宋体" w:eastAsia="宋体" w:cs="宋体"/>
                <w:b/>
                <w:sz w:val="24"/>
                <w:szCs w:val="24"/>
              </w:rPr>
              <w:t>投标文件</w:t>
            </w:r>
            <w:r>
              <w:rPr>
                <w:rStyle w:val="59"/>
                <w:rFonts w:hint="eastAsia" w:hAnsi="宋体" w:eastAsia="宋体" w:cs="宋体"/>
                <w:b/>
                <w:bCs/>
                <w:sz w:val="24"/>
                <w:szCs w:val="24"/>
              </w:rPr>
              <w:t>中须提供相关证书扫描件；</w:t>
            </w:r>
          </w:p>
          <w:p w14:paraId="79FF3C0A">
            <w:pPr>
              <w:pStyle w:val="10"/>
              <w:rPr>
                <w:rFonts w:asciiTheme="minorEastAsia" w:hAnsiTheme="minorEastAsia"/>
                <w:sz w:val="24"/>
              </w:rPr>
            </w:pPr>
            <w:r>
              <w:rPr>
                <w:rStyle w:val="59"/>
                <w:rFonts w:hint="eastAsia" w:hAnsi="宋体" w:eastAsia="宋体" w:cs="宋体"/>
                <w:b/>
                <w:bCs/>
                <w:sz w:val="24"/>
                <w:szCs w:val="24"/>
              </w:rPr>
              <w:t>（安全相关人员证书包括但不限于以下：安全员、安全生产考核合格证、注册安全工程师等相关行政主管部门颁发的证书或技术职称,各协会及山寨社团颁发的证书不予认可。）</w:t>
            </w:r>
          </w:p>
        </w:tc>
        <w:tc>
          <w:tcPr>
            <w:tcW w:w="550" w:type="pct"/>
            <w:vMerge w:val="continue"/>
            <w:tcBorders>
              <w:left w:val="single" w:color="auto" w:sz="4" w:space="0"/>
              <w:right w:val="single" w:color="auto" w:sz="4" w:space="0"/>
            </w:tcBorders>
            <w:vAlign w:val="center"/>
          </w:tcPr>
          <w:p w14:paraId="43CBD3F5">
            <w:pPr>
              <w:spacing w:line="360" w:lineRule="auto"/>
              <w:jc w:val="center"/>
              <w:rPr>
                <w:rFonts w:asciiTheme="minorEastAsia" w:hAnsiTheme="minorEastAsia" w:eastAsiaTheme="minorEastAsia"/>
                <w:b/>
                <w:bCs/>
                <w:sz w:val="24"/>
              </w:rPr>
            </w:pPr>
          </w:p>
        </w:tc>
      </w:tr>
      <w:tr w14:paraId="678E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144737C8">
            <w:pPr>
              <w:spacing w:line="360" w:lineRule="auto"/>
              <w:ind w:firstLine="435"/>
              <w:jc w:val="center"/>
              <w:rPr>
                <w:rFonts w:asciiTheme="minorEastAsia" w:hAnsiTheme="minorEastAsia" w:eastAsiaTheme="minorEastAsia"/>
                <w:b/>
                <w:bCs/>
                <w:sz w:val="24"/>
              </w:rPr>
            </w:pPr>
          </w:p>
        </w:tc>
        <w:tc>
          <w:tcPr>
            <w:tcW w:w="784" w:type="pct"/>
            <w:vMerge w:val="continue"/>
            <w:tcBorders>
              <w:left w:val="single" w:color="auto" w:sz="4" w:space="0"/>
              <w:bottom w:val="single" w:color="auto" w:sz="4" w:space="0"/>
              <w:right w:val="single" w:color="auto" w:sz="4" w:space="0"/>
            </w:tcBorders>
            <w:vAlign w:val="center"/>
          </w:tcPr>
          <w:p w14:paraId="1860BF90">
            <w:pPr>
              <w:pStyle w:val="10"/>
              <w:rPr>
                <w:rFonts w:asciiTheme="minorEastAsia" w:hAnsiTheme="minorEastAsia"/>
                <w:sz w:val="24"/>
              </w:rPr>
            </w:pPr>
          </w:p>
        </w:tc>
        <w:tc>
          <w:tcPr>
            <w:tcW w:w="3227" w:type="pct"/>
            <w:tcBorders>
              <w:top w:val="single" w:color="auto" w:sz="4" w:space="0"/>
              <w:left w:val="single" w:color="auto" w:sz="4" w:space="0"/>
              <w:bottom w:val="single" w:color="auto" w:sz="4" w:space="0"/>
              <w:right w:val="single" w:color="auto" w:sz="4" w:space="0"/>
            </w:tcBorders>
            <w:vAlign w:val="center"/>
          </w:tcPr>
          <w:p w14:paraId="79761A24">
            <w:pPr>
              <w:pStyle w:val="10"/>
              <w:numPr>
                <w:ilvl w:val="0"/>
                <w:numId w:val="4"/>
              </w:numPr>
              <w:rPr>
                <w:rFonts w:hAnsi="宋体" w:eastAsia="宋体" w:cs="宋体"/>
                <w:bCs/>
                <w:sz w:val="24"/>
                <w:szCs w:val="24"/>
              </w:rPr>
            </w:pPr>
            <w:r>
              <w:rPr>
                <w:rFonts w:hint="eastAsia" w:hAnsi="宋体" w:eastAsia="宋体" w:cs="宋体"/>
                <w:bCs/>
                <w:sz w:val="24"/>
                <w:szCs w:val="24"/>
              </w:rPr>
              <w:t>项目负责人具有水利或园林或建筑或市政相关专业中级及以上技术职称证书的得2分；具有上述专业初级技术职称证书的得1分，最多得2分。</w:t>
            </w:r>
          </w:p>
          <w:p w14:paraId="7EDA44F7">
            <w:pPr>
              <w:pStyle w:val="10"/>
              <w:rPr>
                <w:rFonts w:asciiTheme="minorEastAsia" w:hAnsiTheme="minorEastAsia"/>
                <w:sz w:val="24"/>
              </w:rPr>
            </w:pPr>
            <w:r>
              <w:rPr>
                <w:rFonts w:hint="eastAsia" w:hAnsi="宋体" w:eastAsia="宋体" w:cs="宋体"/>
                <w:b/>
                <w:sz w:val="24"/>
                <w:szCs w:val="24"/>
              </w:rPr>
              <w:t>注：①投标文件</w:t>
            </w:r>
            <w:r>
              <w:rPr>
                <w:rStyle w:val="59"/>
                <w:rFonts w:hint="eastAsia" w:hAnsi="宋体" w:eastAsia="宋体" w:cs="宋体"/>
                <w:b/>
                <w:bCs/>
                <w:sz w:val="24"/>
                <w:szCs w:val="24"/>
              </w:rPr>
              <w:t>中须提供相关证书扫描件；②项目负责人职称证书得分按照最高计算，一个人只计分一次。</w:t>
            </w:r>
          </w:p>
        </w:tc>
        <w:tc>
          <w:tcPr>
            <w:tcW w:w="550" w:type="pct"/>
            <w:vMerge w:val="continue"/>
            <w:tcBorders>
              <w:left w:val="single" w:color="auto" w:sz="4" w:space="0"/>
              <w:bottom w:val="single" w:color="auto" w:sz="4" w:space="0"/>
              <w:right w:val="single" w:color="auto" w:sz="4" w:space="0"/>
            </w:tcBorders>
            <w:vAlign w:val="center"/>
          </w:tcPr>
          <w:p w14:paraId="7913DF8A">
            <w:pPr>
              <w:spacing w:line="360" w:lineRule="auto"/>
              <w:jc w:val="center"/>
              <w:rPr>
                <w:rFonts w:asciiTheme="minorEastAsia" w:hAnsiTheme="minorEastAsia" w:eastAsiaTheme="minorEastAsia"/>
                <w:b/>
                <w:bCs/>
                <w:sz w:val="24"/>
              </w:rPr>
            </w:pPr>
          </w:p>
        </w:tc>
      </w:tr>
      <w:tr w14:paraId="7084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8D0C043">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3C3D5671">
            <w:pPr>
              <w:spacing w:line="360" w:lineRule="auto"/>
              <w:jc w:val="center"/>
              <w:rPr>
                <w:rFonts w:asciiTheme="minorEastAsia" w:hAnsiTheme="minorEastAsia" w:eastAsiaTheme="minorEastAsia"/>
                <w:sz w:val="24"/>
              </w:rPr>
            </w:pPr>
            <w:r>
              <w:rPr>
                <w:rFonts w:hint="eastAsia" w:ascii="宋体" w:hAnsi="宋体" w:eastAsia="宋体" w:cs="宋体"/>
                <w:b/>
                <w:bCs/>
                <w:kern w:val="0"/>
                <w:sz w:val="24"/>
                <w:szCs w:val="24"/>
              </w:rPr>
              <w:t>（三）</w:t>
            </w:r>
            <w:r>
              <w:rPr>
                <w:rFonts w:hint="eastAsia" w:ascii="宋体" w:hAnsi="宋体" w:eastAsia="宋体" w:cs="宋体"/>
                <w:sz w:val="24"/>
                <w:szCs w:val="24"/>
              </w:rPr>
              <w:t>投标人</w:t>
            </w:r>
            <w:r>
              <w:rPr>
                <w:rFonts w:hint="eastAsia" w:ascii="宋体" w:hAnsi="宋体" w:eastAsia="宋体" w:cs="宋体"/>
                <w:b/>
                <w:bCs/>
                <w:kern w:val="0"/>
                <w:sz w:val="24"/>
                <w:szCs w:val="24"/>
              </w:rPr>
              <w:t>认证</w:t>
            </w:r>
          </w:p>
        </w:tc>
        <w:tc>
          <w:tcPr>
            <w:tcW w:w="3227" w:type="pct"/>
            <w:tcBorders>
              <w:top w:val="single" w:color="auto" w:sz="4" w:space="0"/>
              <w:left w:val="single" w:color="auto" w:sz="4" w:space="0"/>
              <w:bottom w:val="single" w:color="auto" w:sz="4" w:space="0"/>
              <w:right w:val="single" w:color="auto" w:sz="4" w:space="0"/>
            </w:tcBorders>
            <w:vAlign w:val="center"/>
          </w:tcPr>
          <w:p w14:paraId="319B5727">
            <w:pPr>
              <w:jc w:val="left"/>
              <w:rPr>
                <w:rFonts w:ascii="宋体" w:hAnsi="宋体" w:eastAsia="宋体" w:cs="宋体"/>
                <w:bCs/>
                <w:sz w:val="24"/>
                <w:szCs w:val="24"/>
              </w:rPr>
            </w:pPr>
            <w:r>
              <w:rPr>
                <w:rFonts w:hint="eastAsia" w:ascii="宋体" w:hAnsi="宋体" w:eastAsia="宋体" w:cs="宋体"/>
                <w:bCs/>
                <w:sz w:val="24"/>
                <w:szCs w:val="24"/>
              </w:rPr>
              <w:t>投标人具有经中国国家认证认可监督管理委员会认证机构颁发的有效的下列认证的：</w:t>
            </w:r>
          </w:p>
          <w:p w14:paraId="29E37F8D">
            <w:pPr>
              <w:jc w:val="left"/>
              <w:rPr>
                <w:rFonts w:ascii="宋体" w:hAnsi="宋体" w:eastAsia="宋体" w:cs="宋体"/>
                <w:bCs/>
                <w:sz w:val="24"/>
                <w:szCs w:val="24"/>
              </w:rPr>
            </w:pPr>
            <w:r>
              <w:rPr>
                <w:rFonts w:hint="eastAsia" w:ascii="宋体" w:hAnsi="宋体" w:eastAsia="宋体" w:cs="宋体"/>
                <w:bCs/>
                <w:sz w:val="24"/>
                <w:szCs w:val="24"/>
              </w:rPr>
              <w:t>(1）质量管理体系认证；</w:t>
            </w:r>
          </w:p>
          <w:p w14:paraId="4153367F">
            <w:pPr>
              <w:jc w:val="left"/>
              <w:rPr>
                <w:rFonts w:ascii="宋体" w:hAnsi="宋体" w:eastAsia="宋体" w:cs="宋体"/>
                <w:bCs/>
                <w:sz w:val="24"/>
                <w:szCs w:val="24"/>
              </w:rPr>
            </w:pPr>
            <w:r>
              <w:rPr>
                <w:rFonts w:hint="eastAsia" w:ascii="宋体" w:hAnsi="宋体" w:eastAsia="宋体" w:cs="宋体"/>
                <w:bCs/>
                <w:sz w:val="24"/>
                <w:szCs w:val="24"/>
              </w:rPr>
              <w:t>(2）环境管理体系认证；</w:t>
            </w:r>
          </w:p>
          <w:p w14:paraId="551B049B">
            <w:pPr>
              <w:jc w:val="left"/>
              <w:rPr>
                <w:rFonts w:ascii="宋体" w:hAnsi="宋体" w:eastAsia="宋体" w:cs="宋体"/>
                <w:bCs/>
                <w:sz w:val="24"/>
                <w:szCs w:val="24"/>
              </w:rPr>
            </w:pPr>
            <w:r>
              <w:rPr>
                <w:rFonts w:hint="eastAsia" w:ascii="宋体" w:hAnsi="宋体" w:eastAsia="宋体" w:cs="宋体"/>
                <w:bCs/>
                <w:sz w:val="24"/>
                <w:szCs w:val="24"/>
              </w:rPr>
              <w:t>(3）职业健康安全管理体系认证；</w:t>
            </w:r>
          </w:p>
          <w:p w14:paraId="6886C52E">
            <w:pPr>
              <w:jc w:val="left"/>
              <w:rPr>
                <w:rFonts w:ascii="宋体" w:hAnsi="宋体" w:eastAsia="宋体" w:cs="宋体"/>
                <w:bCs/>
                <w:sz w:val="24"/>
                <w:szCs w:val="24"/>
              </w:rPr>
            </w:pPr>
            <w:r>
              <w:rPr>
                <w:rFonts w:hint="eastAsia" w:ascii="宋体" w:hAnsi="宋体" w:eastAsia="宋体" w:cs="宋体"/>
                <w:bCs/>
                <w:sz w:val="24"/>
                <w:szCs w:val="24"/>
              </w:rPr>
              <w:t>每提供1个得2分，满分6分。</w:t>
            </w:r>
          </w:p>
          <w:p w14:paraId="342E9097">
            <w:pPr>
              <w:jc w:val="left"/>
              <w:rPr>
                <w:rFonts w:asciiTheme="minorEastAsia" w:hAnsiTheme="minorEastAsia" w:eastAsiaTheme="minorEastAsia"/>
                <w:sz w:val="24"/>
              </w:rPr>
            </w:pPr>
            <w:r>
              <w:rPr>
                <w:rFonts w:hint="eastAsia" w:ascii="宋体" w:hAnsi="宋体" w:eastAsia="宋体" w:cs="宋体"/>
                <w:b/>
                <w:sz w:val="24"/>
                <w:szCs w:val="24"/>
              </w:rPr>
              <w:t>注：投标文件中须提供以上认证证书的扫描件及中国国家认证认可监督管理委员会网站查询截图，否则不得分。</w:t>
            </w:r>
          </w:p>
        </w:tc>
        <w:tc>
          <w:tcPr>
            <w:tcW w:w="550" w:type="pct"/>
            <w:tcBorders>
              <w:top w:val="single" w:color="auto" w:sz="4" w:space="0"/>
              <w:left w:val="single" w:color="auto" w:sz="4" w:space="0"/>
              <w:bottom w:val="single" w:color="auto" w:sz="4" w:space="0"/>
              <w:right w:val="single" w:color="auto" w:sz="4" w:space="0"/>
            </w:tcBorders>
            <w:vAlign w:val="center"/>
          </w:tcPr>
          <w:p w14:paraId="7FAB1D4F">
            <w:pPr>
              <w:spacing w:line="360" w:lineRule="auto"/>
              <w:jc w:val="center"/>
              <w:rPr>
                <w:rFonts w:asciiTheme="minorEastAsia" w:hAnsiTheme="minorEastAsia" w:eastAsiaTheme="minorEastAsia"/>
                <w:b/>
                <w:bCs/>
                <w:sz w:val="24"/>
              </w:rPr>
            </w:pPr>
            <w:r>
              <w:rPr>
                <w:rFonts w:hint="eastAsia" w:ascii="宋体" w:hAnsi="宋体" w:eastAsia="宋体" w:cs="宋体"/>
                <w:b/>
                <w:bCs/>
                <w:sz w:val="24"/>
                <w:szCs w:val="24"/>
              </w:rPr>
              <w:t>0-6分</w:t>
            </w:r>
          </w:p>
        </w:tc>
      </w:tr>
      <w:tr w14:paraId="35B6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5DD9672F">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5FC840DE">
            <w:pPr>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（四）养护机械人员配置</w:t>
            </w:r>
          </w:p>
        </w:tc>
        <w:tc>
          <w:tcPr>
            <w:tcW w:w="3227" w:type="pct"/>
            <w:tcBorders>
              <w:top w:val="single" w:color="auto" w:sz="4" w:space="0"/>
              <w:left w:val="single" w:color="auto" w:sz="4" w:space="0"/>
              <w:bottom w:val="single" w:color="auto" w:sz="4" w:space="0"/>
              <w:right w:val="single" w:color="auto" w:sz="4" w:space="0"/>
            </w:tcBorders>
            <w:vAlign w:val="center"/>
          </w:tcPr>
          <w:p w14:paraId="7DCFB075">
            <w:pPr>
              <w:jc w:val="left"/>
              <w:rPr>
                <w:rFonts w:ascii="宋体" w:hAnsi="宋体" w:eastAsia="宋体" w:cs="宋体"/>
                <w:bCs/>
                <w:sz w:val="24"/>
                <w:szCs w:val="24"/>
              </w:rPr>
            </w:pPr>
            <w:r>
              <w:rPr>
                <w:rFonts w:hint="eastAsia" w:ascii="宋体" w:hAnsi="宋体" w:eastAsia="宋体" w:cs="宋体"/>
                <w:bCs/>
                <w:sz w:val="24"/>
                <w:szCs w:val="24"/>
              </w:rPr>
              <w:t>(1)根据投标人提供的养护机械人员配置情况进行综合评审：拟投入的养护机械数量齐全、性能先进，人员组织架构明确、分配安排完全满足本项目养护需求、有充足的教育培训、责任监督制度完善的得8分；拟投入的养护机械数量较齐全、性能较先进，人员组织架构较明确、分配安排较能满足本项目养护需求、教育培训较充足、责任监督制度较完善的得5分；拟投入的养护机械数量基本齐全、性能基本先进，人员组织架构差、分配安排不能满足本项目养护需求、没有教育培训、责任监督制度单一的得2分；拟投入的设备数量不齐全、性能不先进，不能满足本项目养护需求的得1分；未提供对应设备得0分。</w:t>
            </w:r>
          </w:p>
          <w:p w14:paraId="2EF4177F">
            <w:pPr>
              <w:rPr>
                <w:rFonts w:ascii="宋体" w:hAnsi="宋体" w:eastAsia="宋体" w:cs="宋体"/>
                <w:b/>
                <w:sz w:val="24"/>
                <w:szCs w:val="24"/>
              </w:rPr>
            </w:pPr>
            <w:r>
              <w:rPr>
                <w:rFonts w:hint="eastAsia" w:ascii="宋体" w:hAnsi="宋体" w:eastAsia="宋体" w:cs="宋体"/>
                <w:b/>
                <w:sz w:val="24"/>
                <w:szCs w:val="24"/>
              </w:rPr>
              <w:t>（2）根据投标人提供的作业所需的非背负式的大型割草机进行评分，每提供一台加1分，最多得4分。</w:t>
            </w:r>
          </w:p>
          <w:p w14:paraId="7C15257B">
            <w:pPr>
              <w:rPr>
                <w:rFonts w:ascii="宋体" w:hAnsi="宋体" w:eastAsia="宋体" w:cs="宋体"/>
                <w:b/>
                <w:sz w:val="24"/>
                <w:szCs w:val="24"/>
              </w:rPr>
            </w:pPr>
            <w:r>
              <w:rPr>
                <w:rFonts w:hint="eastAsia" w:ascii="宋体" w:hAnsi="宋体" w:eastAsia="宋体" w:cs="宋体"/>
                <w:b/>
                <w:sz w:val="24"/>
                <w:szCs w:val="24"/>
              </w:rPr>
              <w:t>注：①投标文件中提供上述机械购买发票扫描件；②上述机械若为租赁须提供租赁协议扫描件（结束日期不早于本项目服务时间）。</w:t>
            </w:r>
          </w:p>
        </w:tc>
        <w:tc>
          <w:tcPr>
            <w:tcW w:w="550" w:type="pct"/>
            <w:tcBorders>
              <w:top w:val="single" w:color="auto" w:sz="4" w:space="0"/>
              <w:left w:val="single" w:color="auto" w:sz="4" w:space="0"/>
              <w:bottom w:val="single" w:color="auto" w:sz="4" w:space="0"/>
              <w:right w:val="single" w:color="auto" w:sz="4" w:space="0"/>
            </w:tcBorders>
            <w:vAlign w:val="center"/>
          </w:tcPr>
          <w:p w14:paraId="7A606AC0">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0～12分</w:t>
            </w:r>
          </w:p>
        </w:tc>
      </w:tr>
      <w:tr w14:paraId="1C35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5A9ADBAA">
            <w:pPr>
              <w:spacing w:line="360" w:lineRule="auto"/>
              <w:ind w:firstLine="435"/>
              <w:jc w:val="center"/>
              <w:rPr>
                <w:rFonts w:asciiTheme="minorEastAsia" w:hAnsiTheme="minorEastAsia" w:eastAsiaTheme="minorEastAsia"/>
                <w:b/>
                <w:bCs/>
                <w:sz w:val="24"/>
              </w:rPr>
            </w:pPr>
          </w:p>
        </w:tc>
        <w:tc>
          <w:tcPr>
            <w:tcW w:w="4012" w:type="pct"/>
            <w:gridSpan w:val="2"/>
            <w:tcBorders>
              <w:top w:val="single" w:color="auto" w:sz="4" w:space="0"/>
              <w:left w:val="single" w:color="auto" w:sz="4" w:space="0"/>
              <w:bottom w:val="single" w:color="auto" w:sz="4" w:space="0"/>
              <w:right w:val="single" w:color="auto" w:sz="4" w:space="0"/>
            </w:tcBorders>
            <w:vAlign w:val="center"/>
          </w:tcPr>
          <w:p w14:paraId="7E16AF4D">
            <w:pPr>
              <w:widowControl/>
              <w:adjustRightInd w:val="0"/>
              <w:snapToGrid w:val="0"/>
              <w:rPr>
                <w:rFonts w:ascii="宋体" w:hAnsi="宋体" w:eastAsia="宋体" w:cs="宋体"/>
                <w:b/>
                <w:sz w:val="24"/>
                <w:szCs w:val="24"/>
              </w:rPr>
            </w:pPr>
            <w:r>
              <w:rPr>
                <w:rFonts w:hint="eastAsia" w:ascii="宋体" w:hAnsi="宋体" w:eastAsia="宋体" w:cs="宋体"/>
                <w:b/>
                <w:bCs/>
                <w:kern w:val="0"/>
                <w:sz w:val="24"/>
                <w:szCs w:val="24"/>
              </w:rPr>
              <w:t>（五）实施方案</w:t>
            </w:r>
          </w:p>
        </w:tc>
        <w:tc>
          <w:tcPr>
            <w:tcW w:w="550" w:type="pct"/>
            <w:tcBorders>
              <w:top w:val="single" w:color="auto" w:sz="4" w:space="0"/>
              <w:left w:val="single" w:color="auto" w:sz="4" w:space="0"/>
              <w:bottom w:val="single" w:color="auto" w:sz="4" w:space="0"/>
              <w:right w:val="single" w:color="auto" w:sz="4" w:space="0"/>
            </w:tcBorders>
            <w:vAlign w:val="center"/>
          </w:tcPr>
          <w:p w14:paraId="471772FA">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0～42分</w:t>
            </w:r>
          </w:p>
        </w:tc>
      </w:tr>
      <w:tr w14:paraId="10D2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B0CC1E0">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5D46BAFF">
            <w:pPr>
              <w:jc w:val="center"/>
              <w:rPr>
                <w:rFonts w:ascii="宋体" w:hAnsi="宋体" w:eastAsia="宋体" w:cs="宋体"/>
                <w:b/>
                <w:bCs/>
                <w:kern w:val="0"/>
                <w:sz w:val="24"/>
                <w:szCs w:val="24"/>
              </w:rPr>
            </w:pPr>
            <w:r>
              <w:rPr>
                <w:rFonts w:hint="eastAsia" w:ascii="宋体" w:hAnsi="宋体" w:eastAsia="宋体" w:cs="宋体"/>
                <w:b/>
                <w:bCs/>
                <w:sz w:val="24"/>
                <w:szCs w:val="24"/>
              </w:rPr>
              <w:t>主要实施方案与技术措施：</w:t>
            </w:r>
          </w:p>
        </w:tc>
        <w:tc>
          <w:tcPr>
            <w:tcW w:w="3227" w:type="pct"/>
            <w:tcBorders>
              <w:top w:val="single" w:color="auto" w:sz="4" w:space="0"/>
              <w:left w:val="single" w:color="auto" w:sz="4" w:space="0"/>
              <w:bottom w:val="single" w:color="auto" w:sz="4" w:space="0"/>
              <w:right w:val="single" w:color="auto" w:sz="4" w:space="0"/>
            </w:tcBorders>
            <w:vAlign w:val="center"/>
          </w:tcPr>
          <w:p w14:paraId="0E63F16A">
            <w:pPr>
              <w:autoSpaceDE w:val="0"/>
              <w:autoSpaceDN w:val="0"/>
              <w:rPr>
                <w:rFonts w:ascii="宋体" w:hAnsi="宋体" w:eastAsia="宋体" w:cs="宋体"/>
                <w:bCs/>
                <w:kern w:val="0"/>
                <w:sz w:val="24"/>
                <w:szCs w:val="24"/>
                <w:lang w:val="zh-CN" w:bidi="zh-CN"/>
              </w:rPr>
            </w:pPr>
            <w:r>
              <w:rPr>
                <w:rFonts w:hint="eastAsia" w:ascii="宋体" w:hAnsi="宋体" w:eastAsia="宋体" w:cs="宋体"/>
                <w:b/>
                <w:bCs/>
                <w:sz w:val="24"/>
                <w:szCs w:val="24"/>
              </w:rPr>
              <w:t>1.主要实施方案与技术措施：各实施方法符合项目实际，有详尽的实施方案，方法科学合理、可行，能切实指导实际养护。</w:t>
            </w:r>
          </w:p>
          <w:p w14:paraId="11EFCCC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15B44622">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3E2D373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5F79557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66F8C19D">
            <w:pPr>
              <w:widowControl/>
              <w:adjustRightInd w:val="0"/>
              <w:snapToGrid w:val="0"/>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0D5C6467">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7931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57C87E96">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09C476E5">
            <w:pPr>
              <w:jc w:val="center"/>
              <w:rPr>
                <w:rFonts w:ascii="宋体" w:hAnsi="宋体" w:eastAsia="宋体" w:cs="宋体"/>
                <w:b/>
                <w:bCs/>
                <w:kern w:val="0"/>
                <w:sz w:val="24"/>
                <w:szCs w:val="24"/>
              </w:rPr>
            </w:pPr>
            <w:r>
              <w:rPr>
                <w:rFonts w:hint="eastAsia" w:ascii="宋体" w:hAnsi="宋体" w:eastAsia="宋体" w:cs="宋体"/>
                <w:b/>
                <w:bCs/>
                <w:sz w:val="24"/>
                <w:szCs w:val="24"/>
                <w:lang w:val="zh-CN"/>
              </w:rPr>
              <w:t>安全防护方案</w:t>
            </w:r>
          </w:p>
        </w:tc>
        <w:tc>
          <w:tcPr>
            <w:tcW w:w="3227" w:type="pct"/>
            <w:tcBorders>
              <w:top w:val="single" w:color="auto" w:sz="4" w:space="0"/>
              <w:left w:val="single" w:color="auto" w:sz="4" w:space="0"/>
              <w:bottom w:val="single" w:color="auto" w:sz="4" w:space="0"/>
              <w:right w:val="single" w:color="auto" w:sz="4" w:space="0"/>
            </w:tcBorders>
            <w:vAlign w:val="center"/>
          </w:tcPr>
          <w:p w14:paraId="781A717D">
            <w:pPr>
              <w:autoSpaceDE w:val="0"/>
              <w:autoSpaceDN w:val="0"/>
              <w:rPr>
                <w:rFonts w:ascii="宋体" w:hAnsi="宋体" w:eastAsia="宋体" w:cs="宋体"/>
                <w:b/>
                <w:bCs/>
                <w:sz w:val="24"/>
                <w:szCs w:val="24"/>
                <w:lang w:val="zh-CN"/>
              </w:rPr>
            </w:pPr>
            <w:r>
              <w:rPr>
                <w:rFonts w:hint="eastAsia" w:ascii="宋体" w:hAnsi="宋体" w:eastAsia="宋体" w:cs="宋体"/>
                <w:b/>
                <w:bCs/>
                <w:sz w:val="24"/>
                <w:szCs w:val="24"/>
              </w:rPr>
              <w:t>2.</w:t>
            </w:r>
            <w:r>
              <w:rPr>
                <w:rFonts w:hint="eastAsia" w:ascii="宋体" w:hAnsi="宋体" w:eastAsia="宋体" w:cs="宋体"/>
                <w:b/>
                <w:bCs/>
                <w:sz w:val="24"/>
                <w:szCs w:val="24"/>
                <w:lang w:val="zh-CN"/>
              </w:rPr>
              <w:t>安全防护方案：针对本项目特点制定科学、可行的安全防护方案。</w:t>
            </w:r>
          </w:p>
          <w:p w14:paraId="05A64C4E">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5FF795B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373FDAC9">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6C10DC14">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0635890E">
            <w:pPr>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2F16FCA6">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4D4E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0AC8426A">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389CD528">
            <w:pPr>
              <w:jc w:val="left"/>
              <w:rPr>
                <w:rFonts w:ascii="宋体" w:hAnsi="宋体" w:eastAsia="宋体" w:cs="宋体"/>
                <w:b/>
                <w:bCs/>
                <w:kern w:val="0"/>
                <w:sz w:val="24"/>
                <w:szCs w:val="24"/>
              </w:rPr>
            </w:pPr>
            <w:r>
              <w:rPr>
                <w:rFonts w:hint="eastAsia" w:ascii="宋体" w:hAnsi="宋体" w:eastAsia="宋体" w:cs="宋体"/>
                <w:b/>
                <w:bCs/>
                <w:sz w:val="24"/>
                <w:szCs w:val="24"/>
              </w:rPr>
              <w:t>斜坡作业</w:t>
            </w:r>
            <w:r>
              <w:rPr>
                <w:rFonts w:hint="eastAsia" w:ascii="宋体" w:hAnsi="宋体" w:eastAsia="宋体" w:cs="宋体"/>
                <w:b/>
                <w:bCs/>
                <w:sz w:val="24"/>
                <w:szCs w:val="24"/>
                <w:lang w:val="zh-CN"/>
              </w:rPr>
              <w:t>方案</w:t>
            </w:r>
          </w:p>
        </w:tc>
        <w:tc>
          <w:tcPr>
            <w:tcW w:w="3227" w:type="pct"/>
            <w:tcBorders>
              <w:top w:val="single" w:color="auto" w:sz="4" w:space="0"/>
              <w:left w:val="single" w:color="auto" w:sz="4" w:space="0"/>
              <w:bottom w:val="single" w:color="auto" w:sz="4" w:space="0"/>
              <w:right w:val="single" w:color="auto" w:sz="4" w:space="0"/>
            </w:tcBorders>
            <w:vAlign w:val="center"/>
          </w:tcPr>
          <w:p w14:paraId="3200FBDC">
            <w:pPr>
              <w:jc w:val="left"/>
              <w:rPr>
                <w:rFonts w:ascii="宋体" w:hAnsi="宋体" w:eastAsia="宋体" w:cs="宋体"/>
                <w:b/>
                <w:bCs/>
                <w:sz w:val="24"/>
                <w:szCs w:val="24"/>
                <w:lang w:val="zh-CN"/>
              </w:rPr>
            </w:pPr>
            <w:r>
              <w:rPr>
                <w:rFonts w:hint="eastAsia" w:ascii="宋体" w:hAnsi="宋体" w:eastAsia="宋体" w:cs="宋体"/>
                <w:b/>
                <w:bCs/>
                <w:sz w:val="24"/>
                <w:szCs w:val="24"/>
              </w:rPr>
              <w:t>3</w:t>
            </w:r>
            <w:r>
              <w:rPr>
                <w:rFonts w:hint="eastAsia" w:ascii="宋体" w:hAnsi="宋体" w:eastAsia="宋体" w:cs="宋体"/>
                <w:b/>
                <w:bCs/>
                <w:sz w:val="24"/>
                <w:szCs w:val="24"/>
                <w:lang w:val="zh-CN"/>
              </w:rPr>
              <w:t>.</w:t>
            </w:r>
            <w:r>
              <w:rPr>
                <w:rFonts w:hint="eastAsia" w:ascii="宋体" w:hAnsi="宋体" w:eastAsia="宋体" w:cs="宋体"/>
                <w:sz w:val="24"/>
                <w:szCs w:val="24"/>
              </w:rPr>
              <w:t xml:space="preserve"> </w:t>
            </w:r>
            <w:r>
              <w:rPr>
                <w:rFonts w:hint="eastAsia" w:ascii="宋体" w:hAnsi="宋体" w:eastAsia="宋体" w:cs="宋体"/>
                <w:b/>
                <w:bCs/>
                <w:sz w:val="24"/>
                <w:szCs w:val="24"/>
              </w:rPr>
              <w:t>堤坡坡比多为1:2~1:3，需根据实际编制斜坡作业方案</w:t>
            </w:r>
            <w:r>
              <w:rPr>
                <w:rFonts w:hint="eastAsia" w:ascii="宋体" w:hAnsi="宋体" w:eastAsia="宋体" w:cs="宋体"/>
                <w:b/>
                <w:bCs/>
                <w:sz w:val="24"/>
                <w:szCs w:val="24"/>
                <w:lang w:val="zh-CN"/>
              </w:rPr>
              <w:t>。</w:t>
            </w:r>
          </w:p>
          <w:p w14:paraId="5783824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23BFF34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3C502E7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，提供的非背负式大型割草机</w:t>
            </w:r>
            <w:r>
              <w:rPr>
                <w:rFonts w:hint="eastAsia" w:ascii="宋体" w:hAnsi="宋体" w:eastAsia="宋体" w:cs="宋体"/>
                <w:bCs/>
                <w:sz w:val="24"/>
                <w:szCs w:val="24"/>
              </w:rPr>
              <w:t>技术参数</w:t>
            </w:r>
            <w:r>
              <w:rPr>
                <w:rFonts w:hint="eastAsia" w:ascii="宋体" w:hAnsi="宋体" w:eastAsia="宋体" w:cs="宋体"/>
                <w:bCs/>
                <w:sz w:val="24"/>
                <w:szCs w:val="24"/>
                <w:lang w:val="zh-CN"/>
              </w:rPr>
              <w:t>适应斜坡作业，</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3E3FD3FF">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7A8F3E14">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55B7EF6A">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2088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312C93EF">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3ECE46D">
            <w:pPr>
              <w:widowControl/>
              <w:adjustRightInd w:val="0"/>
              <w:snapToGrid w:val="0"/>
              <w:jc w:val="center"/>
              <w:rPr>
                <w:rFonts w:ascii="宋体" w:hAnsi="宋体" w:eastAsia="宋体" w:cs="宋体"/>
                <w:b/>
                <w:bCs/>
                <w:kern w:val="0"/>
                <w:sz w:val="24"/>
                <w:szCs w:val="24"/>
              </w:rPr>
            </w:pPr>
            <w:r>
              <w:rPr>
                <w:rFonts w:hint="eastAsia" w:ascii="宋体" w:hAnsi="宋体" w:eastAsia="宋体" w:cs="宋体"/>
                <w:b/>
                <w:bCs/>
                <w:sz w:val="24"/>
                <w:szCs w:val="24"/>
                <w:lang w:val="zh-CN"/>
              </w:rPr>
              <w:t>临水临边作业方案</w:t>
            </w:r>
          </w:p>
        </w:tc>
        <w:tc>
          <w:tcPr>
            <w:tcW w:w="3227" w:type="pct"/>
            <w:tcBorders>
              <w:top w:val="single" w:color="auto" w:sz="4" w:space="0"/>
              <w:left w:val="single" w:color="auto" w:sz="4" w:space="0"/>
              <w:bottom w:val="single" w:color="auto" w:sz="4" w:space="0"/>
              <w:right w:val="single" w:color="auto" w:sz="4" w:space="0"/>
            </w:tcBorders>
            <w:vAlign w:val="center"/>
          </w:tcPr>
          <w:p w14:paraId="025D3535">
            <w:pPr>
              <w:jc w:val="left"/>
              <w:rPr>
                <w:rFonts w:ascii="宋体" w:hAnsi="宋体" w:eastAsia="宋体" w:cs="宋体"/>
                <w:b/>
                <w:bCs/>
                <w:sz w:val="24"/>
                <w:szCs w:val="24"/>
                <w:lang w:val="zh-CN"/>
              </w:rPr>
            </w:pPr>
            <w:r>
              <w:rPr>
                <w:rFonts w:hint="eastAsia" w:ascii="宋体" w:hAnsi="宋体" w:eastAsia="宋体" w:cs="宋体"/>
                <w:b/>
                <w:bCs/>
                <w:sz w:val="24"/>
                <w:szCs w:val="24"/>
              </w:rPr>
              <w:t>4</w:t>
            </w:r>
            <w:r>
              <w:rPr>
                <w:rFonts w:hint="eastAsia" w:ascii="宋体" w:hAnsi="宋体" w:eastAsia="宋体" w:cs="宋体"/>
                <w:b/>
                <w:bCs/>
                <w:sz w:val="24"/>
                <w:szCs w:val="24"/>
                <w:lang w:val="zh-CN"/>
              </w:rPr>
              <w:t>. 堤防养护多涉及临水临边作业，需根据实际编制临水临边作业方案。</w:t>
            </w:r>
          </w:p>
          <w:p w14:paraId="41C2E79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31276E5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43F9CA4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5D9FBBB2">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7FDF27C5">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168C7024">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40DE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437" w:type="pct"/>
            <w:vMerge w:val="continue"/>
            <w:tcBorders>
              <w:left w:val="single" w:color="auto" w:sz="4" w:space="0"/>
              <w:right w:val="single" w:color="auto" w:sz="4" w:space="0"/>
            </w:tcBorders>
            <w:vAlign w:val="center"/>
          </w:tcPr>
          <w:p w14:paraId="0614C47B">
            <w:pPr>
              <w:spacing w:line="360" w:lineRule="auto"/>
              <w:ind w:firstLine="435"/>
              <w:jc w:val="center"/>
              <w:rPr>
                <w:rFonts w:asciiTheme="minorEastAsia" w:hAnsiTheme="minorEastAsia" w:eastAsiaTheme="minorEastAsia"/>
                <w:b/>
                <w:bCs/>
                <w:sz w:val="24"/>
              </w:rPr>
            </w:pPr>
          </w:p>
        </w:tc>
        <w:tc>
          <w:tcPr>
            <w:tcW w:w="784" w:type="pct"/>
            <w:vMerge w:val="restart"/>
            <w:tcBorders>
              <w:top w:val="single" w:color="auto" w:sz="4" w:space="0"/>
              <w:left w:val="single" w:color="auto" w:sz="4" w:space="0"/>
              <w:right w:val="single" w:color="auto" w:sz="4" w:space="0"/>
            </w:tcBorders>
            <w:vAlign w:val="center"/>
          </w:tcPr>
          <w:p w14:paraId="3CE808A3">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管理制度</w:t>
            </w:r>
          </w:p>
          <w:p w14:paraId="5182A2F0">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（岗位职</w:t>
            </w:r>
          </w:p>
          <w:p w14:paraId="7DD3F29F">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责、工作规</w:t>
            </w:r>
          </w:p>
          <w:p w14:paraId="74BF3752">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范、监管措</w:t>
            </w:r>
          </w:p>
          <w:p w14:paraId="78D71BE4">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施、规章制</w:t>
            </w:r>
          </w:p>
          <w:p w14:paraId="5B7EF5D5">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度、工作</w:t>
            </w:r>
          </w:p>
          <w:p w14:paraId="6811B7C1">
            <w:pPr>
              <w:widowControl/>
              <w:jc w:val="center"/>
              <w:rPr>
                <w:rFonts w:ascii="宋体" w:hAnsi="宋体" w:eastAsia="宋体" w:cs="宋体"/>
                <w:b/>
                <w:bCs/>
                <w:sz w:val="24"/>
                <w:szCs w:val="24"/>
                <w:lang w:val="zh-CN"/>
              </w:rPr>
            </w:pPr>
            <w:r>
              <w:rPr>
                <w:rFonts w:hint="eastAsia" w:ascii="宋体" w:hAnsi="宋体" w:eastAsia="宋体" w:cs="宋体"/>
                <w:b/>
                <w:bCs/>
                <w:sz w:val="24"/>
                <w:szCs w:val="24"/>
                <w:lang w:val="zh-CN"/>
              </w:rPr>
              <w:t>流程、人员</w:t>
            </w:r>
          </w:p>
          <w:p w14:paraId="450DC878">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培训、</w:t>
            </w:r>
            <w:r>
              <w:rPr>
                <w:rFonts w:hint="eastAsia" w:ascii="宋体" w:hAnsi="宋体" w:eastAsia="宋体" w:cs="宋体"/>
                <w:b/>
                <w:bCs/>
                <w:sz w:val="24"/>
                <w:szCs w:val="24"/>
              </w:rPr>
              <w:t>应急处理</w:t>
            </w:r>
            <w:r>
              <w:rPr>
                <w:rFonts w:hint="eastAsia" w:ascii="宋体" w:hAnsi="宋体" w:eastAsia="宋体" w:cs="宋体"/>
                <w:b/>
                <w:bCs/>
                <w:sz w:val="24"/>
                <w:szCs w:val="24"/>
                <w:lang w:val="zh-CN"/>
              </w:rPr>
              <w:t>等）</w:t>
            </w:r>
          </w:p>
        </w:tc>
        <w:tc>
          <w:tcPr>
            <w:tcW w:w="3227" w:type="pct"/>
            <w:tcBorders>
              <w:top w:val="single" w:color="auto" w:sz="4" w:space="0"/>
              <w:left w:val="single" w:color="auto" w:sz="4" w:space="0"/>
              <w:bottom w:val="single" w:color="auto" w:sz="4" w:space="0"/>
              <w:right w:val="single" w:color="auto" w:sz="4" w:space="0"/>
            </w:tcBorders>
            <w:vAlign w:val="center"/>
          </w:tcPr>
          <w:p w14:paraId="6CA9AF64">
            <w:pPr>
              <w:jc w:val="left"/>
              <w:rPr>
                <w:rFonts w:ascii="宋体" w:hAnsi="宋体" w:eastAsia="宋体" w:cs="宋体"/>
                <w:b/>
                <w:bCs/>
                <w:sz w:val="24"/>
                <w:szCs w:val="24"/>
                <w:lang w:val="zh-CN"/>
              </w:rPr>
            </w:pPr>
            <w:r>
              <w:rPr>
                <w:rFonts w:hint="eastAsia" w:ascii="宋体" w:hAnsi="宋体" w:eastAsia="宋体" w:cs="宋体"/>
                <w:b/>
                <w:bCs/>
                <w:sz w:val="24"/>
                <w:szCs w:val="24"/>
              </w:rPr>
              <w:t>5</w:t>
            </w:r>
            <w:r>
              <w:rPr>
                <w:rFonts w:hint="eastAsia" w:ascii="宋体" w:hAnsi="宋体" w:eastAsia="宋体" w:cs="宋体"/>
                <w:b/>
                <w:bCs/>
                <w:sz w:val="24"/>
                <w:szCs w:val="24"/>
                <w:lang w:val="zh-CN"/>
              </w:rPr>
              <w:t>.根据投标文件中提供的管理制度进行综合评分。管理制度是否内容齐全、职责划分是否明确、工作规范是否可行、监管措施是否得力、工作流程是否清晰科学、奖惩措施是否合理可行、</w:t>
            </w:r>
            <w:r>
              <w:rPr>
                <w:rFonts w:hint="eastAsia" w:ascii="宋体" w:hAnsi="宋体" w:eastAsia="宋体" w:cs="宋体"/>
                <w:b/>
                <w:bCs/>
                <w:sz w:val="24"/>
                <w:szCs w:val="24"/>
              </w:rPr>
              <w:t>应急方案是否合理可行</w:t>
            </w:r>
            <w:r>
              <w:rPr>
                <w:rFonts w:hint="eastAsia" w:ascii="宋体" w:hAnsi="宋体" w:eastAsia="宋体" w:cs="宋体"/>
                <w:b/>
                <w:bCs/>
                <w:sz w:val="24"/>
                <w:szCs w:val="24"/>
                <w:lang w:val="zh-CN"/>
              </w:rPr>
              <w:t>等。</w:t>
            </w:r>
          </w:p>
          <w:p w14:paraId="49564A2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7B3780C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6D6FD65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75CB3131">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284C16D6">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vMerge w:val="restart"/>
            <w:tcBorders>
              <w:top w:val="single" w:color="auto" w:sz="4" w:space="0"/>
              <w:left w:val="single" w:color="auto" w:sz="4" w:space="0"/>
              <w:right w:val="single" w:color="auto" w:sz="4" w:space="0"/>
            </w:tcBorders>
            <w:vAlign w:val="center"/>
          </w:tcPr>
          <w:p w14:paraId="111C84BF">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0-7分</w:t>
            </w:r>
          </w:p>
        </w:tc>
      </w:tr>
      <w:tr w14:paraId="6449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437" w:type="pct"/>
            <w:vMerge w:val="continue"/>
            <w:tcBorders>
              <w:left w:val="single" w:color="auto" w:sz="4" w:space="0"/>
              <w:right w:val="single" w:color="auto" w:sz="4" w:space="0"/>
            </w:tcBorders>
            <w:vAlign w:val="center"/>
          </w:tcPr>
          <w:p w14:paraId="74270D5D">
            <w:pPr>
              <w:widowControl/>
              <w:jc w:val="left"/>
            </w:pPr>
          </w:p>
        </w:tc>
        <w:tc>
          <w:tcPr>
            <w:tcW w:w="784" w:type="pct"/>
            <w:vMerge w:val="continue"/>
            <w:tcBorders>
              <w:left w:val="single" w:color="auto" w:sz="4" w:space="0"/>
              <w:bottom w:val="single" w:color="auto" w:sz="4" w:space="0"/>
              <w:right w:val="single" w:color="auto" w:sz="4" w:space="0"/>
            </w:tcBorders>
            <w:vAlign w:val="center"/>
          </w:tcPr>
          <w:p w14:paraId="3138A002">
            <w:pPr>
              <w:widowControl/>
              <w:jc w:val="left"/>
            </w:pPr>
          </w:p>
        </w:tc>
        <w:tc>
          <w:tcPr>
            <w:tcW w:w="3227" w:type="pct"/>
            <w:tcBorders>
              <w:top w:val="single" w:color="auto" w:sz="4" w:space="0"/>
              <w:left w:val="single" w:color="auto" w:sz="4" w:space="0"/>
              <w:bottom w:val="single" w:color="auto" w:sz="4" w:space="0"/>
              <w:right w:val="single" w:color="auto" w:sz="4" w:space="0"/>
            </w:tcBorders>
            <w:vAlign w:val="center"/>
          </w:tcPr>
          <w:p w14:paraId="5938B7E4">
            <w:pPr>
              <w:pStyle w:val="10"/>
              <w:jc w:val="left"/>
              <w:rPr>
                <w:rFonts w:hAnsi="宋体" w:eastAsia="宋体" w:cs="宋体"/>
                <w:bCs/>
                <w:sz w:val="24"/>
                <w:szCs w:val="24"/>
              </w:rPr>
            </w:pPr>
            <w:r>
              <w:rPr>
                <w:rFonts w:hint="eastAsia" w:hAnsi="宋体" w:eastAsia="宋体" w:cs="宋体"/>
                <w:bCs/>
                <w:sz w:val="24"/>
                <w:szCs w:val="24"/>
              </w:rPr>
              <w:t>拟任项目组成员（项目负责人除外）具有安全相关人员证书的得2分。</w:t>
            </w:r>
          </w:p>
          <w:p w14:paraId="63AD4CBE">
            <w:pPr>
              <w:pStyle w:val="10"/>
              <w:jc w:val="left"/>
              <w:rPr>
                <w:rFonts w:hAnsi="宋体" w:eastAsia="宋体" w:cs="宋体"/>
                <w:b/>
                <w:sz w:val="24"/>
                <w:szCs w:val="24"/>
              </w:rPr>
            </w:pPr>
            <w:r>
              <w:rPr>
                <w:rFonts w:hint="eastAsia" w:hAnsi="宋体" w:eastAsia="宋体" w:cs="宋体"/>
                <w:b/>
                <w:sz w:val="24"/>
                <w:szCs w:val="24"/>
              </w:rPr>
              <w:t>注：投标文件中须提供相关证书扫描件。</w:t>
            </w:r>
          </w:p>
          <w:p w14:paraId="22559FAB">
            <w:pPr>
              <w:widowControl/>
              <w:jc w:val="left"/>
              <w:rPr>
                <w:rFonts w:ascii="宋体" w:hAnsi="宋体" w:eastAsia="宋体" w:cs="宋体"/>
                <w:bCs/>
                <w:sz w:val="24"/>
                <w:szCs w:val="24"/>
                <w:lang w:val="zh-CN"/>
              </w:rPr>
            </w:pPr>
            <w:r>
              <w:rPr>
                <w:rFonts w:hint="eastAsia" w:hAnsi="宋体" w:eastAsia="宋体" w:cs="宋体"/>
                <w:b/>
                <w:sz w:val="24"/>
                <w:szCs w:val="24"/>
              </w:rPr>
              <w:t>（安全相关人员证书包括但不限于以下：安全员、安全生产考核合格证、注册安全工程师、安全工程专业中级及以上技术职称等相关行政主管部门颁发的证书或技术职称,各协会及山寨社团颁发的证书不予认可。）</w:t>
            </w:r>
          </w:p>
        </w:tc>
        <w:tc>
          <w:tcPr>
            <w:tcW w:w="550" w:type="pct"/>
            <w:vMerge w:val="continue"/>
            <w:tcBorders>
              <w:left w:val="single" w:color="auto" w:sz="4" w:space="0"/>
              <w:bottom w:val="single" w:color="auto" w:sz="4" w:space="0"/>
              <w:right w:val="single" w:color="auto" w:sz="4" w:space="0"/>
            </w:tcBorders>
            <w:vAlign w:val="center"/>
          </w:tcPr>
          <w:p w14:paraId="16050C9F">
            <w:pPr>
              <w:widowControl/>
              <w:jc w:val="left"/>
              <w:rPr>
                <w:rFonts w:ascii="宋体" w:hAnsi="宋体" w:eastAsia="宋体" w:cs="宋体"/>
                <w:bCs/>
                <w:sz w:val="24"/>
                <w:szCs w:val="24"/>
                <w:lang w:val="zh-CN"/>
              </w:rPr>
            </w:pPr>
          </w:p>
        </w:tc>
      </w:tr>
      <w:tr w14:paraId="7725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0F9FD234">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2EFA6082">
            <w:pPr>
              <w:widowControl/>
              <w:jc w:val="center"/>
              <w:rPr>
                <w:rFonts w:ascii="宋体" w:hAnsi="宋体" w:eastAsia="宋体" w:cs="宋体"/>
                <w:b/>
                <w:bCs/>
                <w:kern w:val="0"/>
                <w:sz w:val="24"/>
                <w:szCs w:val="24"/>
              </w:rPr>
            </w:pPr>
            <w:r>
              <w:rPr>
                <w:rFonts w:hint="eastAsia" w:ascii="宋体" w:hAnsi="宋体" w:eastAsia="宋体" w:cs="宋体"/>
                <w:b/>
                <w:bCs/>
                <w:sz w:val="24"/>
                <w:szCs w:val="24"/>
                <w:lang w:val="zh-CN"/>
              </w:rPr>
              <w:t>项目重点难点分析</w:t>
            </w:r>
          </w:p>
        </w:tc>
        <w:tc>
          <w:tcPr>
            <w:tcW w:w="3227" w:type="pct"/>
            <w:tcBorders>
              <w:top w:val="single" w:color="auto" w:sz="4" w:space="0"/>
              <w:left w:val="single" w:color="auto" w:sz="4" w:space="0"/>
              <w:bottom w:val="single" w:color="auto" w:sz="4" w:space="0"/>
              <w:right w:val="single" w:color="auto" w:sz="4" w:space="0"/>
            </w:tcBorders>
            <w:vAlign w:val="center"/>
          </w:tcPr>
          <w:p w14:paraId="31C40CD2">
            <w:pPr>
              <w:rPr>
                <w:rFonts w:ascii="宋体" w:hAnsi="宋体" w:eastAsia="宋体" w:cs="宋体"/>
                <w:b/>
                <w:bCs/>
                <w:sz w:val="24"/>
                <w:szCs w:val="24"/>
                <w:lang w:val="zh-CN"/>
              </w:rPr>
            </w:pPr>
            <w:r>
              <w:rPr>
                <w:rFonts w:hint="eastAsia" w:ascii="宋体" w:hAnsi="宋体" w:eastAsia="宋体" w:cs="宋体"/>
                <w:b/>
                <w:bCs/>
                <w:sz w:val="24"/>
                <w:szCs w:val="24"/>
              </w:rPr>
              <w:t>6.</w:t>
            </w:r>
            <w:r>
              <w:rPr>
                <w:rFonts w:hint="eastAsia" w:ascii="宋体" w:hAnsi="宋体" w:eastAsia="宋体" w:cs="宋体"/>
                <w:b/>
                <w:bCs/>
                <w:sz w:val="24"/>
                <w:szCs w:val="24"/>
                <w:lang w:val="zh-CN"/>
              </w:rPr>
              <w:t>项目重点难点分析：对项目中的重点、难点、特点进行分析；是否和实际情况相符；以及是否提出了有针对性的技术措施或方案；</w:t>
            </w:r>
            <w:r>
              <w:rPr>
                <w:rFonts w:hint="eastAsia" w:ascii="宋体" w:hAnsi="宋体" w:eastAsia="宋体" w:cs="宋体"/>
                <w:b/>
                <w:bCs/>
                <w:sz w:val="24"/>
                <w:szCs w:val="24"/>
              </w:rPr>
              <w:t>有对危险性较大的作业现场易发生重大事故的部位、环节提供预防、监控措施和应急预案；有生产安全事故应急救援预案；有应急救援组织或者应急救援人员，并配备必要的应急救援器材、设备等等</w:t>
            </w:r>
            <w:r>
              <w:rPr>
                <w:rFonts w:hint="eastAsia" w:ascii="宋体" w:hAnsi="宋体" w:eastAsia="宋体" w:cs="宋体"/>
                <w:b/>
                <w:bCs/>
                <w:sz w:val="24"/>
                <w:szCs w:val="24"/>
                <w:lang w:val="zh-CN"/>
              </w:rPr>
              <w:t>。</w:t>
            </w:r>
          </w:p>
          <w:p w14:paraId="0FBC0A3E">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40BCB24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0ED09556">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5ABCD2ED">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7FA2E808">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3F36A6CE">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0-5分</w:t>
            </w:r>
          </w:p>
        </w:tc>
      </w:tr>
      <w:tr w14:paraId="4380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4E8E647F">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4D106D06">
            <w:pPr>
              <w:widowControl/>
              <w:jc w:val="center"/>
              <w:rPr>
                <w:rFonts w:ascii="宋体" w:hAnsi="宋体" w:eastAsia="宋体" w:cs="宋体"/>
                <w:b/>
                <w:bCs/>
                <w:kern w:val="0"/>
                <w:sz w:val="24"/>
                <w:szCs w:val="24"/>
              </w:rPr>
            </w:pPr>
            <w:r>
              <w:rPr>
                <w:rFonts w:hint="eastAsia" w:ascii="宋体" w:hAnsi="宋体" w:eastAsia="宋体" w:cs="宋体"/>
                <w:b/>
                <w:bCs/>
                <w:sz w:val="24"/>
                <w:szCs w:val="24"/>
              </w:rPr>
              <w:t>质量保证措施及进度保证措施</w:t>
            </w:r>
          </w:p>
        </w:tc>
        <w:tc>
          <w:tcPr>
            <w:tcW w:w="3227" w:type="pct"/>
            <w:tcBorders>
              <w:top w:val="single" w:color="auto" w:sz="4" w:space="0"/>
              <w:left w:val="single" w:color="auto" w:sz="4" w:space="0"/>
              <w:bottom w:val="single" w:color="auto" w:sz="4" w:space="0"/>
              <w:right w:val="single" w:color="auto" w:sz="4" w:space="0"/>
            </w:tcBorders>
            <w:vAlign w:val="center"/>
          </w:tcPr>
          <w:p w14:paraId="03B46CFE">
            <w:pPr>
              <w:jc w:val="left"/>
              <w:rPr>
                <w:rFonts w:ascii="宋体" w:hAnsi="宋体" w:eastAsia="宋体" w:cs="宋体"/>
                <w:b/>
                <w:bCs/>
                <w:sz w:val="24"/>
                <w:szCs w:val="24"/>
              </w:rPr>
            </w:pPr>
            <w:r>
              <w:rPr>
                <w:rFonts w:hint="eastAsia" w:ascii="宋体" w:hAnsi="宋体" w:eastAsia="宋体" w:cs="宋体"/>
                <w:b/>
                <w:bCs/>
                <w:sz w:val="24"/>
                <w:szCs w:val="24"/>
              </w:rPr>
              <w:t>7.质量保证措施：质量保证措施健全、合理、可操作性强；工作进度计划及进度保证措施健全，工作制度完备；保障措施合理、可操作性强。</w:t>
            </w:r>
          </w:p>
          <w:p w14:paraId="2170B8A1">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1C275D1E">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6F3E82E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3A644DF8">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055A2B45">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4B3E9E1F">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2746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continue"/>
            <w:tcBorders>
              <w:left w:val="single" w:color="auto" w:sz="4" w:space="0"/>
              <w:right w:val="single" w:color="auto" w:sz="4" w:space="0"/>
            </w:tcBorders>
            <w:vAlign w:val="center"/>
          </w:tcPr>
          <w:p w14:paraId="52A922FB">
            <w:pPr>
              <w:spacing w:line="360" w:lineRule="auto"/>
              <w:ind w:firstLine="435"/>
              <w:jc w:val="center"/>
              <w:rPr>
                <w:rFonts w:asciiTheme="minorEastAsia" w:hAnsiTheme="minorEastAsia" w:eastAsiaTheme="minorEastAsia"/>
                <w:b/>
                <w:bCs/>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525B1791">
            <w:pPr>
              <w:widowControl/>
              <w:jc w:val="left"/>
              <w:rPr>
                <w:rFonts w:ascii="宋体" w:hAnsi="宋体" w:eastAsia="宋体" w:cs="宋体"/>
                <w:b/>
                <w:bCs/>
                <w:kern w:val="0"/>
                <w:sz w:val="24"/>
                <w:szCs w:val="24"/>
              </w:rPr>
            </w:pPr>
            <w:r>
              <w:rPr>
                <w:rFonts w:hint="eastAsia" w:ascii="宋体" w:hAnsi="宋体" w:eastAsia="宋体" w:cs="宋体"/>
                <w:sz w:val="24"/>
                <w:szCs w:val="24"/>
              </w:rPr>
              <w:t>投标人</w:t>
            </w:r>
            <w:r>
              <w:rPr>
                <w:rFonts w:hint="eastAsia" w:ascii="宋体" w:hAnsi="宋体" w:eastAsia="宋体" w:cs="宋体"/>
                <w:b/>
                <w:bCs/>
                <w:sz w:val="24"/>
                <w:szCs w:val="24"/>
              </w:rPr>
              <w:t>保障安全生产的相关措施</w:t>
            </w:r>
          </w:p>
        </w:tc>
        <w:tc>
          <w:tcPr>
            <w:tcW w:w="3227" w:type="pct"/>
            <w:tcBorders>
              <w:top w:val="single" w:color="auto" w:sz="4" w:space="0"/>
              <w:left w:val="single" w:color="auto" w:sz="4" w:space="0"/>
              <w:bottom w:val="single" w:color="auto" w:sz="4" w:space="0"/>
              <w:right w:val="single" w:color="auto" w:sz="4" w:space="0"/>
            </w:tcBorders>
            <w:vAlign w:val="center"/>
          </w:tcPr>
          <w:p w14:paraId="4697C70B">
            <w:pPr>
              <w:rPr>
                <w:rFonts w:ascii="宋体" w:hAnsi="宋体" w:eastAsia="宋体" w:cs="宋体"/>
                <w:sz w:val="24"/>
                <w:szCs w:val="24"/>
              </w:rPr>
            </w:pPr>
            <w:r>
              <w:rPr>
                <w:rFonts w:hint="eastAsia" w:ascii="宋体" w:hAnsi="宋体" w:eastAsia="宋体" w:cs="宋体"/>
                <w:b/>
                <w:bCs/>
                <w:sz w:val="24"/>
                <w:szCs w:val="24"/>
              </w:rPr>
              <w:t>8.</w:t>
            </w:r>
            <w:r>
              <w:rPr>
                <w:rFonts w:hint="eastAsia" w:ascii="宋体" w:hAnsi="宋体" w:eastAsia="宋体" w:cs="宋体"/>
                <w:sz w:val="24"/>
                <w:szCs w:val="24"/>
              </w:rPr>
              <w:t>投标人</w:t>
            </w:r>
            <w:r>
              <w:rPr>
                <w:rFonts w:hint="eastAsia" w:ascii="宋体" w:hAnsi="宋体" w:eastAsia="宋体" w:cs="宋体"/>
                <w:b/>
                <w:bCs/>
                <w:sz w:val="24"/>
                <w:szCs w:val="24"/>
              </w:rPr>
              <w:t>在投标文件中提供材料或措施方案说明企业是否具备安全生产条件，包括但不限于以下几点：是否建立、健全安全生产责任制，制定完备的安全生产规章制度和操作规程；设置安全生产管理机构，按照国家有关规定配备专职安全生产管理人员；主要负责人、项目负责人、专职安全生产管理人员经过有关行政主管部门考核合格。</w:t>
            </w:r>
          </w:p>
          <w:p w14:paraId="1E07C20B">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（1）覆盖全面、要点突出，内容完整详实，表述清晰，与本项目实际需求适应度高，利于项目实施的得</w:t>
            </w:r>
            <w:r>
              <w:rPr>
                <w:rFonts w:hint="eastAsia" w:ascii="宋体" w:hAnsi="宋体" w:eastAsia="宋体" w:cs="宋体"/>
                <w:bCs/>
                <w:sz w:val="24"/>
                <w:szCs w:val="24"/>
              </w:rPr>
              <w:t>5</w:t>
            </w:r>
            <w:r>
              <w:rPr>
                <w:rFonts w:hint="eastAsia" w:ascii="宋体" w:hAnsi="宋体" w:eastAsia="宋体" w:cs="宋体"/>
                <w:bCs/>
                <w:sz w:val="24"/>
                <w:szCs w:val="24"/>
                <w:lang w:val="zh-CN"/>
              </w:rPr>
              <w:t>分；</w:t>
            </w:r>
          </w:p>
          <w:p w14:paraId="40335892">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（2）覆盖</w:t>
            </w:r>
            <w:r>
              <w:rPr>
                <w:rFonts w:hint="eastAsia" w:ascii="宋体" w:hAnsi="宋体" w:eastAsia="宋体" w:cs="宋体"/>
                <w:bCs/>
                <w:sz w:val="24"/>
                <w:szCs w:val="24"/>
              </w:rPr>
              <w:t>较</w:t>
            </w:r>
            <w:r>
              <w:rPr>
                <w:rFonts w:hint="eastAsia" w:ascii="宋体" w:hAnsi="宋体" w:eastAsia="宋体" w:cs="宋体"/>
                <w:bCs/>
                <w:sz w:val="24"/>
                <w:szCs w:val="24"/>
                <w:lang w:val="zh-CN"/>
              </w:rPr>
              <w:t>全面、要点</w:t>
            </w:r>
            <w:r>
              <w:rPr>
                <w:rFonts w:hint="eastAsia" w:ascii="宋体" w:hAnsi="宋体" w:eastAsia="宋体" w:cs="宋体"/>
                <w:bCs/>
                <w:sz w:val="24"/>
                <w:szCs w:val="24"/>
              </w:rPr>
              <w:t>较</w:t>
            </w:r>
            <w:r>
              <w:rPr>
                <w:rFonts w:hint="eastAsia" w:ascii="宋体" w:hAnsi="宋体" w:eastAsia="宋体" w:cs="宋体"/>
                <w:bCs/>
                <w:sz w:val="24"/>
                <w:szCs w:val="24"/>
                <w:lang w:val="zh-CN"/>
              </w:rPr>
              <w:t>突出，内容</w:t>
            </w:r>
            <w:r>
              <w:rPr>
                <w:rFonts w:hint="eastAsia" w:ascii="宋体" w:hAnsi="宋体" w:eastAsia="宋体" w:cs="宋体"/>
                <w:bCs/>
                <w:sz w:val="24"/>
                <w:szCs w:val="24"/>
              </w:rPr>
              <w:t>较完整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较</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较适应</w:t>
            </w:r>
            <w:r>
              <w:rPr>
                <w:rFonts w:hint="eastAsia" w:ascii="宋体" w:hAnsi="宋体" w:eastAsia="宋体" w:cs="宋体"/>
                <w:bCs/>
                <w:sz w:val="24"/>
                <w:szCs w:val="24"/>
                <w:lang w:val="zh-CN"/>
              </w:rPr>
              <w:t>，</w:t>
            </w:r>
            <w:r>
              <w:rPr>
                <w:rFonts w:hint="eastAsia" w:ascii="宋体" w:hAnsi="宋体" w:eastAsia="宋体" w:cs="宋体"/>
                <w:bCs/>
                <w:sz w:val="24"/>
                <w:szCs w:val="24"/>
              </w:rPr>
              <w:t>较</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4</w:t>
            </w:r>
            <w:r>
              <w:rPr>
                <w:rFonts w:hint="eastAsia" w:ascii="宋体" w:hAnsi="宋体" w:eastAsia="宋体" w:cs="宋体"/>
                <w:bCs/>
                <w:sz w:val="24"/>
                <w:szCs w:val="24"/>
                <w:lang w:val="zh-CN"/>
              </w:rPr>
              <w:t>分；</w:t>
            </w:r>
          </w:p>
          <w:p w14:paraId="537E37F5">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（3）覆盖</w:t>
            </w:r>
            <w:r>
              <w:rPr>
                <w:rFonts w:hint="eastAsia" w:ascii="宋体" w:hAnsi="宋体" w:eastAsia="宋体" w:cs="宋体"/>
                <w:bCs/>
                <w:sz w:val="24"/>
                <w:szCs w:val="24"/>
              </w:rPr>
              <w:t>基本</w:t>
            </w:r>
            <w:r>
              <w:rPr>
                <w:rFonts w:hint="eastAsia" w:ascii="宋体" w:hAnsi="宋体" w:eastAsia="宋体" w:cs="宋体"/>
                <w:bCs/>
                <w:sz w:val="24"/>
                <w:szCs w:val="24"/>
                <w:lang w:val="zh-CN"/>
              </w:rPr>
              <w:t>全面、要点</w:t>
            </w:r>
            <w:r>
              <w:rPr>
                <w:rFonts w:hint="eastAsia" w:ascii="宋体" w:hAnsi="宋体" w:eastAsia="宋体" w:cs="宋体"/>
                <w:bCs/>
                <w:sz w:val="24"/>
                <w:szCs w:val="24"/>
              </w:rPr>
              <w:t>基本</w:t>
            </w:r>
            <w:r>
              <w:rPr>
                <w:rFonts w:hint="eastAsia" w:ascii="宋体" w:hAnsi="宋体" w:eastAsia="宋体" w:cs="宋体"/>
                <w:bCs/>
                <w:sz w:val="24"/>
                <w:szCs w:val="24"/>
                <w:lang w:val="zh-CN"/>
              </w:rPr>
              <w:t>突出，内容</w:t>
            </w:r>
            <w:r>
              <w:rPr>
                <w:rFonts w:hint="eastAsia" w:ascii="宋体" w:hAnsi="宋体" w:eastAsia="宋体" w:cs="宋体"/>
                <w:bCs/>
                <w:sz w:val="24"/>
                <w:szCs w:val="24"/>
              </w:rPr>
              <w:t>基本完整</w:t>
            </w:r>
            <w:r>
              <w:rPr>
                <w:rFonts w:hint="eastAsia" w:ascii="宋体" w:hAnsi="宋体" w:eastAsia="宋体" w:cs="宋体"/>
                <w:bCs/>
                <w:sz w:val="24"/>
                <w:szCs w:val="24"/>
                <w:lang w:val="zh-CN"/>
              </w:rPr>
              <w:t>详实，表述</w:t>
            </w:r>
            <w:r>
              <w:rPr>
                <w:rFonts w:hint="eastAsia" w:ascii="宋体" w:hAnsi="宋体" w:eastAsia="宋体" w:cs="宋体"/>
                <w:bCs/>
                <w:sz w:val="24"/>
                <w:szCs w:val="24"/>
              </w:rPr>
              <w:t>基本</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基本适应</w:t>
            </w:r>
            <w:r>
              <w:rPr>
                <w:rFonts w:hint="eastAsia" w:ascii="宋体" w:hAnsi="宋体" w:eastAsia="宋体" w:cs="宋体"/>
                <w:bCs/>
                <w:sz w:val="24"/>
                <w:szCs w:val="24"/>
                <w:lang w:val="zh-CN"/>
              </w:rPr>
              <w:t>，</w:t>
            </w:r>
            <w:r>
              <w:rPr>
                <w:rFonts w:hint="eastAsia" w:ascii="宋体" w:hAnsi="宋体" w:eastAsia="宋体" w:cs="宋体"/>
                <w:bCs/>
                <w:sz w:val="24"/>
                <w:szCs w:val="24"/>
              </w:rPr>
              <w:t>基本</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3</w:t>
            </w:r>
            <w:r>
              <w:rPr>
                <w:rFonts w:hint="eastAsia" w:ascii="宋体" w:hAnsi="宋体" w:eastAsia="宋体" w:cs="宋体"/>
                <w:bCs/>
                <w:sz w:val="24"/>
                <w:szCs w:val="24"/>
                <w:lang w:val="zh-CN"/>
              </w:rPr>
              <w:t>分；</w:t>
            </w:r>
          </w:p>
          <w:p w14:paraId="2C36DBF0">
            <w:pPr>
              <w:widowControl/>
              <w:adjustRightInd w:val="0"/>
              <w:snapToGrid w:val="0"/>
              <w:rPr>
                <w:rFonts w:ascii="宋体" w:hAnsi="宋体" w:eastAsia="宋体" w:cs="宋体"/>
                <w:bCs/>
                <w:sz w:val="24"/>
                <w:szCs w:val="24"/>
                <w:lang w:val="zh-CN"/>
              </w:rPr>
            </w:pPr>
            <w:r>
              <w:rPr>
                <w:rFonts w:hint="eastAsia" w:ascii="宋体" w:hAnsi="宋体" w:eastAsia="宋体" w:cs="宋体"/>
                <w:bCs/>
                <w:sz w:val="24"/>
                <w:szCs w:val="24"/>
                <w:lang w:val="zh-CN"/>
              </w:rPr>
              <w:t>（4）覆盖</w:t>
            </w:r>
            <w:r>
              <w:rPr>
                <w:rFonts w:hint="eastAsia" w:ascii="宋体" w:hAnsi="宋体" w:eastAsia="宋体" w:cs="宋体"/>
                <w:bCs/>
                <w:sz w:val="24"/>
                <w:szCs w:val="24"/>
              </w:rPr>
              <w:t>不</w:t>
            </w:r>
            <w:r>
              <w:rPr>
                <w:rFonts w:hint="eastAsia" w:ascii="宋体" w:hAnsi="宋体" w:eastAsia="宋体" w:cs="宋体"/>
                <w:bCs/>
                <w:sz w:val="24"/>
                <w:szCs w:val="24"/>
                <w:lang w:val="zh-CN"/>
              </w:rPr>
              <w:t>全面、要点</w:t>
            </w:r>
            <w:r>
              <w:rPr>
                <w:rFonts w:hint="eastAsia" w:ascii="宋体" w:hAnsi="宋体" w:eastAsia="宋体" w:cs="宋体"/>
                <w:bCs/>
                <w:sz w:val="24"/>
                <w:szCs w:val="24"/>
              </w:rPr>
              <w:t>不</w:t>
            </w:r>
            <w:r>
              <w:rPr>
                <w:rFonts w:hint="eastAsia" w:ascii="宋体" w:hAnsi="宋体" w:eastAsia="宋体" w:cs="宋体"/>
                <w:bCs/>
                <w:sz w:val="24"/>
                <w:szCs w:val="24"/>
                <w:lang w:val="zh-CN"/>
              </w:rPr>
              <w:t>突出，内容</w:t>
            </w:r>
            <w:r>
              <w:rPr>
                <w:rFonts w:hint="eastAsia" w:ascii="宋体" w:hAnsi="宋体" w:eastAsia="宋体" w:cs="宋体"/>
                <w:bCs/>
                <w:sz w:val="24"/>
                <w:szCs w:val="24"/>
              </w:rPr>
              <w:t>不完整</w:t>
            </w:r>
            <w:r>
              <w:rPr>
                <w:rFonts w:hint="eastAsia" w:ascii="宋体" w:hAnsi="宋体" w:eastAsia="宋体" w:cs="宋体"/>
                <w:bCs/>
                <w:sz w:val="24"/>
                <w:szCs w:val="24"/>
                <w:lang w:val="zh-CN"/>
              </w:rPr>
              <w:t>，表述</w:t>
            </w:r>
            <w:r>
              <w:rPr>
                <w:rFonts w:hint="eastAsia" w:ascii="宋体" w:hAnsi="宋体" w:eastAsia="宋体" w:cs="宋体"/>
                <w:bCs/>
                <w:sz w:val="24"/>
                <w:szCs w:val="24"/>
              </w:rPr>
              <w:t>不</w:t>
            </w:r>
            <w:r>
              <w:rPr>
                <w:rFonts w:hint="eastAsia" w:ascii="宋体" w:hAnsi="宋体" w:eastAsia="宋体" w:cs="宋体"/>
                <w:bCs/>
                <w:sz w:val="24"/>
                <w:szCs w:val="24"/>
                <w:lang w:val="zh-CN"/>
              </w:rPr>
              <w:t>清晰，与本项目实际需求</w:t>
            </w:r>
            <w:r>
              <w:rPr>
                <w:rFonts w:hint="eastAsia" w:ascii="宋体" w:hAnsi="宋体" w:eastAsia="宋体" w:cs="宋体"/>
                <w:bCs/>
                <w:sz w:val="24"/>
                <w:szCs w:val="24"/>
              </w:rPr>
              <w:t>不适应</w:t>
            </w:r>
            <w:r>
              <w:rPr>
                <w:rFonts w:hint="eastAsia" w:ascii="宋体" w:hAnsi="宋体" w:eastAsia="宋体" w:cs="宋体"/>
                <w:bCs/>
                <w:sz w:val="24"/>
                <w:szCs w:val="24"/>
                <w:lang w:val="zh-CN"/>
              </w:rPr>
              <w:t>，</w:t>
            </w:r>
            <w:r>
              <w:rPr>
                <w:rFonts w:hint="eastAsia" w:ascii="宋体" w:hAnsi="宋体" w:eastAsia="宋体" w:cs="宋体"/>
                <w:bCs/>
                <w:sz w:val="24"/>
                <w:szCs w:val="24"/>
              </w:rPr>
              <w:t>不</w:t>
            </w:r>
            <w:r>
              <w:rPr>
                <w:rFonts w:hint="eastAsia" w:ascii="宋体" w:hAnsi="宋体" w:eastAsia="宋体" w:cs="宋体"/>
                <w:bCs/>
                <w:sz w:val="24"/>
                <w:szCs w:val="24"/>
                <w:lang w:val="zh-CN"/>
              </w:rPr>
              <w:t>符合项目实施要求的得</w:t>
            </w:r>
            <w:r>
              <w:rPr>
                <w:rFonts w:hint="eastAsia" w:ascii="宋体" w:hAnsi="宋体" w:eastAsia="宋体" w:cs="宋体"/>
                <w:bCs/>
                <w:sz w:val="24"/>
                <w:szCs w:val="24"/>
              </w:rPr>
              <w:t>2</w:t>
            </w:r>
            <w:r>
              <w:rPr>
                <w:rFonts w:hint="eastAsia" w:ascii="宋体" w:hAnsi="宋体" w:eastAsia="宋体" w:cs="宋体"/>
                <w:bCs/>
                <w:sz w:val="24"/>
                <w:szCs w:val="24"/>
                <w:lang w:val="zh-CN"/>
              </w:rPr>
              <w:t>分；</w:t>
            </w:r>
          </w:p>
          <w:p w14:paraId="0FFB1658">
            <w:pPr>
              <w:widowControl/>
              <w:jc w:val="left"/>
              <w:rPr>
                <w:rFonts w:ascii="宋体" w:hAnsi="宋体" w:eastAsia="宋体" w:cs="宋体"/>
                <w:b/>
                <w:sz w:val="24"/>
                <w:szCs w:val="24"/>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）未提供的不得分。</w:t>
            </w:r>
          </w:p>
        </w:tc>
        <w:tc>
          <w:tcPr>
            <w:tcW w:w="550" w:type="pct"/>
            <w:tcBorders>
              <w:top w:val="single" w:color="auto" w:sz="4" w:space="0"/>
              <w:left w:val="single" w:color="auto" w:sz="4" w:space="0"/>
              <w:bottom w:val="single" w:color="auto" w:sz="4" w:space="0"/>
              <w:right w:val="single" w:color="auto" w:sz="4" w:space="0"/>
            </w:tcBorders>
            <w:vAlign w:val="center"/>
          </w:tcPr>
          <w:p w14:paraId="3F9491EB">
            <w:pPr>
              <w:widowControl/>
              <w:jc w:val="center"/>
              <w:rPr>
                <w:rFonts w:ascii="宋体" w:hAnsi="宋体" w:eastAsia="宋体" w:cs="宋体"/>
                <w:b/>
                <w:bCs/>
                <w:sz w:val="24"/>
                <w:szCs w:val="24"/>
              </w:rPr>
            </w:pPr>
            <w:r>
              <w:rPr>
                <w:rFonts w:hint="eastAsia" w:ascii="宋体" w:hAnsi="宋体" w:eastAsia="宋体" w:cs="宋体"/>
                <w:b/>
                <w:bCs/>
                <w:sz w:val="24"/>
                <w:szCs w:val="24"/>
              </w:rPr>
              <w:t>0-5分</w:t>
            </w:r>
          </w:p>
        </w:tc>
      </w:tr>
      <w:tr w14:paraId="79B8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left w:val="single" w:color="auto" w:sz="4" w:space="0"/>
              <w:right w:val="single" w:color="auto" w:sz="4" w:space="0"/>
            </w:tcBorders>
            <w:vAlign w:val="center"/>
          </w:tcPr>
          <w:p w14:paraId="37E3AC4A">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价格分</w:t>
            </w:r>
          </w:p>
          <w:p w14:paraId="52A21A4C">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u w:val="single"/>
              </w:rPr>
              <w:t xml:space="preserve">10 </w:t>
            </w:r>
            <w:r>
              <w:rPr>
                <w:rFonts w:hint="eastAsia" w:asciiTheme="minorEastAsia" w:hAnsiTheme="minorEastAsia" w:eastAsiaTheme="minorEastAsia"/>
                <w:b/>
                <w:bCs/>
                <w:sz w:val="24"/>
              </w:rPr>
              <w:t>分）</w:t>
            </w:r>
          </w:p>
        </w:tc>
        <w:tc>
          <w:tcPr>
            <w:tcW w:w="4562" w:type="pct"/>
            <w:gridSpan w:val="3"/>
            <w:tcBorders>
              <w:top w:val="single" w:color="auto" w:sz="4" w:space="0"/>
              <w:left w:val="single" w:color="auto" w:sz="4" w:space="0"/>
              <w:bottom w:val="single" w:color="auto" w:sz="4" w:space="0"/>
              <w:right w:val="single" w:color="auto" w:sz="4" w:space="0"/>
            </w:tcBorders>
            <w:vAlign w:val="center"/>
          </w:tcPr>
          <w:p w14:paraId="3099BB5A">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价格分统一采用低价优先法，即满足招标文件要求且投标价格最低的投标报价为评标基准价，其价格分为满分</w:t>
            </w:r>
            <w:r>
              <w:rPr>
                <w:rFonts w:hint="eastAsia" w:asciiTheme="minorEastAsia" w:hAnsiTheme="minorEastAsia" w:eastAsiaTheme="minorEastAsia"/>
                <w:b/>
                <w:bCs/>
                <w:sz w:val="24"/>
                <w:u w:val="single"/>
              </w:rPr>
              <w:t>10</w:t>
            </w:r>
            <w:r>
              <w:rPr>
                <w:rFonts w:hint="eastAsia" w:asciiTheme="minorEastAsia" w:hAnsiTheme="minorEastAsia" w:eastAsiaTheme="minorEastAsia"/>
                <w:b/>
                <w:bCs/>
                <w:sz w:val="24"/>
              </w:rPr>
              <w:t>分。其他投标人的价格分统一按照下列公式计算：</w:t>
            </w:r>
          </w:p>
          <w:p w14:paraId="72C59B51">
            <w:pPr>
              <w:pStyle w:val="29"/>
              <w:widowControl w:val="0"/>
              <w:spacing w:before="0" w:beforeAutospacing="0" w:after="0" w:afterAutospacing="0"/>
              <w:jc w:val="both"/>
              <w:rPr>
                <w:rFonts w:asciiTheme="minorEastAsia" w:hAnsiTheme="minorEastAsia" w:eastAsiaTheme="minorEastAsia"/>
                <w:sz w:val="24"/>
              </w:rPr>
            </w:pPr>
            <w:r>
              <w:rPr>
                <w:rFonts w:hint="eastAsia" w:asciiTheme="minorEastAsia" w:hAnsiTheme="minorEastAsia" w:eastAsiaTheme="minorEastAsia"/>
                <w:sz w:val="24"/>
              </w:rPr>
              <w:t>投标报价得分＝（评标基准价/投标报价）×</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％×100</w:t>
            </w:r>
          </w:p>
          <w:p w14:paraId="0B9CD6CE">
            <w:pPr>
              <w:spacing w:line="360" w:lineRule="auto"/>
              <w:rPr>
                <w:rFonts w:asciiTheme="minorEastAsia" w:hAnsiTheme="minorEastAsia" w:eastAsiaTheme="minorEastAsia"/>
                <w:b/>
                <w:bCs/>
                <w:sz w:val="24"/>
              </w:rPr>
            </w:pPr>
            <w:r>
              <w:rPr>
                <w:rFonts w:hint="eastAsia" w:ascii="宋体" w:hAnsi="宋体" w:eastAsia="宋体" w:cs="宋体"/>
                <w:b/>
                <w:bCs/>
                <w:i/>
                <w:iCs/>
                <w:color w:val="FF0000"/>
                <w:kern w:val="2"/>
                <w:sz w:val="24"/>
                <w:szCs w:val="24"/>
                <w:u w:val="none"/>
              </w:rPr>
              <w:t>注：（1）第2包至第11包投标人的投标报价得分按综合单价进行评审。</w:t>
            </w:r>
            <w:r>
              <w:rPr>
                <w:rFonts w:hint="eastAsia" w:ascii="宋体" w:hAnsi="宋体" w:eastAsia="宋体" w:cs="宋体"/>
                <w:b/>
                <w:bCs/>
                <w:i/>
                <w:iCs/>
                <w:color w:val="FF0000"/>
                <w:sz w:val="24"/>
                <w:szCs w:val="24"/>
                <w:u w:val="none"/>
              </w:rPr>
              <w:t>（</w:t>
            </w:r>
            <w:r>
              <w:rPr>
                <w:rFonts w:hint="eastAsia" w:ascii="宋体" w:hAnsi="宋体" w:eastAsia="宋体" w:cs="宋体"/>
                <w:b/>
                <w:bCs/>
                <w:i/>
                <w:iCs/>
                <w:color w:val="FF0000"/>
                <w:sz w:val="24"/>
                <w:szCs w:val="24"/>
                <w:u w:val="none"/>
                <w:lang w:val="en-US" w:eastAsia="zh-CN"/>
              </w:rPr>
              <w:t>2</w:t>
            </w:r>
            <w:r>
              <w:rPr>
                <w:rFonts w:hint="eastAsia" w:ascii="宋体" w:hAnsi="宋体" w:eastAsia="宋体" w:cs="宋体"/>
                <w:b/>
                <w:bCs/>
                <w:i/>
                <w:iCs/>
                <w:color w:val="FF0000"/>
                <w:sz w:val="24"/>
                <w:szCs w:val="24"/>
                <w:u w:val="none"/>
              </w:rPr>
              <w:t>）计算结果保留至小数点后两位数，第三位四舍五入</w:t>
            </w:r>
          </w:p>
        </w:tc>
      </w:tr>
    </w:tbl>
    <w:p w14:paraId="6C50601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.3.3</w:t>
      </w:r>
      <w:r>
        <w:rPr>
          <w:rFonts w:hint="eastAsia" w:asciiTheme="minorEastAsia" w:hAnsiTheme="minorEastAsia" w:eastAsiaTheme="minorEastAsia"/>
          <w:sz w:val="24"/>
        </w:rPr>
        <w:t>分值汇总</w:t>
      </w:r>
    </w:p>
    <w:p w14:paraId="5D185F0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评标委员会各成员应当独立对每个</w:t>
      </w:r>
      <w:r>
        <w:rPr>
          <w:rFonts w:hint="eastAsia" w:asciiTheme="minorEastAsia" w:hAnsiTheme="minorEastAsia" w:eastAsiaTheme="minorEastAsia"/>
          <w:sz w:val="24"/>
        </w:rPr>
        <w:t>有效</w:t>
      </w:r>
      <w:r>
        <w:rPr>
          <w:rFonts w:asciiTheme="minorEastAsia" w:hAnsiTheme="minorEastAsia" w:eastAsiaTheme="minorEastAsia"/>
          <w:sz w:val="24"/>
        </w:rPr>
        <w:t>投标人的投标文件进行评</w:t>
      </w:r>
      <w:r>
        <w:rPr>
          <w:rFonts w:hint="eastAsia" w:asciiTheme="minorEastAsia" w:hAnsiTheme="minorEastAsia" w:eastAsiaTheme="minorEastAsia"/>
          <w:sz w:val="24"/>
        </w:rPr>
        <w:t>分</w:t>
      </w:r>
      <w:r>
        <w:rPr>
          <w:rFonts w:asciiTheme="minorEastAsia" w:hAnsiTheme="minorEastAsia" w:eastAsiaTheme="minorEastAsia"/>
          <w:sz w:val="24"/>
        </w:rPr>
        <w:t>，并汇总每个投</w:t>
      </w:r>
      <w:r>
        <w:rPr>
          <w:rFonts w:hint="eastAsia" w:asciiTheme="minorEastAsia" w:hAnsiTheme="minorEastAsia" w:eastAsiaTheme="minorEastAsia"/>
          <w:sz w:val="24"/>
        </w:rPr>
        <w:t>标人的得分。取各位评委评分之平均值，四舍五入保留至小数点后两位数，</w:t>
      </w:r>
      <w:r>
        <w:rPr>
          <w:rFonts w:asciiTheme="minorEastAsia" w:hAnsiTheme="minorEastAsia" w:eastAsiaTheme="minorEastAsia"/>
          <w:sz w:val="24"/>
        </w:rPr>
        <w:t>得到该投标</w:t>
      </w:r>
      <w:r>
        <w:rPr>
          <w:rFonts w:hint="eastAsia" w:asciiTheme="minorEastAsia" w:hAnsiTheme="minorEastAsia" w:eastAsiaTheme="minorEastAsia"/>
          <w:sz w:val="24"/>
        </w:rPr>
        <w:t>人</w:t>
      </w:r>
      <w:r>
        <w:rPr>
          <w:rFonts w:asciiTheme="minorEastAsia" w:hAnsiTheme="minorEastAsia" w:eastAsiaTheme="minorEastAsia"/>
          <w:sz w:val="24"/>
        </w:rPr>
        <w:t>的技术资信分</w:t>
      </w:r>
      <w:r>
        <w:rPr>
          <w:rFonts w:hint="eastAsia" w:asciiTheme="minorEastAsia" w:hAnsiTheme="minorEastAsia" w:eastAsiaTheme="minorEastAsia"/>
          <w:sz w:val="24"/>
        </w:rPr>
        <w:t>。</w:t>
      </w:r>
    </w:p>
    <w:p w14:paraId="2B78B4ED">
      <w:pPr>
        <w:adjustRightInd w:val="0"/>
        <w:snapToGrid w:val="0"/>
        <w:spacing w:line="5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将投标</w:t>
      </w:r>
      <w:r>
        <w:rPr>
          <w:rFonts w:hint="eastAsia" w:asciiTheme="minorEastAsia" w:hAnsiTheme="minorEastAsia" w:eastAsiaTheme="minorEastAsia"/>
          <w:sz w:val="24"/>
        </w:rPr>
        <w:t>人</w:t>
      </w:r>
      <w:r>
        <w:rPr>
          <w:rFonts w:asciiTheme="minorEastAsia" w:hAnsiTheme="minorEastAsia" w:eastAsiaTheme="minorEastAsia"/>
          <w:sz w:val="24"/>
        </w:rPr>
        <w:t>的技术资信分加上根据上述标准计算出的价格分，即为该投标</w:t>
      </w:r>
      <w:r>
        <w:rPr>
          <w:rFonts w:hint="eastAsia" w:asciiTheme="minorEastAsia" w:hAnsiTheme="minorEastAsia" w:eastAsiaTheme="minorEastAsia"/>
          <w:sz w:val="24"/>
        </w:rPr>
        <w:t>人</w:t>
      </w:r>
      <w:r>
        <w:rPr>
          <w:rFonts w:asciiTheme="minorEastAsia" w:hAnsiTheme="minorEastAsia" w:eastAsiaTheme="minorEastAsia"/>
          <w:sz w:val="24"/>
        </w:rPr>
        <w:t>的综合总得分。</w:t>
      </w:r>
    </w:p>
    <w:p w14:paraId="60174508">
      <w:pPr>
        <w:adjustRightInd w:val="0"/>
        <w:snapToGrid w:val="0"/>
        <w:spacing w:line="560" w:lineRule="exact"/>
        <w:ind w:firstLine="482" w:firstLineChars="200"/>
        <w:jc w:val="left"/>
        <w:rPr>
          <w:rFonts w:ascii="宋体" w:hAnsi="宋体" w:eastAsia="宋体" w:cs="宋体"/>
          <w:b/>
          <w:bCs/>
          <w:color w:val="FF0000"/>
          <w:kern w:val="0"/>
          <w:sz w:val="24"/>
          <w:szCs w:val="24"/>
        </w:rPr>
      </w:pPr>
      <w:r>
        <w:rPr>
          <w:rFonts w:hint="eastAsia" w:asciiTheme="minorEastAsia" w:hAnsiTheme="minorEastAsia" w:eastAsiaTheme="minorEastAsia"/>
          <w:b/>
          <w:bCs/>
          <w:color w:val="FF0000"/>
          <w:sz w:val="24"/>
        </w:rPr>
        <w:t>（3）</w:t>
      </w:r>
      <w:r>
        <w:rPr>
          <w:rFonts w:hint="eastAsia" w:ascii="宋体" w:hAnsi="宋体" w:eastAsia="宋体" w:cs="宋体"/>
          <w:b/>
          <w:bCs/>
          <w:color w:val="FF0000"/>
          <w:kern w:val="0"/>
          <w:sz w:val="24"/>
          <w:szCs w:val="24"/>
        </w:rPr>
        <w:t xml:space="preserve">评标顺序：评标时按“第1包→第2包→第3包→第4包→第5包→第6包→第7包→第8包→第9包→第10包→第11包→第12包→第13包→第14包”的顺序评标。 </w:t>
      </w:r>
    </w:p>
    <w:p w14:paraId="412C3E5F">
      <w:pPr>
        <w:ind w:left="640"/>
        <w:jc w:val="center"/>
        <w:rPr>
          <w:rFonts w:ascii="宋体" w:hAnsi="宋体" w:eastAsia="宋体" w:cs="宋体"/>
          <w:sz w:val="24"/>
          <w:szCs w:val="24"/>
        </w:rPr>
      </w:pPr>
      <w:r>
        <w:rPr>
          <w:rFonts w:asciiTheme="minorEastAsia" w:hAnsiTheme="minorEastAsia" w:eastAsiaTheme="minorEastAsia"/>
          <w:sz w:val="24"/>
        </w:rPr>
        <w:br w:type="page"/>
      </w:r>
    </w:p>
    <w:p w14:paraId="78A419FE">
      <w:pPr>
        <w:ind w:left="640"/>
        <w:jc w:val="center"/>
        <w:rPr>
          <w:rFonts w:ascii="宋体" w:hAnsi="宋体" w:eastAsia="宋体" w:cs="宋体"/>
          <w:b/>
          <w:bCs/>
          <w:sz w:val="24"/>
          <w:szCs w:val="24"/>
        </w:rPr>
      </w:pPr>
    </w:p>
    <w:p w14:paraId="629A8343">
      <w:pPr>
        <w:ind w:left="640"/>
        <w:jc w:val="center"/>
        <w:rPr>
          <w:rFonts w:ascii="宋体" w:hAnsi="宋体" w:eastAsia="宋体" w:cs="宋体"/>
          <w:b/>
          <w:bCs/>
          <w:sz w:val="24"/>
          <w:szCs w:val="24"/>
        </w:rPr>
      </w:pPr>
    </w:p>
    <w:p w14:paraId="042626FF">
      <w:pPr>
        <w:ind w:left="640"/>
        <w:jc w:val="center"/>
        <w:rPr>
          <w:rFonts w:ascii="宋体" w:hAnsi="宋体" w:eastAsia="宋体" w:cs="宋体"/>
          <w:b/>
          <w:bCs/>
          <w:sz w:val="24"/>
          <w:szCs w:val="24"/>
        </w:rPr>
      </w:pPr>
    </w:p>
    <w:p w14:paraId="3B885D82">
      <w:pPr>
        <w:ind w:left="640"/>
        <w:jc w:val="center"/>
        <w:outlineLvl w:val="9"/>
        <w:rPr>
          <w:rFonts w:hint="eastAsia" w:ascii="宋体" w:hAnsi="宋体" w:eastAsia="宋体" w:cs="宋体"/>
          <w:b/>
          <w:sz w:val="24"/>
          <w:szCs w:val="24"/>
        </w:rPr>
      </w:pPr>
      <w:bookmarkStart w:id="126" w:name="_Toc63440929"/>
      <w:bookmarkStart w:id="127" w:name="_Toc17167"/>
    </w:p>
    <w:p w14:paraId="43927591">
      <w:pPr>
        <w:ind w:left="640"/>
        <w:jc w:val="center"/>
        <w:outlineLvl w:val="0"/>
        <w:rPr>
          <w:rFonts w:ascii="宋体" w:hAnsi="宋体" w:eastAsia="宋体" w:cs="宋体"/>
          <w:b/>
          <w:bCs/>
          <w:sz w:val="30"/>
          <w:szCs w:val="30"/>
        </w:rPr>
      </w:pPr>
      <w:r>
        <w:rPr>
          <w:rFonts w:hint="eastAsia" w:ascii="宋体" w:hAnsi="宋体" w:eastAsia="宋体" w:cs="宋体"/>
          <w:b/>
          <w:sz w:val="30"/>
          <w:szCs w:val="30"/>
        </w:rPr>
        <w:t>第五章  政府采购合同</w:t>
      </w:r>
      <w:bookmarkEnd w:id="126"/>
      <w:bookmarkEnd w:id="127"/>
    </w:p>
    <w:p w14:paraId="1B8CDA80">
      <w:pPr>
        <w:ind w:left="640"/>
        <w:jc w:val="center"/>
        <w:rPr>
          <w:rFonts w:ascii="宋体" w:hAnsi="宋体" w:eastAsia="宋体" w:cs="宋体"/>
          <w:b/>
          <w:bCs/>
          <w:sz w:val="30"/>
          <w:szCs w:val="30"/>
        </w:rPr>
      </w:pPr>
    </w:p>
    <w:p w14:paraId="36E5C3D7">
      <w:pPr>
        <w:ind w:left="640"/>
        <w:jc w:val="center"/>
        <w:rPr>
          <w:rFonts w:ascii="宋体" w:hAnsi="宋体" w:eastAsia="宋体" w:cs="宋体"/>
          <w:b/>
          <w:bCs/>
          <w:sz w:val="24"/>
          <w:szCs w:val="24"/>
        </w:rPr>
      </w:pPr>
    </w:p>
    <w:p w14:paraId="18DF9FFC">
      <w:pPr>
        <w:ind w:left="640"/>
        <w:jc w:val="center"/>
        <w:rPr>
          <w:rFonts w:ascii="宋体" w:hAnsi="宋体" w:eastAsia="宋体" w:cs="宋体"/>
          <w:b/>
          <w:bCs/>
          <w:sz w:val="24"/>
          <w:szCs w:val="24"/>
        </w:rPr>
      </w:pPr>
    </w:p>
    <w:p w14:paraId="41CBBB06">
      <w:pPr>
        <w:ind w:left="640"/>
        <w:jc w:val="center"/>
        <w:rPr>
          <w:rFonts w:ascii="宋体" w:hAnsi="宋体" w:eastAsia="宋体" w:cs="宋体"/>
          <w:b/>
          <w:bCs/>
          <w:sz w:val="24"/>
          <w:szCs w:val="24"/>
        </w:rPr>
      </w:pPr>
    </w:p>
    <w:p w14:paraId="51C148EF">
      <w:pPr>
        <w:ind w:left="640"/>
        <w:jc w:val="center"/>
        <w:rPr>
          <w:rFonts w:ascii="宋体" w:hAnsi="宋体" w:eastAsia="宋体" w:cs="宋体"/>
          <w:b/>
          <w:bCs/>
          <w:sz w:val="24"/>
          <w:szCs w:val="24"/>
        </w:rPr>
      </w:pPr>
    </w:p>
    <w:p w14:paraId="2DD5B589">
      <w:pPr>
        <w:ind w:left="640"/>
        <w:jc w:val="center"/>
        <w:rPr>
          <w:rFonts w:ascii="宋体" w:hAnsi="宋体" w:eastAsia="宋体" w:cs="宋体"/>
          <w:b/>
          <w:bCs/>
          <w:sz w:val="24"/>
          <w:szCs w:val="24"/>
        </w:rPr>
      </w:pPr>
    </w:p>
    <w:p w14:paraId="437D1D56">
      <w:pPr>
        <w:ind w:left="640"/>
        <w:jc w:val="center"/>
        <w:outlineLvl w:val="2"/>
        <w:rPr>
          <w:rFonts w:ascii="宋体" w:hAnsi="宋体" w:eastAsia="宋体" w:cs="宋体"/>
          <w:b/>
          <w:bCs/>
          <w:sz w:val="24"/>
          <w:szCs w:val="24"/>
        </w:rPr>
      </w:pPr>
      <w:r>
        <w:rPr>
          <w:rFonts w:hint="eastAsia" w:ascii="宋体" w:hAnsi="宋体" w:eastAsia="宋体" w:cs="宋体"/>
          <w:b/>
          <w:bCs/>
          <w:sz w:val="24"/>
          <w:szCs w:val="24"/>
        </w:rPr>
        <w:t>第一部分 合同书</w:t>
      </w:r>
    </w:p>
    <w:p w14:paraId="0415C9DF">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7EDA5263">
      <w:pPr>
        <w:adjustRightInd w:val="0"/>
        <w:snapToGrid w:val="0"/>
        <w:spacing w:line="560" w:lineRule="exact"/>
        <w:outlineLvl w:val="9"/>
        <w:rPr>
          <w:rFonts w:hint="eastAsia" w:asciiTheme="minorEastAsia" w:hAnsiTheme="minorEastAsia" w:eastAsiaTheme="minorEastAsia"/>
          <w:b/>
          <w:bCs/>
          <w:sz w:val="24"/>
          <w:szCs w:val="24"/>
          <w:u w:val="single"/>
          <w:lang w:eastAsia="zh-CN"/>
        </w:rPr>
      </w:pPr>
    </w:p>
    <w:p w14:paraId="15D3199A">
      <w:pPr>
        <w:spacing w:line="840" w:lineRule="exact"/>
        <w:ind w:firstLine="640"/>
        <w:outlineLvl w:val="9"/>
        <w:rPr>
          <w:rFonts w:ascii="宋体" w:hAnsi="宋体" w:eastAsia="宋体" w:cs="宋体"/>
          <w:b/>
          <w:bCs/>
          <w:color w:val="FF0000"/>
          <w:sz w:val="24"/>
          <w:szCs w:val="24"/>
        </w:rPr>
      </w:pPr>
      <w:r>
        <w:rPr>
          <w:rFonts w:hint="eastAsia" w:ascii="宋体" w:hAnsi="宋体" w:eastAsia="宋体" w:cs="宋体"/>
          <w:b/>
          <w:bCs/>
          <w:color w:val="FF0000"/>
          <w:sz w:val="24"/>
          <w:szCs w:val="24"/>
          <w:lang w:eastAsia="zh-CN"/>
        </w:rPr>
        <w:t>省淮河局2025年堤防草皮养护及林间控高（第5包）</w:t>
      </w:r>
    </w:p>
    <w:p w14:paraId="57BBA9BF">
      <w:pPr>
        <w:spacing w:line="840" w:lineRule="exact"/>
        <w:ind w:firstLine="640"/>
        <w:rPr>
          <w:rFonts w:ascii="宋体" w:hAnsi="宋体" w:eastAsia="宋体" w:cs="宋体"/>
          <w:sz w:val="24"/>
          <w:szCs w:val="24"/>
        </w:rPr>
      </w:pPr>
      <w:r>
        <w:rPr>
          <w:rFonts w:hint="eastAsia" w:ascii="宋体" w:hAnsi="宋体" w:eastAsia="宋体" w:cs="宋体"/>
          <w:sz w:val="24"/>
          <w:szCs w:val="24"/>
        </w:rPr>
        <w:t>甲  方：</w:t>
      </w:r>
      <w:r>
        <w:rPr>
          <w:rFonts w:hint="eastAsia" w:ascii="宋体" w:hAnsi="宋体" w:eastAsia="宋体" w:cs="宋体"/>
          <w:sz w:val="24"/>
          <w:szCs w:val="24"/>
          <w:u w:val="single"/>
        </w:rPr>
        <w:t>相应包别合同甲方</w:t>
      </w:r>
    </w:p>
    <w:p w14:paraId="20B04D42">
      <w:pPr>
        <w:spacing w:line="84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p>
    <w:p w14:paraId="427ED05D">
      <w:pPr>
        <w:spacing w:line="840" w:lineRule="exact"/>
        <w:ind w:firstLine="640"/>
        <w:rPr>
          <w:rFonts w:ascii="宋体" w:hAnsi="宋体" w:eastAsia="宋体" w:cs="宋体"/>
          <w:sz w:val="24"/>
          <w:szCs w:val="24"/>
        </w:rPr>
      </w:pPr>
      <w:r>
        <w:rPr>
          <w:rFonts w:hint="eastAsia" w:ascii="宋体" w:hAnsi="宋体" w:eastAsia="宋体" w:cs="宋体"/>
          <w:sz w:val="24"/>
          <w:szCs w:val="24"/>
        </w:rPr>
        <w:t>签订地：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619AA08">
      <w:pPr>
        <w:spacing w:line="840" w:lineRule="exact"/>
        <w:ind w:firstLine="640"/>
        <w:rPr>
          <w:rFonts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812826B">
      <w:pPr>
        <w:spacing w:line="560" w:lineRule="exact"/>
        <w:ind w:firstLine="64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甲  方：</w:t>
      </w:r>
      <w:r>
        <w:rPr>
          <w:rFonts w:hint="eastAsia" w:ascii="宋体" w:hAnsi="宋体" w:eastAsia="宋体" w:cs="宋体"/>
          <w:sz w:val="24"/>
          <w:szCs w:val="24"/>
          <w:u w:val="single"/>
        </w:rPr>
        <w:t xml:space="preserve">                         </w:t>
      </w:r>
    </w:p>
    <w:p w14:paraId="7BE5D2A5">
      <w:pPr>
        <w:spacing w:line="560" w:lineRule="exact"/>
        <w:ind w:firstLine="640"/>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49AF87C">
      <w:pPr>
        <w:spacing w:line="560" w:lineRule="exact"/>
        <w:ind w:firstLine="640"/>
        <w:rPr>
          <w:rFonts w:ascii="宋体" w:hAnsi="宋体" w:eastAsia="宋体" w:cs="宋体"/>
          <w:sz w:val="24"/>
          <w:szCs w:val="24"/>
        </w:rPr>
      </w:pPr>
      <w:r>
        <w:rPr>
          <w:rFonts w:hint="eastAsia" w:ascii="宋体" w:hAnsi="宋体" w:eastAsia="宋体" w:cs="宋体"/>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029C3FBE">
      <w:pPr>
        <w:spacing w:line="560" w:lineRule="exact"/>
        <w:ind w:firstLine="640"/>
        <w:rPr>
          <w:rFonts w:ascii="宋体" w:hAnsi="宋体" w:eastAsia="宋体" w:cs="宋体"/>
          <w:sz w:val="24"/>
          <w:szCs w:val="24"/>
        </w:rPr>
      </w:pPr>
      <w:bookmarkStart w:id="128" w:name="_Toc3029"/>
      <w:bookmarkStart w:id="129" w:name="_Toc2232"/>
      <w:bookmarkStart w:id="130" w:name="_Toc24059"/>
      <w:r>
        <w:rPr>
          <w:rFonts w:hint="eastAsia" w:ascii="宋体" w:hAnsi="宋体" w:eastAsia="宋体" w:cs="宋体"/>
          <w:sz w:val="24"/>
          <w:szCs w:val="24"/>
        </w:rPr>
        <w:t>一、合同组成部分</w:t>
      </w:r>
      <w:bookmarkEnd w:id="128"/>
      <w:bookmarkEnd w:id="129"/>
      <w:bookmarkEnd w:id="130"/>
    </w:p>
    <w:p w14:paraId="6454E7BD">
      <w:pPr>
        <w:spacing w:line="560" w:lineRule="exact"/>
        <w:ind w:firstLine="640"/>
        <w:rPr>
          <w:rFonts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下列文件为本合同的组成部分，并构成一个整体，需综合解释、相互补充。如果下列文件内容出现不一致的情形，那么在保证按照采购文件确定的事项前提下，组成本合同的多个文件的优先适用顺序如下：</w:t>
      </w:r>
    </w:p>
    <w:p w14:paraId="6936A6F6">
      <w:pPr>
        <w:spacing w:line="560" w:lineRule="exact"/>
        <w:ind w:firstLine="640"/>
        <w:rPr>
          <w:rFonts w:ascii="宋体" w:hAnsi="宋体" w:eastAsia="宋体" w:cs="宋体"/>
          <w:sz w:val="24"/>
          <w:szCs w:val="24"/>
        </w:rPr>
      </w:pPr>
      <w:r>
        <w:rPr>
          <w:rFonts w:hint="eastAsia" w:ascii="宋体" w:hAnsi="宋体" w:eastAsia="宋体" w:cs="宋体"/>
          <w:sz w:val="24"/>
          <w:szCs w:val="24"/>
        </w:rPr>
        <w:t>1.1.1本合同及其补充合同、变更协议；</w:t>
      </w:r>
    </w:p>
    <w:p w14:paraId="1DC59B34">
      <w:pPr>
        <w:spacing w:line="560" w:lineRule="exact"/>
        <w:ind w:firstLine="640"/>
        <w:rPr>
          <w:rFonts w:ascii="宋体" w:hAnsi="宋体" w:eastAsia="宋体" w:cs="宋体"/>
          <w:sz w:val="24"/>
          <w:szCs w:val="24"/>
        </w:rPr>
      </w:pPr>
      <w:r>
        <w:rPr>
          <w:rFonts w:hint="eastAsia" w:ascii="宋体" w:hAnsi="宋体" w:eastAsia="宋体" w:cs="宋体"/>
          <w:sz w:val="24"/>
          <w:szCs w:val="24"/>
        </w:rPr>
        <w:t>1.1.2中标通知书；</w:t>
      </w:r>
    </w:p>
    <w:p w14:paraId="40113446">
      <w:pPr>
        <w:spacing w:line="560" w:lineRule="exact"/>
        <w:ind w:firstLine="640"/>
        <w:rPr>
          <w:rFonts w:ascii="宋体" w:hAnsi="宋体" w:eastAsia="宋体" w:cs="宋体"/>
          <w:sz w:val="24"/>
          <w:szCs w:val="24"/>
        </w:rPr>
      </w:pPr>
      <w:r>
        <w:rPr>
          <w:rFonts w:hint="eastAsia" w:ascii="宋体" w:hAnsi="宋体" w:eastAsia="宋体" w:cs="宋体"/>
          <w:sz w:val="24"/>
          <w:szCs w:val="24"/>
        </w:rPr>
        <w:t>1.1.3响应文件（含澄清或者说明文件）；</w:t>
      </w:r>
    </w:p>
    <w:p w14:paraId="639EB418">
      <w:pPr>
        <w:spacing w:line="560" w:lineRule="exact"/>
        <w:ind w:firstLine="640"/>
        <w:rPr>
          <w:rFonts w:ascii="宋体" w:hAnsi="宋体" w:eastAsia="宋体" w:cs="宋体"/>
          <w:sz w:val="24"/>
          <w:szCs w:val="24"/>
        </w:rPr>
      </w:pPr>
      <w:r>
        <w:rPr>
          <w:rFonts w:hint="eastAsia" w:ascii="宋体" w:hAnsi="宋体" w:eastAsia="宋体" w:cs="宋体"/>
          <w:sz w:val="24"/>
          <w:szCs w:val="24"/>
        </w:rPr>
        <w:t>1.1.4磋商文件（含澄清或者修改文件）；</w:t>
      </w:r>
    </w:p>
    <w:p w14:paraId="291E6687">
      <w:pPr>
        <w:spacing w:line="560" w:lineRule="exact"/>
        <w:ind w:firstLine="640"/>
        <w:rPr>
          <w:rFonts w:ascii="宋体" w:hAnsi="宋体" w:eastAsia="宋体" w:cs="宋体"/>
          <w:sz w:val="24"/>
          <w:szCs w:val="24"/>
        </w:rPr>
      </w:pPr>
      <w:r>
        <w:rPr>
          <w:rFonts w:hint="eastAsia" w:ascii="宋体" w:hAnsi="宋体" w:eastAsia="宋体" w:cs="宋体"/>
          <w:sz w:val="24"/>
          <w:szCs w:val="24"/>
        </w:rPr>
        <w:t>1.1.5其他相关采购文件。</w:t>
      </w:r>
    </w:p>
    <w:p w14:paraId="7664503F">
      <w:pPr>
        <w:spacing w:line="560" w:lineRule="exact"/>
        <w:ind w:firstLine="640"/>
        <w:rPr>
          <w:rFonts w:ascii="宋体" w:hAnsi="宋体" w:eastAsia="宋体" w:cs="宋体"/>
          <w:sz w:val="24"/>
          <w:szCs w:val="24"/>
        </w:rPr>
      </w:pPr>
      <w:r>
        <w:rPr>
          <w:rFonts w:hint="eastAsia" w:ascii="宋体" w:hAnsi="宋体" w:eastAsia="宋体" w:cs="宋体"/>
          <w:sz w:val="24"/>
          <w:szCs w:val="24"/>
        </w:rPr>
        <w:t>二、合同内容</w:t>
      </w:r>
    </w:p>
    <w:p w14:paraId="4CA3D93F">
      <w:pPr>
        <w:spacing w:line="560" w:lineRule="exact"/>
        <w:ind w:firstLine="640"/>
        <w:rPr>
          <w:rFonts w:ascii="宋体" w:hAnsi="宋体" w:eastAsia="宋体" w:cs="宋体"/>
          <w:b/>
          <w:bCs/>
          <w:sz w:val="24"/>
          <w:szCs w:val="24"/>
          <w:u w:val="single"/>
        </w:rPr>
      </w:pPr>
      <w:r>
        <w:rPr>
          <w:rFonts w:hint="eastAsia" w:ascii="宋体" w:hAnsi="宋体" w:eastAsia="宋体" w:cs="宋体"/>
          <w:sz w:val="24"/>
          <w:szCs w:val="24"/>
        </w:rPr>
        <w:t>1.2.1项目名称：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260C568D">
      <w:pPr>
        <w:spacing w:line="560" w:lineRule="exact"/>
        <w:ind w:firstLine="640"/>
        <w:rPr>
          <w:rFonts w:ascii="宋体" w:hAnsi="宋体" w:eastAsia="宋体" w:cs="宋体"/>
          <w:sz w:val="24"/>
          <w:szCs w:val="24"/>
        </w:rPr>
      </w:pPr>
      <w:r>
        <w:rPr>
          <w:rFonts w:hint="eastAsia" w:ascii="宋体" w:hAnsi="宋体" w:eastAsia="宋体" w:cs="宋体"/>
          <w:sz w:val="24"/>
          <w:szCs w:val="24"/>
        </w:rPr>
        <w:t>1.2.2养护内容：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156B49FB">
      <w:pPr>
        <w:spacing w:line="560" w:lineRule="exact"/>
        <w:ind w:firstLine="640"/>
        <w:rPr>
          <w:rFonts w:ascii="宋体" w:hAnsi="宋体" w:eastAsia="宋体" w:cs="宋体"/>
          <w:sz w:val="24"/>
          <w:szCs w:val="24"/>
        </w:rPr>
      </w:pPr>
      <w:r>
        <w:rPr>
          <w:rFonts w:hint="eastAsia" w:ascii="宋体" w:hAnsi="宋体" w:eastAsia="宋体" w:cs="宋体"/>
          <w:sz w:val="24"/>
          <w:szCs w:val="24"/>
        </w:rPr>
        <w:t>养护频次：</w:t>
      </w:r>
      <w:r>
        <w:rPr>
          <w:rFonts w:hint="eastAsia" w:ascii="宋体" w:hAnsi="宋体" w:eastAsia="宋体" w:cs="宋体"/>
          <w:sz w:val="24"/>
          <w:szCs w:val="24"/>
          <w:u w:val="single"/>
        </w:rPr>
        <w:t xml:space="preserve">                </w:t>
      </w:r>
      <w:r>
        <w:rPr>
          <w:rFonts w:hint="eastAsia" w:ascii="宋体" w:hAnsi="宋体" w:eastAsia="宋体" w:cs="宋体"/>
          <w:sz w:val="24"/>
          <w:szCs w:val="24"/>
        </w:rPr>
        <w:t>（各单位根据包别实际情况填写）</w:t>
      </w:r>
    </w:p>
    <w:p w14:paraId="6EF1864A">
      <w:pPr>
        <w:spacing w:line="560" w:lineRule="exact"/>
        <w:ind w:firstLine="640"/>
        <w:rPr>
          <w:rFonts w:ascii="宋体" w:hAnsi="宋体" w:eastAsia="宋体" w:cs="宋体"/>
          <w:sz w:val="24"/>
          <w:szCs w:val="24"/>
        </w:rPr>
      </w:pPr>
      <w:r>
        <w:rPr>
          <w:rFonts w:hint="eastAsia" w:ascii="宋体" w:hAnsi="宋体" w:eastAsia="宋体" w:cs="宋体"/>
          <w:sz w:val="24"/>
          <w:szCs w:val="24"/>
        </w:rPr>
        <w:t>1.2.3服务质量：符合合同甲方验收标准。</w:t>
      </w:r>
    </w:p>
    <w:p w14:paraId="78B0C01A">
      <w:pPr>
        <w:spacing w:line="560" w:lineRule="exact"/>
        <w:ind w:firstLine="640"/>
        <w:rPr>
          <w:rFonts w:ascii="宋体" w:hAnsi="宋体" w:eastAsia="宋体" w:cs="宋体"/>
          <w:sz w:val="24"/>
          <w:szCs w:val="24"/>
        </w:rPr>
      </w:pPr>
      <w:bookmarkStart w:id="131" w:name="_Toc23292"/>
      <w:bookmarkStart w:id="132" w:name="_Toc21631"/>
      <w:bookmarkStart w:id="133" w:name="_Toc21551"/>
      <w:r>
        <w:rPr>
          <w:rFonts w:hint="eastAsia" w:ascii="宋体" w:hAnsi="宋体" w:eastAsia="宋体" w:cs="宋体"/>
          <w:sz w:val="24"/>
          <w:szCs w:val="24"/>
        </w:rPr>
        <w:t>三、合同价款</w:t>
      </w:r>
      <w:bookmarkEnd w:id="131"/>
      <w:bookmarkEnd w:id="132"/>
      <w:bookmarkEnd w:id="133"/>
    </w:p>
    <w:p w14:paraId="79A36AF8">
      <w:pPr>
        <w:spacing w:line="560" w:lineRule="exact"/>
        <w:ind w:firstLine="640"/>
        <w:rPr>
          <w:rFonts w:ascii="宋体" w:hAnsi="宋体" w:eastAsia="宋体" w:cs="宋体"/>
          <w:sz w:val="24"/>
          <w:szCs w:val="24"/>
        </w:rPr>
      </w:pPr>
      <w:bookmarkStart w:id="134" w:name="_Toc1814"/>
      <w:bookmarkStart w:id="135" w:name="_Toc10340"/>
      <w:bookmarkStart w:id="136" w:name="_Toc22618"/>
      <w:r>
        <w:rPr>
          <w:rFonts w:hint="eastAsia" w:ascii="宋体" w:hAnsi="宋体" w:eastAsia="宋体" w:cs="宋体"/>
          <w:sz w:val="24"/>
          <w:szCs w:val="24"/>
        </w:rPr>
        <w:t>1.综合单价（所有养护内容）</w:t>
      </w:r>
      <w:r>
        <w:rPr>
          <w:rFonts w:hint="eastAsia" w:ascii="宋体" w:hAnsi="宋体" w:eastAsia="宋体" w:cs="宋体"/>
          <w:sz w:val="24"/>
          <w:szCs w:val="24"/>
          <w:u w:val="single"/>
        </w:rPr>
        <w:t xml:space="preserve">        </w:t>
      </w:r>
      <w:r>
        <w:rPr>
          <w:rFonts w:hint="eastAsia" w:ascii="宋体" w:hAnsi="宋体" w:eastAsia="宋体" w:cs="宋体"/>
          <w:sz w:val="24"/>
          <w:szCs w:val="24"/>
        </w:rPr>
        <w:t>元/100m</w:t>
      </w:r>
      <w:r>
        <w:rPr>
          <w:rFonts w:hint="eastAsia" w:ascii="宋体" w:hAnsi="宋体" w:eastAsia="宋体" w:cs="宋体"/>
          <w:sz w:val="24"/>
          <w:szCs w:val="24"/>
          <w:vertAlign w:val="superscript"/>
        </w:rPr>
        <w:t>2</w:t>
      </w:r>
      <w:r>
        <w:rPr>
          <w:rFonts w:hint="eastAsia" w:ascii="宋体" w:hAnsi="宋体" w:eastAsia="宋体" w:cs="宋体"/>
          <w:sz w:val="24"/>
          <w:szCs w:val="24"/>
        </w:rPr>
        <w:t>·次。实施中综合单价无论何种原因不给予调整。</w:t>
      </w:r>
    </w:p>
    <w:p w14:paraId="663491C8">
      <w:pPr>
        <w:spacing w:line="560" w:lineRule="exact"/>
        <w:ind w:firstLine="640"/>
        <w:rPr>
          <w:rFonts w:ascii="宋体" w:hAnsi="宋体" w:eastAsia="宋体" w:cs="宋体"/>
          <w:sz w:val="24"/>
          <w:szCs w:val="24"/>
        </w:rPr>
      </w:pPr>
      <w:r>
        <w:rPr>
          <w:rFonts w:hint="eastAsia" w:ascii="宋体" w:hAnsi="宋体" w:eastAsia="宋体" w:cs="宋体"/>
          <w:sz w:val="24"/>
          <w:szCs w:val="24"/>
        </w:rPr>
        <w:t>2.合同价格形式：单价合同，据实结算，结算价=综合单价×养护面积×养护次数，且不超过预算金额。</w:t>
      </w:r>
    </w:p>
    <w:bookmarkEnd w:id="134"/>
    <w:bookmarkEnd w:id="135"/>
    <w:bookmarkEnd w:id="136"/>
    <w:p w14:paraId="3A7CFDD8">
      <w:pPr>
        <w:spacing w:line="560" w:lineRule="exact"/>
        <w:ind w:firstLine="640"/>
        <w:rPr>
          <w:rFonts w:ascii="宋体" w:hAnsi="宋体" w:eastAsia="宋体" w:cs="宋体"/>
          <w:sz w:val="24"/>
          <w:szCs w:val="24"/>
        </w:rPr>
      </w:pPr>
      <w:bookmarkStart w:id="137" w:name="_Toc2846"/>
      <w:bookmarkStart w:id="138" w:name="_Toc19304"/>
      <w:bookmarkStart w:id="139" w:name="_Toc32071"/>
      <w:r>
        <w:rPr>
          <w:rFonts w:hint="eastAsia" w:ascii="宋体" w:hAnsi="宋体" w:eastAsia="宋体" w:cs="宋体"/>
          <w:sz w:val="24"/>
          <w:szCs w:val="24"/>
        </w:rPr>
        <w:t>四、服务期限、地点</w:t>
      </w:r>
      <w:bookmarkEnd w:id="137"/>
      <w:bookmarkEnd w:id="138"/>
      <w:bookmarkEnd w:id="139"/>
    </w:p>
    <w:p w14:paraId="7BE1F936">
      <w:pPr>
        <w:spacing w:line="560" w:lineRule="exact"/>
        <w:ind w:firstLine="640"/>
        <w:rPr>
          <w:rFonts w:ascii="宋体" w:hAnsi="宋体" w:eastAsia="宋体" w:cs="宋体"/>
          <w:sz w:val="24"/>
          <w:szCs w:val="24"/>
        </w:rPr>
      </w:pPr>
      <w:r>
        <w:rPr>
          <w:rFonts w:hint="eastAsia" w:ascii="宋体" w:hAnsi="宋体" w:eastAsia="宋体" w:cs="宋体"/>
          <w:sz w:val="24"/>
          <w:szCs w:val="24"/>
        </w:rPr>
        <w:t>服务期限：合同签订后至2025年12月10日；</w:t>
      </w:r>
    </w:p>
    <w:p w14:paraId="77EBC8AF">
      <w:pPr>
        <w:spacing w:line="560" w:lineRule="exact"/>
        <w:ind w:firstLine="640"/>
        <w:rPr>
          <w:rFonts w:ascii="宋体" w:hAnsi="宋体" w:eastAsia="宋体" w:cs="宋体"/>
          <w:sz w:val="24"/>
          <w:szCs w:val="24"/>
        </w:rPr>
      </w:pPr>
      <w:r>
        <w:rPr>
          <w:rFonts w:hint="eastAsia" w:ascii="宋体" w:hAnsi="宋体" w:eastAsia="宋体" w:cs="宋体"/>
          <w:sz w:val="24"/>
          <w:szCs w:val="24"/>
        </w:rPr>
        <w:t>其中第</w:t>
      </w:r>
      <w:r>
        <w:rPr>
          <w:rFonts w:ascii="宋体" w:hAnsi="宋体" w:eastAsia="宋体" w:cs="宋体"/>
          <w:sz w:val="24"/>
          <w:szCs w:val="24"/>
        </w:rPr>
        <w:t>2</w:t>
      </w:r>
      <w:r>
        <w:rPr>
          <w:rFonts w:hint="eastAsia" w:ascii="宋体" w:hAnsi="宋体" w:eastAsia="宋体" w:cs="宋体"/>
          <w:sz w:val="24"/>
          <w:szCs w:val="24"/>
        </w:rPr>
        <w:t>包-第1</w:t>
      </w:r>
      <w:r>
        <w:rPr>
          <w:rFonts w:ascii="宋体" w:hAnsi="宋体" w:eastAsia="宋体" w:cs="宋体"/>
          <w:sz w:val="24"/>
          <w:szCs w:val="24"/>
        </w:rPr>
        <w:t>1</w:t>
      </w:r>
      <w:r>
        <w:rPr>
          <w:rFonts w:hint="eastAsia" w:ascii="宋体" w:hAnsi="宋体" w:eastAsia="宋体" w:cs="宋体"/>
          <w:sz w:val="24"/>
          <w:szCs w:val="24"/>
        </w:rPr>
        <w:t>包1年服务期满后，经采购人年度验收合格，主要服务内容无变化，根据采购人实际工作需要，经双方协商同意，在年度预算能够保障的前提下，可续签下一年合同，续签时间不超过1年，合同一年一签，原则上成交价不变，如甲方预算或续签政策发生变化，不再续签。</w:t>
      </w:r>
    </w:p>
    <w:p w14:paraId="23AB4940">
      <w:pPr>
        <w:spacing w:line="560" w:lineRule="exact"/>
        <w:ind w:firstLine="640"/>
        <w:rPr>
          <w:rFonts w:ascii="宋体" w:hAnsi="宋体" w:eastAsia="宋体" w:cs="宋体"/>
          <w:sz w:val="24"/>
          <w:szCs w:val="24"/>
        </w:rPr>
      </w:pPr>
      <w:r>
        <w:rPr>
          <w:rFonts w:hint="eastAsia" w:ascii="宋体" w:hAnsi="宋体" w:eastAsia="宋体" w:cs="宋体"/>
          <w:sz w:val="24"/>
          <w:szCs w:val="24"/>
        </w:rPr>
        <w:t>服务地点：安徽省境内（采购人指定地点）；</w:t>
      </w:r>
    </w:p>
    <w:p w14:paraId="4B6B976E">
      <w:pPr>
        <w:spacing w:line="560" w:lineRule="exact"/>
        <w:ind w:firstLine="640"/>
        <w:rPr>
          <w:rFonts w:ascii="宋体" w:hAnsi="宋体" w:eastAsia="宋体" w:cs="宋体"/>
          <w:sz w:val="24"/>
          <w:szCs w:val="24"/>
        </w:rPr>
      </w:pPr>
      <w:bookmarkStart w:id="140" w:name="_Toc21423"/>
      <w:bookmarkStart w:id="141" w:name="_Toc19554"/>
      <w:bookmarkStart w:id="142" w:name="_Toc27250"/>
      <w:r>
        <w:rPr>
          <w:rFonts w:hint="eastAsia" w:ascii="宋体" w:hAnsi="宋体" w:eastAsia="宋体" w:cs="宋体"/>
          <w:sz w:val="24"/>
          <w:szCs w:val="24"/>
        </w:rPr>
        <w:t>五、养护标准及要求</w:t>
      </w:r>
    </w:p>
    <w:p w14:paraId="277E6A05">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1.堤防草皮养护要求</w:t>
      </w:r>
      <w:r>
        <w:rPr>
          <w:rFonts w:hint="eastAsia" w:ascii="宋体" w:hAnsi="宋体" w:eastAsia="宋体" w:cs="宋体"/>
          <w:b/>
          <w:sz w:val="24"/>
          <w:szCs w:val="24"/>
        </w:rPr>
        <w:t>：</w:t>
      </w:r>
      <w:r>
        <w:rPr>
          <w:rFonts w:hint="eastAsia" w:ascii="宋体" w:hAnsi="宋体" w:eastAsia="宋体" w:cs="宋体"/>
          <w:sz w:val="24"/>
          <w:szCs w:val="24"/>
        </w:rPr>
        <w:t>①基本要求：草皮养护控高应根据草皮长势情况及时开展，养护前人工清理坡面块石、碎石等垃圾杂物，防止造成人员伤亡； 养护后的草皮总体整洁、美观，无杂树杂条，无藤类植物，无建筑、生活垃圾，养护废草清运到堤防管理范围以外。②养护范围：沿堤脚向外延伸2米或护堤地第一排树，上下堤道路养护控高至堤防管理范围边线。③养护高度：4、9月15cm以下，5、6、7、8、10、11月5cm以下。④养护时间：原则上每次养护作业应在14日历天内完成。</w:t>
      </w:r>
    </w:p>
    <w:p w14:paraId="02CF5A23">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2.硬质护坡养护要求：</w:t>
      </w:r>
      <w:r>
        <w:rPr>
          <w:rFonts w:hint="eastAsia" w:ascii="宋体" w:hAnsi="宋体" w:eastAsia="宋体" w:cs="宋体"/>
          <w:sz w:val="24"/>
          <w:szCs w:val="24"/>
        </w:rPr>
        <w:t>人工清理硬质护坡表面杂草、杂物等，确保护坡干净整洁，无其它覆盖物，无杂树杂草；养护废草、杂物等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01A40767">
      <w:pPr>
        <w:adjustRightInd w:val="0"/>
        <w:snapToGrid w:val="0"/>
        <w:spacing w:line="560" w:lineRule="exact"/>
        <w:ind w:firstLine="640"/>
        <w:rPr>
          <w:rFonts w:ascii="宋体" w:hAnsi="宋体" w:eastAsia="宋体" w:cs="宋体"/>
          <w:sz w:val="24"/>
          <w:szCs w:val="24"/>
        </w:rPr>
      </w:pPr>
      <w:r>
        <w:rPr>
          <w:rFonts w:hint="eastAsia" w:ascii="宋体" w:hAnsi="宋体" w:eastAsia="宋体" w:cs="宋体"/>
          <w:bCs/>
          <w:sz w:val="24"/>
          <w:szCs w:val="24"/>
        </w:rPr>
        <w:t>3.林间控高养护要求</w:t>
      </w:r>
      <w:r>
        <w:rPr>
          <w:rFonts w:hint="eastAsia" w:ascii="宋体" w:hAnsi="宋体" w:eastAsia="宋体" w:cs="宋体"/>
          <w:b/>
          <w:sz w:val="24"/>
          <w:szCs w:val="24"/>
        </w:rPr>
        <w:t>：</w:t>
      </w:r>
      <w:r>
        <w:rPr>
          <w:rFonts w:hint="eastAsia" w:ascii="宋体" w:hAnsi="宋体" w:eastAsia="宋体" w:cs="宋体"/>
          <w:sz w:val="24"/>
          <w:szCs w:val="24"/>
        </w:rPr>
        <w:t>无杂树杂条、无杂草丛生现象，养护高度5cm以下，养护废草、杂物等</w:t>
      </w:r>
      <w:r>
        <w:rPr>
          <w:rFonts w:hint="eastAsia" w:ascii="宋体" w:hAnsi="宋体" w:eastAsia="宋体" w:cs="宋体"/>
          <w:kern w:val="0"/>
          <w:sz w:val="24"/>
          <w:szCs w:val="24"/>
        </w:rPr>
        <w:t>全部清运到堤防管理范围以外</w:t>
      </w:r>
      <w:r>
        <w:rPr>
          <w:rFonts w:hint="eastAsia" w:ascii="宋体" w:hAnsi="宋体" w:eastAsia="宋体" w:cs="宋体"/>
          <w:sz w:val="24"/>
          <w:szCs w:val="24"/>
        </w:rPr>
        <w:t>。</w:t>
      </w:r>
    </w:p>
    <w:p w14:paraId="409A95CC">
      <w:pPr>
        <w:pStyle w:val="7"/>
        <w:ind w:firstLine="0"/>
        <w:jc w:val="center"/>
        <w:rPr>
          <w:rFonts w:hAnsi="宋体" w:cs="宋体"/>
          <w:szCs w:val="24"/>
        </w:rPr>
      </w:pPr>
      <w:r>
        <w:rPr>
          <w:rFonts w:hint="eastAsia" w:hAnsi="宋体" w:cs="宋体"/>
          <w:szCs w:val="24"/>
        </w:rPr>
        <w:t>养护标准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758"/>
        <w:gridCol w:w="5094"/>
      </w:tblGrid>
      <w:tr w14:paraId="76B9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 w:type="pct"/>
            <w:vAlign w:val="center"/>
          </w:tcPr>
          <w:p w14:paraId="4C319FC9">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内容</w:t>
            </w:r>
          </w:p>
        </w:tc>
        <w:tc>
          <w:tcPr>
            <w:tcW w:w="1035" w:type="pct"/>
            <w:vAlign w:val="center"/>
          </w:tcPr>
          <w:p w14:paraId="3F4E855E">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指标</w:t>
            </w:r>
          </w:p>
        </w:tc>
        <w:tc>
          <w:tcPr>
            <w:tcW w:w="2999" w:type="pct"/>
            <w:vAlign w:val="center"/>
          </w:tcPr>
          <w:p w14:paraId="7959BBD9">
            <w:pPr>
              <w:widowControl/>
              <w:spacing w:line="360" w:lineRule="auto"/>
              <w:jc w:val="center"/>
              <w:rPr>
                <w:rFonts w:ascii="宋体" w:hAnsi="宋体" w:eastAsia="宋体" w:cs="宋体"/>
                <w:b/>
                <w:bCs/>
                <w:sz w:val="24"/>
                <w:szCs w:val="24"/>
              </w:rPr>
            </w:pPr>
            <w:r>
              <w:rPr>
                <w:rFonts w:hint="eastAsia" w:ascii="宋体" w:hAnsi="宋体" w:eastAsia="宋体" w:cs="宋体"/>
                <w:b/>
                <w:bCs/>
                <w:sz w:val="24"/>
                <w:szCs w:val="24"/>
              </w:rPr>
              <w:t>标准</w:t>
            </w:r>
          </w:p>
        </w:tc>
      </w:tr>
      <w:tr w14:paraId="2521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64A00705">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w:t>
            </w:r>
          </w:p>
        </w:tc>
        <w:tc>
          <w:tcPr>
            <w:tcW w:w="1035" w:type="pct"/>
            <w:vAlign w:val="center"/>
          </w:tcPr>
          <w:p w14:paraId="4679FBFF">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杂物清理</w:t>
            </w:r>
          </w:p>
        </w:tc>
        <w:tc>
          <w:tcPr>
            <w:tcW w:w="2999" w:type="pct"/>
            <w:vAlign w:val="center"/>
          </w:tcPr>
          <w:p w14:paraId="7F6F251A">
            <w:pPr>
              <w:widowControl/>
              <w:spacing w:line="300" w:lineRule="exact"/>
              <w:jc w:val="left"/>
              <w:rPr>
                <w:rFonts w:ascii="宋体" w:hAnsi="宋体" w:eastAsia="宋体" w:cs="宋体"/>
                <w:sz w:val="24"/>
                <w:szCs w:val="24"/>
              </w:rPr>
            </w:pPr>
            <w:r>
              <w:rPr>
                <w:rFonts w:hint="eastAsia" w:ascii="宋体" w:hAnsi="宋体" w:eastAsia="宋体" w:cs="宋体"/>
                <w:sz w:val="24"/>
                <w:szCs w:val="24"/>
              </w:rPr>
              <w:t>养护前人工清理坡面块石、碎石等硬物以及垃圾杂物。</w:t>
            </w:r>
          </w:p>
        </w:tc>
      </w:tr>
      <w:tr w14:paraId="4B19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1CA3B9AC">
            <w:pPr>
              <w:widowControl/>
              <w:spacing w:line="300" w:lineRule="exact"/>
              <w:jc w:val="center"/>
              <w:rPr>
                <w:rFonts w:ascii="宋体" w:hAnsi="宋体" w:eastAsia="宋体" w:cs="宋体"/>
                <w:sz w:val="24"/>
                <w:szCs w:val="24"/>
              </w:rPr>
            </w:pPr>
          </w:p>
        </w:tc>
        <w:tc>
          <w:tcPr>
            <w:tcW w:w="1035" w:type="pct"/>
            <w:vMerge w:val="restart"/>
            <w:vAlign w:val="center"/>
          </w:tcPr>
          <w:p w14:paraId="19498EF7">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堤身草皮控高，杂草清理</w:t>
            </w:r>
          </w:p>
        </w:tc>
        <w:tc>
          <w:tcPr>
            <w:tcW w:w="2999" w:type="pct"/>
            <w:vAlign w:val="center"/>
          </w:tcPr>
          <w:p w14:paraId="7D4603BE">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堤身草皮养护高度：原则上4、9月15cm以下，5、6、7、8、10月5cm以下。</w:t>
            </w:r>
          </w:p>
        </w:tc>
      </w:tr>
      <w:tr w14:paraId="7D8F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966" w:type="pct"/>
            <w:vMerge w:val="continue"/>
            <w:vAlign w:val="center"/>
          </w:tcPr>
          <w:p w14:paraId="02F1723E">
            <w:pPr>
              <w:widowControl/>
              <w:spacing w:line="300" w:lineRule="exact"/>
              <w:jc w:val="center"/>
              <w:rPr>
                <w:rFonts w:ascii="宋体" w:hAnsi="宋体" w:eastAsia="宋体" w:cs="宋体"/>
                <w:sz w:val="24"/>
                <w:szCs w:val="24"/>
              </w:rPr>
            </w:pPr>
          </w:p>
        </w:tc>
        <w:tc>
          <w:tcPr>
            <w:tcW w:w="1035" w:type="pct"/>
            <w:vMerge w:val="continue"/>
            <w:vAlign w:val="center"/>
          </w:tcPr>
          <w:p w14:paraId="0796334F">
            <w:pPr>
              <w:widowControl/>
              <w:spacing w:line="300" w:lineRule="exact"/>
              <w:jc w:val="center"/>
              <w:rPr>
                <w:rFonts w:ascii="宋体" w:hAnsi="宋体" w:eastAsia="宋体" w:cs="宋体"/>
                <w:sz w:val="24"/>
                <w:szCs w:val="24"/>
              </w:rPr>
            </w:pPr>
          </w:p>
        </w:tc>
        <w:tc>
          <w:tcPr>
            <w:tcW w:w="2999" w:type="pct"/>
            <w:vAlign w:val="center"/>
          </w:tcPr>
          <w:p w14:paraId="081DCC27">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堤脚控高满足要求，养护至沿堤脚向外延伸2米或护堤地第一排树，清理干净，无杂树杂条，无藤类植物等。</w:t>
            </w:r>
          </w:p>
        </w:tc>
      </w:tr>
      <w:tr w14:paraId="7E4C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3AE60F5E">
            <w:pPr>
              <w:widowControl/>
              <w:spacing w:line="300" w:lineRule="exact"/>
              <w:jc w:val="center"/>
              <w:rPr>
                <w:rFonts w:ascii="宋体" w:hAnsi="宋体" w:eastAsia="宋体" w:cs="宋体"/>
                <w:sz w:val="24"/>
                <w:szCs w:val="24"/>
              </w:rPr>
            </w:pPr>
          </w:p>
        </w:tc>
        <w:tc>
          <w:tcPr>
            <w:tcW w:w="1035" w:type="pct"/>
            <w:vMerge w:val="continue"/>
            <w:vAlign w:val="center"/>
          </w:tcPr>
          <w:p w14:paraId="504B448B">
            <w:pPr>
              <w:widowControl/>
              <w:spacing w:line="300" w:lineRule="exact"/>
              <w:jc w:val="center"/>
              <w:rPr>
                <w:rFonts w:ascii="宋体" w:hAnsi="宋体" w:eastAsia="宋体" w:cs="宋体"/>
                <w:sz w:val="24"/>
                <w:szCs w:val="24"/>
              </w:rPr>
            </w:pPr>
          </w:p>
        </w:tc>
        <w:tc>
          <w:tcPr>
            <w:tcW w:w="2999" w:type="pct"/>
            <w:vAlign w:val="center"/>
          </w:tcPr>
          <w:p w14:paraId="0503882D">
            <w:pPr>
              <w:widowControl/>
              <w:spacing w:line="300" w:lineRule="exact"/>
              <w:jc w:val="left"/>
              <w:rPr>
                <w:rFonts w:ascii="宋体" w:hAnsi="宋体" w:eastAsia="宋体" w:cs="宋体"/>
                <w:sz w:val="24"/>
                <w:szCs w:val="24"/>
              </w:rPr>
            </w:pPr>
            <w:r>
              <w:rPr>
                <w:rFonts w:hint="eastAsia" w:ascii="宋体" w:hAnsi="宋体" w:eastAsia="宋体" w:cs="宋体"/>
                <w:sz w:val="24"/>
                <w:szCs w:val="24"/>
              </w:rPr>
              <w:t>堤坡、上下堤路草皮总体整洁、美观，无杂树杂条，无藤类植物，无建筑及生活垃圾。</w:t>
            </w:r>
          </w:p>
        </w:tc>
      </w:tr>
      <w:tr w14:paraId="6FE1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2A79B712">
            <w:pPr>
              <w:widowControl/>
              <w:spacing w:line="300" w:lineRule="exact"/>
              <w:jc w:val="center"/>
              <w:rPr>
                <w:rFonts w:ascii="宋体" w:hAnsi="宋体" w:eastAsia="宋体" w:cs="宋体"/>
                <w:sz w:val="24"/>
                <w:szCs w:val="24"/>
              </w:rPr>
            </w:pPr>
          </w:p>
        </w:tc>
        <w:tc>
          <w:tcPr>
            <w:tcW w:w="1035" w:type="pct"/>
            <w:vMerge w:val="continue"/>
            <w:vAlign w:val="center"/>
          </w:tcPr>
          <w:p w14:paraId="7B758700">
            <w:pPr>
              <w:widowControl/>
              <w:spacing w:line="300" w:lineRule="exact"/>
              <w:jc w:val="center"/>
              <w:rPr>
                <w:rFonts w:ascii="宋体" w:hAnsi="宋体" w:eastAsia="宋体" w:cs="宋体"/>
                <w:sz w:val="24"/>
                <w:szCs w:val="24"/>
              </w:rPr>
            </w:pPr>
          </w:p>
        </w:tc>
        <w:tc>
          <w:tcPr>
            <w:tcW w:w="2999" w:type="pct"/>
            <w:vAlign w:val="center"/>
          </w:tcPr>
          <w:p w14:paraId="1FD81215">
            <w:pPr>
              <w:widowControl/>
              <w:spacing w:line="300" w:lineRule="exact"/>
              <w:jc w:val="left"/>
              <w:rPr>
                <w:rFonts w:ascii="宋体" w:hAnsi="宋体" w:eastAsia="宋体" w:cs="宋体"/>
                <w:sz w:val="24"/>
                <w:szCs w:val="24"/>
              </w:rPr>
            </w:pPr>
            <w:r>
              <w:rPr>
                <w:rFonts w:hint="eastAsia" w:ascii="宋体" w:hAnsi="宋体" w:eastAsia="宋体" w:cs="宋体"/>
                <w:sz w:val="24"/>
                <w:szCs w:val="24"/>
              </w:rPr>
              <w:t>硬质护坡缝隙杂草清除干净，坡面平整。</w:t>
            </w:r>
          </w:p>
        </w:tc>
      </w:tr>
      <w:tr w14:paraId="0D5A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49F2CFD8">
            <w:pPr>
              <w:widowControl/>
              <w:spacing w:line="300" w:lineRule="exact"/>
              <w:jc w:val="center"/>
              <w:rPr>
                <w:rFonts w:ascii="宋体" w:hAnsi="宋体" w:eastAsia="宋体" w:cs="宋体"/>
                <w:sz w:val="24"/>
                <w:szCs w:val="24"/>
              </w:rPr>
            </w:pPr>
          </w:p>
        </w:tc>
        <w:tc>
          <w:tcPr>
            <w:tcW w:w="1035" w:type="pct"/>
            <w:vAlign w:val="center"/>
          </w:tcPr>
          <w:p w14:paraId="54B7CBDA">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养护遗留草屑清除</w:t>
            </w:r>
          </w:p>
        </w:tc>
        <w:tc>
          <w:tcPr>
            <w:tcW w:w="2999" w:type="pct"/>
            <w:vAlign w:val="center"/>
          </w:tcPr>
          <w:p w14:paraId="3EABF649">
            <w:pPr>
              <w:widowControl/>
              <w:spacing w:line="300" w:lineRule="exact"/>
              <w:jc w:val="left"/>
              <w:rPr>
                <w:rFonts w:ascii="宋体" w:hAnsi="宋体" w:eastAsia="宋体" w:cs="宋体"/>
                <w:sz w:val="24"/>
                <w:szCs w:val="24"/>
              </w:rPr>
            </w:pPr>
            <w:r>
              <w:rPr>
                <w:rFonts w:hint="eastAsia" w:ascii="宋体" w:hAnsi="宋体" w:eastAsia="宋体" w:cs="宋体"/>
                <w:sz w:val="24"/>
                <w:szCs w:val="24"/>
              </w:rPr>
              <w:t>控高所产生的废草等垃圾及时清理干净，全部清运到堤防管理范围外。</w:t>
            </w:r>
          </w:p>
        </w:tc>
      </w:tr>
      <w:tr w14:paraId="36FA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restart"/>
            <w:vAlign w:val="center"/>
          </w:tcPr>
          <w:p w14:paraId="0642E511">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护堤地林间</w:t>
            </w:r>
          </w:p>
        </w:tc>
        <w:tc>
          <w:tcPr>
            <w:tcW w:w="1035" w:type="pct"/>
            <w:vMerge w:val="restart"/>
            <w:vAlign w:val="center"/>
          </w:tcPr>
          <w:p w14:paraId="49718DCB">
            <w:pPr>
              <w:widowControl/>
              <w:spacing w:line="300" w:lineRule="exact"/>
              <w:rPr>
                <w:rFonts w:ascii="宋体" w:hAnsi="宋体" w:eastAsia="宋体" w:cs="宋体"/>
                <w:sz w:val="24"/>
                <w:szCs w:val="24"/>
              </w:rPr>
            </w:pPr>
            <w:r>
              <w:rPr>
                <w:rFonts w:hint="eastAsia" w:ascii="宋体" w:hAnsi="宋体" w:eastAsia="宋体" w:cs="宋体"/>
                <w:sz w:val="24"/>
                <w:szCs w:val="24"/>
              </w:rPr>
              <w:t>林间及闸区杂草、杂条、杂树清理</w:t>
            </w:r>
          </w:p>
        </w:tc>
        <w:tc>
          <w:tcPr>
            <w:tcW w:w="2999" w:type="pct"/>
            <w:vAlign w:val="center"/>
          </w:tcPr>
          <w:p w14:paraId="6B3C4271">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林间及闸管范围内，无有杂草，杂条现象，草皮整齐。</w:t>
            </w:r>
          </w:p>
        </w:tc>
      </w:tr>
      <w:tr w14:paraId="7E4A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Merge w:val="continue"/>
            <w:vAlign w:val="center"/>
          </w:tcPr>
          <w:p w14:paraId="79912919">
            <w:pPr>
              <w:widowControl/>
              <w:spacing w:line="300" w:lineRule="exact"/>
              <w:jc w:val="center"/>
              <w:rPr>
                <w:rFonts w:ascii="宋体" w:hAnsi="宋体" w:eastAsia="宋体" w:cs="宋体"/>
                <w:sz w:val="24"/>
                <w:szCs w:val="24"/>
              </w:rPr>
            </w:pPr>
          </w:p>
        </w:tc>
        <w:tc>
          <w:tcPr>
            <w:tcW w:w="1035" w:type="pct"/>
            <w:vMerge w:val="continue"/>
            <w:vAlign w:val="center"/>
          </w:tcPr>
          <w:p w14:paraId="43080091">
            <w:pPr>
              <w:widowControl/>
              <w:spacing w:line="300" w:lineRule="exact"/>
              <w:jc w:val="center"/>
              <w:rPr>
                <w:rFonts w:ascii="宋体" w:hAnsi="宋体" w:eastAsia="宋体" w:cs="宋体"/>
                <w:sz w:val="24"/>
                <w:szCs w:val="24"/>
              </w:rPr>
            </w:pPr>
          </w:p>
        </w:tc>
        <w:tc>
          <w:tcPr>
            <w:tcW w:w="2999" w:type="pct"/>
            <w:vAlign w:val="center"/>
          </w:tcPr>
          <w:p w14:paraId="734F97F2">
            <w:pPr>
              <w:widowControl/>
              <w:spacing w:line="300" w:lineRule="exact"/>
              <w:jc w:val="left"/>
              <w:rPr>
                <w:rFonts w:ascii="宋体" w:hAnsi="宋体" w:eastAsia="宋体" w:cs="宋体"/>
                <w:sz w:val="24"/>
                <w:szCs w:val="24"/>
              </w:rPr>
            </w:pPr>
            <w:r>
              <w:rPr>
                <w:rFonts w:hint="eastAsia" w:ascii="宋体" w:hAnsi="宋体" w:eastAsia="宋体" w:cs="宋体"/>
                <w:sz w:val="24"/>
                <w:szCs w:val="24"/>
              </w:rPr>
              <w:t>林间除杂高度满足要求，养护高度5cm以下。</w:t>
            </w:r>
          </w:p>
        </w:tc>
      </w:tr>
      <w:tr w14:paraId="1FF2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66" w:type="pct"/>
            <w:vAlign w:val="center"/>
          </w:tcPr>
          <w:p w14:paraId="72D379BC">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养护工期</w:t>
            </w:r>
          </w:p>
        </w:tc>
        <w:tc>
          <w:tcPr>
            <w:tcW w:w="1035" w:type="pct"/>
            <w:vAlign w:val="center"/>
          </w:tcPr>
          <w:p w14:paraId="56ACE646">
            <w:pPr>
              <w:widowControl/>
              <w:spacing w:line="300" w:lineRule="exact"/>
              <w:jc w:val="center"/>
              <w:rPr>
                <w:rFonts w:ascii="宋体" w:hAnsi="宋体" w:eastAsia="宋体" w:cs="宋体"/>
                <w:sz w:val="24"/>
                <w:szCs w:val="24"/>
              </w:rPr>
            </w:pPr>
            <w:r>
              <w:rPr>
                <w:rFonts w:hint="eastAsia" w:ascii="宋体" w:hAnsi="宋体" w:eastAsia="宋体" w:cs="宋体"/>
                <w:sz w:val="24"/>
                <w:szCs w:val="24"/>
              </w:rPr>
              <w:t>养护时间</w:t>
            </w:r>
          </w:p>
        </w:tc>
        <w:tc>
          <w:tcPr>
            <w:tcW w:w="2999" w:type="pct"/>
            <w:vAlign w:val="center"/>
          </w:tcPr>
          <w:p w14:paraId="32161363">
            <w:pPr>
              <w:widowControl/>
              <w:spacing w:line="300" w:lineRule="exact"/>
              <w:jc w:val="left"/>
              <w:rPr>
                <w:rFonts w:ascii="宋体" w:hAnsi="宋体" w:eastAsia="宋体" w:cs="宋体"/>
                <w:sz w:val="24"/>
                <w:szCs w:val="24"/>
              </w:rPr>
            </w:pPr>
            <w:r>
              <w:rPr>
                <w:rFonts w:hint="eastAsia" w:ascii="宋体" w:hAnsi="宋体" w:eastAsia="宋体" w:cs="宋体"/>
                <w:sz w:val="24"/>
                <w:szCs w:val="24"/>
              </w:rPr>
              <w:t>按合同甲方规定时间内完成养护作业</w:t>
            </w:r>
          </w:p>
        </w:tc>
      </w:tr>
    </w:tbl>
    <w:p w14:paraId="60D8FB97">
      <w:pPr>
        <w:ind w:firstLine="480" w:firstLineChars="200"/>
        <w:rPr>
          <w:rFonts w:ascii="宋体" w:hAnsi="宋体" w:eastAsia="宋体" w:cs="宋体"/>
          <w:sz w:val="24"/>
          <w:szCs w:val="24"/>
        </w:rPr>
      </w:pPr>
      <w:r>
        <w:rPr>
          <w:rFonts w:hint="eastAsia" w:ascii="宋体" w:hAnsi="宋体" w:eastAsia="宋体" w:cs="宋体"/>
          <w:sz w:val="24"/>
          <w:szCs w:val="24"/>
        </w:rPr>
        <w:t>六、日常监管、考核要求</w:t>
      </w:r>
    </w:p>
    <w:p w14:paraId="079A84DC">
      <w:pPr>
        <w:adjustRightInd w:val="0"/>
        <w:snapToGrid w:val="0"/>
        <w:spacing w:line="560" w:lineRule="exact"/>
        <w:ind w:firstLine="640"/>
        <w:rPr>
          <w:rFonts w:ascii="宋体" w:hAnsi="宋体" w:eastAsia="宋体" w:cs="宋体"/>
          <w:b/>
          <w:sz w:val="24"/>
          <w:szCs w:val="24"/>
        </w:rPr>
      </w:pPr>
      <w:r>
        <w:rPr>
          <w:rFonts w:hint="eastAsia" w:ascii="宋体" w:hAnsi="宋体" w:eastAsia="宋体" w:cs="宋体"/>
          <w:b/>
          <w:sz w:val="24"/>
          <w:szCs w:val="24"/>
        </w:rPr>
        <w:t>1.日常监管</w:t>
      </w:r>
    </w:p>
    <w:p w14:paraId="42BF422D">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负责养护作业的监督管理工作，根据草皮生长情况及时通知成交人进场养护，填写进场养护通知书，监督指导人工养护、养护控高、废草清理、垃圾清运等作业情况，养护完成后，整编归档养护作业相关资料，及时组织养护次验收。</w:t>
      </w:r>
    </w:p>
    <w:p w14:paraId="4BC29EA8">
      <w:pPr>
        <w:adjustRightInd w:val="0"/>
        <w:snapToGrid w:val="0"/>
        <w:spacing w:line="560" w:lineRule="exact"/>
        <w:ind w:firstLine="640"/>
        <w:rPr>
          <w:rFonts w:ascii="宋体" w:hAnsi="宋体" w:eastAsia="宋体" w:cs="宋体"/>
          <w:bCs/>
          <w:sz w:val="24"/>
          <w:szCs w:val="24"/>
        </w:rPr>
      </w:pPr>
      <w:r>
        <w:rPr>
          <w:rFonts w:hint="eastAsia" w:ascii="宋体" w:hAnsi="宋体" w:eastAsia="宋体" w:cs="宋体"/>
          <w:bCs/>
          <w:sz w:val="24"/>
          <w:szCs w:val="24"/>
        </w:rPr>
        <w:t>各合同甲方管理所负责所管堤段养护作业的现场管理工作，养护作业期间每日填写养护作业日常监管表，实时掌握养护作业情况，发现问题及时处理上报。</w:t>
      </w:r>
    </w:p>
    <w:p w14:paraId="580B6E6A">
      <w:pPr>
        <w:widowControl/>
        <w:shd w:val="clear" w:color="auto" w:fill="FFFFFF"/>
        <w:adjustRightInd w:val="0"/>
        <w:snapToGrid w:val="0"/>
        <w:spacing w:line="560" w:lineRule="exact"/>
        <w:ind w:firstLine="643"/>
        <w:jc w:val="left"/>
        <w:rPr>
          <w:rFonts w:ascii="宋体" w:hAnsi="宋体" w:eastAsia="宋体" w:cs="宋体"/>
          <w:b/>
          <w:bCs/>
          <w:sz w:val="24"/>
          <w:szCs w:val="24"/>
        </w:rPr>
      </w:pPr>
      <w:r>
        <w:rPr>
          <w:rFonts w:hint="eastAsia" w:ascii="宋体" w:hAnsi="宋体" w:eastAsia="宋体" w:cs="宋体"/>
          <w:b/>
          <w:bCs/>
          <w:sz w:val="24"/>
          <w:szCs w:val="24"/>
        </w:rPr>
        <w:t>2.验收要求</w:t>
      </w:r>
    </w:p>
    <w:p w14:paraId="54C89B41">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合同甲方成立验收组，由分管负责人任组长，成员由工程、财务、纪检及管理所相关人员组成，负责堤防草皮养护及护堤地林间控高项目的验收工作。</w:t>
      </w:r>
    </w:p>
    <w:p w14:paraId="3F717EA2">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开始时间，以合同甲方书面通知为准；每次养护完成后，成交人及时申请验收，合同甲方及时组织次验收，并整编归档次验收相关资料。验收组按照《草皮养护验收评分表》进行验收赋分，次验收得分率＝验收组成员得分率之和/成员人数。次验收等级分合格、不合格两个等级（验收得分率85%及以上为合格，85%以下为不合格）对次验收不合格的堤段，养护公司应及时整改，整改完成后申请合同甲方确认，仍不合格本月不再验收，并扣除当月价款，一年出现2次次验收不合格的，约谈成交人，取消次年响应资格，并及时整编归档验收相关资料。</w:t>
      </w:r>
    </w:p>
    <w:p w14:paraId="4AF239B1">
      <w:pPr>
        <w:widowControl/>
        <w:shd w:val="clear" w:color="auto" w:fill="FFFFFF"/>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每次养护次验收完成后，成交人及时申请支付进度款，经合同甲方审核确认后据实支付。</w:t>
      </w:r>
    </w:p>
    <w:p w14:paraId="5E7F20C2">
      <w:pPr>
        <w:widowControl/>
        <w:shd w:val="clear" w:color="auto" w:fill="FFFFFF"/>
        <w:adjustRightInd w:val="0"/>
        <w:snapToGrid w:val="0"/>
        <w:spacing w:line="560" w:lineRule="exact"/>
        <w:ind w:firstLine="640"/>
        <w:jc w:val="left"/>
        <w:rPr>
          <w:rFonts w:ascii="宋体" w:hAnsi="宋体" w:eastAsia="宋体" w:cs="宋体"/>
          <w:b/>
          <w:bCs/>
          <w:sz w:val="24"/>
          <w:szCs w:val="24"/>
        </w:rPr>
      </w:pPr>
      <w:r>
        <w:rPr>
          <w:rFonts w:hint="eastAsia" w:ascii="宋体" w:hAnsi="宋体" w:eastAsia="宋体" w:cs="宋体"/>
          <w:b/>
          <w:bCs/>
          <w:sz w:val="24"/>
          <w:szCs w:val="24"/>
        </w:rPr>
        <w:t>3.年度验收要求</w:t>
      </w:r>
    </w:p>
    <w:p w14:paraId="05241280">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年度养护作业完成后，合同甲方及时组织年度验收。</w:t>
      </w:r>
      <w:bookmarkEnd w:id="140"/>
      <w:bookmarkEnd w:id="141"/>
      <w:bookmarkEnd w:id="142"/>
    </w:p>
    <w:p w14:paraId="7CCBDED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七、甲方责任义务</w:t>
      </w:r>
    </w:p>
    <w:p w14:paraId="55B763D3">
      <w:pPr>
        <w:spacing w:line="560" w:lineRule="exact"/>
        <w:ind w:firstLine="640"/>
        <w:rPr>
          <w:rFonts w:ascii="宋体" w:hAnsi="宋体" w:eastAsia="宋体" w:cs="宋体"/>
          <w:sz w:val="24"/>
          <w:szCs w:val="24"/>
        </w:rPr>
      </w:pPr>
      <w:r>
        <w:rPr>
          <w:rFonts w:hint="eastAsia" w:ascii="宋体" w:hAnsi="宋体" w:eastAsia="宋体" w:cs="宋体"/>
          <w:sz w:val="24"/>
          <w:szCs w:val="24"/>
        </w:rPr>
        <w:t>1. 甲方承诺按照法律规定履行项目审批手续、筹集项目资金并按照合同约定的期限和方式支付合同价款。</w:t>
      </w:r>
    </w:p>
    <w:p w14:paraId="38B01D02">
      <w:pPr>
        <w:spacing w:line="560" w:lineRule="exact"/>
        <w:ind w:firstLine="640"/>
        <w:rPr>
          <w:rFonts w:ascii="宋体" w:hAnsi="宋体" w:eastAsia="宋体" w:cs="宋体"/>
          <w:sz w:val="24"/>
          <w:szCs w:val="24"/>
        </w:rPr>
      </w:pPr>
      <w:r>
        <w:rPr>
          <w:rFonts w:hint="eastAsia" w:ascii="宋体" w:hAnsi="宋体" w:eastAsia="宋体" w:cs="宋体"/>
          <w:sz w:val="24"/>
          <w:szCs w:val="24"/>
        </w:rPr>
        <w:t>2. 积极协调有关工作，为乙方提供必要的养护场地、养护条件和基础资料等，组织各方进行技术及安全交底。</w:t>
      </w:r>
    </w:p>
    <w:p w14:paraId="73F984CD">
      <w:pPr>
        <w:spacing w:line="560" w:lineRule="exact"/>
        <w:ind w:firstLine="640"/>
        <w:rPr>
          <w:rFonts w:ascii="宋体" w:hAnsi="宋体" w:eastAsia="宋体" w:cs="宋体"/>
          <w:sz w:val="24"/>
          <w:szCs w:val="24"/>
        </w:rPr>
      </w:pPr>
      <w:r>
        <w:rPr>
          <w:rFonts w:hint="eastAsia" w:ascii="宋体" w:hAnsi="宋体" w:eastAsia="宋体" w:cs="宋体"/>
          <w:sz w:val="24"/>
          <w:szCs w:val="24"/>
        </w:rPr>
        <w:t>3. 监督、检查项目安全、质量、进度。</w:t>
      </w:r>
    </w:p>
    <w:p w14:paraId="6D5B21BC">
      <w:pPr>
        <w:spacing w:line="560" w:lineRule="exact"/>
        <w:ind w:firstLine="640"/>
        <w:rPr>
          <w:rFonts w:ascii="宋体" w:hAnsi="宋体" w:eastAsia="宋体" w:cs="宋体"/>
          <w:sz w:val="24"/>
          <w:szCs w:val="24"/>
        </w:rPr>
      </w:pPr>
      <w:r>
        <w:rPr>
          <w:rFonts w:hint="eastAsia" w:ascii="宋体" w:hAnsi="宋体" w:eastAsia="宋体" w:cs="宋体"/>
          <w:sz w:val="24"/>
          <w:szCs w:val="24"/>
        </w:rPr>
        <w:t>4. 项目完成后，及时组织验收。</w:t>
      </w:r>
    </w:p>
    <w:p w14:paraId="688BF1A8">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八、乙方责任义务</w:t>
      </w:r>
    </w:p>
    <w:p w14:paraId="1A07B7E5">
      <w:pPr>
        <w:spacing w:line="560" w:lineRule="exact"/>
        <w:ind w:firstLine="640"/>
        <w:rPr>
          <w:rFonts w:ascii="宋体" w:hAnsi="宋体" w:eastAsia="宋体" w:cs="宋体"/>
          <w:sz w:val="24"/>
          <w:szCs w:val="24"/>
        </w:rPr>
      </w:pPr>
      <w:r>
        <w:rPr>
          <w:rFonts w:hint="eastAsia" w:ascii="宋体" w:hAnsi="宋体" w:eastAsia="宋体" w:cs="宋体"/>
          <w:sz w:val="24"/>
          <w:szCs w:val="24"/>
        </w:rPr>
        <w:t>1. 乙方按甲方的管理要求和标准组织管理养护工作，并接受甲方的指导、监督和检查验收，确保工程质量和安全，不进行转包及违法分包。</w:t>
      </w:r>
    </w:p>
    <w:p w14:paraId="6E9F30D8">
      <w:pPr>
        <w:spacing w:line="560" w:lineRule="exact"/>
        <w:ind w:firstLine="640"/>
        <w:rPr>
          <w:rFonts w:ascii="宋体" w:hAnsi="宋体" w:eastAsia="宋体" w:cs="宋体"/>
          <w:sz w:val="24"/>
          <w:szCs w:val="24"/>
        </w:rPr>
      </w:pPr>
      <w:r>
        <w:rPr>
          <w:rFonts w:hint="eastAsia" w:ascii="宋体" w:hAnsi="宋体" w:eastAsia="宋体" w:cs="宋体"/>
          <w:sz w:val="24"/>
          <w:szCs w:val="24"/>
        </w:rPr>
        <w:t>2..乙方要严格执行国家已发布的有关法律法规和地方政府有关安全管理的规定，严格执行已批准或专家论证的各项安全生产的规章制度和方案。</w:t>
      </w:r>
    </w:p>
    <w:p w14:paraId="7630E197">
      <w:pPr>
        <w:spacing w:line="560" w:lineRule="exact"/>
        <w:ind w:firstLine="640"/>
        <w:rPr>
          <w:rFonts w:ascii="宋体" w:hAnsi="宋体" w:eastAsia="宋体" w:cs="宋体"/>
          <w:sz w:val="24"/>
          <w:szCs w:val="24"/>
        </w:rPr>
      </w:pPr>
      <w:r>
        <w:rPr>
          <w:rFonts w:hint="eastAsia" w:ascii="宋体" w:hAnsi="宋体" w:eastAsia="宋体" w:cs="宋体"/>
          <w:sz w:val="24"/>
          <w:szCs w:val="24"/>
        </w:rPr>
        <w:t>3. 落实项目负责人和主要养护管理人员，加强现场管理，过程资料与养护工作同步进行，确保过程资料齐全、完整、规范</w:t>
      </w:r>
    </w:p>
    <w:p w14:paraId="4E70255F">
      <w:pPr>
        <w:spacing w:line="560" w:lineRule="exact"/>
        <w:ind w:firstLine="640"/>
        <w:rPr>
          <w:rFonts w:ascii="宋体" w:hAnsi="宋体" w:eastAsia="宋体" w:cs="宋体"/>
          <w:sz w:val="24"/>
          <w:szCs w:val="24"/>
        </w:rPr>
      </w:pPr>
      <w:r>
        <w:rPr>
          <w:rFonts w:hint="eastAsia" w:ascii="宋体" w:hAnsi="宋体" w:eastAsia="宋体" w:cs="宋体"/>
          <w:sz w:val="24"/>
          <w:szCs w:val="24"/>
        </w:rPr>
        <w:t>4. 落实安全生产保障措施，负责作业过程中职业健康、环境保护、劳动卫生、安全生产等有关工作，做到安全文明作业，坚决防范各类安全事故发生。对现场工作场所进行检查，确保环境安全，检查安全设施的完好性、通道的畅通性等。对所有参与现场养护的人员进行安全提醒教育，使其具备安全意识和应对突发情况的能力。</w:t>
      </w:r>
    </w:p>
    <w:p w14:paraId="19FD8BC0">
      <w:pPr>
        <w:spacing w:line="560" w:lineRule="exact"/>
        <w:ind w:firstLine="640"/>
        <w:rPr>
          <w:rFonts w:ascii="宋体" w:hAnsi="宋体" w:eastAsia="宋体" w:cs="宋体"/>
          <w:sz w:val="24"/>
          <w:szCs w:val="24"/>
        </w:rPr>
      </w:pPr>
      <w:r>
        <w:rPr>
          <w:rFonts w:hint="eastAsia" w:ascii="宋体" w:hAnsi="宋体" w:eastAsia="宋体" w:cs="宋体"/>
          <w:sz w:val="24"/>
          <w:szCs w:val="24"/>
        </w:rPr>
        <w:t>5. 严格遵守有关法律法规规定，服从甲方的监督管理，项目变更需经甲方批准后方可实施。</w:t>
      </w:r>
    </w:p>
    <w:p w14:paraId="4DECB253">
      <w:pPr>
        <w:spacing w:line="560" w:lineRule="exact"/>
        <w:ind w:firstLine="640"/>
        <w:rPr>
          <w:rFonts w:ascii="宋体" w:hAnsi="宋体" w:eastAsia="宋体" w:cs="宋体"/>
          <w:sz w:val="24"/>
          <w:szCs w:val="24"/>
        </w:rPr>
      </w:pPr>
      <w:r>
        <w:rPr>
          <w:rFonts w:hint="eastAsia" w:ascii="宋体" w:hAnsi="宋体" w:eastAsia="宋体" w:cs="宋体"/>
          <w:sz w:val="24"/>
          <w:szCs w:val="24"/>
        </w:rPr>
        <w:t>九、违约责任：</w:t>
      </w:r>
    </w:p>
    <w:p w14:paraId="758E3AA0">
      <w:pPr>
        <w:spacing w:line="560" w:lineRule="exact"/>
        <w:ind w:firstLine="640"/>
        <w:rPr>
          <w:rFonts w:ascii="宋体" w:hAnsi="宋体" w:eastAsia="宋体" w:cs="宋体"/>
          <w:sz w:val="24"/>
          <w:szCs w:val="24"/>
        </w:rPr>
      </w:pPr>
      <w:r>
        <w:rPr>
          <w:rFonts w:hint="eastAsia" w:ascii="宋体" w:hAnsi="宋体" w:eastAsia="宋体" w:cs="宋体"/>
          <w:sz w:val="24"/>
          <w:szCs w:val="24"/>
        </w:rPr>
        <w:t>1.合同签订后，合同双方任何一方不履行合同条款或不按合同约定履行条款的其它情况，均属违约，由违约方承担违约责任，赔偿因其违约给对方造成的损失，并向对方支付合同价款总额的10%的违约金（本合同另有特别约定的，按特别约定处理。因此导致合同终止或被解除的，除按特别约定处理外，同时还按本约定处理）。</w:t>
      </w:r>
    </w:p>
    <w:p w14:paraId="1A6D3C5E">
      <w:pPr>
        <w:spacing w:line="560" w:lineRule="exact"/>
        <w:ind w:firstLine="640"/>
        <w:rPr>
          <w:rFonts w:ascii="宋体" w:hAnsi="宋体" w:eastAsia="宋体" w:cs="宋体"/>
          <w:sz w:val="24"/>
          <w:szCs w:val="24"/>
        </w:rPr>
      </w:pPr>
      <w:r>
        <w:rPr>
          <w:rFonts w:hint="eastAsia" w:ascii="宋体" w:hAnsi="宋体" w:eastAsia="宋体" w:cs="宋体"/>
          <w:sz w:val="24"/>
          <w:szCs w:val="24"/>
        </w:rPr>
        <w:t>2.由于乙方原因，导致双方签订的合同终止或被解除的，乙方因此而遭受的损失，将由乙方独立承担，甲方对此不负任何责任，也不作任何赔偿。</w:t>
      </w:r>
    </w:p>
    <w:p w14:paraId="51747DA0">
      <w:pPr>
        <w:spacing w:line="560" w:lineRule="exact"/>
        <w:ind w:firstLine="640"/>
        <w:rPr>
          <w:rFonts w:ascii="宋体" w:hAnsi="宋体" w:eastAsia="宋体" w:cs="宋体"/>
          <w:sz w:val="24"/>
          <w:szCs w:val="24"/>
        </w:rPr>
      </w:pPr>
      <w:r>
        <w:rPr>
          <w:rFonts w:hint="eastAsia" w:ascii="宋体" w:hAnsi="宋体" w:eastAsia="宋体" w:cs="宋体"/>
          <w:sz w:val="24"/>
          <w:szCs w:val="24"/>
        </w:rPr>
        <w:t>3.本项目乙方应包工期、包质量、包安全。乙方签定合同后10日内，乙方须按响应文件提供自备机械设备、项目组成员和有关保险证明票据等，进场作业前由甲方验证。若乙方不能按时提供，甲方有权解除合同，责任由乙方负担。</w:t>
      </w:r>
    </w:p>
    <w:p w14:paraId="4C7D88C6">
      <w:pPr>
        <w:spacing w:line="560" w:lineRule="exact"/>
        <w:ind w:firstLine="640"/>
        <w:rPr>
          <w:rFonts w:ascii="宋体" w:hAnsi="宋体" w:eastAsia="宋体" w:cs="宋体"/>
          <w:sz w:val="24"/>
          <w:szCs w:val="24"/>
        </w:rPr>
      </w:pPr>
      <w:r>
        <w:rPr>
          <w:rFonts w:hint="eastAsia" w:ascii="宋体" w:hAnsi="宋体" w:eastAsia="宋体" w:cs="宋体"/>
          <w:sz w:val="24"/>
          <w:szCs w:val="24"/>
        </w:rPr>
        <w:t>十、甲方责任义务</w:t>
      </w:r>
    </w:p>
    <w:p w14:paraId="6F551257">
      <w:pPr>
        <w:spacing w:line="560" w:lineRule="exact"/>
        <w:ind w:firstLine="640"/>
        <w:rPr>
          <w:rFonts w:ascii="宋体" w:hAnsi="宋体" w:eastAsia="宋体" w:cs="宋体"/>
          <w:sz w:val="24"/>
          <w:szCs w:val="24"/>
        </w:rPr>
      </w:pPr>
      <w:r>
        <w:rPr>
          <w:rFonts w:hint="eastAsia" w:ascii="宋体" w:hAnsi="宋体" w:eastAsia="宋体" w:cs="宋体"/>
          <w:sz w:val="24"/>
          <w:szCs w:val="24"/>
        </w:rPr>
        <w:t>1.甲方承诺按照合同约定的期限和方式支付合同价款。</w:t>
      </w:r>
    </w:p>
    <w:p w14:paraId="5394CE3A">
      <w:pPr>
        <w:spacing w:line="560" w:lineRule="exact"/>
        <w:ind w:firstLine="640"/>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5D854550">
      <w:pPr>
        <w:spacing w:line="560" w:lineRule="exact"/>
        <w:ind w:firstLine="640"/>
        <w:rPr>
          <w:rFonts w:ascii="宋体" w:hAnsi="宋体" w:eastAsia="宋体" w:cs="宋体"/>
          <w:sz w:val="24"/>
          <w:szCs w:val="24"/>
        </w:rPr>
      </w:pPr>
      <w:r>
        <w:rPr>
          <w:rFonts w:hint="eastAsia" w:ascii="宋体" w:hAnsi="宋体" w:eastAsia="宋体" w:cs="宋体"/>
          <w:sz w:val="24"/>
          <w:szCs w:val="24"/>
        </w:rPr>
        <w:t>十一、乙方责任义务</w:t>
      </w:r>
    </w:p>
    <w:p w14:paraId="3E336F77">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1.乙方在作业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4B0F356F">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2.本项目所有从业人员购买以下保险（二者任选其一）：雇主责任险或团体意外险，其保险费已包含在签约合同价中。</w:t>
      </w:r>
    </w:p>
    <w:p w14:paraId="2CE4A329">
      <w:pPr>
        <w:spacing w:line="560" w:lineRule="exact"/>
        <w:ind w:firstLine="640"/>
        <w:rPr>
          <w:rFonts w:ascii="宋体" w:hAnsi="宋体" w:eastAsia="宋体" w:cs="宋体"/>
          <w:b/>
          <w:bCs/>
          <w:sz w:val="24"/>
          <w:szCs w:val="24"/>
        </w:rPr>
      </w:pPr>
      <w:r>
        <w:rPr>
          <w:rFonts w:hint="eastAsia" w:ascii="宋体" w:hAnsi="宋体" w:eastAsia="宋体" w:cs="宋体"/>
          <w:b/>
          <w:bCs/>
          <w:sz w:val="24"/>
          <w:szCs w:val="24"/>
        </w:rPr>
        <w:t>3.安全承诺:乙方承诺，作业过程中如出现作业人员未有效佩戴现场安全防护必须的安全帽、安全绳、救生衣以及其他必须的作业防护等安全防护用品，发生不安全行为的，每出现一次，从项目结算价中自愿核减1000元，减完为止。</w:t>
      </w:r>
    </w:p>
    <w:p w14:paraId="61EA53C4">
      <w:pPr>
        <w:spacing w:line="560" w:lineRule="exact"/>
        <w:ind w:firstLine="640"/>
        <w:rPr>
          <w:rFonts w:ascii="宋体" w:hAnsi="宋体" w:eastAsia="宋体" w:cs="宋体"/>
          <w:sz w:val="24"/>
          <w:szCs w:val="24"/>
        </w:rPr>
      </w:pPr>
      <w:r>
        <w:rPr>
          <w:rFonts w:hint="eastAsia" w:ascii="宋体" w:hAnsi="宋体" w:eastAsia="宋体" w:cs="宋体"/>
          <w:sz w:val="24"/>
          <w:szCs w:val="24"/>
        </w:rPr>
        <w:t>十二、争议解决</w:t>
      </w:r>
    </w:p>
    <w:p w14:paraId="29E6D733">
      <w:pPr>
        <w:spacing w:line="560" w:lineRule="exact"/>
        <w:ind w:firstLine="640"/>
        <w:rPr>
          <w:rFonts w:ascii="宋体" w:hAnsi="宋体" w:eastAsia="宋体" w:cs="宋体"/>
          <w:sz w:val="24"/>
          <w:szCs w:val="24"/>
        </w:rPr>
      </w:pPr>
      <w:r>
        <w:rPr>
          <w:rFonts w:hint="eastAsia" w:ascii="宋体" w:hAnsi="宋体" w:eastAsia="宋体" w:cs="宋体"/>
          <w:sz w:val="24"/>
          <w:szCs w:val="24"/>
        </w:rPr>
        <w:t>甲方和乙方在履行合同中发生争议的，可以友好协商解决。合同当事人友好协商解决不成的，可按下列第（  2  ）种方式解决：</w:t>
      </w:r>
    </w:p>
    <w:p w14:paraId="712CFFEE">
      <w:pPr>
        <w:spacing w:line="560" w:lineRule="exact"/>
        <w:ind w:firstLine="640"/>
        <w:rPr>
          <w:rFonts w:ascii="宋体" w:hAnsi="宋体" w:eastAsia="宋体" w:cs="宋体"/>
          <w:sz w:val="24"/>
          <w:szCs w:val="24"/>
        </w:rPr>
      </w:pPr>
      <w:r>
        <w:rPr>
          <w:rFonts w:hint="eastAsia" w:ascii="宋体" w:hAnsi="宋体" w:eastAsia="宋体" w:cs="宋体"/>
          <w:sz w:val="24"/>
          <w:szCs w:val="24"/>
        </w:rPr>
        <w:t>（1）向  /  仲裁委员会申请仲裁；</w:t>
      </w:r>
    </w:p>
    <w:p w14:paraId="383BA47A">
      <w:pPr>
        <w:spacing w:line="560" w:lineRule="exact"/>
        <w:ind w:firstLine="640"/>
        <w:rPr>
          <w:rFonts w:ascii="宋体" w:hAnsi="宋体" w:eastAsia="宋体" w:cs="宋体"/>
          <w:sz w:val="24"/>
          <w:szCs w:val="24"/>
        </w:rPr>
      </w:pPr>
      <w:r>
        <w:rPr>
          <w:rFonts w:hint="eastAsia" w:ascii="宋体" w:hAnsi="宋体" w:eastAsia="宋体" w:cs="宋体"/>
          <w:sz w:val="24"/>
          <w:szCs w:val="24"/>
        </w:rPr>
        <w:t>（2）向甲方法人证书登记的住所地人民法院提起诉。</w:t>
      </w:r>
    </w:p>
    <w:p w14:paraId="0ED91704">
      <w:pPr>
        <w:spacing w:line="560" w:lineRule="exact"/>
        <w:ind w:firstLine="640"/>
        <w:rPr>
          <w:rFonts w:ascii="宋体" w:hAnsi="宋体" w:eastAsia="宋体" w:cs="宋体"/>
          <w:sz w:val="24"/>
          <w:szCs w:val="24"/>
        </w:rPr>
      </w:pPr>
      <w:r>
        <w:rPr>
          <w:rFonts w:hint="eastAsia" w:ascii="宋体" w:hAnsi="宋体" w:eastAsia="宋体" w:cs="宋体"/>
          <w:sz w:val="24"/>
          <w:szCs w:val="24"/>
        </w:rPr>
        <w:t>十三、签订时间</w:t>
      </w:r>
    </w:p>
    <w:p w14:paraId="11506D78">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日签订。</w:t>
      </w:r>
    </w:p>
    <w:p w14:paraId="78ABB07A">
      <w:pPr>
        <w:spacing w:line="560" w:lineRule="exact"/>
        <w:ind w:firstLine="640"/>
        <w:rPr>
          <w:rFonts w:ascii="宋体" w:hAnsi="宋体" w:eastAsia="宋体" w:cs="宋体"/>
          <w:sz w:val="24"/>
          <w:szCs w:val="24"/>
        </w:rPr>
      </w:pPr>
      <w:r>
        <w:rPr>
          <w:rFonts w:hint="eastAsia" w:ascii="宋体" w:hAnsi="宋体" w:eastAsia="宋体" w:cs="宋体"/>
          <w:sz w:val="24"/>
          <w:szCs w:val="24"/>
        </w:rPr>
        <w:t>十四、签订地点</w:t>
      </w:r>
    </w:p>
    <w:p w14:paraId="4398F8AD">
      <w:pPr>
        <w:spacing w:line="560" w:lineRule="exact"/>
        <w:ind w:firstLine="640"/>
        <w:rPr>
          <w:rFonts w:ascii="宋体" w:hAnsi="宋体" w:eastAsia="宋体" w:cs="宋体"/>
          <w:sz w:val="24"/>
          <w:szCs w:val="24"/>
        </w:rPr>
      </w:pPr>
      <w:r>
        <w:rPr>
          <w:rFonts w:hint="eastAsia" w:ascii="宋体" w:hAnsi="宋体" w:eastAsia="宋体" w:cs="宋体"/>
          <w:sz w:val="24"/>
          <w:szCs w:val="24"/>
        </w:rPr>
        <w:t>本合同在</w:t>
      </w:r>
      <w:r>
        <w:rPr>
          <w:rFonts w:hint="eastAsia" w:ascii="宋体" w:hAnsi="宋体" w:eastAsia="宋体" w:cs="宋体"/>
          <w:sz w:val="24"/>
          <w:szCs w:val="24"/>
          <w:u w:val="single"/>
        </w:rPr>
        <w:t xml:space="preserve">                </w:t>
      </w:r>
      <w:r>
        <w:rPr>
          <w:rFonts w:hint="eastAsia" w:ascii="宋体" w:hAnsi="宋体" w:eastAsia="宋体" w:cs="宋体"/>
          <w:sz w:val="24"/>
          <w:szCs w:val="24"/>
        </w:rPr>
        <w:t>签订。</w:t>
      </w:r>
    </w:p>
    <w:p w14:paraId="314F8E31">
      <w:pPr>
        <w:spacing w:line="560" w:lineRule="exact"/>
        <w:ind w:firstLine="640"/>
        <w:rPr>
          <w:rFonts w:ascii="宋体" w:hAnsi="宋体" w:eastAsia="宋体" w:cs="宋体"/>
          <w:sz w:val="24"/>
          <w:szCs w:val="24"/>
        </w:rPr>
      </w:pPr>
      <w:r>
        <w:rPr>
          <w:rFonts w:hint="eastAsia" w:ascii="宋体" w:hAnsi="宋体" w:eastAsia="宋体" w:cs="宋体"/>
          <w:sz w:val="24"/>
          <w:szCs w:val="24"/>
        </w:rPr>
        <w:t>十五、补充协议</w:t>
      </w:r>
    </w:p>
    <w:p w14:paraId="08C5B69D">
      <w:pPr>
        <w:spacing w:line="560" w:lineRule="exact"/>
        <w:ind w:firstLine="640"/>
        <w:rPr>
          <w:rFonts w:ascii="宋体" w:hAnsi="宋体" w:eastAsia="宋体" w:cs="宋体"/>
          <w:sz w:val="24"/>
          <w:szCs w:val="24"/>
        </w:rPr>
      </w:pPr>
      <w:r>
        <w:rPr>
          <w:rFonts w:hint="eastAsia" w:ascii="宋体" w:hAnsi="宋体" w:eastAsia="宋体" w:cs="宋体"/>
          <w:sz w:val="24"/>
          <w:szCs w:val="24"/>
        </w:rPr>
        <w:t>合同未尽事宜，合同当事人另行签订补充协议，补充协议是合同的组成部分。</w:t>
      </w:r>
    </w:p>
    <w:p w14:paraId="6111C91E">
      <w:pPr>
        <w:spacing w:line="560" w:lineRule="exact"/>
        <w:ind w:firstLine="640"/>
        <w:rPr>
          <w:rFonts w:ascii="宋体" w:hAnsi="宋体" w:eastAsia="宋体" w:cs="宋体"/>
          <w:sz w:val="24"/>
          <w:szCs w:val="24"/>
        </w:rPr>
      </w:pPr>
      <w:r>
        <w:rPr>
          <w:rFonts w:hint="eastAsia" w:ascii="宋体" w:hAnsi="宋体" w:eastAsia="宋体" w:cs="宋体"/>
          <w:sz w:val="24"/>
          <w:szCs w:val="24"/>
        </w:rPr>
        <w:t>十六、合同生效</w:t>
      </w:r>
    </w:p>
    <w:p w14:paraId="1217021B">
      <w:pPr>
        <w:spacing w:line="560" w:lineRule="exact"/>
        <w:ind w:firstLine="640"/>
        <w:rPr>
          <w:rFonts w:ascii="宋体" w:hAnsi="宋体" w:eastAsia="宋体" w:cs="宋体"/>
          <w:sz w:val="24"/>
          <w:szCs w:val="24"/>
        </w:rPr>
      </w:pPr>
      <w:r>
        <w:rPr>
          <w:rFonts w:hint="eastAsia" w:ascii="宋体" w:hAnsi="宋体" w:eastAsia="宋体" w:cs="宋体"/>
          <w:sz w:val="24"/>
          <w:szCs w:val="24"/>
        </w:rPr>
        <w:t>本合同自签订之日起且经双方签字盖章后 生效。</w:t>
      </w:r>
    </w:p>
    <w:p w14:paraId="04474FD6">
      <w:pPr>
        <w:spacing w:line="560" w:lineRule="exact"/>
        <w:ind w:firstLine="640"/>
        <w:rPr>
          <w:rFonts w:ascii="宋体" w:hAnsi="宋体" w:eastAsia="宋体" w:cs="宋体"/>
          <w:sz w:val="24"/>
          <w:szCs w:val="24"/>
        </w:rPr>
      </w:pPr>
      <w:r>
        <w:rPr>
          <w:rFonts w:hint="eastAsia" w:ascii="宋体" w:hAnsi="宋体" w:eastAsia="宋体" w:cs="宋体"/>
          <w:sz w:val="24"/>
          <w:szCs w:val="24"/>
        </w:rPr>
        <w:t>十七、合同份数</w:t>
      </w:r>
    </w:p>
    <w:p w14:paraId="7A197D09">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本合同一式 陆 份，均具有同等法律效力，甲方执 叁 份，乙方执 叁 份。</w:t>
      </w:r>
    </w:p>
    <w:p w14:paraId="60FC7958">
      <w:pPr>
        <w:spacing w:line="560" w:lineRule="exact"/>
        <w:rPr>
          <w:rFonts w:ascii="宋体" w:hAnsi="宋体" w:eastAsia="宋体" w:cs="宋体"/>
          <w:sz w:val="24"/>
          <w:szCs w:val="24"/>
        </w:rPr>
      </w:pPr>
      <w:bookmarkStart w:id="143" w:name="_Toc331685783"/>
      <w:r>
        <w:rPr>
          <w:rFonts w:hint="eastAsia" w:ascii="宋体" w:hAnsi="宋体" w:eastAsia="宋体" w:cs="宋体"/>
          <w:sz w:val="24"/>
          <w:szCs w:val="24"/>
        </w:rPr>
        <w:t xml:space="preserve">甲方：（单位盖章）               乙方：（单位盖章）  </w:t>
      </w:r>
    </w:p>
    <w:p w14:paraId="2F620276">
      <w:pPr>
        <w:spacing w:line="560" w:lineRule="exact"/>
        <w:rPr>
          <w:rFonts w:ascii="宋体" w:hAnsi="宋体" w:eastAsia="宋体" w:cs="宋体"/>
          <w:sz w:val="24"/>
          <w:szCs w:val="24"/>
        </w:rPr>
      </w:pPr>
    </w:p>
    <w:p w14:paraId="420F2CBC">
      <w:pPr>
        <w:spacing w:line="560" w:lineRule="exact"/>
        <w:rPr>
          <w:rFonts w:ascii="宋体" w:hAnsi="宋体" w:eastAsia="宋体" w:cs="宋体"/>
          <w:sz w:val="24"/>
          <w:szCs w:val="24"/>
        </w:rPr>
      </w:pPr>
      <w:r>
        <w:rPr>
          <w:rFonts w:hint="eastAsia" w:ascii="宋体" w:hAnsi="宋体" w:eastAsia="宋体" w:cs="宋体"/>
          <w:sz w:val="24"/>
          <w:szCs w:val="24"/>
        </w:rPr>
        <w:t>法定代表人                       法定代表人</w:t>
      </w:r>
    </w:p>
    <w:p w14:paraId="4C4A809F">
      <w:pPr>
        <w:spacing w:line="560" w:lineRule="exact"/>
        <w:rPr>
          <w:rFonts w:ascii="宋体" w:hAnsi="宋体" w:eastAsia="宋体" w:cs="宋体"/>
          <w:sz w:val="24"/>
          <w:szCs w:val="24"/>
        </w:rPr>
      </w:pPr>
      <w:r>
        <w:rPr>
          <w:rFonts w:hint="eastAsia" w:ascii="宋体" w:hAnsi="宋体" w:eastAsia="宋体" w:cs="宋体"/>
          <w:sz w:val="24"/>
          <w:szCs w:val="24"/>
        </w:rPr>
        <w:t>或授权代表（签字）：             或授权代表（签字）：</w:t>
      </w:r>
    </w:p>
    <w:p w14:paraId="17101B98">
      <w:pPr>
        <w:spacing w:line="560" w:lineRule="exact"/>
        <w:rPr>
          <w:rFonts w:ascii="宋体" w:hAnsi="宋体" w:eastAsia="宋体" w:cs="宋体"/>
          <w:sz w:val="24"/>
          <w:szCs w:val="24"/>
        </w:rPr>
      </w:pPr>
      <w:r>
        <w:rPr>
          <w:rFonts w:hint="eastAsia" w:ascii="宋体" w:hAnsi="宋体" w:eastAsia="宋体" w:cs="宋体"/>
          <w:sz w:val="24"/>
          <w:szCs w:val="24"/>
        </w:rPr>
        <w:t xml:space="preserve"> 年    月    日                  年    月    日</w:t>
      </w:r>
    </w:p>
    <w:p w14:paraId="1E302448">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w:t>
      </w:r>
    </w:p>
    <w:p w14:paraId="48F39929">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户名：                    </w:t>
      </w:r>
    </w:p>
    <w:p w14:paraId="69B8D09F">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账号：                    </w:t>
      </w:r>
    </w:p>
    <w:p w14:paraId="60DFE4D9">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                             开户银行：                </w:t>
      </w:r>
    </w:p>
    <w:p w14:paraId="40CEA7C4">
      <w:pPr>
        <w:spacing w:line="560" w:lineRule="exact"/>
        <w:jc w:val="center"/>
        <w:outlineLvl w:val="2"/>
        <w:rPr>
          <w:rFonts w:ascii="宋体" w:hAnsi="宋体" w:eastAsia="宋体" w:cs="宋体"/>
          <w:sz w:val="24"/>
          <w:szCs w:val="24"/>
        </w:rPr>
      </w:pPr>
      <w:bookmarkStart w:id="144" w:name="_Toc8809"/>
      <w:r>
        <w:rPr>
          <w:rFonts w:hint="eastAsia" w:ascii="宋体" w:hAnsi="宋体" w:eastAsia="宋体" w:cs="宋体"/>
          <w:sz w:val="24"/>
          <w:szCs w:val="24"/>
        </w:rPr>
        <w:br w:type="page"/>
      </w:r>
      <w:r>
        <w:rPr>
          <w:rFonts w:hint="eastAsia" w:ascii="宋体" w:hAnsi="宋体" w:eastAsia="宋体" w:cs="宋体"/>
          <w:sz w:val="24"/>
          <w:szCs w:val="24"/>
        </w:rPr>
        <w:t>第二部分 合同一般条款</w:t>
      </w:r>
      <w:bookmarkEnd w:id="143"/>
      <w:bookmarkEnd w:id="144"/>
    </w:p>
    <w:p w14:paraId="0935304C">
      <w:pPr>
        <w:spacing w:line="560" w:lineRule="exact"/>
        <w:ind w:firstLine="640"/>
        <w:rPr>
          <w:rFonts w:ascii="宋体" w:hAnsi="宋体" w:eastAsia="宋体" w:cs="宋体"/>
          <w:sz w:val="24"/>
          <w:szCs w:val="24"/>
        </w:rPr>
      </w:pPr>
      <w:bookmarkStart w:id="145" w:name="_Ref467379214"/>
      <w:bookmarkStart w:id="146" w:name="_Ref467379225"/>
      <w:bookmarkStart w:id="147" w:name="_Ref467379109"/>
      <w:bookmarkStart w:id="148" w:name="_Ref467379101"/>
      <w:bookmarkStart w:id="149" w:name="_Ref467379094"/>
      <w:bookmarkStart w:id="150" w:name="_Toc19614"/>
      <w:bookmarkStart w:id="151" w:name="_Ref467378499"/>
      <w:bookmarkStart w:id="152" w:name="_Ref467378404"/>
      <w:bookmarkStart w:id="153" w:name="_Ref467379195"/>
      <w:bookmarkStart w:id="154" w:name="_Toc259093669"/>
      <w:bookmarkStart w:id="155" w:name="_Toc279701240"/>
      <w:bookmarkStart w:id="156" w:name="_Ref467379205"/>
      <w:bookmarkStart w:id="157" w:name="_Toc487900349"/>
      <w:bookmarkStart w:id="158" w:name="_Ref467378463"/>
      <w:bookmarkStart w:id="159" w:name="_Toc28763"/>
      <w:bookmarkStart w:id="160" w:name="_Toc16917"/>
      <w:r>
        <w:rPr>
          <w:rFonts w:hint="eastAsia" w:ascii="宋体" w:hAnsi="宋体" w:eastAsia="宋体" w:cs="宋体"/>
          <w:sz w:val="24"/>
          <w:szCs w:val="24"/>
        </w:rPr>
        <w:t>2.1 定义</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45216537">
      <w:pPr>
        <w:spacing w:line="560" w:lineRule="exact"/>
        <w:ind w:firstLine="640"/>
        <w:rPr>
          <w:rFonts w:ascii="宋体" w:hAnsi="宋体" w:eastAsia="宋体" w:cs="宋体"/>
          <w:sz w:val="24"/>
          <w:szCs w:val="24"/>
        </w:rPr>
      </w:pPr>
      <w:r>
        <w:rPr>
          <w:rFonts w:hint="eastAsia" w:ascii="宋体" w:hAnsi="宋体" w:eastAsia="宋体" w:cs="宋体"/>
          <w:sz w:val="24"/>
          <w:szCs w:val="24"/>
        </w:rPr>
        <w:t>本合同中的下列词语应按以下内容进行解释：</w:t>
      </w:r>
    </w:p>
    <w:p w14:paraId="785BB0F6">
      <w:pPr>
        <w:spacing w:line="560" w:lineRule="exact"/>
        <w:ind w:firstLine="640"/>
        <w:rPr>
          <w:rFonts w:ascii="宋体" w:hAnsi="宋体" w:eastAsia="宋体" w:cs="宋体"/>
          <w:sz w:val="24"/>
          <w:szCs w:val="24"/>
        </w:rPr>
      </w:pPr>
      <w:r>
        <w:rPr>
          <w:rFonts w:hint="eastAsia" w:ascii="宋体" w:hAnsi="宋体" w:eastAsia="宋体" w:cs="宋体"/>
          <w:sz w:val="24"/>
          <w:szCs w:val="24"/>
        </w:rPr>
        <w:t>2.1.1“合同”系指采购人和投标人签订的载明双方当事人所达成的协议，并包括所有的附件、附录和构成合同的其他文件。</w:t>
      </w:r>
    </w:p>
    <w:p w14:paraId="54D98CC3">
      <w:pPr>
        <w:spacing w:line="560" w:lineRule="exact"/>
        <w:ind w:firstLine="640"/>
        <w:rPr>
          <w:rFonts w:ascii="宋体" w:hAnsi="宋体" w:eastAsia="宋体" w:cs="宋体"/>
          <w:sz w:val="24"/>
          <w:szCs w:val="24"/>
        </w:rPr>
      </w:pPr>
      <w:r>
        <w:rPr>
          <w:rFonts w:hint="eastAsia" w:ascii="宋体" w:hAnsi="宋体" w:eastAsia="宋体" w:cs="宋体"/>
          <w:sz w:val="24"/>
          <w:szCs w:val="24"/>
        </w:rPr>
        <w:t>2.1.2“合同价”系指根据合同约定，投标人在完全履行合同义务后，采购人应支付给投标人的价格。</w:t>
      </w:r>
    </w:p>
    <w:p w14:paraId="32E6BC2F">
      <w:pPr>
        <w:spacing w:line="560" w:lineRule="exact"/>
        <w:ind w:firstLine="640"/>
        <w:rPr>
          <w:rFonts w:ascii="宋体" w:hAnsi="宋体" w:eastAsia="宋体" w:cs="宋体"/>
          <w:sz w:val="24"/>
          <w:szCs w:val="24"/>
        </w:rPr>
      </w:pPr>
      <w:r>
        <w:rPr>
          <w:rFonts w:hint="eastAsia" w:ascii="宋体" w:hAnsi="宋体" w:eastAsia="宋体" w:cs="宋体"/>
          <w:sz w:val="24"/>
          <w:szCs w:val="24"/>
        </w:rPr>
        <w:t>2.1.3“服务”系指投标人根据合同约定应向采购人履行的除货物和工程以外的其他政府采购对象，包括采购人自身需要的服务和向社会公众提供的公共服务。</w:t>
      </w:r>
    </w:p>
    <w:p w14:paraId="235EBCFB">
      <w:pPr>
        <w:spacing w:line="560" w:lineRule="exact"/>
        <w:ind w:firstLine="640"/>
        <w:rPr>
          <w:rFonts w:ascii="宋体" w:hAnsi="宋体" w:eastAsia="宋体" w:cs="宋体"/>
          <w:sz w:val="24"/>
          <w:szCs w:val="24"/>
        </w:rPr>
      </w:pPr>
      <w:bookmarkStart w:id="161" w:name="_Ref467378840"/>
      <w:r>
        <w:rPr>
          <w:rFonts w:hint="eastAsia" w:ascii="宋体" w:hAnsi="宋体" w:eastAsia="宋体" w:cs="宋体"/>
          <w:sz w:val="24"/>
          <w:szCs w:val="24"/>
        </w:rPr>
        <w:t>2.1.4“甲方”系指与投标人签署合同的采购人</w:t>
      </w:r>
      <w:bookmarkEnd w:id="161"/>
      <w:r>
        <w:rPr>
          <w:rFonts w:hint="eastAsia" w:ascii="宋体" w:hAnsi="宋体" w:eastAsia="宋体" w:cs="宋体"/>
          <w:sz w:val="24"/>
          <w:szCs w:val="24"/>
        </w:rPr>
        <w:t>；采购人委托采购代理机构代表其与乙方签订合同的，采购人的授权委托书作为合同附件。</w:t>
      </w:r>
    </w:p>
    <w:p w14:paraId="10ED2211">
      <w:pPr>
        <w:spacing w:line="560" w:lineRule="exact"/>
        <w:ind w:firstLine="640"/>
        <w:rPr>
          <w:rFonts w:ascii="宋体" w:hAnsi="宋体" w:eastAsia="宋体" w:cs="宋体"/>
          <w:sz w:val="24"/>
          <w:szCs w:val="24"/>
        </w:rPr>
      </w:pPr>
      <w:bookmarkStart w:id="162" w:name="_Ref467379400"/>
      <w:r>
        <w:rPr>
          <w:rFonts w:hint="eastAsia" w:ascii="宋体" w:hAnsi="宋体" w:eastAsia="宋体" w:cs="宋体"/>
          <w:sz w:val="24"/>
          <w:szCs w:val="24"/>
        </w:rPr>
        <w:t>2.1.5“乙方”系指根据合同约定提供服务的</w:t>
      </w:r>
      <w:bookmarkEnd w:id="162"/>
      <w:r>
        <w:rPr>
          <w:rFonts w:hint="eastAsia" w:ascii="宋体" w:hAnsi="宋体" w:eastAsia="宋体" w:cs="宋体"/>
          <w:sz w:val="24"/>
          <w:szCs w:val="24"/>
        </w:rPr>
        <w:t>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0CBFABA6">
      <w:pPr>
        <w:spacing w:line="560" w:lineRule="exact"/>
        <w:ind w:firstLine="640"/>
        <w:rPr>
          <w:rFonts w:ascii="宋体" w:hAnsi="宋体" w:eastAsia="宋体" w:cs="宋体"/>
          <w:sz w:val="24"/>
          <w:szCs w:val="24"/>
        </w:rPr>
      </w:pPr>
      <w:bookmarkStart w:id="163" w:name="_Ref467379436"/>
      <w:r>
        <w:rPr>
          <w:rFonts w:hint="eastAsia" w:ascii="宋体" w:hAnsi="宋体" w:eastAsia="宋体" w:cs="宋体"/>
          <w:sz w:val="24"/>
          <w:szCs w:val="24"/>
        </w:rPr>
        <w:t>2.1.6“现场”系指合同约定提供服务的地点。</w:t>
      </w:r>
      <w:bookmarkEnd w:id="163"/>
    </w:p>
    <w:p w14:paraId="688577BF">
      <w:pPr>
        <w:spacing w:line="560" w:lineRule="exact"/>
        <w:ind w:firstLine="640"/>
        <w:rPr>
          <w:rFonts w:ascii="宋体" w:hAnsi="宋体" w:eastAsia="宋体" w:cs="宋体"/>
          <w:sz w:val="24"/>
          <w:szCs w:val="24"/>
        </w:rPr>
      </w:pPr>
      <w:bookmarkStart w:id="164" w:name="_Toc27635"/>
      <w:bookmarkStart w:id="165" w:name="_Toc13336"/>
      <w:bookmarkStart w:id="166" w:name="_Toc279701241"/>
      <w:bookmarkStart w:id="167" w:name="_Toc259093670"/>
      <w:bookmarkStart w:id="168" w:name="_Toc32504"/>
      <w:bookmarkStart w:id="169" w:name="_Toc487900350"/>
      <w:r>
        <w:rPr>
          <w:rFonts w:hint="eastAsia" w:ascii="宋体" w:hAnsi="宋体" w:eastAsia="宋体" w:cs="宋体"/>
          <w:sz w:val="24"/>
          <w:szCs w:val="24"/>
        </w:rPr>
        <w:t>2.2 技术规范</w:t>
      </w:r>
      <w:bookmarkEnd w:id="164"/>
      <w:bookmarkEnd w:id="165"/>
      <w:bookmarkEnd w:id="166"/>
      <w:bookmarkEnd w:id="167"/>
      <w:bookmarkEnd w:id="168"/>
      <w:bookmarkEnd w:id="169"/>
    </w:p>
    <w:p w14:paraId="36E75A9A">
      <w:pPr>
        <w:spacing w:line="560" w:lineRule="exact"/>
        <w:ind w:firstLine="640"/>
        <w:rPr>
          <w:rFonts w:ascii="宋体" w:hAnsi="宋体" w:eastAsia="宋体" w:cs="宋体"/>
          <w:sz w:val="24"/>
          <w:szCs w:val="24"/>
        </w:rPr>
      </w:pPr>
      <w:r>
        <w:rPr>
          <w:rFonts w:hint="eastAsia" w:ascii="宋体" w:hAnsi="宋体" w:eastAsia="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AD5E0AF">
      <w:pPr>
        <w:spacing w:line="560" w:lineRule="exact"/>
        <w:ind w:firstLine="640"/>
        <w:rPr>
          <w:rFonts w:ascii="宋体" w:hAnsi="宋体" w:eastAsia="宋体" w:cs="宋体"/>
          <w:sz w:val="24"/>
          <w:szCs w:val="24"/>
        </w:rPr>
      </w:pPr>
      <w:bookmarkStart w:id="170" w:name="_Toc279701242"/>
      <w:bookmarkStart w:id="171" w:name="_Toc31634"/>
      <w:bookmarkStart w:id="172" w:name="_Toc487900351"/>
      <w:bookmarkStart w:id="173" w:name="_Toc27853"/>
      <w:bookmarkStart w:id="174" w:name="_Toc9829"/>
      <w:bookmarkStart w:id="175" w:name="_Toc259093671"/>
      <w:r>
        <w:rPr>
          <w:rFonts w:hint="eastAsia" w:ascii="宋体" w:hAnsi="宋体" w:eastAsia="宋体" w:cs="宋体"/>
          <w:sz w:val="24"/>
          <w:szCs w:val="24"/>
        </w:rPr>
        <w:t>2.3 知识产权</w:t>
      </w:r>
      <w:bookmarkEnd w:id="170"/>
      <w:bookmarkEnd w:id="171"/>
      <w:bookmarkEnd w:id="172"/>
      <w:bookmarkEnd w:id="173"/>
      <w:bookmarkEnd w:id="174"/>
      <w:bookmarkEnd w:id="175"/>
    </w:p>
    <w:p w14:paraId="4EFA0B0B">
      <w:pPr>
        <w:spacing w:line="560" w:lineRule="exact"/>
        <w:ind w:firstLine="640"/>
        <w:rPr>
          <w:rFonts w:ascii="宋体" w:hAnsi="宋体" w:eastAsia="宋体" w:cs="宋体"/>
          <w:sz w:val="24"/>
          <w:szCs w:val="24"/>
        </w:rPr>
      </w:pPr>
      <w:r>
        <w:rPr>
          <w:rFonts w:hint="eastAsia" w:ascii="宋体" w:hAnsi="宋体" w:eastAsia="宋体" w:cs="宋体"/>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1A8A5FBD">
      <w:pPr>
        <w:spacing w:line="560" w:lineRule="exact"/>
        <w:ind w:firstLine="640"/>
        <w:rPr>
          <w:rFonts w:ascii="宋体" w:hAnsi="宋体" w:eastAsia="宋体" w:cs="宋体"/>
          <w:sz w:val="24"/>
          <w:szCs w:val="24"/>
        </w:rPr>
      </w:pPr>
      <w:r>
        <w:rPr>
          <w:rFonts w:hint="eastAsia" w:ascii="宋体" w:hAnsi="宋体" w:eastAsia="宋体" w:cs="宋体"/>
          <w:sz w:val="24"/>
          <w:szCs w:val="24"/>
        </w:rPr>
        <w:t>2.3.2具有知识产权的计算机软件等货物的知识产权归属，详见合同专用条款。</w:t>
      </w:r>
    </w:p>
    <w:p w14:paraId="6544A575">
      <w:pPr>
        <w:spacing w:line="560" w:lineRule="exact"/>
        <w:ind w:firstLine="640"/>
        <w:rPr>
          <w:rFonts w:ascii="宋体" w:hAnsi="宋体" w:eastAsia="宋体" w:cs="宋体"/>
          <w:sz w:val="24"/>
          <w:szCs w:val="24"/>
        </w:rPr>
      </w:pPr>
      <w:bookmarkStart w:id="176" w:name="_Toc487900354"/>
      <w:bookmarkStart w:id="177" w:name="_Ref467379536"/>
      <w:bookmarkStart w:id="178" w:name="_Ref467378541"/>
      <w:bookmarkStart w:id="179" w:name="_Toc259093674"/>
      <w:bookmarkStart w:id="180" w:name="_Ref467379542"/>
      <w:bookmarkStart w:id="181" w:name="_Ref467378591"/>
      <w:bookmarkStart w:id="182" w:name="_Ref467379527"/>
      <w:bookmarkStart w:id="183" w:name="_Toc279701245"/>
      <w:bookmarkStart w:id="184" w:name="_Toc19074"/>
      <w:bookmarkStart w:id="185" w:name="_Toc26182"/>
      <w:bookmarkStart w:id="186" w:name="_Toc30272"/>
      <w:r>
        <w:rPr>
          <w:rFonts w:hint="eastAsia" w:ascii="宋体" w:hAnsi="宋体" w:eastAsia="宋体" w:cs="宋体"/>
          <w:sz w:val="24"/>
          <w:szCs w:val="24"/>
        </w:rPr>
        <w:t>2.</w:t>
      </w:r>
      <w:bookmarkEnd w:id="176"/>
      <w:bookmarkEnd w:id="177"/>
      <w:bookmarkEnd w:id="178"/>
      <w:bookmarkEnd w:id="179"/>
      <w:bookmarkEnd w:id="180"/>
      <w:bookmarkEnd w:id="181"/>
      <w:bookmarkEnd w:id="182"/>
      <w:bookmarkEnd w:id="183"/>
      <w:r>
        <w:rPr>
          <w:rFonts w:hint="eastAsia" w:ascii="宋体" w:hAnsi="宋体" w:eastAsia="宋体" w:cs="宋体"/>
          <w:sz w:val="24"/>
          <w:szCs w:val="24"/>
        </w:rPr>
        <w:t>4 履约检查和问题反馈</w:t>
      </w:r>
      <w:bookmarkEnd w:id="184"/>
      <w:bookmarkEnd w:id="185"/>
      <w:bookmarkEnd w:id="186"/>
    </w:p>
    <w:p w14:paraId="584881E6">
      <w:pPr>
        <w:spacing w:line="560" w:lineRule="exact"/>
        <w:ind w:firstLine="640"/>
        <w:rPr>
          <w:rFonts w:ascii="宋体" w:hAnsi="宋体" w:eastAsia="宋体" w:cs="宋体"/>
          <w:sz w:val="24"/>
          <w:szCs w:val="24"/>
        </w:rPr>
      </w:pPr>
      <w:bookmarkStart w:id="187" w:name="_Toc186431854"/>
      <w:bookmarkStart w:id="188" w:name="_Toc259093676"/>
      <w:bookmarkStart w:id="189" w:name="_Toc487900357"/>
      <w:bookmarkStart w:id="190" w:name="_Ref467379807"/>
      <w:bookmarkStart w:id="191" w:name="_Ref467379793"/>
      <w:bookmarkStart w:id="192" w:name="_Toc279701247"/>
      <w:r>
        <w:rPr>
          <w:rFonts w:hint="eastAsia" w:ascii="宋体" w:hAnsi="宋体" w:eastAsia="宋体" w:cs="宋体"/>
          <w:sz w:val="24"/>
          <w:szCs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173D5DA9">
      <w:pPr>
        <w:spacing w:line="560" w:lineRule="exact"/>
        <w:ind w:firstLine="640"/>
        <w:rPr>
          <w:rFonts w:ascii="宋体" w:hAnsi="宋体" w:eastAsia="宋体" w:cs="宋体"/>
          <w:sz w:val="24"/>
          <w:szCs w:val="24"/>
        </w:rPr>
      </w:pPr>
      <w:r>
        <w:rPr>
          <w:rFonts w:hint="eastAsia" w:ascii="宋体" w:hAnsi="宋体" w:eastAsia="宋体" w:cs="宋体"/>
          <w:sz w:val="24"/>
          <w:szCs w:val="24"/>
        </w:rPr>
        <w:t>2.4.2合同履行期间，甲方有权将履行过程中出现的问题反馈给乙方，双方当事人应以书面形式约定需要完善和改进的内容</w:t>
      </w:r>
      <w:bookmarkEnd w:id="187"/>
      <w:bookmarkStart w:id="193" w:name="_Toc186431855"/>
      <w:r>
        <w:rPr>
          <w:rFonts w:hint="eastAsia" w:ascii="宋体" w:hAnsi="宋体" w:eastAsia="宋体" w:cs="宋体"/>
          <w:sz w:val="24"/>
          <w:szCs w:val="24"/>
        </w:rPr>
        <w:t>。</w:t>
      </w:r>
    </w:p>
    <w:bookmarkEnd w:id="193"/>
    <w:p w14:paraId="41E9340D">
      <w:pPr>
        <w:spacing w:line="560" w:lineRule="exact"/>
        <w:ind w:firstLine="640"/>
        <w:rPr>
          <w:rFonts w:ascii="宋体" w:hAnsi="宋体" w:eastAsia="宋体" w:cs="宋体"/>
          <w:sz w:val="24"/>
          <w:szCs w:val="24"/>
        </w:rPr>
      </w:pPr>
      <w:bookmarkStart w:id="194" w:name="_Toc7836"/>
      <w:bookmarkStart w:id="195" w:name="_Toc28451"/>
      <w:bookmarkStart w:id="196" w:name="_Toc19219"/>
      <w:r>
        <w:rPr>
          <w:rFonts w:hint="eastAsia" w:ascii="宋体" w:hAnsi="宋体" w:eastAsia="宋体" w:cs="宋体"/>
          <w:sz w:val="24"/>
          <w:szCs w:val="24"/>
        </w:rPr>
        <w:t>2.5 结算方式和付款条件</w:t>
      </w:r>
      <w:bookmarkEnd w:id="188"/>
      <w:bookmarkEnd w:id="189"/>
      <w:bookmarkEnd w:id="190"/>
      <w:bookmarkEnd w:id="191"/>
      <w:bookmarkEnd w:id="192"/>
      <w:bookmarkEnd w:id="194"/>
      <w:bookmarkEnd w:id="195"/>
      <w:bookmarkEnd w:id="196"/>
    </w:p>
    <w:p w14:paraId="2A8E1D56">
      <w:pPr>
        <w:spacing w:line="560" w:lineRule="exact"/>
        <w:ind w:firstLine="640"/>
        <w:rPr>
          <w:rFonts w:ascii="宋体" w:hAnsi="宋体" w:eastAsia="宋体" w:cs="宋体"/>
          <w:sz w:val="24"/>
          <w:szCs w:val="24"/>
        </w:rPr>
      </w:pPr>
      <w:r>
        <w:rPr>
          <w:rFonts w:hint="eastAsia" w:ascii="宋体" w:hAnsi="宋体" w:eastAsia="宋体" w:cs="宋体"/>
          <w:sz w:val="24"/>
          <w:szCs w:val="24"/>
        </w:rPr>
        <w:t>详见合同专用条款。</w:t>
      </w:r>
    </w:p>
    <w:p w14:paraId="1830982A">
      <w:pPr>
        <w:spacing w:line="560" w:lineRule="exact"/>
        <w:ind w:firstLine="640"/>
        <w:rPr>
          <w:rFonts w:ascii="宋体" w:hAnsi="宋体" w:eastAsia="宋体" w:cs="宋体"/>
          <w:sz w:val="24"/>
          <w:szCs w:val="24"/>
        </w:rPr>
      </w:pPr>
      <w:bookmarkStart w:id="197" w:name="_Ref467379852"/>
      <w:bookmarkStart w:id="198" w:name="_Ref467379863"/>
      <w:bookmarkStart w:id="199" w:name="_Toc259093677"/>
      <w:bookmarkStart w:id="200" w:name="_Toc487900358"/>
      <w:bookmarkStart w:id="201" w:name="_Ref467379923"/>
      <w:bookmarkStart w:id="202" w:name="_Toc279701248"/>
      <w:bookmarkStart w:id="203" w:name="_Toc16110"/>
      <w:bookmarkStart w:id="204" w:name="_Toc3225"/>
      <w:bookmarkStart w:id="205" w:name="_Toc774"/>
      <w:r>
        <w:rPr>
          <w:rFonts w:hint="eastAsia" w:ascii="宋体" w:hAnsi="宋体" w:eastAsia="宋体" w:cs="宋体"/>
          <w:sz w:val="24"/>
          <w:szCs w:val="24"/>
        </w:rPr>
        <w:t>2.6 技术资料</w:t>
      </w:r>
      <w:bookmarkEnd w:id="197"/>
      <w:bookmarkEnd w:id="198"/>
      <w:bookmarkEnd w:id="199"/>
      <w:bookmarkEnd w:id="200"/>
      <w:bookmarkEnd w:id="201"/>
      <w:bookmarkEnd w:id="202"/>
      <w:r>
        <w:rPr>
          <w:rFonts w:hint="eastAsia" w:ascii="宋体" w:hAnsi="宋体" w:eastAsia="宋体" w:cs="宋体"/>
          <w:sz w:val="24"/>
          <w:szCs w:val="24"/>
        </w:rPr>
        <w:t>和保密义务</w:t>
      </w:r>
      <w:bookmarkEnd w:id="203"/>
      <w:bookmarkEnd w:id="204"/>
      <w:bookmarkEnd w:id="205"/>
    </w:p>
    <w:p w14:paraId="41516297">
      <w:pPr>
        <w:spacing w:line="560" w:lineRule="exact"/>
        <w:ind w:firstLine="640"/>
        <w:rPr>
          <w:rFonts w:ascii="宋体" w:hAnsi="宋体" w:eastAsia="宋体" w:cs="宋体"/>
          <w:sz w:val="24"/>
          <w:szCs w:val="24"/>
        </w:rPr>
      </w:pPr>
      <w:r>
        <w:rPr>
          <w:rFonts w:hint="eastAsia" w:ascii="宋体" w:hAnsi="宋体" w:eastAsia="宋体" w:cs="宋体"/>
          <w:sz w:val="24"/>
          <w:szCs w:val="24"/>
        </w:rPr>
        <w:t>2.6.1乙方有权依据合同约定和项目需要，向甲方了解有关情况，调阅有关资料等，甲方应予积极配合；</w:t>
      </w:r>
    </w:p>
    <w:p w14:paraId="10661EB8">
      <w:pPr>
        <w:spacing w:line="560" w:lineRule="exact"/>
        <w:ind w:firstLine="640"/>
        <w:rPr>
          <w:rFonts w:ascii="宋体" w:hAnsi="宋体" w:eastAsia="宋体" w:cs="宋体"/>
          <w:sz w:val="24"/>
          <w:szCs w:val="24"/>
        </w:rPr>
      </w:pPr>
      <w:r>
        <w:rPr>
          <w:rFonts w:hint="eastAsia" w:ascii="宋体" w:hAnsi="宋体" w:eastAsia="宋体" w:cs="宋体"/>
          <w:sz w:val="24"/>
          <w:szCs w:val="24"/>
        </w:rPr>
        <w:t>2.6.2乙方有义务妥善保管和保护由甲方提供的前款信息和资料等；</w:t>
      </w:r>
    </w:p>
    <w:p w14:paraId="5F1A20AF">
      <w:pPr>
        <w:spacing w:line="560" w:lineRule="exact"/>
        <w:ind w:firstLine="640"/>
        <w:rPr>
          <w:rFonts w:ascii="宋体" w:hAnsi="宋体" w:eastAsia="宋体" w:cs="宋体"/>
          <w:sz w:val="24"/>
          <w:szCs w:val="24"/>
        </w:rPr>
      </w:pPr>
      <w:r>
        <w:rPr>
          <w:rFonts w:hint="eastAsia" w:ascii="宋体" w:hAnsi="宋体" w:eastAsia="宋体" w:cs="宋体"/>
          <w:sz w:val="24"/>
          <w:szCs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6E84964">
      <w:pPr>
        <w:spacing w:line="560" w:lineRule="exact"/>
        <w:ind w:firstLine="640"/>
        <w:rPr>
          <w:rFonts w:ascii="宋体" w:hAnsi="宋体" w:eastAsia="宋体" w:cs="宋体"/>
          <w:sz w:val="24"/>
          <w:szCs w:val="24"/>
        </w:rPr>
      </w:pPr>
      <w:bookmarkStart w:id="206" w:name="_Toc7860"/>
      <w:r>
        <w:rPr>
          <w:rFonts w:hint="eastAsia" w:ascii="宋体" w:hAnsi="宋体" w:eastAsia="宋体" w:cs="宋体"/>
          <w:sz w:val="24"/>
          <w:szCs w:val="24"/>
        </w:rPr>
        <w:t>2.7 质量保证</w:t>
      </w:r>
      <w:bookmarkEnd w:id="206"/>
    </w:p>
    <w:p w14:paraId="6FDDC64C">
      <w:pPr>
        <w:spacing w:line="560" w:lineRule="exact"/>
        <w:ind w:firstLine="640"/>
        <w:rPr>
          <w:rFonts w:ascii="宋体" w:hAnsi="宋体" w:eastAsia="宋体" w:cs="宋体"/>
          <w:sz w:val="24"/>
          <w:szCs w:val="24"/>
        </w:rPr>
      </w:pPr>
      <w:r>
        <w:rPr>
          <w:rFonts w:hint="eastAsia" w:ascii="宋体" w:hAnsi="宋体" w:eastAsia="宋体" w:cs="宋体"/>
          <w:sz w:val="24"/>
          <w:szCs w:val="24"/>
        </w:rPr>
        <w:t>2.7.1乙方应建立和完善履行合同的内部质量保证体系，并提供相关内部规章制度给甲方，以便甲方进行监督检查；</w:t>
      </w:r>
    </w:p>
    <w:p w14:paraId="404C7105">
      <w:pPr>
        <w:spacing w:line="560" w:lineRule="exact"/>
        <w:ind w:firstLine="640"/>
        <w:rPr>
          <w:rFonts w:ascii="宋体" w:hAnsi="宋体" w:eastAsia="宋体" w:cs="宋体"/>
          <w:sz w:val="24"/>
          <w:szCs w:val="24"/>
        </w:rPr>
      </w:pPr>
      <w:r>
        <w:rPr>
          <w:rFonts w:hint="eastAsia" w:ascii="宋体" w:hAnsi="宋体" w:eastAsia="宋体" w:cs="宋体"/>
          <w:sz w:val="24"/>
          <w:szCs w:val="24"/>
        </w:rPr>
        <w:t>2.7.2乙方应保证履行合同的人员数量和素质、软件和硬件设备的配置、场地、环境和设施等满足全面履行合同的要求，并应接受甲方的监督检查。</w:t>
      </w:r>
    </w:p>
    <w:p w14:paraId="3BD5FF56">
      <w:pPr>
        <w:spacing w:line="560" w:lineRule="exact"/>
        <w:ind w:firstLine="640"/>
        <w:rPr>
          <w:rFonts w:ascii="宋体" w:hAnsi="宋体" w:eastAsia="宋体" w:cs="宋体"/>
          <w:sz w:val="24"/>
          <w:szCs w:val="24"/>
        </w:rPr>
      </w:pPr>
      <w:bookmarkStart w:id="207" w:name="_Toc22267"/>
      <w:r>
        <w:rPr>
          <w:rFonts w:hint="eastAsia" w:ascii="宋体" w:hAnsi="宋体" w:eastAsia="宋体" w:cs="宋体"/>
          <w:sz w:val="24"/>
          <w:szCs w:val="24"/>
        </w:rPr>
        <w:t>2.8 延迟履行</w:t>
      </w:r>
      <w:bookmarkEnd w:id="207"/>
    </w:p>
    <w:p w14:paraId="01BBF1DF">
      <w:pPr>
        <w:spacing w:line="560" w:lineRule="exact"/>
        <w:ind w:firstLine="640"/>
        <w:rPr>
          <w:rFonts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9C3235A">
      <w:pPr>
        <w:spacing w:line="560" w:lineRule="exact"/>
        <w:ind w:firstLine="640"/>
        <w:rPr>
          <w:rFonts w:ascii="宋体" w:hAnsi="宋体" w:eastAsia="宋体" w:cs="宋体"/>
          <w:sz w:val="24"/>
          <w:szCs w:val="24"/>
        </w:rPr>
      </w:pPr>
      <w:bookmarkStart w:id="208" w:name="_Toc7502"/>
      <w:bookmarkStart w:id="209" w:name="_Toc279701254"/>
      <w:bookmarkStart w:id="210" w:name="_Ref467378121"/>
      <w:bookmarkStart w:id="211" w:name="_Toc487900364"/>
      <w:bookmarkStart w:id="212" w:name="_Toc259093683"/>
      <w:r>
        <w:rPr>
          <w:rFonts w:hint="eastAsia" w:ascii="宋体" w:hAnsi="宋体" w:eastAsia="宋体" w:cs="宋体"/>
          <w:sz w:val="24"/>
          <w:szCs w:val="24"/>
        </w:rPr>
        <w:t>2.9 合同变更</w:t>
      </w:r>
      <w:bookmarkEnd w:id="208"/>
    </w:p>
    <w:p w14:paraId="4184F043">
      <w:pPr>
        <w:spacing w:line="560" w:lineRule="exact"/>
        <w:ind w:firstLine="640"/>
        <w:rPr>
          <w:rFonts w:ascii="宋体" w:hAnsi="宋体" w:eastAsia="宋体" w:cs="宋体"/>
          <w:sz w:val="24"/>
          <w:szCs w:val="24"/>
        </w:rPr>
      </w:pPr>
      <w:r>
        <w:rPr>
          <w:rFonts w:hint="eastAsia" w:ascii="宋体" w:hAnsi="宋体" w:eastAsia="宋体" w:cs="宋体"/>
          <w:sz w:val="24"/>
          <w:szCs w:val="24"/>
        </w:rPr>
        <w:t>2.9.1双方当事人协商一致，可以签订书面补充合同的形式变更合同，但不得违背采购文件确定的事项；</w:t>
      </w:r>
    </w:p>
    <w:p w14:paraId="72A6FE72">
      <w:pPr>
        <w:spacing w:line="560" w:lineRule="exact"/>
        <w:ind w:firstLine="640"/>
        <w:rPr>
          <w:rFonts w:ascii="宋体" w:hAnsi="宋体" w:eastAsia="宋体" w:cs="宋体"/>
          <w:sz w:val="24"/>
          <w:szCs w:val="24"/>
        </w:rPr>
      </w:pPr>
      <w:r>
        <w:rPr>
          <w:rFonts w:hint="eastAsia" w:ascii="宋体" w:hAnsi="宋体" w:eastAsia="宋体" w:cs="宋体"/>
          <w:sz w:val="24"/>
          <w:szCs w:val="24"/>
        </w:rPr>
        <w:t>2.9.2合同继续履行将损害国家利益和社会公共利益的，双方当事人应当以书面形式变更合同。有过错的一方应当承担赔偿责任，双方当事人都有过错的，各自承担相应的责任。</w:t>
      </w:r>
      <w:bookmarkStart w:id="213" w:name="_Toc259093688"/>
      <w:bookmarkStart w:id="214" w:name="_Toc487900369"/>
      <w:bookmarkStart w:id="215" w:name="_Toc279701259"/>
    </w:p>
    <w:p w14:paraId="5DE2705A">
      <w:pPr>
        <w:spacing w:line="560" w:lineRule="exact"/>
        <w:ind w:firstLine="640"/>
        <w:rPr>
          <w:rFonts w:ascii="宋体" w:hAnsi="宋体" w:eastAsia="宋体" w:cs="宋体"/>
          <w:sz w:val="24"/>
          <w:szCs w:val="24"/>
        </w:rPr>
      </w:pPr>
      <w:bookmarkStart w:id="216" w:name="_Toc10366"/>
      <w:bookmarkStart w:id="217" w:name="_Toc22955"/>
      <w:bookmarkStart w:id="218" w:name="_Toc15237"/>
      <w:r>
        <w:rPr>
          <w:rFonts w:hint="eastAsia" w:ascii="宋体" w:hAnsi="宋体" w:eastAsia="宋体" w:cs="宋体"/>
          <w:sz w:val="24"/>
          <w:szCs w:val="24"/>
        </w:rPr>
        <w:t>2.10 合同转让</w:t>
      </w:r>
      <w:bookmarkEnd w:id="213"/>
      <w:bookmarkEnd w:id="214"/>
      <w:bookmarkEnd w:id="215"/>
      <w:r>
        <w:rPr>
          <w:rFonts w:hint="eastAsia" w:ascii="宋体" w:hAnsi="宋体" w:eastAsia="宋体" w:cs="宋体"/>
          <w:sz w:val="24"/>
          <w:szCs w:val="24"/>
        </w:rPr>
        <w:t>和分包</w:t>
      </w:r>
      <w:bookmarkEnd w:id="216"/>
      <w:bookmarkEnd w:id="217"/>
      <w:bookmarkEnd w:id="218"/>
    </w:p>
    <w:p w14:paraId="11AC5FA2">
      <w:pPr>
        <w:spacing w:line="560" w:lineRule="exact"/>
        <w:ind w:firstLine="640"/>
        <w:rPr>
          <w:rFonts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13287711">
      <w:pPr>
        <w:spacing w:line="560" w:lineRule="exact"/>
        <w:ind w:firstLine="640"/>
        <w:rPr>
          <w:rFonts w:ascii="宋体" w:hAnsi="宋体" w:eastAsia="宋体" w:cs="宋体"/>
          <w:sz w:val="24"/>
          <w:szCs w:val="24"/>
        </w:rPr>
      </w:pPr>
      <w:bookmarkStart w:id="219" w:name="_Toc16508"/>
      <w:bookmarkStart w:id="220" w:name="_Toc14066"/>
      <w:bookmarkStart w:id="221" w:name="_Toc13566"/>
      <w:r>
        <w:rPr>
          <w:rFonts w:hint="eastAsia" w:ascii="宋体" w:hAnsi="宋体" w:eastAsia="宋体" w:cs="宋体"/>
          <w:sz w:val="24"/>
          <w:szCs w:val="24"/>
        </w:rPr>
        <w:t>2.11 不可抗力</w:t>
      </w:r>
      <w:bookmarkEnd w:id="219"/>
      <w:bookmarkEnd w:id="220"/>
      <w:bookmarkEnd w:id="221"/>
    </w:p>
    <w:p w14:paraId="49525996">
      <w:pPr>
        <w:spacing w:line="560" w:lineRule="exact"/>
        <w:ind w:firstLine="640"/>
        <w:rPr>
          <w:rFonts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2DE33EEA">
      <w:pPr>
        <w:spacing w:line="560" w:lineRule="exact"/>
        <w:ind w:firstLine="640"/>
        <w:rPr>
          <w:rFonts w:ascii="宋体" w:hAnsi="宋体" w:eastAsia="宋体" w:cs="宋体"/>
          <w:sz w:val="24"/>
          <w:szCs w:val="24"/>
        </w:rPr>
      </w:pPr>
      <w:r>
        <w:rPr>
          <w:rFonts w:hint="eastAsia" w:ascii="宋体" w:hAnsi="宋体" w:eastAsia="宋体" w:cs="宋体"/>
          <w:sz w:val="24"/>
          <w:szCs w:val="24"/>
        </w:rPr>
        <w:t>2.11.2因不可抗力致使不能实现合同目的的，当事人可以解除合同；</w:t>
      </w:r>
    </w:p>
    <w:p w14:paraId="3DB7C19B">
      <w:pPr>
        <w:spacing w:line="560" w:lineRule="exact"/>
        <w:ind w:firstLine="640"/>
        <w:rPr>
          <w:rFonts w:ascii="宋体" w:hAnsi="宋体" w:eastAsia="宋体" w:cs="宋体"/>
          <w:sz w:val="24"/>
          <w:szCs w:val="24"/>
        </w:rPr>
      </w:pPr>
      <w:r>
        <w:rPr>
          <w:rFonts w:hint="eastAsia" w:ascii="宋体" w:hAnsi="宋体" w:eastAsia="宋体" w:cs="宋体"/>
          <w:sz w:val="24"/>
          <w:szCs w:val="24"/>
        </w:rPr>
        <w:t>2.11.3因不可抗力致使合同有变更必要的，双方当事人应在合同专用条款约定时间内以书面形式变更合同；</w:t>
      </w:r>
    </w:p>
    <w:p w14:paraId="68ED1E08">
      <w:pPr>
        <w:spacing w:line="560" w:lineRule="exact"/>
        <w:ind w:firstLine="640"/>
        <w:rPr>
          <w:rFonts w:ascii="宋体" w:hAnsi="宋体" w:eastAsia="宋体" w:cs="宋体"/>
          <w:sz w:val="24"/>
          <w:szCs w:val="24"/>
        </w:rPr>
      </w:pPr>
      <w:r>
        <w:rPr>
          <w:rFonts w:hint="eastAsia" w:ascii="宋体" w:hAnsi="宋体" w:eastAsia="宋体" w:cs="宋体"/>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5BC79FC6">
      <w:pPr>
        <w:spacing w:line="560" w:lineRule="exact"/>
        <w:ind w:firstLine="640"/>
        <w:rPr>
          <w:rFonts w:ascii="宋体" w:hAnsi="宋体" w:eastAsia="宋体" w:cs="宋体"/>
          <w:sz w:val="24"/>
          <w:szCs w:val="24"/>
        </w:rPr>
      </w:pPr>
      <w:bookmarkStart w:id="222" w:name="_Toc689"/>
      <w:bookmarkStart w:id="223" w:name="_Toc6969"/>
      <w:bookmarkStart w:id="224" w:name="_Toc259093684"/>
      <w:bookmarkStart w:id="225" w:name="_Toc487900365"/>
      <w:bookmarkStart w:id="226" w:name="_Toc30676"/>
      <w:bookmarkStart w:id="227" w:name="_Toc279701255"/>
      <w:r>
        <w:rPr>
          <w:rFonts w:hint="eastAsia" w:ascii="宋体" w:hAnsi="宋体" w:eastAsia="宋体" w:cs="宋体"/>
          <w:sz w:val="24"/>
          <w:szCs w:val="24"/>
        </w:rPr>
        <w:t>2.12 税费</w:t>
      </w:r>
      <w:bookmarkEnd w:id="222"/>
      <w:bookmarkEnd w:id="223"/>
      <w:bookmarkEnd w:id="224"/>
      <w:bookmarkEnd w:id="225"/>
      <w:bookmarkEnd w:id="226"/>
      <w:bookmarkEnd w:id="227"/>
    </w:p>
    <w:p w14:paraId="056B2614">
      <w:pPr>
        <w:spacing w:line="560" w:lineRule="exact"/>
        <w:ind w:firstLine="640"/>
        <w:rPr>
          <w:rFonts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57E4EBA7">
      <w:pPr>
        <w:spacing w:line="560" w:lineRule="exact"/>
        <w:ind w:firstLine="640"/>
        <w:rPr>
          <w:rFonts w:ascii="宋体" w:hAnsi="宋体" w:eastAsia="宋体" w:cs="宋体"/>
          <w:sz w:val="24"/>
          <w:szCs w:val="24"/>
        </w:rPr>
      </w:pPr>
      <w:bookmarkStart w:id="228" w:name="_Toc279701258"/>
      <w:bookmarkStart w:id="229" w:name="_Toc8298"/>
      <w:bookmarkStart w:id="230" w:name="_Toc259093687"/>
      <w:bookmarkStart w:id="231" w:name="_Toc7102"/>
      <w:bookmarkStart w:id="232" w:name="_Toc487900368"/>
      <w:bookmarkStart w:id="233" w:name="_Toc16959"/>
      <w:r>
        <w:rPr>
          <w:rFonts w:hint="eastAsia" w:ascii="宋体" w:hAnsi="宋体" w:eastAsia="宋体" w:cs="宋体"/>
          <w:sz w:val="24"/>
          <w:szCs w:val="24"/>
        </w:rPr>
        <w:t>2.13 乙方破产</w:t>
      </w:r>
      <w:bookmarkEnd w:id="228"/>
      <w:bookmarkEnd w:id="229"/>
      <w:bookmarkEnd w:id="230"/>
      <w:bookmarkEnd w:id="231"/>
      <w:bookmarkEnd w:id="232"/>
      <w:bookmarkEnd w:id="233"/>
    </w:p>
    <w:p w14:paraId="4481054C">
      <w:pPr>
        <w:spacing w:line="560" w:lineRule="exact"/>
        <w:ind w:firstLine="640"/>
        <w:rPr>
          <w:rFonts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9371086">
      <w:pPr>
        <w:spacing w:line="560" w:lineRule="exact"/>
        <w:ind w:firstLine="640"/>
        <w:rPr>
          <w:rFonts w:ascii="宋体" w:hAnsi="宋体" w:eastAsia="宋体" w:cs="宋体"/>
          <w:sz w:val="24"/>
          <w:szCs w:val="24"/>
        </w:rPr>
      </w:pPr>
      <w:bookmarkStart w:id="234" w:name="_Toc15387"/>
      <w:bookmarkStart w:id="235" w:name="_Toc29333"/>
      <w:bookmarkStart w:id="236" w:name="_Toc6134"/>
      <w:r>
        <w:rPr>
          <w:rFonts w:hint="eastAsia" w:ascii="宋体" w:hAnsi="宋体" w:eastAsia="宋体" w:cs="宋体"/>
          <w:sz w:val="24"/>
          <w:szCs w:val="24"/>
        </w:rPr>
        <w:t>2.14 合同中止、终止</w:t>
      </w:r>
      <w:bookmarkEnd w:id="234"/>
      <w:bookmarkEnd w:id="235"/>
      <w:bookmarkEnd w:id="236"/>
    </w:p>
    <w:p w14:paraId="0B3DD7C2">
      <w:pPr>
        <w:spacing w:line="560" w:lineRule="exact"/>
        <w:ind w:firstLine="640"/>
        <w:rPr>
          <w:rFonts w:ascii="宋体" w:hAnsi="宋体" w:eastAsia="宋体" w:cs="宋体"/>
          <w:sz w:val="24"/>
          <w:szCs w:val="24"/>
        </w:rPr>
      </w:pPr>
      <w:r>
        <w:rPr>
          <w:rFonts w:hint="eastAsia" w:ascii="宋体" w:hAnsi="宋体" w:eastAsia="宋体" w:cs="宋体"/>
          <w:sz w:val="24"/>
          <w:szCs w:val="24"/>
        </w:rPr>
        <w:t>2.14.1双方当事人不得擅自中止或者终止合同；</w:t>
      </w:r>
    </w:p>
    <w:p w14:paraId="320DA73F">
      <w:pPr>
        <w:spacing w:line="560" w:lineRule="exact"/>
        <w:ind w:firstLine="640"/>
        <w:rPr>
          <w:rFonts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3316324C">
      <w:pPr>
        <w:spacing w:line="560" w:lineRule="exact"/>
        <w:ind w:firstLine="640"/>
        <w:rPr>
          <w:rFonts w:ascii="宋体" w:hAnsi="宋体" w:eastAsia="宋体" w:cs="宋体"/>
          <w:sz w:val="24"/>
          <w:szCs w:val="24"/>
        </w:rPr>
      </w:pPr>
      <w:bookmarkStart w:id="237" w:name="_Toc14563"/>
      <w:bookmarkStart w:id="238" w:name="_Toc1125"/>
      <w:bookmarkStart w:id="239" w:name="_Toc6596"/>
      <w:r>
        <w:rPr>
          <w:rFonts w:hint="eastAsia" w:ascii="宋体" w:hAnsi="宋体" w:eastAsia="宋体" w:cs="宋体"/>
          <w:sz w:val="24"/>
          <w:szCs w:val="24"/>
        </w:rPr>
        <w:t>2.15 检验和验收</w:t>
      </w:r>
      <w:bookmarkEnd w:id="237"/>
      <w:bookmarkEnd w:id="238"/>
      <w:bookmarkEnd w:id="239"/>
    </w:p>
    <w:p w14:paraId="62801C6F">
      <w:pPr>
        <w:spacing w:line="560" w:lineRule="exact"/>
        <w:ind w:firstLine="640"/>
        <w:rPr>
          <w:rFonts w:ascii="宋体" w:hAnsi="宋体" w:eastAsia="宋体" w:cs="宋体"/>
          <w:sz w:val="24"/>
          <w:szCs w:val="24"/>
        </w:rPr>
      </w:pPr>
      <w:r>
        <w:rPr>
          <w:rFonts w:hint="eastAsia" w:ascii="宋体" w:hAnsi="宋体" w:eastAsia="宋体" w:cs="宋体"/>
          <w:sz w:val="24"/>
          <w:szCs w:val="24"/>
        </w:rPr>
        <w:t>2.15.1乙方按照合同专用条款的约定，定期提交服务报告，甲方按照合同专用条款的约定进行定期验收；</w:t>
      </w:r>
    </w:p>
    <w:p w14:paraId="196C33B1">
      <w:pPr>
        <w:spacing w:line="560" w:lineRule="exact"/>
        <w:ind w:firstLine="640"/>
        <w:rPr>
          <w:rFonts w:ascii="宋体" w:hAnsi="宋体" w:eastAsia="宋体" w:cs="宋体"/>
          <w:sz w:val="24"/>
          <w:szCs w:val="24"/>
        </w:rPr>
      </w:pPr>
      <w:r>
        <w:rPr>
          <w:rFonts w:hint="eastAsia" w:ascii="宋体" w:hAnsi="宋体" w:eastAsia="宋体" w:cs="宋体"/>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2DAB636">
      <w:pPr>
        <w:spacing w:line="560" w:lineRule="exact"/>
        <w:ind w:firstLine="640"/>
        <w:rPr>
          <w:rFonts w:ascii="宋体" w:hAnsi="宋体" w:eastAsia="宋体" w:cs="宋体"/>
          <w:sz w:val="24"/>
          <w:szCs w:val="24"/>
        </w:rPr>
      </w:pPr>
      <w:r>
        <w:rPr>
          <w:rFonts w:hint="eastAsia" w:ascii="宋体" w:hAnsi="宋体" w:eastAsia="宋体" w:cs="宋体"/>
          <w:sz w:val="24"/>
          <w:szCs w:val="24"/>
        </w:rPr>
        <w:t>2.15.3检验和验收标准、程序等具体内容以及前述验收书的效力详见合同专用条款。</w:t>
      </w:r>
    </w:p>
    <w:bookmarkEnd w:id="209"/>
    <w:bookmarkEnd w:id="210"/>
    <w:bookmarkEnd w:id="211"/>
    <w:bookmarkEnd w:id="212"/>
    <w:p w14:paraId="02411ACC">
      <w:pPr>
        <w:spacing w:line="560" w:lineRule="exact"/>
        <w:ind w:firstLine="640"/>
        <w:rPr>
          <w:rFonts w:ascii="宋体" w:hAnsi="宋体" w:eastAsia="宋体" w:cs="宋体"/>
          <w:sz w:val="24"/>
          <w:szCs w:val="24"/>
        </w:rPr>
      </w:pPr>
      <w:bookmarkStart w:id="240" w:name="_Toc18567"/>
      <w:bookmarkStart w:id="241" w:name="_Toc279701263"/>
      <w:bookmarkStart w:id="242" w:name="_Toc10330"/>
      <w:bookmarkStart w:id="243" w:name="_Toc259093692"/>
      <w:bookmarkStart w:id="244" w:name="_Toc487900373"/>
      <w:bookmarkStart w:id="245" w:name="_Toc12773"/>
      <w:r>
        <w:rPr>
          <w:rFonts w:hint="eastAsia" w:ascii="宋体" w:hAnsi="宋体" w:eastAsia="宋体" w:cs="宋体"/>
          <w:sz w:val="24"/>
          <w:szCs w:val="24"/>
        </w:rPr>
        <w:t>2.16 合同使用的文字和适用的法律</w:t>
      </w:r>
      <w:bookmarkEnd w:id="240"/>
      <w:bookmarkEnd w:id="241"/>
      <w:bookmarkEnd w:id="242"/>
      <w:bookmarkEnd w:id="243"/>
      <w:bookmarkEnd w:id="244"/>
      <w:bookmarkEnd w:id="245"/>
    </w:p>
    <w:p w14:paraId="6FEA76A9">
      <w:pPr>
        <w:spacing w:line="560" w:lineRule="exact"/>
        <w:ind w:firstLine="640"/>
        <w:rPr>
          <w:rFonts w:ascii="宋体" w:hAnsi="宋体" w:eastAsia="宋体" w:cs="宋体"/>
          <w:sz w:val="24"/>
          <w:szCs w:val="24"/>
        </w:rPr>
      </w:pPr>
      <w:r>
        <w:rPr>
          <w:rFonts w:hint="eastAsia" w:ascii="宋体" w:hAnsi="宋体" w:eastAsia="宋体" w:cs="宋体"/>
          <w:sz w:val="24"/>
          <w:szCs w:val="24"/>
        </w:rPr>
        <w:t>2.16.1合同使用汉语书就、变更和解释；</w:t>
      </w:r>
    </w:p>
    <w:p w14:paraId="60A98FC3">
      <w:pPr>
        <w:spacing w:line="560" w:lineRule="exact"/>
        <w:ind w:firstLine="640"/>
        <w:rPr>
          <w:rFonts w:ascii="宋体" w:hAnsi="宋体" w:eastAsia="宋体" w:cs="宋体"/>
          <w:sz w:val="24"/>
          <w:szCs w:val="24"/>
        </w:rPr>
      </w:pPr>
      <w:r>
        <w:rPr>
          <w:rFonts w:hint="eastAsia" w:ascii="宋体" w:hAnsi="宋体" w:eastAsia="宋体" w:cs="宋体"/>
          <w:sz w:val="24"/>
          <w:szCs w:val="24"/>
        </w:rPr>
        <w:t>2.16.2合同适用中华人民共和国法律。</w:t>
      </w:r>
    </w:p>
    <w:p w14:paraId="44AEFC93">
      <w:pPr>
        <w:spacing w:line="560" w:lineRule="exact"/>
        <w:ind w:firstLine="640"/>
        <w:rPr>
          <w:rFonts w:ascii="宋体" w:hAnsi="宋体" w:eastAsia="宋体" w:cs="宋体"/>
          <w:sz w:val="24"/>
          <w:szCs w:val="24"/>
        </w:rPr>
      </w:pPr>
      <w:bookmarkStart w:id="246" w:name="_Toc16673"/>
      <w:bookmarkStart w:id="247" w:name="_Toc279701264"/>
      <w:bookmarkStart w:id="248" w:name="_Toc259093693"/>
      <w:bookmarkStart w:id="249" w:name="_Toc12004"/>
      <w:bookmarkStart w:id="250" w:name="_Toc3148"/>
      <w:bookmarkStart w:id="251" w:name="_Toc487900374"/>
      <w:r>
        <w:rPr>
          <w:rFonts w:hint="eastAsia" w:ascii="宋体" w:hAnsi="宋体" w:eastAsia="宋体" w:cs="宋体"/>
          <w:sz w:val="24"/>
          <w:szCs w:val="24"/>
        </w:rPr>
        <w:t>2.17 履约保证金</w:t>
      </w:r>
      <w:bookmarkEnd w:id="246"/>
      <w:bookmarkEnd w:id="247"/>
      <w:bookmarkEnd w:id="248"/>
      <w:bookmarkEnd w:id="249"/>
      <w:bookmarkEnd w:id="250"/>
    </w:p>
    <w:p w14:paraId="6BDFD408">
      <w:pPr>
        <w:spacing w:line="560" w:lineRule="exact"/>
        <w:ind w:firstLine="640"/>
        <w:rPr>
          <w:rFonts w:ascii="宋体" w:hAnsi="宋体" w:eastAsia="宋体" w:cs="宋体"/>
          <w:sz w:val="24"/>
          <w:szCs w:val="24"/>
        </w:rPr>
      </w:pPr>
      <w:r>
        <w:rPr>
          <w:rFonts w:hint="eastAsia" w:ascii="宋体" w:hAnsi="宋体" w:eastAsia="宋体" w:cs="宋体"/>
          <w:sz w:val="24"/>
          <w:szCs w:val="24"/>
        </w:rPr>
        <w:t>2.17.1采购文件要求乙方提交履约保证金的，乙方应按合同专用条款约定的方式，以支票、汇票、本票或者金融机构、担保机构出具的保函等非现金形式提交；</w:t>
      </w:r>
    </w:p>
    <w:p w14:paraId="2DDD4AEF">
      <w:pPr>
        <w:spacing w:line="560" w:lineRule="exact"/>
        <w:ind w:firstLine="640"/>
        <w:rPr>
          <w:rFonts w:ascii="宋体" w:hAnsi="宋体" w:eastAsia="宋体" w:cs="宋体"/>
          <w:sz w:val="24"/>
          <w:szCs w:val="24"/>
        </w:rPr>
      </w:pPr>
      <w:r>
        <w:rPr>
          <w:rFonts w:hint="eastAsia" w:ascii="宋体" w:hAnsi="宋体" w:eastAsia="宋体" w:cs="宋体"/>
          <w:sz w:val="24"/>
          <w:szCs w:val="24"/>
        </w:rPr>
        <w:t>2.17.2履约保证金在合同专用条款约定期间内或者货物质量保证期内不予退还或者应完全有效，前述约定期间届满或者货物质量保证期届满之日起  个工作日内，甲方应将履约保证金退还乙方，甲方逾期退还履约保证金应承担违约责任。</w:t>
      </w:r>
    </w:p>
    <w:p w14:paraId="508AD6FD">
      <w:pPr>
        <w:spacing w:line="560" w:lineRule="exact"/>
        <w:ind w:firstLine="640"/>
        <w:rPr>
          <w:rFonts w:ascii="宋体" w:hAnsi="宋体" w:eastAsia="宋体" w:cs="宋体"/>
          <w:sz w:val="24"/>
          <w:szCs w:val="24"/>
        </w:rPr>
      </w:pPr>
      <w:r>
        <w:rPr>
          <w:rFonts w:hint="eastAsia" w:ascii="宋体" w:hAnsi="宋体" w:eastAsia="宋体" w:cs="宋体"/>
          <w:sz w:val="24"/>
          <w:szCs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1"/>
    <w:p w14:paraId="3216AEBD">
      <w:pPr>
        <w:spacing w:line="560" w:lineRule="exact"/>
        <w:ind w:firstLine="640"/>
        <w:rPr>
          <w:rFonts w:ascii="宋体" w:hAnsi="宋体" w:eastAsia="宋体" w:cs="宋体"/>
          <w:sz w:val="24"/>
          <w:szCs w:val="24"/>
        </w:rPr>
      </w:pPr>
      <w:bookmarkStart w:id="252" w:name="_Toc6885"/>
      <w:bookmarkStart w:id="253" w:name="_Toc14001"/>
      <w:bookmarkStart w:id="254" w:name="_Toc19890"/>
      <w:r>
        <w:rPr>
          <w:rFonts w:hint="eastAsia" w:ascii="宋体" w:hAnsi="宋体" w:eastAsia="宋体" w:cs="宋体"/>
          <w:sz w:val="24"/>
          <w:szCs w:val="24"/>
        </w:rPr>
        <w:t>2.18 合同份数</w:t>
      </w:r>
      <w:bookmarkEnd w:id="252"/>
      <w:bookmarkEnd w:id="253"/>
      <w:bookmarkEnd w:id="254"/>
    </w:p>
    <w:p w14:paraId="406C5A40">
      <w:pPr>
        <w:spacing w:line="560" w:lineRule="exact"/>
        <w:ind w:firstLine="640"/>
        <w:rPr>
          <w:rFonts w:ascii="宋体" w:hAnsi="宋体" w:eastAsia="宋体" w:cs="宋体"/>
          <w:sz w:val="24"/>
          <w:szCs w:val="24"/>
        </w:rPr>
      </w:pPr>
      <w:r>
        <w:rPr>
          <w:rFonts w:hint="eastAsia" w:ascii="宋体" w:hAnsi="宋体" w:eastAsia="宋体" w:cs="宋体"/>
          <w:sz w:val="24"/>
          <w:szCs w:val="24"/>
        </w:rPr>
        <w:t>合同份数按合同专用条款规定，每份均具有同等法律效力。</w:t>
      </w:r>
    </w:p>
    <w:p w14:paraId="1D046AFD">
      <w:pPr>
        <w:spacing w:line="560" w:lineRule="exact"/>
        <w:jc w:val="center"/>
        <w:outlineLvl w:val="2"/>
        <w:rPr>
          <w:rFonts w:ascii="宋体" w:hAnsi="宋体" w:eastAsia="宋体" w:cs="宋体"/>
          <w:sz w:val="24"/>
          <w:szCs w:val="24"/>
        </w:rPr>
      </w:pPr>
      <w:r>
        <w:rPr>
          <w:rFonts w:hint="eastAsia" w:ascii="宋体" w:hAnsi="宋体" w:eastAsia="宋体" w:cs="宋体"/>
          <w:sz w:val="24"/>
          <w:szCs w:val="24"/>
        </w:rPr>
        <w:br w:type="page"/>
      </w:r>
      <w:bookmarkStart w:id="255" w:name="_Toc8839"/>
      <w:bookmarkStart w:id="256" w:name="_Toc331685784"/>
      <w:r>
        <w:rPr>
          <w:rFonts w:hint="eastAsia" w:ascii="宋体" w:hAnsi="宋体" w:eastAsia="宋体" w:cs="宋体"/>
          <w:sz w:val="24"/>
          <w:szCs w:val="24"/>
        </w:rPr>
        <w:t>第三部分 合同专用条款</w:t>
      </w:r>
      <w:bookmarkEnd w:id="255"/>
      <w:bookmarkEnd w:id="256"/>
    </w:p>
    <w:p w14:paraId="4BCAC6C7">
      <w:pPr>
        <w:spacing w:line="560" w:lineRule="exact"/>
        <w:ind w:firstLine="640"/>
        <w:rPr>
          <w:rFonts w:ascii="宋体" w:hAnsi="宋体" w:eastAsia="宋体" w:cs="宋体"/>
          <w:sz w:val="24"/>
          <w:szCs w:val="24"/>
        </w:rPr>
      </w:pPr>
    </w:p>
    <w:p w14:paraId="2FBB149D">
      <w:pPr>
        <w:spacing w:line="560" w:lineRule="exact"/>
        <w:ind w:firstLine="640"/>
        <w:rPr>
          <w:rFonts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5"/>
        <w:gridCol w:w="7438"/>
      </w:tblGrid>
      <w:tr w14:paraId="2C360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37" w:type="pct"/>
            <w:tcBorders>
              <w:left w:val="single" w:color="auto" w:sz="4" w:space="0"/>
            </w:tcBorders>
            <w:vAlign w:val="center"/>
          </w:tcPr>
          <w:p w14:paraId="75ED17B0">
            <w:pPr>
              <w:spacing w:line="560" w:lineRule="exact"/>
              <w:jc w:val="center"/>
              <w:rPr>
                <w:rFonts w:ascii="宋体" w:hAnsi="宋体" w:eastAsia="宋体" w:cs="宋体"/>
                <w:sz w:val="24"/>
                <w:szCs w:val="24"/>
              </w:rPr>
            </w:pPr>
            <w:r>
              <w:rPr>
                <w:rFonts w:hint="eastAsia" w:ascii="宋体" w:hAnsi="宋体" w:eastAsia="宋体" w:cs="宋体"/>
                <w:sz w:val="24"/>
                <w:szCs w:val="24"/>
              </w:rPr>
              <w:t>条款号</w:t>
            </w:r>
          </w:p>
        </w:tc>
        <w:tc>
          <w:tcPr>
            <w:tcW w:w="4462" w:type="pct"/>
            <w:vAlign w:val="center"/>
          </w:tcPr>
          <w:p w14:paraId="03F4EE55">
            <w:pPr>
              <w:spacing w:line="560" w:lineRule="exact"/>
              <w:jc w:val="center"/>
              <w:rPr>
                <w:rFonts w:ascii="宋体" w:hAnsi="宋体" w:eastAsia="宋体" w:cs="宋体"/>
                <w:sz w:val="24"/>
                <w:szCs w:val="24"/>
              </w:rPr>
            </w:pPr>
            <w:r>
              <w:rPr>
                <w:rFonts w:hint="eastAsia" w:ascii="宋体" w:hAnsi="宋体" w:eastAsia="宋体" w:cs="宋体"/>
                <w:sz w:val="24"/>
                <w:szCs w:val="24"/>
              </w:rPr>
              <w:t>约定内容</w:t>
            </w:r>
          </w:p>
        </w:tc>
      </w:tr>
      <w:tr w14:paraId="5C061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260AF448">
            <w:pPr>
              <w:spacing w:line="560" w:lineRule="exact"/>
              <w:rPr>
                <w:rFonts w:ascii="宋体" w:hAnsi="宋体" w:eastAsia="宋体" w:cs="宋体"/>
                <w:sz w:val="24"/>
                <w:szCs w:val="24"/>
              </w:rPr>
            </w:pPr>
            <w:r>
              <w:rPr>
                <w:rFonts w:hint="eastAsia" w:ascii="宋体" w:hAnsi="宋体" w:eastAsia="宋体" w:cs="宋体"/>
                <w:sz w:val="24"/>
                <w:szCs w:val="24"/>
              </w:rPr>
              <w:t>2.5</w:t>
            </w:r>
          </w:p>
        </w:tc>
        <w:tc>
          <w:tcPr>
            <w:tcW w:w="4462" w:type="pct"/>
            <w:vAlign w:val="center"/>
          </w:tcPr>
          <w:p w14:paraId="2069C136">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第一种方式：</w:t>
            </w:r>
            <w:r>
              <w:rPr>
                <w:rFonts w:hint="eastAsia" w:ascii="宋体" w:hAnsi="宋体" w:eastAsia="宋体" w:cs="宋体"/>
                <w:bCs/>
                <w:kern w:val="0"/>
                <w:sz w:val="24"/>
                <w:szCs w:val="24"/>
              </w:rPr>
              <w:t>合同签订后，经乙方申请并提交银行、保险公司、担保公司等金融机构出具的金额为合同总价40%的预付款保函作为担保，经甲方审核确认后，按规定及时向乙方支付合同总价的40%作为预付款；</w:t>
            </w:r>
          </w:p>
          <w:p w14:paraId="77F9C865">
            <w:pPr>
              <w:widowControl/>
              <w:spacing w:line="360" w:lineRule="auto"/>
              <w:ind w:firstLine="482" w:firstLineChars="200"/>
              <w:jc w:val="left"/>
              <w:rPr>
                <w:rFonts w:ascii="宋体" w:hAnsi="宋体" w:eastAsia="宋体" w:cs="宋体"/>
                <w:b/>
                <w:bCs w:val="0"/>
                <w:kern w:val="0"/>
                <w:sz w:val="24"/>
                <w:szCs w:val="24"/>
              </w:rPr>
            </w:pPr>
            <w:r>
              <w:rPr>
                <w:rFonts w:hint="eastAsia" w:ascii="宋体" w:hAnsi="宋体" w:eastAsia="宋体" w:cs="宋体"/>
                <w:b/>
                <w:bCs w:val="0"/>
                <w:kern w:val="0"/>
                <w:sz w:val="24"/>
                <w:szCs w:val="24"/>
              </w:rPr>
              <w:t>按进度付款，乙方申请并经甲方次验收合格后支付相应阶段进度款，年度验收合格并经结算审核后，支付至结算价的100%，并扣回所有预付款。</w:t>
            </w:r>
          </w:p>
          <w:p w14:paraId="15E766E1">
            <w:pPr>
              <w:widowControl/>
              <w:spacing w:line="360" w:lineRule="auto"/>
              <w:jc w:val="left"/>
              <w:rPr>
                <w:rFonts w:ascii="宋体" w:hAnsi="宋体" w:eastAsia="宋体" w:cs="宋体"/>
                <w:bCs/>
                <w:kern w:val="0"/>
                <w:sz w:val="24"/>
                <w:szCs w:val="24"/>
              </w:rPr>
            </w:pPr>
            <w:r>
              <w:rPr>
                <w:rFonts w:hint="eastAsia" w:ascii="宋体" w:hAnsi="宋体" w:eastAsia="宋体" w:cs="宋体"/>
                <w:bCs/>
                <w:kern w:val="0"/>
                <w:sz w:val="24"/>
                <w:szCs w:val="24"/>
              </w:rPr>
              <w:t>备注：预付款支付前，乙方须提交银行、保险公司、担保公司等金融机构出具的预付款保函（见索即付保函）。</w:t>
            </w:r>
          </w:p>
          <w:p w14:paraId="1911BACB">
            <w:pPr>
              <w:widowControl/>
              <w:spacing w:line="360" w:lineRule="auto"/>
              <w:jc w:val="left"/>
              <w:rPr>
                <w:rFonts w:ascii="宋体" w:hAnsi="宋体" w:eastAsia="宋体" w:cs="宋体"/>
                <w:bCs/>
                <w:kern w:val="0"/>
                <w:sz w:val="24"/>
                <w:szCs w:val="24"/>
              </w:rPr>
            </w:pPr>
            <w:r>
              <w:rPr>
                <w:rFonts w:hint="eastAsia" w:ascii="宋体" w:hAnsi="宋体" w:eastAsia="宋体" w:cs="宋体"/>
                <w:b/>
                <w:kern w:val="0"/>
                <w:sz w:val="24"/>
                <w:szCs w:val="24"/>
              </w:rPr>
              <w:t>第二种方式：</w:t>
            </w:r>
            <w:r>
              <w:rPr>
                <w:rFonts w:hint="eastAsia" w:ascii="宋体" w:hAnsi="宋体" w:eastAsia="宋体" w:cs="宋体"/>
                <w:bCs/>
                <w:kern w:val="0"/>
                <w:sz w:val="24"/>
                <w:szCs w:val="24"/>
              </w:rPr>
              <w:t>如在签订合同时，乙方书面明确表示无需预付款，即乙方无需提供预付款担保，按皖财购〔2022〕556号规定，甲方可不再支付预付款；</w:t>
            </w:r>
          </w:p>
          <w:p w14:paraId="664DF571">
            <w:pPr>
              <w:spacing w:line="560" w:lineRule="exact"/>
              <w:rPr>
                <w:rFonts w:ascii="宋体" w:hAnsi="宋体" w:eastAsia="宋体" w:cs="宋体"/>
                <w:sz w:val="24"/>
                <w:szCs w:val="24"/>
              </w:rPr>
            </w:pPr>
            <w:r>
              <w:rPr>
                <w:rFonts w:hint="eastAsia" w:ascii="宋体" w:hAnsi="宋体" w:eastAsia="宋体" w:cs="宋体"/>
                <w:b/>
                <w:bCs w:val="0"/>
                <w:kern w:val="0"/>
                <w:sz w:val="24"/>
                <w:szCs w:val="24"/>
              </w:rPr>
              <w:t>按进度付款，乙方申请并经甲方次验收合格后支付相应阶段进度款，直至年度验收合格并经结算审核后，支付至结算价的100%。</w:t>
            </w:r>
          </w:p>
        </w:tc>
      </w:tr>
      <w:tr w14:paraId="46FFC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7" w:type="pct"/>
            <w:tcBorders>
              <w:left w:val="single" w:color="auto" w:sz="4" w:space="0"/>
            </w:tcBorders>
            <w:vAlign w:val="center"/>
          </w:tcPr>
          <w:p w14:paraId="29BCD674">
            <w:pPr>
              <w:spacing w:line="560" w:lineRule="exact"/>
              <w:rPr>
                <w:rFonts w:ascii="宋体" w:hAnsi="宋体" w:eastAsia="宋体" w:cs="宋体"/>
                <w:sz w:val="24"/>
                <w:szCs w:val="24"/>
              </w:rPr>
            </w:pPr>
            <w:r>
              <w:rPr>
                <w:rFonts w:hint="eastAsia" w:ascii="宋体" w:hAnsi="宋体" w:eastAsia="宋体" w:cs="宋体"/>
                <w:sz w:val="24"/>
                <w:szCs w:val="24"/>
              </w:rPr>
              <w:t>2.11.3</w:t>
            </w:r>
          </w:p>
          <w:p w14:paraId="5E7EAA32">
            <w:pPr>
              <w:spacing w:line="560" w:lineRule="exact"/>
              <w:rPr>
                <w:rFonts w:ascii="宋体" w:hAnsi="宋体" w:eastAsia="宋体" w:cs="宋体"/>
                <w:sz w:val="24"/>
                <w:szCs w:val="24"/>
              </w:rPr>
            </w:pPr>
            <w:r>
              <w:rPr>
                <w:rFonts w:hint="eastAsia" w:ascii="宋体" w:hAnsi="宋体" w:eastAsia="宋体" w:cs="宋体"/>
                <w:sz w:val="24"/>
                <w:szCs w:val="24"/>
              </w:rPr>
              <w:t>2.11.4</w:t>
            </w:r>
          </w:p>
        </w:tc>
        <w:tc>
          <w:tcPr>
            <w:tcW w:w="4462" w:type="pct"/>
            <w:vAlign w:val="center"/>
          </w:tcPr>
          <w:p w14:paraId="3F39B1E0">
            <w:pPr>
              <w:spacing w:line="560" w:lineRule="exact"/>
              <w:rPr>
                <w:rFonts w:ascii="宋体" w:hAnsi="宋体" w:eastAsia="宋体" w:cs="宋体"/>
                <w:sz w:val="24"/>
                <w:szCs w:val="24"/>
              </w:rPr>
            </w:pPr>
            <w:r>
              <w:rPr>
                <w:rFonts w:hint="eastAsia" w:ascii="宋体" w:hAnsi="宋体" w:eastAsia="宋体" w:cs="宋体"/>
                <w:sz w:val="24"/>
                <w:szCs w:val="24"/>
              </w:rPr>
              <w:t>不可抗力致使合同有变更必要，甲乙双方应在不可抗力发生后5个工作日内应以书面形式变更合同。</w:t>
            </w:r>
          </w:p>
          <w:p w14:paraId="03CD45B5">
            <w:pPr>
              <w:spacing w:line="560" w:lineRule="exact"/>
              <w:rPr>
                <w:rFonts w:ascii="宋体" w:hAnsi="宋体" w:eastAsia="宋体" w:cs="宋体"/>
                <w:sz w:val="24"/>
                <w:szCs w:val="24"/>
              </w:rPr>
            </w:pPr>
            <w:r>
              <w:rPr>
                <w:rFonts w:hint="eastAsia" w:ascii="宋体" w:hAnsi="宋体" w:eastAsia="宋体" w:cs="宋体"/>
                <w:sz w:val="24"/>
                <w:szCs w:val="24"/>
              </w:rPr>
              <w:t>受不可抗力影响的一方在不可抗力发生后，甲乙双方应在不可抗力发生后10个工作日内以书面形式通知对方当事人，将有关部门出具的证明文件送达对方当事人。</w:t>
            </w:r>
          </w:p>
        </w:tc>
      </w:tr>
      <w:tr w14:paraId="48DBC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3080FA37">
            <w:pPr>
              <w:spacing w:line="560" w:lineRule="exact"/>
              <w:rPr>
                <w:rFonts w:ascii="宋体" w:hAnsi="宋体" w:eastAsia="宋体" w:cs="宋体"/>
                <w:sz w:val="24"/>
                <w:szCs w:val="24"/>
              </w:rPr>
            </w:pPr>
            <w:r>
              <w:rPr>
                <w:rFonts w:hint="eastAsia" w:ascii="宋体" w:hAnsi="宋体" w:eastAsia="宋体" w:cs="宋体"/>
                <w:sz w:val="24"/>
                <w:szCs w:val="24"/>
              </w:rPr>
              <w:t>2.17.1</w:t>
            </w:r>
          </w:p>
        </w:tc>
        <w:tc>
          <w:tcPr>
            <w:tcW w:w="4462" w:type="pct"/>
            <w:vAlign w:val="center"/>
          </w:tcPr>
          <w:p w14:paraId="16C4071C">
            <w:pPr>
              <w:spacing w:line="560" w:lineRule="exact"/>
              <w:rPr>
                <w:rFonts w:ascii="宋体" w:hAnsi="宋体" w:eastAsia="宋体" w:cs="宋体"/>
                <w:sz w:val="24"/>
                <w:szCs w:val="24"/>
              </w:rPr>
            </w:pPr>
            <w:r>
              <w:rPr>
                <w:rFonts w:hint="eastAsia" w:ascii="宋体" w:hAnsi="宋体" w:eastAsia="宋体" w:cs="宋体"/>
                <w:sz w:val="24"/>
                <w:szCs w:val="24"/>
              </w:rPr>
              <w:t>（1）金额：合同价的2.5%</w:t>
            </w:r>
          </w:p>
          <w:p w14:paraId="53C3AA81">
            <w:pPr>
              <w:spacing w:line="560" w:lineRule="exact"/>
              <w:rPr>
                <w:rFonts w:ascii="宋体" w:hAnsi="宋体" w:eastAsia="宋体" w:cs="宋体"/>
                <w:sz w:val="24"/>
                <w:szCs w:val="24"/>
              </w:rPr>
            </w:pPr>
            <w:r>
              <w:rPr>
                <w:rFonts w:hint="eastAsia" w:ascii="宋体" w:hAnsi="宋体" w:eastAsia="宋体" w:cs="宋体"/>
                <w:sz w:val="24"/>
                <w:szCs w:val="24"/>
              </w:rPr>
              <w:t>（2）支付方式：</w:t>
            </w:r>
          </w:p>
          <w:p w14:paraId="5CD254F7">
            <w:pPr>
              <w:spacing w:line="560" w:lineRule="exact"/>
              <w:rPr>
                <w:rFonts w:ascii="宋体" w:hAnsi="宋体" w:eastAsia="宋体" w:cs="宋体"/>
                <w:sz w:val="24"/>
                <w:szCs w:val="24"/>
              </w:rPr>
            </w:pPr>
            <w:r>
              <w:rPr>
                <w:rFonts w:hint="eastAsia" w:ascii="宋体" w:hAnsi="宋体" w:eastAsia="宋体" w:cs="宋体"/>
                <w:sz w:val="24"/>
                <w:szCs w:val="24"/>
              </w:rPr>
              <w:sym w:font="Wingdings" w:char="00FE"/>
            </w:r>
            <w:r>
              <w:rPr>
                <w:rFonts w:hint="eastAsia" w:ascii="宋体" w:hAnsi="宋体" w:eastAsia="宋体" w:cs="宋体"/>
                <w:sz w:val="24"/>
                <w:szCs w:val="24"/>
              </w:rPr>
              <w:t xml:space="preserve">转账/电汇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支票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汇票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本票 </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保险 </w:t>
            </w:r>
            <w:r>
              <w:rPr>
                <w:rFonts w:hint="eastAsia" w:ascii="宋体" w:hAnsi="宋体" w:eastAsia="宋体" w:cs="宋体"/>
                <w:sz w:val="24"/>
                <w:szCs w:val="24"/>
              </w:rPr>
              <w:sym w:font="Wingdings" w:char="00FE"/>
            </w:r>
            <w:r>
              <w:rPr>
                <w:rFonts w:hint="eastAsia" w:ascii="宋体" w:hAnsi="宋体" w:eastAsia="宋体" w:cs="宋体"/>
                <w:sz w:val="24"/>
                <w:szCs w:val="24"/>
              </w:rPr>
              <w:t>保函</w:t>
            </w:r>
          </w:p>
          <w:p w14:paraId="72443194">
            <w:pPr>
              <w:spacing w:line="560" w:lineRule="exact"/>
              <w:rPr>
                <w:rFonts w:ascii="宋体" w:hAnsi="宋体" w:eastAsia="宋体" w:cs="宋体"/>
                <w:sz w:val="24"/>
                <w:szCs w:val="24"/>
              </w:rPr>
            </w:pPr>
            <w:r>
              <w:rPr>
                <w:rFonts w:hint="eastAsia" w:ascii="宋体" w:hAnsi="宋体" w:eastAsia="宋体" w:cs="宋体"/>
                <w:sz w:val="24"/>
                <w:szCs w:val="24"/>
              </w:rPr>
              <w:t xml:space="preserve">（3）收取单位：各合同甲方 </w:t>
            </w:r>
          </w:p>
          <w:p w14:paraId="5085A29B">
            <w:pPr>
              <w:spacing w:line="560" w:lineRule="exact"/>
              <w:rPr>
                <w:rFonts w:ascii="宋体" w:hAnsi="宋体" w:eastAsia="宋体" w:cs="宋体"/>
                <w:sz w:val="24"/>
                <w:szCs w:val="24"/>
              </w:rPr>
            </w:pPr>
            <w:r>
              <w:rPr>
                <w:rFonts w:hint="eastAsia" w:ascii="宋体" w:hAnsi="宋体" w:eastAsia="宋体" w:cs="宋体"/>
                <w:sz w:val="24"/>
                <w:szCs w:val="24"/>
              </w:rPr>
              <w:t>（4）收取账号：成交后提供</w:t>
            </w:r>
          </w:p>
          <w:p w14:paraId="0DB3A699">
            <w:pPr>
              <w:spacing w:line="560" w:lineRule="exact"/>
              <w:rPr>
                <w:rFonts w:ascii="宋体" w:hAnsi="宋体" w:eastAsia="宋体" w:cs="宋体"/>
                <w:sz w:val="24"/>
                <w:szCs w:val="24"/>
              </w:rPr>
            </w:pPr>
            <w:r>
              <w:rPr>
                <w:rFonts w:hint="eastAsia" w:ascii="宋体" w:hAnsi="宋体" w:eastAsia="宋体" w:cs="宋体"/>
                <w:sz w:val="24"/>
                <w:szCs w:val="24"/>
              </w:rPr>
              <w:t>（5）退还时间：履约保证金在合同生效之日起至项目验收合格前一直有效，通过验收后经乙方申请，合同甲方审核确认后按规定及时将履约保证金款项退还给乙方或者解除履约担保。</w:t>
            </w:r>
          </w:p>
          <w:p w14:paraId="46A44E2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如果乙方不履行合同，履约保证金不予退还；如果乙方未能按合同约定全面履行义务，甲方有权从履约保证金中取得补偿或赔偿，同时不影响甲方要求乙方承担合同约定的超过履约保证金的违约责任的权利。</w:t>
            </w:r>
          </w:p>
          <w:p w14:paraId="1794425C">
            <w:pPr>
              <w:spacing w:line="560" w:lineRule="exact"/>
              <w:rPr>
                <w:rFonts w:ascii="宋体" w:hAnsi="宋体" w:eastAsia="宋体" w:cs="宋体"/>
                <w:sz w:val="24"/>
                <w:szCs w:val="24"/>
              </w:rPr>
            </w:pPr>
            <w:r>
              <w:rPr>
                <w:rFonts w:hint="eastAsia" w:ascii="宋体" w:hAnsi="宋体" w:eastAsia="宋体" w:cs="宋体"/>
                <w:sz w:val="24"/>
                <w:szCs w:val="24"/>
              </w:rPr>
              <w:t>注意事项：</w:t>
            </w:r>
          </w:p>
          <w:p w14:paraId="11D7A1D2">
            <w:pPr>
              <w:spacing w:line="560" w:lineRule="exact"/>
              <w:rPr>
                <w:rFonts w:ascii="宋体" w:hAnsi="宋体" w:eastAsia="宋体" w:cs="宋体"/>
                <w:sz w:val="24"/>
                <w:szCs w:val="24"/>
              </w:rPr>
            </w:pPr>
            <w:r>
              <w:rPr>
                <w:rFonts w:hint="eastAsia" w:ascii="宋体" w:hAnsi="宋体" w:eastAsia="宋体" w:cs="宋体"/>
                <w:sz w:val="24"/>
                <w:szCs w:val="24"/>
              </w:rPr>
              <w:t>（1）以上各类机构出具的以担保函、保证保险承担责任的方式均须满足无条件见索即付条件。</w:t>
            </w:r>
          </w:p>
          <w:p w14:paraId="58ACB89B">
            <w:pPr>
              <w:spacing w:line="560" w:lineRule="exact"/>
              <w:rPr>
                <w:rFonts w:ascii="宋体" w:hAnsi="宋体" w:eastAsia="宋体" w:cs="宋体"/>
                <w:sz w:val="24"/>
                <w:szCs w:val="24"/>
              </w:rPr>
            </w:pPr>
            <w:r>
              <w:rPr>
                <w:rFonts w:hint="eastAsia" w:ascii="宋体" w:hAnsi="宋体" w:eastAsia="宋体" w:cs="宋体"/>
                <w:sz w:val="24"/>
                <w:szCs w:val="24"/>
              </w:rPr>
              <w:t>（2）以担保函、保证保险形式缴纳履约保证金的，受益人和收取单位须为甲方。</w:t>
            </w:r>
          </w:p>
        </w:tc>
      </w:tr>
      <w:tr w14:paraId="340D3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37" w:type="pct"/>
            <w:tcBorders>
              <w:left w:val="single" w:color="auto" w:sz="4" w:space="0"/>
            </w:tcBorders>
            <w:vAlign w:val="center"/>
          </w:tcPr>
          <w:p w14:paraId="6CE59281">
            <w:pPr>
              <w:spacing w:line="560" w:lineRule="exact"/>
              <w:rPr>
                <w:rFonts w:ascii="宋体" w:hAnsi="宋体" w:eastAsia="宋体" w:cs="宋体"/>
                <w:sz w:val="24"/>
                <w:szCs w:val="24"/>
              </w:rPr>
            </w:pPr>
            <w:r>
              <w:rPr>
                <w:rFonts w:hint="eastAsia" w:ascii="宋体" w:hAnsi="宋体" w:eastAsia="宋体" w:cs="宋体"/>
                <w:sz w:val="24"/>
                <w:szCs w:val="24"/>
              </w:rPr>
              <w:t>2.18</w:t>
            </w:r>
          </w:p>
        </w:tc>
        <w:tc>
          <w:tcPr>
            <w:tcW w:w="4462" w:type="pct"/>
            <w:vAlign w:val="center"/>
          </w:tcPr>
          <w:p w14:paraId="2DC1C2C4">
            <w:pPr>
              <w:spacing w:line="560" w:lineRule="exact"/>
              <w:rPr>
                <w:rFonts w:ascii="宋体" w:hAnsi="宋体" w:eastAsia="宋体" w:cs="宋体"/>
                <w:sz w:val="24"/>
                <w:szCs w:val="24"/>
              </w:rPr>
            </w:pPr>
            <w:r>
              <w:rPr>
                <w:rFonts w:hint="eastAsia" w:ascii="宋体" w:hAnsi="宋体" w:eastAsia="宋体" w:cs="宋体"/>
                <w:sz w:val="24"/>
                <w:szCs w:val="24"/>
              </w:rPr>
              <w:t>本合同一式陆份，甲乙双方各执叁份。</w:t>
            </w:r>
          </w:p>
        </w:tc>
      </w:tr>
    </w:tbl>
    <w:p w14:paraId="1180FD44">
      <w:pPr>
        <w:spacing w:line="560" w:lineRule="exact"/>
        <w:jc w:val="center"/>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第四部分 廉政协议书</w:t>
      </w:r>
    </w:p>
    <w:p w14:paraId="0EFF246B">
      <w:pPr>
        <w:spacing w:line="560" w:lineRule="exact"/>
        <w:ind w:firstLine="640"/>
        <w:rPr>
          <w:rFonts w:ascii="宋体" w:hAnsi="宋体" w:eastAsia="宋体" w:cs="宋体"/>
          <w:sz w:val="24"/>
          <w:szCs w:val="24"/>
        </w:rPr>
      </w:pPr>
    </w:p>
    <w:p w14:paraId="2309A5DE">
      <w:pPr>
        <w:spacing w:line="560" w:lineRule="exact"/>
        <w:ind w:firstLine="640"/>
        <w:rPr>
          <w:rFonts w:ascii="宋体" w:hAnsi="宋体" w:eastAsia="宋体" w:cs="宋体"/>
          <w:sz w:val="24"/>
          <w:szCs w:val="24"/>
        </w:rPr>
      </w:pPr>
      <w:r>
        <w:rPr>
          <w:rFonts w:hint="eastAsia" w:ascii="宋体" w:hAnsi="宋体" w:eastAsia="宋体" w:cs="宋体"/>
          <w:sz w:val="24"/>
          <w:szCs w:val="24"/>
        </w:rPr>
        <w:t>为加强服务项目中的廉政建设，规范服务项目采购双方的各项活动，防止发生各种谋取不正当利益的违法违纪行为，保护国家、集体和当事人的合法权益，根据国家有关法律法规和廉政建设责任制规定，就</w:t>
      </w:r>
      <w:r>
        <w:rPr>
          <w:rFonts w:hint="eastAsia" w:ascii="宋体" w:hAnsi="宋体" w:eastAsia="宋体" w:cs="宋体"/>
          <w:b/>
          <w:bCs/>
          <w:color w:val="FF0000"/>
          <w:sz w:val="24"/>
          <w:szCs w:val="24"/>
          <w:u w:val="single"/>
          <w:lang w:eastAsia="zh-CN"/>
        </w:rPr>
        <w:t>省淮河局2025年堤防草皮养护及林间控高（第5包）</w:t>
      </w:r>
      <w:r>
        <w:rPr>
          <w:rFonts w:hint="eastAsia" w:ascii="宋体" w:hAnsi="宋体" w:eastAsia="宋体" w:cs="宋体"/>
          <w:sz w:val="24"/>
          <w:szCs w:val="24"/>
        </w:rPr>
        <w:t>特订立廉政合同。</w:t>
      </w:r>
    </w:p>
    <w:p w14:paraId="2587EE1C">
      <w:pPr>
        <w:spacing w:line="560" w:lineRule="exact"/>
        <w:ind w:firstLine="640"/>
        <w:rPr>
          <w:rFonts w:ascii="宋体" w:hAnsi="宋体" w:eastAsia="宋体" w:cs="宋体"/>
          <w:sz w:val="24"/>
          <w:szCs w:val="24"/>
        </w:rPr>
      </w:pPr>
      <w:r>
        <w:rPr>
          <w:rFonts w:hint="eastAsia" w:ascii="宋体" w:hAnsi="宋体" w:eastAsia="宋体" w:cs="宋体"/>
          <w:sz w:val="24"/>
          <w:szCs w:val="24"/>
        </w:rPr>
        <w:t>第一条</w:t>
      </w:r>
      <w:r>
        <w:rPr>
          <w:rFonts w:hint="eastAsia" w:ascii="宋体" w:hAnsi="宋体" w:eastAsia="宋体" w:cs="宋体"/>
          <w:sz w:val="24"/>
          <w:szCs w:val="24"/>
        </w:rPr>
        <w:tab/>
      </w:r>
      <w:r>
        <w:rPr>
          <w:rFonts w:hint="eastAsia" w:ascii="宋体" w:hAnsi="宋体" w:eastAsia="宋体" w:cs="宋体"/>
          <w:sz w:val="24"/>
          <w:szCs w:val="24"/>
        </w:rPr>
        <w:t>甲乙双方的责任</w:t>
      </w:r>
    </w:p>
    <w:p w14:paraId="1B025559">
      <w:pPr>
        <w:spacing w:line="560" w:lineRule="exact"/>
        <w:ind w:firstLine="640"/>
        <w:rPr>
          <w:rFonts w:ascii="宋体" w:hAnsi="宋体" w:eastAsia="宋体" w:cs="宋体"/>
          <w:sz w:val="24"/>
          <w:szCs w:val="24"/>
        </w:rPr>
      </w:pPr>
      <w:r>
        <w:rPr>
          <w:rFonts w:hint="eastAsia" w:ascii="宋体" w:hAnsi="宋体" w:eastAsia="宋体" w:cs="宋体"/>
          <w:sz w:val="24"/>
          <w:szCs w:val="24"/>
        </w:rPr>
        <w:t>（一）应严格遵守国家关于市场准入、项目采购、工程建设、作业安装和市场活动等有关法律、法规，相关政策，以及廉政建设的各项规定。</w:t>
      </w:r>
    </w:p>
    <w:p w14:paraId="6B8B3D62">
      <w:pPr>
        <w:spacing w:line="560" w:lineRule="exact"/>
        <w:ind w:firstLine="640"/>
        <w:rPr>
          <w:rFonts w:ascii="宋体" w:hAnsi="宋体" w:eastAsia="宋体" w:cs="宋体"/>
          <w:sz w:val="24"/>
          <w:szCs w:val="24"/>
        </w:rPr>
      </w:pPr>
      <w:r>
        <w:rPr>
          <w:rFonts w:hint="eastAsia" w:ascii="宋体" w:hAnsi="宋体" w:eastAsia="宋体" w:cs="宋体"/>
          <w:sz w:val="24"/>
          <w:szCs w:val="24"/>
        </w:rPr>
        <w:t>（二）严格执行本项目合同书，自觉按合同办事。</w:t>
      </w:r>
    </w:p>
    <w:p w14:paraId="6BC0CAD8">
      <w:pPr>
        <w:spacing w:line="560" w:lineRule="exact"/>
        <w:ind w:firstLine="640"/>
        <w:rPr>
          <w:rFonts w:ascii="宋体" w:hAnsi="宋体" w:eastAsia="宋体" w:cs="宋体"/>
          <w:sz w:val="24"/>
          <w:szCs w:val="24"/>
        </w:rPr>
      </w:pPr>
      <w:r>
        <w:rPr>
          <w:rFonts w:hint="eastAsia" w:ascii="宋体" w:hAnsi="宋体" w:eastAsia="宋体" w:cs="宋体"/>
          <w:sz w:val="24"/>
          <w:szCs w:val="24"/>
        </w:rPr>
        <w:t>（三）业务活动必须坚持公开、公平、公正、诚信、透明的原则（除法律法规另有规定者外），不得为获取不正当的利益，损害国家、集体和对方利益，不得违反工程建设管理、作业安装的规章制度。</w:t>
      </w:r>
    </w:p>
    <w:p w14:paraId="6AF3077A">
      <w:pPr>
        <w:spacing w:line="560" w:lineRule="exact"/>
        <w:ind w:firstLine="640"/>
        <w:rPr>
          <w:rFonts w:ascii="宋体" w:hAnsi="宋体" w:eastAsia="宋体" w:cs="宋体"/>
          <w:sz w:val="24"/>
          <w:szCs w:val="24"/>
        </w:rPr>
      </w:pPr>
      <w:r>
        <w:rPr>
          <w:rFonts w:hint="eastAsia" w:ascii="宋体" w:hAnsi="宋体" w:eastAsia="宋体" w:cs="宋体"/>
          <w:sz w:val="24"/>
          <w:szCs w:val="24"/>
        </w:rPr>
        <w:t>（四）发现对方在业务活动中有违规、违纪、违法行为的，应及时提醒对方，情节严重的，应向其上级行政主管部门或纪检监察、司法等有关机关举报。</w:t>
      </w:r>
    </w:p>
    <w:p w14:paraId="144BEB24">
      <w:pPr>
        <w:spacing w:line="560" w:lineRule="exact"/>
        <w:ind w:firstLine="640"/>
        <w:rPr>
          <w:rFonts w:ascii="宋体" w:hAnsi="宋体" w:eastAsia="宋体" w:cs="宋体"/>
          <w:sz w:val="24"/>
          <w:szCs w:val="24"/>
        </w:rPr>
      </w:pPr>
      <w:r>
        <w:rPr>
          <w:rFonts w:hint="eastAsia" w:ascii="宋体" w:hAnsi="宋体" w:eastAsia="宋体" w:cs="宋体"/>
          <w:sz w:val="24"/>
          <w:szCs w:val="24"/>
        </w:rPr>
        <w:t>第二条</w:t>
      </w:r>
      <w:r>
        <w:rPr>
          <w:rFonts w:hint="eastAsia" w:ascii="宋体" w:hAnsi="宋体" w:eastAsia="宋体" w:cs="宋体"/>
          <w:sz w:val="24"/>
          <w:szCs w:val="24"/>
        </w:rPr>
        <w:tab/>
      </w:r>
      <w:r>
        <w:rPr>
          <w:rFonts w:hint="eastAsia" w:ascii="宋体" w:hAnsi="宋体" w:eastAsia="宋体" w:cs="宋体"/>
          <w:sz w:val="24"/>
          <w:szCs w:val="24"/>
        </w:rPr>
        <w:t>甲方的责任</w:t>
      </w:r>
    </w:p>
    <w:p w14:paraId="4BFE5F46">
      <w:pPr>
        <w:spacing w:line="560" w:lineRule="exact"/>
        <w:ind w:firstLine="640"/>
        <w:rPr>
          <w:rFonts w:ascii="宋体" w:hAnsi="宋体" w:eastAsia="宋体" w:cs="宋体"/>
          <w:sz w:val="24"/>
          <w:szCs w:val="24"/>
        </w:rPr>
      </w:pPr>
      <w:r>
        <w:rPr>
          <w:rFonts w:hint="eastAsia" w:ascii="宋体" w:hAnsi="宋体" w:eastAsia="宋体" w:cs="宋体"/>
          <w:sz w:val="24"/>
          <w:szCs w:val="24"/>
        </w:rPr>
        <w:t>甲方的领导和从事该服务项目的工作人员，在项目实施的事前、事中、事后应遵守以下规定：</w:t>
      </w:r>
    </w:p>
    <w:p w14:paraId="3CF371B2">
      <w:pPr>
        <w:spacing w:line="560" w:lineRule="exact"/>
        <w:ind w:firstLine="640"/>
        <w:rPr>
          <w:rFonts w:ascii="宋体" w:hAnsi="宋体" w:eastAsia="宋体" w:cs="宋体"/>
          <w:sz w:val="24"/>
          <w:szCs w:val="24"/>
        </w:rPr>
      </w:pPr>
      <w:r>
        <w:rPr>
          <w:rFonts w:hint="eastAsia" w:ascii="宋体" w:hAnsi="宋体" w:eastAsia="宋体" w:cs="宋体"/>
          <w:sz w:val="24"/>
          <w:szCs w:val="24"/>
        </w:rPr>
        <w:t xml:space="preserve">（一）不准向乙方和相关单位索要或接受回扣、礼金、有价证券、贵重物品和好处费、感谢费等。   </w:t>
      </w:r>
    </w:p>
    <w:p w14:paraId="25CEF881">
      <w:pPr>
        <w:spacing w:line="560" w:lineRule="exact"/>
        <w:ind w:firstLine="640"/>
        <w:rPr>
          <w:rFonts w:ascii="宋体" w:hAnsi="宋体" w:eastAsia="宋体" w:cs="宋体"/>
          <w:sz w:val="24"/>
          <w:szCs w:val="24"/>
        </w:rPr>
      </w:pPr>
      <w:r>
        <w:rPr>
          <w:rFonts w:hint="eastAsia" w:ascii="宋体" w:hAnsi="宋体" w:eastAsia="宋体" w:cs="宋体"/>
          <w:sz w:val="24"/>
          <w:szCs w:val="24"/>
        </w:rPr>
        <w:t>（二）不准在乙方和相关单位报销任何应由甲方或个人支付的费用。</w:t>
      </w:r>
    </w:p>
    <w:p w14:paraId="4392BA0F">
      <w:pPr>
        <w:spacing w:line="560" w:lineRule="exact"/>
        <w:ind w:firstLine="640"/>
        <w:rPr>
          <w:rFonts w:ascii="宋体" w:hAnsi="宋体" w:eastAsia="宋体" w:cs="宋体"/>
          <w:sz w:val="24"/>
          <w:szCs w:val="24"/>
        </w:rPr>
      </w:pPr>
      <w:r>
        <w:rPr>
          <w:rFonts w:hint="eastAsia" w:ascii="宋体" w:hAnsi="宋体" w:eastAsia="宋体" w:cs="宋体"/>
          <w:sz w:val="24"/>
          <w:szCs w:val="24"/>
        </w:rPr>
        <w:t>（三）不准要求、暗示或接受乙方和相关单位为个人装修住房、婚丧嫁娶、配偶子女的工作安排以及出国(境)、旅游等提供方便。</w:t>
      </w:r>
    </w:p>
    <w:p w14:paraId="05E38195">
      <w:pPr>
        <w:spacing w:line="560" w:lineRule="exact"/>
        <w:ind w:firstLine="640"/>
        <w:rPr>
          <w:rFonts w:ascii="宋体" w:hAnsi="宋体" w:eastAsia="宋体" w:cs="宋体"/>
          <w:sz w:val="24"/>
          <w:szCs w:val="24"/>
        </w:rPr>
      </w:pPr>
      <w:r>
        <w:rPr>
          <w:rFonts w:hint="eastAsia" w:ascii="宋体" w:hAnsi="宋体" w:eastAsia="宋体" w:cs="宋体"/>
          <w:sz w:val="24"/>
          <w:szCs w:val="24"/>
        </w:rPr>
        <w:t>（四）不准参加有可能影响公正执行公务的乙方和相关单位的宴请和健身、娱乐等活动。</w:t>
      </w:r>
    </w:p>
    <w:p w14:paraId="7171DC1D">
      <w:pPr>
        <w:spacing w:line="560" w:lineRule="exact"/>
        <w:ind w:firstLine="640"/>
        <w:rPr>
          <w:rFonts w:ascii="宋体" w:hAnsi="宋体" w:eastAsia="宋体" w:cs="宋体"/>
          <w:sz w:val="24"/>
          <w:szCs w:val="24"/>
        </w:rPr>
      </w:pPr>
      <w:r>
        <w:rPr>
          <w:rFonts w:hint="eastAsia" w:ascii="宋体" w:hAnsi="宋体" w:eastAsia="宋体" w:cs="宋体"/>
          <w:sz w:val="24"/>
          <w:szCs w:val="24"/>
        </w:rPr>
        <w:t>（五）不准向乙方介绍或为配偶、子女、亲属参与同甲方实施项目合同有关的设备、材料、工程分包、劳务等经济活动。不得以任何理由向乙方和相关单位推荐分包单位和要求乙方购买合同规定以外的材料、设备等。</w:t>
      </w:r>
    </w:p>
    <w:p w14:paraId="6E1710A4">
      <w:pPr>
        <w:spacing w:line="560" w:lineRule="exact"/>
        <w:ind w:firstLine="640"/>
        <w:rPr>
          <w:rFonts w:ascii="宋体" w:hAnsi="宋体" w:eastAsia="宋体" w:cs="宋体"/>
          <w:sz w:val="24"/>
          <w:szCs w:val="24"/>
        </w:rPr>
      </w:pPr>
      <w:r>
        <w:rPr>
          <w:rFonts w:hint="eastAsia" w:ascii="宋体" w:hAnsi="宋体" w:eastAsia="宋体" w:cs="宋体"/>
          <w:sz w:val="24"/>
          <w:szCs w:val="24"/>
        </w:rPr>
        <w:t>第三条 乙方的责任</w:t>
      </w:r>
    </w:p>
    <w:p w14:paraId="57268349">
      <w:pPr>
        <w:spacing w:line="560" w:lineRule="exact"/>
        <w:ind w:firstLine="640"/>
        <w:rPr>
          <w:rFonts w:ascii="宋体" w:hAnsi="宋体" w:eastAsia="宋体" w:cs="宋体"/>
          <w:sz w:val="24"/>
          <w:szCs w:val="24"/>
        </w:rPr>
      </w:pPr>
      <w:r>
        <w:rPr>
          <w:rFonts w:hint="eastAsia" w:ascii="宋体" w:hAnsi="宋体" w:eastAsia="宋体" w:cs="宋体"/>
          <w:sz w:val="24"/>
          <w:szCs w:val="24"/>
        </w:rPr>
        <w:t>应与甲方保持正常的业务交往，按照有关法律法规和程序开展业务工作，严格执行项目实施的有关方针、政策，尤其是有关建筑作业安装的强制性标准和规范，并遵守以下规定：</w:t>
      </w:r>
    </w:p>
    <w:p w14:paraId="19BC467F">
      <w:pPr>
        <w:spacing w:line="560" w:lineRule="exact"/>
        <w:ind w:firstLine="640"/>
        <w:rPr>
          <w:rFonts w:ascii="宋体" w:hAnsi="宋体" w:eastAsia="宋体" w:cs="宋体"/>
          <w:sz w:val="24"/>
          <w:szCs w:val="24"/>
        </w:rPr>
      </w:pPr>
      <w:r>
        <w:rPr>
          <w:rFonts w:hint="eastAsia" w:ascii="宋体" w:hAnsi="宋体" w:eastAsia="宋体" w:cs="宋体"/>
          <w:sz w:val="24"/>
          <w:szCs w:val="24"/>
        </w:rPr>
        <w:t>（一）不准以任何理由向甲方及其工作人员索要、接受或赠送礼金、有价证券、贵重物品和回扣、好处费、感谢费等。</w:t>
      </w:r>
    </w:p>
    <w:p w14:paraId="6C2161A3">
      <w:pPr>
        <w:spacing w:line="560" w:lineRule="exact"/>
        <w:ind w:firstLine="640"/>
        <w:rPr>
          <w:rFonts w:ascii="宋体" w:hAnsi="宋体" w:eastAsia="宋体" w:cs="宋体"/>
          <w:sz w:val="24"/>
          <w:szCs w:val="24"/>
        </w:rPr>
      </w:pPr>
      <w:r>
        <w:rPr>
          <w:rFonts w:hint="eastAsia" w:ascii="宋体" w:hAnsi="宋体" w:eastAsia="宋体" w:cs="宋体"/>
          <w:sz w:val="24"/>
          <w:szCs w:val="24"/>
        </w:rPr>
        <w:t>（二）不准以任何理由为甲方和相关单位报销应由对方或个人支付的费用。</w:t>
      </w:r>
    </w:p>
    <w:p w14:paraId="6E4D791A">
      <w:pPr>
        <w:spacing w:line="560" w:lineRule="exact"/>
        <w:ind w:firstLine="640"/>
        <w:rPr>
          <w:rFonts w:ascii="宋体" w:hAnsi="宋体" w:eastAsia="宋体" w:cs="宋体"/>
          <w:sz w:val="24"/>
          <w:szCs w:val="24"/>
        </w:rPr>
      </w:pPr>
      <w:r>
        <w:rPr>
          <w:rFonts w:hint="eastAsia" w:ascii="宋体" w:hAnsi="宋体" w:eastAsia="宋体" w:cs="宋体"/>
          <w:sz w:val="24"/>
          <w:szCs w:val="24"/>
        </w:rPr>
        <w:t>（三）不准接受或暗示为甲方、相关单位或个人装修住房、婚丧嫁娶、配偶子女的工作安排以及出国(境)、旅游等提供方便。</w:t>
      </w:r>
    </w:p>
    <w:p w14:paraId="339AE2F7">
      <w:pPr>
        <w:spacing w:line="560" w:lineRule="exact"/>
        <w:ind w:firstLine="640"/>
        <w:rPr>
          <w:rFonts w:ascii="宋体" w:hAnsi="宋体" w:eastAsia="宋体" w:cs="宋体"/>
          <w:sz w:val="24"/>
          <w:szCs w:val="24"/>
        </w:rPr>
      </w:pPr>
      <w:r>
        <w:rPr>
          <w:rFonts w:hint="eastAsia" w:ascii="宋体" w:hAnsi="宋体" w:eastAsia="宋体" w:cs="宋体"/>
          <w:sz w:val="24"/>
          <w:szCs w:val="24"/>
        </w:rPr>
        <w:t>（四）不准以任何理由为甲方、相关单位或个人组织有可能影响公正执行公务的宴请、健身、娱乐等活动。</w:t>
      </w:r>
    </w:p>
    <w:p w14:paraId="5BBF0A9B">
      <w:pPr>
        <w:spacing w:line="560" w:lineRule="exact"/>
        <w:ind w:firstLine="640"/>
        <w:rPr>
          <w:rFonts w:ascii="宋体" w:hAnsi="宋体" w:eastAsia="宋体" w:cs="宋体"/>
          <w:sz w:val="24"/>
          <w:szCs w:val="24"/>
        </w:rPr>
      </w:pPr>
      <w:r>
        <w:rPr>
          <w:rFonts w:hint="eastAsia" w:ascii="宋体" w:hAnsi="宋体" w:eastAsia="宋体" w:cs="宋体"/>
          <w:sz w:val="24"/>
          <w:szCs w:val="24"/>
        </w:rPr>
        <w:t>第四条 违约责任</w:t>
      </w:r>
    </w:p>
    <w:p w14:paraId="26EEFB04">
      <w:pPr>
        <w:spacing w:line="560" w:lineRule="exact"/>
        <w:ind w:firstLine="640"/>
        <w:rPr>
          <w:rFonts w:ascii="宋体" w:hAnsi="宋体" w:eastAsia="宋体" w:cs="宋体"/>
          <w:sz w:val="24"/>
          <w:szCs w:val="24"/>
        </w:rPr>
      </w:pPr>
      <w:r>
        <w:rPr>
          <w:rFonts w:hint="eastAsia" w:ascii="宋体" w:hAnsi="宋体" w:eastAsia="宋体" w:cs="宋体"/>
          <w:sz w:val="24"/>
          <w:szCs w:val="24"/>
        </w:rPr>
        <w:t>（一）甲方工作人员有违反本合同第一、二条责任行为的，按照管理权限，依据有关法律法规和规定给予党纪、政纪处分或组织处理；涉嫌犯罪的，移交司法机关追究刑事责任。</w:t>
      </w:r>
    </w:p>
    <w:p w14:paraId="07BA0528">
      <w:pPr>
        <w:spacing w:line="560" w:lineRule="exact"/>
        <w:ind w:firstLine="640"/>
        <w:rPr>
          <w:rFonts w:ascii="宋体" w:hAnsi="宋体" w:eastAsia="宋体" w:cs="宋体"/>
          <w:sz w:val="24"/>
          <w:szCs w:val="24"/>
        </w:rPr>
      </w:pPr>
      <w:r>
        <w:rPr>
          <w:rFonts w:hint="eastAsia" w:ascii="宋体" w:hAnsi="宋体" w:eastAsia="宋体" w:cs="宋体"/>
          <w:sz w:val="24"/>
          <w:szCs w:val="24"/>
        </w:rPr>
        <w:t>（二）乙方工作人员有违反本合同第一、三条责任行为的，按照管理权限，依据有关法律法规和规定给予党纪、政纪处分或组织处理；涉嫌犯罪的，移交司法机关追究刑事责任。</w:t>
      </w:r>
    </w:p>
    <w:p w14:paraId="56E1CD98">
      <w:pPr>
        <w:spacing w:line="560" w:lineRule="exact"/>
        <w:ind w:firstLine="640"/>
        <w:rPr>
          <w:rFonts w:ascii="宋体" w:hAnsi="宋体" w:eastAsia="宋体" w:cs="宋体"/>
          <w:sz w:val="24"/>
          <w:szCs w:val="24"/>
        </w:rPr>
      </w:pPr>
      <w:r>
        <w:rPr>
          <w:rFonts w:hint="eastAsia" w:ascii="宋体" w:hAnsi="宋体" w:eastAsia="宋体" w:cs="宋体"/>
          <w:sz w:val="24"/>
          <w:szCs w:val="24"/>
        </w:rPr>
        <w:t>第五条</w:t>
      </w:r>
      <w:r>
        <w:rPr>
          <w:rFonts w:hint="eastAsia" w:ascii="宋体" w:hAnsi="宋体" w:eastAsia="宋体" w:cs="宋体"/>
          <w:sz w:val="24"/>
          <w:szCs w:val="24"/>
        </w:rPr>
        <w:tab/>
      </w:r>
      <w:r>
        <w:rPr>
          <w:rFonts w:hint="eastAsia" w:ascii="宋体" w:hAnsi="宋体" w:eastAsia="宋体" w:cs="宋体"/>
          <w:sz w:val="24"/>
          <w:szCs w:val="24"/>
        </w:rPr>
        <w:t>本协议作为合同书的附件，与合同书具有同等法律效力。经双方签署后立即生效。</w:t>
      </w:r>
    </w:p>
    <w:p w14:paraId="5BA06349">
      <w:pPr>
        <w:spacing w:line="560" w:lineRule="exact"/>
        <w:ind w:firstLine="640"/>
        <w:rPr>
          <w:rFonts w:ascii="宋体" w:hAnsi="宋体" w:eastAsia="宋体" w:cs="宋体"/>
          <w:sz w:val="24"/>
          <w:szCs w:val="24"/>
        </w:rPr>
      </w:pPr>
      <w:r>
        <w:rPr>
          <w:rFonts w:hint="eastAsia" w:ascii="宋体" w:hAnsi="宋体" w:eastAsia="宋体" w:cs="宋体"/>
          <w:sz w:val="24"/>
          <w:szCs w:val="24"/>
        </w:rPr>
        <w:t>第六条</w:t>
      </w:r>
      <w:r>
        <w:rPr>
          <w:rFonts w:hint="eastAsia" w:ascii="宋体" w:hAnsi="宋体" w:eastAsia="宋体" w:cs="宋体"/>
          <w:sz w:val="24"/>
          <w:szCs w:val="24"/>
        </w:rPr>
        <w:tab/>
      </w:r>
      <w:r>
        <w:rPr>
          <w:rFonts w:hint="eastAsia" w:ascii="宋体" w:hAnsi="宋体" w:eastAsia="宋体" w:cs="宋体"/>
          <w:sz w:val="24"/>
          <w:szCs w:val="24"/>
        </w:rPr>
        <w:t>本协议的有效期为双方签署之日起至该项目完工验收合格时止。</w:t>
      </w:r>
    </w:p>
    <w:p w14:paraId="574F7945">
      <w:pPr>
        <w:ind w:left="640"/>
        <w:rPr>
          <w:rFonts w:ascii="宋体" w:hAnsi="宋体" w:eastAsia="宋体" w:cs="宋体"/>
          <w:sz w:val="24"/>
          <w:szCs w:val="24"/>
        </w:rPr>
      </w:pPr>
    </w:p>
    <w:p w14:paraId="438F9F54">
      <w:pPr>
        <w:pStyle w:val="7"/>
        <w:ind w:firstLineChars="175"/>
        <w:rPr>
          <w:rFonts w:hAnsi="宋体" w:cs="宋体"/>
          <w:szCs w:val="24"/>
        </w:rPr>
      </w:pPr>
    </w:p>
    <w:p w14:paraId="7C98AEB9">
      <w:pPr>
        <w:ind w:firstLine="640"/>
        <w:rPr>
          <w:rFonts w:ascii="宋体" w:hAnsi="宋体" w:eastAsia="宋体" w:cs="宋体"/>
          <w:sz w:val="24"/>
          <w:szCs w:val="24"/>
        </w:rPr>
      </w:pPr>
    </w:p>
    <w:p w14:paraId="7720A894">
      <w:pPr>
        <w:pStyle w:val="7"/>
        <w:ind w:firstLine="480"/>
        <w:rPr>
          <w:rFonts w:hAnsi="宋体" w:cs="宋体"/>
          <w:szCs w:val="24"/>
        </w:rPr>
      </w:pPr>
    </w:p>
    <w:p w14:paraId="7589EBC6">
      <w:pPr>
        <w:rPr>
          <w:rFonts w:ascii="宋体" w:hAnsi="宋体" w:eastAsia="宋体" w:cs="宋体"/>
          <w:sz w:val="24"/>
          <w:szCs w:val="24"/>
        </w:rPr>
      </w:pPr>
      <w:r>
        <w:rPr>
          <w:rFonts w:hint="eastAsia" w:ascii="宋体" w:hAnsi="宋体" w:eastAsia="宋体" w:cs="宋体"/>
          <w:sz w:val="24"/>
          <w:szCs w:val="24"/>
        </w:rPr>
        <w:t>甲 方（盖章）：                  乙 方（盖章）：</w:t>
      </w:r>
    </w:p>
    <w:p w14:paraId="1A8A7E11">
      <w:pPr>
        <w:ind w:firstLine="148" w:firstLineChars="62"/>
        <w:rPr>
          <w:rFonts w:ascii="宋体" w:hAnsi="宋体" w:eastAsia="宋体" w:cs="宋体"/>
          <w:sz w:val="24"/>
          <w:szCs w:val="24"/>
        </w:rPr>
      </w:pPr>
    </w:p>
    <w:p w14:paraId="1DB9E5D4">
      <w:pPr>
        <w:rPr>
          <w:rFonts w:ascii="宋体" w:hAnsi="宋体" w:eastAsia="宋体" w:cs="宋体"/>
          <w:sz w:val="24"/>
          <w:szCs w:val="24"/>
        </w:rPr>
      </w:pPr>
      <w:r>
        <w:rPr>
          <w:rFonts w:hint="eastAsia" w:ascii="宋体" w:hAnsi="宋体" w:eastAsia="宋体" w:cs="宋体"/>
          <w:sz w:val="24"/>
          <w:szCs w:val="24"/>
        </w:rPr>
        <w:t>法定代表人（签字）：             法定代表人（签字）：</w:t>
      </w:r>
    </w:p>
    <w:p w14:paraId="527E5E9B">
      <w:pPr>
        <w:rPr>
          <w:rFonts w:ascii="宋体" w:hAnsi="宋体" w:eastAsia="宋体" w:cs="宋体"/>
          <w:sz w:val="24"/>
          <w:szCs w:val="24"/>
        </w:rPr>
      </w:pPr>
      <w:r>
        <w:rPr>
          <w:rFonts w:hint="eastAsia" w:ascii="宋体" w:hAnsi="宋体" w:eastAsia="宋体" w:cs="宋体"/>
          <w:sz w:val="24"/>
          <w:szCs w:val="24"/>
        </w:rPr>
        <w:t>或委托代理人：                   或委托代理人：</w:t>
      </w:r>
    </w:p>
    <w:p w14:paraId="48ECA306">
      <w:pPr>
        <w:pStyle w:val="7"/>
        <w:ind w:firstLine="480"/>
        <w:rPr>
          <w:rFonts w:hAnsi="宋体" w:cs="宋体"/>
          <w:szCs w:val="24"/>
        </w:rPr>
      </w:pPr>
    </w:p>
    <w:p w14:paraId="62D1E4BE">
      <w:pPr>
        <w:ind w:firstLine="640"/>
        <w:rPr>
          <w:rFonts w:ascii="宋体" w:hAnsi="宋体" w:eastAsia="宋体" w:cs="宋体"/>
          <w:sz w:val="24"/>
          <w:szCs w:val="24"/>
        </w:rPr>
      </w:pPr>
    </w:p>
    <w:p w14:paraId="6F2AA2B1">
      <w:pPr>
        <w:pStyle w:val="7"/>
        <w:ind w:firstLine="480"/>
        <w:rPr>
          <w:rFonts w:hAnsi="宋体" w:cs="宋体"/>
          <w:szCs w:val="24"/>
        </w:rPr>
      </w:pPr>
    </w:p>
    <w:p w14:paraId="5A0FED94">
      <w:pPr>
        <w:ind w:firstLine="1200" w:firstLineChars="500"/>
        <w:rPr>
          <w:rFonts w:ascii="宋体" w:hAnsi="宋体" w:eastAsia="宋体" w:cs="宋体"/>
          <w:sz w:val="24"/>
          <w:szCs w:val="24"/>
        </w:rPr>
        <w:sectPr>
          <w:footerReference r:id="rId12" w:type="default"/>
          <w:pgSz w:w="11905" w:h="16838"/>
          <w:pgMar w:top="1474" w:right="1814" w:bottom="1474" w:left="1814" w:header="851" w:footer="992" w:gutter="0"/>
          <w:pgNumType w:fmt="decimal"/>
          <w:cols w:space="0" w:num="1"/>
          <w:docGrid w:linePitch="328" w:charSpace="0"/>
        </w:sectPr>
      </w:pPr>
      <w:r>
        <w:rPr>
          <w:rFonts w:hint="eastAsia" w:ascii="宋体" w:hAnsi="宋体" w:eastAsia="宋体" w:cs="宋体"/>
          <w:sz w:val="24"/>
          <w:szCs w:val="24"/>
        </w:rPr>
        <w:t>年   月   日                      年   月   日</w:t>
      </w:r>
    </w:p>
    <w:p w14:paraId="2FBA26E7">
      <w:pPr>
        <w:jc w:val="center"/>
        <w:rPr>
          <w:rFonts w:ascii="宋体" w:hAnsi="宋体" w:eastAsia="宋体" w:cs="宋体"/>
          <w:b/>
          <w:bCs/>
          <w:sz w:val="24"/>
          <w:szCs w:val="24"/>
        </w:rPr>
      </w:pPr>
      <w:r>
        <w:rPr>
          <w:rFonts w:hint="eastAsia" w:ascii="宋体" w:hAnsi="宋体" w:eastAsia="宋体" w:cs="宋体"/>
          <w:b/>
          <w:bCs/>
          <w:sz w:val="24"/>
          <w:szCs w:val="24"/>
        </w:rPr>
        <w:t>第五部分 安全生产合同</w:t>
      </w:r>
    </w:p>
    <w:p w14:paraId="28E432A0">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为在</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合同的实施过程中创造安全、高效的作业环境，切实搞好本项目的安全管理工作，本项目甲方</w:t>
      </w:r>
      <w:r>
        <w:rPr>
          <w:rFonts w:hint="eastAsia" w:ascii="宋体" w:hAnsi="宋体" w:eastAsia="宋体" w:cs="宋体"/>
          <w:sz w:val="24"/>
          <w:szCs w:val="24"/>
          <w:u w:val="single"/>
        </w:rPr>
        <w:t xml:space="preserve">       （甲方名称，以下简称“甲方”）</w:t>
      </w:r>
      <w:r>
        <w:rPr>
          <w:rFonts w:hint="eastAsia" w:ascii="宋体" w:hAnsi="宋体" w:eastAsia="宋体" w:cs="宋体"/>
          <w:sz w:val="24"/>
          <w:szCs w:val="24"/>
        </w:rPr>
        <w:t>与</w:t>
      </w:r>
      <w:r>
        <w:rPr>
          <w:rFonts w:hint="eastAsia" w:ascii="宋体" w:hAnsi="宋体" w:eastAsia="宋体" w:cs="宋体"/>
          <w:sz w:val="24"/>
          <w:szCs w:val="24"/>
          <w:u w:val="single"/>
        </w:rPr>
        <w:t>乙方         （乙方名称，以下简称“乙方”）</w:t>
      </w:r>
      <w:r>
        <w:rPr>
          <w:rFonts w:hint="eastAsia" w:ascii="宋体" w:hAnsi="宋体" w:eastAsia="宋体" w:cs="宋体"/>
          <w:sz w:val="24"/>
          <w:szCs w:val="24"/>
        </w:rPr>
        <w:t>特此签订安全生产合同：</w:t>
      </w:r>
    </w:p>
    <w:p w14:paraId="384B2307">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一、甲方职责</w:t>
      </w:r>
    </w:p>
    <w:p w14:paraId="6ECF228D">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1.甲方依据《中华人民共和国安全生产法》等法律法规规定责任，全面履行自己应有的权利和义务。</w:t>
      </w:r>
    </w:p>
    <w:p w14:paraId="53024A9C">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2.甲方对乙方作业安全具有监督、检查和指导的权利。</w:t>
      </w:r>
    </w:p>
    <w:p w14:paraId="1083959B">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二、乙方职责</w:t>
      </w:r>
    </w:p>
    <w:p w14:paraId="0A8BFFBC">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1.乙方要严格执行国家已发布的有关法律法规和地方政府有关安全管理的规定，严格各项安全生产的规章制度和方案。</w:t>
      </w:r>
    </w:p>
    <w:p w14:paraId="6EEB5AB5">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2.派驻人员：</w:t>
      </w:r>
    </w:p>
    <w:p w14:paraId="3A2DFBCD">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①项目负责人一名，现场专职或兼职安全员一名；</w:t>
      </w:r>
    </w:p>
    <w:p w14:paraId="6DB9CF1F">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②草皮养护及林间控高作业人员年龄不超过法定退休年龄，身体健康，无影响职业的疾病，无违法犯罪史，养护期间服从现场技术人员管理；</w:t>
      </w:r>
    </w:p>
    <w:p w14:paraId="0136240B">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③乙方应为所有作业人员购买雇主责任险或作业人员团队意外险，其保险费已包含在签约合同价中；合同履行期间，作业人员突发疾病、意外等造成的人员伤亡及财产损失均由乙方负责。</w:t>
      </w:r>
    </w:p>
    <w:p w14:paraId="34146235">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④遇到突击任务时，项目负责人应服从甲方的安排调度（包括节假日、周末），及时增派人员完成甲方的工作内容。</w:t>
      </w:r>
    </w:p>
    <w:p w14:paraId="13EF1811">
      <w:pPr>
        <w:adjustRightInd w:val="0"/>
        <w:snapToGrid w:val="0"/>
        <w:spacing w:line="560" w:lineRule="exact"/>
        <w:ind w:firstLine="640"/>
        <w:jc w:val="left"/>
        <w:rPr>
          <w:rFonts w:ascii="宋体" w:hAnsi="宋体" w:eastAsia="宋体" w:cs="宋体"/>
          <w:sz w:val="24"/>
          <w:szCs w:val="24"/>
        </w:rPr>
      </w:pPr>
      <w:r>
        <w:rPr>
          <w:rFonts w:hint="eastAsia" w:ascii="宋体" w:hAnsi="宋体" w:eastAsia="宋体" w:cs="宋体"/>
          <w:sz w:val="24"/>
          <w:szCs w:val="24"/>
        </w:rPr>
        <w:t>3.安全作业要求：</w:t>
      </w:r>
    </w:p>
    <w:p w14:paraId="169F60EA">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①你方必须明确本单位各级人员的安全生产责任，养护作业期间，项目负责人及现场专职或兼职安全员必须在项目现场方可开展养护作业，作业人员进场作业前必须接受安全教育，要有书面的安全技术交底，作业人员如有变动的，须及时进行新进作业人员入场教育。</w:t>
      </w:r>
    </w:p>
    <w:p w14:paraId="1142904D">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②用于斜坡作业的割草机械，其技术参数必须满足斜坡作业要求；使用割草机作业时，必须在通风良好的户外使用割草机，使用前后必须做好检查工作，包括但不限于刀片防护罩、刀片使用及紧固情况、软轴、主机机油量、燃油量等情况，割草前应对即将割草区域内的杂物清除，避免伤人。机器启动时至少远离物体1米以上才可以启动，作业时作业半径5米范围内禁止有任何人员，否则应立即停止作业，避免造成人员伤亡。作业人员必须规范使用割草机，规范佩戴护目镜等防护用具，穿戴反光背心，禁止穿拖鞋或者光脚使用割草机。割草机操作作业人员应遵守安全使用规定，加油时必须在引擎停止运转并冷却后再加油，加油时应防止油满溢出，若溢出应及时擦拭干净。</w:t>
      </w:r>
    </w:p>
    <w:p w14:paraId="333D2E69">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③遇高温天气，你方应结合天气、养护进度等实际情况，加强作业人员身心关怀，合理安排作业时间，及时安排休息避暑，并配备防暑降温等必须的应急药品、物品，避免人员中暑、疲劳作业等情况。</w:t>
      </w:r>
    </w:p>
    <w:p w14:paraId="2A14428E">
      <w:pPr>
        <w:spacing w:line="560" w:lineRule="exact"/>
        <w:ind w:firstLine="640"/>
        <w:jc w:val="left"/>
        <w:rPr>
          <w:rFonts w:ascii="宋体" w:hAnsi="宋体" w:eastAsia="宋体" w:cs="宋体"/>
          <w:sz w:val="24"/>
          <w:szCs w:val="24"/>
        </w:rPr>
      </w:pPr>
      <w:r>
        <w:rPr>
          <w:rFonts w:hint="eastAsia" w:ascii="宋体" w:hAnsi="宋体" w:eastAsia="宋体" w:cs="宋体"/>
          <w:sz w:val="24"/>
          <w:szCs w:val="24"/>
        </w:rPr>
        <w:t>④临水临边作业，作业人员必须穿戴好救生衣，不得穿带钉易滑的硬底鞋，每次工作前对所用的救生衣进行检查确保其安全有效，禁止单人独自作业，室外作业时，当风力较大，影响作业安全时，立即停止工作；</w:t>
      </w:r>
    </w:p>
    <w:p w14:paraId="53DDB687">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⑤乙方不得违章指挥或强令作业人员冒险作业，也不能强迫作业人员超体能连续工作。作业过程中，应加强人员管理，确保人员工作安全，防范安全生产事故，乙方在履行本合同过程中发生的任何工伤或意外伤亡等，均由乙方负责处理并承担全部费用；若因此给甲方或第三方造成损失，由乙方予以全额赔偿。</w:t>
      </w:r>
    </w:p>
    <w:p w14:paraId="756888CA">
      <w:pPr>
        <w:autoSpaceDE w:val="0"/>
        <w:autoSpaceDN w:val="0"/>
        <w:adjustRightInd w:val="0"/>
        <w:snapToGrid w:val="0"/>
        <w:spacing w:line="360" w:lineRule="auto"/>
        <w:ind w:firstLine="723" w:firstLineChars="300"/>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⑥乙方承诺，作业过程中如出现作业人员未有效佩戴现场安全防护必须的安全帽、安全绳、救生衣以及其他必须的作业防护等安全防护用品，发生不安全行为的，每出现一次，从完工结算价中自愿核减1000元，减完为止。</w:t>
      </w:r>
    </w:p>
    <w:p w14:paraId="45B057E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三、本合同由双方法定代表人或其授权的代理人签署并加盖单位章后生效，项目年度验收合格后失效。</w:t>
      </w:r>
    </w:p>
    <w:p w14:paraId="02B6D89B">
      <w:pPr>
        <w:spacing w:line="360" w:lineRule="auto"/>
        <w:ind w:firstLine="480" w:firstLineChars="200"/>
        <w:rPr>
          <w:rFonts w:ascii="宋体" w:hAnsi="宋体" w:eastAsia="宋体" w:cs="宋体"/>
          <w:sz w:val="24"/>
          <w:szCs w:val="24"/>
        </w:rPr>
      </w:pPr>
      <w:r>
        <w:rPr>
          <w:rFonts w:hint="eastAsia" w:asciiTheme="minorEastAsia" w:hAnsiTheme="minorEastAsia" w:eastAsiaTheme="minorEastAsia" w:cstheme="minorEastAsia"/>
          <w:sz w:val="24"/>
          <w:szCs w:val="24"/>
        </w:rPr>
        <w:t>四、本合同正本—式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份，合同双方各执正本—份，副本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份，当正本与副本的内容不一致时，以正本为准。</w:t>
      </w:r>
    </w:p>
    <w:p w14:paraId="75CC23FA">
      <w:pPr>
        <w:spacing w:line="560" w:lineRule="exact"/>
        <w:jc w:val="left"/>
        <w:rPr>
          <w:rFonts w:ascii="宋体" w:hAnsi="宋体" w:eastAsia="宋体" w:cs="宋体"/>
          <w:sz w:val="24"/>
          <w:szCs w:val="24"/>
        </w:rPr>
      </w:pPr>
    </w:p>
    <w:p w14:paraId="4E5213BF">
      <w:pPr>
        <w:spacing w:line="560" w:lineRule="exact"/>
        <w:jc w:val="left"/>
        <w:rPr>
          <w:rFonts w:ascii="宋体" w:hAnsi="宋体" w:eastAsia="宋体" w:cs="宋体"/>
          <w:sz w:val="24"/>
          <w:szCs w:val="24"/>
        </w:rPr>
      </w:pPr>
      <w:r>
        <w:rPr>
          <w:rFonts w:hint="eastAsia" w:ascii="宋体" w:hAnsi="宋体" w:eastAsia="宋体" w:cs="宋体"/>
          <w:sz w:val="24"/>
          <w:szCs w:val="24"/>
        </w:rPr>
        <w:t>甲方（盖章）：              乙方（盖章）：</w:t>
      </w:r>
    </w:p>
    <w:p w14:paraId="7B07F810">
      <w:pPr>
        <w:pStyle w:val="7"/>
        <w:ind w:firstLine="480"/>
        <w:rPr>
          <w:rFonts w:hAnsi="宋体" w:cs="宋体"/>
          <w:szCs w:val="24"/>
        </w:rPr>
      </w:pPr>
    </w:p>
    <w:p w14:paraId="29C57BD3">
      <w:pPr>
        <w:spacing w:line="560" w:lineRule="exact"/>
        <w:jc w:val="left"/>
        <w:rPr>
          <w:rFonts w:ascii="宋体" w:hAnsi="宋体" w:eastAsia="宋体" w:cs="宋体"/>
          <w:sz w:val="24"/>
          <w:szCs w:val="24"/>
        </w:rPr>
      </w:pPr>
      <w:r>
        <w:rPr>
          <w:rFonts w:hint="eastAsia" w:ascii="宋体" w:hAnsi="宋体" w:eastAsia="宋体" w:cs="宋体"/>
          <w:sz w:val="24"/>
          <w:szCs w:val="24"/>
        </w:rPr>
        <w:t>法定代表人（签字）：        法定代表人（签字）：</w:t>
      </w:r>
    </w:p>
    <w:p w14:paraId="6783B180">
      <w:pPr>
        <w:spacing w:line="560" w:lineRule="exact"/>
        <w:jc w:val="left"/>
        <w:rPr>
          <w:rFonts w:ascii="宋体" w:hAnsi="宋体" w:eastAsia="宋体" w:cs="宋体"/>
          <w:sz w:val="24"/>
          <w:szCs w:val="24"/>
        </w:rPr>
      </w:pPr>
      <w:r>
        <w:rPr>
          <w:rFonts w:hint="eastAsia" w:ascii="宋体" w:hAnsi="宋体" w:eastAsia="宋体" w:cs="宋体"/>
          <w:sz w:val="24"/>
          <w:szCs w:val="24"/>
        </w:rPr>
        <w:t>或委托代理人：              或委托代理人：</w:t>
      </w:r>
    </w:p>
    <w:p w14:paraId="3089C8DC">
      <w:pPr>
        <w:spacing w:line="560" w:lineRule="exact"/>
        <w:jc w:val="left"/>
        <w:rPr>
          <w:rFonts w:ascii="宋体" w:hAnsi="宋体" w:eastAsia="宋体" w:cs="宋体"/>
          <w:sz w:val="24"/>
          <w:szCs w:val="24"/>
        </w:rPr>
      </w:pPr>
      <w:r>
        <w:rPr>
          <w:rFonts w:hint="eastAsia" w:ascii="宋体" w:hAnsi="宋体" w:eastAsia="宋体" w:cs="宋体"/>
          <w:sz w:val="24"/>
          <w:szCs w:val="24"/>
        </w:rPr>
        <w:t xml:space="preserve">              </w:t>
      </w:r>
    </w:p>
    <w:p w14:paraId="31E2B8CC">
      <w:pPr>
        <w:spacing w:line="560" w:lineRule="exact"/>
        <w:jc w:val="left"/>
        <w:rPr>
          <w:rFonts w:ascii="宋体" w:hAnsi="宋体" w:eastAsia="宋体" w:cs="宋体"/>
          <w:sz w:val="24"/>
          <w:szCs w:val="24"/>
        </w:rPr>
      </w:pPr>
    </w:p>
    <w:p w14:paraId="5C3B1644">
      <w:pPr>
        <w:pStyle w:val="7"/>
        <w:ind w:firstLine="480"/>
        <w:rPr>
          <w:rFonts w:hAnsi="宋体" w:cs="宋体"/>
          <w:szCs w:val="24"/>
        </w:rPr>
      </w:pPr>
    </w:p>
    <w:p w14:paraId="099139F0">
      <w:pPr>
        <w:ind w:firstLine="640"/>
        <w:rPr>
          <w:rFonts w:ascii="宋体" w:hAnsi="宋体" w:eastAsia="宋体" w:cs="宋体"/>
          <w:sz w:val="24"/>
          <w:szCs w:val="24"/>
        </w:rPr>
      </w:pPr>
    </w:p>
    <w:p w14:paraId="70C94BBE">
      <w:pPr>
        <w:pStyle w:val="7"/>
        <w:ind w:firstLine="480"/>
        <w:rPr>
          <w:rFonts w:hAnsi="宋体" w:cs="宋体"/>
          <w:szCs w:val="24"/>
        </w:rPr>
      </w:pPr>
    </w:p>
    <w:p w14:paraId="7E006507">
      <w:pPr>
        <w:spacing w:line="560" w:lineRule="exact"/>
        <w:ind w:firstLine="1108" w:firstLineChars="462"/>
        <w:jc w:val="left"/>
        <w:rPr>
          <w:rFonts w:ascii="宋体" w:hAnsi="宋体" w:eastAsia="宋体" w:cs="宋体"/>
          <w:sz w:val="24"/>
          <w:szCs w:val="24"/>
        </w:rPr>
      </w:pPr>
      <w:r>
        <w:rPr>
          <w:rFonts w:hint="eastAsia" w:ascii="宋体" w:hAnsi="宋体" w:eastAsia="宋体" w:cs="宋体"/>
          <w:sz w:val="24"/>
          <w:szCs w:val="24"/>
        </w:rPr>
        <w:t>年   月   日                年   月   日</w:t>
      </w:r>
    </w:p>
    <w:p w14:paraId="5E52A1BA">
      <w:pPr>
        <w:rPr>
          <w:rFonts w:hAnsi="宋体" w:eastAsia="宋体" w:cs="宋体"/>
          <w:sz w:val="24"/>
          <w:szCs w:val="24"/>
        </w:rPr>
      </w:pPr>
      <w:r>
        <w:rPr>
          <w:rFonts w:hint="eastAsia" w:ascii="宋体" w:hAnsi="宋体" w:eastAsia="宋体" w:cs="宋体"/>
          <w:b/>
          <w:sz w:val="24"/>
          <w:szCs w:val="24"/>
        </w:rPr>
        <w:br w:type="page"/>
      </w:r>
    </w:p>
    <w:p w14:paraId="69481335">
      <w:pPr>
        <w:spacing w:line="360" w:lineRule="auto"/>
        <w:jc w:val="center"/>
        <w:outlineLvl w:val="0"/>
        <w:rPr>
          <w:rFonts w:asciiTheme="minorEastAsia" w:hAnsiTheme="minorEastAsia" w:eastAsiaTheme="minorEastAsia"/>
          <w:b/>
          <w:sz w:val="28"/>
        </w:rPr>
      </w:pPr>
      <w:bookmarkStart w:id="257" w:name="_Toc13555"/>
      <w:r>
        <w:rPr>
          <w:rFonts w:hint="eastAsia" w:asciiTheme="minorEastAsia" w:hAnsiTheme="minorEastAsia" w:eastAsiaTheme="minorEastAsia"/>
          <w:b/>
          <w:sz w:val="28"/>
        </w:rPr>
        <w:t>第六章  投标文件格式</w:t>
      </w:r>
      <w:bookmarkEnd w:id="257"/>
    </w:p>
    <w:p w14:paraId="76957BFB">
      <w:pPr>
        <w:spacing w:line="900" w:lineRule="exact"/>
        <w:jc w:val="center"/>
        <w:rPr>
          <w:rFonts w:asciiTheme="minorEastAsia" w:hAnsiTheme="minorEastAsia" w:eastAsiaTheme="minorEastAsia"/>
          <w:b/>
          <w:sz w:val="72"/>
        </w:rPr>
      </w:pPr>
    </w:p>
    <w:p w14:paraId="38ADB683">
      <w:pPr>
        <w:spacing w:line="900" w:lineRule="exact"/>
        <w:jc w:val="center"/>
        <w:rPr>
          <w:rFonts w:asciiTheme="minorEastAsia" w:hAnsiTheme="minorEastAsia" w:eastAsiaTheme="minorEastAsia"/>
          <w:b/>
          <w:sz w:val="72"/>
        </w:rPr>
      </w:pPr>
      <w:bookmarkStart w:id="258" w:name="_Toc5119"/>
      <w:r>
        <w:rPr>
          <w:rFonts w:hint="eastAsia" w:asciiTheme="minorEastAsia" w:hAnsiTheme="minorEastAsia" w:eastAsiaTheme="minorEastAsia"/>
          <w:b/>
          <w:sz w:val="72"/>
        </w:rPr>
        <w:t>投</w:t>
      </w:r>
      <w:bookmarkEnd w:id="258"/>
    </w:p>
    <w:p w14:paraId="276E0F02">
      <w:pPr>
        <w:spacing w:line="900" w:lineRule="exact"/>
        <w:jc w:val="center"/>
        <w:rPr>
          <w:rFonts w:asciiTheme="minorEastAsia" w:hAnsiTheme="minorEastAsia" w:eastAsiaTheme="minorEastAsia"/>
          <w:b/>
          <w:sz w:val="72"/>
        </w:rPr>
      </w:pPr>
    </w:p>
    <w:p w14:paraId="027754E9">
      <w:pPr>
        <w:spacing w:line="900" w:lineRule="exact"/>
        <w:jc w:val="center"/>
        <w:rPr>
          <w:rFonts w:asciiTheme="minorEastAsia" w:hAnsiTheme="minorEastAsia" w:eastAsiaTheme="minorEastAsia"/>
          <w:b/>
          <w:sz w:val="72"/>
        </w:rPr>
      </w:pPr>
      <w:bookmarkStart w:id="259" w:name="_Toc4782"/>
      <w:r>
        <w:rPr>
          <w:rFonts w:hint="eastAsia" w:asciiTheme="minorEastAsia" w:hAnsiTheme="minorEastAsia" w:eastAsiaTheme="minorEastAsia"/>
          <w:b/>
          <w:sz w:val="72"/>
        </w:rPr>
        <w:t>标</w:t>
      </w:r>
      <w:bookmarkEnd w:id="259"/>
    </w:p>
    <w:p w14:paraId="1E94D09E">
      <w:pPr>
        <w:spacing w:line="900" w:lineRule="exact"/>
        <w:jc w:val="center"/>
        <w:rPr>
          <w:rFonts w:asciiTheme="minorEastAsia" w:hAnsiTheme="minorEastAsia" w:eastAsiaTheme="minorEastAsia"/>
          <w:b/>
          <w:sz w:val="72"/>
        </w:rPr>
      </w:pPr>
    </w:p>
    <w:p w14:paraId="33416DFB">
      <w:pPr>
        <w:spacing w:line="900" w:lineRule="exact"/>
        <w:jc w:val="center"/>
        <w:rPr>
          <w:rFonts w:asciiTheme="minorEastAsia" w:hAnsiTheme="minorEastAsia" w:eastAsiaTheme="minorEastAsia"/>
          <w:b/>
          <w:sz w:val="72"/>
        </w:rPr>
      </w:pPr>
      <w:bookmarkStart w:id="260" w:name="_Toc19607"/>
      <w:r>
        <w:rPr>
          <w:rFonts w:hint="eastAsia" w:asciiTheme="minorEastAsia" w:hAnsiTheme="minorEastAsia" w:eastAsiaTheme="minorEastAsia"/>
          <w:b/>
          <w:sz w:val="72"/>
        </w:rPr>
        <w:t>文</w:t>
      </w:r>
      <w:bookmarkEnd w:id="260"/>
    </w:p>
    <w:p w14:paraId="23D939D7">
      <w:pPr>
        <w:spacing w:line="900" w:lineRule="exact"/>
        <w:jc w:val="center"/>
        <w:rPr>
          <w:rFonts w:asciiTheme="minorEastAsia" w:hAnsiTheme="minorEastAsia" w:eastAsiaTheme="minorEastAsia"/>
          <w:b/>
          <w:sz w:val="72"/>
        </w:rPr>
      </w:pPr>
    </w:p>
    <w:p w14:paraId="5F244F8B">
      <w:pPr>
        <w:jc w:val="center"/>
        <w:rPr>
          <w:rFonts w:asciiTheme="minorEastAsia" w:hAnsiTheme="minorEastAsia" w:eastAsiaTheme="minorEastAsia"/>
          <w:b/>
          <w:sz w:val="72"/>
        </w:rPr>
      </w:pPr>
      <w:bookmarkStart w:id="261" w:name="_Toc8365"/>
      <w:r>
        <w:rPr>
          <w:rFonts w:hint="eastAsia" w:asciiTheme="minorEastAsia" w:hAnsiTheme="minorEastAsia" w:eastAsiaTheme="minorEastAsia"/>
          <w:b/>
          <w:sz w:val="72"/>
        </w:rPr>
        <w:t>件</w:t>
      </w:r>
      <w:bookmarkEnd w:id="261"/>
    </w:p>
    <w:p w14:paraId="4CB961D2">
      <w:pPr>
        <w:spacing w:after="156" w:afterLines="50" w:line="500" w:lineRule="exact"/>
        <w:jc w:val="center"/>
        <w:rPr>
          <w:rFonts w:asciiTheme="minorEastAsia" w:hAnsiTheme="minorEastAsia" w:eastAsiaTheme="minorEastAsia"/>
          <w:b/>
          <w:sz w:val="28"/>
          <w:szCs w:val="28"/>
        </w:rPr>
      </w:pPr>
    </w:p>
    <w:p w14:paraId="756035BC">
      <w:pPr>
        <w:pStyle w:val="2"/>
      </w:pPr>
    </w:p>
    <w:p w14:paraId="7FD05559">
      <w:pPr>
        <w:tabs>
          <w:tab w:val="left" w:pos="2410"/>
        </w:tabs>
        <w:autoSpaceDE w:val="0"/>
        <w:autoSpaceDN w:val="0"/>
        <w:adjustRightInd w:val="0"/>
        <w:snapToGrid w:val="0"/>
        <w:spacing w:line="360" w:lineRule="auto"/>
        <w:rPr>
          <w:rFonts w:hint="eastAsia" w:ascii="宋体" w:hAnsi="宋体" w:eastAsiaTheme="minorEastAsia"/>
          <w:b/>
          <w:color w:val="FF0000"/>
          <w:spacing w:val="20"/>
          <w:kern w:val="0"/>
          <w:sz w:val="32"/>
          <w:szCs w:val="32"/>
          <w:u w:val="single"/>
          <w:lang w:eastAsia="zh-CN"/>
        </w:rPr>
      </w:pPr>
      <w:r>
        <w:rPr>
          <w:rFonts w:hint="eastAsia" w:asciiTheme="minorEastAsia" w:hAnsiTheme="minorEastAsia" w:eastAsiaTheme="minorEastAsia"/>
          <w:b/>
          <w:sz w:val="32"/>
        </w:rPr>
        <w:t>项目名称：</w:t>
      </w:r>
      <w:r>
        <w:rPr>
          <w:rFonts w:hint="eastAsia" w:asciiTheme="minorEastAsia" w:hAnsiTheme="minorEastAsia" w:eastAsiaTheme="minorEastAsia"/>
          <w:b/>
          <w:color w:val="FF0000"/>
          <w:sz w:val="32"/>
          <w:u w:val="single"/>
          <w:lang w:eastAsia="zh-CN"/>
        </w:rPr>
        <w:t>省淮河局2025年堤防草皮养护及林间控高（第5包）</w:t>
      </w:r>
    </w:p>
    <w:p w14:paraId="12E45204">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05CD98A6">
      <w:pPr>
        <w:tabs>
          <w:tab w:val="left" w:pos="2410"/>
        </w:tabs>
        <w:autoSpaceDE w:val="0"/>
        <w:autoSpaceDN w:val="0"/>
        <w:adjustRightInd w:val="0"/>
        <w:snapToGrid w:val="0"/>
        <w:spacing w:line="360" w:lineRule="auto"/>
        <w:rPr>
          <w:rFonts w:asciiTheme="minorEastAsia" w:hAnsiTheme="minorEastAsia" w:eastAsiaTheme="minorEastAsia"/>
          <w:b/>
          <w:sz w:val="32"/>
          <w:u w:val="single"/>
        </w:rPr>
      </w:pPr>
      <w:r>
        <w:rPr>
          <w:rFonts w:hint="eastAsia" w:asciiTheme="minorEastAsia" w:hAnsiTheme="minorEastAsia" w:eastAsiaTheme="minorEastAsia"/>
          <w:b/>
          <w:sz w:val="32"/>
        </w:rPr>
        <w:t>投 标 人：</w:t>
      </w:r>
      <w:r>
        <w:rPr>
          <w:rFonts w:hint="eastAsia" w:asciiTheme="minorEastAsia" w:hAnsiTheme="minorEastAsia" w:eastAsiaTheme="minorEastAsia"/>
          <w:b/>
          <w:sz w:val="32"/>
          <w:u w:val="single"/>
        </w:rPr>
        <w:t xml:space="preserve">                  </w:t>
      </w:r>
    </w:p>
    <w:p w14:paraId="211C48FC">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262" w:name="_Toc19687"/>
      <w:bookmarkStart w:id="263" w:name="_Toc8037"/>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262"/>
      <w:bookmarkEnd w:id="263"/>
    </w:p>
    <w:p w14:paraId="7E0FD3C9">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43F0CEC2">
      <w:pPr>
        <w:numPr>
          <w:ilvl w:val="0"/>
          <w:numId w:val="5"/>
        </w:numPr>
        <w:spacing w:line="360" w:lineRule="auto"/>
        <w:jc w:val="center"/>
        <w:outlineLvl w:val="1"/>
        <w:rPr>
          <w:rFonts w:asciiTheme="minorEastAsia" w:hAnsiTheme="minorEastAsia" w:eastAsiaTheme="minorEastAsia"/>
          <w:b/>
          <w:sz w:val="24"/>
        </w:rPr>
      </w:pPr>
      <w:bookmarkStart w:id="264" w:name="_Toc28960"/>
      <w:bookmarkStart w:id="265" w:name="_Toc17986"/>
      <w:r>
        <w:rPr>
          <w:rFonts w:hint="eastAsia" w:asciiTheme="minorEastAsia" w:hAnsiTheme="minorEastAsia" w:eastAsiaTheme="minorEastAsia"/>
          <w:b/>
          <w:sz w:val="24"/>
        </w:rPr>
        <w:t>开标一览表</w:t>
      </w:r>
      <w:bookmarkEnd w:id="264"/>
      <w:bookmarkEnd w:id="265"/>
    </w:p>
    <w:p w14:paraId="461221AC">
      <w:pPr>
        <w:pStyle w:val="2"/>
        <w:ind w:left="420"/>
        <w:rPr>
          <w:rFonts w:ascii="宋体" w:hAnsi="宋体" w:eastAsia="宋体"/>
          <w:b/>
          <w:bCs/>
          <w:sz w:val="24"/>
          <w:szCs w:val="28"/>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0759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106CA787">
            <w:pPr>
              <w:widowControl/>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726E81C8">
            <w:pPr>
              <w:spacing w:line="360" w:lineRule="exact"/>
              <w:jc w:val="center"/>
              <w:rPr>
                <w:rFonts w:asciiTheme="minorEastAsia" w:hAnsiTheme="minorEastAsia" w:eastAsiaTheme="minorEastAsia"/>
                <w:bCs/>
                <w:sz w:val="24"/>
                <w:u w:val="single"/>
              </w:rPr>
            </w:pPr>
            <w:r>
              <w:rPr>
                <w:rFonts w:hint="eastAsia" w:ascii="宋体" w:hAnsi="宋体" w:eastAsia="宋体" w:cs="宋体"/>
                <w:b/>
                <w:bCs/>
                <w:color w:val="FF0000"/>
                <w:sz w:val="24"/>
                <w:szCs w:val="24"/>
                <w:lang w:eastAsia="zh-CN"/>
              </w:rPr>
              <w:t>省淮河局2025年堤防草皮养护及林间控高（第5包）</w:t>
            </w:r>
          </w:p>
        </w:tc>
      </w:tr>
      <w:tr w14:paraId="19AD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26009B3">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6764CF2F">
            <w:pPr>
              <w:spacing w:line="360" w:lineRule="auto"/>
              <w:rPr>
                <w:rFonts w:asciiTheme="minorEastAsia" w:hAnsiTheme="minorEastAsia" w:eastAsiaTheme="minorEastAsia"/>
                <w:sz w:val="24"/>
              </w:rPr>
            </w:pPr>
          </w:p>
        </w:tc>
      </w:tr>
      <w:tr w14:paraId="621E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43BCB61">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019DCA7B">
            <w:pPr>
              <w:widowControl/>
              <w:spacing w:line="360" w:lineRule="auto"/>
              <w:rPr>
                <w:rFonts w:hint="default" w:asciiTheme="minorEastAsia" w:hAnsiTheme="minorEastAsia" w:eastAsiaTheme="minorEastAsia"/>
                <w:sz w:val="24"/>
                <w:lang w:val="en-US" w:eastAsia="zh-CN"/>
              </w:rPr>
            </w:pPr>
            <w:r>
              <w:rPr>
                <w:rFonts w:hint="eastAsia" w:ascii="宋体" w:hAnsi="宋体" w:eastAsia="宋体" w:cs="宋体"/>
                <w:b w:val="0"/>
                <w:bCs w:val="0"/>
                <w:color w:val="auto"/>
                <w:sz w:val="24"/>
                <w:szCs w:val="24"/>
                <w:lang w:eastAsia="zh-CN"/>
              </w:rPr>
              <w:t>第5包</w:t>
            </w:r>
            <w:r>
              <w:rPr>
                <w:rFonts w:hint="eastAsia" w:asciiTheme="minorEastAsia" w:hAnsiTheme="minorEastAsia" w:eastAsiaTheme="minorEastAsia"/>
                <w:b w:val="0"/>
                <w:bCs w:val="0"/>
                <w:color w:val="auto"/>
                <w:sz w:val="24"/>
                <w:szCs w:val="28"/>
              </w:rPr>
              <w:t>全部</w:t>
            </w:r>
            <w:r>
              <w:rPr>
                <w:rFonts w:hint="eastAsia" w:asciiTheme="minorEastAsia" w:hAnsiTheme="minorEastAsia" w:eastAsiaTheme="minorEastAsia"/>
                <w:b w:val="0"/>
                <w:bCs w:val="0"/>
                <w:color w:val="auto"/>
                <w:sz w:val="24"/>
                <w:szCs w:val="28"/>
                <w:lang w:val="en-US" w:eastAsia="zh-CN"/>
              </w:rPr>
              <w:t>服务内容</w:t>
            </w:r>
          </w:p>
        </w:tc>
      </w:tr>
      <w:tr w14:paraId="61B9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4E89C10">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427C9C1C">
            <w:pPr>
              <w:spacing w:line="360" w:lineRule="auto"/>
              <w:ind w:right="-670"/>
              <w:rPr>
                <w:rFonts w:asciiTheme="minorEastAsia" w:hAnsiTheme="minorEastAsia" w:eastAsiaTheme="minorEastAsia"/>
                <w:sz w:val="24"/>
              </w:rPr>
            </w:pPr>
            <w:r>
              <w:rPr>
                <w:rFonts w:hint="eastAsia" w:ascii="宋体" w:hAnsi="宋体" w:eastAsia="宋体" w:cs="宋体"/>
                <w:sz w:val="24"/>
                <w:szCs w:val="24"/>
              </w:rPr>
              <w:t>综合单价</w:t>
            </w:r>
            <w:r>
              <w:rPr>
                <w:rFonts w:hint="eastAsia" w:ascii="宋体" w:hAnsi="宋体" w:eastAsia="宋体" w:cs="宋体"/>
                <w:sz w:val="24"/>
                <w:szCs w:val="24"/>
                <w:u w:val="single"/>
              </w:rPr>
              <w:t xml:space="preserve">        </w:t>
            </w:r>
            <w:r>
              <w:rPr>
                <w:rFonts w:hint="eastAsia" w:ascii="宋体" w:hAnsi="宋体" w:eastAsia="宋体"/>
                <w:bCs w:val="0"/>
                <w:color w:val="FF0000"/>
                <w:sz w:val="24"/>
              </w:rPr>
              <w:t>元/100m2·次（包含所有养护内容）</w:t>
            </w:r>
            <w:r>
              <w:rPr>
                <w:rFonts w:hint="eastAsia" w:ascii="宋体" w:hAnsi="宋体" w:eastAsia="宋体" w:cs="宋体"/>
                <w:sz w:val="24"/>
                <w:szCs w:val="24"/>
              </w:rPr>
              <w:t>。</w:t>
            </w:r>
          </w:p>
        </w:tc>
      </w:tr>
      <w:tr w14:paraId="5BB8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352" w:type="pct"/>
            <w:tcBorders>
              <w:top w:val="nil"/>
            </w:tcBorders>
            <w:vAlign w:val="center"/>
          </w:tcPr>
          <w:p w14:paraId="26162B5C">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2200A454">
            <w:pPr>
              <w:spacing w:line="360" w:lineRule="auto"/>
              <w:jc w:val="left"/>
              <w:rPr>
                <w:rFonts w:asciiTheme="minorEastAsia" w:hAnsiTheme="minorEastAsia" w:eastAsiaTheme="minorEastAsia"/>
                <w:sz w:val="24"/>
                <w:szCs w:val="28"/>
              </w:rPr>
            </w:pPr>
          </w:p>
        </w:tc>
      </w:tr>
    </w:tbl>
    <w:p w14:paraId="4EF11ACD">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F648D78">
      <w:pPr>
        <w:tabs>
          <w:tab w:val="left" w:pos="630"/>
        </w:tabs>
        <w:spacing w:line="360" w:lineRule="auto"/>
        <w:ind w:firstLine="4800" w:firstLineChars="2000"/>
        <w:rPr>
          <w:rFonts w:asciiTheme="minorEastAsia" w:hAnsiTheme="minorEastAsia" w:eastAsiaTheme="minorEastAsia"/>
          <w:sz w:val="24"/>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6BC7314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w:t>
      </w:r>
    </w:p>
    <w:p w14:paraId="05DB3FF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15B90056">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表中投标报价即为优惠后报价，并作为</w:t>
      </w:r>
      <w:r>
        <w:rPr>
          <w:rFonts w:hint="eastAsia" w:asciiTheme="minorEastAsia" w:hAnsiTheme="minorEastAsia" w:eastAsiaTheme="minorEastAsia"/>
          <w:sz w:val="24"/>
        </w:rPr>
        <w:t>评标</w:t>
      </w:r>
      <w:r>
        <w:rPr>
          <w:rFonts w:asciiTheme="minorEastAsia" w:hAnsiTheme="minorEastAsia" w:eastAsiaTheme="minorEastAsia"/>
          <w:sz w:val="24"/>
        </w:rPr>
        <w:t>及定标依据。任何有选择或有条件的投标报价，或者表中某一包别填写多个报价，均为无效报价。</w:t>
      </w:r>
    </w:p>
    <w:p w14:paraId="233D1125">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3.表中大写金额与小写金额不一致的，以大写金额为准。</w:t>
      </w:r>
      <w:bookmarkStart w:id="266" w:name="_Toc6120"/>
      <w:bookmarkStart w:id="267" w:name="_Toc6441"/>
      <w:r>
        <w:rPr>
          <w:rFonts w:hint="eastAsia" w:asciiTheme="minorEastAsia" w:hAnsiTheme="minorEastAsia" w:eastAsiaTheme="minorEastAsia"/>
          <w:b/>
          <w:sz w:val="24"/>
        </w:rPr>
        <w:br w:type="page"/>
      </w:r>
    </w:p>
    <w:p w14:paraId="79372B5B">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二、投标函</w:t>
      </w:r>
      <w:bookmarkEnd w:id="266"/>
      <w:bookmarkEnd w:id="267"/>
    </w:p>
    <w:p w14:paraId="47B8C850">
      <w:pPr>
        <w:pStyle w:val="11"/>
        <w:spacing w:line="360" w:lineRule="auto"/>
        <w:rPr>
          <w:rFonts w:ascii="宋体" w:hAnsi="宋体"/>
          <w:sz w:val="24"/>
          <w:u w:val="single"/>
        </w:rPr>
      </w:pPr>
      <w:r>
        <w:rPr>
          <w:rFonts w:hint="eastAsia" w:ascii="宋体" w:hAnsi="宋体"/>
          <w:sz w:val="24"/>
        </w:rPr>
        <w:t>致：</w:t>
      </w:r>
      <w:r>
        <w:rPr>
          <w:rFonts w:hint="eastAsia" w:ascii="宋体" w:hAnsi="宋体"/>
          <w:sz w:val="24"/>
          <w:u w:val="single"/>
        </w:rPr>
        <w:t>采购人</w:t>
      </w:r>
    </w:p>
    <w:p w14:paraId="1201A2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2A3433D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2976D39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1BE7AAD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43A7E77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0BC60E0F">
      <w:pPr>
        <w:spacing w:line="360" w:lineRule="auto"/>
        <w:ind w:firstLine="4800" w:firstLineChars="2000"/>
        <w:rPr>
          <w:rFonts w:ascii="宋体" w:hAnsi="宋体" w:eastAsia="宋体"/>
          <w:sz w:val="24"/>
        </w:rPr>
      </w:pPr>
    </w:p>
    <w:p w14:paraId="64CA362D">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p>
    <w:p w14:paraId="5D533EA1">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28883C0A">
      <w:pPr>
        <w:widowControl/>
        <w:jc w:val="left"/>
        <w:rPr>
          <w:rFonts w:ascii="宋体" w:hAnsi="宋体" w:eastAsia="宋体"/>
          <w:sz w:val="24"/>
          <w:u w:val="single"/>
        </w:rPr>
      </w:pPr>
      <w:r>
        <w:rPr>
          <w:rFonts w:ascii="宋体" w:hAnsi="宋体" w:eastAsia="宋体"/>
          <w:sz w:val="24"/>
          <w:u w:val="single"/>
        </w:rPr>
        <w:br w:type="page"/>
      </w:r>
    </w:p>
    <w:p w14:paraId="22EC628C">
      <w:pPr>
        <w:spacing w:line="360" w:lineRule="auto"/>
        <w:jc w:val="center"/>
        <w:outlineLvl w:val="1"/>
        <w:rPr>
          <w:rFonts w:asciiTheme="minorEastAsia" w:hAnsiTheme="minorEastAsia" w:eastAsiaTheme="minorEastAsia"/>
          <w:b/>
          <w:sz w:val="24"/>
        </w:rPr>
      </w:pPr>
      <w:bookmarkStart w:id="268" w:name="_Toc18881"/>
      <w:r>
        <w:rPr>
          <w:rFonts w:hint="eastAsia" w:asciiTheme="minorEastAsia" w:hAnsiTheme="minorEastAsia" w:eastAsiaTheme="minorEastAsia"/>
          <w:b/>
          <w:sz w:val="24"/>
        </w:rPr>
        <w:t>三．投标人资格声明书</w:t>
      </w:r>
      <w:bookmarkEnd w:id="268"/>
      <w:r>
        <w:rPr>
          <w:rFonts w:hint="eastAsia" w:asciiTheme="minorEastAsia" w:hAnsiTheme="minorEastAsia" w:eastAsiaTheme="minorEastAsia"/>
          <w:b/>
          <w:sz w:val="24"/>
        </w:rPr>
        <w:t xml:space="preserve"> </w:t>
      </w:r>
    </w:p>
    <w:p w14:paraId="3C6E4100">
      <w:pPr>
        <w:pStyle w:val="11"/>
        <w:spacing w:line="360" w:lineRule="auto"/>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采购人</w:t>
      </w:r>
    </w:p>
    <w:p w14:paraId="4150A537">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在参与本次项目投标中，我单位承诺：</w:t>
      </w:r>
    </w:p>
    <w:p w14:paraId="24480C9F">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0D11E8ED">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5E4334BC">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3CE318F9">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E0A10F1">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（五）我单位不属于政府采购法律、行政法规规定的公益一类事业单位、或使用事业编制且由财政拨款保障的群团组织（仅适用于政府购买服务项目）； </w:t>
      </w:r>
    </w:p>
    <w:p w14:paraId="1D70F30B">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（六）我单位不存在为采购项目提供整体设计、规范编制或者项目管理、监理、检测等服务后，再参加该采购项目的其他采购活动的情形（单一来源采购项目除外）；</w:t>
      </w:r>
    </w:p>
    <w:p w14:paraId="219F82ED">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（七）与我单位存在单位负责人为同一人或者存在直接控股、管理关系的其他法人单位信息如下（如有，不论其是否参加同一合同项下的政府采购活动均须填写）：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0C2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5059188">
            <w:pPr>
              <w:widowControl/>
              <w:spacing w:before="156" w:beforeLines="50" w:after="1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841" w:type="dxa"/>
          </w:tcPr>
          <w:p w14:paraId="6ED827A9">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2841" w:type="dxa"/>
          </w:tcPr>
          <w:p w14:paraId="1F7E2D77">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5248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FDBE0DF">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841" w:type="dxa"/>
          </w:tcPr>
          <w:p w14:paraId="0FF55406">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0393F4BC">
            <w:pPr>
              <w:pStyle w:val="2"/>
              <w:spacing w:before="156" w:beforeLines="50" w:after="10"/>
              <w:jc w:val="center"/>
              <w:rPr>
                <w:rFonts w:asciiTheme="minorEastAsia" w:hAnsiTheme="minorEastAsia" w:eastAsiaTheme="minorEastAsia" w:cstheme="minorEastAsia"/>
                <w:color w:val="000000"/>
                <w:kern w:val="0"/>
                <w:sz w:val="24"/>
                <w:lang w:val="en-US" w:bidi="ar"/>
              </w:rPr>
            </w:pPr>
          </w:p>
        </w:tc>
      </w:tr>
      <w:tr w14:paraId="7D5A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8DA62FD">
            <w:pPr>
              <w:pStyle w:val="2"/>
              <w:spacing w:before="156" w:beforeLines="50" w:after="1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841" w:type="dxa"/>
          </w:tcPr>
          <w:p w14:paraId="49FE7BE3">
            <w:pPr>
              <w:pStyle w:val="2"/>
              <w:spacing w:before="156" w:beforeLines="50" w:after="10"/>
              <w:jc w:val="center"/>
              <w:rPr>
                <w:rFonts w:asciiTheme="minorEastAsia" w:hAnsiTheme="minorEastAsia" w:eastAsiaTheme="minorEastAsia" w:cstheme="minorEastAsia"/>
                <w:color w:val="000000"/>
                <w:kern w:val="0"/>
                <w:sz w:val="24"/>
                <w:lang w:val="en-US" w:bidi="ar"/>
              </w:rPr>
            </w:pPr>
          </w:p>
        </w:tc>
        <w:tc>
          <w:tcPr>
            <w:tcW w:w="2841" w:type="dxa"/>
          </w:tcPr>
          <w:p w14:paraId="06DAA813">
            <w:pPr>
              <w:pStyle w:val="2"/>
              <w:spacing w:before="156" w:beforeLines="50" w:after="10"/>
              <w:jc w:val="center"/>
              <w:rPr>
                <w:rFonts w:asciiTheme="minorEastAsia" w:hAnsiTheme="minorEastAsia" w:eastAsiaTheme="minorEastAsia" w:cstheme="minorEastAsia"/>
                <w:color w:val="000000"/>
                <w:kern w:val="0"/>
                <w:sz w:val="24"/>
                <w:lang w:val="en-US" w:bidi="ar"/>
              </w:rPr>
            </w:pPr>
          </w:p>
        </w:tc>
      </w:tr>
    </w:tbl>
    <w:p w14:paraId="0DEBB62C">
      <w:pPr>
        <w:spacing w:line="360" w:lineRule="auto"/>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3BC0080C">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6C8E6F5E">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382D6240">
      <w:pPr>
        <w:rPr>
          <w:rFonts w:asciiTheme="minorEastAsia" w:hAnsiTheme="minorEastAsia" w:eastAsiaTheme="minorEastAsia"/>
          <w:b/>
          <w:sz w:val="24"/>
        </w:rPr>
      </w:pPr>
      <w:bookmarkStart w:id="269" w:name="_Toc11607"/>
      <w:r>
        <w:rPr>
          <w:rFonts w:hint="eastAsia" w:asciiTheme="minorEastAsia" w:hAnsiTheme="minorEastAsia" w:eastAsiaTheme="minorEastAsia"/>
          <w:b/>
          <w:sz w:val="24"/>
        </w:rPr>
        <w:br w:type="page"/>
      </w:r>
    </w:p>
    <w:p w14:paraId="1766EDFA">
      <w:pPr>
        <w:spacing w:line="360" w:lineRule="auto"/>
        <w:jc w:val="center"/>
        <w:outlineLvl w:val="1"/>
        <w:rPr>
          <w:rFonts w:asciiTheme="minorEastAsia" w:hAnsiTheme="minorEastAsia" w:eastAsiaTheme="minorEastAsia"/>
          <w:b/>
          <w:sz w:val="24"/>
        </w:rPr>
      </w:pPr>
      <w:bookmarkStart w:id="270" w:name="_Toc24583"/>
      <w:r>
        <w:rPr>
          <w:rFonts w:hint="eastAsia" w:asciiTheme="minorEastAsia" w:hAnsiTheme="minorEastAsia" w:eastAsiaTheme="minorEastAsia"/>
          <w:b/>
          <w:sz w:val="24"/>
        </w:rPr>
        <w:t>四、授权书</w:t>
      </w:r>
      <w:bookmarkEnd w:id="269"/>
      <w:bookmarkEnd w:id="270"/>
    </w:p>
    <w:p w14:paraId="09ADFA10">
      <w:pPr>
        <w:pStyle w:val="10"/>
        <w:snapToGrid w:val="0"/>
        <w:spacing w:line="360" w:lineRule="auto"/>
        <w:ind w:firstLine="480" w:firstLineChars="200"/>
        <w:jc w:val="left"/>
        <w:rPr>
          <w:rFonts w:hAnsi="宋体" w:eastAsia="宋体"/>
          <w:sz w:val="24"/>
          <w:szCs w:val="28"/>
        </w:rPr>
      </w:pPr>
    </w:p>
    <w:p w14:paraId="30B38E2F">
      <w:pPr>
        <w:spacing w:line="360" w:lineRule="auto"/>
        <w:ind w:firstLine="435"/>
        <w:rPr>
          <w:rFonts w:hAnsi="宋体" w:eastAsia="宋体"/>
          <w:sz w:val="24"/>
          <w:szCs w:val="28"/>
        </w:rPr>
      </w:pPr>
      <w:r>
        <w:rPr>
          <w:rFonts w:hint="eastAsia" w:hAnsi="宋体" w:eastAsia="宋体"/>
          <w:sz w:val="24"/>
          <w:szCs w:val="28"/>
        </w:rPr>
        <w:t>本</w:t>
      </w:r>
      <w:r>
        <w:rPr>
          <w:rFonts w:hint="eastAsia" w:asciiTheme="minorEastAsia" w:hAnsiTheme="minorEastAsia" w:eastAsiaTheme="minorEastAsia"/>
          <w:sz w:val="24"/>
        </w:rPr>
        <w:t>授权</w:t>
      </w:r>
      <w:r>
        <w:rPr>
          <w:rFonts w:hint="eastAsia" w:hAnsi="宋体" w:eastAsia="宋体"/>
          <w:sz w:val="24"/>
          <w:szCs w:val="28"/>
        </w:rPr>
        <w:t>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（投标人授权代表姓名）代表我方参加本项目</w:t>
      </w:r>
      <w:r>
        <w:rPr>
          <w:rFonts w:hint="eastAsia" w:hAnsi="宋体" w:eastAsia="宋体"/>
          <w:bCs/>
          <w:sz w:val="24"/>
          <w:szCs w:val="28"/>
        </w:rPr>
        <w:t>采购活动</w:t>
      </w:r>
      <w:r>
        <w:rPr>
          <w:rFonts w:hint="eastAsia" w:hAnsi="宋体" w:eastAsia="宋体"/>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B3DE5E6">
      <w:pPr>
        <w:spacing w:line="360" w:lineRule="auto"/>
        <w:ind w:firstLine="435"/>
        <w:rPr>
          <w:rFonts w:hAnsi="宋体" w:eastAsia="宋体"/>
          <w:sz w:val="24"/>
          <w:szCs w:val="28"/>
        </w:rPr>
      </w:pPr>
      <w:r>
        <w:rPr>
          <w:rFonts w:hint="eastAsia" w:hAnsi="宋体" w:eastAsia="宋体"/>
          <w:sz w:val="24"/>
          <w:szCs w:val="28"/>
        </w:rPr>
        <w:t>本授权书自出具之日起生效。</w:t>
      </w:r>
    </w:p>
    <w:p w14:paraId="6375F3DA">
      <w:pPr>
        <w:spacing w:line="360" w:lineRule="auto"/>
        <w:ind w:firstLine="435"/>
        <w:rPr>
          <w:rFonts w:hAnsi="宋体" w:eastAsia="宋体"/>
          <w:sz w:val="24"/>
        </w:rPr>
      </w:pPr>
      <w:r>
        <w:rPr>
          <w:rFonts w:hint="eastAsia" w:hAnsi="宋体" w:eastAsia="宋体"/>
          <w:sz w:val="24"/>
          <w:szCs w:val="28"/>
        </w:rPr>
        <w:t>授权</w:t>
      </w:r>
      <w:r>
        <w:rPr>
          <w:rFonts w:hint="eastAsia" w:asciiTheme="minorEastAsia" w:hAnsiTheme="minorEastAsia" w:eastAsiaTheme="minorEastAsia"/>
          <w:sz w:val="24"/>
        </w:rPr>
        <w:t>代表</w:t>
      </w:r>
      <w:r>
        <w:rPr>
          <w:rFonts w:hint="eastAsia" w:hAnsi="宋体" w:eastAsia="宋体"/>
          <w:sz w:val="24"/>
        </w:rPr>
        <w:t>身份证明扫描件：</w:t>
      </w:r>
    </w:p>
    <w:p w14:paraId="5AF540B6">
      <w:pPr>
        <w:spacing w:line="360" w:lineRule="auto"/>
        <w:ind w:firstLine="435"/>
        <w:rPr>
          <w:rFonts w:asciiTheme="minorEastAsia" w:hAnsiTheme="minorEastAsia" w:eastAsiaTheme="minorEastAsia"/>
          <w:sz w:val="24"/>
        </w:rPr>
      </w:pPr>
    </w:p>
    <w:p w14:paraId="22DBB00B">
      <w:pPr>
        <w:spacing w:line="360" w:lineRule="auto"/>
        <w:ind w:firstLine="435"/>
        <w:rPr>
          <w:rFonts w:asciiTheme="minorEastAsia" w:hAnsiTheme="minorEastAsia" w:eastAsiaTheme="minorEastAsia"/>
          <w:sz w:val="24"/>
        </w:rPr>
      </w:pPr>
    </w:p>
    <w:p w14:paraId="6D2356D5">
      <w:pPr>
        <w:spacing w:line="360" w:lineRule="auto"/>
        <w:ind w:firstLine="435"/>
        <w:rPr>
          <w:rFonts w:asciiTheme="minorEastAsia" w:hAnsiTheme="minorEastAsia" w:eastAsiaTheme="minorEastAsia"/>
          <w:sz w:val="24"/>
        </w:rPr>
      </w:pPr>
    </w:p>
    <w:p w14:paraId="3E4B397B">
      <w:pPr>
        <w:spacing w:line="360" w:lineRule="auto"/>
        <w:ind w:firstLine="435"/>
        <w:rPr>
          <w:rFonts w:hAnsi="宋体" w:eastAsia="宋体"/>
          <w:sz w:val="24"/>
          <w:szCs w:val="28"/>
          <w:u w:val="single"/>
          <w:lang w:val="zh-CN"/>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012842FC">
      <w:pPr>
        <w:spacing w:line="360" w:lineRule="auto"/>
        <w:ind w:firstLine="435"/>
        <w:rPr>
          <w:rFonts w:hAnsi="宋体" w:eastAsia="宋体"/>
          <w:sz w:val="24"/>
          <w:szCs w:val="28"/>
          <w:lang w:val="zh-CN"/>
        </w:rPr>
      </w:pPr>
    </w:p>
    <w:p w14:paraId="5855F3E3">
      <w:pPr>
        <w:spacing w:line="360" w:lineRule="auto"/>
        <w:ind w:firstLine="435"/>
        <w:rPr>
          <w:rFonts w:ascii="宋体" w:hAnsi="宋体" w:eastAsia="宋体"/>
          <w:sz w:val="24"/>
          <w:szCs w:val="28"/>
        </w:rPr>
      </w:pPr>
      <w:r>
        <w:rPr>
          <w:rFonts w:hint="eastAsia" w:asciiTheme="minorEastAsia" w:hAnsiTheme="minorEastAsia" w:eastAsiaTheme="minorEastAsia"/>
          <w:sz w:val="24"/>
        </w:rPr>
        <w:t>特此</w:t>
      </w:r>
      <w:r>
        <w:rPr>
          <w:rFonts w:hint="eastAsia" w:ascii="宋体" w:hAnsi="宋体" w:eastAsia="宋体"/>
          <w:sz w:val="24"/>
          <w:szCs w:val="28"/>
        </w:rPr>
        <w:t>声明。</w:t>
      </w:r>
    </w:p>
    <w:p w14:paraId="3B6F79BF">
      <w:pPr>
        <w:spacing w:line="360" w:lineRule="auto"/>
        <w:rPr>
          <w:rFonts w:ascii="宋体" w:hAnsi="宋体" w:eastAsia="宋体"/>
          <w:sz w:val="24"/>
          <w:szCs w:val="28"/>
        </w:rPr>
      </w:pPr>
    </w:p>
    <w:p w14:paraId="6E5B4674">
      <w:pPr>
        <w:spacing w:line="360" w:lineRule="auto"/>
        <w:ind w:firstLine="4800" w:firstLineChars="2000"/>
        <w:rPr>
          <w:rFonts w:ascii="宋体" w:hAnsi="宋体" w:eastAsia="宋体"/>
          <w:sz w:val="24"/>
          <w:u w:val="single"/>
        </w:rPr>
      </w:pPr>
      <w:r>
        <w:rPr>
          <w:rFonts w:hint="eastAsia" w:ascii="宋体" w:hAnsi="宋体" w:eastAsia="宋体"/>
          <w:sz w:val="24"/>
        </w:rPr>
        <w:t>投标人电子签章：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2EAB96A">
      <w:pPr>
        <w:tabs>
          <w:tab w:val="left" w:pos="630"/>
        </w:tabs>
        <w:spacing w:line="360" w:lineRule="auto"/>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5520DC6E">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p>
    <w:p w14:paraId="6F0A87E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1.本项目只允许有唯一的投标人授权代表，提供身份证明扫描件；</w:t>
      </w:r>
    </w:p>
    <w:p w14:paraId="0C9E89E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2.法定代表人参加投标的无需提供授权书，提供身份证明扫描件。</w:t>
      </w:r>
    </w:p>
    <w:p w14:paraId="617E9FD4">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6CAD7197">
      <w:pPr>
        <w:spacing w:line="360" w:lineRule="auto"/>
        <w:jc w:val="center"/>
        <w:outlineLvl w:val="1"/>
        <w:rPr>
          <w:rFonts w:asciiTheme="minorEastAsia" w:hAnsiTheme="minorEastAsia" w:eastAsiaTheme="minorEastAsia"/>
          <w:b/>
          <w:sz w:val="24"/>
        </w:rPr>
      </w:pPr>
      <w:bookmarkStart w:id="271" w:name="_Toc31027"/>
      <w:bookmarkStart w:id="272" w:name="_Toc32226"/>
      <w:r>
        <w:rPr>
          <w:rFonts w:hint="eastAsia" w:asciiTheme="minorEastAsia" w:hAnsiTheme="minorEastAsia" w:eastAsiaTheme="minorEastAsia"/>
          <w:b/>
          <w:sz w:val="24"/>
        </w:rPr>
        <w:t>五、投标分项报价表</w:t>
      </w:r>
      <w:bookmarkEnd w:id="271"/>
      <w:bookmarkEnd w:id="272"/>
    </w:p>
    <w:p w14:paraId="61B94053">
      <w:pPr>
        <w:adjustRightInd w:val="0"/>
        <w:snapToGrid w:val="0"/>
        <w:spacing w:line="360" w:lineRule="auto"/>
        <w:ind w:firstLine="482" w:firstLineChars="200"/>
        <w:jc w:val="center"/>
        <w:outlineLvl w:val="3"/>
        <w:rPr>
          <w:rFonts w:ascii="宋体" w:hAnsi="宋体" w:eastAsia="宋体" w:cs="宋体"/>
          <w:b/>
          <w:bCs/>
          <w:color w:val="FF0000"/>
          <w:sz w:val="24"/>
          <w:szCs w:val="24"/>
        </w:rPr>
      </w:pPr>
      <w:bookmarkStart w:id="273" w:name="_Toc15209"/>
      <w:bookmarkStart w:id="274" w:name="_Toc20329"/>
      <w:r>
        <w:rPr>
          <w:rFonts w:hint="eastAsia" w:ascii="宋体" w:hAnsi="宋体" w:eastAsia="宋体" w:cs="宋体"/>
          <w:b/>
          <w:bCs/>
          <w:color w:val="FF0000"/>
          <w:sz w:val="24"/>
          <w:szCs w:val="24"/>
        </w:rPr>
        <w:t>第</w:t>
      </w:r>
      <w:r>
        <w:rPr>
          <w:rFonts w:ascii="宋体" w:hAnsi="宋体" w:eastAsia="宋体" w:cs="宋体"/>
          <w:b/>
          <w:bCs/>
          <w:color w:val="FF0000"/>
          <w:sz w:val="24"/>
          <w:szCs w:val="24"/>
        </w:rPr>
        <w:t>5</w:t>
      </w:r>
      <w:r>
        <w:rPr>
          <w:rFonts w:hint="eastAsia" w:ascii="宋体" w:hAnsi="宋体" w:eastAsia="宋体" w:cs="宋体"/>
          <w:b/>
          <w:bCs/>
          <w:color w:val="FF0000"/>
          <w:sz w:val="24"/>
          <w:szCs w:val="24"/>
        </w:rPr>
        <w:t>包</w:t>
      </w:r>
    </w:p>
    <w:p w14:paraId="437D8BD8">
      <w:pPr>
        <w:rPr>
          <w:rFonts w:ascii="宋体" w:hAnsi="宋体" w:eastAsia="宋体" w:cs="宋体"/>
          <w:b/>
          <w:bCs/>
          <w:color w:val="FF0000"/>
          <w:sz w:val="24"/>
          <w:szCs w:val="24"/>
        </w:rPr>
      </w:pPr>
      <w:r>
        <w:rPr>
          <w:rFonts w:hint="eastAsia" w:ascii="宋体" w:hAnsi="宋体" w:eastAsia="宋体" w:cs="宋体"/>
          <w:b/>
          <w:bCs/>
          <w:color w:val="FF0000"/>
          <w:sz w:val="24"/>
          <w:szCs w:val="24"/>
        </w:rPr>
        <w:t>养护范围：涡左堤蒙城段（52+495~107+827）、涡右堤蒙城段（53+762~109+750）</w:t>
      </w:r>
    </w:p>
    <w:tbl>
      <w:tblPr>
        <w:tblStyle w:val="21"/>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144"/>
        <w:gridCol w:w="1056"/>
        <w:gridCol w:w="1383"/>
        <w:gridCol w:w="1604"/>
        <w:gridCol w:w="1512"/>
        <w:gridCol w:w="1609"/>
      </w:tblGrid>
      <w:tr w14:paraId="710D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8" w:type="dxa"/>
            <w:vAlign w:val="center"/>
          </w:tcPr>
          <w:p w14:paraId="69890122">
            <w:pPr>
              <w:jc w:val="center"/>
              <w:rPr>
                <w:rFonts w:ascii="宋体" w:hAnsi="宋体" w:eastAsia="宋体" w:cs="宋体"/>
                <w:b/>
                <w:color w:val="FF0000"/>
                <w:sz w:val="24"/>
                <w:szCs w:val="24"/>
              </w:rPr>
            </w:pPr>
          </w:p>
        </w:tc>
        <w:tc>
          <w:tcPr>
            <w:tcW w:w="2144" w:type="dxa"/>
            <w:vAlign w:val="center"/>
          </w:tcPr>
          <w:p w14:paraId="673B4B35">
            <w:pPr>
              <w:jc w:val="center"/>
              <w:rPr>
                <w:rFonts w:ascii="宋体" w:hAnsi="宋体" w:eastAsia="宋体" w:cs="宋体"/>
                <w:b/>
                <w:color w:val="FF0000"/>
                <w:sz w:val="24"/>
                <w:szCs w:val="24"/>
              </w:rPr>
            </w:pPr>
            <w:r>
              <w:rPr>
                <w:rFonts w:hint="eastAsia" w:ascii="宋体" w:hAnsi="宋体" w:eastAsia="宋体" w:cs="宋体"/>
                <w:b/>
                <w:color w:val="FF0000"/>
                <w:sz w:val="24"/>
                <w:szCs w:val="24"/>
              </w:rPr>
              <w:t>养护类型</w:t>
            </w:r>
          </w:p>
        </w:tc>
        <w:tc>
          <w:tcPr>
            <w:tcW w:w="1056" w:type="dxa"/>
            <w:vAlign w:val="center"/>
          </w:tcPr>
          <w:p w14:paraId="20CB3D64">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面 积（㎡）</w:t>
            </w:r>
          </w:p>
        </w:tc>
        <w:tc>
          <w:tcPr>
            <w:tcW w:w="1383" w:type="dxa"/>
            <w:vAlign w:val="center"/>
          </w:tcPr>
          <w:p w14:paraId="6366E832">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次数</w:t>
            </w:r>
          </w:p>
        </w:tc>
        <w:tc>
          <w:tcPr>
            <w:tcW w:w="1604" w:type="dxa"/>
            <w:vAlign w:val="center"/>
          </w:tcPr>
          <w:p w14:paraId="63E3F705">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综合单价（元/100m</w:t>
            </w:r>
            <w:r>
              <w:rPr>
                <w:rFonts w:hint="eastAsia" w:ascii="宋体" w:hAnsi="宋体" w:eastAsia="宋体" w:cs="宋体"/>
                <w:b/>
                <w:color w:val="FF0000"/>
                <w:sz w:val="24"/>
                <w:szCs w:val="24"/>
                <w:vertAlign w:val="superscript"/>
              </w:rPr>
              <w:t>2</w:t>
            </w:r>
            <w:r>
              <w:rPr>
                <w:rFonts w:hint="eastAsia" w:ascii="宋体" w:hAnsi="宋体" w:eastAsia="宋体" w:cs="宋体"/>
                <w:b/>
                <w:color w:val="FF0000"/>
                <w:sz w:val="24"/>
                <w:szCs w:val="24"/>
              </w:rPr>
              <w:t>·次）</w:t>
            </w:r>
          </w:p>
        </w:tc>
        <w:tc>
          <w:tcPr>
            <w:tcW w:w="1512" w:type="dxa"/>
          </w:tcPr>
          <w:p w14:paraId="4FFC09B2">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合价（元）</w:t>
            </w:r>
          </w:p>
        </w:tc>
        <w:tc>
          <w:tcPr>
            <w:tcW w:w="1609" w:type="dxa"/>
            <w:vAlign w:val="center"/>
          </w:tcPr>
          <w:p w14:paraId="562ABD14">
            <w:pPr>
              <w:widowControl/>
              <w:jc w:val="center"/>
              <w:rPr>
                <w:rFonts w:ascii="宋体" w:hAnsi="宋体" w:eastAsia="宋体" w:cs="宋体"/>
                <w:b/>
                <w:color w:val="FF0000"/>
                <w:sz w:val="24"/>
                <w:szCs w:val="24"/>
              </w:rPr>
            </w:pPr>
            <w:r>
              <w:rPr>
                <w:rFonts w:hint="eastAsia" w:ascii="宋体" w:hAnsi="宋体" w:eastAsia="宋体" w:cs="宋体"/>
                <w:b/>
                <w:color w:val="FF0000"/>
                <w:sz w:val="24"/>
                <w:szCs w:val="24"/>
              </w:rPr>
              <w:t>备注</w:t>
            </w:r>
          </w:p>
        </w:tc>
      </w:tr>
      <w:tr w14:paraId="5570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8" w:type="dxa"/>
            <w:vMerge w:val="restart"/>
            <w:vAlign w:val="center"/>
          </w:tcPr>
          <w:p w14:paraId="5F22311B">
            <w:pPr>
              <w:widowControl/>
              <w:jc w:val="center"/>
              <w:rPr>
                <w:rFonts w:ascii="宋体" w:hAnsi="宋体" w:eastAsia="宋体" w:cs="宋体"/>
                <w:bCs/>
                <w:color w:val="FF0000"/>
                <w:sz w:val="24"/>
                <w:szCs w:val="24"/>
              </w:rPr>
            </w:pPr>
            <w:r>
              <w:rPr>
                <w:rFonts w:hint="eastAsia" w:ascii="宋体" w:hAnsi="宋体" w:eastAsia="宋体" w:cs="宋体"/>
                <w:b/>
                <w:color w:val="FF0000"/>
                <w:sz w:val="24"/>
                <w:szCs w:val="24"/>
              </w:rPr>
              <w:t>蒙城局</w:t>
            </w:r>
          </w:p>
        </w:tc>
        <w:tc>
          <w:tcPr>
            <w:tcW w:w="2144" w:type="dxa"/>
            <w:vMerge w:val="restart"/>
            <w:vAlign w:val="center"/>
          </w:tcPr>
          <w:p w14:paraId="3516EED7">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1056" w:type="dxa"/>
            <w:vAlign w:val="center"/>
          </w:tcPr>
          <w:p w14:paraId="235491CB">
            <w:pPr>
              <w:jc w:val="center"/>
              <w:rPr>
                <w:rFonts w:ascii="宋体" w:hAnsi="宋体" w:eastAsia="宋体" w:cs="宋体"/>
                <w:bCs/>
                <w:color w:val="FF0000"/>
                <w:sz w:val="24"/>
                <w:szCs w:val="24"/>
              </w:rPr>
            </w:pPr>
            <w:r>
              <w:rPr>
                <w:rFonts w:hint="eastAsia" w:ascii="宋体" w:hAnsi="宋体" w:eastAsia="宋体" w:cs="宋体"/>
                <w:bCs/>
                <w:color w:val="FF0000"/>
                <w:sz w:val="24"/>
                <w:szCs w:val="24"/>
              </w:rPr>
              <w:t>7</w:t>
            </w:r>
            <w:r>
              <w:rPr>
                <w:rFonts w:ascii="宋体" w:hAnsi="宋体" w:eastAsia="宋体" w:cs="宋体"/>
                <w:bCs/>
                <w:color w:val="FF0000"/>
                <w:sz w:val="24"/>
                <w:szCs w:val="24"/>
              </w:rPr>
              <w:t>10220</w:t>
            </w:r>
          </w:p>
        </w:tc>
        <w:tc>
          <w:tcPr>
            <w:tcW w:w="1383" w:type="dxa"/>
            <w:vAlign w:val="center"/>
          </w:tcPr>
          <w:p w14:paraId="006F5B4D">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restart"/>
            <w:vAlign w:val="center"/>
          </w:tcPr>
          <w:p w14:paraId="7A10D18F">
            <w:pPr>
              <w:widowControl/>
              <w:jc w:val="center"/>
              <w:rPr>
                <w:rFonts w:ascii="宋体" w:hAnsi="宋体" w:eastAsia="宋体" w:cs="宋体"/>
                <w:bCs/>
                <w:color w:val="FF0000"/>
                <w:sz w:val="24"/>
                <w:szCs w:val="24"/>
              </w:rPr>
            </w:pPr>
          </w:p>
        </w:tc>
        <w:tc>
          <w:tcPr>
            <w:tcW w:w="1512" w:type="dxa"/>
          </w:tcPr>
          <w:p w14:paraId="744E596F">
            <w:pPr>
              <w:widowControl/>
              <w:rPr>
                <w:rFonts w:ascii="宋体" w:hAnsi="宋体" w:eastAsia="宋体" w:cs="宋体"/>
                <w:bCs/>
                <w:color w:val="FF0000"/>
                <w:sz w:val="24"/>
                <w:szCs w:val="24"/>
              </w:rPr>
            </w:pPr>
          </w:p>
        </w:tc>
        <w:tc>
          <w:tcPr>
            <w:tcW w:w="1609" w:type="dxa"/>
            <w:vMerge w:val="restart"/>
            <w:vAlign w:val="center"/>
          </w:tcPr>
          <w:p w14:paraId="432AA6E8">
            <w:pPr>
              <w:widowControl/>
              <w:rPr>
                <w:rFonts w:ascii="宋体" w:hAnsi="宋体" w:eastAsia="宋体" w:cs="宋体"/>
                <w:bCs/>
                <w:color w:val="FF0000"/>
                <w:sz w:val="24"/>
                <w:szCs w:val="24"/>
              </w:rPr>
            </w:pPr>
          </w:p>
        </w:tc>
      </w:tr>
      <w:tr w14:paraId="4140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8" w:type="dxa"/>
            <w:vMerge w:val="continue"/>
            <w:vAlign w:val="center"/>
          </w:tcPr>
          <w:p w14:paraId="6A41314A">
            <w:pPr>
              <w:widowControl/>
              <w:jc w:val="center"/>
              <w:rPr>
                <w:rFonts w:hint="eastAsia" w:ascii="宋体" w:hAnsi="宋体" w:eastAsia="宋体" w:cs="宋体"/>
                <w:b/>
                <w:color w:val="FF0000"/>
                <w:sz w:val="24"/>
                <w:szCs w:val="24"/>
              </w:rPr>
            </w:pPr>
          </w:p>
        </w:tc>
        <w:tc>
          <w:tcPr>
            <w:tcW w:w="2144" w:type="dxa"/>
            <w:vMerge w:val="continue"/>
            <w:vAlign w:val="center"/>
          </w:tcPr>
          <w:p w14:paraId="29D6F422">
            <w:pPr>
              <w:jc w:val="left"/>
              <w:rPr>
                <w:rFonts w:hint="eastAsia" w:ascii="宋体" w:hAnsi="宋体" w:eastAsia="宋体" w:cs="宋体"/>
                <w:bCs/>
                <w:color w:val="FF0000"/>
                <w:sz w:val="24"/>
                <w:szCs w:val="24"/>
              </w:rPr>
            </w:pPr>
          </w:p>
        </w:tc>
        <w:tc>
          <w:tcPr>
            <w:tcW w:w="1056" w:type="dxa"/>
            <w:vAlign w:val="center"/>
          </w:tcPr>
          <w:p w14:paraId="47191A47">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2130660</w:t>
            </w:r>
          </w:p>
        </w:tc>
        <w:tc>
          <w:tcPr>
            <w:tcW w:w="1383" w:type="dxa"/>
            <w:vAlign w:val="center"/>
          </w:tcPr>
          <w:p w14:paraId="5E06EB8B">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5B7D5F2E">
            <w:pPr>
              <w:widowControl/>
              <w:jc w:val="center"/>
              <w:rPr>
                <w:rFonts w:ascii="宋体" w:hAnsi="宋体" w:eastAsia="宋体" w:cs="宋体"/>
                <w:bCs/>
                <w:color w:val="FF0000"/>
                <w:sz w:val="24"/>
                <w:szCs w:val="24"/>
              </w:rPr>
            </w:pPr>
          </w:p>
        </w:tc>
        <w:tc>
          <w:tcPr>
            <w:tcW w:w="1512" w:type="dxa"/>
          </w:tcPr>
          <w:p w14:paraId="32170E95">
            <w:pPr>
              <w:widowControl/>
              <w:rPr>
                <w:rFonts w:ascii="宋体" w:hAnsi="宋体" w:eastAsia="宋体" w:cs="宋体"/>
                <w:bCs/>
                <w:color w:val="FF0000"/>
                <w:sz w:val="24"/>
                <w:szCs w:val="24"/>
              </w:rPr>
            </w:pPr>
          </w:p>
        </w:tc>
        <w:tc>
          <w:tcPr>
            <w:tcW w:w="1609" w:type="dxa"/>
            <w:vMerge w:val="continue"/>
            <w:vAlign w:val="center"/>
          </w:tcPr>
          <w:p w14:paraId="2F9D65B7">
            <w:pPr>
              <w:widowControl/>
              <w:rPr>
                <w:rFonts w:ascii="宋体" w:hAnsi="宋体" w:eastAsia="宋体" w:cs="宋体"/>
                <w:bCs/>
                <w:color w:val="FF0000"/>
                <w:sz w:val="24"/>
                <w:szCs w:val="24"/>
              </w:rPr>
            </w:pPr>
          </w:p>
        </w:tc>
      </w:tr>
      <w:tr w14:paraId="3784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48" w:type="dxa"/>
            <w:vMerge w:val="continue"/>
            <w:vAlign w:val="center"/>
          </w:tcPr>
          <w:p w14:paraId="410C7CDC">
            <w:pPr>
              <w:jc w:val="center"/>
              <w:rPr>
                <w:rFonts w:ascii="宋体" w:hAnsi="宋体" w:eastAsia="宋体" w:cs="宋体"/>
                <w:bCs/>
                <w:color w:val="FF0000"/>
                <w:sz w:val="24"/>
                <w:szCs w:val="24"/>
              </w:rPr>
            </w:pPr>
          </w:p>
        </w:tc>
        <w:tc>
          <w:tcPr>
            <w:tcW w:w="2144" w:type="dxa"/>
            <w:vAlign w:val="center"/>
          </w:tcPr>
          <w:p w14:paraId="17EDF128">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1056" w:type="dxa"/>
            <w:vAlign w:val="center"/>
          </w:tcPr>
          <w:p w14:paraId="566313F1">
            <w:pPr>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383" w:type="dxa"/>
            <w:vAlign w:val="center"/>
          </w:tcPr>
          <w:p w14:paraId="0FEF9879">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w:t>
            </w:r>
          </w:p>
        </w:tc>
        <w:tc>
          <w:tcPr>
            <w:tcW w:w="1604" w:type="dxa"/>
            <w:vMerge w:val="continue"/>
            <w:vAlign w:val="center"/>
          </w:tcPr>
          <w:p w14:paraId="7F660CEB">
            <w:pPr>
              <w:widowControl/>
              <w:jc w:val="center"/>
              <w:rPr>
                <w:rFonts w:ascii="宋体" w:hAnsi="宋体" w:eastAsia="宋体" w:cs="宋体"/>
                <w:bCs/>
                <w:color w:val="FF0000"/>
                <w:sz w:val="24"/>
                <w:szCs w:val="24"/>
              </w:rPr>
            </w:pPr>
          </w:p>
        </w:tc>
        <w:tc>
          <w:tcPr>
            <w:tcW w:w="1512" w:type="dxa"/>
          </w:tcPr>
          <w:p w14:paraId="758BBF02">
            <w:pPr>
              <w:widowControl/>
              <w:rPr>
                <w:rFonts w:ascii="宋体" w:hAnsi="宋体" w:eastAsia="宋体" w:cs="宋体"/>
                <w:bCs/>
                <w:color w:val="FF0000"/>
                <w:sz w:val="24"/>
                <w:szCs w:val="24"/>
              </w:rPr>
            </w:pPr>
          </w:p>
        </w:tc>
        <w:tc>
          <w:tcPr>
            <w:tcW w:w="1609" w:type="dxa"/>
            <w:vMerge w:val="continue"/>
            <w:vAlign w:val="center"/>
          </w:tcPr>
          <w:p w14:paraId="078C2437">
            <w:pPr>
              <w:widowControl/>
              <w:rPr>
                <w:rFonts w:ascii="宋体" w:hAnsi="宋体" w:eastAsia="宋体" w:cs="宋体"/>
                <w:bCs/>
                <w:color w:val="FF0000"/>
                <w:sz w:val="24"/>
                <w:szCs w:val="24"/>
              </w:rPr>
            </w:pPr>
          </w:p>
        </w:tc>
      </w:tr>
      <w:tr w14:paraId="4CAB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48" w:type="dxa"/>
            <w:vMerge w:val="continue"/>
            <w:vAlign w:val="center"/>
          </w:tcPr>
          <w:p w14:paraId="3ECF260A">
            <w:pPr>
              <w:widowControl/>
              <w:jc w:val="center"/>
              <w:rPr>
                <w:rFonts w:ascii="宋体" w:hAnsi="宋体" w:eastAsia="宋体" w:cs="宋体"/>
                <w:bCs/>
                <w:color w:val="FF0000"/>
                <w:sz w:val="24"/>
                <w:szCs w:val="24"/>
              </w:rPr>
            </w:pPr>
          </w:p>
        </w:tc>
        <w:tc>
          <w:tcPr>
            <w:tcW w:w="2144" w:type="dxa"/>
            <w:vAlign w:val="center"/>
          </w:tcPr>
          <w:p w14:paraId="36E50F0A">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1056" w:type="dxa"/>
            <w:vAlign w:val="center"/>
          </w:tcPr>
          <w:p w14:paraId="533644A4">
            <w:pPr>
              <w:jc w:val="center"/>
              <w:rPr>
                <w:rFonts w:ascii="宋体" w:hAnsi="宋体" w:eastAsia="宋体" w:cs="宋体"/>
                <w:bCs/>
                <w:color w:val="FF0000"/>
                <w:sz w:val="24"/>
                <w:szCs w:val="24"/>
              </w:rPr>
            </w:pPr>
            <w:r>
              <w:rPr>
                <w:rFonts w:hint="eastAsia" w:ascii="宋体" w:hAnsi="宋体" w:eastAsia="宋体" w:cs="宋体"/>
                <w:bCs/>
                <w:color w:val="FF0000"/>
                <w:sz w:val="24"/>
                <w:szCs w:val="24"/>
              </w:rPr>
              <w:t>378000</w:t>
            </w:r>
          </w:p>
        </w:tc>
        <w:tc>
          <w:tcPr>
            <w:tcW w:w="1383" w:type="dxa"/>
            <w:vAlign w:val="center"/>
          </w:tcPr>
          <w:p w14:paraId="494F2FBB">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vAlign w:val="center"/>
          </w:tcPr>
          <w:p w14:paraId="3F70927D">
            <w:pPr>
              <w:widowControl/>
              <w:jc w:val="center"/>
              <w:rPr>
                <w:rFonts w:ascii="宋体" w:hAnsi="宋体" w:eastAsia="宋体" w:cs="宋体"/>
                <w:bCs/>
                <w:color w:val="FF0000"/>
                <w:sz w:val="24"/>
                <w:szCs w:val="24"/>
              </w:rPr>
            </w:pPr>
          </w:p>
        </w:tc>
        <w:tc>
          <w:tcPr>
            <w:tcW w:w="1512" w:type="dxa"/>
          </w:tcPr>
          <w:p w14:paraId="60A8D568">
            <w:pPr>
              <w:rPr>
                <w:rFonts w:ascii="宋体" w:hAnsi="宋体" w:eastAsia="宋体" w:cs="宋体"/>
                <w:bCs/>
                <w:color w:val="FF0000"/>
                <w:sz w:val="24"/>
                <w:szCs w:val="24"/>
              </w:rPr>
            </w:pPr>
          </w:p>
        </w:tc>
        <w:tc>
          <w:tcPr>
            <w:tcW w:w="1609" w:type="dxa"/>
            <w:vMerge w:val="continue"/>
            <w:vAlign w:val="center"/>
          </w:tcPr>
          <w:p w14:paraId="05F4675B">
            <w:pPr>
              <w:rPr>
                <w:rFonts w:ascii="宋体" w:hAnsi="宋体" w:eastAsia="宋体" w:cs="宋体"/>
                <w:bCs/>
                <w:color w:val="FF0000"/>
                <w:sz w:val="24"/>
                <w:szCs w:val="24"/>
              </w:rPr>
            </w:pPr>
          </w:p>
        </w:tc>
      </w:tr>
      <w:tr w14:paraId="58F7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48" w:type="dxa"/>
            <w:vMerge w:val="continue"/>
            <w:vAlign w:val="center"/>
          </w:tcPr>
          <w:p w14:paraId="0029B2E3">
            <w:pPr>
              <w:widowControl/>
              <w:jc w:val="center"/>
              <w:rPr>
                <w:rFonts w:ascii="宋体" w:hAnsi="宋体" w:eastAsia="宋体" w:cs="宋体"/>
                <w:bCs/>
                <w:color w:val="FF0000"/>
                <w:sz w:val="24"/>
                <w:szCs w:val="24"/>
              </w:rPr>
            </w:pPr>
          </w:p>
        </w:tc>
        <w:tc>
          <w:tcPr>
            <w:tcW w:w="2144" w:type="dxa"/>
            <w:vAlign w:val="center"/>
          </w:tcPr>
          <w:p w14:paraId="62C4AC85">
            <w:pPr>
              <w:jc w:val="left"/>
              <w:rPr>
                <w:rFonts w:ascii="宋体" w:hAnsi="宋体" w:eastAsia="宋体" w:cs="宋体"/>
                <w:bCs/>
                <w:color w:val="FF0000"/>
                <w:sz w:val="24"/>
                <w:szCs w:val="24"/>
              </w:rPr>
            </w:pPr>
            <w:r>
              <w:rPr>
                <w:rFonts w:hint="eastAsia" w:ascii="宋体" w:hAnsi="宋体" w:eastAsia="宋体" w:cs="宋体"/>
                <w:b/>
                <w:color w:val="FF0000"/>
                <w:sz w:val="24"/>
                <w:szCs w:val="24"/>
              </w:rPr>
              <w:t>合计（元）</w:t>
            </w:r>
          </w:p>
        </w:tc>
        <w:tc>
          <w:tcPr>
            <w:tcW w:w="7164" w:type="dxa"/>
            <w:gridSpan w:val="5"/>
            <w:vAlign w:val="center"/>
          </w:tcPr>
          <w:p w14:paraId="763644DD">
            <w:pPr>
              <w:rPr>
                <w:rFonts w:ascii="宋体" w:hAnsi="宋体" w:eastAsia="宋体" w:cs="宋体"/>
                <w:bCs/>
                <w:color w:val="FF0000"/>
                <w:sz w:val="24"/>
                <w:szCs w:val="24"/>
              </w:rPr>
            </w:pPr>
          </w:p>
        </w:tc>
      </w:tr>
      <w:tr w14:paraId="723A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48" w:type="dxa"/>
            <w:vMerge w:val="restart"/>
            <w:vAlign w:val="center"/>
          </w:tcPr>
          <w:p w14:paraId="111752A3">
            <w:pPr>
              <w:widowControl/>
              <w:jc w:val="center"/>
              <w:rPr>
                <w:rFonts w:ascii="宋体" w:hAnsi="宋体" w:eastAsia="宋体" w:cs="宋体"/>
                <w:bCs/>
                <w:color w:val="FF0000"/>
                <w:sz w:val="24"/>
                <w:szCs w:val="24"/>
              </w:rPr>
            </w:pPr>
            <w:r>
              <w:rPr>
                <w:rFonts w:hint="eastAsia" w:ascii="宋体" w:hAnsi="宋体" w:eastAsia="宋体" w:cs="宋体"/>
                <w:b/>
                <w:color w:val="FF0000"/>
                <w:sz w:val="24"/>
                <w:szCs w:val="24"/>
              </w:rPr>
              <w:t>蒙城闸</w:t>
            </w:r>
          </w:p>
        </w:tc>
        <w:tc>
          <w:tcPr>
            <w:tcW w:w="2144" w:type="dxa"/>
            <w:vMerge w:val="restart"/>
            <w:vAlign w:val="center"/>
          </w:tcPr>
          <w:p w14:paraId="0DDF9840">
            <w:pPr>
              <w:jc w:val="left"/>
              <w:rPr>
                <w:rFonts w:ascii="宋体" w:hAnsi="宋体" w:eastAsia="宋体" w:cs="宋体"/>
                <w:bCs/>
                <w:color w:val="FF0000"/>
                <w:sz w:val="24"/>
                <w:szCs w:val="24"/>
              </w:rPr>
            </w:pPr>
            <w:r>
              <w:rPr>
                <w:rFonts w:hint="eastAsia" w:ascii="宋体" w:hAnsi="宋体" w:eastAsia="宋体" w:cs="宋体"/>
                <w:bCs/>
                <w:color w:val="FF0000"/>
                <w:sz w:val="24"/>
                <w:szCs w:val="24"/>
              </w:rPr>
              <w:t>堤防草皮（含上下堤道路）养护</w:t>
            </w:r>
          </w:p>
        </w:tc>
        <w:tc>
          <w:tcPr>
            <w:tcW w:w="1056" w:type="dxa"/>
            <w:vAlign w:val="center"/>
          </w:tcPr>
          <w:p w14:paraId="33BBC442">
            <w:pPr>
              <w:jc w:val="center"/>
              <w:rPr>
                <w:rFonts w:ascii="宋体" w:hAnsi="宋体" w:eastAsia="宋体" w:cs="宋体"/>
                <w:bCs/>
                <w:color w:val="FF0000"/>
                <w:sz w:val="24"/>
                <w:szCs w:val="24"/>
              </w:rPr>
            </w:pPr>
            <w:r>
              <w:rPr>
                <w:rFonts w:hint="eastAsia" w:ascii="宋体" w:hAnsi="宋体" w:eastAsia="宋体" w:cs="宋体"/>
                <w:bCs/>
                <w:color w:val="FF0000"/>
                <w:sz w:val="24"/>
                <w:szCs w:val="24"/>
              </w:rPr>
              <w:t>6</w:t>
            </w:r>
            <w:r>
              <w:rPr>
                <w:rFonts w:ascii="宋体" w:hAnsi="宋体" w:eastAsia="宋体" w:cs="宋体"/>
                <w:bCs/>
                <w:color w:val="FF0000"/>
                <w:sz w:val="24"/>
                <w:szCs w:val="24"/>
              </w:rPr>
              <w:t>566</w:t>
            </w:r>
          </w:p>
        </w:tc>
        <w:tc>
          <w:tcPr>
            <w:tcW w:w="1383" w:type="dxa"/>
            <w:vAlign w:val="center"/>
          </w:tcPr>
          <w:p w14:paraId="0C0C4BEE">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restart"/>
            <w:vAlign w:val="center"/>
          </w:tcPr>
          <w:p w14:paraId="334F192D">
            <w:pPr>
              <w:widowControl/>
              <w:jc w:val="center"/>
              <w:rPr>
                <w:rFonts w:ascii="宋体" w:hAnsi="宋体" w:eastAsia="宋体" w:cs="宋体"/>
                <w:bCs/>
                <w:color w:val="FF0000"/>
                <w:sz w:val="24"/>
                <w:szCs w:val="24"/>
              </w:rPr>
            </w:pPr>
          </w:p>
        </w:tc>
        <w:tc>
          <w:tcPr>
            <w:tcW w:w="1512" w:type="dxa"/>
          </w:tcPr>
          <w:p w14:paraId="3EDFEB4F">
            <w:pPr>
              <w:rPr>
                <w:rFonts w:ascii="宋体" w:hAnsi="宋体" w:eastAsia="宋体" w:cs="宋体"/>
                <w:bCs/>
                <w:color w:val="FF0000"/>
                <w:sz w:val="24"/>
                <w:szCs w:val="24"/>
              </w:rPr>
            </w:pPr>
          </w:p>
        </w:tc>
        <w:tc>
          <w:tcPr>
            <w:tcW w:w="1609" w:type="dxa"/>
            <w:vMerge w:val="restart"/>
            <w:vAlign w:val="center"/>
          </w:tcPr>
          <w:p w14:paraId="5B2F336D">
            <w:pPr>
              <w:rPr>
                <w:rFonts w:ascii="宋体" w:hAnsi="宋体" w:eastAsia="宋体" w:cs="宋体"/>
                <w:bCs/>
                <w:color w:val="FF0000"/>
                <w:sz w:val="24"/>
                <w:szCs w:val="24"/>
              </w:rPr>
            </w:pPr>
          </w:p>
        </w:tc>
      </w:tr>
      <w:tr w14:paraId="11F4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48" w:type="dxa"/>
            <w:vMerge w:val="continue"/>
            <w:vAlign w:val="center"/>
          </w:tcPr>
          <w:p w14:paraId="39ADAA57">
            <w:pPr>
              <w:widowControl/>
              <w:jc w:val="center"/>
              <w:rPr>
                <w:rFonts w:hint="eastAsia" w:ascii="宋体" w:hAnsi="宋体" w:eastAsia="宋体" w:cs="宋体"/>
                <w:b/>
                <w:color w:val="FF0000"/>
                <w:sz w:val="24"/>
                <w:szCs w:val="24"/>
              </w:rPr>
            </w:pPr>
          </w:p>
        </w:tc>
        <w:tc>
          <w:tcPr>
            <w:tcW w:w="2144" w:type="dxa"/>
            <w:vMerge w:val="continue"/>
            <w:vAlign w:val="center"/>
          </w:tcPr>
          <w:p w14:paraId="578DD072">
            <w:pPr>
              <w:jc w:val="left"/>
              <w:rPr>
                <w:rFonts w:hint="eastAsia" w:ascii="宋体" w:hAnsi="宋体" w:eastAsia="宋体" w:cs="宋体"/>
                <w:bCs/>
                <w:color w:val="FF0000"/>
                <w:sz w:val="24"/>
                <w:szCs w:val="24"/>
              </w:rPr>
            </w:pPr>
          </w:p>
        </w:tc>
        <w:tc>
          <w:tcPr>
            <w:tcW w:w="1056" w:type="dxa"/>
            <w:vAlign w:val="center"/>
          </w:tcPr>
          <w:p w14:paraId="25D5F382">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19700</w:t>
            </w:r>
          </w:p>
        </w:tc>
        <w:tc>
          <w:tcPr>
            <w:tcW w:w="1383" w:type="dxa"/>
            <w:vAlign w:val="center"/>
          </w:tcPr>
          <w:p w14:paraId="392AAED8">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2F1F0B1C">
            <w:pPr>
              <w:widowControl/>
              <w:jc w:val="center"/>
              <w:rPr>
                <w:rFonts w:ascii="宋体" w:hAnsi="宋体" w:eastAsia="宋体" w:cs="宋体"/>
                <w:bCs/>
                <w:color w:val="FF0000"/>
                <w:sz w:val="24"/>
                <w:szCs w:val="24"/>
              </w:rPr>
            </w:pPr>
          </w:p>
        </w:tc>
        <w:tc>
          <w:tcPr>
            <w:tcW w:w="1512" w:type="dxa"/>
          </w:tcPr>
          <w:p w14:paraId="5652DD3C">
            <w:pPr>
              <w:rPr>
                <w:rFonts w:ascii="宋体" w:hAnsi="宋体" w:eastAsia="宋体" w:cs="宋体"/>
                <w:bCs/>
                <w:color w:val="FF0000"/>
                <w:sz w:val="24"/>
                <w:szCs w:val="24"/>
              </w:rPr>
            </w:pPr>
          </w:p>
        </w:tc>
        <w:tc>
          <w:tcPr>
            <w:tcW w:w="1609" w:type="dxa"/>
            <w:vMerge w:val="continue"/>
            <w:vAlign w:val="center"/>
          </w:tcPr>
          <w:p w14:paraId="6EBC7509">
            <w:pPr>
              <w:rPr>
                <w:rFonts w:ascii="宋体" w:hAnsi="宋体" w:eastAsia="宋体" w:cs="宋体"/>
                <w:bCs/>
                <w:color w:val="FF0000"/>
                <w:sz w:val="24"/>
                <w:szCs w:val="24"/>
              </w:rPr>
            </w:pPr>
          </w:p>
        </w:tc>
      </w:tr>
      <w:tr w14:paraId="2C02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48" w:type="dxa"/>
            <w:vMerge w:val="continue"/>
          </w:tcPr>
          <w:p w14:paraId="69D9E803">
            <w:pPr>
              <w:widowControl/>
              <w:jc w:val="center"/>
              <w:rPr>
                <w:rFonts w:ascii="宋体" w:hAnsi="宋体" w:eastAsia="宋体" w:cs="宋体"/>
                <w:bCs/>
                <w:color w:val="FF0000"/>
                <w:sz w:val="24"/>
                <w:szCs w:val="24"/>
              </w:rPr>
            </w:pPr>
          </w:p>
        </w:tc>
        <w:tc>
          <w:tcPr>
            <w:tcW w:w="2144" w:type="dxa"/>
            <w:vMerge w:val="restart"/>
            <w:vAlign w:val="center"/>
          </w:tcPr>
          <w:p w14:paraId="31CA43B5">
            <w:pPr>
              <w:jc w:val="left"/>
              <w:rPr>
                <w:rFonts w:ascii="宋体" w:hAnsi="宋体" w:eastAsia="宋体" w:cs="宋体"/>
                <w:bCs/>
                <w:color w:val="FF0000"/>
                <w:sz w:val="24"/>
                <w:szCs w:val="24"/>
              </w:rPr>
            </w:pPr>
            <w:r>
              <w:rPr>
                <w:rFonts w:hint="eastAsia" w:ascii="宋体" w:hAnsi="宋体" w:eastAsia="宋体" w:cs="宋体"/>
                <w:bCs/>
                <w:color w:val="FF0000"/>
                <w:sz w:val="24"/>
                <w:szCs w:val="24"/>
              </w:rPr>
              <w:t>硬质护坡养护</w:t>
            </w:r>
          </w:p>
        </w:tc>
        <w:tc>
          <w:tcPr>
            <w:tcW w:w="1056" w:type="dxa"/>
            <w:vAlign w:val="center"/>
          </w:tcPr>
          <w:p w14:paraId="54578CC4">
            <w:pPr>
              <w:jc w:val="center"/>
              <w:rPr>
                <w:rFonts w:ascii="宋体" w:hAnsi="宋体" w:eastAsia="宋体" w:cs="宋体"/>
                <w:bCs/>
                <w:color w:val="FF0000"/>
                <w:sz w:val="24"/>
                <w:szCs w:val="24"/>
              </w:rPr>
            </w:pPr>
            <w:r>
              <w:rPr>
                <w:rFonts w:hint="eastAsia" w:ascii="宋体" w:hAnsi="宋体" w:eastAsia="宋体" w:cs="宋体"/>
                <w:bCs/>
                <w:color w:val="FF0000"/>
                <w:sz w:val="24"/>
                <w:szCs w:val="24"/>
              </w:rPr>
              <w:t>4</w:t>
            </w:r>
            <w:r>
              <w:rPr>
                <w:rFonts w:ascii="宋体" w:hAnsi="宋体" w:eastAsia="宋体" w:cs="宋体"/>
                <w:bCs/>
                <w:color w:val="FF0000"/>
                <w:sz w:val="24"/>
                <w:szCs w:val="24"/>
              </w:rPr>
              <w:t>500</w:t>
            </w:r>
          </w:p>
        </w:tc>
        <w:tc>
          <w:tcPr>
            <w:tcW w:w="1383" w:type="dxa"/>
            <w:vAlign w:val="center"/>
          </w:tcPr>
          <w:p w14:paraId="62CC8A6B">
            <w:pPr>
              <w:widowControl/>
              <w:jc w:val="center"/>
              <w:rPr>
                <w:rFonts w:ascii="宋体" w:hAnsi="宋体" w:eastAsia="宋体" w:cs="宋体"/>
                <w:bCs/>
                <w:color w:val="FF0000"/>
                <w:sz w:val="24"/>
                <w:szCs w:val="24"/>
              </w:rPr>
            </w:pPr>
            <w:r>
              <w:rPr>
                <w:rFonts w:ascii="宋体" w:hAnsi="宋体" w:eastAsia="宋体" w:cs="宋体"/>
                <w:bCs/>
                <w:color w:val="FF0000"/>
                <w:sz w:val="24"/>
                <w:szCs w:val="24"/>
              </w:rPr>
              <w:t>1</w:t>
            </w:r>
          </w:p>
        </w:tc>
        <w:tc>
          <w:tcPr>
            <w:tcW w:w="1604" w:type="dxa"/>
            <w:vMerge w:val="continue"/>
            <w:vAlign w:val="center"/>
          </w:tcPr>
          <w:p w14:paraId="03A1957B">
            <w:pPr>
              <w:widowControl/>
              <w:jc w:val="center"/>
              <w:rPr>
                <w:rFonts w:ascii="宋体" w:hAnsi="宋体" w:eastAsia="宋体" w:cs="宋体"/>
                <w:bCs/>
                <w:color w:val="FF0000"/>
                <w:sz w:val="24"/>
                <w:szCs w:val="24"/>
              </w:rPr>
            </w:pPr>
          </w:p>
        </w:tc>
        <w:tc>
          <w:tcPr>
            <w:tcW w:w="1512" w:type="dxa"/>
          </w:tcPr>
          <w:p w14:paraId="1FD2F52D">
            <w:pPr>
              <w:rPr>
                <w:rFonts w:ascii="宋体" w:hAnsi="宋体" w:eastAsia="宋体" w:cs="宋体"/>
                <w:bCs/>
                <w:color w:val="FF0000"/>
                <w:sz w:val="24"/>
                <w:szCs w:val="24"/>
              </w:rPr>
            </w:pPr>
          </w:p>
        </w:tc>
        <w:tc>
          <w:tcPr>
            <w:tcW w:w="1609" w:type="dxa"/>
            <w:vMerge w:val="continue"/>
            <w:vAlign w:val="center"/>
          </w:tcPr>
          <w:p w14:paraId="2E7D0767">
            <w:pPr>
              <w:rPr>
                <w:rFonts w:ascii="宋体" w:hAnsi="宋体" w:eastAsia="宋体" w:cs="宋体"/>
                <w:bCs/>
                <w:color w:val="FF0000"/>
                <w:sz w:val="24"/>
                <w:szCs w:val="24"/>
              </w:rPr>
            </w:pPr>
          </w:p>
        </w:tc>
      </w:tr>
      <w:tr w14:paraId="5C0D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48" w:type="dxa"/>
            <w:vMerge w:val="continue"/>
          </w:tcPr>
          <w:p w14:paraId="0EB86E13">
            <w:pPr>
              <w:widowControl/>
              <w:jc w:val="center"/>
              <w:rPr>
                <w:rFonts w:ascii="宋体" w:hAnsi="宋体" w:eastAsia="宋体" w:cs="宋体"/>
                <w:bCs/>
                <w:color w:val="FF0000"/>
                <w:sz w:val="24"/>
                <w:szCs w:val="24"/>
              </w:rPr>
            </w:pPr>
          </w:p>
        </w:tc>
        <w:tc>
          <w:tcPr>
            <w:tcW w:w="2144" w:type="dxa"/>
            <w:vMerge w:val="continue"/>
            <w:vAlign w:val="center"/>
          </w:tcPr>
          <w:p w14:paraId="6C80B440">
            <w:pPr>
              <w:jc w:val="left"/>
              <w:rPr>
                <w:rFonts w:hint="eastAsia" w:ascii="宋体" w:hAnsi="宋体" w:eastAsia="宋体" w:cs="宋体"/>
                <w:bCs/>
                <w:color w:val="FF0000"/>
                <w:sz w:val="24"/>
                <w:szCs w:val="24"/>
              </w:rPr>
            </w:pPr>
          </w:p>
        </w:tc>
        <w:tc>
          <w:tcPr>
            <w:tcW w:w="1056" w:type="dxa"/>
            <w:vAlign w:val="center"/>
          </w:tcPr>
          <w:p w14:paraId="30BF1E34">
            <w:pPr>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13500</w:t>
            </w:r>
          </w:p>
        </w:tc>
        <w:tc>
          <w:tcPr>
            <w:tcW w:w="1383" w:type="dxa"/>
            <w:vAlign w:val="center"/>
          </w:tcPr>
          <w:p w14:paraId="7CFB11C2">
            <w:pPr>
              <w:widowControl/>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rPr>
              <w:t>7</w:t>
            </w:r>
          </w:p>
        </w:tc>
        <w:tc>
          <w:tcPr>
            <w:tcW w:w="1604" w:type="dxa"/>
            <w:vMerge w:val="continue"/>
            <w:vAlign w:val="center"/>
          </w:tcPr>
          <w:p w14:paraId="102DF258">
            <w:pPr>
              <w:widowControl/>
              <w:jc w:val="center"/>
              <w:rPr>
                <w:rFonts w:ascii="宋体" w:hAnsi="宋体" w:eastAsia="宋体" w:cs="宋体"/>
                <w:bCs/>
                <w:color w:val="FF0000"/>
                <w:sz w:val="24"/>
                <w:szCs w:val="24"/>
              </w:rPr>
            </w:pPr>
          </w:p>
        </w:tc>
        <w:tc>
          <w:tcPr>
            <w:tcW w:w="1512" w:type="dxa"/>
          </w:tcPr>
          <w:p w14:paraId="79926B09">
            <w:pPr>
              <w:rPr>
                <w:rFonts w:ascii="宋体" w:hAnsi="宋体" w:eastAsia="宋体" w:cs="宋体"/>
                <w:bCs/>
                <w:color w:val="FF0000"/>
                <w:sz w:val="24"/>
                <w:szCs w:val="24"/>
              </w:rPr>
            </w:pPr>
          </w:p>
        </w:tc>
        <w:tc>
          <w:tcPr>
            <w:tcW w:w="1609" w:type="dxa"/>
            <w:vMerge w:val="continue"/>
            <w:vAlign w:val="center"/>
          </w:tcPr>
          <w:p w14:paraId="3BD9643F">
            <w:pPr>
              <w:rPr>
                <w:rFonts w:ascii="宋体" w:hAnsi="宋体" w:eastAsia="宋体" w:cs="宋体"/>
                <w:bCs/>
                <w:color w:val="FF0000"/>
                <w:sz w:val="24"/>
                <w:szCs w:val="24"/>
              </w:rPr>
            </w:pPr>
          </w:p>
        </w:tc>
      </w:tr>
      <w:tr w14:paraId="15A5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48" w:type="dxa"/>
            <w:vMerge w:val="continue"/>
          </w:tcPr>
          <w:p w14:paraId="6863B496">
            <w:pPr>
              <w:widowControl/>
              <w:jc w:val="center"/>
              <w:rPr>
                <w:rFonts w:ascii="宋体" w:hAnsi="宋体" w:eastAsia="宋体" w:cs="宋体"/>
                <w:bCs/>
                <w:color w:val="FF0000"/>
                <w:sz w:val="24"/>
                <w:szCs w:val="24"/>
              </w:rPr>
            </w:pPr>
          </w:p>
        </w:tc>
        <w:tc>
          <w:tcPr>
            <w:tcW w:w="2144" w:type="dxa"/>
            <w:vAlign w:val="center"/>
          </w:tcPr>
          <w:p w14:paraId="504AFB0C">
            <w:pPr>
              <w:jc w:val="left"/>
              <w:rPr>
                <w:rFonts w:ascii="宋体" w:hAnsi="宋体" w:eastAsia="宋体" w:cs="宋体"/>
                <w:bCs/>
                <w:color w:val="FF0000"/>
                <w:sz w:val="24"/>
                <w:szCs w:val="24"/>
              </w:rPr>
            </w:pPr>
            <w:r>
              <w:rPr>
                <w:rFonts w:hint="eastAsia" w:ascii="宋体" w:hAnsi="宋体" w:eastAsia="宋体" w:cs="宋体"/>
                <w:bCs/>
                <w:color w:val="FF0000"/>
                <w:sz w:val="24"/>
                <w:szCs w:val="24"/>
              </w:rPr>
              <w:t>林间除杂</w:t>
            </w:r>
          </w:p>
        </w:tc>
        <w:tc>
          <w:tcPr>
            <w:tcW w:w="1056" w:type="dxa"/>
            <w:vAlign w:val="center"/>
          </w:tcPr>
          <w:p w14:paraId="1509C4F9">
            <w:pPr>
              <w:jc w:val="center"/>
              <w:rPr>
                <w:rFonts w:ascii="宋体" w:hAnsi="宋体" w:eastAsia="宋体" w:cs="宋体"/>
                <w:bCs/>
                <w:color w:val="FF0000"/>
                <w:sz w:val="24"/>
                <w:szCs w:val="24"/>
              </w:rPr>
            </w:pPr>
            <w:r>
              <w:rPr>
                <w:rFonts w:hint="eastAsia" w:ascii="宋体" w:hAnsi="宋体" w:eastAsia="宋体" w:cs="宋体"/>
                <w:bCs/>
                <w:color w:val="FF0000"/>
                <w:sz w:val="24"/>
                <w:szCs w:val="24"/>
              </w:rPr>
              <w:t>38200</w:t>
            </w:r>
          </w:p>
        </w:tc>
        <w:tc>
          <w:tcPr>
            <w:tcW w:w="1383" w:type="dxa"/>
            <w:vAlign w:val="center"/>
          </w:tcPr>
          <w:p w14:paraId="5749BC9E">
            <w:pPr>
              <w:widowControl/>
              <w:jc w:val="center"/>
              <w:rPr>
                <w:rFonts w:ascii="宋体" w:hAnsi="宋体" w:eastAsia="宋体" w:cs="宋体"/>
                <w:bCs/>
                <w:color w:val="FF0000"/>
                <w:sz w:val="24"/>
                <w:szCs w:val="24"/>
              </w:rPr>
            </w:pPr>
            <w:r>
              <w:rPr>
                <w:rFonts w:hint="eastAsia" w:ascii="宋体" w:hAnsi="宋体" w:eastAsia="宋体" w:cs="宋体"/>
                <w:bCs/>
                <w:color w:val="FF0000"/>
                <w:sz w:val="24"/>
                <w:szCs w:val="24"/>
              </w:rPr>
              <w:t>3</w:t>
            </w:r>
          </w:p>
        </w:tc>
        <w:tc>
          <w:tcPr>
            <w:tcW w:w="1604" w:type="dxa"/>
            <w:vMerge w:val="continue"/>
            <w:vAlign w:val="center"/>
          </w:tcPr>
          <w:p w14:paraId="185D3405">
            <w:pPr>
              <w:widowControl/>
              <w:jc w:val="center"/>
              <w:rPr>
                <w:rFonts w:ascii="宋体" w:hAnsi="宋体" w:eastAsia="宋体" w:cs="宋体"/>
                <w:bCs/>
                <w:color w:val="FF0000"/>
                <w:sz w:val="24"/>
                <w:szCs w:val="24"/>
              </w:rPr>
            </w:pPr>
          </w:p>
        </w:tc>
        <w:tc>
          <w:tcPr>
            <w:tcW w:w="1512" w:type="dxa"/>
          </w:tcPr>
          <w:p w14:paraId="02F803E6">
            <w:pPr>
              <w:rPr>
                <w:rFonts w:ascii="宋体" w:hAnsi="宋体" w:eastAsia="宋体" w:cs="宋体"/>
                <w:bCs/>
                <w:color w:val="FF0000"/>
                <w:sz w:val="24"/>
                <w:szCs w:val="24"/>
              </w:rPr>
            </w:pPr>
          </w:p>
        </w:tc>
        <w:tc>
          <w:tcPr>
            <w:tcW w:w="1609" w:type="dxa"/>
            <w:vMerge w:val="continue"/>
            <w:vAlign w:val="center"/>
          </w:tcPr>
          <w:p w14:paraId="64957906">
            <w:pPr>
              <w:rPr>
                <w:rFonts w:ascii="宋体" w:hAnsi="宋体" w:eastAsia="宋体" w:cs="宋体"/>
                <w:bCs/>
                <w:color w:val="FF0000"/>
                <w:sz w:val="24"/>
                <w:szCs w:val="24"/>
              </w:rPr>
            </w:pPr>
          </w:p>
        </w:tc>
      </w:tr>
      <w:tr w14:paraId="5828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48" w:type="dxa"/>
            <w:vMerge w:val="continue"/>
          </w:tcPr>
          <w:p w14:paraId="3378DE73">
            <w:pPr>
              <w:widowControl/>
              <w:jc w:val="center"/>
              <w:rPr>
                <w:rFonts w:ascii="宋体" w:hAnsi="宋体" w:eastAsia="宋体" w:cs="宋体"/>
                <w:bCs/>
                <w:color w:val="FF0000"/>
                <w:sz w:val="24"/>
                <w:szCs w:val="24"/>
              </w:rPr>
            </w:pPr>
          </w:p>
        </w:tc>
        <w:tc>
          <w:tcPr>
            <w:tcW w:w="2144" w:type="dxa"/>
            <w:vAlign w:val="center"/>
          </w:tcPr>
          <w:p w14:paraId="7D7DB53D">
            <w:pPr>
              <w:jc w:val="left"/>
              <w:rPr>
                <w:rFonts w:ascii="宋体" w:hAnsi="宋体" w:eastAsia="宋体" w:cs="宋体"/>
                <w:bCs/>
                <w:color w:val="FF0000"/>
                <w:sz w:val="24"/>
                <w:szCs w:val="24"/>
              </w:rPr>
            </w:pPr>
            <w:r>
              <w:rPr>
                <w:rFonts w:hint="eastAsia" w:ascii="宋体" w:hAnsi="宋体" w:eastAsia="宋体" w:cs="宋体"/>
                <w:b/>
                <w:color w:val="FF0000"/>
                <w:sz w:val="24"/>
                <w:szCs w:val="24"/>
              </w:rPr>
              <w:t>合计（元）</w:t>
            </w:r>
          </w:p>
        </w:tc>
        <w:tc>
          <w:tcPr>
            <w:tcW w:w="7164" w:type="dxa"/>
            <w:gridSpan w:val="5"/>
            <w:vAlign w:val="center"/>
          </w:tcPr>
          <w:p w14:paraId="14120446">
            <w:pPr>
              <w:rPr>
                <w:rFonts w:ascii="宋体" w:hAnsi="宋体" w:eastAsia="宋体" w:cs="宋体"/>
                <w:bCs/>
                <w:color w:val="FF0000"/>
                <w:sz w:val="24"/>
                <w:szCs w:val="24"/>
              </w:rPr>
            </w:pPr>
          </w:p>
        </w:tc>
      </w:tr>
    </w:tbl>
    <w:p w14:paraId="069D04DC">
      <w:pPr>
        <w:rPr>
          <w:rFonts w:ascii="宋体" w:hAnsi="宋体" w:eastAsia="宋体" w:cs="宋体"/>
          <w:color w:val="FF0000"/>
          <w:sz w:val="24"/>
          <w:szCs w:val="24"/>
        </w:rPr>
      </w:pPr>
    </w:p>
    <w:p w14:paraId="107A2DB9">
      <w:pPr>
        <w:spacing w:line="360" w:lineRule="auto"/>
        <w:ind w:firstLine="4800" w:firstLineChars="2000"/>
        <w:rPr>
          <w:rFonts w:ascii="宋体" w:hAnsi="宋体" w:eastAsia="宋体" w:cs="宋体"/>
          <w:color w:val="FF0000"/>
          <w:sz w:val="24"/>
          <w:szCs w:val="24"/>
        </w:rPr>
      </w:pPr>
      <w:r>
        <w:rPr>
          <w:rFonts w:hint="eastAsia" w:ascii="宋体" w:hAnsi="宋体" w:eastAsia="宋体" w:cs="宋体"/>
          <w:color w:val="FF0000"/>
          <w:sz w:val="24"/>
          <w:szCs w:val="24"/>
        </w:rPr>
        <w:t>投标人电子签章：</w:t>
      </w:r>
      <w:r>
        <w:rPr>
          <w:rFonts w:hint="eastAsia" w:ascii="宋体" w:hAnsi="宋体" w:eastAsia="宋体" w:cs="宋体"/>
          <w:color w:val="FF0000"/>
          <w:sz w:val="24"/>
          <w:szCs w:val="24"/>
          <w:u w:val="single"/>
        </w:rPr>
        <w:t xml:space="preserve">             </w:t>
      </w:r>
    </w:p>
    <w:p w14:paraId="64DE8D77">
      <w:pPr>
        <w:spacing w:line="360" w:lineRule="auto"/>
        <w:ind w:firstLine="4800" w:firstLineChars="2000"/>
        <w:rPr>
          <w:rFonts w:ascii="宋体" w:hAnsi="宋体" w:eastAsia="宋体" w:cs="宋体"/>
          <w:color w:val="FF0000"/>
          <w:sz w:val="24"/>
          <w:szCs w:val="24"/>
          <w:u w:val="single"/>
        </w:rPr>
      </w:pPr>
      <w:r>
        <w:rPr>
          <w:rFonts w:hint="eastAsia" w:ascii="宋体" w:hAnsi="宋体" w:eastAsia="宋体" w:cs="宋体"/>
          <w:color w:val="FF0000"/>
          <w:sz w:val="24"/>
          <w:szCs w:val="24"/>
        </w:rPr>
        <w:t>日          期：</w:t>
      </w:r>
      <w:r>
        <w:rPr>
          <w:rFonts w:hint="eastAsia" w:ascii="宋体" w:hAnsi="宋体" w:eastAsia="宋体" w:cs="宋体"/>
          <w:color w:val="FF0000"/>
          <w:sz w:val="24"/>
          <w:szCs w:val="24"/>
          <w:u w:val="single"/>
        </w:rPr>
        <w:t xml:space="preserve">             </w:t>
      </w:r>
    </w:p>
    <w:p w14:paraId="792D3F35">
      <w:pPr>
        <w:adjustRightInd w:val="0"/>
        <w:snapToGrid w:val="0"/>
        <w:spacing w:line="360" w:lineRule="auto"/>
        <w:rPr>
          <w:rFonts w:ascii="宋体" w:hAnsi="宋体" w:eastAsia="宋体" w:cs="宋体"/>
          <w:b/>
          <w:bCs/>
          <w:color w:val="FF0000"/>
          <w:sz w:val="24"/>
          <w:szCs w:val="24"/>
        </w:rPr>
      </w:pPr>
      <w:r>
        <w:rPr>
          <w:rFonts w:hint="eastAsia" w:ascii="宋体" w:hAnsi="宋体" w:eastAsia="宋体" w:cs="宋体"/>
          <w:b/>
          <w:bCs/>
          <w:color w:val="FF0000"/>
          <w:sz w:val="24"/>
          <w:szCs w:val="24"/>
        </w:rPr>
        <w:t>注：</w:t>
      </w:r>
    </w:p>
    <w:p w14:paraId="0D0846FB">
      <w:pPr>
        <w:adjustRightInd w:val="0"/>
        <w:snapToGrid w:val="0"/>
        <w:spacing w:line="360" w:lineRule="auto"/>
        <w:ind w:firstLine="482" w:firstLineChars="200"/>
        <w:rPr>
          <w:rFonts w:ascii="宋体" w:hAnsi="宋体" w:eastAsia="宋体" w:cs="宋体"/>
          <w:b/>
          <w:bCs/>
          <w:color w:val="FF0000"/>
          <w:sz w:val="24"/>
          <w:szCs w:val="24"/>
        </w:rPr>
      </w:pPr>
      <w:r>
        <w:rPr>
          <w:rFonts w:hint="eastAsia" w:ascii="宋体" w:hAnsi="宋体" w:eastAsia="宋体" w:cs="宋体"/>
          <w:b/>
          <w:bCs/>
          <w:color w:val="FF0000"/>
          <w:sz w:val="24"/>
          <w:szCs w:val="24"/>
        </w:rPr>
        <w:t>表中所列服务为对应本项目需求的全部服务内容。如有漏项或缺项，投标人承担全部责任。</w:t>
      </w:r>
    </w:p>
    <w:p w14:paraId="446A333F">
      <w:pPr>
        <w:rPr>
          <w:rFonts w:ascii="宋体" w:hAnsi="宋体" w:eastAsia="宋体" w:cs="宋体"/>
          <w:b/>
          <w:bCs/>
          <w:color w:val="FF0000"/>
          <w:sz w:val="24"/>
          <w:szCs w:val="24"/>
        </w:rPr>
      </w:pPr>
    </w:p>
    <w:p w14:paraId="2A404224">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六、投标响应表</w:t>
      </w:r>
      <w:bookmarkEnd w:id="273"/>
      <w:bookmarkEnd w:id="274"/>
    </w:p>
    <w:p w14:paraId="1B98242C">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856"/>
        <w:gridCol w:w="2218"/>
        <w:gridCol w:w="810"/>
      </w:tblGrid>
      <w:tr w14:paraId="3B1C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7437959">
            <w:pPr>
              <w:pStyle w:val="10"/>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3AFB2220">
            <w:pPr>
              <w:pStyle w:val="10"/>
              <w:jc w:val="center"/>
              <w:rPr>
                <w:rFonts w:cs="Wingdings" w:asciiTheme="minorEastAsia" w:hAnsiTheme="minorEastAsia"/>
                <w:b/>
                <w:sz w:val="24"/>
              </w:rPr>
            </w:pPr>
            <w:r>
              <w:rPr>
                <w:rFonts w:hint="eastAsia" w:asciiTheme="minorEastAsia" w:hAnsiTheme="minorEastAsia"/>
                <w:b/>
                <w:bCs/>
                <w:sz w:val="24"/>
                <w:szCs w:val="24"/>
              </w:rPr>
              <w:t>商务条款</w:t>
            </w:r>
          </w:p>
        </w:tc>
        <w:tc>
          <w:tcPr>
            <w:tcW w:w="1675" w:type="pct"/>
            <w:vAlign w:val="center"/>
          </w:tcPr>
          <w:p w14:paraId="32D2BD5A">
            <w:pPr>
              <w:pStyle w:val="10"/>
              <w:jc w:val="center"/>
              <w:rPr>
                <w:rFonts w:cs="Wingdings" w:asciiTheme="minorEastAsia" w:hAnsiTheme="minorEastAsia"/>
                <w:b/>
                <w:sz w:val="24"/>
              </w:rPr>
            </w:pPr>
            <w:r>
              <w:rPr>
                <w:rFonts w:hint="eastAsia" w:cs="Wingdings" w:asciiTheme="minorEastAsia" w:hAnsiTheme="minorEastAsia"/>
                <w:b/>
                <w:sz w:val="24"/>
              </w:rPr>
              <w:t>招标文件要求</w:t>
            </w:r>
          </w:p>
        </w:tc>
        <w:tc>
          <w:tcPr>
            <w:tcW w:w="1301" w:type="pct"/>
            <w:vAlign w:val="center"/>
          </w:tcPr>
          <w:p w14:paraId="66BC9678">
            <w:pPr>
              <w:pStyle w:val="10"/>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14:paraId="4BD2AC89">
            <w:pPr>
              <w:pStyle w:val="10"/>
              <w:jc w:val="center"/>
              <w:rPr>
                <w:rFonts w:cs="Wingdings" w:asciiTheme="minorEastAsia" w:hAnsiTheme="minorEastAsia"/>
                <w:b/>
                <w:sz w:val="24"/>
              </w:rPr>
            </w:pPr>
            <w:r>
              <w:rPr>
                <w:rFonts w:hint="eastAsia" w:cs="Wingdings" w:asciiTheme="minorEastAsia" w:hAnsiTheme="minorEastAsia"/>
                <w:b/>
                <w:sz w:val="24"/>
              </w:rPr>
              <w:t>偏离说明</w:t>
            </w:r>
          </w:p>
        </w:tc>
      </w:tr>
      <w:tr w14:paraId="4AEF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89EDCAA">
            <w:pPr>
              <w:jc w:val="cente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4FECCB6E">
            <w:pPr>
              <w:jc w:val="center"/>
              <w:rPr>
                <w:rFonts w:ascii="宋体" w:hAnsi="宋体" w:eastAsia="宋体"/>
                <w:sz w:val="24"/>
              </w:rPr>
            </w:pPr>
            <w:r>
              <w:rPr>
                <w:rFonts w:asciiTheme="minorEastAsia" w:hAnsiTheme="minorEastAsia" w:eastAsiaTheme="minorEastAsia"/>
                <w:sz w:val="24"/>
              </w:rPr>
              <w:t>付款方式</w:t>
            </w:r>
          </w:p>
        </w:tc>
        <w:tc>
          <w:tcPr>
            <w:tcW w:w="1675" w:type="pct"/>
            <w:vAlign w:val="center"/>
          </w:tcPr>
          <w:p w14:paraId="113B4DF6">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2B192503">
            <w:pPr>
              <w:jc w:val="center"/>
              <w:rPr>
                <w:rFonts w:asciiTheme="minorEastAsia" w:hAnsiTheme="minorEastAsia" w:eastAsiaTheme="minorEastAsia"/>
                <w:sz w:val="24"/>
              </w:rPr>
            </w:pPr>
          </w:p>
        </w:tc>
        <w:tc>
          <w:tcPr>
            <w:tcW w:w="475" w:type="pct"/>
            <w:vAlign w:val="center"/>
          </w:tcPr>
          <w:p w14:paraId="29075F40">
            <w:pPr>
              <w:jc w:val="center"/>
              <w:rPr>
                <w:rFonts w:asciiTheme="minorEastAsia" w:hAnsiTheme="minorEastAsia" w:eastAsiaTheme="minorEastAsia"/>
                <w:sz w:val="24"/>
              </w:rPr>
            </w:pPr>
          </w:p>
        </w:tc>
      </w:tr>
      <w:tr w14:paraId="6E53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24" w:type="pct"/>
            <w:vAlign w:val="center"/>
          </w:tcPr>
          <w:p w14:paraId="62738F08">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0045ABA0">
            <w:pPr>
              <w:jc w:val="center"/>
              <w:rPr>
                <w:rFonts w:ascii="宋体" w:hAnsi="宋体" w:eastAsia="宋体"/>
                <w:sz w:val="24"/>
              </w:rPr>
            </w:pPr>
            <w:r>
              <w:rPr>
                <w:rFonts w:hint="eastAsia" w:ascii="宋体" w:hAnsi="宋体" w:eastAsia="宋体"/>
                <w:sz w:val="24"/>
              </w:rPr>
              <w:t>服务地点</w:t>
            </w:r>
          </w:p>
        </w:tc>
        <w:tc>
          <w:tcPr>
            <w:tcW w:w="1675" w:type="pct"/>
            <w:vAlign w:val="center"/>
          </w:tcPr>
          <w:p w14:paraId="75216E8B">
            <w:pPr>
              <w:jc w:val="center"/>
              <w:rPr>
                <w:rFonts w:asciiTheme="minorEastAsia" w:hAnsiTheme="minorEastAsia" w:eastAsiaTheme="minorEastAsia"/>
                <w:sz w:val="24"/>
              </w:rPr>
            </w:pPr>
            <w:r>
              <w:rPr>
                <w:rFonts w:hint="eastAsia" w:asciiTheme="minorEastAsia" w:hAnsiTheme="minorEastAsia" w:eastAsiaTheme="minorEastAsia"/>
                <w:sz w:val="24"/>
              </w:rPr>
              <w:t>安徽省（采购人指定地点）</w:t>
            </w:r>
          </w:p>
        </w:tc>
        <w:tc>
          <w:tcPr>
            <w:tcW w:w="1301" w:type="pct"/>
            <w:vAlign w:val="center"/>
          </w:tcPr>
          <w:p w14:paraId="6209CFF0">
            <w:pPr>
              <w:jc w:val="center"/>
              <w:rPr>
                <w:rFonts w:asciiTheme="minorEastAsia" w:hAnsiTheme="minorEastAsia" w:eastAsiaTheme="minorEastAsia"/>
                <w:sz w:val="24"/>
              </w:rPr>
            </w:pPr>
          </w:p>
        </w:tc>
        <w:tc>
          <w:tcPr>
            <w:tcW w:w="475" w:type="pct"/>
            <w:vAlign w:val="center"/>
          </w:tcPr>
          <w:p w14:paraId="3F20499A">
            <w:pPr>
              <w:jc w:val="center"/>
              <w:rPr>
                <w:rFonts w:asciiTheme="minorEastAsia" w:hAnsiTheme="minorEastAsia" w:eastAsiaTheme="minorEastAsia"/>
                <w:sz w:val="24"/>
              </w:rPr>
            </w:pPr>
          </w:p>
        </w:tc>
      </w:tr>
      <w:tr w14:paraId="0696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418664B">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1038C994">
            <w:pPr>
              <w:jc w:val="center"/>
              <w:rPr>
                <w:rFonts w:ascii="宋体" w:hAnsi="宋体" w:eastAsia="宋体"/>
                <w:sz w:val="24"/>
              </w:rPr>
            </w:pPr>
            <w:r>
              <w:rPr>
                <w:rFonts w:hint="eastAsia" w:ascii="宋体" w:hAnsi="宋体" w:eastAsia="宋体"/>
                <w:sz w:val="24"/>
              </w:rPr>
              <w:t>服务期限</w:t>
            </w:r>
          </w:p>
        </w:tc>
        <w:tc>
          <w:tcPr>
            <w:tcW w:w="1675" w:type="pct"/>
            <w:vAlign w:val="center"/>
          </w:tcPr>
          <w:p w14:paraId="40252B4D">
            <w:pPr>
              <w:jc w:val="center"/>
              <w:rPr>
                <w:rFonts w:asciiTheme="minorEastAsia" w:hAnsiTheme="minorEastAsia" w:eastAsiaTheme="minorEastAsia"/>
                <w:sz w:val="24"/>
              </w:rPr>
            </w:pPr>
            <w:r>
              <w:rPr>
                <w:rFonts w:hint="eastAsia" w:asciiTheme="minorEastAsia" w:hAnsiTheme="minorEastAsia" w:eastAsiaTheme="minorEastAsia"/>
                <w:sz w:val="24"/>
              </w:rPr>
              <w:t>满足招标文件要求</w:t>
            </w:r>
          </w:p>
        </w:tc>
        <w:tc>
          <w:tcPr>
            <w:tcW w:w="1301" w:type="pct"/>
            <w:vAlign w:val="center"/>
          </w:tcPr>
          <w:p w14:paraId="331008F1">
            <w:pPr>
              <w:pStyle w:val="37"/>
              <w:jc w:val="center"/>
              <w:rPr>
                <w:rFonts w:asciiTheme="minorEastAsia" w:hAnsiTheme="minorEastAsia" w:eastAsiaTheme="minorEastAsia"/>
              </w:rPr>
            </w:pPr>
          </w:p>
        </w:tc>
        <w:tc>
          <w:tcPr>
            <w:tcW w:w="475" w:type="pct"/>
            <w:vAlign w:val="center"/>
          </w:tcPr>
          <w:p w14:paraId="443CFC1E">
            <w:pPr>
              <w:jc w:val="center"/>
              <w:rPr>
                <w:rFonts w:asciiTheme="minorEastAsia" w:hAnsiTheme="minorEastAsia" w:eastAsiaTheme="minorEastAsia"/>
                <w:sz w:val="24"/>
              </w:rPr>
            </w:pPr>
          </w:p>
        </w:tc>
      </w:tr>
    </w:tbl>
    <w:p w14:paraId="25C46CDE">
      <w:pPr>
        <w:rPr>
          <w:rFonts w:asciiTheme="minorEastAsia" w:hAnsiTheme="minorEastAsia" w:eastAsiaTheme="minorEastAsia"/>
          <w:b/>
          <w:sz w:val="24"/>
        </w:rPr>
      </w:pPr>
      <w:bookmarkStart w:id="275" w:name="_Toc23068"/>
      <w:r>
        <w:rPr>
          <w:rFonts w:hint="eastAsia" w:asciiTheme="minorEastAsia" w:hAnsiTheme="minorEastAsia" w:eastAsiaTheme="minorEastAsia"/>
          <w:b/>
          <w:sz w:val="24"/>
        </w:rPr>
        <w:br w:type="page"/>
      </w:r>
    </w:p>
    <w:p w14:paraId="2F601675">
      <w:pPr>
        <w:numPr>
          <w:ilvl w:val="0"/>
          <w:numId w:val="6"/>
        </w:num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中小企业声明函</w:t>
      </w:r>
      <w:bookmarkEnd w:id="275"/>
    </w:p>
    <w:p w14:paraId="1855298E">
      <w:pPr>
        <w:pStyle w:val="2"/>
        <w:jc w:val="cente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0E3918DB">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b/>
          <w:bCs/>
          <w:sz w:val="24"/>
          <w:szCs w:val="24"/>
          <w:u w:val="single"/>
          <w:lang w:val="en-US" w:eastAsia="zh-CN"/>
        </w:rPr>
        <w:t>安徽省淮河河道管理局</w:t>
      </w:r>
      <w:r>
        <w:rPr>
          <w:rFonts w:hint="eastAsia" w:ascii="宋体" w:hAnsi="宋体" w:eastAsia="宋体"/>
          <w:sz w:val="24"/>
          <w:szCs w:val="24"/>
          <w:lang w:val="zh-CN"/>
        </w:rPr>
        <w:t>的</w:t>
      </w:r>
      <w:r>
        <w:rPr>
          <w:rFonts w:hint="eastAsia" w:ascii="宋体" w:hAnsi="宋体" w:eastAsia="宋体"/>
          <w:b/>
          <w:bCs/>
          <w:color w:val="FF0000"/>
          <w:sz w:val="24"/>
          <w:szCs w:val="24"/>
          <w:u w:val="single"/>
          <w:lang w:val="zh-CN"/>
        </w:rPr>
        <w:t>省淮河局2025年堤防草皮养护及林间控高（第5包）</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14B654AF">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b/>
          <w:bCs/>
          <w:color w:val="FF0000"/>
          <w:sz w:val="24"/>
          <w:szCs w:val="24"/>
          <w:u w:val="single"/>
          <w:lang w:val="zh-CN"/>
        </w:rPr>
        <w:t>省淮河局2025年堤防草皮养护及林间控高（第5包）</w:t>
      </w:r>
      <w:r>
        <w:rPr>
          <w:rFonts w:hint="eastAsia" w:ascii="宋体" w:hAnsi="宋体" w:eastAsia="宋体"/>
          <w:b/>
          <w:bCs/>
          <w:sz w:val="24"/>
          <w:szCs w:val="24"/>
          <w:u w:val="single"/>
          <w:lang w:val="zh-CN"/>
        </w:rPr>
        <w:t xml:space="preserve"> </w:t>
      </w:r>
      <w:r>
        <w:rPr>
          <w:rFonts w:hint="eastAsia" w:ascii="宋体" w:hAnsi="宋体" w:eastAsia="宋体"/>
          <w:sz w:val="24"/>
          <w:szCs w:val="24"/>
          <w:lang w:val="zh-CN"/>
        </w:rPr>
        <w:t>，属于</w:t>
      </w:r>
      <w:r>
        <w:rPr>
          <w:rFonts w:hint="eastAsia" w:ascii="宋体" w:hAnsi="宋体" w:eastAsia="宋体"/>
          <w:sz w:val="24"/>
          <w:szCs w:val="24"/>
        </w:rPr>
        <w:t xml:space="preserve"> </w:t>
      </w:r>
      <w:r>
        <w:rPr>
          <w:rFonts w:hint="eastAsia" w:ascii="宋体" w:hAnsi="宋体" w:eastAsia="宋体"/>
          <w:b/>
          <w:bCs/>
          <w:sz w:val="24"/>
          <w:szCs w:val="24"/>
          <w:u w:val="single"/>
        </w:rPr>
        <w:t>其他未列明行业</w:t>
      </w:r>
      <w:r>
        <w:rPr>
          <w:rFonts w:hint="eastAsia" w:ascii="宋体" w:hAnsi="宋体" w:eastAsia="宋体"/>
          <w:sz w:val="24"/>
          <w:szCs w:val="24"/>
          <w:u w:val="single"/>
        </w:rPr>
        <w:t xml:space="preserve"> </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202467A8">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5B2F1777">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73149DB7">
      <w:pPr>
        <w:spacing w:line="360" w:lineRule="auto"/>
        <w:ind w:firstLine="435"/>
        <w:rPr>
          <w:rFonts w:hint="eastAsia"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3AD4AB7A">
      <w:pPr>
        <w:pStyle w:val="2"/>
        <w:rPr>
          <w:rFonts w:hint="eastAsia" w:ascii="宋体" w:hAnsi="宋体" w:eastAsia="宋体"/>
          <w:sz w:val="24"/>
          <w:szCs w:val="24"/>
          <w:lang w:val="zh-CN"/>
        </w:rPr>
      </w:pPr>
    </w:p>
    <w:p w14:paraId="6781B496">
      <w:pPr>
        <w:pStyle w:val="2"/>
        <w:rPr>
          <w:rFonts w:hint="eastAsia" w:ascii="宋体" w:hAnsi="宋体" w:eastAsia="宋体"/>
          <w:sz w:val="24"/>
          <w:szCs w:val="24"/>
          <w:lang w:val="zh-CN"/>
        </w:rPr>
      </w:pPr>
    </w:p>
    <w:p w14:paraId="4B84F264">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11AD8A5F">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0BBEFCDE">
      <w:pPr>
        <w:tabs>
          <w:tab w:val="left" w:pos="4620"/>
        </w:tabs>
        <w:spacing w:line="360" w:lineRule="auto"/>
        <w:jc w:val="left"/>
        <w:rPr>
          <w:rFonts w:asciiTheme="minorEastAsia" w:hAnsiTheme="minorEastAsia" w:eastAsiaTheme="minorEastAsia"/>
          <w:sz w:val="24"/>
          <w:szCs w:val="24"/>
        </w:rPr>
      </w:pPr>
    </w:p>
    <w:p w14:paraId="0B8C556D">
      <w:pPr>
        <w:tabs>
          <w:tab w:val="left" w:pos="4620"/>
        </w:tabs>
        <w:spacing w:line="360" w:lineRule="auto"/>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268C9D3B">
      <w:pPr>
        <w:tabs>
          <w:tab w:val="left" w:pos="4620"/>
        </w:tabs>
        <w:spacing w:line="360" w:lineRule="auto"/>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3557D298">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投标人自行登录工业和信息化部官网进行中小企业规模类型自测（查询网址https://www.miit.gov.cn/）。</w:t>
      </w:r>
    </w:p>
    <w:p w14:paraId="2AD1D28E">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40006C94">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224E1ABE">
      <w:pPr>
        <w:tabs>
          <w:tab w:val="left" w:pos="4620"/>
        </w:tabs>
        <w:spacing w:line="360" w:lineRule="auto"/>
        <w:jc w:val="left"/>
        <w:rPr>
          <w:rFonts w:ascii="宋体" w:hAnsi="宋体" w:eastAsia="宋体" w:cs="宋体"/>
          <w:b/>
          <w:bCs/>
          <w:szCs w:val="21"/>
        </w:rPr>
      </w:pPr>
      <w:r>
        <w:rPr>
          <w:rFonts w:hint="eastAsia" w:ascii="宋体" w:hAnsi="宋体" w:eastAsia="宋体" w:cs="宋体"/>
          <w:b/>
          <w:bCs/>
          <w:szCs w:val="21"/>
        </w:rPr>
        <w:t>5．填写示例：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[投标人自行登录工业和信息化部官网进行中小企业规模类型自测（查询网址https://www.miit.gov.cn/）]</w:t>
      </w:r>
      <w:r>
        <w:rPr>
          <w:rFonts w:hint="eastAsia" w:ascii="宋体" w:hAnsi="宋体" w:eastAsia="宋体" w:cs="宋体"/>
          <w:b/>
          <w:bCs/>
          <w:szCs w:val="21"/>
          <w:lang w:val="zh-CN"/>
        </w:rPr>
        <w:t>。</w:t>
      </w:r>
    </w:p>
    <w:p w14:paraId="20C6BC13">
      <w:pPr>
        <w:pStyle w:val="2"/>
        <w:rPr>
          <w:rFonts w:asciiTheme="minorEastAsia" w:hAnsiTheme="minorEastAsia" w:eastAsiaTheme="minorEastAsia"/>
          <w:b/>
          <w:bCs/>
          <w:lang w:val="en-US"/>
        </w:rPr>
      </w:pPr>
    </w:p>
    <w:p w14:paraId="7AF87F95">
      <w:pPr>
        <w:rPr>
          <w:rFonts w:asciiTheme="minorEastAsia" w:hAnsiTheme="minorEastAsia" w:eastAsiaTheme="minorEastAsia"/>
          <w:b/>
          <w:sz w:val="24"/>
        </w:rPr>
      </w:pPr>
      <w:bookmarkStart w:id="276" w:name="_Toc16713"/>
      <w:r>
        <w:rPr>
          <w:rFonts w:hint="eastAsia" w:asciiTheme="minorEastAsia" w:hAnsiTheme="minorEastAsia" w:eastAsiaTheme="minorEastAsia"/>
          <w:b/>
          <w:sz w:val="24"/>
        </w:rPr>
        <w:br w:type="page"/>
      </w:r>
    </w:p>
    <w:p w14:paraId="0AFA6C27">
      <w:pPr>
        <w:spacing w:line="360" w:lineRule="auto"/>
        <w:jc w:val="center"/>
        <w:rPr>
          <w:rFonts w:asciiTheme="minorEastAsia" w:hAnsiTheme="minorEastAsia" w:eastAsiaTheme="minorEastAsia"/>
          <w:b/>
          <w:sz w:val="24"/>
        </w:rPr>
      </w:pPr>
      <w:bookmarkStart w:id="277" w:name="_Toc17315"/>
      <w:r>
        <w:rPr>
          <w:rFonts w:hint="eastAsia" w:asciiTheme="minorEastAsia" w:hAnsiTheme="minorEastAsia" w:eastAsiaTheme="minorEastAsia"/>
          <w:b/>
          <w:sz w:val="24"/>
        </w:rPr>
        <w:t>残疾人福利性单位声明函</w:t>
      </w:r>
      <w:bookmarkEnd w:id="276"/>
      <w:bookmarkEnd w:id="277"/>
    </w:p>
    <w:p w14:paraId="741DDB0B">
      <w:pPr>
        <w:pStyle w:val="2"/>
        <w:jc w:val="center"/>
        <w:rPr>
          <w:rFonts w:ascii="宋体" w:hAnsi="宋体" w:eastAsia="宋体"/>
          <w:i/>
          <w:sz w:val="24"/>
          <w:lang w:val="en-US"/>
        </w:rPr>
      </w:pPr>
      <w:r>
        <w:rPr>
          <w:rFonts w:hint="eastAsia" w:ascii="宋体" w:hAnsi="宋体" w:eastAsia="宋体"/>
          <w:i/>
          <w:sz w:val="24"/>
          <w:lang w:val="en-US"/>
        </w:rPr>
        <w:t>（非残疾人福利性单位投标，请删去“残疾人福利性单位声明函”）</w:t>
      </w:r>
    </w:p>
    <w:p w14:paraId="0FB3FD43">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065F4865">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7BAB2E68">
      <w:pPr>
        <w:spacing w:line="360" w:lineRule="auto"/>
        <w:ind w:firstLine="4228" w:firstLineChars="1762"/>
        <w:rPr>
          <w:rFonts w:asciiTheme="minorEastAsia" w:hAnsiTheme="minorEastAsia" w:eastAsiaTheme="minorEastAsia"/>
          <w:sz w:val="24"/>
          <w:szCs w:val="24"/>
        </w:rPr>
      </w:pPr>
    </w:p>
    <w:p w14:paraId="35E522CD">
      <w:pPr>
        <w:spacing w:line="360" w:lineRule="auto"/>
        <w:ind w:firstLine="4228" w:firstLineChars="1762"/>
        <w:rPr>
          <w:rFonts w:asciiTheme="minorEastAsia" w:hAnsiTheme="minorEastAsia" w:eastAsiaTheme="minorEastAsia"/>
          <w:sz w:val="24"/>
          <w:szCs w:val="24"/>
        </w:rPr>
      </w:pPr>
    </w:p>
    <w:p w14:paraId="46A47BFA">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电子签章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25453C8D">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7A251E55">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57B8388">
      <w:pPr>
        <w:spacing w:line="360" w:lineRule="auto"/>
        <w:jc w:val="center"/>
        <w:outlineLvl w:val="1"/>
        <w:rPr>
          <w:rFonts w:asciiTheme="minorEastAsia" w:hAnsiTheme="minorEastAsia" w:eastAsiaTheme="minorEastAsia"/>
          <w:b/>
          <w:sz w:val="24"/>
        </w:rPr>
      </w:pPr>
      <w:bookmarkStart w:id="278" w:name="_Toc300210382"/>
      <w:bookmarkStart w:id="279" w:name="_Toc520299348"/>
      <w:bookmarkStart w:id="280" w:name="_Toc457768004"/>
      <w:bookmarkStart w:id="281" w:name="_Toc23860"/>
      <w:bookmarkStart w:id="282" w:name="_Toc26536"/>
      <w:bookmarkStart w:id="283" w:name="_Hlk11701496"/>
      <w:r>
        <w:rPr>
          <w:rFonts w:hint="eastAsia" w:asciiTheme="minorEastAsia" w:hAnsiTheme="minorEastAsia" w:eastAsiaTheme="minorEastAsia"/>
          <w:b/>
          <w:sz w:val="24"/>
        </w:rPr>
        <w:t>八、</w:t>
      </w:r>
      <w:bookmarkEnd w:id="278"/>
      <w:bookmarkEnd w:id="279"/>
      <w:bookmarkEnd w:id="280"/>
      <w:r>
        <w:rPr>
          <w:rFonts w:hint="eastAsia" w:asciiTheme="minorEastAsia" w:hAnsiTheme="minorEastAsia" w:eastAsiaTheme="minorEastAsia"/>
          <w:b/>
          <w:sz w:val="24"/>
        </w:rPr>
        <w:t>诚信履约承诺函</w:t>
      </w:r>
      <w:bookmarkEnd w:id="281"/>
      <w:bookmarkEnd w:id="282"/>
    </w:p>
    <w:p w14:paraId="0E3B085F">
      <w:pPr>
        <w:spacing w:line="360" w:lineRule="auto"/>
        <w:rPr>
          <w:rFonts w:asciiTheme="minorEastAsia" w:hAnsiTheme="minorEastAsia" w:eastAsiaTheme="minorEastAsia"/>
          <w:b/>
          <w:bCs/>
          <w:sz w:val="24"/>
        </w:rPr>
      </w:pPr>
    </w:p>
    <w:bookmarkEnd w:id="283"/>
    <w:p w14:paraId="71ECBEF1">
      <w:pPr>
        <w:spacing w:line="360" w:lineRule="auto"/>
        <w:rPr>
          <w:rFonts w:asciiTheme="minorEastAsia" w:hAnsiTheme="minorEastAsia" w:eastAsiaTheme="minorEastAsia"/>
          <w:b/>
          <w:bCs/>
          <w:sz w:val="24"/>
          <w:u w:val="single"/>
        </w:rPr>
      </w:pPr>
      <w:bookmarkStart w:id="284" w:name="_Toc32633"/>
      <w:bookmarkStart w:id="285" w:name="_Toc31807"/>
      <w:r>
        <w:rPr>
          <w:rFonts w:hint="eastAsia" w:asciiTheme="minorEastAsia" w:hAnsiTheme="minorEastAsia" w:eastAsiaTheme="minorEastAsia"/>
          <w:b/>
          <w:bCs/>
          <w:sz w:val="24"/>
          <w:u w:val="single"/>
        </w:rPr>
        <w:t>致：采购人</w:t>
      </w:r>
    </w:p>
    <w:p w14:paraId="25A6F1B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若我单位被确定为本项目中标人，我单位承诺在合同签订及履约过程中将严格执行《中华人民共和国政府采购法》、《中华人民共和国政府采购法实施条例》及本项目采购文件的相关规定，并郑重承诺如下：</w:t>
      </w:r>
    </w:p>
    <w:p w14:paraId="02C5FC9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我单位投标文件全部为真实、有效，若存在虚假响应，一经查实，无条件同意采购人取消我单位中标资格或合同甲方解除合同，同时愿意承担因此造成的一切损失和处罚，包括但不限于信用惩戒、限制中标资格等。</w:t>
      </w:r>
    </w:p>
    <w:p w14:paraId="7F6D2CF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w:t>
      </w:r>
      <w:r>
        <w:rPr>
          <w:rFonts w:hint="eastAsia" w:asciiTheme="minorEastAsia" w:hAnsiTheme="minorEastAsia" w:eastAsiaTheme="minorEastAsia"/>
          <w:b/>
          <w:sz w:val="24"/>
        </w:rPr>
        <w:t>中标通知书发送之日起10日历天内，</w:t>
      </w:r>
      <w:r>
        <w:rPr>
          <w:rFonts w:hint="eastAsia" w:asciiTheme="minorEastAsia" w:hAnsiTheme="minorEastAsia" w:eastAsiaTheme="minorEastAsia"/>
          <w:bCs/>
          <w:sz w:val="24"/>
        </w:rPr>
        <w:t>按照投标文件提供自备机械设备、项目组成员，并为所有项目人员购买雇主责任险或团体意外险，进场作业前由甲方验证，若不能按时提供，无条件同意采购人取消我单位中标资格或合同甲方解除合同，同时愿意承担因此造成的一切损失和处罚，包括但不限于信用惩戒、限制中标资格等。</w:t>
      </w:r>
    </w:p>
    <w:p w14:paraId="6B9D08D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项目履约过程中，质量、进度及安全严格按照招标文件要求执行，并自愿服从合同甲方监管，若出现不服从现场监管，无条件同意采购人取消我单位中标资格或合同甲方解除合同，并愿意承担因此造成的一切损失和处罚，包括但不限于信用惩戒、限制中标资格等。</w:t>
      </w:r>
    </w:p>
    <w:p w14:paraId="46BBCE8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（4）作业过程中如出现作业人员未有效佩戴现场安全防护必须的安全帽、安全绳、救生衣以及其他必须的作业防护等安全防护用品，发生不安全行为的，每出现一次，从项目结算价中自愿核减1000元，减完为止。</w:t>
      </w:r>
    </w:p>
    <w:p w14:paraId="1D0F487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（5）合同履约期间，所有项目人员突发疾病、意外等造成的人员伤亡及财产损失均由我单位负责承担，并全额赔偿因此给采购人或第三方造成的损失。</w:t>
      </w:r>
    </w:p>
    <w:p w14:paraId="38DC505B">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在项目发生投诉、信访举报案件、履约存在争议时，拒绝协助配合调查的，无条件同意采购人取消我单位中标资格或合同甲方解除合同，并愿意承担因此造成的一切损失和处罚，包括但不限于信用惩戒、限制中标资格等。</w:t>
      </w:r>
    </w:p>
    <w:p w14:paraId="3D129A47">
      <w:pPr>
        <w:spacing w:line="360" w:lineRule="auto"/>
        <w:rPr>
          <w:rFonts w:asciiTheme="minorEastAsia" w:hAnsiTheme="minorEastAsia" w:eastAsiaTheme="minorEastAsia"/>
          <w:bCs/>
          <w:sz w:val="24"/>
        </w:rPr>
      </w:pPr>
    </w:p>
    <w:p w14:paraId="22144B0B">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投标人电子签章：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39A1CEF9">
      <w:pPr>
        <w:spacing w:line="360" w:lineRule="auto"/>
        <w:ind w:firstLine="4320" w:firstLineChars="1800"/>
        <w:rPr>
          <w:rFonts w:asciiTheme="minorEastAsia" w:hAnsiTheme="minorEastAsia" w:eastAsiaTheme="minorEastAsia"/>
          <w:b/>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2826AA91"/>
    <w:p w14:paraId="4F7B2144">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九、其他相关证明材料</w:t>
      </w:r>
      <w:bookmarkEnd w:id="284"/>
      <w:bookmarkEnd w:id="285"/>
    </w:p>
    <w:p w14:paraId="02F3547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提供符合投标邀请、采购需求及评标方法和标准规定的相关证明文件。</w:t>
      </w:r>
    </w:p>
    <w:p w14:paraId="07CA4BAB">
      <w:pPr>
        <w:spacing w:line="360" w:lineRule="auto"/>
        <w:ind w:firstLine="480" w:firstLineChars="200"/>
        <w:rPr>
          <w:rFonts w:asciiTheme="minorEastAsia" w:hAnsiTheme="minorEastAsia" w:eastAsiaTheme="minorEastAsia"/>
          <w:sz w:val="24"/>
        </w:rPr>
      </w:pPr>
    </w:p>
    <w:p w14:paraId="199B8F89">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1C7D13E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投标人在投标文件制作时可在此栏内上传</w:t>
      </w:r>
      <w:r>
        <w:rPr>
          <w:rFonts w:asciiTheme="minorEastAsia" w:hAnsiTheme="minorEastAsia" w:eastAsiaTheme="minorEastAsia"/>
          <w:sz w:val="24"/>
        </w:rPr>
        <w:t>招标文件要求上传的证明资料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38CA113B">
      <w:pPr>
        <w:widowControl/>
        <w:jc w:val="left"/>
        <w:rPr>
          <w:rFonts w:ascii="宋体" w:hAnsi="宋体" w:eastAsia="宋体"/>
          <w:bCs/>
          <w:sz w:val="24"/>
        </w:rPr>
      </w:pPr>
      <w:r>
        <w:rPr>
          <w:rFonts w:ascii="宋体" w:hAnsi="宋体" w:eastAsia="宋体"/>
          <w:bCs/>
          <w:sz w:val="24"/>
        </w:rPr>
        <w:br w:type="page"/>
      </w:r>
    </w:p>
    <w:p w14:paraId="1611D4F2">
      <w:pPr>
        <w:spacing w:line="360" w:lineRule="auto"/>
        <w:jc w:val="center"/>
        <w:outlineLvl w:val="0"/>
        <w:rPr>
          <w:rFonts w:ascii="宋体" w:hAnsi="宋体" w:eastAsia="宋体"/>
          <w:b/>
          <w:bCs/>
          <w:sz w:val="28"/>
        </w:rPr>
      </w:pPr>
      <w:bookmarkStart w:id="286" w:name="_Toc6435"/>
      <w:bookmarkStart w:id="287" w:name="_Toc20819"/>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供应商</w:t>
      </w:r>
      <w:r>
        <w:rPr>
          <w:rFonts w:hint="eastAsia" w:ascii="宋体" w:hAnsi="宋体" w:eastAsia="宋体"/>
          <w:b/>
          <w:bCs/>
          <w:sz w:val="28"/>
        </w:rPr>
        <w:t>询问函和质疑函范本</w:t>
      </w:r>
      <w:bookmarkEnd w:id="286"/>
      <w:bookmarkEnd w:id="287"/>
    </w:p>
    <w:p w14:paraId="68709654">
      <w:pPr>
        <w:spacing w:line="360" w:lineRule="auto"/>
        <w:jc w:val="center"/>
        <w:rPr>
          <w:rFonts w:ascii="仿宋" w:hAnsi="仿宋" w:eastAsia="仿宋" w:cs="仿宋"/>
          <w:b/>
          <w:bCs/>
          <w:sz w:val="32"/>
          <w:szCs w:val="44"/>
        </w:rPr>
      </w:pPr>
      <w:bookmarkStart w:id="288" w:name="_Toc6955"/>
      <w:bookmarkStart w:id="289" w:name="_Toc27159"/>
      <w:r>
        <w:rPr>
          <w:rFonts w:hint="eastAsia" w:ascii="仿宋" w:hAnsi="仿宋" w:eastAsia="仿宋" w:cs="仿宋"/>
          <w:b/>
          <w:bCs/>
          <w:sz w:val="32"/>
          <w:szCs w:val="44"/>
        </w:rPr>
        <w:t>询问函范本</w:t>
      </w:r>
      <w:bookmarkEnd w:id="288"/>
      <w:bookmarkEnd w:id="289"/>
    </w:p>
    <w:p w14:paraId="593F6DD8">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2D7A3F7D">
      <w:pPr>
        <w:adjustRightInd w:val="0"/>
        <w:snapToGrid w:val="0"/>
        <w:spacing w:line="360" w:lineRule="auto"/>
        <w:rPr>
          <w:rFonts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65979449">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16664149">
      <w:pPr>
        <w:adjustRightInd w:val="0"/>
        <w:snapToGrid w:val="0"/>
        <w:spacing w:line="360" w:lineRule="auto"/>
        <w:ind w:firstLine="480" w:firstLineChars="200"/>
        <w:rPr>
          <w:rFonts w:cs="仿宋" w:asciiTheme="minorEastAsia" w:hAnsiTheme="minorEastAsia" w:eastAsiaTheme="minorEastAsia"/>
          <w:sz w:val="24"/>
          <w:szCs w:val="24"/>
        </w:rPr>
      </w:pPr>
      <w:bookmarkStart w:id="290" w:name="_Toc13899"/>
      <w:r>
        <w:rPr>
          <w:rFonts w:hint="eastAsia" w:cs="仿宋" w:asciiTheme="minorEastAsia" w:hAnsiTheme="minorEastAsia" w:eastAsiaTheme="minorEastAsia"/>
          <w:sz w:val="24"/>
          <w:szCs w:val="24"/>
        </w:rPr>
        <w:t>一、(事项一)</w:t>
      </w:r>
      <w:bookmarkEnd w:id="290"/>
    </w:p>
    <w:p w14:paraId="09AEB39D">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52AD1AA8">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7D51A655">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6F638F31">
      <w:pPr>
        <w:adjustRightInd w:val="0"/>
        <w:snapToGrid w:val="0"/>
        <w:spacing w:line="360" w:lineRule="auto"/>
        <w:ind w:firstLine="480" w:firstLineChars="200"/>
        <w:rPr>
          <w:rFonts w:cs="仿宋" w:asciiTheme="minorEastAsia" w:hAnsiTheme="minorEastAsia" w:eastAsiaTheme="minorEastAsia"/>
          <w:sz w:val="24"/>
          <w:szCs w:val="24"/>
        </w:rPr>
      </w:pPr>
      <w:bookmarkStart w:id="291" w:name="_Toc3352"/>
      <w:r>
        <w:rPr>
          <w:rFonts w:hint="eastAsia" w:cs="仿宋" w:asciiTheme="minorEastAsia" w:hAnsiTheme="minorEastAsia" w:eastAsiaTheme="minorEastAsia"/>
          <w:sz w:val="24"/>
          <w:szCs w:val="24"/>
        </w:rPr>
        <w:t>二、(事项二)</w:t>
      </w:r>
      <w:bookmarkEnd w:id="291"/>
    </w:p>
    <w:p w14:paraId="4EE63E0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66F88FB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108CDA60">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100BAA67">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7FCB3C31">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6DC31C26">
      <w:pPr>
        <w:rPr>
          <w:rFonts w:ascii="仿宋" w:hAnsi="仿宋" w:eastAsia="仿宋" w:cs="仿宋"/>
          <w:b/>
          <w:bCs/>
          <w:sz w:val="32"/>
          <w:szCs w:val="44"/>
        </w:rPr>
      </w:pPr>
      <w:r>
        <w:rPr>
          <w:rFonts w:hint="eastAsia" w:ascii="仿宋" w:hAnsi="仿宋" w:eastAsia="仿宋" w:cs="仿宋"/>
          <w:b/>
          <w:bCs/>
          <w:sz w:val="32"/>
          <w:szCs w:val="44"/>
        </w:rPr>
        <w:br w:type="page"/>
      </w:r>
    </w:p>
    <w:p w14:paraId="357C839E">
      <w:pPr>
        <w:jc w:val="center"/>
        <w:rPr>
          <w:rFonts w:ascii="仿宋" w:hAnsi="仿宋" w:eastAsia="仿宋" w:cs="仿宋"/>
          <w:b/>
          <w:bCs/>
          <w:sz w:val="32"/>
          <w:szCs w:val="44"/>
        </w:rPr>
      </w:pPr>
      <w:bookmarkStart w:id="292" w:name="_Toc1575"/>
      <w:bookmarkStart w:id="293" w:name="_Toc857"/>
      <w:r>
        <w:rPr>
          <w:rFonts w:hint="eastAsia" w:ascii="仿宋" w:hAnsi="仿宋" w:eastAsia="仿宋" w:cs="仿宋"/>
          <w:b/>
          <w:bCs/>
          <w:sz w:val="32"/>
          <w:szCs w:val="44"/>
        </w:rPr>
        <w:t>质疑函范本</w:t>
      </w:r>
      <w:bookmarkEnd w:id="292"/>
      <w:bookmarkEnd w:id="293"/>
    </w:p>
    <w:p w14:paraId="1D67DAE7">
      <w:pPr>
        <w:adjustRightInd w:val="0"/>
        <w:snapToGrid w:val="0"/>
        <w:spacing w:before="312" w:beforeLines="100" w:line="360" w:lineRule="auto"/>
        <w:rPr>
          <w:rFonts w:cs="仿宋" w:asciiTheme="minorEastAsia" w:hAnsiTheme="minorEastAsia" w:eastAsiaTheme="minorEastAsia"/>
          <w:b/>
          <w:bCs/>
          <w:sz w:val="24"/>
          <w:szCs w:val="24"/>
        </w:rPr>
      </w:pPr>
      <w:bookmarkStart w:id="294" w:name="_Toc21381"/>
      <w:r>
        <w:rPr>
          <w:rFonts w:hint="eastAsia" w:cs="仿宋" w:asciiTheme="minorEastAsia" w:hAnsiTheme="minorEastAsia" w:eastAsiaTheme="minorEastAsia"/>
          <w:b/>
          <w:bCs/>
          <w:sz w:val="24"/>
          <w:szCs w:val="24"/>
        </w:rPr>
        <w:t>一、质疑供应商基本信息</w:t>
      </w:r>
      <w:bookmarkEnd w:id="294"/>
    </w:p>
    <w:p w14:paraId="1C98487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73552878">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7D07371E">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504AB3A2">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1FFF4BA4">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7D4EC2E2">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69723C2D">
      <w:pPr>
        <w:adjustRightInd w:val="0"/>
        <w:snapToGrid w:val="0"/>
        <w:spacing w:line="360" w:lineRule="auto"/>
        <w:rPr>
          <w:rFonts w:cs="仿宋" w:asciiTheme="minorEastAsia" w:hAnsiTheme="minorEastAsia" w:eastAsiaTheme="minorEastAsia"/>
          <w:b/>
          <w:bCs/>
          <w:sz w:val="24"/>
          <w:szCs w:val="24"/>
        </w:rPr>
      </w:pPr>
      <w:bookmarkStart w:id="295" w:name="_Toc28415"/>
      <w:r>
        <w:rPr>
          <w:rFonts w:hint="eastAsia" w:cs="仿宋" w:asciiTheme="minorEastAsia" w:hAnsiTheme="minorEastAsia" w:eastAsiaTheme="minorEastAsia"/>
          <w:b/>
          <w:bCs/>
          <w:sz w:val="24"/>
          <w:szCs w:val="24"/>
        </w:rPr>
        <w:t>二、质疑项目基本情况</w:t>
      </w:r>
      <w:bookmarkEnd w:id="295"/>
    </w:p>
    <w:p w14:paraId="2AB5957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4629C6CB">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420D8281">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58B7C56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4CEC2FE8">
      <w:pPr>
        <w:adjustRightInd w:val="0"/>
        <w:snapToGrid w:val="0"/>
        <w:spacing w:line="360" w:lineRule="auto"/>
        <w:rPr>
          <w:rFonts w:cs="仿宋" w:asciiTheme="minorEastAsia" w:hAnsiTheme="minorEastAsia" w:eastAsiaTheme="minorEastAsia"/>
          <w:b/>
          <w:bCs/>
          <w:sz w:val="24"/>
          <w:szCs w:val="24"/>
        </w:rPr>
      </w:pPr>
      <w:bookmarkStart w:id="296" w:name="_Toc19014"/>
      <w:r>
        <w:rPr>
          <w:rFonts w:hint="eastAsia" w:cs="仿宋" w:asciiTheme="minorEastAsia" w:hAnsiTheme="minorEastAsia" w:eastAsiaTheme="minorEastAsia"/>
          <w:b/>
          <w:bCs/>
          <w:sz w:val="24"/>
          <w:szCs w:val="24"/>
        </w:rPr>
        <w:t>三、质疑事项具体内容</w:t>
      </w:r>
      <w:bookmarkEnd w:id="296"/>
    </w:p>
    <w:p w14:paraId="1CB38378">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58D84694">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3E6A4867">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43B0490E">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5DE1AF11">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519D6B09">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5ADFA59F">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0666CC85">
      <w:pPr>
        <w:adjustRightInd w:val="0"/>
        <w:snapToGrid w:val="0"/>
        <w:spacing w:line="360" w:lineRule="auto"/>
        <w:rPr>
          <w:rFonts w:cs="仿宋" w:asciiTheme="minorEastAsia" w:hAnsiTheme="minorEastAsia" w:eastAsiaTheme="minorEastAsia"/>
          <w:b/>
          <w:bCs/>
          <w:sz w:val="24"/>
          <w:szCs w:val="24"/>
        </w:rPr>
      </w:pPr>
      <w:bookmarkStart w:id="297" w:name="_Toc17919"/>
      <w:r>
        <w:rPr>
          <w:rFonts w:hint="eastAsia" w:cs="仿宋" w:asciiTheme="minorEastAsia" w:hAnsiTheme="minorEastAsia" w:eastAsiaTheme="minorEastAsia"/>
          <w:b/>
          <w:bCs/>
          <w:sz w:val="24"/>
          <w:szCs w:val="24"/>
        </w:rPr>
        <w:t>四、与质疑事项相关的质疑请求</w:t>
      </w:r>
      <w:bookmarkEnd w:id="297"/>
    </w:p>
    <w:p w14:paraId="5F3B0BB3">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1FE560B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6C33181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5CF9DE29">
      <w:pPr>
        <w:widowControl/>
        <w:jc w:val="left"/>
        <w:rPr>
          <w:rFonts w:ascii="仿宋" w:hAnsi="仿宋" w:eastAsia="仿宋" w:cs="仿宋"/>
          <w:sz w:val="32"/>
          <w:szCs w:val="32"/>
        </w:rPr>
      </w:pPr>
      <w:r>
        <w:rPr>
          <w:rFonts w:ascii="仿宋" w:hAnsi="仿宋" w:eastAsia="仿宋" w:cs="仿宋"/>
          <w:sz w:val="32"/>
          <w:szCs w:val="32"/>
        </w:rPr>
        <w:br w:type="page"/>
      </w:r>
    </w:p>
    <w:p w14:paraId="793C9F71">
      <w:pPr>
        <w:rPr>
          <w:rFonts w:asciiTheme="minorEastAsia" w:hAnsiTheme="minorEastAsia" w:eastAsiaTheme="minorEastAsia"/>
          <w:b/>
          <w:sz w:val="28"/>
          <w:szCs w:val="32"/>
        </w:rPr>
      </w:pPr>
      <w:bookmarkStart w:id="298" w:name="_Toc22239"/>
      <w:bookmarkStart w:id="299" w:name="_Toc9754"/>
      <w:r>
        <w:rPr>
          <w:rFonts w:hint="eastAsia" w:asciiTheme="minorEastAsia" w:hAnsiTheme="minorEastAsia" w:eastAsiaTheme="minorEastAsia"/>
          <w:b/>
          <w:sz w:val="28"/>
          <w:szCs w:val="32"/>
        </w:rPr>
        <w:t>质疑函制作说明：</w:t>
      </w:r>
      <w:bookmarkEnd w:id="298"/>
      <w:bookmarkEnd w:id="299"/>
    </w:p>
    <w:p w14:paraId="4CFE1EE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6C16A6A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892D6F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4659484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2B6EF8C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70E070C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1A5C">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9A84C">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8695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68695F">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6C13D">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06E18">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006E18">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DC3B0">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05B17">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CFD3">
    <w:pPr>
      <w:pStyle w:val="13"/>
      <w:tabs>
        <w:tab w:val="clear" w:pos="4153"/>
      </w:tabs>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F4DEE">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BF4DEE">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D7F77">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1D839">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F1D839">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CABC">
    <w:pPr>
      <w:pStyle w:val="14"/>
      <w:jc w:val="left"/>
      <w:rPr>
        <w:rFonts w:hint="eastAsia" w:ascii="宋体" w:hAnsi="宋体" w:eastAsia="宋体" w:cs="宋体"/>
        <w:b/>
        <w:bCs/>
        <w:lang w:eastAsia="zh-CN"/>
      </w:rPr>
    </w:pPr>
    <w:r>
      <w:rPr>
        <w:rFonts w:hint="eastAsia" w:ascii="宋体" w:hAnsi="宋体" w:eastAsia="宋体" w:cs="宋体"/>
        <w:b/>
        <w:bCs/>
        <w:lang w:eastAsia="zh-CN"/>
      </w:rPr>
      <w:t>省淮河局2025年堤防草皮养护及林间控高（第5包）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57D2E">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C9B5">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BD08">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73EEE">
    <w:pPr>
      <w:pStyle w:val="14"/>
      <w:jc w:val="left"/>
      <w:rPr>
        <w:rFonts w:hint="eastAsia" w:eastAsia="@仿宋_GB2312"/>
        <w:lang w:eastAsia="zh-CN"/>
      </w:rPr>
    </w:pPr>
    <w:r>
      <w:rPr>
        <w:rFonts w:hint="eastAsia" w:asciiTheme="minorEastAsia" w:hAnsiTheme="minorEastAsia" w:eastAsiaTheme="minorEastAsia"/>
        <w:lang w:eastAsia="zh-CN"/>
      </w:rPr>
      <w:t>省淮河局2025年堤防草皮养护及林间控高（第5包）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94184"/>
    <w:multiLevelType w:val="singleLevel"/>
    <w:tmpl w:val="DB894184"/>
    <w:lvl w:ilvl="0" w:tentative="0">
      <w:start w:val="7"/>
      <w:numFmt w:val="chineseCounting"/>
      <w:suff w:val="nothing"/>
      <w:lvlText w:val="%1、"/>
      <w:lvlJc w:val="left"/>
      <w:rPr>
        <w:rFonts w:hint="eastAsia"/>
      </w:r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414794E8"/>
    <w:multiLevelType w:val="singleLevel"/>
    <w:tmpl w:val="414794E8"/>
    <w:lvl w:ilvl="0" w:tentative="0">
      <w:start w:val="2"/>
      <w:numFmt w:val="decimal"/>
      <w:suff w:val="nothing"/>
      <w:lvlText w:val="（%1）"/>
      <w:lvlJc w:val="left"/>
    </w:lvl>
  </w:abstractNum>
  <w:abstractNum w:abstractNumId="3">
    <w:nsid w:val="450C8742"/>
    <w:multiLevelType w:val="singleLevel"/>
    <w:tmpl w:val="450C8742"/>
    <w:lvl w:ilvl="0" w:tentative="0">
      <w:start w:val="1"/>
      <w:numFmt w:val="chineseCounting"/>
      <w:suff w:val="nothing"/>
      <w:lvlText w:val="%1、"/>
      <w:lvlJc w:val="left"/>
      <w:pPr>
        <w:ind w:left="420"/>
      </w:pPr>
      <w:rPr>
        <w:rFonts w:hint="eastAsia"/>
      </w:rPr>
    </w:lvl>
  </w:abstractNum>
  <w:abstractNum w:abstractNumId="4">
    <w:nsid w:val="5E76EF6C"/>
    <w:multiLevelType w:val="singleLevel"/>
    <w:tmpl w:val="5E76EF6C"/>
    <w:lvl w:ilvl="0" w:tentative="0">
      <w:start w:val="6"/>
      <w:numFmt w:val="decimal"/>
      <w:lvlText w:val="%1."/>
      <w:lvlJc w:val="left"/>
      <w:pPr>
        <w:tabs>
          <w:tab w:val="left" w:pos="312"/>
        </w:tabs>
      </w:pPr>
    </w:lvl>
  </w:abstractNum>
  <w:abstractNum w:abstractNumId="5">
    <w:nsid w:val="7DB3C339"/>
    <w:multiLevelType w:val="singleLevel"/>
    <w:tmpl w:val="7DB3C339"/>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056"/>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5E61"/>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DAA"/>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17F0"/>
    <w:rsid w:val="00E1243D"/>
    <w:rsid w:val="00E12742"/>
    <w:rsid w:val="00E12E4A"/>
    <w:rsid w:val="00E146D4"/>
    <w:rsid w:val="00E20976"/>
    <w:rsid w:val="00E22079"/>
    <w:rsid w:val="00E22B44"/>
    <w:rsid w:val="00E236D8"/>
    <w:rsid w:val="00E30ACD"/>
    <w:rsid w:val="00E3184B"/>
    <w:rsid w:val="00E3257D"/>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54D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C2953"/>
    <w:rsid w:val="0214602E"/>
    <w:rsid w:val="03486B27"/>
    <w:rsid w:val="040A094E"/>
    <w:rsid w:val="04E36C96"/>
    <w:rsid w:val="056800F4"/>
    <w:rsid w:val="056F201D"/>
    <w:rsid w:val="05B664D4"/>
    <w:rsid w:val="07076C01"/>
    <w:rsid w:val="071C12AC"/>
    <w:rsid w:val="074E231E"/>
    <w:rsid w:val="07A934B3"/>
    <w:rsid w:val="08B15E54"/>
    <w:rsid w:val="0980799C"/>
    <w:rsid w:val="0A0F6376"/>
    <w:rsid w:val="0A353CEA"/>
    <w:rsid w:val="0A6A18DB"/>
    <w:rsid w:val="0AEF3828"/>
    <w:rsid w:val="0BBB665B"/>
    <w:rsid w:val="0CB7664E"/>
    <w:rsid w:val="0E816EC5"/>
    <w:rsid w:val="0EEA6FC1"/>
    <w:rsid w:val="0EEB6487"/>
    <w:rsid w:val="0F954485"/>
    <w:rsid w:val="0FBF344F"/>
    <w:rsid w:val="0FE60C31"/>
    <w:rsid w:val="10505F32"/>
    <w:rsid w:val="105A27E6"/>
    <w:rsid w:val="119B0711"/>
    <w:rsid w:val="12197477"/>
    <w:rsid w:val="13587E2C"/>
    <w:rsid w:val="1466407E"/>
    <w:rsid w:val="14834E28"/>
    <w:rsid w:val="148E7D65"/>
    <w:rsid w:val="151D4243"/>
    <w:rsid w:val="15231BF9"/>
    <w:rsid w:val="179F5278"/>
    <w:rsid w:val="19FA1BCC"/>
    <w:rsid w:val="1A3B68AA"/>
    <w:rsid w:val="1A3E1C1E"/>
    <w:rsid w:val="1B5C667D"/>
    <w:rsid w:val="1C141836"/>
    <w:rsid w:val="1D7E4C34"/>
    <w:rsid w:val="1E6B6A14"/>
    <w:rsid w:val="20550D9A"/>
    <w:rsid w:val="21714B53"/>
    <w:rsid w:val="218E2416"/>
    <w:rsid w:val="226915FE"/>
    <w:rsid w:val="22E14C32"/>
    <w:rsid w:val="24B97929"/>
    <w:rsid w:val="2520252D"/>
    <w:rsid w:val="26163BC1"/>
    <w:rsid w:val="285F40CA"/>
    <w:rsid w:val="28C01ECB"/>
    <w:rsid w:val="28EC3ECC"/>
    <w:rsid w:val="29BF71E3"/>
    <w:rsid w:val="2A127B63"/>
    <w:rsid w:val="2AAA4765"/>
    <w:rsid w:val="2AC21606"/>
    <w:rsid w:val="2AF63C5E"/>
    <w:rsid w:val="2B7E7608"/>
    <w:rsid w:val="2B7F04E9"/>
    <w:rsid w:val="2C305555"/>
    <w:rsid w:val="2C9A21B9"/>
    <w:rsid w:val="2CE20523"/>
    <w:rsid w:val="2D496D68"/>
    <w:rsid w:val="2E6672CB"/>
    <w:rsid w:val="2E7A48DE"/>
    <w:rsid w:val="2EDC3ED8"/>
    <w:rsid w:val="2F2D046C"/>
    <w:rsid w:val="2F6351B4"/>
    <w:rsid w:val="2FCF199E"/>
    <w:rsid w:val="30483E83"/>
    <w:rsid w:val="30AA0E97"/>
    <w:rsid w:val="334E4CD8"/>
    <w:rsid w:val="337A7F41"/>
    <w:rsid w:val="343C0775"/>
    <w:rsid w:val="34AA76A9"/>
    <w:rsid w:val="34D1014C"/>
    <w:rsid w:val="356C50EC"/>
    <w:rsid w:val="361108CD"/>
    <w:rsid w:val="3700166C"/>
    <w:rsid w:val="3727617F"/>
    <w:rsid w:val="375969FE"/>
    <w:rsid w:val="37C57374"/>
    <w:rsid w:val="38694EE9"/>
    <w:rsid w:val="39D26025"/>
    <w:rsid w:val="3B365CC9"/>
    <w:rsid w:val="3B9A7B88"/>
    <w:rsid w:val="3BC114FF"/>
    <w:rsid w:val="3C2660C6"/>
    <w:rsid w:val="3D2C7AC8"/>
    <w:rsid w:val="3D855D12"/>
    <w:rsid w:val="3D8B42FF"/>
    <w:rsid w:val="3D8C02DD"/>
    <w:rsid w:val="3DC20089"/>
    <w:rsid w:val="3DF36A6E"/>
    <w:rsid w:val="3F1138E1"/>
    <w:rsid w:val="3F792F1E"/>
    <w:rsid w:val="40824826"/>
    <w:rsid w:val="40E63923"/>
    <w:rsid w:val="42B443F4"/>
    <w:rsid w:val="42F43FD4"/>
    <w:rsid w:val="43A91E5B"/>
    <w:rsid w:val="43AC0516"/>
    <w:rsid w:val="44BC3308"/>
    <w:rsid w:val="45BA48DB"/>
    <w:rsid w:val="463A3650"/>
    <w:rsid w:val="469F0116"/>
    <w:rsid w:val="475259B7"/>
    <w:rsid w:val="48831CF9"/>
    <w:rsid w:val="48E93727"/>
    <w:rsid w:val="49A165B8"/>
    <w:rsid w:val="49B1408D"/>
    <w:rsid w:val="4A0A1CD3"/>
    <w:rsid w:val="4A7D4FD2"/>
    <w:rsid w:val="4A913C9A"/>
    <w:rsid w:val="4AD73FE7"/>
    <w:rsid w:val="4AE22D2F"/>
    <w:rsid w:val="4B1F70AC"/>
    <w:rsid w:val="4B240F94"/>
    <w:rsid w:val="4B386AE5"/>
    <w:rsid w:val="4B7E6464"/>
    <w:rsid w:val="4BA75287"/>
    <w:rsid w:val="4BED70D6"/>
    <w:rsid w:val="4C3C565C"/>
    <w:rsid w:val="4CCC79C7"/>
    <w:rsid w:val="4D7555C7"/>
    <w:rsid w:val="4D950505"/>
    <w:rsid w:val="4E83383E"/>
    <w:rsid w:val="4EAE6DA0"/>
    <w:rsid w:val="4FD037EF"/>
    <w:rsid w:val="5016514B"/>
    <w:rsid w:val="502857C7"/>
    <w:rsid w:val="50476D3D"/>
    <w:rsid w:val="51CB1C78"/>
    <w:rsid w:val="51FD6A51"/>
    <w:rsid w:val="526B680A"/>
    <w:rsid w:val="53150D15"/>
    <w:rsid w:val="5352083E"/>
    <w:rsid w:val="537F2215"/>
    <w:rsid w:val="541A5D30"/>
    <w:rsid w:val="553E632F"/>
    <w:rsid w:val="556F3D31"/>
    <w:rsid w:val="55F068CD"/>
    <w:rsid w:val="566C3136"/>
    <w:rsid w:val="568D04F2"/>
    <w:rsid w:val="584026D9"/>
    <w:rsid w:val="588D6DD7"/>
    <w:rsid w:val="5A526582"/>
    <w:rsid w:val="5A5F5C77"/>
    <w:rsid w:val="5BBE39CD"/>
    <w:rsid w:val="5BC11A60"/>
    <w:rsid w:val="5C7A4D54"/>
    <w:rsid w:val="5CD23B73"/>
    <w:rsid w:val="5F127819"/>
    <w:rsid w:val="5F63752A"/>
    <w:rsid w:val="60F1503F"/>
    <w:rsid w:val="61025188"/>
    <w:rsid w:val="61057D5F"/>
    <w:rsid w:val="614D4977"/>
    <w:rsid w:val="63C60FC0"/>
    <w:rsid w:val="64BA3D7A"/>
    <w:rsid w:val="64F179BC"/>
    <w:rsid w:val="65B66DEA"/>
    <w:rsid w:val="65C94C55"/>
    <w:rsid w:val="665704D3"/>
    <w:rsid w:val="673148E2"/>
    <w:rsid w:val="675445CD"/>
    <w:rsid w:val="67C065A4"/>
    <w:rsid w:val="67D359C9"/>
    <w:rsid w:val="68FE36DD"/>
    <w:rsid w:val="694E60FC"/>
    <w:rsid w:val="69EF4042"/>
    <w:rsid w:val="6C410A63"/>
    <w:rsid w:val="6C675CE6"/>
    <w:rsid w:val="6CEF35AF"/>
    <w:rsid w:val="6D4F4321"/>
    <w:rsid w:val="6DFF7360"/>
    <w:rsid w:val="6E7A5F73"/>
    <w:rsid w:val="6F2E3798"/>
    <w:rsid w:val="6FD74228"/>
    <w:rsid w:val="70FE5EDF"/>
    <w:rsid w:val="71633091"/>
    <w:rsid w:val="73081CA5"/>
    <w:rsid w:val="742B46D2"/>
    <w:rsid w:val="74545B7C"/>
    <w:rsid w:val="7487762D"/>
    <w:rsid w:val="751122B7"/>
    <w:rsid w:val="75385498"/>
    <w:rsid w:val="769962BD"/>
    <w:rsid w:val="76BC207F"/>
    <w:rsid w:val="76EB4904"/>
    <w:rsid w:val="777378F5"/>
    <w:rsid w:val="777A2D3C"/>
    <w:rsid w:val="78537BEA"/>
    <w:rsid w:val="79074B81"/>
    <w:rsid w:val="794F0939"/>
    <w:rsid w:val="79AF0FCA"/>
    <w:rsid w:val="79EF2560"/>
    <w:rsid w:val="7AF9279C"/>
    <w:rsid w:val="7CC51958"/>
    <w:rsid w:val="7CEC40B6"/>
    <w:rsid w:val="7DD22C0F"/>
    <w:rsid w:val="7E2936C3"/>
    <w:rsid w:val="7E2E365C"/>
    <w:rsid w:val="7E64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spacing w:before="280" w:after="290" w:line="376" w:lineRule="auto"/>
      <w:outlineLvl w:val="3"/>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7">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3"/>
    <w:qFormat/>
    <w:uiPriority w:val="0"/>
    <w:pPr>
      <w:jc w:val="left"/>
    </w:pPr>
    <w:rPr>
      <w:rFonts w:ascii="Arial" w:hAnsi="Arial" w:eastAsia="黑体" w:cs="Arial"/>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33"/>
    <w:qFormat/>
    <w:uiPriority w:val="99"/>
    <w:rPr>
      <w:rFonts w:ascii="宋体" w:hAnsi="Courier New" w:eastAsiaTheme="minorEastAsia" w:cstheme="minorBidi"/>
      <w:szCs w:val="22"/>
    </w:rPr>
  </w:style>
  <w:style w:type="paragraph" w:styleId="11">
    <w:name w:val="Date"/>
    <w:basedOn w:val="1"/>
    <w:next w:val="1"/>
    <w:link w:val="40"/>
    <w:qFormat/>
    <w:uiPriority w:val="0"/>
    <w:rPr>
      <w:rFonts w:ascii="Arial" w:hAnsi="Arial" w:eastAsia="宋体" w:cs="Arial"/>
      <w:b/>
      <w:sz w:val="28"/>
    </w:rPr>
  </w:style>
  <w:style w:type="paragraph" w:styleId="12">
    <w:name w:val="Balloon Text"/>
    <w:basedOn w:val="1"/>
    <w:link w:val="27"/>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Normal (Web)"/>
    <w:basedOn w:val="1"/>
    <w:qFormat/>
    <w:uiPriority w:val="0"/>
    <w:pPr>
      <w:spacing w:before="100" w:beforeAutospacing="1" w:after="100" w:afterAutospacing="1"/>
      <w:jc w:val="left"/>
    </w:pPr>
    <w:rPr>
      <w:rFonts w:cs="Times New Roman"/>
      <w:kern w:val="0"/>
      <w:sz w:val="24"/>
    </w:rPr>
  </w:style>
  <w:style w:type="paragraph" w:styleId="18">
    <w:name w:val="index 1"/>
    <w:basedOn w:val="1"/>
    <w:next w:val="1"/>
    <w:qFormat/>
    <w:uiPriority w:val="0"/>
    <w:pPr>
      <w:jc w:val="center"/>
    </w:pPr>
    <w:rPr>
      <w:rFonts w:ascii="Arial" w:hAnsi="Arial" w:eastAsia="Arial" w:cs="Arial"/>
      <w:b/>
      <w:bCs/>
      <w:sz w:val="28"/>
    </w:rPr>
  </w:style>
  <w:style w:type="paragraph" w:styleId="19">
    <w:name w:val="annotation subject"/>
    <w:basedOn w:val="8"/>
    <w:next w:val="8"/>
    <w:link w:val="54"/>
    <w:semiHidden/>
    <w:unhideWhenUsed/>
    <w:qFormat/>
    <w:uiPriority w:val="99"/>
    <w:rPr>
      <w:rFonts w:ascii="@仿宋_GB2312" w:hAnsi="@仿宋_GB2312" w:eastAsia="@仿宋_GB2312" w:cs="@仿宋_GB2312"/>
      <w:b/>
      <w:bCs/>
    </w:rPr>
  </w:style>
  <w:style w:type="paragraph" w:styleId="20">
    <w:name w:val="Body Text First Indent"/>
    <w:basedOn w:val="2"/>
    <w:unhideWhenUsed/>
    <w:qFormat/>
    <w:uiPriority w:val="99"/>
    <w:pPr>
      <w:ind w:firstLine="420" w:firstLineChars="100"/>
    </w:pPr>
  </w:style>
  <w:style w:type="table" w:styleId="22">
    <w:name w:val="Table Grid"/>
    <w:basedOn w:val="2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批注框文本 字符"/>
    <w:basedOn w:val="23"/>
    <w:link w:val="12"/>
    <w:semiHidden/>
    <w:qFormat/>
    <w:uiPriority w:val="99"/>
    <w:rPr>
      <w:rFonts w:ascii="@仿宋_GB2312" w:hAnsi="@仿宋_GB2312" w:eastAsia="@仿宋_GB2312" w:cs="@仿宋_GB2312"/>
      <w:sz w:val="18"/>
      <w:szCs w:val="18"/>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basedOn w:val="23"/>
    <w:link w:val="14"/>
    <w:qFormat/>
    <w:uiPriority w:val="99"/>
    <w:rPr>
      <w:rFonts w:ascii="@仿宋_GB2312" w:hAnsi="@仿宋_GB2312" w:eastAsia="@仿宋_GB2312" w:cs="@仿宋_GB2312"/>
      <w:sz w:val="18"/>
      <w:szCs w:val="18"/>
    </w:rPr>
  </w:style>
  <w:style w:type="character" w:customStyle="1" w:styleId="32">
    <w:name w:val="页脚 字符"/>
    <w:basedOn w:val="23"/>
    <w:link w:val="13"/>
    <w:qFormat/>
    <w:uiPriority w:val="99"/>
    <w:rPr>
      <w:rFonts w:ascii="@仿宋_GB2312" w:hAnsi="@仿宋_GB2312" w:eastAsia="@仿宋_GB2312" w:cs="@仿宋_GB2312"/>
      <w:sz w:val="18"/>
      <w:szCs w:val="18"/>
    </w:rPr>
  </w:style>
  <w:style w:type="character" w:customStyle="1" w:styleId="33">
    <w:name w:val="纯文本 字符"/>
    <w:link w:val="10"/>
    <w:qFormat/>
    <w:uiPriority w:val="0"/>
    <w:rPr>
      <w:rFonts w:ascii="宋体" w:hAnsi="Courier New"/>
    </w:rPr>
  </w:style>
  <w:style w:type="character" w:customStyle="1" w:styleId="34">
    <w:name w:val="纯文本 字符1"/>
    <w:basedOn w:val="23"/>
    <w:semiHidden/>
    <w:qFormat/>
    <w:uiPriority w:val="99"/>
    <w:rPr>
      <w:rFonts w:hAnsi="Courier New" w:cs="Courier New" w:asciiTheme="minorEastAsia"/>
      <w:szCs w:val="20"/>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semiHidden/>
    <w:qFormat/>
    <w:uiPriority w:val="99"/>
    <w:rPr>
      <w:rFonts w:ascii="@仿宋_GB2312" w:hAnsi="@仿宋_GB2312" w:eastAsia="@仿宋_GB2312" w:cs="@仿宋_GB2312"/>
      <w:szCs w:val="20"/>
    </w:rPr>
  </w:style>
  <w:style w:type="character" w:customStyle="1" w:styleId="40">
    <w:name w:val="日期 字符1"/>
    <w:link w:val="11"/>
    <w:qFormat/>
    <w:uiPriority w:val="0"/>
    <w:rPr>
      <w:rFonts w:ascii="Arial" w:hAnsi="Arial" w:eastAsia="宋体" w:cs="Arial"/>
      <w:b/>
      <w:sz w:val="28"/>
      <w:szCs w:val="20"/>
    </w:rPr>
  </w:style>
  <w:style w:type="character" w:customStyle="1" w:styleId="41">
    <w:name w:val="纯文本 Char1"/>
    <w:qFormat/>
    <w:locked/>
    <w:uiPriority w:val="99"/>
    <w:rPr>
      <w:rFonts w:ascii="Arial" w:hAnsi="Arial" w:eastAsia="Arial"/>
      <w:kern w:val="2"/>
      <w:sz w:val="21"/>
      <w:lang w:val="en-US" w:eastAsia="zh-CN" w:bidi="ar-SA"/>
    </w:rPr>
  </w:style>
  <w:style w:type="character" w:customStyle="1" w:styleId="42">
    <w:name w:val="批注文字 Char"/>
    <w:basedOn w:val="23"/>
    <w:semiHidden/>
    <w:qFormat/>
    <w:uiPriority w:val="99"/>
    <w:rPr>
      <w:rFonts w:ascii="@仿宋_GB2312" w:hAnsi="@仿宋_GB2312" w:eastAsia="@仿宋_GB2312" w:cs="@仿宋_GB2312"/>
      <w:szCs w:val="20"/>
    </w:rPr>
  </w:style>
  <w:style w:type="character" w:customStyle="1" w:styleId="43">
    <w:name w:val="批注文字 字符"/>
    <w:link w:val="8"/>
    <w:qFormat/>
    <w:uiPriority w:val="0"/>
    <w:rPr>
      <w:rFonts w:ascii="Arial" w:hAnsi="Arial" w:eastAsia="黑体" w:cs="Arial"/>
      <w:szCs w:val="20"/>
    </w:rPr>
  </w:style>
  <w:style w:type="character" w:customStyle="1" w:styleId="44">
    <w:name w:val="标题 1 字符"/>
    <w:basedOn w:val="23"/>
    <w:link w:val="3"/>
    <w:qFormat/>
    <w:uiPriority w:val="9"/>
    <w:rPr>
      <w:rFonts w:ascii="@仿宋_GB2312" w:hAnsi="@仿宋_GB2312" w:eastAsia="@仿宋_GB2312" w:cs="@仿宋_GB2312"/>
      <w:b/>
      <w:bCs/>
      <w:kern w:val="44"/>
      <w:sz w:val="44"/>
      <w:szCs w:val="44"/>
    </w:rPr>
  </w:style>
  <w:style w:type="paragraph" w:customStyle="1" w:styleId="45">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标题 3 字符"/>
    <w:basedOn w:val="23"/>
    <w:link w:val="5"/>
    <w:semiHidden/>
    <w:qFormat/>
    <w:uiPriority w:val="9"/>
    <w:rPr>
      <w:rFonts w:ascii="@仿宋_GB2312" w:hAnsi="@仿宋_GB2312" w:eastAsia="@仿宋_GB2312" w:cs="@仿宋_GB2312"/>
      <w:b/>
      <w:bCs/>
      <w:sz w:val="32"/>
      <w:szCs w:val="32"/>
    </w:rPr>
  </w:style>
  <w:style w:type="character" w:customStyle="1" w:styleId="47">
    <w:name w:val="fontstyle01"/>
    <w:basedOn w:val="23"/>
    <w:qFormat/>
    <w:uiPriority w:val="0"/>
    <w:rPr>
      <w:rFonts w:hint="eastAsia" w:ascii="宋体" w:hAnsi="宋体" w:eastAsia="宋体"/>
      <w:color w:val="000000"/>
      <w:sz w:val="22"/>
      <w:szCs w:val="22"/>
    </w:rPr>
  </w:style>
  <w:style w:type="character" w:customStyle="1" w:styleId="48">
    <w:name w:val="fontstyle21"/>
    <w:basedOn w:val="23"/>
    <w:qFormat/>
    <w:uiPriority w:val="0"/>
    <w:rPr>
      <w:rFonts w:hint="default" w:ascii="TimesNewRomanPSMT" w:hAnsi="TimesNewRomanPSMT"/>
      <w:color w:val="000000"/>
      <w:sz w:val="22"/>
      <w:szCs w:val="22"/>
    </w:rPr>
  </w:style>
  <w:style w:type="character" w:customStyle="1" w:styleId="4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0">
    <w:name w:val="标题 4 字符"/>
    <w:basedOn w:val="23"/>
    <w:semiHidden/>
    <w:qFormat/>
    <w:uiPriority w:val="9"/>
    <w:rPr>
      <w:rFonts w:asciiTheme="majorHAnsi" w:hAnsiTheme="majorHAnsi" w:eastAsiaTheme="majorEastAsia" w:cstheme="majorBidi"/>
      <w:b/>
      <w:bCs/>
      <w:sz w:val="28"/>
      <w:szCs w:val="28"/>
    </w:rPr>
  </w:style>
  <w:style w:type="character" w:customStyle="1" w:styleId="51">
    <w:name w:val="标题 4 字符1"/>
    <w:link w:val="6"/>
    <w:qFormat/>
    <w:uiPriority w:val="0"/>
    <w:rPr>
      <w:rFonts w:ascii="@仿宋_GB2312" w:hAnsi="@仿宋_GB2312" w:eastAsia="@仿宋_GB2312" w:cs="@仿宋_GB2312"/>
      <w:b/>
      <w:bCs/>
      <w:sz w:val="28"/>
      <w:szCs w:val="28"/>
    </w:rPr>
  </w:style>
  <w:style w:type="character" w:customStyle="1" w:styleId="52">
    <w:name w:val="标题 4 Char"/>
    <w:qFormat/>
    <w:uiPriority w:val="0"/>
    <w:rPr>
      <w:rFonts w:ascii="Arial" w:hAnsi="Arial" w:eastAsia="Arial"/>
      <w:b/>
      <w:bCs/>
      <w:kern w:val="2"/>
      <w:sz w:val="28"/>
      <w:szCs w:val="28"/>
      <w:lang w:val="en-US" w:eastAsia="zh-CN" w:bidi="ar-SA"/>
    </w:rPr>
  </w:style>
  <w:style w:type="table" w:customStyle="1" w:styleId="53">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批注主题 字符"/>
    <w:basedOn w:val="43"/>
    <w:link w:val="19"/>
    <w:semiHidden/>
    <w:qFormat/>
    <w:uiPriority w:val="99"/>
    <w:rPr>
      <w:rFonts w:ascii="@仿宋_GB2312" w:hAnsi="@仿宋_GB2312" w:eastAsia="@仿宋_GB2312" w:cs="@仿宋_GB2312"/>
      <w:b/>
      <w:bCs/>
      <w:szCs w:val="20"/>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Arial" w:hAnsi="Arial" w:eastAsia="Arial" w:cs="Arial"/>
      <w:szCs w:val="21"/>
      <w:lang w:eastAsia="en-US"/>
    </w:rPr>
  </w:style>
  <w:style w:type="paragraph" w:customStyle="1" w:styleId="57">
    <w:name w:val="表格样式"/>
    <w:qFormat/>
    <w:uiPriority w:val="0"/>
    <w:pPr>
      <w:widowControl w:val="0"/>
      <w:spacing w:before="120" w:line="360" w:lineRule="auto"/>
      <w:jc w:val="both"/>
    </w:pPr>
    <w:rPr>
      <w:rFonts w:ascii="宋体" w:hAnsi="宋体" w:eastAsia="宋体" w:cs="Times New Roman"/>
      <w:bCs/>
      <w:color w:val="000000"/>
      <w:kern w:val="2"/>
      <w:sz w:val="15"/>
      <w:szCs w:val="15"/>
      <w:lang w:val="en-US" w:eastAsia="zh-CN" w:bidi="ar-SA"/>
    </w:rPr>
  </w:style>
  <w:style w:type="character" w:customStyle="1" w:styleId="58">
    <w:name w:val="font41"/>
    <w:basedOn w:val="23"/>
    <w:qFormat/>
    <w:uiPriority w:val="0"/>
    <w:rPr>
      <w:rFonts w:hint="eastAsia" w:ascii="宋体" w:hAnsi="宋体" w:eastAsia="宋体" w:cs="宋体"/>
      <w:color w:val="000000"/>
      <w:sz w:val="20"/>
      <w:szCs w:val="20"/>
      <w:u w:val="none"/>
    </w:rPr>
  </w:style>
  <w:style w:type="character" w:customStyle="1" w:styleId="59">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95</Pages>
  <Words>3347</Words>
  <Characters>4113</Characters>
  <Lines>650</Lines>
  <Paragraphs>183</Paragraphs>
  <TotalTime>1</TotalTime>
  <ScaleCrop>false</ScaleCrop>
  <LinksUpToDate>false</LinksUpToDate>
  <CharactersWithSpaces>4202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薛</cp:lastModifiedBy>
  <cp:lastPrinted>2019-12-07T15:18:00Z</cp:lastPrinted>
  <dcterms:modified xsi:type="dcterms:W3CDTF">2025-03-12T13:06:08Z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1ECEA165F94845FFAF35C1C96E4FB9B0_12</vt:lpwstr>
  </property>
  <property fmtid="{D5CDD505-2E9C-101B-9397-08002B2CF9AE}" pid="4" name="KSOTemplateDocerSaveRecord">
    <vt:lpwstr>eyJoZGlkIjoiODkyYjc0MzE2ZWExODM3MjhiYjE2YzBhNWFmZTU4YjEiLCJ1c2VySWQiOiIxMjMyMDYzNDI1In0=</vt:lpwstr>
  </property>
</Properties>
</file>