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A90A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rPr>
      </w:pPr>
    </w:p>
    <w:p w14:paraId="35E80040">
      <w:pPr>
        <w:pStyle w:val="8"/>
        <w:rPr>
          <w:color w:val="auto"/>
        </w:rPr>
      </w:pPr>
    </w:p>
    <w:p w14:paraId="25F762F5">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rPr>
      </w:pPr>
    </w:p>
    <w:p w14:paraId="4BE99B30">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rPr>
      </w:pPr>
      <w:r>
        <w:rPr>
          <w:rFonts w:hint="eastAsia" w:ascii="宋体" w:hAnsi="宋体" w:eastAsia="宋体"/>
          <w:b/>
          <w:bCs/>
          <w:color w:val="auto"/>
          <w:sz w:val="52"/>
          <w:szCs w:val="52"/>
        </w:rPr>
        <w:t>省淮河局2025年部分水闸安全鉴定</w:t>
      </w:r>
    </w:p>
    <w:p w14:paraId="333A2113">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rPr>
      </w:pPr>
      <w:r>
        <w:rPr>
          <w:rFonts w:hint="eastAsia" w:ascii="宋体" w:hAnsi="宋体" w:eastAsia="宋体"/>
          <w:b/>
          <w:bCs/>
          <w:color w:val="auto"/>
          <w:sz w:val="52"/>
          <w:szCs w:val="52"/>
        </w:rPr>
        <w:t>竞争性磋商文件</w:t>
      </w:r>
    </w:p>
    <w:p w14:paraId="260A328A">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rPr>
      </w:pPr>
    </w:p>
    <w:p w14:paraId="019C738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rPr>
      </w:pPr>
    </w:p>
    <w:p w14:paraId="572298F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rPr>
      </w:pPr>
    </w:p>
    <w:p w14:paraId="1A037252">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rPr>
      </w:pPr>
    </w:p>
    <w:p w14:paraId="1AA022DD">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rPr>
      </w:pPr>
      <w:r>
        <w:rPr>
          <w:rFonts w:hint="eastAsia" w:ascii="宋体" w:hAnsi="宋体" w:eastAsia="宋体"/>
          <w:b/>
          <w:color w:val="auto"/>
          <w:spacing w:val="20"/>
          <w:kern w:val="0"/>
          <w:sz w:val="32"/>
          <w:szCs w:val="32"/>
        </w:rPr>
        <w:t>项目名称：</w:t>
      </w:r>
      <w:r>
        <w:rPr>
          <w:rFonts w:hint="eastAsia" w:ascii="宋体" w:hAnsi="宋体" w:eastAsia="宋体"/>
          <w:b/>
          <w:color w:val="auto"/>
          <w:spacing w:val="20"/>
          <w:kern w:val="0"/>
          <w:sz w:val="32"/>
          <w:szCs w:val="32"/>
          <w:u w:val="single"/>
        </w:rPr>
        <w:t>省淮河局2025年部分水闸安全鉴定</w:t>
      </w:r>
    </w:p>
    <w:p w14:paraId="77BFDE82">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rPr>
      </w:pPr>
      <w:r>
        <w:rPr>
          <w:rFonts w:hint="eastAsia" w:ascii="宋体" w:hAnsi="宋体" w:eastAsia="宋体"/>
          <w:b/>
          <w:color w:val="auto"/>
          <w:spacing w:val="20"/>
          <w:kern w:val="0"/>
          <w:sz w:val="32"/>
          <w:szCs w:val="32"/>
        </w:rPr>
        <w:t>项目编号：</w:t>
      </w:r>
      <w:r>
        <w:rPr>
          <w:rFonts w:hint="eastAsia" w:ascii="宋体" w:hAnsi="宋体" w:eastAsia="宋体"/>
          <w:b/>
          <w:color w:val="auto"/>
          <w:spacing w:val="20"/>
          <w:kern w:val="0"/>
          <w:sz w:val="32"/>
          <w:szCs w:val="32"/>
          <w:u w:val="single"/>
        </w:rPr>
        <w:t>FSSD34000120251215号001</w:t>
      </w:r>
    </w:p>
    <w:p w14:paraId="01EE9DB4">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rPr>
      </w:pPr>
      <w:r>
        <w:rPr>
          <w:rFonts w:hint="eastAsia" w:ascii="宋体" w:hAnsi="宋体" w:eastAsia="宋体"/>
          <w:b/>
          <w:color w:val="auto"/>
          <w:spacing w:val="20"/>
          <w:kern w:val="0"/>
          <w:sz w:val="32"/>
          <w:szCs w:val="32"/>
        </w:rPr>
        <w:t>采 购 人：</w:t>
      </w:r>
      <w:r>
        <w:rPr>
          <w:rFonts w:hint="eastAsia" w:ascii="宋体" w:hAnsi="宋体" w:eastAsia="宋体"/>
          <w:b/>
          <w:color w:val="auto"/>
          <w:spacing w:val="20"/>
          <w:kern w:val="0"/>
          <w:sz w:val="32"/>
          <w:szCs w:val="32"/>
          <w:u w:val="single"/>
        </w:rPr>
        <w:t>安徽省淮河河道管理局</w:t>
      </w:r>
    </w:p>
    <w:p w14:paraId="54B0AAC1">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u w:val="single"/>
          <w:lang w:val="en-US" w:eastAsia="zh-CN"/>
        </w:rPr>
      </w:pPr>
      <w:r>
        <w:rPr>
          <w:rFonts w:hint="eastAsia" w:ascii="宋体" w:hAnsi="宋体" w:eastAsia="宋体"/>
          <w:b/>
          <w:color w:val="auto"/>
          <w:spacing w:val="20"/>
          <w:kern w:val="0"/>
          <w:sz w:val="32"/>
          <w:szCs w:val="32"/>
        </w:rPr>
        <w:t>采购代理机构：</w:t>
      </w:r>
      <w:r>
        <w:rPr>
          <w:rFonts w:hint="eastAsia" w:ascii="宋体" w:hAnsi="宋体" w:eastAsia="宋体"/>
          <w:b/>
          <w:color w:val="auto"/>
          <w:spacing w:val="20"/>
          <w:kern w:val="0"/>
          <w:sz w:val="32"/>
          <w:szCs w:val="32"/>
          <w:u w:val="single"/>
          <w:lang w:val="en-US" w:eastAsia="zh-CN"/>
        </w:rPr>
        <w:t>安徽安兆工程技术咨询服务有限公司</w:t>
      </w:r>
    </w:p>
    <w:p w14:paraId="187B7AEF">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rPr>
      </w:pPr>
    </w:p>
    <w:p w14:paraId="13D318FC">
      <w:pPr>
        <w:tabs>
          <w:tab w:val="left" w:pos="2410"/>
        </w:tabs>
        <w:autoSpaceDE w:val="0"/>
        <w:autoSpaceDN w:val="0"/>
        <w:adjustRightInd w:val="0"/>
        <w:snapToGrid w:val="0"/>
        <w:spacing w:line="360" w:lineRule="auto"/>
        <w:jc w:val="center"/>
        <w:rPr>
          <w:rFonts w:ascii="宋体" w:hAnsi="宋体" w:eastAsia="宋体"/>
          <w:b/>
          <w:color w:val="auto"/>
          <w:sz w:val="36"/>
        </w:rPr>
      </w:pPr>
      <w:r>
        <w:rPr>
          <w:rFonts w:hint="eastAsia" w:ascii="宋体" w:hAnsi="宋体" w:eastAsia="宋体"/>
          <w:b/>
          <w:color w:val="auto"/>
          <w:spacing w:val="20"/>
          <w:kern w:val="0"/>
          <w:sz w:val="32"/>
          <w:szCs w:val="32"/>
          <w:u w:val="single"/>
          <w:lang w:val="en-US" w:eastAsia="zh-CN"/>
        </w:rPr>
        <w:t>2025年3月</w:t>
      </w:r>
    </w:p>
    <w:p w14:paraId="6A8B1D78">
      <w:pPr>
        <w:tabs>
          <w:tab w:val="left" w:pos="2410"/>
        </w:tabs>
        <w:autoSpaceDE w:val="0"/>
        <w:autoSpaceDN w:val="0"/>
        <w:adjustRightInd w:val="0"/>
        <w:snapToGrid w:val="0"/>
        <w:spacing w:line="360" w:lineRule="auto"/>
        <w:rPr>
          <w:rFonts w:ascii="宋体" w:hAnsi="宋体" w:eastAsia="宋体"/>
          <w:b/>
          <w:color w:val="auto"/>
          <w:sz w:val="28"/>
        </w:rPr>
      </w:pPr>
      <w:r>
        <w:rPr>
          <w:rFonts w:hint="eastAsia" w:ascii="宋体" w:hAnsi="宋体" w:eastAsia="宋体"/>
          <w:b/>
          <w:color w:val="auto"/>
          <w:sz w:val="28"/>
        </w:rPr>
        <w:br w:type="page"/>
      </w:r>
    </w:p>
    <w:p w14:paraId="432322F8">
      <w:pPr>
        <w:tabs>
          <w:tab w:val="left" w:pos="2410"/>
        </w:tabs>
        <w:autoSpaceDE w:val="0"/>
        <w:autoSpaceDN w:val="0"/>
        <w:adjustRightInd w:val="0"/>
        <w:snapToGrid w:val="0"/>
        <w:spacing w:line="360" w:lineRule="auto"/>
        <w:jc w:val="center"/>
        <w:rPr>
          <w:rFonts w:ascii="宋体" w:hAnsi="宋体" w:eastAsia="宋体"/>
          <w:b/>
          <w:color w:val="auto"/>
          <w:sz w:val="28"/>
        </w:rPr>
      </w:pPr>
      <w:r>
        <w:rPr>
          <w:rFonts w:hint="eastAsia" w:ascii="宋体" w:hAnsi="宋体" w:eastAsia="宋体"/>
          <w:b/>
          <w:color w:val="auto"/>
          <w:sz w:val="28"/>
        </w:rPr>
        <w:t>目  录</w:t>
      </w:r>
    </w:p>
    <w:p w14:paraId="2997F7CF">
      <w:pPr>
        <w:tabs>
          <w:tab w:val="left" w:pos="2410"/>
        </w:tabs>
        <w:autoSpaceDE w:val="0"/>
        <w:autoSpaceDN w:val="0"/>
        <w:adjustRightInd w:val="0"/>
        <w:snapToGrid w:val="0"/>
        <w:spacing w:line="360" w:lineRule="auto"/>
        <w:jc w:val="center"/>
        <w:rPr>
          <w:rFonts w:ascii="宋体" w:hAnsi="宋体" w:eastAsia="宋体"/>
          <w:b/>
          <w:color w:val="auto"/>
          <w:sz w:val="28"/>
        </w:rPr>
      </w:pPr>
    </w:p>
    <w:p w14:paraId="7AC340B2">
      <w:pPr>
        <w:pStyle w:val="17"/>
        <w:tabs>
          <w:tab w:val="right" w:leader="dot" w:pos="8279"/>
        </w:tabs>
        <w:rPr>
          <w:color w:val="auto"/>
        </w:rPr>
      </w:pPr>
      <w:r>
        <w:rPr>
          <w:rFonts w:asciiTheme="minorEastAsia" w:hAnsiTheme="minorEastAsia"/>
          <w:b/>
          <w:bCs/>
          <w:color w:val="auto"/>
          <w:sz w:val="24"/>
          <w:szCs w:val="24"/>
        </w:rPr>
        <w:fldChar w:fldCharType="begin"/>
      </w:r>
      <w:r>
        <w:rPr>
          <w:rFonts w:asciiTheme="minorEastAsia" w:hAnsiTheme="minorEastAsia"/>
          <w:b/>
          <w:bCs/>
          <w:color w:val="auto"/>
          <w:sz w:val="24"/>
          <w:szCs w:val="24"/>
        </w:rPr>
        <w:instrText xml:space="preserve"> </w:instrText>
      </w:r>
      <w:r>
        <w:rPr>
          <w:rFonts w:hint="eastAsia" w:asciiTheme="minorEastAsia" w:hAnsiTheme="minorEastAsia"/>
          <w:b/>
          <w:bCs/>
          <w:color w:val="auto"/>
          <w:sz w:val="24"/>
          <w:szCs w:val="24"/>
        </w:rPr>
        <w:instrText xml:space="preserve">TOC \o "1-2" \h \z \u</w:instrText>
      </w:r>
      <w:r>
        <w:rPr>
          <w:rFonts w:asciiTheme="minorEastAsia" w:hAnsiTheme="minorEastAsia"/>
          <w:b/>
          <w:bCs/>
          <w:color w:val="auto"/>
          <w:sz w:val="24"/>
          <w:szCs w:val="24"/>
        </w:rPr>
        <w:instrText xml:space="preserve"> </w:instrText>
      </w:r>
      <w:r>
        <w:rPr>
          <w:rFonts w:asciiTheme="minorEastAsia" w:hAnsiTheme="minorEastAsia"/>
          <w:b/>
          <w:bCs/>
          <w:color w:val="auto"/>
          <w:sz w:val="24"/>
          <w:szCs w:val="24"/>
        </w:rPr>
        <w:fldChar w:fldCharType="separate"/>
      </w:r>
      <w:r>
        <w:rPr>
          <w:color w:val="auto"/>
        </w:rPr>
        <w:fldChar w:fldCharType="begin"/>
      </w:r>
      <w:r>
        <w:rPr>
          <w:color w:val="auto"/>
        </w:rPr>
        <w:instrText xml:space="preserve"> HYPERLINK \l "_Toc19988" </w:instrText>
      </w:r>
      <w:r>
        <w:rPr>
          <w:color w:val="auto"/>
        </w:rPr>
        <w:fldChar w:fldCharType="separate"/>
      </w:r>
      <w:r>
        <w:rPr>
          <w:rFonts w:hint="eastAsia" w:asciiTheme="minorEastAsia" w:hAnsiTheme="minorEastAsia"/>
          <w:color w:val="auto"/>
        </w:rPr>
        <w:t xml:space="preserve">第一章 </w:t>
      </w:r>
      <w:r>
        <w:rPr>
          <w:rFonts w:asciiTheme="minorEastAsia" w:hAnsiTheme="minorEastAsia"/>
          <w:color w:val="auto"/>
        </w:rPr>
        <w:t xml:space="preserve"> </w:t>
      </w:r>
      <w:r>
        <w:rPr>
          <w:rFonts w:hint="eastAsia" w:asciiTheme="minorEastAsia" w:hAnsiTheme="minorEastAsia"/>
          <w:color w:val="auto"/>
        </w:rPr>
        <w:t>磋商邀请</w:t>
      </w:r>
      <w:r>
        <w:rPr>
          <w:color w:val="auto"/>
        </w:rPr>
        <w:tab/>
      </w:r>
      <w:bookmarkStart w:id="279" w:name="_GoBack"/>
      <w:bookmarkEnd w:id="279"/>
      <w:r>
        <w:rPr>
          <w:color w:val="auto"/>
        </w:rPr>
        <w:fldChar w:fldCharType="begin"/>
      </w:r>
      <w:r>
        <w:rPr>
          <w:color w:val="auto"/>
        </w:rPr>
        <w:instrText xml:space="preserve"> PAGEREF _Toc19988 \h </w:instrText>
      </w:r>
      <w:r>
        <w:rPr>
          <w:color w:val="auto"/>
        </w:rPr>
        <w:fldChar w:fldCharType="separate"/>
      </w:r>
      <w:r>
        <w:rPr>
          <w:color w:val="auto"/>
        </w:rPr>
        <w:t>1</w:t>
      </w:r>
      <w:r>
        <w:rPr>
          <w:color w:val="auto"/>
        </w:rPr>
        <w:fldChar w:fldCharType="end"/>
      </w:r>
      <w:r>
        <w:rPr>
          <w:color w:val="auto"/>
        </w:rPr>
        <w:fldChar w:fldCharType="end"/>
      </w:r>
    </w:p>
    <w:p w14:paraId="56978B58">
      <w:pPr>
        <w:pStyle w:val="17"/>
        <w:tabs>
          <w:tab w:val="right" w:leader="dot" w:pos="8279"/>
        </w:tabs>
        <w:rPr>
          <w:color w:val="auto"/>
        </w:rPr>
      </w:pPr>
      <w:r>
        <w:rPr>
          <w:color w:val="auto"/>
        </w:rPr>
        <w:fldChar w:fldCharType="begin"/>
      </w:r>
      <w:r>
        <w:rPr>
          <w:color w:val="auto"/>
        </w:rPr>
        <w:instrText xml:space="preserve"> HYPERLINK \l "_Toc7162" </w:instrText>
      </w:r>
      <w:r>
        <w:rPr>
          <w:color w:val="auto"/>
        </w:rPr>
        <w:fldChar w:fldCharType="separate"/>
      </w:r>
      <w:r>
        <w:rPr>
          <w:rFonts w:hint="eastAsia" w:asciiTheme="minorEastAsia" w:hAnsiTheme="minorEastAsia"/>
          <w:color w:val="auto"/>
        </w:rPr>
        <w:t>第二章</w:t>
      </w:r>
      <w:r>
        <w:rPr>
          <w:rFonts w:asciiTheme="minorEastAsia" w:hAnsiTheme="minorEastAsia"/>
          <w:color w:val="auto"/>
        </w:rPr>
        <w:t xml:space="preserve"> </w:t>
      </w:r>
      <w:r>
        <w:rPr>
          <w:rFonts w:hint="eastAsia" w:asciiTheme="minorEastAsia" w:hAnsiTheme="minorEastAsia"/>
          <w:color w:val="auto"/>
        </w:rPr>
        <w:t xml:space="preserve"> 供应商</w:t>
      </w:r>
      <w:r>
        <w:rPr>
          <w:rFonts w:asciiTheme="minorEastAsia" w:hAnsiTheme="minorEastAsia"/>
          <w:color w:val="auto"/>
        </w:rPr>
        <w:t>须知</w:t>
      </w:r>
      <w:r>
        <w:rPr>
          <w:color w:val="auto"/>
        </w:rPr>
        <w:tab/>
      </w:r>
      <w:r>
        <w:rPr>
          <w:color w:val="auto"/>
        </w:rPr>
        <w:fldChar w:fldCharType="begin"/>
      </w:r>
      <w:r>
        <w:rPr>
          <w:color w:val="auto"/>
        </w:rPr>
        <w:instrText xml:space="preserve"> PAGEREF _Toc7162 \h </w:instrText>
      </w:r>
      <w:r>
        <w:rPr>
          <w:color w:val="auto"/>
        </w:rPr>
        <w:fldChar w:fldCharType="separate"/>
      </w:r>
      <w:r>
        <w:rPr>
          <w:color w:val="auto"/>
        </w:rPr>
        <w:t>5</w:t>
      </w:r>
      <w:r>
        <w:rPr>
          <w:color w:val="auto"/>
        </w:rPr>
        <w:fldChar w:fldCharType="end"/>
      </w:r>
      <w:r>
        <w:rPr>
          <w:color w:val="auto"/>
        </w:rPr>
        <w:fldChar w:fldCharType="end"/>
      </w:r>
    </w:p>
    <w:p w14:paraId="43436988">
      <w:pPr>
        <w:pStyle w:val="17"/>
        <w:tabs>
          <w:tab w:val="right" w:leader="dot" w:pos="8279"/>
        </w:tabs>
        <w:rPr>
          <w:color w:val="auto"/>
        </w:rPr>
      </w:pPr>
      <w:r>
        <w:rPr>
          <w:color w:val="auto"/>
        </w:rPr>
        <w:fldChar w:fldCharType="begin"/>
      </w:r>
      <w:r>
        <w:rPr>
          <w:color w:val="auto"/>
        </w:rPr>
        <w:instrText xml:space="preserve"> HYPERLINK \l "_Toc19440" </w:instrText>
      </w:r>
      <w:r>
        <w:rPr>
          <w:color w:val="auto"/>
        </w:rPr>
        <w:fldChar w:fldCharType="separate"/>
      </w:r>
      <w:r>
        <w:rPr>
          <w:rFonts w:hint="eastAsia" w:asciiTheme="minorEastAsia" w:hAnsiTheme="minorEastAsia"/>
          <w:color w:val="auto"/>
        </w:rPr>
        <w:t>第三章  采购需求</w:t>
      </w:r>
      <w:r>
        <w:rPr>
          <w:color w:val="auto"/>
        </w:rPr>
        <w:tab/>
      </w:r>
      <w:r>
        <w:rPr>
          <w:color w:val="auto"/>
        </w:rPr>
        <w:fldChar w:fldCharType="begin"/>
      </w:r>
      <w:r>
        <w:rPr>
          <w:color w:val="auto"/>
        </w:rPr>
        <w:instrText xml:space="preserve"> PAGEREF _Toc19440 \h </w:instrText>
      </w:r>
      <w:r>
        <w:rPr>
          <w:color w:val="auto"/>
        </w:rPr>
        <w:fldChar w:fldCharType="separate"/>
      </w:r>
      <w:r>
        <w:rPr>
          <w:color w:val="auto"/>
        </w:rPr>
        <w:t>19</w:t>
      </w:r>
      <w:r>
        <w:rPr>
          <w:color w:val="auto"/>
        </w:rPr>
        <w:fldChar w:fldCharType="end"/>
      </w:r>
      <w:r>
        <w:rPr>
          <w:color w:val="auto"/>
        </w:rPr>
        <w:fldChar w:fldCharType="end"/>
      </w:r>
    </w:p>
    <w:p w14:paraId="42FF6B9D">
      <w:pPr>
        <w:pStyle w:val="17"/>
        <w:tabs>
          <w:tab w:val="right" w:leader="dot" w:pos="8279"/>
        </w:tabs>
        <w:rPr>
          <w:color w:val="auto"/>
        </w:rPr>
      </w:pPr>
      <w:r>
        <w:rPr>
          <w:color w:val="auto"/>
        </w:rPr>
        <w:fldChar w:fldCharType="begin"/>
      </w:r>
      <w:r>
        <w:rPr>
          <w:color w:val="auto"/>
        </w:rPr>
        <w:instrText xml:space="preserve"> HYPERLINK \l "_Toc8668" </w:instrText>
      </w:r>
      <w:r>
        <w:rPr>
          <w:color w:val="auto"/>
        </w:rPr>
        <w:fldChar w:fldCharType="separate"/>
      </w:r>
      <w:r>
        <w:rPr>
          <w:rFonts w:hint="eastAsia" w:asciiTheme="minorEastAsia" w:hAnsiTheme="minorEastAsia"/>
          <w:color w:val="auto"/>
        </w:rPr>
        <w:t>第四章  评审方法和标准</w:t>
      </w:r>
      <w:r>
        <w:rPr>
          <w:color w:val="auto"/>
        </w:rPr>
        <w:tab/>
      </w:r>
      <w:r>
        <w:rPr>
          <w:color w:val="auto"/>
        </w:rPr>
        <w:fldChar w:fldCharType="begin"/>
      </w:r>
      <w:r>
        <w:rPr>
          <w:color w:val="auto"/>
        </w:rPr>
        <w:instrText xml:space="preserve"> PAGEREF _Toc8668 \h </w:instrText>
      </w:r>
      <w:r>
        <w:rPr>
          <w:color w:val="auto"/>
        </w:rPr>
        <w:fldChar w:fldCharType="separate"/>
      </w:r>
      <w:r>
        <w:rPr>
          <w:color w:val="auto"/>
        </w:rPr>
        <w:t>24</w:t>
      </w:r>
      <w:r>
        <w:rPr>
          <w:color w:val="auto"/>
        </w:rPr>
        <w:fldChar w:fldCharType="end"/>
      </w:r>
      <w:r>
        <w:rPr>
          <w:color w:val="auto"/>
        </w:rPr>
        <w:fldChar w:fldCharType="end"/>
      </w:r>
    </w:p>
    <w:p w14:paraId="35F024C7">
      <w:pPr>
        <w:pStyle w:val="17"/>
        <w:tabs>
          <w:tab w:val="right" w:leader="dot" w:pos="8279"/>
        </w:tabs>
        <w:rPr>
          <w:color w:val="auto"/>
        </w:rPr>
      </w:pPr>
      <w:r>
        <w:rPr>
          <w:color w:val="auto"/>
        </w:rPr>
        <w:fldChar w:fldCharType="begin"/>
      </w:r>
      <w:r>
        <w:rPr>
          <w:color w:val="auto"/>
        </w:rPr>
        <w:instrText xml:space="preserve"> HYPERLINK \l "_Toc17167" </w:instrText>
      </w:r>
      <w:r>
        <w:rPr>
          <w:color w:val="auto"/>
        </w:rPr>
        <w:fldChar w:fldCharType="separate"/>
      </w:r>
      <w:r>
        <w:rPr>
          <w:rFonts w:hint="eastAsia" w:asciiTheme="minorEastAsia" w:hAnsiTheme="minorEastAsia"/>
          <w:color w:val="auto"/>
        </w:rPr>
        <w:t xml:space="preserve">第五章  </w:t>
      </w:r>
      <w:r>
        <w:rPr>
          <w:rFonts w:asciiTheme="minorEastAsia" w:hAnsiTheme="minorEastAsia"/>
          <w:color w:val="auto"/>
        </w:rPr>
        <w:t>政府采购合同</w:t>
      </w:r>
      <w:r>
        <w:rPr>
          <w:color w:val="auto"/>
        </w:rPr>
        <w:tab/>
      </w:r>
      <w:r>
        <w:rPr>
          <w:color w:val="auto"/>
        </w:rPr>
        <w:fldChar w:fldCharType="begin"/>
      </w:r>
      <w:r>
        <w:rPr>
          <w:color w:val="auto"/>
        </w:rPr>
        <w:instrText xml:space="preserve"> PAGEREF _Toc17167 \h </w:instrText>
      </w:r>
      <w:r>
        <w:rPr>
          <w:color w:val="auto"/>
        </w:rPr>
        <w:fldChar w:fldCharType="separate"/>
      </w:r>
      <w:r>
        <w:rPr>
          <w:color w:val="auto"/>
        </w:rPr>
        <w:t>28</w:t>
      </w:r>
      <w:r>
        <w:rPr>
          <w:color w:val="auto"/>
        </w:rPr>
        <w:fldChar w:fldCharType="end"/>
      </w:r>
      <w:r>
        <w:rPr>
          <w:color w:val="auto"/>
        </w:rPr>
        <w:fldChar w:fldCharType="end"/>
      </w:r>
    </w:p>
    <w:p w14:paraId="4A765AD9">
      <w:pPr>
        <w:pStyle w:val="17"/>
        <w:tabs>
          <w:tab w:val="right" w:leader="dot" w:pos="8279"/>
        </w:tabs>
        <w:rPr>
          <w:color w:val="auto"/>
        </w:rPr>
      </w:pPr>
      <w:r>
        <w:rPr>
          <w:color w:val="auto"/>
        </w:rPr>
        <w:fldChar w:fldCharType="begin"/>
      </w:r>
      <w:r>
        <w:rPr>
          <w:color w:val="auto"/>
        </w:rPr>
        <w:instrText xml:space="preserve"> HYPERLINK \l "_Toc25148" </w:instrText>
      </w:r>
      <w:r>
        <w:rPr>
          <w:color w:val="auto"/>
        </w:rPr>
        <w:fldChar w:fldCharType="separate"/>
      </w:r>
      <w:r>
        <w:rPr>
          <w:rFonts w:hint="eastAsia" w:asciiTheme="minorEastAsia" w:hAnsiTheme="minorEastAsia"/>
          <w:color w:val="auto"/>
        </w:rPr>
        <w:t>第六章  响应文件格式</w:t>
      </w:r>
      <w:r>
        <w:rPr>
          <w:color w:val="auto"/>
        </w:rPr>
        <w:tab/>
      </w:r>
      <w:r>
        <w:rPr>
          <w:color w:val="auto"/>
        </w:rPr>
        <w:fldChar w:fldCharType="begin"/>
      </w:r>
      <w:r>
        <w:rPr>
          <w:color w:val="auto"/>
        </w:rPr>
        <w:instrText xml:space="preserve"> PAGEREF _Toc25148 \h </w:instrText>
      </w:r>
      <w:r>
        <w:rPr>
          <w:color w:val="auto"/>
        </w:rPr>
        <w:fldChar w:fldCharType="separate"/>
      </w:r>
      <w:r>
        <w:rPr>
          <w:color w:val="auto"/>
        </w:rPr>
        <w:t>46</w:t>
      </w:r>
      <w:r>
        <w:rPr>
          <w:color w:val="auto"/>
        </w:rPr>
        <w:fldChar w:fldCharType="end"/>
      </w:r>
      <w:r>
        <w:rPr>
          <w:color w:val="auto"/>
        </w:rPr>
        <w:fldChar w:fldCharType="end"/>
      </w:r>
    </w:p>
    <w:p w14:paraId="52AB45AD">
      <w:pPr>
        <w:pStyle w:val="17"/>
        <w:tabs>
          <w:tab w:val="right" w:leader="dot" w:pos="8279"/>
        </w:tabs>
        <w:rPr>
          <w:color w:val="auto"/>
        </w:rPr>
      </w:pPr>
      <w:r>
        <w:rPr>
          <w:color w:val="auto"/>
        </w:rPr>
        <w:fldChar w:fldCharType="begin"/>
      </w:r>
      <w:r>
        <w:rPr>
          <w:color w:val="auto"/>
        </w:rPr>
        <w:instrText xml:space="preserve"> HYPERLINK \l "_Toc19418" </w:instrText>
      </w:r>
      <w:r>
        <w:rPr>
          <w:color w:val="auto"/>
        </w:rPr>
        <w:fldChar w:fldCharType="separate"/>
      </w:r>
      <w:r>
        <w:rPr>
          <w:rFonts w:hint="eastAsia" w:ascii="宋体" w:hAnsi="宋体" w:eastAsia="宋体"/>
          <w:bCs/>
          <w:color w:val="auto"/>
        </w:rPr>
        <w:t>第七章  政府采购</w:t>
      </w:r>
      <w:r>
        <w:rPr>
          <w:rFonts w:hint="eastAsia" w:asciiTheme="minorEastAsia" w:hAnsiTheme="minorEastAsia"/>
          <w:color w:val="auto"/>
        </w:rPr>
        <w:t>供应</w:t>
      </w:r>
      <w:r>
        <w:rPr>
          <w:rFonts w:hint="eastAsia" w:ascii="宋体" w:hAnsi="宋体" w:eastAsia="宋体"/>
          <w:bCs/>
          <w:color w:val="auto"/>
        </w:rPr>
        <w:t>商询问函和质疑函范本</w:t>
      </w:r>
      <w:r>
        <w:rPr>
          <w:color w:val="auto"/>
        </w:rPr>
        <w:tab/>
      </w:r>
      <w:r>
        <w:rPr>
          <w:color w:val="auto"/>
        </w:rPr>
        <w:fldChar w:fldCharType="begin"/>
      </w:r>
      <w:r>
        <w:rPr>
          <w:color w:val="auto"/>
        </w:rPr>
        <w:instrText xml:space="preserve"> PAGEREF _Toc19418 \h </w:instrText>
      </w:r>
      <w:r>
        <w:rPr>
          <w:color w:val="auto"/>
        </w:rPr>
        <w:fldChar w:fldCharType="separate"/>
      </w:r>
      <w:r>
        <w:rPr>
          <w:color w:val="auto"/>
        </w:rPr>
        <w:t>60</w:t>
      </w:r>
      <w:r>
        <w:rPr>
          <w:color w:val="auto"/>
        </w:rPr>
        <w:fldChar w:fldCharType="end"/>
      </w:r>
      <w:r>
        <w:rPr>
          <w:color w:val="auto"/>
        </w:rPr>
        <w:fldChar w:fldCharType="end"/>
      </w:r>
    </w:p>
    <w:p w14:paraId="038F4F8C">
      <w:pPr>
        <w:pStyle w:val="18"/>
        <w:tabs>
          <w:tab w:val="right" w:leader="dot" w:pos="8296"/>
        </w:tabs>
        <w:rPr>
          <w:rFonts w:asciiTheme="minorEastAsia" w:hAnsiTheme="minorEastAsia"/>
          <w:b/>
          <w:color w:val="auto"/>
          <w:sz w:val="32"/>
        </w:rPr>
      </w:pPr>
      <w:r>
        <w:rPr>
          <w:rFonts w:asciiTheme="minorEastAsia" w:hAnsiTheme="minorEastAsia"/>
          <w:bCs/>
          <w:color w:val="auto"/>
          <w:szCs w:val="24"/>
        </w:rPr>
        <w:fldChar w:fldCharType="end"/>
      </w:r>
    </w:p>
    <w:p w14:paraId="6BD80E6E">
      <w:pPr>
        <w:spacing w:line="360" w:lineRule="auto"/>
        <w:jc w:val="center"/>
        <w:outlineLvl w:val="1"/>
        <w:rPr>
          <w:rFonts w:asciiTheme="minorEastAsia" w:hAnsiTheme="minorEastAsia" w:eastAsiaTheme="minorEastAsia"/>
          <w:b/>
          <w:color w:val="auto"/>
          <w:sz w:val="28"/>
        </w:rPr>
        <w:sectPr>
          <w:headerReference r:id="rId3" w:type="default"/>
          <w:footerReference r:id="rId4" w:type="default"/>
          <w:pgSz w:w="11907" w:h="16840"/>
          <w:pgMar w:top="1474" w:right="1814" w:bottom="1474" w:left="1814" w:header="851" w:footer="992" w:gutter="0"/>
          <w:cols w:space="720" w:num="1"/>
          <w:docGrid w:linePitch="462" w:charSpace="0"/>
        </w:sectPr>
      </w:pPr>
    </w:p>
    <w:p w14:paraId="05509049">
      <w:pPr>
        <w:spacing w:line="360" w:lineRule="auto"/>
        <w:jc w:val="center"/>
        <w:outlineLvl w:val="0"/>
        <w:rPr>
          <w:rFonts w:asciiTheme="minorEastAsia" w:hAnsiTheme="minorEastAsia" w:eastAsiaTheme="minorEastAsia"/>
          <w:b/>
          <w:color w:val="auto"/>
          <w:sz w:val="28"/>
        </w:rPr>
      </w:pPr>
      <w:bookmarkStart w:id="0" w:name="_Toc501"/>
      <w:bookmarkStart w:id="1" w:name="_Toc19988"/>
      <w:r>
        <w:rPr>
          <w:rFonts w:hint="eastAsia" w:asciiTheme="minorEastAsia" w:hAnsiTheme="minorEastAsia" w:eastAsiaTheme="minorEastAsia"/>
          <w:b/>
          <w:color w:val="auto"/>
          <w:sz w:val="28"/>
        </w:rPr>
        <w:t xml:space="preserve">第一章 </w:t>
      </w:r>
      <w:r>
        <w:rPr>
          <w:rFonts w:asciiTheme="minorEastAsia" w:hAnsiTheme="minorEastAsia" w:eastAsiaTheme="minorEastAsia"/>
          <w:b/>
          <w:color w:val="auto"/>
          <w:sz w:val="28"/>
        </w:rPr>
        <w:t xml:space="preserve"> </w:t>
      </w:r>
      <w:r>
        <w:rPr>
          <w:rFonts w:hint="eastAsia" w:asciiTheme="minorEastAsia" w:hAnsiTheme="minorEastAsia" w:eastAsiaTheme="minorEastAsia"/>
          <w:b/>
          <w:color w:val="auto"/>
          <w:sz w:val="28"/>
        </w:rPr>
        <w:t>磋商邀请</w:t>
      </w:r>
      <w:bookmarkEnd w:id="0"/>
      <w:bookmarkEnd w:id="1"/>
    </w:p>
    <w:p w14:paraId="761083D8">
      <w:pPr>
        <w:pStyle w:val="3"/>
        <w:adjustRightInd w:val="0"/>
        <w:snapToGrid w:val="0"/>
        <w:spacing w:before="0" w:after="0" w:line="560" w:lineRule="exact"/>
        <w:ind w:firstLine="482" w:firstLineChars="200"/>
        <w:jc w:val="left"/>
        <w:rPr>
          <w:rFonts w:ascii="宋体" w:hAnsi="宋体" w:eastAsia="宋体" w:cs="宋体"/>
          <w:bCs w:val="0"/>
          <w:color w:val="auto"/>
          <w:sz w:val="24"/>
          <w:szCs w:val="24"/>
        </w:rPr>
      </w:pPr>
      <w:bookmarkStart w:id="2" w:name="_Toc35393629"/>
      <w:bookmarkStart w:id="3" w:name="_Toc28359012"/>
      <w:bookmarkStart w:id="4" w:name="_Toc28359089"/>
      <w:bookmarkStart w:id="5" w:name="_Toc14730"/>
      <w:bookmarkStart w:id="6" w:name="_Toc35393798"/>
      <w:r>
        <w:rPr>
          <w:rFonts w:hint="eastAsia" w:ascii="宋体" w:hAnsi="宋体" w:eastAsia="宋体" w:cs="宋体"/>
          <w:bCs w:val="0"/>
          <w:color w:val="auto"/>
          <w:sz w:val="24"/>
          <w:szCs w:val="24"/>
        </w:rPr>
        <w:t>一、项目基本情况</w:t>
      </w:r>
      <w:bookmarkEnd w:id="2"/>
      <w:bookmarkEnd w:id="3"/>
      <w:bookmarkEnd w:id="4"/>
      <w:bookmarkEnd w:id="5"/>
      <w:bookmarkEnd w:id="6"/>
    </w:p>
    <w:p w14:paraId="7F18060A">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1.项目编号：FSSD34000120251215号001</w:t>
      </w:r>
    </w:p>
    <w:p w14:paraId="5A9F13FE">
      <w:pPr>
        <w:adjustRightInd w:val="0"/>
        <w:snapToGrid w:val="0"/>
        <w:spacing w:line="560" w:lineRule="exact"/>
        <w:ind w:firstLine="480" w:firstLineChars="200"/>
        <w:jc w:val="left"/>
        <w:rPr>
          <w:rFonts w:ascii="宋体" w:hAnsi="宋体" w:eastAsia="宋体" w:cs="宋体"/>
          <w:color w:val="auto"/>
          <w:sz w:val="24"/>
          <w:szCs w:val="24"/>
          <w:u w:val="single"/>
        </w:rPr>
      </w:pPr>
      <w:r>
        <w:rPr>
          <w:rFonts w:hint="eastAsia" w:ascii="宋体" w:hAnsi="宋体" w:eastAsia="宋体" w:cs="宋体"/>
          <w:color w:val="auto"/>
          <w:sz w:val="24"/>
          <w:szCs w:val="24"/>
        </w:rPr>
        <w:t>2.项目名称：省淮河局2025年部分水闸安全鉴定</w:t>
      </w:r>
    </w:p>
    <w:p w14:paraId="565C360E">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eastAsia="宋体"/>
          <w:color w:val="auto"/>
          <w:sz w:val="24"/>
          <w:szCs w:val="18"/>
        </w:rPr>
        <w:t>128万元</w:t>
      </w:r>
    </w:p>
    <w:p w14:paraId="4B573B96">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4.最高限价：</w:t>
      </w:r>
      <w:r>
        <w:rPr>
          <w:rFonts w:hint="eastAsia" w:ascii="宋体" w:hAnsi="宋体" w:eastAsia="宋体"/>
          <w:color w:val="auto"/>
          <w:sz w:val="24"/>
          <w:szCs w:val="18"/>
        </w:rPr>
        <w:t>128万元</w:t>
      </w:r>
    </w:p>
    <w:p w14:paraId="5467D7E2">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5.采购需求：</w:t>
      </w:r>
    </w:p>
    <w:p w14:paraId="19E9A5BB">
      <w:pPr>
        <w:adjustRightInd w:val="0"/>
        <w:snapToGrid w:val="0"/>
        <w:spacing w:line="560" w:lineRule="exact"/>
        <w:ind w:firstLine="480" w:firstLineChars="200"/>
        <w:jc w:val="left"/>
        <w:rPr>
          <w:rFonts w:hint="eastAsia" w:ascii="宋体" w:hAnsi="宋体" w:eastAsia="宋体" w:cs="宋体"/>
          <w:color w:val="auto"/>
          <w:sz w:val="24"/>
          <w:szCs w:val="24"/>
          <w:lang w:val="en-US" w:eastAsia="zh-CN"/>
        </w:rPr>
      </w:pPr>
      <w:bookmarkStart w:id="7" w:name="_Hlk190353345"/>
      <w:bookmarkStart w:id="8" w:name="_Hlk190178055"/>
      <w:r>
        <w:rPr>
          <w:rFonts w:hint="eastAsia" w:ascii="宋体" w:hAnsi="宋体" w:eastAsia="宋体" w:cs="宋体"/>
          <w:color w:val="auto"/>
          <w:sz w:val="24"/>
          <w:szCs w:val="24"/>
        </w:rPr>
        <w:t>对颍上闸、五河分洪闸、刘桥闸、新淝闸、城西湖退水闸、姜唐湖退水闸等水闸进行安全鉴定，要求成交供应商编制完成现状调查分析报告、现场安全检测报告、工程复核计算分析报告和水闸安全评价报告，并协助完成安全鉴定相关工作等</w:t>
      </w:r>
      <w:bookmarkEnd w:id="7"/>
      <w:r>
        <w:rPr>
          <w:rFonts w:hint="eastAsia" w:ascii="宋体" w:hAnsi="宋体" w:eastAsia="宋体" w:cs="宋体"/>
          <w:color w:val="auto"/>
          <w:sz w:val="24"/>
          <w:szCs w:val="24"/>
          <w:lang w:eastAsia="zh-CN"/>
        </w:rPr>
        <w:t>。</w:t>
      </w:r>
    </w:p>
    <w:bookmarkEnd w:id="8"/>
    <w:p w14:paraId="74AAF957">
      <w:pPr>
        <w:adjustRightInd w:val="0"/>
        <w:snapToGrid w:val="0"/>
        <w:spacing w:line="560" w:lineRule="exact"/>
        <w:ind w:firstLine="480" w:firstLineChars="200"/>
        <w:jc w:val="left"/>
        <w:rPr>
          <w:rFonts w:ascii="宋体" w:hAnsi="宋体" w:eastAsia="宋体" w:cs="宋体"/>
          <w:color w:val="auto"/>
          <w:sz w:val="24"/>
          <w:szCs w:val="24"/>
          <w:u w:val="single"/>
        </w:rPr>
      </w:pPr>
      <w:r>
        <w:rPr>
          <w:rFonts w:hint="eastAsia" w:ascii="宋体" w:hAnsi="宋体" w:eastAsia="宋体" w:cs="宋体"/>
          <w:color w:val="auto"/>
          <w:sz w:val="24"/>
          <w:szCs w:val="24"/>
        </w:rPr>
        <w:t>6.合同履行期限：合同签订之日起</w:t>
      </w:r>
      <w:r>
        <w:rPr>
          <w:rFonts w:ascii="宋体" w:hAnsi="宋体" w:eastAsia="宋体" w:cs="宋体"/>
          <w:color w:val="auto"/>
          <w:sz w:val="24"/>
          <w:szCs w:val="24"/>
        </w:rPr>
        <w:t>210</w:t>
      </w:r>
      <w:r>
        <w:rPr>
          <w:rFonts w:hint="eastAsia" w:ascii="宋体" w:hAnsi="宋体" w:eastAsia="宋体" w:cs="宋体"/>
          <w:color w:val="auto"/>
          <w:sz w:val="24"/>
          <w:szCs w:val="24"/>
        </w:rPr>
        <w:t>日历天。</w:t>
      </w:r>
    </w:p>
    <w:p w14:paraId="3DD57A7A">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Theme="minorEastAsia" w:hAnsiTheme="minorEastAsia" w:eastAsiaTheme="minorEastAsia"/>
          <w:color w:val="auto"/>
          <w:sz w:val="24"/>
        </w:rPr>
        <w:t>本项目（否）接受联合体磋商。</w:t>
      </w:r>
    </w:p>
    <w:p w14:paraId="64519D0B">
      <w:pPr>
        <w:pStyle w:val="3"/>
        <w:adjustRightInd w:val="0"/>
        <w:snapToGrid w:val="0"/>
        <w:spacing w:before="0" w:after="0" w:line="560" w:lineRule="exact"/>
        <w:ind w:firstLine="482" w:firstLineChars="200"/>
        <w:jc w:val="left"/>
        <w:rPr>
          <w:rFonts w:ascii="宋体" w:hAnsi="宋体" w:eastAsia="宋体" w:cs="宋体"/>
          <w:bCs w:val="0"/>
          <w:color w:val="auto"/>
          <w:sz w:val="24"/>
          <w:szCs w:val="24"/>
        </w:rPr>
      </w:pPr>
      <w:bookmarkStart w:id="9" w:name="_Toc28359013"/>
      <w:bookmarkStart w:id="10" w:name="_Toc35393799"/>
      <w:bookmarkStart w:id="11" w:name="_Toc28359090"/>
      <w:bookmarkStart w:id="12" w:name="_Toc35393630"/>
      <w:bookmarkStart w:id="13" w:name="_Toc32615"/>
      <w:r>
        <w:rPr>
          <w:rFonts w:hint="eastAsia" w:ascii="宋体" w:hAnsi="宋体" w:eastAsia="宋体" w:cs="宋体"/>
          <w:bCs w:val="0"/>
          <w:color w:val="auto"/>
          <w:sz w:val="24"/>
          <w:szCs w:val="24"/>
        </w:rPr>
        <w:t>二、申请人的资格要求：</w:t>
      </w:r>
      <w:bookmarkEnd w:id="9"/>
      <w:bookmarkEnd w:id="10"/>
      <w:bookmarkEnd w:id="11"/>
      <w:bookmarkEnd w:id="12"/>
      <w:bookmarkEnd w:id="13"/>
    </w:p>
    <w:p w14:paraId="0336ABE3">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55CE0635">
      <w:pPr>
        <w:adjustRightInd w:val="0"/>
        <w:snapToGrid w:val="0"/>
        <w:spacing w:line="560" w:lineRule="exact"/>
        <w:ind w:firstLine="480" w:firstLineChars="200"/>
        <w:jc w:val="left"/>
        <w:rPr>
          <w:rFonts w:ascii="宋体" w:hAnsi="宋体" w:eastAsia="宋体" w:cs="宋体"/>
          <w:color w:val="auto"/>
          <w:sz w:val="24"/>
          <w:szCs w:val="24"/>
        </w:rPr>
      </w:pPr>
      <w:bookmarkStart w:id="14" w:name="_Toc28359014"/>
      <w:bookmarkStart w:id="15" w:name="_Toc28359091"/>
      <w:r>
        <w:rPr>
          <w:rFonts w:hint="eastAsia" w:ascii="宋体" w:hAnsi="宋体" w:eastAsia="宋体" w:cs="宋体"/>
          <w:color w:val="auto"/>
          <w:sz w:val="24"/>
          <w:szCs w:val="24"/>
        </w:rPr>
        <w:t>2.落实政府采购政策需满足的资格要求：</w:t>
      </w:r>
    </w:p>
    <w:p w14:paraId="32A84ED0">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2.1中小企业政策</w:t>
      </w:r>
    </w:p>
    <w:p w14:paraId="02CFB2F2">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2.1.1</w:t>
      </w:r>
      <w:r>
        <w:rPr>
          <w:rFonts w:hint="eastAsia" w:ascii="宋体" w:hAnsi="宋体" w:eastAsia="宋体" w:cs="宋体"/>
          <w:color w:val="auto"/>
          <w:sz w:val="24"/>
          <w:szCs w:val="24"/>
        </w:rPr>
        <w:sym w:font="Wingdings 2" w:char="0052"/>
      </w:r>
      <w:r>
        <w:rPr>
          <w:rFonts w:hint="eastAsia" w:ascii="宋体" w:hAnsi="宋体" w:eastAsia="宋体" w:cs="宋体"/>
          <w:b/>
          <w:bCs/>
          <w:color w:val="auto"/>
          <w:sz w:val="24"/>
          <w:szCs w:val="24"/>
        </w:rPr>
        <w:t>本项目不专门面向中小企业预留采购份额。</w:t>
      </w:r>
    </w:p>
    <w:p w14:paraId="71ACACF3">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2.1.2□本项目专门面向/采购。</w:t>
      </w:r>
    </w:p>
    <w:p w14:paraId="4FFE0EB1">
      <w:pPr>
        <w:adjustRightInd w:val="0"/>
        <w:snapToGrid w:val="0"/>
        <w:spacing w:line="56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2.1.3□本项目预留部分采购项目预算专门面向中小企业采购。对于预留份额，提供的货物由符合政策要求的中小企业制造。预留份额通过以下措施进行：/。</w:t>
      </w:r>
    </w:p>
    <w:p w14:paraId="2A1783A5">
      <w:pPr>
        <w:adjustRightInd w:val="0"/>
        <w:snapToGrid w:val="0"/>
        <w:spacing w:line="56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2.2其它落实政府采购政策的资格要求（如有）：/。</w:t>
      </w:r>
    </w:p>
    <w:p w14:paraId="4C45C1AA">
      <w:pPr>
        <w:adjustRightInd w:val="0"/>
        <w:snapToGrid w:val="0"/>
        <w:spacing w:line="560" w:lineRule="exact"/>
        <w:ind w:firstLine="480" w:firstLineChars="200"/>
        <w:jc w:val="left"/>
        <w:rPr>
          <w:rFonts w:asciiTheme="minorEastAsia" w:hAnsiTheme="minorEastAsia" w:eastAsiaTheme="minorEastAsia"/>
          <w:b/>
          <w:bCs/>
          <w:color w:val="auto"/>
          <w:sz w:val="24"/>
        </w:rPr>
      </w:pPr>
      <w:r>
        <w:rPr>
          <w:rFonts w:hint="eastAsia" w:asciiTheme="minorEastAsia" w:hAnsiTheme="minorEastAsia" w:eastAsiaTheme="minorEastAsia"/>
          <w:color w:val="auto"/>
          <w:sz w:val="24"/>
        </w:rPr>
        <w:t>3.本项目的特定资格要求：</w:t>
      </w:r>
      <w:r>
        <w:rPr>
          <w:rFonts w:hint="eastAsia" w:asciiTheme="minorEastAsia" w:hAnsiTheme="minorEastAsia" w:eastAsiaTheme="minorEastAsia"/>
          <w:b/>
          <w:bCs/>
          <w:color w:val="auto"/>
          <w:sz w:val="24"/>
        </w:rPr>
        <w:t>①供应商须具备工程设计综合甲级或水利行业设计甲级资质或经水利部认定可承担大型水闸安全评价任务的水利科研院（所）；②具有水利工程质量检测岩土工程、混凝土工程、金属结构、机械电气和量测5个类别甲级资质。③具有有效的检验检测机构资质认定证书（CMA）。</w:t>
      </w:r>
    </w:p>
    <w:p w14:paraId="5C551CDD">
      <w:pPr>
        <w:pStyle w:val="3"/>
        <w:adjustRightInd w:val="0"/>
        <w:snapToGrid w:val="0"/>
        <w:spacing w:before="0" w:after="0" w:line="560" w:lineRule="exact"/>
        <w:ind w:firstLine="482" w:firstLineChars="200"/>
        <w:jc w:val="left"/>
        <w:rPr>
          <w:rFonts w:ascii="宋体" w:hAnsi="宋体" w:eastAsia="宋体" w:cs="宋体"/>
          <w:bCs w:val="0"/>
          <w:color w:val="auto"/>
          <w:sz w:val="24"/>
          <w:szCs w:val="24"/>
        </w:rPr>
      </w:pPr>
      <w:bookmarkStart w:id="16" w:name="_Toc24072"/>
      <w:bookmarkStart w:id="17" w:name="_Toc35393800"/>
      <w:bookmarkStart w:id="18" w:name="_Toc35393631"/>
      <w:r>
        <w:rPr>
          <w:rFonts w:hint="eastAsia" w:ascii="宋体" w:hAnsi="宋体" w:eastAsia="宋体" w:cs="宋体"/>
          <w:bCs w:val="0"/>
          <w:color w:val="auto"/>
          <w:sz w:val="24"/>
          <w:szCs w:val="24"/>
        </w:rPr>
        <w:t>三、获取采购文件</w:t>
      </w:r>
      <w:bookmarkEnd w:id="14"/>
      <w:bookmarkEnd w:id="15"/>
      <w:bookmarkEnd w:id="16"/>
      <w:bookmarkEnd w:id="17"/>
      <w:bookmarkEnd w:id="18"/>
    </w:p>
    <w:p w14:paraId="1995271B">
      <w:pPr>
        <w:adjustRightInd w:val="0"/>
        <w:snapToGrid w:val="0"/>
        <w:spacing w:line="560" w:lineRule="exact"/>
        <w:ind w:firstLine="480" w:firstLineChars="200"/>
        <w:jc w:val="left"/>
        <w:rPr>
          <w:rFonts w:ascii="宋体" w:hAnsi="宋体" w:eastAsia="宋体" w:cs="宋体"/>
          <w:color w:val="auto"/>
          <w:sz w:val="24"/>
          <w:szCs w:val="24"/>
        </w:rPr>
      </w:pPr>
      <w:bookmarkStart w:id="19" w:name="_Toc28359015"/>
      <w:bookmarkStart w:id="20" w:name="_Toc35393801"/>
      <w:bookmarkStart w:id="21" w:name="_Toc28359092"/>
      <w:bookmarkStart w:id="22" w:name="_Toc35393632"/>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2025年0</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13</w:t>
      </w:r>
      <w:r>
        <w:rPr>
          <w:rFonts w:hint="eastAsia" w:ascii="宋体" w:hAnsi="宋体" w:eastAsia="宋体" w:cs="宋体"/>
          <w:color w:val="auto"/>
          <w:sz w:val="24"/>
          <w:szCs w:val="24"/>
          <w:u w:val="single"/>
        </w:rPr>
        <w:t>日至2025年0</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26</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w:t>
      </w:r>
      <w:bookmarkStart w:id="23" w:name="_Toc5805"/>
      <w:r>
        <w:rPr>
          <w:rFonts w:hint="eastAsia" w:ascii="宋体" w:hAnsi="宋体" w:eastAsia="宋体" w:cs="宋体"/>
          <w:color w:val="auto"/>
          <w:sz w:val="24"/>
          <w:szCs w:val="24"/>
        </w:rPr>
        <w:t>每天上午00:00至12:00，下午12:00至23:59（北京时间，法定节假日除外）</w:t>
      </w:r>
    </w:p>
    <w:p w14:paraId="672B962E">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 xml:space="preserve">地点：“徽采云”电子交易系统 </w:t>
      </w:r>
    </w:p>
    <w:p w14:paraId="1D169697">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方式：供应商登录“徽采云”电子交易系统在线获取采购文件</w:t>
      </w:r>
    </w:p>
    <w:p w14:paraId="626103D9">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售价：0元</w:t>
      </w:r>
    </w:p>
    <w:p w14:paraId="2E96D4F1">
      <w:pPr>
        <w:adjustRightInd w:val="0"/>
        <w:snapToGrid w:val="0"/>
        <w:spacing w:line="56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 xml:space="preserve"> 四、响应文件提交</w:t>
      </w:r>
      <w:bookmarkEnd w:id="19"/>
      <w:bookmarkEnd w:id="20"/>
      <w:bookmarkEnd w:id="21"/>
      <w:bookmarkEnd w:id="22"/>
      <w:bookmarkEnd w:id="23"/>
    </w:p>
    <w:p w14:paraId="7DBD560A">
      <w:pPr>
        <w:adjustRightInd w:val="0"/>
        <w:snapToGrid w:val="0"/>
        <w:spacing w:line="560" w:lineRule="exact"/>
        <w:ind w:firstLine="480" w:firstLineChars="200"/>
        <w:jc w:val="left"/>
        <w:rPr>
          <w:rFonts w:ascii="宋体" w:hAnsi="宋体" w:eastAsia="宋体" w:cs="宋体"/>
          <w:color w:val="auto"/>
          <w:sz w:val="24"/>
          <w:szCs w:val="24"/>
        </w:rPr>
      </w:pPr>
      <w:bookmarkStart w:id="24" w:name="_Toc35393633"/>
      <w:bookmarkStart w:id="25" w:name="_Toc28359093"/>
      <w:bookmarkStart w:id="26" w:name="_Toc32658"/>
      <w:bookmarkStart w:id="27" w:name="_Toc35393802"/>
      <w:bookmarkStart w:id="28" w:name="_Toc28359016"/>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rPr>
        <w:t>2025年0</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26</w:t>
      </w:r>
      <w:r>
        <w:rPr>
          <w:rFonts w:hint="eastAsia" w:ascii="宋体" w:hAnsi="宋体" w:eastAsia="宋体" w:cs="宋体"/>
          <w:color w:val="auto"/>
          <w:sz w:val="24"/>
          <w:szCs w:val="24"/>
          <w:u w:val="single"/>
        </w:rPr>
        <w:t>日09点</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0分（北京时间）</w:t>
      </w:r>
    </w:p>
    <w:p w14:paraId="0B4C8CE7">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地点：“徽采云”电子交易系统</w:t>
      </w:r>
    </w:p>
    <w:p w14:paraId="62C3241C">
      <w:pPr>
        <w:pStyle w:val="3"/>
        <w:adjustRightInd w:val="0"/>
        <w:snapToGrid w:val="0"/>
        <w:spacing w:before="0" w:after="0" w:line="560" w:lineRule="exact"/>
        <w:ind w:firstLine="482" w:firstLineChars="200"/>
        <w:jc w:val="left"/>
        <w:rPr>
          <w:rFonts w:ascii="宋体" w:hAnsi="宋体" w:eastAsia="宋体" w:cs="宋体"/>
          <w:bCs w:val="0"/>
          <w:color w:val="auto"/>
          <w:sz w:val="24"/>
          <w:szCs w:val="24"/>
        </w:rPr>
      </w:pPr>
      <w:r>
        <w:rPr>
          <w:rFonts w:hint="eastAsia" w:ascii="宋体" w:hAnsi="宋体" w:eastAsia="宋体" w:cs="宋体"/>
          <w:bCs w:val="0"/>
          <w:color w:val="auto"/>
          <w:sz w:val="24"/>
          <w:szCs w:val="24"/>
        </w:rPr>
        <w:t>五、开启</w:t>
      </w:r>
      <w:bookmarkEnd w:id="24"/>
      <w:bookmarkEnd w:id="25"/>
      <w:bookmarkEnd w:id="26"/>
      <w:bookmarkEnd w:id="27"/>
      <w:bookmarkEnd w:id="28"/>
    </w:p>
    <w:p w14:paraId="7B23B6AC">
      <w:pPr>
        <w:adjustRightInd w:val="0"/>
        <w:snapToGrid w:val="0"/>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2025年0</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26</w:t>
      </w:r>
      <w:r>
        <w:rPr>
          <w:rFonts w:hint="eastAsia" w:ascii="宋体" w:hAnsi="宋体" w:eastAsia="宋体" w:cs="宋体"/>
          <w:color w:val="auto"/>
          <w:sz w:val="24"/>
          <w:szCs w:val="24"/>
          <w:u w:val="single"/>
        </w:rPr>
        <w:t>日09点</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0分（北京时间）</w:t>
      </w:r>
    </w:p>
    <w:p w14:paraId="6AC7A03E">
      <w:pPr>
        <w:adjustRightInd w:val="0"/>
        <w:snapToGrid w:val="0"/>
        <w:spacing w:line="560" w:lineRule="exact"/>
        <w:ind w:firstLine="480" w:firstLineChars="200"/>
        <w:jc w:val="left"/>
        <w:rPr>
          <w:rFonts w:ascii="宋体" w:hAnsi="宋体" w:eastAsia="宋体" w:cs="宋体"/>
          <w:bCs/>
          <w:color w:val="auto"/>
          <w:sz w:val="24"/>
          <w:szCs w:val="24"/>
          <w:u w:val="single"/>
        </w:rPr>
      </w:pPr>
      <w:r>
        <w:rPr>
          <w:rFonts w:hint="eastAsia" w:ascii="宋体" w:hAnsi="宋体" w:eastAsia="宋体" w:cs="宋体"/>
          <w:color w:val="auto"/>
          <w:sz w:val="24"/>
          <w:szCs w:val="24"/>
        </w:rPr>
        <w:t>地点：“徽采云”电子交易系统</w:t>
      </w:r>
    </w:p>
    <w:p w14:paraId="4565E191">
      <w:pPr>
        <w:pStyle w:val="3"/>
        <w:adjustRightInd w:val="0"/>
        <w:snapToGrid w:val="0"/>
        <w:spacing w:before="0" w:after="0" w:line="560" w:lineRule="exact"/>
        <w:ind w:firstLine="482" w:firstLineChars="200"/>
        <w:jc w:val="left"/>
        <w:rPr>
          <w:rFonts w:ascii="宋体" w:hAnsi="宋体" w:eastAsia="宋体" w:cs="宋体"/>
          <w:bCs w:val="0"/>
          <w:color w:val="auto"/>
          <w:sz w:val="24"/>
          <w:szCs w:val="24"/>
        </w:rPr>
      </w:pPr>
      <w:bookmarkStart w:id="29" w:name="_Toc6935"/>
      <w:bookmarkStart w:id="30" w:name="_Toc28359017"/>
      <w:bookmarkStart w:id="31" w:name="_Toc35393634"/>
      <w:bookmarkStart w:id="32" w:name="_Toc28359094"/>
      <w:bookmarkStart w:id="33" w:name="_Toc35393803"/>
      <w:r>
        <w:rPr>
          <w:rFonts w:hint="eastAsia" w:ascii="宋体" w:hAnsi="宋体" w:eastAsia="宋体" w:cs="宋体"/>
          <w:bCs w:val="0"/>
          <w:color w:val="auto"/>
          <w:sz w:val="24"/>
          <w:szCs w:val="24"/>
        </w:rPr>
        <w:t>六、公告期限</w:t>
      </w:r>
      <w:bookmarkEnd w:id="29"/>
      <w:bookmarkEnd w:id="30"/>
      <w:bookmarkEnd w:id="31"/>
      <w:bookmarkEnd w:id="32"/>
      <w:bookmarkEnd w:id="33"/>
    </w:p>
    <w:p w14:paraId="3423F891">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bookmarkStart w:id="34" w:name="_Toc35393804"/>
      <w:bookmarkStart w:id="35" w:name="_Toc23004"/>
      <w:bookmarkStart w:id="36" w:name="_Toc35393635"/>
    </w:p>
    <w:p w14:paraId="392384EB">
      <w:pPr>
        <w:numPr>
          <w:ilvl w:val="0"/>
          <w:numId w:val="1"/>
        </w:numPr>
        <w:adjustRightInd w:val="0"/>
        <w:snapToGrid w:val="0"/>
        <w:spacing w:line="560" w:lineRule="exact"/>
        <w:ind w:firstLine="482" w:firstLineChars="200"/>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其他补充事宜</w:t>
      </w:r>
      <w:bookmarkEnd w:id="34"/>
      <w:bookmarkEnd w:id="35"/>
      <w:bookmarkEnd w:id="36"/>
      <w:bookmarkStart w:id="37" w:name="_Toc28099"/>
      <w:bookmarkStart w:id="38" w:name="_Toc28359095"/>
      <w:bookmarkStart w:id="39" w:name="_Toc35393805"/>
      <w:bookmarkStart w:id="40" w:name="_Toc35393636"/>
      <w:bookmarkStart w:id="41" w:name="_Toc28359018"/>
    </w:p>
    <w:p w14:paraId="59B85163">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项目采用全流程电子化采购方式，相关操作说明如下：</w:t>
      </w:r>
    </w:p>
    <w:p w14:paraId="08DEC831">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1.本项目落实节能环保、中小微型企业扶持等相关政府采购政策。</w:t>
      </w:r>
    </w:p>
    <w:p w14:paraId="3227E891">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2.本次竞争性磋商公告同时在安徽省政府采购网、安徽省水利厅-安徽省淮河河道管理局网上发布。</w:t>
      </w:r>
    </w:p>
    <w:p w14:paraId="7372464F">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3.供应商应合理安排磋商文件获取时间，特别是网络速度慢的地区防止在系统关闭前网络拥堵无法操作。如果因计算机及网络故障造成无法完成磋商文件获取，责任自负。</w:t>
      </w:r>
    </w:p>
    <w:p w14:paraId="3BF2047F">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4.响应文件的提交要求：</w:t>
      </w:r>
    </w:p>
    <w:p w14:paraId="39CABE31">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供应商应当在响应文件提交截止时间前通过“徽采云”电子交易系统上传加密的电子响应文件，未在响应文件提交截止时间前完成上传的，视为逾期送达，拒绝接收。</w:t>
      </w:r>
    </w:p>
    <w:p w14:paraId="34E22C03">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5.电子招响应的说明</w:t>
      </w:r>
    </w:p>
    <w:p w14:paraId="6C1475A2">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5.1电子招响应：本项目以数据电文形式，依托“徽采云”电子交易系统进行招响应活动；</w:t>
      </w:r>
    </w:p>
    <w:p w14:paraId="4BCC88E1">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5ED84963">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5.3招标文件的获取：使用 CA 登录“徽采云”电子交易系统；进入“项目采购”应用，在获取采购文件菜单中选择项目，获取招标文件；</w:t>
      </w:r>
    </w:p>
    <w:p w14:paraId="3EC682CE">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5.4响应文件的制作：在“徽采云响应客户端”中完成“填写基本信息”、 “制作和导入响应（响应）文件”、“标书关联”、“标书检查”、“电子签名”、 “生成电子标书”等操作；</w:t>
      </w:r>
    </w:p>
    <w:p w14:paraId="10BF65B2">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5.5响应文件的上传：使用CA登录“徽采云”电子交易系统；进入“项目采购”应用，在响应文件上传菜单中选择项目，上传加密的响应文件（*.jmbs）；</w:t>
      </w:r>
    </w:p>
    <w:p w14:paraId="0BC6693D">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5.6响应文件的解密：响应人按照系统提示和招标文件规定，在规定时间内完成在线解密；</w:t>
      </w:r>
    </w:p>
    <w:p w14:paraId="170FF79A">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5.7“徽采云”电子交易系统具体操作指南：详见安徽省政府采购网-徽采学院-电子交易系统学习专题-供应商-操作手册。</w:t>
      </w:r>
    </w:p>
    <w:p w14:paraId="75B4DBF4">
      <w:pPr>
        <w:adjustRightInd w:val="0"/>
        <w:snapToGrid w:val="0"/>
        <w:spacing w:line="5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5.8CA问题联系电话：安徽CA400-880-494.84629 ；翔晟CA0551-68105136。</w:t>
      </w:r>
    </w:p>
    <w:p w14:paraId="691E5947">
      <w:pPr>
        <w:adjustRightInd w:val="0"/>
        <w:snapToGrid w:val="0"/>
        <w:spacing w:line="560" w:lineRule="exact"/>
        <w:ind w:firstLine="480" w:firstLineChars="200"/>
        <w:jc w:val="left"/>
        <w:rPr>
          <w:rFonts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本项目为统采分签项目，由安徽省淮河河道管理局作为采购人统一组织采购，成交人成交后分别与安徽省淮河河道管理局、</w:t>
      </w:r>
      <w:r>
        <w:rPr>
          <w:rFonts w:hint="eastAsia" w:ascii="宋体" w:hAnsi="宋体" w:eastAsia="宋体" w:cs="宋体"/>
          <w:color w:val="auto"/>
          <w:kern w:val="0"/>
          <w:sz w:val="24"/>
          <w:szCs w:val="24"/>
          <w:lang w:eastAsia="zh-CN"/>
        </w:rPr>
        <w:t>安徽省临淮岗洪水控制工程管理局</w:t>
      </w:r>
      <w:r>
        <w:rPr>
          <w:rFonts w:hint="eastAsia" w:ascii="宋体" w:hAnsi="宋体" w:eastAsia="宋体" w:cs="宋体"/>
          <w:color w:val="auto"/>
          <w:kern w:val="0"/>
          <w:sz w:val="24"/>
          <w:szCs w:val="24"/>
        </w:rPr>
        <w:t>签订合同。</w:t>
      </w:r>
    </w:p>
    <w:p w14:paraId="449FEBD2">
      <w:pPr>
        <w:adjustRightInd w:val="0"/>
        <w:snapToGrid w:val="0"/>
        <w:spacing w:line="560" w:lineRule="exact"/>
        <w:ind w:firstLine="482" w:firstLineChars="200"/>
        <w:jc w:val="left"/>
        <w:outlineLvl w:val="1"/>
        <w:rPr>
          <w:rFonts w:ascii="宋体" w:hAnsi="宋体" w:eastAsia="宋体" w:cs="宋体"/>
          <w:b/>
          <w:color w:val="auto"/>
          <w:sz w:val="24"/>
          <w:szCs w:val="24"/>
        </w:rPr>
      </w:pPr>
      <w:r>
        <w:rPr>
          <w:rFonts w:hint="eastAsia" w:ascii="宋体" w:hAnsi="宋体" w:eastAsia="宋体" w:cs="宋体"/>
          <w:b/>
          <w:color w:val="auto"/>
          <w:sz w:val="24"/>
          <w:szCs w:val="24"/>
        </w:rPr>
        <w:t>八、凡对本次采购提出询问，请按以下方式联系。</w:t>
      </w:r>
      <w:bookmarkEnd w:id="37"/>
      <w:bookmarkEnd w:id="38"/>
      <w:bookmarkEnd w:id="39"/>
      <w:bookmarkEnd w:id="40"/>
      <w:bookmarkEnd w:id="41"/>
    </w:p>
    <w:p w14:paraId="727D6279">
      <w:pPr>
        <w:adjustRightInd w:val="0"/>
        <w:snapToGrid w:val="0"/>
        <w:spacing w:line="560" w:lineRule="exact"/>
        <w:ind w:firstLine="480" w:firstLineChars="200"/>
        <w:jc w:val="left"/>
        <w:rPr>
          <w:rFonts w:ascii="宋体" w:hAnsi="宋体" w:eastAsia="宋体" w:cs="宋体"/>
          <w:color w:val="auto"/>
          <w:sz w:val="24"/>
          <w:szCs w:val="24"/>
        </w:rPr>
      </w:pPr>
      <w:bookmarkStart w:id="42" w:name="_Toc35393637"/>
      <w:bookmarkStart w:id="43" w:name="_Toc35393806"/>
      <w:bookmarkStart w:id="44" w:name="_Toc28359019"/>
      <w:bookmarkStart w:id="45" w:name="_Toc29915"/>
      <w:bookmarkStart w:id="46" w:name="_Toc28359096"/>
      <w:r>
        <w:rPr>
          <w:rFonts w:hint="eastAsia" w:ascii="宋体" w:hAnsi="宋体" w:eastAsia="宋体" w:cs="宋体"/>
          <w:color w:val="auto"/>
          <w:sz w:val="24"/>
          <w:szCs w:val="24"/>
        </w:rPr>
        <w:t>1.采购人信息</w:t>
      </w:r>
      <w:bookmarkEnd w:id="42"/>
      <w:bookmarkEnd w:id="43"/>
      <w:bookmarkEnd w:id="44"/>
      <w:bookmarkEnd w:id="45"/>
      <w:bookmarkEnd w:id="46"/>
    </w:p>
    <w:p w14:paraId="577BD3FA">
      <w:pPr>
        <w:adjustRightInd w:val="0"/>
        <w:snapToGrid w:val="0"/>
        <w:spacing w:line="560" w:lineRule="exact"/>
        <w:ind w:firstLine="480" w:firstLineChars="200"/>
        <w:jc w:val="left"/>
        <w:rPr>
          <w:rFonts w:ascii="宋体" w:hAnsi="宋体" w:eastAsia="宋体"/>
          <w:color w:val="auto"/>
          <w:sz w:val="24"/>
          <w:szCs w:val="18"/>
        </w:rPr>
      </w:pPr>
      <w:bookmarkStart w:id="47" w:name="_Toc28359020"/>
      <w:bookmarkStart w:id="48" w:name="_Toc35393807"/>
      <w:bookmarkStart w:id="49" w:name="_Toc28359097"/>
      <w:bookmarkStart w:id="50" w:name="_Toc35393638"/>
      <w:r>
        <w:rPr>
          <w:rFonts w:hint="eastAsia" w:ascii="宋体" w:hAnsi="宋体" w:eastAsia="宋体" w:cs="宋体"/>
          <w:color w:val="auto"/>
          <w:sz w:val="24"/>
          <w:szCs w:val="24"/>
        </w:rPr>
        <w:t>名  称</w:t>
      </w:r>
      <w:r>
        <w:rPr>
          <w:rFonts w:hint="eastAsia" w:ascii="宋体" w:hAnsi="宋体" w:eastAsia="宋体"/>
          <w:color w:val="auto"/>
          <w:sz w:val="24"/>
          <w:szCs w:val="18"/>
        </w:rPr>
        <w:t>：安徽省淮河河道管理局</w:t>
      </w:r>
    </w:p>
    <w:p w14:paraId="2ECDA84D">
      <w:pPr>
        <w:adjustRightInd w:val="0"/>
        <w:snapToGrid w:val="0"/>
        <w:spacing w:line="560" w:lineRule="exact"/>
        <w:ind w:firstLine="480" w:firstLineChars="200"/>
        <w:jc w:val="left"/>
        <w:rPr>
          <w:rFonts w:ascii="宋体" w:hAnsi="宋体" w:eastAsia="宋体"/>
          <w:color w:val="auto"/>
          <w:sz w:val="24"/>
          <w:szCs w:val="18"/>
        </w:rPr>
      </w:pPr>
      <w:r>
        <w:rPr>
          <w:rFonts w:hint="eastAsia" w:ascii="宋体" w:hAnsi="宋体" w:eastAsia="宋体"/>
          <w:color w:val="auto"/>
          <w:sz w:val="24"/>
          <w:szCs w:val="18"/>
        </w:rPr>
        <w:t xml:space="preserve">地 </w:t>
      </w:r>
      <w:r>
        <w:rPr>
          <w:rFonts w:ascii="宋体" w:hAnsi="宋体" w:eastAsia="宋体"/>
          <w:color w:val="auto"/>
          <w:sz w:val="24"/>
          <w:szCs w:val="18"/>
        </w:rPr>
        <w:t xml:space="preserve"> </w:t>
      </w:r>
      <w:r>
        <w:rPr>
          <w:rFonts w:hint="eastAsia" w:ascii="宋体" w:hAnsi="宋体" w:eastAsia="宋体"/>
          <w:color w:val="auto"/>
          <w:sz w:val="24"/>
          <w:szCs w:val="18"/>
        </w:rPr>
        <w:t>址：安徽省蚌埠市解放一路116号</w:t>
      </w:r>
    </w:p>
    <w:p w14:paraId="60657F9D">
      <w:pPr>
        <w:adjustRightInd w:val="0"/>
        <w:snapToGrid w:val="0"/>
        <w:spacing w:line="560" w:lineRule="exact"/>
        <w:ind w:firstLine="480" w:firstLineChars="200"/>
        <w:jc w:val="left"/>
        <w:rPr>
          <w:rFonts w:ascii="宋体" w:hAnsi="宋体" w:eastAsia="宋体"/>
          <w:color w:val="auto"/>
          <w:sz w:val="24"/>
          <w:szCs w:val="18"/>
        </w:rPr>
      </w:pPr>
      <w:r>
        <w:rPr>
          <w:rFonts w:hint="eastAsia" w:ascii="宋体" w:hAnsi="宋体" w:eastAsia="宋体"/>
          <w:color w:val="auto"/>
          <w:sz w:val="24"/>
          <w:szCs w:val="18"/>
        </w:rPr>
        <w:t>联系人：王工</w:t>
      </w:r>
    </w:p>
    <w:p w14:paraId="51AC7F05">
      <w:pPr>
        <w:adjustRightInd w:val="0"/>
        <w:snapToGrid w:val="0"/>
        <w:spacing w:line="560" w:lineRule="exact"/>
        <w:ind w:firstLine="480" w:firstLineChars="200"/>
        <w:jc w:val="left"/>
        <w:rPr>
          <w:rFonts w:ascii="宋体" w:hAnsi="宋体" w:eastAsia="宋体"/>
          <w:color w:val="auto"/>
          <w:sz w:val="24"/>
          <w:szCs w:val="18"/>
        </w:rPr>
      </w:pPr>
      <w:r>
        <w:rPr>
          <w:rFonts w:hint="eastAsia" w:ascii="宋体" w:hAnsi="宋体" w:eastAsia="宋体"/>
          <w:color w:val="auto"/>
          <w:sz w:val="24"/>
          <w:szCs w:val="18"/>
        </w:rPr>
        <w:t>联系方式：0552-3918027</w:t>
      </w:r>
    </w:p>
    <w:p w14:paraId="529F19D6">
      <w:pPr>
        <w:adjustRightInd w:val="0"/>
        <w:snapToGrid w:val="0"/>
        <w:spacing w:line="560" w:lineRule="exact"/>
        <w:ind w:firstLine="480" w:firstLineChars="200"/>
        <w:jc w:val="left"/>
        <w:rPr>
          <w:rFonts w:ascii="宋体" w:hAnsi="宋体" w:eastAsia="宋体" w:cs="宋体"/>
          <w:color w:val="auto"/>
          <w:sz w:val="24"/>
          <w:szCs w:val="24"/>
        </w:rPr>
      </w:pPr>
      <w:bookmarkStart w:id="51" w:name="_Toc15577"/>
      <w:r>
        <w:rPr>
          <w:rFonts w:hint="eastAsia" w:ascii="宋体" w:hAnsi="宋体" w:eastAsia="宋体" w:cs="宋体"/>
          <w:color w:val="auto"/>
          <w:sz w:val="24"/>
          <w:szCs w:val="24"/>
        </w:rPr>
        <w:t>2.采购代理机构信息</w:t>
      </w:r>
      <w:bookmarkEnd w:id="47"/>
      <w:bookmarkEnd w:id="48"/>
      <w:bookmarkEnd w:id="49"/>
      <w:bookmarkEnd w:id="50"/>
      <w:bookmarkEnd w:id="51"/>
    </w:p>
    <w:p w14:paraId="4636BA23">
      <w:pPr>
        <w:adjustRightInd w:val="0"/>
        <w:snapToGrid w:val="0"/>
        <w:spacing w:line="560" w:lineRule="exact"/>
        <w:ind w:firstLine="480" w:firstLineChars="200"/>
        <w:jc w:val="left"/>
        <w:rPr>
          <w:rFonts w:hint="default" w:ascii="宋体" w:hAnsi="宋体" w:eastAsia="宋体"/>
          <w:bCs/>
          <w:color w:val="auto"/>
          <w:sz w:val="24"/>
          <w:szCs w:val="18"/>
          <w:lang w:val="en-US" w:eastAsia="zh-CN"/>
        </w:rPr>
      </w:pPr>
      <w:r>
        <w:rPr>
          <w:rFonts w:hint="eastAsia" w:ascii="宋体" w:hAnsi="宋体" w:eastAsia="宋体"/>
          <w:bCs/>
          <w:color w:val="auto"/>
          <w:sz w:val="24"/>
          <w:szCs w:val="18"/>
        </w:rPr>
        <w:t>名  称：</w:t>
      </w:r>
      <w:r>
        <w:rPr>
          <w:rFonts w:hint="eastAsia" w:ascii="宋体" w:hAnsi="宋体" w:eastAsia="宋体"/>
          <w:bCs/>
          <w:color w:val="auto"/>
          <w:sz w:val="24"/>
          <w:szCs w:val="18"/>
          <w:lang w:val="en-US" w:eastAsia="zh-CN"/>
        </w:rPr>
        <w:t>安徽安兆工程技术咨询服务有限公司</w:t>
      </w:r>
    </w:p>
    <w:p w14:paraId="02D4C85F">
      <w:pPr>
        <w:adjustRightInd w:val="0"/>
        <w:snapToGrid w:val="0"/>
        <w:spacing w:line="560" w:lineRule="exact"/>
        <w:ind w:firstLine="480" w:firstLineChars="200"/>
        <w:jc w:val="left"/>
        <w:rPr>
          <w:rFonts w:hint="default" w:ascii="宋体" w:hAnsi="宋体" w:eastAsia="宋体"/>
          <w:bCs/>
          <w:color w:val="auto"/>
          <w:sz w:val="24"/>
          <w:szCs w:val="18"/>
          <w:lang w:val="en-US" w:eastAsia="zh-CN"/>
        </w:rPr>
      </w:pPr>
      <w:r>
        <w:rPr>
          <w:rFonts w:hint="eastAsia" w:ascii="宋体" w:hAnsi="宋体" w:eastAsia="宋体"/>
          <w:bCs/>
          <w:color w:val="auto"/>
          <w:sz w:val="24"/>
          <w:szCs w:val="18"/>
        </w:rPr>
        <w:t>地  址：</w:t>
      </w:r>
      <w:r>
        <w:rPr>
          <w:rFonts w:hint="eastAsia" w:ascii="宋体" w:hAnsi="宋体" w:eastAsia="宋体"/>
          <w:bCs/>
          <w:color w:val="auto"/>
          <w:sz w:val="24"/>
          <w:szCs w:val="18"/>
          <w:lang w:val="en-US" w:eastAsia="zh-CN"/>
        </w:rPr>
        <w:t>蚌埠市凤阳西路41号</w:t>
      </w:r>
    </w:p>
    <w:p w14:paraId="6862313E">
      <w:pPr>
        <w:adjustRightInd w:val="0"/>
        <w:snapToGrid w:val="0"/>
        <w:spacing w:line="560" w:lineRule="exact"/>
        <w:ind w:firstLine="480" w:firstLineChars="200"/>
        <w:jc w:val="left"/>
        <w:rPr>
          <w:rFonts w:hint="default" w:ascii="宋体" w:hAnsi="宋体" w:eastAsia="宋体"/>
          <w:bCs/>
          <w:color w:val="auto"/>
          <w:sz w:val="24"/>
          <w:szCs w:val="18"/>
          <w:lang w:val="en-US" w:eastAsia="zh-CN"/>
        </w:rPr>
      </w:pPr>
      <w:r>
        <w:rPr>
          <w:rFonts w:hint="eastAsia" w:ascii="宋体" w:hAnsi="宋体" w:eastAsia="宋体"/>
          <w:bCs/>
          <w:color w:val="auto"/>
          <w:sz w:val="24"/>
          <w:szCs w:val="18"/>
        </w:rPr>
        <w:t>联系人：</w:t>
      </w:r>
      <w:r>
        <w:rPr>
          <w:rFonts w:hint="eastAsia" w:ascii="宋体" w:hAnsi="宋体" w:eastAsia="宋体"/>
          <w:bCs/>
          <w:color w:val="auto"/>
          <w:sz w:val="24"/>
          <w:szCs w:val="18"/>
          <w:lang w:val="en-US" w:eastAsia="zh-CN"/>
        </w:rPr>
        <w:t>薛工</w:t>
      </w:r>
    </w:p>
    <w:p w14:paraId="4C67861C">
      <w:pPr>
        <w:adjustRightInd w:val="0"/>
        <w:snapToGrid w:val="0"/>
        <w:spacing w:line="560" w:lineRule="exact"/>
        <w:ind w:firstLine="480" w:firstLineChars="200"/>
        <w:jc w:val="left"/>
        <w:rPr>
          <w:rFonts w:hint="default" w:ascii="宋体" w:hAnsi="宋体" w:eastAsia="宋体"/>
          <w:bCs/>
          <w:color w:val="auto"/>
          <w:sz w:val="24"/>
          <w:szCs w:val="18"/>
          <w:lang w:val="en-US" w:eastAsia="zh-CN"/>
        </w:rPr>
      </w:pPr>
      <w:r>
        <w:rPr>
          <w:rFonts w:hint="eastAsia" w:ascii="宋体" w:hAnsi="宋体" w:eastAsia="宋体"/>
          <w:bCs/>
          <w:color w:val="auto"/>
          <w:sz w:val="24"/>
          <w:szCs w:val="18"/>
        </w:rPr>
        <w:t>联系方式：</w:t>
      </w:r>
      <w:r>
        <w:rPr>
          <w:rFonts w:hint="eastAsia" w:ascii="宋体" w:hAnsi="宋体" w:eastAsia="宋体"/>
          <w:bCs/>
          <w:color w:val="auto"/>
          <w:sz w:val="24"/>
          <w:szCs w:val="18"/>
          <w:lang w:val="en-US" w:eastAsia="zh-CN"/>
        </w:rPr>
        <w:t>0552-3092287</w:t>
      </w:r>
    </w:p>
    <w:p w14:paraId="5260CF1E">
      <w:pPr>
        <w:adjustRightInd w:val="0"/>
        <w:snapToGrid w:val="0"/>
        <w:spacing w:line="560" w:lineRule="exact"/>
        <w:ind w:firstLine="480" w:firstLineChars="200"/>
        <w:jc w:val="left"/>
        <w:rPr>
          <w:rFonts w:ascii="宋体" w:hAnsi="宋体" w:eastAsia="宋体"/>
          <w:b/>
          <w:color w:val="auto"/>
          <w:sz w:val="24"/>
          <w:szCs w:val="18"/>
        </w:rPr>
      </w:pPr>
      <w:r>
        <w:rPr>
          <w:rFonts w:hint="eastAsia" w:ascii="宋体" w:hAnsi="宋体" w:eastAsia="宋体"/>
          <w:bCs/>
          <w:color w:val="auto"/>
          <w:sz w:val="24"/>
          <w:szCs w:val="18"/>
        </w:rPr>
        <w:t>3</w:t>
      </w:r>
      <w:r>
        <w:rPr>
          <w:rFonts w:hint="eastAsia" w:ascii="宋体" w:hAnsi="宋体" w:eastAsia="宋体"/>
          <w:b/>
          <w:color w:val="auto"/>
          <w:sz w:val="24"/>
          <w:szCs w:val="18"/>
        </w:rPr>
        <w:t>.</w:t>
      </w:r>
      <w:r>
        <w:rPr>
          <w:rFonts w:hint="eastAsia" w:ascii="宋体" w:hAnsi="宋体" w:eastAsia="宋体"/>
          <w:color w:val="auto"/>
          <w:sz w:val="24"/>
          <w:szCs w:val="18"/>
        </w:rPr>
        <w:t>政府采购监督管理部门信息</w:t>
      </w:r>
    </w:p>
    <w:p w14:paraId="41F80BDC">
      <w:pPr>
        <w:adjustRightInd w:val="0"/>
        <w:snapToGrid w:val="0"/>
        <w:spacing w:line="560" w:lineRule="exact"/>
        <w:ind w:firstLine="480" w:firstLineChars="200"/>
        <w:jc w:val="left"/>
        <w:rPr>
          <w:rFonts w:ascii="宋体" w:hAnsi="宋体" w:eastAsia="宋体"/>
          <w:color w:val="auto"/>
          <w:sz w:val="24"/>
          <w:szCs w:val="18"/>
        </w:rPr>
      </w:pPr>
      <w:r>
        <w:rPr>
          <w:rFonts w:hint="eastAsia" w:ascii="宋体" w:hAnsi="宋体" w:eastAsia="宋体"/>
          <w:color w:val="auto"/>
          <w:sz w:val="24"/>
          <w:szCs w:val="18"/>
        </w:rPr>
        <w:t>名  称：安徽省财政厅</w:t>
      </w:r>
    </w:p>
    <w:p w14:paraId="2FA4CEC9">
      <w:pPr>
        <w:adjustRightInd w:val="0"/>
        <w:snapToGrid w:val="0"/>
        <w:spacing w:line="560" w:lineRule="exact"/>
        <w:ind w:firstLine="480" w:firstLineChars="200"/>
        <w:jc w:val="left"/>
        <w:rPr>
          <w:rFonts w:ascii="宋体" w:hAnsi="宋体" w:eastAsia="宋体"/>
          <w:color w:val="auto"/>
          <w:sz w:val="24"/>
          <w:szCs w:val="18"/>
        </w:rPr>
      </w:pPr>
      <w:r>
        <w:rPr>
          <w:rFonts w:hint="eastAsia" w:ascii="宋体" w:hAnsi="宋体" w:eastAsia="宋体"/>
          <w:color w:val="auto"/>
          <w:sz w:val="24"/>
          <w:szCs w:val="18"/>
        </w:rPr>
        <w:t>地  址：合肥市阜南西路238号</w:t>
      </w:r>
    </w:p>
    <w:p w14:paraId="31CC48CB">
      <w:pPr>
        <w:adjustRightInd w:val="0"/>
        <w:snapToGrid w:val="0"/>
        <w:spacing w:line="560" w:lineRule="exact"/>
        <w:ind w:firstLine="480" w:firstLineChars="200"/>
        <w:jc w:val="left"/>
        <w:rPr>
          <w:rFonts w:ascii="宋体" w:hAnsi="宋体" w:eastAsia="宋体"/>
          <w:color w:val="auto"/>
          <w:sz w:val="24"/>
          <w:szCs w:val="18"/>
        </w:rPr>
      </w:pPr>
      <w:r>
        <w:rPr>
          <w:rFonts w:hint="eastAsia" w:ascii="宋体" w:hAnsi="宋体" w:eastAsia="宋体"/>
          <w:color w:val="auto"/>
          <w:sz w:val="24"/>
          <w:szCs w:val="18"/>
        </w:rPr>
        <w:t>联系方式：0551-68150413</w:t>
      </w:r>
    </w:p>
    <w:p w14:paraId="62B9FC71">
      <w:pPr>
        <w:spacing w:line="360" w:lineRule="auto"/>
        <w:ind w:firstLine="435"/>
        <w:rPr>
          <w:rFonts w:ascii="宋体" w:hAnsi="宋体" w:eastAsia="宋体"/>
          <w:color w:val="auto"/>
          <w:sz w:val="24"/>
          <w:szCs w:val="18"/>
        </w:rPr>
      </w:pPr>
    </w:p>
    <w:p w14:paraId="71CD6C70">
      <w:pPr>
        <w:spacing w:line="360" w:lineRule="auto"/>
        <w:jc w:val="center"/>
        <w:outlineLvl w:val="0"/>
        <w:rPr>
          <w:rFonts w:asciiTheme="minorEastAsia" w:hAnsiTheme="minorEastAsia" w:eastAsiaTheme="minorEastAsia"/>
          <w:b/>
          <w:color w:val="auto"/>
          <w:sz w:val="28"/>
        </w:rPr>
      </w:pPr>
      <w:bookmarkStart w:id="52" w:name="_Toc7162"/>
      <w:r>
        <w:rPr>
          <w:rFonts w:hint="eastAsia" w:asciiTheme="minorEastAsia" w:hAnsiTheme="minorEastAsia" w:eastAsiaTheme="minorEastAsia"/>
          <w:b/>
          <w:color w:val="auto"/>
          <w:sz w:val="28"/>
        </w:rPr>
        <w:t>第二章</w:t>
      </w:r>
      <w:r>
        <w:rPr>
          <w:rFonts w:asciiTheme="minorEastAsia" w:hAnsiTheme="minorEastAsia" w:eastAsiaTheme="minorEastAsia"/>
          <w:b/>
          <w:color w:val="auto"/>
          <w:sz w:val="28"/>
        </w:rPr>
        <w:t xml:space="preserve"> </w:t>
      </w:r>
      <w:r>
        <w:rPr>
          <w:rFonts w:hint="eastAsia" w:asciiTheme="minorEastAsia" w:hAnsiTheme="minorEastAsia" w:eastAsiaTheme="minorEastAsia"/>
          <w:b/>
          <w:color w:val="auto"/>
          <w:sz w:val="28"/>
        </w:rPr>
        <w:t xml:space="preserve"> 供应商</w:t>
      </w:r>
      <w:r>
        <w:rPr>
          <w:rFonts w:asciiTheme="minorEastAsia" w:hAnsiTheme="minorEastAsia" w:eastAsiaTheme="minorEastAsia"/>
          <w:b/>
          <w:color w:val="auto"/>
          <w:sz w:val="28"/>
        </w:rPr>
        <w:t>须知</w:t>
      </w:r>
      <w:bookmarkEnd w:id="52"/>
    </w:p>
    <w:p w14:paraId="3C64233C">
      <w:pPr>
        <w:spacing w:line="360" w:lineRule="auto"/>
        <w:jc w:val="center"/>
        <w:outlineLvl w:val="1"/>
        <w:rPr>
          <w:rFonts w:asciiTheme="minorEastAsia" w:hAnsiTheme="minorEastAsia" w:eastAsiaTheme="minorEastAsia"/>
          <w:b/>
          <w:color w:val="auto"/>
          <w:sz w:val="24"/>
        </w:rPr>
      </w:pPr>
      <w:bookmarkStart w:id="53" w:name="_Toc11709"/>
      <w:bookmarkStart w:id="54" w:name="_Toc11383"/>
      <w:r>
        <w:rPr>
          <w:rFonts w:hint="eastAsia" w:asciiTheme="minorEastAsia" w:hAnsiTheme="minorEastAsia" w:eastAsiaTheme="minorEastAsia"/>
          <w:b/>
          <w:color w:val="auto"/>
          <w:sz w:val="24"/>
        </w:rPr>
        <w:t>一、供应商</w:t>
      </w:r>
      <w:r>
        <w:rPr>
          <w:rFonts w:asciiTheme="minorEastAsia" w:hAnsiTheme="minorEastAsia" w:eastAsiaTheme="minorEastAsia"/>
          <w:b/>
          <w:color w:val="auto"/>
          <w:sz w:val="24"/>
        </w:rPr>
        <w:t>须知前附表</w:t>
      </w:r>
      <w:bookmarkEnd w:id="53"/>
      <w:bookmarkEnd w:id="54"/>
    </w:p>
    <w:p w14:paraId="78FF4F9B">
      <w:pPr>
        <w:spacing w:line="360" w:lineRule="auto"/>
        <w:ind w:firstLine="435"/>
        <w:rPr>
          <w:rFonts w:ascii="宋体" w:hAnsi="宋体" w:eastAsia="宋体"/>
          <w:color w:val="auto"/>
          <w:sz w:val="24"/>
          <w:szCs w:val="18"/>
        </w:rPr>
      </w:pPr>
      <w:r>
        <w:rPr>
          <w:rFonts w:hint="eastAsia" w:ascii="宋体" w:hAnsi="宋体" w:eastAsia="宋体"/>
          <w:b/>
          <w:bCs/>
          <w:color w:val="auto"/>
          <w:sz w:val="24"/>
          <w:szCs w:val="18"/>
        </w:rPr>
        <w:t>注：</w:t>
      </w:r>
      <w:r>
        <w:rPr>
          <w:rFonts w:hint="eastAsia" w:ascii="宋体" w:hAnsi="宋体" w:eastAsia="宋体"/>
          <w:color w:val="auto"/>
          <w:sz w:val="24"/>
          <w:szCs w:val="18"/>
        </w:rPr>
        <w:t>本表是本项目的具体要求，是对供应商须知的具体补充和修改，如有不一致，以本表为准。</w:t>
      </w:r>
    </w:p>
    <w:tbl>
      <w:tblPr>
        <w:tblStyle w:val="23"/>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023"/>
        <w:gridCol w:w="5753"/>
      </w:tblGrid>
      <w:tr w14:paraId="215F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5E8BEED8">
            <w:pPr>
              <w:pStyle w:val="40"/>
              <w:widowControl w:val="0"/>
              <w:spacing w:before="0" w:beforeAutospacing="0" w:after="0" w:afterAutospacing="0" w:line="360" w:lineRule="auto"/>
              <w:rPr>
                <w:rFonts w:ascii="宋体" w:hAnsi="宋体" w:eastAsia="宋体"/>
                <w:bCs w:val="0"/>
                <w:color w:val="auto"/>
                <w:kern w:val="2"/>
                <w:sz w:val="24"/>
                <w:szCs w:val="20"/>
                <w:highlight w:val="yellow"/>
              </w:rPr>
            </w:pPr>
            <w:r>
              <w:rPr>
                <w:rFonts w:hint="eastAsia" w:ascii="宋体" w:hAnsi="宋体" w:eastAsia="宋体"/>
                <w:bCs w:val="0"/>
                <w:color w:val="auto"/>
                <w:kern w:val="2"/>
                <w:sz w:val="24"/>
                <w:szCs w:val="20"/>
              </w:rPr>
              <w:t>条款号</w:t>
            </w:r>
          </w:p>
        </w:tc>
        <w:tc>
          <w:tcPr>
            <w:tcW w:w="2240" w:type="dxa"/>
            <w:vAlign w:val="center"/>
          </w:tcPr>
          <w:p w14:paraId="05E570C2">
            <w:pPr>
              <w:pStyle w:val="40"/>
              <w:widowControl w:val="0"/>
              <w:spacing w:before="0" w:beforeAutospacing="0" w:after="0" w:afterAutospacing="0" w:line="360" w:lineRule="auto"/>
              <w:rPr>
                <w:rFonts w:ascii="宋体" w:hAnsi="宋体" w:eastAsia="宋体"/>
                <w:bCs w:val="0"/>
                <w:color w:val="auto"/>
                <w:kern w:val="2"/>
                <w:sz w:val="24"/>
                <w:szCs w:val="20"/>
              </w:rPr>
            </w:pPr>
            <w:r>
              <w:rPr>
                <w:rFonts w:hint="eastAsia" w:ascii="宋体" w:hAnsi="宋体" w:eastAsia="宋体"/>
                <w:bCs w:val="0"/>
                <w:color w:val="auto"/>
                <w:kern w:val="2"/>
                <w:sz w:val="24"/>
                <w:szCs w:val="20"/>
              </w:rPr>
              <w:t>条款名称</w:t>
            </w:r>
          </w:p>
        </w:tc>
        <w:tc>
          <w:tcPr>
            <w:tcW w:w="6421" w:type="dxa"/>
            <w:vAlign w:val="center"/>
          </w:tcPr>
          <w:p w14:paraId="4082E835">
            <w:pPr>
              <w:pStyle w:val="40"/>
              <w:widowControl w:val="0"/>
              <w:spacing w:before="0" w:beforeAutospacing="0" w:after="0" w:afterAutospacing="0" w:line="360" w:lineRule="auto"/>
              <w:rPr>
                <w:rFonts w:ascii="宋体" w:hAnsi="宋体" w:eastAsia="宋体"/>
                <w:bCs w:val="0"/>
                <w:color w:val="auto"/>
                <w:kern w:val="2"/>
                <w:sz w:val="24"/>
                <w:szCs w:val="20"/>
              </w:rPr>
            </w:pPr>
            <w:r>
              <w:rPr>
                <w:rFonts w:hint="eastAsia" w:ascii="宋体" w:hAnsi="宋体" w:eastAsia="宋体"/>
                <w:bCs w:val="0"/>
                <w:color w:val="auto"/>
                <w:kern w:val="2"/>
                <w:sz w:val="24"/>
                <w:szCs w:val="20"/>
              </w:rPr>
              <w:t>内容、说明与要求</w:t>
            </w:r>
          </w:p>
        </w:tc>
      </w:tr>
      <w:tr w14:paraId="55CD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5F057B90">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5</w:t>
            </w:r>
            <w:r>
              <w:rPr>
                <w:rFonts w:ascii="宋体" w:hAnsi="宋体" w:eastAsia="宋体"/>
                <w:bCs/>
                <w:color w:val="auto"/>
                <w:kern w:val="2"/>
              </w:rPr>
              <w:t>.</w:t>
            </w:r>
            <w:r>
              <w:rPr>
                <w:rFonts w:hint="eastAsia" w:ascii="宋体" w:hAnsi="宋体" w:eastAsia="宋体"/>
                <w:bCs/>
                <w:color w:val="auto"/>
                <w:kern w:val="2"/>
              </w:rPr>
              <w:t>2</w:t>
            </w:r>
          </w:p>
        </w:tc>
        <w:tc>
          <w:tcPr>
            <w:tcW w:w="2240" w:type="dxa"/>
            <w:vAlign w:val="center"/>
          </w:tcPr>
          <w:p w14:paraId="4B11590F">
            <w:pPr>
              <w:pStyle w:val="40"/>
              <w:widowControl w:val="0"/>
              <w:spacing w:before="0" w:beforeAutospacing="0" w:after="0" w:afterAutospacing="0" w:line="360" w:lineRule="auto"/>
              <w:jc w:val="left"/>
              <w:rPr>
                <w:rFonts w:ascii="宋体" w:hAnsi="宋体" w:eastAsia="宋体"/>
                <w:b w:val="0"/>
                <w:color w:val="auto"/>
                <w:sz w:val="24"/>
              </w:rPr>
            </w:pPr>
            <w:r>
              <w:rPr>
                <w:rFonts w:hint="eastAsia" w:ascii="宋体" w:hAnsi="宋体" w:eastAsia="宋体"/>
                <w:b w:val="0"/>
                <w:color w:val="auto"/>
                <w:kern w:val="2"/>
                <w:sz w:val="24"/>
                <w:szCs w:val="22"/>
              </w:rPr>
              <w:t>现场考察或标前答疑会</w:t>
            </w:r>
          </w:p>
        </w:tc>
        <w:tc>
          <w:tcPr>
            <w:tcW w:w="6421" w:type="dxa"/>
            <w:vAlign w:val="center"/>
          </w:tcPr>
          <w:p w14:paraId="731AC819">
            <w:pPr>
              <w:spacing w:line="360" w:lineRule="auto"/>
              <w:rPr>
                <w:rFonts w:ascii="宋体" w:hAnsi="宋体" w:eastAsia="宋体"/>
                <w:bCs/>
                <w:color w:val="auto"/>
                <w:sz w:val="24"/>
              </w:rPr>
            </w:pPr>
            <w:r>
              <w:rPr>
                <w:rFonts w:hint="eastAsia" w:ascii="宋体" w:hAnsi="宋体" w:eastAsia="宋体"/>
                <w:bCs/>
                <w:color w:val="auto"/>
                <w:sz w:val="24"/>
                <w:szCs w:val="24"/>
              </w:rPr>
              <w:t>☑</w:t>
            </w:r>
            <w:r>
              <w:rPr>
                <w:rFonts w:hint="eastAsia" w:ascii="宋体" w:hAnsi="宋体" w:eastAsia="宋体"/>
                <w:color w:val="auto"/>
                <w:sz w:val="24"/>
              </w:rPr>
              <w:t>不组织或不召开</w:t>
            </w:r>
          </w:p>
          <w:p w14:paraId="39629E4B">
            <w:pPr>
              <w:spacing w:line="360" w:lineRule="auto"/>
              <w:rPr>
                <w:rFonts w:ascii="宋体" w:hAnsi="宋体" w:eastAsia="宋体"/>
                <w:bCs/>
                <w:color w:val="auto"/>
                <w:sz w:val="24"/>
              </w:rPr>
            </w:pPr>
            <w:r>
              <w:rPr>
                <w:rFonts w:hint="eastAsia" w:ascii="宋体" w:hAnsi="宋体" w:eastAsia="宋体"/>
                <w:color w:val="auto"/>
                <w:sz w:val="24"/>
              </w:rPr>
              <w:t>□</w:t>
            </w:r>
            <w:r>
              <w:rPr>
                <w:rFonts w:hint="eastAsia" w:ascii="宋体" w:hAnsi="宋体" w:eastAsia="宋体"/>
                <w:bCs/>
                <w:color w:val="auto"/>
                <w:sz w:val="24"/>
              </w:rPr>
              <w:t>统一组织</w:t>
            </w:r>
          </w:p>
          <w:p w14:paraId="69215557">
            <w:pPr>
              <w:spacing w:line="360" w:lineRule="auto"/>
              <w:rPr>
                <w:rFonts w:ascii="宋体" w:hAnsi="宋体" w:eastAsia="宋体"/>
                <w:bCs/>
                <w:color w:val="auto"/>
                <w:sz w:val="24"/>
                <w:u w:val="single"/>
              </w:rPr>
            </w:pPr>
            <w:r>
              <w:rPr>
                <w:rFonts w:hint="eastAsia" w:ascii="宋体" w:hAnsi="宋体" w:eastAsia="宋体"/>
                <w:bCs/>
                <w:color w:val="auto"/>
                <w:sz w:val="24"/>
              </w:rPr>
              <w:t>时间：</w:t>
            </w:r>
            <w:r>
              <w:rPr>
                <w:rFonts w:hint="eastAsia" w:ascii="宋体" w:hAnsi="宋体" w:eastAsia="宋体"/>
                <w:bCs/>
                <w:color w:val="auto"/>
                <w:sz w:val="24"/>
                <w:u w:val="single"/>
              </w:rPr>
              <w:t>/</w:t>
            </w:r>
            <w:r>
              <w:rPr>
                <w:rFonts w:hint="eastAsia" w:ascii="宋体" w:hAnsi="宋体" w:eastAsia="宋体"/>
                <w:bCs/>
                <w:color w:val="auto"/>
                <w:sz w:val="24"/>
              </w:rPr>
              <w:t>年</w:t>
            </w:r>
            <w:r>
              <w:rPr>
                <w:rFonts w:hint="eastAsia" w:ascii="宋体" w:hAnsi="宋体" w:eastAsia="宋体"/>
                <w:bCs/>
                <w:color w:val="auto"/>
                <w:sz w:val="24"/>
                <w:u w:val="single"/>
              </w:rPr>
              <w:t>/</w:t>
            </w:r>
            <w:r>
              <w:rPr>
                <w:rFonts w:hint="eastAsia" w:ascii="宋体" w:hAnsi="宋体" w:eastAsia="宋体"/>
                <w:bCs/>
                <w:color w:val="auto"/>
                <w:sz w:val="24"/>
              </w:rPr>
              <w:t>月</w:t>
            </w:r>
            <w:r>
              <w:rPr>
                <w:rFonts w:hint="eastAsia" w:ascii="宋体" w:hAnsi="宋体" w:eastAsia="宋体"/>
                <w:bCs/>
                <w:color w:val="auto"/>
                <w:sz w:val="24"/>
                <w:u w:val="single"/>
              </w:rPr>
              <w:t>/</w:t>
            </w:r>
            <w:r>
              <w:rPr>
                <w:rFonts w:hint="eastAsia" w:ascii="宋体" w:hAnsi="宋体" w:eastAsia="宋体"/>
                <w:bCs/>
                <w:color w:val="auto"/>
                <w:sz w:val="24"/>
              </w:rPr>
              <w:t>日</w:t>
            </w:r>
            <w:r>
              <w:rPr>
                <w:rFonts w:hint="eastAsia" w:ascii="宋体" w:hAnsi="宋体" w:eastAsia="宋体"/>
                <w:bCs/>
                <w:color w:val="auto"/>
                <w:sz w:val="24"/>
                <w:u w:val="single"/>
              </w:rPr>
              <w:t>/</w:t>
            </w:r>
            <w:r>
              <w:rPr>
                <w:rFonts w:hint="eastAsia" w:ascii="宋体" w:hAnsi="宋体" w:eastAsia="宋体"/>
                <w:bCs/>
                <w:color w:val="auto"/>
                <w:sz w:val="24"/>
              </w:rPr>
              <w:t>时</w:t>
            </w:r>
            <w:r>
              <w:rPr>
                <w:rFonts w:hint="eastAsia" w:ascii="宋体" w:hAnsi="宋体" w:eastAsia="宋体"/>
                <w:bCs/>
                <w:color w:val="auto"/>
                <w:sz w:val="24"/>
                <w:u w:val="single"/>
              </w:rPr>
              <w:t>/</w:t>
            </w:r>
            <w:r>
              <w:rPr>
                <w:rFonts w:hint="eastAsia" w:ascii="宋体" w:hAnsi="宋体" w:eastAsia="宋体"/>
                <w:bCs/>
                <w:color w:val="auto"/>
                <w:sz w:val="24"/>
              </w:rPr>
              <w:t>分</w:t>
            </w:r>
          </w:p>
          <w:p w14:paraId="61F5134B">
            <w:pPr>
              <w:spacing w:line="360" w:lineRule="auto"/>
              <w:rPr>
                <w:rFonts w:ascii="宋体" w:hAnsi="宋体" w:eastAsia="宋体"/>
                <w:bCs/>
                <w:color w:val="auto"/>
                <w:sz w:val="24"/>
                <w:u w:val="single"/>
              </w:rPr>
            </w:pPr>
            <w:r>
              <w:rPr>
                <w:rFonts w:hint="eastAsia" w:ascii="宋体" w:hAnsi="宋体" w:eastAsia="宋体"/>
                <w:bCs/>
                <w:color w:val="auto"/>
                <w:sz w:val="24"/>
              </w:rPr>
              <w:t>地点：</w:t>
            </w:r>
            <w:r>
              <w:rPr>
                <w:rFonts w:hint="eastAsia" w:ascii="宋体" w:hAnsi="宋体" w:eastAsia="宋体"/>
                <w:bCs/>
                <w:color w:val="auto"/>
                <w:sz w:val="24"/>
                <w:u w:val="single"/>
              </w:rPr>
              <w:t>/</w:t>
            </w:r>
          </w:p>
          <w:p w14:paraId="0D9A51FC">
            <w:pPr>
              <w:spacing w:line="360" w:lineRule="auto"/>
              <w:rPr>
                <w:rFonts w:ascii="宋体" w:hAnsi="宋体" w:eastAsia="宋体"/>
                <w:bCs/>
                <w:color w:val="auto"/>
                <w:sz w:val="24"/>
                <w:u w:val="single"/>
              </w:rPr>
            </w:pPr>
            <w:r>
              <w:rPr>
                <w:rFonts w:hint="eastAsia" w:ascii="宋体" w:hAnsi="宋体" w:eastAsia="宋体"/>
                <w:bCs/>
                <w:color w:val="auto"/>
                <w:sz w:val="24"/>
              </w:rPr>
              <w:t>联系人及联系电话：</w:t>
            </w:r>
            <w:r>
              <w:rPr>
                <w:rFonts w:hint="eastAsia" w:ascii="宋体" w:hAnsi="宋体" w:eastAsia="宋体"/>
                <w:bCs/>
                <w:color w:val="auto"/>
                <w:sz w:val="24"/>
                <w:u w:val="single"/>
              </w:rPr>
              <w:t>/</w:t>
            </w:r>
          </w:p>
          <w:p w14:paraId="54005069">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Cs w:val="0"/>
                <w:color w:val="auto"/>
                <w:sz w:val="24"/>
              </w:rPr>
              <w:t>注：如供应商未参加采购人统一组织的现场考察或采购人统一召开的标前答疑会，视同放弃现场考察或标前答疑会，由此引起的一切责任由供应商自行承担。</w:t>
            </w:r>
          </w:p>
        </w:tc>
      </w:tr>
      <w:tr w14:paraId="6968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238CD395">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6</w:t>
            </w:r>
            <w:r>
              <w:rPr>
                <w:rFonts w:ascii="宋体" w:hAnsi="宋体" w:eastAsia="宋体"/>
                <w:bCs/>
                <w:color w:val="auto"/>
                <w:kern w:val="2"/>
              </w:rPr>
              <w:t>.1</w:t>
            </w:r>
          </w:p>
        </w:tc>
        <w:tc>
          <w:tcPr>
            <w:tcW w:w="2240" w:type="dxa"/>
            <w:vAlign w:val="center"/>
          </w:tcPr>
          <w:p w14:paraId="06CA8302">
            <w:pPr>
              <w:pStyle w:val="40"/>
              <w:widowControl w:val="0"/>
              <w:spacing w:before="0" w:beforeAutospacing="0" w:after="0" w:afterAutospacing="0" w:line="360" w:lineRule="auto"/>
              <w:jc w:val="left"/>
              <w:rPr>
                <w:rFonts w:ascii="宋体" w:hAnsi="宋体" w:eastAsia="宋体"/>
                <w:b w:val="0"/>
                <w:color w:val="auto"/>
                <w:sz w:val="24"/>
              </w:rPr>
            </w:pPr>
            <w:r>
              <w:rPr>
                <w:rFonts w:hint="eastAsia" w:ascii="宋体" w:hAnsi="宋体" w:eastAsia="宋体"/>
                <w:b w:val="0"/>
                <w:color w:val="auto"/>
                <w:sz w:val="24"/>
              </w:rPr>
              <w:t>网上询问截止时间</w:t>
            </w:r>
          </w:p>
        </w:tc>
        <w:tc>
          <w:tcPr>
            <w:tcW w:w="6421" w:type="dxa"/>
            <w:vAlign w:val="center"/>
          </w:tcPr>
          <w:p w14:paraId="7C835C1D">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u w:val="single"/>
              </w:rPr>
              <w:t>2025</w:t>
            </w:r>
            <w:r>
              <w:rPr>
                <w:rFonts w:ascii="宋体" w:hAnsi="宋体" w:eastAsia="宋体"/>
                <w:b w:val="0"/>
                <w:color w:val="auto"/>
                <w:sz w:val="24"/>
                <w:u w:val="single"/>
              </w:rPr>
              <w:t>年</w:t>
            </w:r>
            <w:r>
              <w:rPr>
                <w:rFonts w:hint="eastAsia" w:ascii="宋体" w:hAnsi="宋体" w:eastAsia="宋体"/>
                <w:b w:val="0"/>
                <w:color w:val="auto"/>
                <w:sz w:val="24"/>
                <w:u w:val="single"/>
              </w:rPr>
              <w:t>0</w:t>
            </w:r>
            <w:r>
              <w:rPr>
                <w:rFonts w:hint="eastAsia" w:ascii="宋体" w:hAnsi="宋体" w:eastAsia="宋体"/>
                <w:b w:val="0"/>
                <w:color w:val="auto"/>
                <w:sz w:val="24"/>
                <w:u w:val="single"/>
                <w:lang w:val="en-US" w:eastAsia="zh-CN"/>
              </w:rPr>
              <w:t>3</w:t>
            </w:r>
            <w:r>
              <w:rPr>
                <w:rFonts w:ascii="宋体" w:hAnsi="宋体" w:eastAsia="宋体"/>
                <w:b w:val="0"/>
                <w:color w:val="auto"/>
                <w:sz w:val="24"/>
                <w:u w:val="single"/>
              </w:rPr>
              <w:t>月</w:t>
            </w:r>
            <w:r>
              <w:rPr>
                <w:rFonts w:hint="eastAsia" w:ascii="宋体" w:hAnsi="宋体" w:eastAsia="宋体"/>
                <w:b w:val="0"/>
                <w:color w:val="auto"/>
                <w:sz w:val="24"/>
                <w:u w:val="single"/>
                <w:lang w:val="en-US" w:eastAsia="zh-CN"/>
              </w:rPr>
              <w:t>17</w:t>
            </w:r>
            <w:r>
              <w:rPr>
                <w:rFonts w:ascii="宋体" w:hAnsi="宋体" w:eastAsia="宋体"/>
                <w:b w:val="0"/>
                <w:color w:val="auto"/>
                <w:sz w:val="24"/>
                <w:u w:val="single"/>
              </w:rPr>
              <w:t>日</w:t>
            </w:r>
            <w:r>
              <w:rPr>
                <w:rFonts w:hint="eastAsia" w:ascii="宋体" w:hAnsi="宋体" w:eastAsia="宋体"/>
                <w:b w:val="0"/>
                <w:color w:val="auto"/>
                <w:sz w:val="24"/>
                <w:u w:val="single"/>
              </w:rPr>
              <w:t>17</w:t>
            </w:r>
            <w:r>
              <w:rPr>
                <w:rFonts w:ascii="宋体" w:hAnsi="宋体" w:eastAsia="宋体"/>
                <w:b w:val="0"/>
                <w:color w:val="auto"/>
                <w:sz w:val="24"/>
                <w:u w:val="single"/>
              </w:rPr>
              <w:t>时</w:t>
            </w:r>
            <w:r>
              <w:rPr>
                <w:rFonts w:hint="eastAsia" w:ascii="宋体" w:hAnsi="宋体" w:eastAsia="宋体"/>
                <w:b w:val="0"/>
                <w:color w:val="auto"/>
                <w:sz w:val="24"/>
                <w:u w:val="single"/>
              </w:rPr>
              <w:t>00分</w:t>
            </w:r>
          </w:p>
        </w:tc>
      </w:tr>
      <w:tr w14:paraId="713A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06" w:type="dxa"/>
            <w:vAlign w:val="center"/>
          </w:tcPr>
          <w:p w14:paraId="79787B88">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7.1</w:t>
            </w:r>
          </w:p>
        </w:tc>
        <w:tc>
          <w:tcPr>
            <w:tcW w:w="2240" w:type="dxa"/>
            <w:vAlign w:val="center"/>
          </w:tcPr>
          <w:p w14:paraId="28055933">
            <w:pPr>
              <w:pStyle w:val="40"/>
              <w:widowControl w:val="0"/>
              <w:spacing w:before="0" w:beforeAutospacing="0" w:after="0" w:afterAutospacing="0" w:line="360" w:lineRule="auto"/>
              <w:jc w:val="left"/>
              <w:rPr>
                <w:rFonts w:ascii="宋体" w:hAnsi="宋体" w:eastAsia="宋体"/>
                <w:b w:val="0"/>
                <w:color w:val="auto"/>
                <w:sz w:val="24"/>
              </w:rPr>
            </w:pPr>
            <w:r>
              <w:rPr>
                <w:rFonts w:hint="eastAsia" w:ascii="宋体" w:hAnsi="宋体" w:eastAsia="宋体"/>
                <w:b w:val="0"/>
                <w:color w:val="auto"/>
                <w:sz w:val="24"/>
              </w:rPr>
              <w:t>包别划分</w:t>
            </w:r>
          </w:p>
        </w:tc>
        <w:tc>
          <w:tcPr>
            <w:tcW w:w="6421" w:type="dxa"/>
            <w:vAlign w:val="center"/>
          </w:tcPr>
          <w:p w14:paraId="1CBA6277">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bCs w:val="0"/>
                <w:color w:val="auto"/>
                <w:sz w:val="24"/>
                <w:szCs w:val="24"/>
              </w:rPr>
              <w:t>☑</w:t>
            </w:r>
            <w:r>
              <w:rPr>
                <w:rFonts w:ascii="宋体" w:hAnsi="宋体" w:eastAsia="宋体"/>
                <w:b w:val="0"/>
                <w:color w:val="auto"/>
                <w:sz w:val="24"/>
              </w:rPr>
              <w:t>不分包     □分为  个包</w:t>
            </w:r>
          </w:p>
          <w:p w14:paraId="359532A1">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bCs w:val="0"/>
                <w:color w:val="auto"/>
                <w:sz w:val="24"/>
                <w:szCs w:val="24"/>
              </w:rPr>
              <w:t>供应商参加多个包磋商的成交</w:t>
            </w:r>
            <w:r>
              <w:rPr>
                <w:rFonts w:ascii="宋体" w:hAnsi="宋体" w:eastAsia="宋体"/>
                <w:b w:val="0"/>
                <w:bCs w:val="0"/>
                <w:color w:val="auto"/>
                <w:sz w:val="24"/>
                <w:szCs w:val="24"/>
              </w:rPr>
              <w:t>包</w:t>
            </w:r>
            <w:r>
              <w:rPr>
                <w:rFonts w:hint="eastAsia" w:ascii="宋体" w:hAnsi="宋体" w:eastAsia="宋体"/>
                <w:b w:val="0"/>
                <w:bCs w:val="0"/>
                <w:color w:val="auto"/>
                <w:sz w:val="24"/>
                <w:szCs w:val="24"/>
              </w:rPr>
              <w:t>数规定：</w:t>
            </w:r>
            <w:r>
              <w:rPr>
                <w:rFonts w:hint="eastAsia" w:ascii="宋体" w:hAnsi="宋体" w:eastAsia="宋体"/>
                <w:b w:val="0"/>
                <w:bCs w:val="0"/>
                <w:color w:val="auto"/>
                <w:sz w:val="24"/>
                <w:szCs w:val="18"/>
                <w:u w:val="single"/>
              </w:rPr>
              <w:t>/</w:t>
            </w:r>
            <w:r>
              <w:rPr>
                <w:rFonts w:ascii="宋体" w:hAnsi="宋体" w:eastAsia="宋体"/>
                <w:b w:val="0"/>
                <w:bCs w:val="0"/>
                <w:color w:val="auto"/>
                <w:sz w:val="24"/>
                <w:szCs w:val="18"/>
                <w:u w:val="single"/>
              </w:rPr>
              <w:t xml:space="preserve"> </w:t>
            </w:r>
          </w:p>
        </w:tc>
      </w:tr>
      <w:tr w14:paraId="2DE4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06" w:type="dxa"/>
            <w:vAlign w:val="center"/>
          </w:tcPr>
          <w:p w14:paraId="5F622709">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rPr>
            </w:pPr>
            <w:r>
              <w:rPr>
                <w:rFonts w:hint="eastAsia" w:ascii="宋体" w:hAnsi="宋体" w:eastAsia="宋体"/>
                <w:bCs/>
                <w:color w:val="auto"/>
                <w:kern w:val="2"/>
              </w:rPr>
              <w:t>9.2</w:t>
            </w:r>
          </w:p>
        </w:tc>
        <w:tc>
          <w:tcPr>
            <w:tcW w:w="2240" w:type="dxa"/>
            <w:vAlign w:val="center"/>
          </w:tcPr>
          <w:p w14:paraId="7A933585">
            <w:pPr>
              <w:pStyle w:val="40"/>
              <w:widowControl w:val="0"/>
              <w:spacing w:before="0" w:beforeAutospacing="0" w:after="0" w:afterAutospacing="0" w:line="360" w:lineRule="auto"/>
              <w:jc w:val="left"/>
              <w:rPr>
                <w:rFonts w:ascii="宋体" w:hAnsi="宋体" w:eastAsia="宋体"/>
                <w:b w:val="0"/>
                <w:color w:val="auto"/>
                <w:sz w:val="24"/>
              </w:rPr>
            </w:pPr>
            <w:r>
              <w:rPr>
                <w:rFonts w:hint="eastAsia" w:ascii="宋体" w:hAnsi="宋体" w:eastAsia="宋体"/>
                <w:b w:val="0"/>
                <w:color w:val="auto"/>
                <w:sz w:val="24"/>
              </w:rPr>
              <w:t>最高限价及分项限价</w:t>
            </w:r>
          </w:p>
        </w:tc>
        <w:tc>
          <w:tcPr>
            <w:tcW w:w="6421" w:type="dxa"/>
            <w:vAlign w:val="center"/>
          </w:tcPr>
          <w:p w14:paraId="5FED92F3">
            <w:pPr>
              <w:pStyle w:val="40"/>
              <w:widowControl w:val="0"/>
              <w:spacing w:before="0" w:beforeAutospacing="0" w:after="0" w:afterAutospacing="0" w:line="360" w:lineRule="auto"/>
              <w:jc w:val="both"/>
              <w:rPr>
                <w:rFonts w:ascii="宋体" w:hAnsi="宋体" w:eastAsia="宋体"/>
                <w:b w:val="0"/>
                <w:color w:val="auto"/>
                <w:sz w:val="24"/>
                <w:szCs w:val="24"/>
              </w:rPr>
            </w:pPr>
            <w:r>
              <w:rPr>
                <w:rFonts w:hint="eastAsia" w:ascii="宋体" w:hAnsi="宋体" w:eastAsia="宋体"/>
                <w:b w:val="0"/>
                <w:color w:val="auto"/>
                <w:sz w:val="24"/>
                <w:szCs w:val="24"/>
              </w:rPr>
              <w:t>本项目最高限价为128万元。</w:t>
            </w:r>
          </w:p>
          <w:p w14:paraId="48B7BBBB">
            <w:pPr>
              <w:pStyle w:val="40"/>
              <w:widowControl w:val="0"/>
              <w:spacing w:before="0" w:beforeAutospacing="0" w:after="0" w:afterAutospacing="0" w:line="360" w:lineRule="auto"/>
              <w:jc w:val="both"/>
              <w:rPr>
                <w:rFonts w:ascii="宋体" w:hAnsi="宋体" w:eastAsia="宋体"/>
                <w:b w:val="0"/>
                <w:color w:val="auto"/>
                <w:sz w:val="24"/>
                <w:szCs w:val="24"/>
              </w:rPr>
            </w:pPr>
            <w:r>
              <w:rPr>
                <w:rFonts w:hint="eastAsia" w:ascii="宋体" w:hAnsi="宋体" w:eastAsia="宋体"/>
                <w:b w:val="0"/>
                <w:color w:val="auto"/>
                <w:sz w:val="24"/>
                <w:szCs w:val="24"/>
              </w:rPr>
              <w:t>分项限价：</w:t>
            </w:r>
          </w:p>
          <w:p w14:paraId="0C62D3A7">
            <w:pPr>
              <w:pStyle w:val="40"/>
              <w:widowControl w:val="0"/>
              <w:spacing w:before="0" w:beforeAutospacing="0" w:after="0" w:afterAutospacing="0" w:line="360" w:lineRule="auto"/>
              <w:jc w:val="both"/>
              <w:rPr>
                <w:rFonts w:ascii="宋体" w:hAnsi="宋体" w:eastAsia="宋体"/>
                <w:b w:val="0"/>
                <w:color w:val="auto"/>
                <w:sz w:val="24"/>
                <w:szCs w:val="24"/>
              </w:rPr>
            </w:pPr>
            <w:r>
              <w:rPr>
                <w:rFonts w:hint="eastAsia" w:ascii="宋体" w:hAnsi="宋体" w:eastAsia="宋体"/>
                <w:b w:val="0"/>
                <w:color w:val="auto"/>
                <w:sz w:val="24"/>
                <w:szCs w:val="24"/>
              </w:rPr>
              <w:t>（1）颍上闸、</w:t>
            </w:r>
            <w:r>
              <w:rPr>
                <w:rFonts w:ascii="宋体" w:hAnsi="宋体" w:eastAsia="宋体"/>
                <w:b w:val="0"/>
                <w:color w:val="auto"/>
                <w:sz w:val="24"/>
                <w:szCs w:val="24"/>
              </w:rPr>
              <w:t>五河分洪闸</w:t>
            </w:r>
            <w:r>
              <w:rPr>
                <w:rFonts w:hint="eastAsia" w:ascii="宋体" w:hAnsi="宋体" w:eastAsia="宋体"/>
                <w:b w:val="0"/>
                <w:color w:val="auto"/>
                <w:sz w:val="24"/>
                <w:szCs w:val="24"/>
              </w:rPr>
              <w:t>、</w:t>
            </w:r>
            <w:r>
              <w:rPr>
                <w:rFonts w:ascii="宋体" w:hAnsi="宋体" w:eastAsia="宋体"/>
                <w:b w:val="0"/>
                <w:color w:val="auto"/>
                <w:sz w:val="24"/>
                <w:szCs w:val="24"/>
              </w:rPr>
              <w:t>刘桥</w:t>
            </w:r>
            <w:r>
              <w:rPr>
                <w:rFonts w:hint="eastAsia" w:ascii="宋体" w:hAnsi="宋体" w:eastAsia="宋体"/>
                <w:b w:val="0"/>
                <w:color w:val="auto"/>
                <w:sz w:val="24"/>
                <w:szCs w:val="24"/>
              </w:rPr>
              <w:t>闸、</w:t>
            </w:r>
            <w:r>
              <w:rPr>
                <w:rFonts w:ascii="宋体" w:hAnsi="宋体" w:eastAsia="宋体"/>
                <w:b w:val="0"/>
                <w:color w:val="auto"/>
                <w:sz w:val="24"/>
                <w:szCs w:val="24"/>
              </w:rPr>
              <w:t>新淝</w:t>
            </w:r>
            <w:r>
              <w:rPr>
                <w:rFonts w:hint="eastAsia" w:ascii="宋体" w:hAnsi="宋体" w:eastAsia="宋体"/>
                <w:b w:val="0"/>
                <w:color w:val="auto"/>
                <w:sz w:val="24"/>
                <w:szCs w:val="24"/>
              </w:rPr>
              <w:t>闸、</w:t>
            </w:r>
            <w:r>
              <w:rPr>
                <w:rFonts w:ascii="宋体" w:hAnsi="宋体" w:eastAsia="宋体"/>
                <w:b w:val="0"/>
                <w:color w:val="auto"/>
                <w:sz w:val="24"/>
                <w:szCs w:val="24"/>
              </w:rPr>
              <w:t>张大桥</w:t>
            </w:r>
            <w:r>
              <w:rPr>
                <w:rFonts w:hint="eastAsia" w:ascii="宋体" w:hAnsi="宋体" w:eastAsia="宋体"/>
                <w:b w:val="0"/>
                <w:color w:val="auto"/>
                <w:sz w:val="24"/>
                <w:szCs w:val="24"/>
              </w:rPr>
              <w:t>闸、</w:t>
            </w:r>
            <w:r>
              <w:rPr>
                <w:rFonts w:ascii="宋体" w:hAnsi="宋体" w:eastAsia="宋体"/>
                <w:b w:val="0"/>
                <w:color w:val="auto"/>
                <w:sz w:val="24"/>
                <w:szCs w:val="24"/>
              </w:rPr>
              <w:t>双涧</w:t>
            </w:r>
            <w:r>
              <w:rPr>
                <w:rFonts w:hint="eastAsia" w:ascii="宋体" w:hAnsi="宋体" w:eastAsia="宋体"/>
                <w:b w:val="0"/>
                <w:color w:val="auto"/>
                <w:sz w:val="24"/>
                <w:szCs w:val="24"/>
              </w:rPr>
              <w:t>闸、</w:t>
            </w:r>
            <w:r>
              <w:rPr>
                <w:rFonts w:ascii="宋体" w:hAnsi="宋体" w:eastAsia="宋体"/>
                <w:b w:val="0"/>
                <w:color w:val="auto"/>
                <w:sz w:val="24"/>
                <w:szCs w:val="24"/>
              </w:rPr>
              <w:t>架河</w:t>
            </w:r>
            <w:r>
              <w:rPr>
                <w:rFonts w:hint="eastAsia" w:ascii="宋体" w:hAnsi="宋体" w:eastAsia="宋体"/>
                <w:b w:val="0"/>
                <w:color w:val="auto"/>
                <w:sz w:val="24"/>
                <w:szCs w:val="24"/>
              </w:rPr>
              <w:t>闸</w:t>
            </w:r>
            <w:r>
              <w:rPr>
                <w:rFonts w:ascii="宋体" w:hAnsi="宋体" w:eastAsia="宋体"/>
                <w:b w:val="0"/>
                <w:color w:val="auto"/>
                <w:sz w:val="24"/>
                <w:szCs w:val="24"/>
              </w:rPr>
              <w:t>84万元；</w:t>
            </w:r>
          </w:p>
          <w:p w14:paraId="24FB38B7">
            <w:pPr>
              <w:pStyle w:val="40"/>
              <w:widowControl w:val="0"/>
              <w:spacing w:before="0" w:beforeAutospacing="0" w:after="0" w:afterAutospacing="0" w:line="360" w:lineRule="auto"/>
              <w:jc w:val="both"/>
              <w:rPr>
                <w:rFonts w:ascii="宋体" w:hAnsi="宋体" w:eastAsia="宋体"/>
                <w:b w:val="0"/>
                <w:color w:val="auto"/>
                <w:sz w:val="24"/>
                <w:szCs w:val="24"/>
              </w:rPr>
            </w:pPr>
            <w:r>
              <w:rPr>
                <w:rFonts w:hint="eastAsia" w:ascii="宋体" w:hAnsi="宋体" w:eastAsia="宋体"/>
                <w:b w:val="0"/>
                <w:color w:val="auto"/>
                <w:sz w:val="24"/>
                <w:szCs w:val="24"/>
              </w:rPr>
              <w:t>（2）</w:t>
            </w:r>
            <w:r>
              <w:rPr>
                <w:rFonts w:ascii="宋体" w:hAnsi="宋体" w:eastAsia="宋体"/>
                <w:b w:val="0"/>
                <w:color w:val="auto"/>
                <w:sz w:val="24"/>
                <w:szCs w:val="24"/>
              </w:rPr>
              <w:t>城西湖</w:t>
            </w:r>
            <w:r>
              <w:rPr>
                <w:rFonts w:hint="eastAsia" w:ascii="宋体" w:hAnsi="宋体" w:eastAsia="宋体"/>
                <w:b w:val="0"/>
                <w:color w:val="auto"/>
                <w:sz w:val="24"/>
                <w:szCs w:val="24"/>
              </w:rPr>
              <w:t>退水</w:t>
            </w:r>
            <w:r>
              <w:rPr>
                <w:rFonts w:ascii="宋体" w:hAnsi="宋体" w:eastAsia="宋体"/>
                <w:b w:val="0"/>
                <w:color w:val="auto"/>
                <w:sz w:val="24"/>
                <w:szCs w:val="24"/>
              </w:rPr>
              <w:t>闸24万元；</w:t>
            </w:r>
          </w:p>
          <w:p w14:paraId="51815039">
            <w:pPr>
              <w:pStyle w:val="40"/>
              <w:widowControl w:val="0"/>
              <w:spacing w:before="0" w:beforeAutospacing="0" w:after="0" w:afterAutospacing="0" w:line="360" w:lineRule="auto"/>
              <w:jc w:val="both"/>
              <w:rPr>
                <w:rFonts w:ascii="宋体" w:hAnsi="宋体" w:eastAsia="宋体"/>
                <w:b w:val="0"/>
                <w:color w:val="auto"/>
                <w:sz w:val="24"/>
                <w:szCs w:val="24"/>
              </w:rPr>
            </w:pPr>
            <w:r>
              <w:rPr>
                <w:rFonts w:hint="eastAsia" w:ascii="宋体" w:hAnsi="宋体" w:eastAsia="宋体"/>
                <w:b w:val="0"/>
                <w:color w:val="auto"/>
                <w:sz w:val="24"/>
                <w:szCs w:val="24"/>
              </w:rPr>
              <w:t>（3）</w:t>
            </w:r>
            <w:r>
              <w:rPr>
                <w:rFonts w:ascii="宋体" w:hAnsi="宋体" w:eastAsia="宋体"/>
                <w:b w:val="0"/>
                <w:color w:val="auto"/>
                <w:sz w:val="24"/>
                <w:szCs w:val="24"/>
              </w:rPr>
              <w:t>姜唐湖退水闸20万元；</w:t>
            </w:r>
          </w:p>
          <w:p w14:paraId="48C9E553">
            <w:pPr>
              <w:pStyle w:val="40"/>
              <w:widowControl w:val="0"/>
              <w:spacing w:before="0" w:beforeAutospacing="0" w:after="0" w:afterAutospacing="0" w:line="360" w:lineRule="auto"/>
              <w:jc w:val="both"/>
              <w:rPr>
                <w:rFonts w:ascii="宋体" w:hAnsi="宋体" w:eastAsia="宋体"/>
                <w:b w:val="0"/>
                <w:color w:val="auto"/>
                <w:sz w:val="24"/>
                <w:szCs w:val="24"/>
              </w:rPr>
            </w:pPr>
            <w:r>
              <w:rPr>
                <w:rFonts w:ascii="宋体" w:hAnsi="宋体" w:eastAsia="宋体"/>
                <w:bCs w:val="0"/>
                <w:color w:val="auto"/>
                <w:sz w:val="24"/>
                <w:szCs w:val="24"/>
              </w:rPr>
              <w:t>供应商的报价不得超过采购人公布的最高限价</w:t>
            </w:r>
            <w:r>
              <w:rPr>
                <w:rFonts w:hint="eastAsia" w:ascii="宋体" w:hAnsi="宋体" w:eastAsia="宋体"/>
                <w:bCs w:val="0"/>
                <w:color w:val="auto"/>
                <w:sz w:val="24"/>
                <w:szCs w:val="24"/>
              </w:rPr>
              <w:t>及分项限价</w:t>
            </w:r>
            <w:r>
              <w:rPr>
                <w:rFonts w:ascii="宋体" w:hAnsi="宋体" w:eastAsia="宋体"/>
                <w:bCs w:val="0"/>
                <w:color w:val="auto"/>
                <w:sz w:val="24"/>
                <w:szCs w:val="24"/>
              </w:rPr>
              <w:t>，否则其响应文件按照无效处理。</w:t>
            </w:r>
          </w:p>
        </w:tc>
      </w:tr>
      <w:tr w14:paraId="7073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06" w:type="dxa"/>
            <w:vAlign w:val="center"/>
          </w:tcPr>
          <w:p w14:paraId="233D7F3A">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10.1</w:t>
            </w:r>
          </w:p>
        </w:tc>
        <w:tc>
          <w:tcPr>
            <w:tcW w:w="2240" w:type="dxa"/>
            <w:vAlign w:val="center"/>
          </w:tcPr>
          <w:p w14:paraId="2A24855C">
            <w:pPr>
              <w:pStyle w:val="40"/>
              <w:widowControl w:val="0"/>
              <w:spacing w:before="0" w:beforeAutospacing="0" w:after="0" w:afterAutospacing="0" w:line="360" w:lineRule="auto"/>
              <w:jc w:val="left"/>
              <w:rPr>
                <w:rFonts w:ascii="宋体" w:hAnsi="宋体" w:eastAsia="宋体"/>
                <w:b w:val="0"/>
                <w:color w:val="auto"/>
                <w:sz w:val="24"/>
              </w:rPr>
            </w:pPr>
            <w:r>
              <w:rPr>
                <w:rFonts w:hint="eastAsia" w:ascii="宋体" w:hAnsi="宋体" w:eastAsia="宋体"/>
                <w:b w:val="0"/>
                <w:color w:val="auto"/>
                <w:sz w:val="24"/>
              </w:rPr>
              <w:t>磋商保证金</w:t>
            </w:r>
          </w:p>
        </w:tc>
        <w:tc>
          <w:tcPr>
            <w:tcW w:w="6421" w:type="dxa"/>
            <w:vAlign w:val="center"/>
          </w:tcPr>
          <w:p w14:paraId="53695376">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不收取</w:t>
            </w:r>
          </w:p>
        </w:tc>
      </w:tr>
      <w:tr w14:paraId="2411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6DA0892D">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11</w:t>
            </w:r>
            <w:r>
              <w:rPr>
                <w:rFonts w:ascii="宋体" w:hAnsi="宋体" w:eastAsia="宋体"/>
                <w:bCs/>
                <w:color w:val="auto"/>
                <w:kern w:val="2"/>
              </w:rPr>
              <w:t>.1</w:t>
            </w:r>
          </w:p>
        </w:tc>
        <w:tc>
          <w:tcPr>
            <w:tcW w:w="2240" w:type="dxa"/>
            <w:vAlign w:val="center"/>
          </w:tcPr>
          <w:p w14:paraId="3409416F">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磋商有效期</w:t>
            </w:r>
          </w:p>
        </w:tc>
        <w:tc>
          <w:tcPr>
            <w:tcW w:w="6421" w:type="dxa"/>
            <w:vAlign w:val="center"/>
          </w:tcPr>
          <w:p w14:paraId="16F8C7F5">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u w:val="single"/>
              </w:rPr>
              <w:t>90</w:t>
            </w:r>
            <w:r>
              <w:rPr>
                <w:rFonts w:hint="eastAsia" w:ascii="宋体" w:hAnsi="宋体" w:eastAsia="宋体"/>
                <w:b w:val="0"/>
                <w:color w:val="auto"/>
                <w:sz w:val="24"/>
              </w:rPr>
              <w:t>日历日</w:t>
            </w:r>
          </w:p>
        </w:tc>
      </w:tr>
      <w:tr w14:paraId="6AF8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50CED209">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12</w:t>
            </w:r>
            <w:r>
              <w:rPr>
                <w:rFonts w:ascii="宋体" w:hAnsi="宋体" w:eastAsia="宋体"/>
                <w:bCs/>
                <w:color w:val="auto"/>
                <w:kern w:val="2"/>
              </w:rPr>
              <w:t>.</w:t>
            </w:r>
            <w:r>
              <w:rPr>
                <w:rFonts w:hint="eastAsia" w:ascii="宋体" w:hAnsi="宋体" w:eastAsia="宋体"/>
                <w:bCs/>
                <w:color w:val="auto"/>
                <w:kern w:val="2"/>
              </w:rPr>
              <w:t>3</w:t>
            </w:r>
          </w:p>
        </w:tc>
        <w:tc>
          <w:tcPr>
            <w:tcW w:w="2240" w:type="dxa"/>
            <w:vAlign w:val="center"/>
          </w:tcPr>
          <w:p w14:paraId="64941FD0">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响应文件解密时间</w:t>
            </w:r>
          </w:p>
        </w:tc>
        <w:tc>
          <w:tcPr>
            <w:tcW w:w="6421" w:type="dxa"/>
            <w:vAlign w:val="center"/>
          </w:tcPr>
          <w:p w14:paraId="68F17D00">
            <w:pPr>
              <w:pStyle w:val="40"/>
              <w:widowControl w:val="0"/>
              <w:spacing w:before="0" w:beforeAutospacing="0" w:after="0" w:afterAutospacing="0" w:line="360" w:lineRule="auto"/>
              <w:jc w:val="both"/>
              <w:rPr>
                <w:rFonts w:ascii="宋体" w:hAnsi="宋体" w:eastAsia="宋体"/>
                <w:b w:val="0"/>
                <w:color w:val="auto"/>
                <w:sz w:val="24"/>
                <w:u w:val="single"/>
              </w:rPr>
            </w:pPr>
            <w:r>
              <w:rPr>
                <w:rFonts w:hint="eastAsia" w:ascii="宋体" w:hAnsi="宋体" w:eastAsia="宋体"/>
                <w:b w:val="0"/>
                <w:color w:val="auto"/>
                <w:sz w:val="24"/>
              </w:rPr>
              <w:t>响应文件提交截止时间后</w:t>
            </w:r>
            <w:r>
              <w:rPr>
                <w:rFonts w:hint="eastAsia" w:ascii="宋体" w:hAnsi="宋体" w:eastAsia="宋体"/>
                <w:b w:val="0"/>
                <w:color w:val="auto"/>
                <w:sz w:val="24"/>
                <w:u w:val="single"/>
              </w:rPr>
              <w:t>60</w:t>
            </w:r>
            <w:r>
              <w:rPr>
                <w:rFonts w:hint="eastAsia" w:ascii="宋体" w:hAnsi="宋体" w:eastAsia="宋体"/>
                <w:b w:val="0"/>
                <w:color w:val="auto"/>
                <w:sz w:val="24"/>
              </w:rPr>
              <w:t>分钟内</w:t>
            </w:r>
          </w:p>
        </w:tc>
      </w:tr>
      <w:tr w14:paraId="7C22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0263F957">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14.2</w:t>
            </w:r>
          </w:p>
        </w:tc>
        <w:tc>
          <w:tcPr>
            <w:tcW w:w="2240" w:type="dxa"/>
            <w:vAlign w:val="center"/>
          </w:tcPr>
          <w:p w14:paraId="7081C0CB">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评审方法</w:t>
            </w:r>
          </w:p>
        </w:tc>
        <w:tc>
          <w:tcPr>
            <w:tcW w:w="6421" w:type="dxa"/>
            <w:vAlign w:val="center"/>
          </w:tcPr>
          <w:p w14:paraId="7ABF9BA0">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综合评分法</w:t>
            </w:r>
          </w:p>
        </w:tc>
      </w:tr>
      <w:tr w14:paraId="3A6E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78C827EA">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17.4</w:t>
            </w:r>
          </w:p>
        </w:tc>
        <w:tc>
          <w:tcPr>
            <w:tcW w:w="2240" w:type="dxa"/>
            <w:vAlign w:val="center"/>
          </w:tcPr>
          <w:p w14:paraId="387AA539">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最后报价扣除</w:t>
            </w:r>
          </w:p>
        </w:tc>
        <w:tc>
          <w:tcPr>
            <w:tcW w:w="6421" w:type="dxa"/>
            <w:vAlign w:val="center"/>
          </w:tcPr>
          <w:p w14:paraId="5DA5339A">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w:t>
            </w:r>
            <w:r>
              <w:rPr>
                <w:rFonts w:ascii="宋体" w:hAnsi="宋体" w:eastAsia="宋体"/>
                <w:b w:val="0"/>
                <w:color w:val="auto"/>
                <w:sz w:val="24"/>
              </w:rPr>
              <w:t>小型和微型</w:t>
            </w:r>
            <w:r>
              <w:rPr>
                <w:rFonts w:hint="eastAsia" w:ascii="宋体" w:hAnsi="宋体" w:eastAsia="宋体"/>
                <w:b w:val="0"/>
                <w:color w:val="auto"/>
                <w:sz w:val="24"/>
              </w:rPr>
              <w:t>企业价格扣除：</w:t>
            </w:r>
            <w:r>
              <w:rPr>
                <w:rFonts w:ascii="Times New Roman" w:hAnsi="Times New Roman" w:eastAsia="宋体" w:cs="Times New Roman"/>
                <w:color w:val="auto"/>
                <w:sz w:val="24"/>
                <w:u w:val="single"/>
              </w:rPr>
              <w:t>10</w:t>
            </w:r>
            <w:r>
              <w:rPr>
                <w:rFonts w:ascii="Times New Roman" w:hAnsi="Times New Roman" w:eastAsia="宋体" w:cs="Times New Roman"/>
                <w:color w:val="auto"/>
                <w:sz w:val="24"/>
              </w:rPr>
              <w:t>%</w:t>
            </w:r>
            <w:r>
              <w:rPr>
                <w:rFonts w:hint="eastAsia" w:ascii="宋体" w:hAnsi="宋体" w:eastAsia="宋体"/>
                <w:b w:val="0"/>
                <w:color w:val="auto"/>
                <w:sz w:val="24"/>
              </w:rPr>
              <w:t>。</w:t>
            </w:r>
          </w:p>
          <w:p w14:paraId="23411DC4">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（2）监狱企业价格扣除：同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43E4E67F">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（3）残疾人福利性单位价格扣除：同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4CD50821">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（4）符合条件的联合体价格扣除：</w:t>
            </w:r>
            <w:r>
              <w:rPr>
                <w:rFonts w:hint="eastAsia" w:ascii="宋体" w:hAnsi="宋体" w:eastAsia="宋体"/>
                <w:b w:val="0"/>
                <w:color w:val="auto"/>
                <w:sz w:val="24"/>
                <w:u w:val="single"/>
              </w:rPr>
              <w:t>/</w:t>
            </w:r>
            <w:r>
              <w:rPr>
                <w:rFonts w:hint="eastAsia" w:ascii="宋体" w:hAnsi="宋体" w:eastAsia="宋体"/>
                <w:b w:val="0"/>
                <w:color w:val="auto"/>
                <w:sz w:val="24"/>
              </w:rPr>
              <w:t>。</w:t>
            </w:r>
          </w:p>
          <w:p w14:paraId="615D62F6">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（5）符合条件的向小微企业分包的大中型企业价格扣除：</w:t>
            </w:r>
            <w:r>
              <w:rPr>
                <w:rFonts w:hint="eastAsia" w:ascii="宋体" w:hAnsi="宋体" w:eastAsia="宋体"/>
                <w:b w:val="0"/>
                <w:color w:val="auto"/>
                <w:sz w:val="24"/>
                <w:u w:val="single"/>
              </w:rPr>
              <w:t>/</w:t>
            </w:r>
            <w:r>
              <w:rPr>
                <w:rFonts w:hint="eastAsia" w:ascii="宋体" w:hAnsi="宋体" w:eastAsia="宋体"/>
                <w:b w:val="0"/>
                <w:color w:val="auto"/>
                <w:sz w:val="24"/>
              </w:rPr>
              <w:t>。</w:t>
            </w:r>
          </w:p>
        </w:tc>
      </w:tr>
      <w:tr w14:paraId="26AA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Merge w:val="restart"/>
            <w:vAlign w:val="center"/>
          </w:tcPr>
          <w:p w14:paraId="44BB1856">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19</w:t>
            </w:r>
            <w:r>
              <w:rPr>
                <w:rFonts w:ascii="宋体" w:hAnsi="宋体" w:eastAsia="宋体"/>
                <w:bCs/>
                <w:color w:val="auto"/>
                <w:kern w:val="2"/>
              </w:rPr>
              <w:t>.</w:t>
            </w:r>
            <w:r>
              <w:rPr>
                <w:rFonts w:hint="eastAsia" w:ascii="宋体" w:hAnsi="宋体" w:eastAsia="宋体"/>
                <w:bCs/>
                <w:color w:val="auto"/>
                <w:kern w:val="2"/>
              </w:rPr>
              <w:t>1</w:t>
            </w:r>
          </w:p>
        </w:tc>
        <w:tc>
          <w:tcPr>
            <w:tcW w:w="2240" w:type="dxa"/>
            <w:vMerge w:val="restart"/>
            <w:vAlign w:val="center"/>
          </w:tcPr>
          <w:p w14:paraId="4662E378">
            <w:pPr>
              <w:pStyle w:val="40"/>
              <w:widowControl w:val="0"/>
              <w:spacing w:before="0" w:beforeAutospacing="0" w:after="0" w:afterAutospacing="0" w:line="360" w:lineRule="auto"/>
              <w:jc w:val="both"/>
              <w:rPr>
                <w:rFonts w:ascii="宋体" w:hAnsi="宋体" w:eastAsia="宋体"/>
                <w:b w:val="0"/>
                <w:color w:val="auto"/>
                <w:sz w:val="24"/>
              </w:rPr>
            </w:pPr>
            <w:r>
              <w:rPr>
                <w:rFonts w:hint="eastAsia" w:asciiTheme="minorEastAsia" w:hAnsiTheme="minorEastAsia" w:eastAsiaTheme="minorEastAsia"/>
                <w:b w:val="0"/>
                <w:color w:val="auto"/>
                <w:sz w:val="24"/>
              </w:rPr>
              <w:t>确定成交候选供应商和成交供应商</w:t>
            </w:r>
          </w:p>
        </w:tc>
        <w:tc>
          <w:tcPr>
            <w:tcW w:w="6421" w:type="dxa"/>
            <w:vAlign w:val="center"/>
          </w:tcPr>
          <w:p w14:paraId="439E5C3E">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磋商小组推荐成交</w:t>
            </w:r>
            <w:r>
              <w:rPr>
                <w:rFonts w:ascii="宋体" w:hAnsi="宋体" w:eastAsia="宋体"/>
                <w:b w:val="0"/>
                <w:color w:val="auto"/>
                <w:sz w:val="24"/>
              </w:rPr>
              <w:t>候选</w:t>
            </w:r>
            <w:r>
              <w:rPr>
                <w:rFonts w:hint="eastAsia" w:ascii="宋体" w:hAnsi="宋体" w:eastAsia="宋体"/>
                <w:b w:val="0"/>
                <w:color w:val="auto"/>
                <w:sz w:val="24"/>
              </w:rPr>
              <w:t>供应商的</w:t>
            </w:r>
            <w:r>
              <w:rPr>
                <w:rFonts w:ascii="宋体" w:hAnsi="宋体" w:eastAsia="宋体"/>
                <w:b w:val="0"/>
                <w:color w:val="auto"/>
                <w:sz w:val="24"/>
              </w:rPr>
              <w:t>数</w:t>
            </w:r>
            <w:r>
              <w:rPr>
                <w:rFonts w:hint="eastAsia" w:ascii="宋体" w:hAnsi="宋体" w:eastAsia="宋体"/>
                <w:b w:val="0"/>
                <w:color w:val="auto"/>
                <w:sz w:val="24"/>
              </w:rPr>
              <w:t>量：3家</w:t>
            </w:r>
          </w:p>
          <w:p w14:paraId="02BE8EEA">
            <w:pPr>
              <w:pStyle w:val="40"/>
              <w:widowControl w:val="0"/>
              <w:spacing w:before="0" w:beforeAutospacing="0" w:after="0" w:afterAutospacing="0" w:line="360" w:lineRule="auto"/>
              <w:jc w:val="both"/>
              <w:rPr>
                <w:rFonts w:ascii="宋体" w:hAnsi="宋体" w:eastAsia="宋体"/>
                <w:b w:val="0"/>
                <w:color w:val="auto"/>
                <w:sz w:val="24"/>
                <w:u w:val="single"/>
              </w:rPr>
            </w:pPr>
            <w:r>
              <w:rPr>
                <w:rFonts w:hint="eastAsia" w:ascii="宋体" w:hAnsi="宋体" w:eastAsia="宋体"/>
                <w:b w:val="0"/>
                <w:color w:val="auto"/>
                <w:sz w:val="24"/>
              </w:rPr>
              <w:t>注：法律、法规另有规定的，从其规定</w:t>
            </w:r>
          </w:p>
        </w:tc>
      </w:tr>
      <w:tr w14:paraId="5CBC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Merge w:val="continue"/>
            <w:vAlign w:val="center"/>
          </w:tcPr>
          <w:p w14:paraId="41B26152">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p>
        </w:tc>
        <w:tc>
          <w:tcPr>
            <w:tcW w:w="2240" w:type="dxa"/>
            <w:vMerge w:val="continue"/>
            <w:vAlign w:val="center"/>
          </w:tcPr>
          <w:p w14:paraId="5CA7C8BF">
            <w:pPr>
              <w:pStyle w:val="40"/>
              <w:widowControl w:val="0"/>
              <w:spacing w:before="0" w:beforeAutospacing="0" w:after="0" w:afterAutospacing="0" w:line="360" w:lineRule="auto"/>
              <w:jc w:val="both"/>
              <w:rPr>
                <w:rFonts w:ascii="宋体" w:hAnsi="宋体" w:eastAsia="宋体"/>
                <w:b w:val="0"/>
                <w:color w:val="auto"/>
                <w:sz w:val="24"/>
              </w:rPr>
            </w:pPr>
          </w:p>
        </w:tc>
        <w:tc>
          <w:tcPr>
            <w:tcW w:w="6421" w:type="dxa"/>
            <w:vAlign w:val="center"/>
          </w:tcPr>
          <w:p w14:paraId="43B0F710">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确定成交供应商：</w:t>
            </w:r>
          </w:p>
          <w:p w14:paraId="61ECCC4F">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sym w:font="Wingdings" w:char="00A8"/>
            </w:r>
            <w:r>
              <w:rPr>
                <w:rFonts w:hint="eastAsia" w:ascii="宋体" w:hAnsi="宋体" w:eastAsia="宋体"/>
                <w:b w:val="0"/>
                <w:color w:val="auto"/>
                <w:sz w:val="24"/>
              </w:rPr>
              <w:t xml:space="preserve">采购人委托磋商小组确定 </w:t>
            </w:r>
            <w:r>
              <w:rPr>
                <w:rFonts w:ascii="宋体" w:hAnsi="宋体" w:eastAsia="宋体"/>
                <w:b w:val="0"/>
                <w:color w:val="auto"/>
                <w:sz w:val="24"/>
              </w:rPr>
              <w:t xml:space="preserve">   </w:t>
            </w:r>
            <w:r>
              <w:rPr>
                <w:rFonts w:hint="eastAsia" w:ascii="宋体" w:hAnsi="宋体" w:eastAsia="宋体"/>
                <w:b w:val="0"/>
                <w:color w:val="auto"/>
                <w:sz w:val="24"/>
              </w:rPr>
              <w:t xml:space="preserve"> ☑采购人确定</w:t>
            </w:r>
          </w:p>
        </w:tc>
      </w:tr>
      <w:tr w14:paraId="2FB6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5D52CF07">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22</w:t>
            </w:r>
            <w:r>
              <w:rPr>
                <w:rFonts w:ascii="宋体" w:hAnsi="宋体" w:eastAsia="宋体"/>
                <w:bCs/>
                <w:color w:val="auto"/>
                <w:kern w:val="2"/>
              </w:rPr>
              <w:t>.</w:t>
            </w:r>
            <w:r>
              <w:rPr>
                <w:rFonts w:hint="eastAsia" w:ascii="宋体" w:hAnsi="宋体" w:eastAsia="宋体"/>
                <w:bCs/>
                <w:color w:val="auto"/>
                <w:kern w:val="2"/>
              </w:rPr>
              <w:t>2</w:t>
            </w:r>
          </w:p>
        </w:tc>
        <w:tc>
          <w:tcPr>
            <w:tcW w:w="2240" w:type="dxa"/>
            <w:vAlign w:val="center"/>
          </w:tcPr>
          <w:p w14:paraId="1DF5752D">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随成交结果公告同时公告的内容</w:t>
            </w:r>
          </w:p>
        </w:tc>
        <w:tc>
          <w:tcPr>
            <w:tcW w:w="6421" w:type="dxa"/>
            <w:vAlign w:val="center"/>
          </w:tcPr>
          <w:p w14:paraId="0EF1A06D">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（1）中小企业声明函；</w:t>
            </w:r>
            <w:r>
              <w:rPr>
                <w:rFonts w:hint="eastAsia" w:ascii="宋体" w:hAnsi="宋体" w:eastAsia="宋体"/>
                <w:b w:val="0"/>
                <w:i/>
                <w:iCs/>
                <w:color w:val="auto"/>
                <w:sz w:val="24"/>
              </w:rPr>
              <w:t>（如有）</w:t>
            </w:r>
          </w:p>
          <w:p w14:paraId="39D8CA8C">
            <w:pPr>
              <w:pStyle w:val="40"/>
              <w:widowControl w:val="0"/>
              <w:spacing w:before="0" w:beforeAutospacing="0" w:after="0" w:afterAutospacing="0" w:line="360" w:lineRule="auto"/>
              <w:jc w:val="both"/>
              <w:rPr>
                <w:rFonts w:ascii="宋体" w:hAnsi="宋体" w:eastAsia="宋体"/>
                <w:b w:val="0"/>
                <w:i/>
                <w:color w:val="auto"/>
                <w:sz w:val="24"/>
              </w:rPr>
            </w:pPr>
            <w:r>
              <w:rPr>
                <w:rFonts w:hint="eastAsia" w:ascii="宋体" w:hAnsi="宋体" w:eastAsia="宋体"/>
                <w:b w:val="0"/>
                <w:color w:val="auto"/>
                <w:sz w:val="24"/>
              </w:rPr>
              <w:t>（2）残疾人福利性单位声明函；</w:t>
            </w:r>
            <w:r>
              <w:rPr>
                <w:rFonts w:hint="eastAsia" w:ascii="宋体" w:hAnsi="宋体" w:eastAsia="宋体"/>
                <w:b w:val="0"/>
                <w:i/>
                <w:iCs/>
                <w:color w:val="auto"/>
                <w:sz w:val="24"/>
              </w:rPr>
              <w:t>（如有）</w:t>
            </w:r>
          </w:p>
          <w:p w14:paraId="7BC58E3E">
            <w:pPr>
              <w:pStyle w:val="40"/>
              <w:widowControl w:val="0"/>
              <w:spacing w:before="0" w:beforeAutospacing="0" w:after="0" w:afterAutospacing="0" w:line="360" w:lineRule="auto"/>
              <w:jc w:val="both"/>
              <w:rPr>
                <w:rFonts w:ascii="宋体" w:hAnsi="宋体" w:eastAsia="宋体"/>
                <w:b w:val="0"/>
                <w:bCs w:val="0"/>
                <w:color w:val="auto"/>
                <w:sz w:val="24"/>
                <w:szCs w:val="24"/>
              </w:rPr>
            </w:pPr>
            <w:r>
              <w:rPr>
                <w:rFonts w:hint="eastAsia" w:ascii="宋体" w:hAnsi="宋体" w:eastAsia="宋体"/>
                <w:b w:val="0"/>
                <w:color w:val="auto"/>
                <w:sz w:val="24"/>
              </w:rPr>
              <w:t>（3）中标（成交）供应商的评审总得分；</w:t>
            </w:r>
          </w:p>
        </w:tc>
      </w:tr>
      <w:tr w14:paraId="18C6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38B6F903">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23</w:t>
            </w:r>
            <w:r>
              <w:rPr>
                <w:rFonts w:ascii="宋体" w:hAnsi="宋体" w:eastAsia="宋体"/>
                <w:bCs/>
                <w:color w:val="auto"/>
                <w:kern w:val="2"/>
              </w:rPr>
              <w:t>.1</w:t>
            </w:r>
          </w:p>
        </w:tc>
        <w:tc>
          <w:tcPr>
            <w:tcW w:w="2240" w:type="dxa"/>
            <w:vAlign w:val="center"/>
          </w:tcPr>
          <w:p w14:paraId="112A13D1">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成交通知书发出的形式</w:t>
            </w:r>
          </w:p>
        </w:tc>
        <w:tc>
          <w:tcPr>
            <w:tcW w:w="6421" w:type="dxa"/>
            <w:vAlign w:val="center"/>
          </w:tcPr>
          <w:p w14:paraId="2BE9C987">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 xml:space="preserve">□书面 </w:t>
            </w:r>
            <w:r>
              <w:rPr>
                <w:rFonts w:ascii="宋体" w:hAnsi="宋体" w:eastAsia="宋体"/>
                <w:b w:val="0"/>
                <w:color w:val="auto"/>
                <w:sz w:val="24"/>
              </w:rPr>
              <w:t xml:space="preserve">    </w:t>
            </w:r>
            <w:r>
              <w:rPr>
                <w:rFonts w:hint="eastAsia" w:ascii="宋体" w:hAnsi="宋体" w:eastAsia="宋体"/>
                <w:b w:val="0"/>
                <w:bCs w:val="0"/>
                <w:color w:val="auto"/>
                <w:sz w:val="24"/>
                <w:szCs w:val="24"/>
              </w:rPr>
              <w:sym w:font="Wingdings" w:char="00FE"/>
            </w:r>
            <w:r>
              <w:rPr>
                <w:rFonts w:hint="eastAsia" w:ascii="宋体" w:hAnsi="宋体" w:eastAsia="宋体"/>
                <w:b w:val="0"/>
                <w:color w:val="auto"/>
                <w:sz w:val="24"/>
              </w:rPr>
              <w:t>数据电文</w:t>
            </w:r>
          </w:p>
        </w:tc>
      </w:tr>
      <w:tr w14:paraId="4D81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27C680E0">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24</w:t>
            </w:r>
            <w:r>
              <w:rPr>
                <w:rFonts w:ascii="宋体" w:hAnsi="宋体" w:eastAsia="宋体"/>
                <w:bCs/>
                <w:color w:val="auto"/>
                <w:kern w:val="2"/>
              </w:rPr>
              <w:t>.1</w:t>
            </w:r>
          </w:p>
        </w:tc>
        <w:tc>
          <w:tcPr>
            <w:tcW w:w="2240" w:type="dxa"/>
            <w:vAlign w:val="center"/>
          </w:tcPr>
          <w:p w14:paraId="64408387">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告知磋商结果的形式</w:t>
            </w:r>
          </w:p>
        </w:tc>
        <w:tc>
          <w:tcPr>
            <w:tcW w:w="6421" w:type="dxa"/>
            <w:vAlign w:val="center"/>
          </w:tcPr>
          <w:p w14:paraId="5580ED94">
            <w:pPr>
              <w:pStyle w:val="40"/>
              <w:widowControl w:val="0"/>
              <w:spacing w:before="0" w:beforeAutospacing="0" w:after="0" w:afterAutospacing="0" w:line="360" w:lineRule="auto"/>
              <w:jc w:val="both"/>
              <w:rPr>
                <w:rFonts w:ascii="宋体" w:hAnsi="宋体" w:eastAsia="宋体"/>
                <w:b w:val="0"/>
                <w:bCs w:val="0"/>
                <w:color w:val="auto"/>
                <w:sz w:val="24"/>
                <w:szCs w:val="24"/>
              </w:rPr>
            </w:pPr>
            <w:r>
              <w:rPr>
                <w:rFonts w:hint="eastAsia" w:ascii="宋体" w:hAnsi="宋体" w:eastAsia="宋体"/>
                <w:b w:val="0"/>
                <w:bCs w:val="0"/>
                <w:color w:val="auto"/>
                <w:sz w:val="24"/>
                <w:szCs w:val="24"/>
              </w:rPr>
              <w:sym w:font="Wingdings" w:char="00FE"/>
            </w:r>
            <w:r>
              <w:rPr>
                <w:rFonts w:hint="eastAsia" w:ascii="宋体" w:hAnsi="宋体" w:eastAsia="宋体"/>
                <w:b w:val="0"/>
                <w:bCs w:val="0"/>
                <w:color w:val="auto"/>
                <w:sz w:val="24"/>
                <w:szCs w:val="24"/>
              </w:rPr>
              <w:t>供应商自行登录电子</w:t>
            </w:r>
            <w:r>
              <w:rPr>
                <w:rFonts w:hint="eastAsia" w:ascii="宋体" w:hAnsi="宋体" w:eastAsia="宋体" w:cs="宋体"/>
                <w:b w:val="0"/>
                <w:bCs w:val="0"/>
                <w:color w:val="auto"/>
                <w:sz w:val="24"/>
                <w:szCs w:val="24"/>
              </w:rPr>
              <w:t>交易</w:t>
            </w:r>
            <w:r>
              <w:rPr>
                <w:rFonts w:hint="eastAsia" w:ascii="宋体" w:hAnsi="宋体" w:eastAsia="宋体"/>
                <w:b w:val="0"/>
                <w:bCs w:val="0"/>
                <w:color w:val="auto"/>
                <w:sz w:val="24"/>
                <w:szCs w:val="24"/>
              </w:rPr>
              <w:t>系统查看</w:t>
            </w:r>
          </w:p>
          <w:p w14:paraId="03E5D3CD">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□磋商现场告知</w:t>
            </w:r>
          </w:p>
        </w:tc>
      </w:tr>
      <w:tr w14:paraId="2A52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2E5FBD3C">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25</w:t>
            </w:r>
            <w:r>
              <w:rPr>
                <w:rFonts w:ascii="宋体" w:hAnsi="宋体" w:eastAsia="宋体"/>
                <w:bCs/>
                <w:color w:val="auto"/>
                <w:kern w:val="2"/>
              </w:rPr>
              <w:t>.1</w:t>
            </w:r>
          </w:p>
        </w:tc>
        <w:tc>
          <w:tcPr>
            <w:tcW w:w="2240" w:type="dxa"/>
            <w:vAlign w:val="center"/>
          </w:tcPr>
          <w:p w14:paraId="0882209C">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履约保证金</w:t>
            </w:r>
          </w:p>
        </w:tc>
        <w:tc>
          <w:tcPr>
            <w:tcW w:w="6421" w:type="dxa"/>
          </w:tcPr>
          <w:p w14:paraId="5F6AD1E4">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（1）金额：</w:t>
            </w:r>
          </w:p>
          <w:p w14:paraId="59F7326B">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各包</w:t>
            </w:r>
            <w:r>
              <w:rPr>
                <w:rFonts w:hint="eastAsia" w:ascii="宋体" w:hAnsi="宋体" w:eastAsia="宋体" w:cs="宋体"/>
                <w:bCs/>
                <w:color w:val="auto"/>
                <w:kern w:val="0"/>
                <w:sz w:val="24"/>
                <w:szCs w:val="24"/>
                <w:highlight w:val="none"/>
              </w:rPr>
              <w:t>合同价的</w:t>
            </w:r>
            <w:r>
              <w:rPr>
                <w:rFonts w:hint="eastAsia" w:ascii="宋体" w:hAnsi="宋体" w:eastAsia="宋体" w:cs="宋体"/>
                <w:bCs/>
                <w:color w:val="auto"/>
                <w:kern w:val="0"/>
                <w:sz w:val="24"/>
                <w:szCs w:val="24"/>
                <w:highlight w:val="none"/>
                <w:u w:val="single"/>
              </w:rPr>
              <w:t>2.5</w:t>
            </w:r>
            <w:r>
              <w:rPr>
                <w:rFonts w:hint="eastAsia" w:ascii="宋体" w:hAnsi="宋体" w:eastAsia="宋体" w:cs="宋体"/>
                <w:bCs/>
                <w:color w:val="auto"/>
                <w:kern w:val="0"/>
                <w:sz w:val="24"/>
                <w:szCs w:val="24"/>
                <w:highlight w:val="none"/>
              </w:rPr>
              <w:t>%</w:t>
            </w:r>
          </w:p>
          <w:p w14:paraId="6005D729">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（2）支付方式：</w:t>
            </w:r>
          </w:p>
          <w:p w14:paraId="05248E86">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转账/电汇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支票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汇票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本票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保险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保函</w:t>
            </w:r>
          </w:p>
          <w:p w14:paraId="26545A83">
            <w:pPr>
              <w:spacing w:line="360" w:lineRule="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（3）收取单位：</w:t>
            </w:r>
            <w:r>
              <w:rPr>
                <w:rFonts w:hint="eastAsia" w:ascii="宋体" w:hAnsi="宋体" w:eastAsia="宋体" w:cs="宋体"/>
                <w:b/>
                <w:color w:val="auto"/>
                <w:kern w:val="0"/>
                <w:sz w:val="24"/>
                <w:szCs w:val="24"/>
                <w:highlight w:val="none"/>
                <w:u w:val="single"/>
              </w:rPr>
              <w:t>本项目为统采分签项目，供应商成交后，履约保证金由各合同甲方分别收取</w:t>
            </w:r>
          </w:p>
          <w:p w14:paraId="4FD0BD59">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（4）收取账号：</w:t>
            </w:r>
            <w:r>
              <w:rPr>
                <w:rFonts w:hint="eastAsia" w:ascii="宋体" w:hAnsi="宋体" w:eastAsia="宋体" w:cs="宋体"/>
                <w:bCs/>
                <w:color w:val="auto"/>
                <w:kern w:val="0"/>
                <w:sz w:val="24"/>
                <w:szCs w:val="24"/>
                <w:highlight w:val="none"/>
                <w:u w:val="single"/>
              </w:rPr>
              <w:t>成交后提供</w:t>
            </w:r>
          </w:p>
          <w:p w14:paraId="6737C245">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（5）</w:t>
            </w:r>
            <w:r>
              <w:rPr>
                <w:rFonts w:hint="eastAsia" w:ascii="宋体" w:hAnsi="宋体" w:eastAsia="宋体" w:cs="宋体"/>
                <w:color w:val="auto"/>
                <w:sz w:val="24"/>
                <w:szCs w:val="24"/>
                <w:highlight w:val="none"/>
              </w:rPr>
              <w:t>退还时间：</w:t>
            </w:r>
            <w:bookmarkStart w:id="55" w:name="_Hlk190701813"/>
            <w:r>
              <w:rPr>
                <w:rFonts w:hint="eastAsia" w:ascii="宋体" w:hAnsi="宋体" w:eastAsia="宋体" w:cs="宋体"/>
                <w:color w:val="auto"/>
                <w:sz w:val="24"/>
                <w:szCs w:val="24"/>
                <w:highlight w:val="none"/>
                <w:u w:val="single"/>
              </w:rPr>
              <w:t>履约保证金在合同生效之日起至项目验收合格前一直有效，通过验收后经乙方申请，合同甲方审核确认后按规定及时内将履约保证金款项退还给乙方或者解除履约担保。</w:t>
            </w:r>
            <w:bookmarkEnd w:id="55"/>
          </w:p>
          <w:p w14:paraId="285F5A2A">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1630F850">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620B34D1">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72A01FC5">
            <w:pPr>
              <w:pStyle w:val="40"/>
              <w:widowControl w:val="0"/>
              <w:spacing w:before="0" w:beforeAutospacing="0" w:after="0" w:afterAutospacing="0" w:line="360" w:lineRule="auto"/>
              <w:jc w:val="both"/>
              <w:rPr>
                <w:rFonts w:ascii="宋体" w:hAnsi="宋体" w:eastAsia="宋体"/>
                <w:color w:val="auto"/>
                <w:sz w:val="24"/>
              </w:rPr>
            </w:pPr>
            <w:r>
              <w:rPr>
                <w:rFonts w:hint="eastAsia" w:ascii="宋体" w:hAnsi="宋体" w:eastAsia="宋体" w:cs="宋体"/>
                <w:bCs w:val="0"/>
                <w:color w:val="auto"/>
                <w:sz w:val="24"/>
                <w:szCs w:val="24"/>
                <w:highlight w:val="none"/>
              </w:rPr>
              <w:t>（2）以担保函、保证保险形式缴纳履约保证金的，受益人和收取单位须为合同甲方。</w:t>
            </w:r>
          </w:p>
        </w:tc>
      </w:tr>
      <w:tr w14:paraId="410E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76CBC932">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26</w:t>
            </w:r>
            <w:r>
              <w:rPr>
                <w:rFonts w:ascii="宋体" w:hAnsi="宋体" w:eastAsia="宋体"/>
                <w:bCs/>
                <w:color w:val="auto"/>
                <w:kern w:val="2"/>
              </w:rPr>
              <w:t>.1</w:t>
            </w:r>
          </w:p>
        </w:tc>
        <w:tc>
          <w:tcPr>
            <w:tcW w:w="2240" w:type="dxa"/>
            <w:vAlign w:val="center"/>
          </w:tcPr>
          <w:p w14:paraId="4F866024">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代理费用</w:t>
            </w:r>
          </w:p>
        </w:tc>
        <w:tc>
          <w:tcPr>
            <w:tcW w:w="6421" w:type="dxa"/>
            <w:vAlign w:val="center"/>
          </w:tcPr>
          <w:p w14:paraId="58454878">
            <w:pPr>
              <w:spacing w:before="39" w:line="360" w:lineRule="auto"/>
              <w:rPr>
                <w:rFonts w:ascii="宋体" w:hAnsi="宋体" w:eastAsia="宋体" w:cs="宋体"/>
                <w:color w:val="auto"/>
                <w:sz w:val="24"/>
                <w:szCs w:val="24"/>
              </w:rPr>
            </w:pPr>
            <w:r>
              <w:rPr>
                <w:rFonts w:hint="eastAsia" w:ascii="宋体" w:hAnsi="宋体" w:eastAsia="宋体"/>
                <w:bCs/>
                <w:color w:val="auto"/>
                <w:kern w:val="0"/>
                <w:sz w:val="24"/>
                <w:szCs w:val="28"/>
              </w:rPr>
              <w:t>（1）</w:t>
            </w:r>
            <w:r>
              <w:rPr>
                <w:rFonts w:ascii="宋体" w:hAnsi="宋体" w:eastAsia="宋体"/>
                <w:bCs/>
                <w:color w:val="auto"/>
                <w:kern w:val="0"/>
                <w:sz w:val="24"/>
                <w:szCs w:val="28"/>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rPr>
              <w:t xml:space="preserve">   </w:t>
            </w:r>
            <w:r>
              <w:rPr>
                <w:rFonts w:hint="eastAsia" w:ascii="宋体" w:hAnsi="宋体" w:eastAsia="宋体"/>
                <w:bCs/>
                <w:color w:val="auto"/>
                <w:kern w:val="0"/>
                <w:sz w:val="24"/>
                <w:szCs w:val="28"/>
              </w:rPr>
              <w:sym w:font="Wingdings" w:char="00FE"/>
            </w:r>
            <w:r>
              <w:rPr>
                <w:rFonts w:hint="eastAsia" w:ascii="宋体" w:hAnsi="宋体" w:eastAsia="宋体" w:cs="宋体"/>
                <w:color w:val="auto"/>
                <w:spacing w:val="14"/>
                <w:sz w:val="24"/>
                <w:szCs w:val="24"/>
              </w:rPr>
              <w:t>成交供应商</w:t>
            </w:r>
          </w:p>
          <w:p w14:paraId="60FD8D51">
            <w:pPr>
              <w:spacing w:before="24"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w:t>
            </w:r>
            <w:r>
              <w:rPr>
                <w:rFonts w:ascii="宋体" w:hAnsi="宋体" w:eastAsia="宋体"/>
                <w:bCs/>
                <w:color w:val="auto"/>
                <w:kern w:val="0"/>
                <w:sz w:val="24"/>
                <w:szCs w:val="28"/>
              </w:rPr>
              <w:t>收取方式</w:t>
            </w:r>
            <w:r>
              <w:rPr>
                <w:rFonts w:ascii="宋体" w:hAnsi="宋体" w:eastAsia="宋体" w:cs="宋体"/>
                <w:color w:val="auto"/>
                <w:sz w:val="24"/>
                <w:szCs w:val="24"/>
              </w:rPr>
              <w:t>：</w:t>
            </w:r>
            <w:r>
              <w:rPr>
                <w:rFonts w:hint="eastAsia" w:ascii="Times New Roman" w:hAnsi="Times New Roman" w:eastAsia="宋体" w:cs="Times New Roman"/>
                <w:color w:val="auto"/>
                <w:kern w:val="0"/>
                <w:sz w:val="24"/>
                <w:szCs w:val="24"/>
              </w:rPr>
              <w:t>转账/电汇</w:t>
            </w:r>
          </w:p>
          <w:p w14:paraId="7CEE7650">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bCs w:val="0"/>
                <w:color w:val="auto"/>
                <w:sz w:val="24"/>
              </w:rPr>
              <w:t>（3）</w:t>
            </w:r>
            <w:r>
              <w:rPr>
                <w:rFonts w:ascii="宋体" w:hAnsi="宋体" w:eastAsia="宋体"/>
                <w:b w:val="0"/>
                <w:color w:val="auto"/>
                <w:sz w:val="24"/>
              </w:rPr>
              <w:t>收费标准</w:t>
            </w:r>
            <w:r>
              <w:rPr>
                <w:rFonts w:ascii="Times New Roman" w:hAnsi="Times New Roman" w:eastAsia="宋体" w:cs="Times New Roman"/>
                <w:b w:val="0"/>
                <w:bCs w:val="0"/>
                <w:color w:val="auto"/>
                <w:sz w:val="24"/>
                <w:szCs w:val="24"/>
              </w:rPr>
              <w:t>：代理服务费</w:t>
            </w:r>
            <w:r>
              <w:rPr>
                <w:rFonts w:hint="eastAsia" w:ascii="Times New Roman" w:hAnsi="Times New Roman" w:eastAsia="宋体" w:cs="Times New Roman"/>
                <w:b w:val="0"/>
                <w:bCs w:val="0"/>
                <w:color w:val="auto"/>
                <w:sz w:val="24"/>
                <w:szCs w:val="24"/>
              </w:rPr>
              <w:t>金额为人民币壹万柒仟</w:t>
            </w:r>
            <w:r>
              <w:rPr>
                <w:rFonts w:ascii="Times New Roman" w:hAnsi="Times New Roman" w:eastAsia="宋体" w:cs="Times New Roman"/>
                <w:b w:val="0"/>
                <w:bCs w:val="0"/>
                <w:color w:val="auto"/>
                <w:sz w:val="24"/>
                <w:szCs w:val="24"/>
              </w:rPr>
              <w:t>元整，包含在</w:t>
            </w:r>
            <w:r>
              <w:rPr>
                <w:rFonts w:hint="eastAsia" w:ascii="Times New Roman" w:hAnsi="Times New Roman" w:eastAsia="宋体" w:cs="Times New Roman"/>
                <w:b w:val="0"/>
                <w:bCs w:val="0"/>
                <w:color w:val="auto"/>
                <w:sz w:val="24"/>
                <w:szCs w:val="24"/>
              </w:rPr>
              <w:t>投标</w:t>
            </w:r>
            <w:r>
              <w:rPr>
                <w:rFonts w:ascii="Times New Roman" w:hAnsi="Times New Roman" w:eastAsia="宋体" w:cs="Times New Roman"/>
                <w:b w:val="0"/>
                <w:bCs w:val="0"/>
                <w:color w:val="auto"/>
                <w:sz w:val="24"/>
                <w:szCs w:val="24"/>
              </w:rPr>
              <w:t>报价中，不单独列项。</w:t>
            </w:r>
          </w:p>
        </w:tc>
      </w:tr>
      <w:tr w14:paraId="2168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465DAE68">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27.1</w:t>
            </w:r>
          </w:p>
        </w:tc>
        <w:tc>
          <w:tcPr>
            <w:tcW w:w="2240" w:type="dxa"/>
            <w:vAlign w:val="center"/>
          </w:tcPr>
          <w:p w14:paraId="2AEDD8E2">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签订合同和合同公告时间</w:t>
            </w:r>
          </w:p>
        </w:tc>
        <w:tc>
          <w:tcPr>
            <w:tcW w:w="6421" w:type="dxa"/>
            <w:vAlign w:val="center"/>
          </w:tcPr>
          <w:p w14:paraId="16EA635F">
            <w:pPr>
              <w:pStyle w:val="40"/>
              <w:widowControl w:val="0"/>
              <w:spacing w:before="0" w:beforeAutospacing="0" w:after="0" w:afterAutospacing="0" w:line="360" w:lineRule="auto"/>
              <w:jc w:val="both"/>
              <w:rPr>
                <w:rFonts w:ascii="宋体" w:hAnsi="宋体" w:eastAsia="宋体"/>
                <w:bCs w:val="0"/>
                <w:color w:val="auto"/>
                <w:sz w:val="24"/>
              </w:rPr>
            </w:pPr>
            <w:r>
              <w:rPr>
                <w:rFonts w:hint="eastAsia" w:ascii="宋体" w:hAnsi="宋体" w:eastAsia="宋体"/>
                <w:bCs w:val="0"/>
                <w:color w:val="auto"/>
                <w:sz w:val="24"/>
              </w:rPr>
              <w:t>（1）本项目为统采分签项目，由安徽省淮河河道管理局作为采购人统一组织采购，成交后成交人分别与安徽省淮河河道管理局、</w:t>
            </w:r>
            <w:r>
              <w:rPr>
                <w:rFonts w:hint="eastAsia" w:ascii="宋体" w:hAnsi="宋体" w:eastAsia="宋体"/>
                <w:bCs w:val="0"/>
                <w:color w:val="auto"/>
                <w:sz w:val="24"/>
                <w:lang w:eastAsia="zh-CN"/>
              </w:rPr>
              <w:t>安徽省临淮岗洪水控制工程管理局</w:t>
            </w:r>
            <w:r>
              <w:rPr>
                <w:rFonts w:hint="eastAsia" w:ascii="宋体" w:hAnsi="宋体" w:eastAsia="宋体"/>
                <w:bCs w:val="0"/>
                <w:color w:val="auto"/>
                <w:sz w:val="24"/>
              </w:rPr>
              <w:t>签订合同。</w:t>
            </w:r>
          </w:p>
          <w:p w14:paraId="533818A0">
            <w:pPr>
              <w:pStyle w:val="40"/>
              <w:widowControl w:val="0"/>
              <w:spacing w:before="0" w:beforeAutospacing="0" w:after="0" w:afterAutospacing="0" w:line="360" w:lineRule="auto"/>
              <w:jc w:val="both"/>
              <w:rPr>
                <w:rFonts w:ascii="宋体" w:hAnsi="宋体" w:eastAsia="宋体"/>
                <w:bCs w:val="0"/>
                <w:color w:val="auto"/>
                <w:sz w:val="24"/>
              </w:rPr>
            </w:pPr>
            <w:r>
              <w:rPr>
                <w:rFonts w:ascii="宋体" w:hAnsi="宋体" w:eastAsia="宋体" w:cs="宋体"/>
                <w:bCs w:val="0"/>
                <w:color w:val="auto"/>
                <w:sz w:val="24"/>
                <w:szCs w:val="24"/>
              </w:rPr>
              <w:t>（2）</w:t>
            </w:r>
            <w:r>
              <w:rPr>
                <w:rFonts w:hint="eastAsia" w:ascii="宋体" w:hAnsi="宋体" w:eastAsia="宋体"/>
                <w:bCs w:val="0"/>
                <w:color w:val="auto"/>
                <w:sz w:val="24"/>
              </w:rPr>
              <w:t>各合同甲方与成交供应商应当自发出成交通知书之日起7个工作日内签订合同，采购合同签订之日起2个工作日内完成政府采购合同公开。</w:t>
            </w:r>
          </w:p>
          <w:p w14:paraId="02C9C5A8">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Cs w:val="0"/>
                <w:color w:val="auto"/>
                <w:sz w:val="24"/>
                <w:szCs w:val="24"/>
              </w:rPr>
              <w:t>（3）各合同甲方</w:t>
            </w:r>
            <w:r>
              <w:rPr>
                <w:rFonts w:ascii="宋体" w:hAnsi="宋体" w:eastAsia="宋体" w:cs="宋体"/>
                <w:bCs w:val="0"/>
                <w:color w:val="auto"/>
                <w:sz w:val="24"/>
                <w:szCs w:val="24"/>
              </w:rPr>
              <w:t>与</w:t>
            </w:r>
            <w:r>
              <w:rPr>
                <w:rFonts w:hint="eastAsia" w:ascii="宋体" w:hAnsi="宋体" w:eastAsia="宋体"/>
                <w:bCs w:val="0"/>
                <w:color w:val="auto"/>
                <w:sz w:val="24"/>
              </w:rPr>
              <w:t>成交供应商</w:t>
            </w:r>
            <w:r>
              <w:rPr>
                <w:rFonts w:ascii="宋体" w:hAnsi="宋体" w:eastAsia="宋体" w:cs="宋体"/>
                <w:color w:val="auto"/>
                <w:sz w:val="24"/>
                <w:szCs w:val="24"/>
              </w:rPr>
              <w:t>不得擅自变更合同，依照政府采购法确需变更政府采购合同内容的，</w:t>
            </w:r>
            <w:r>
              <w:rPr>
                <w:rFonts w:hint="eastAsia" w:ascii="宋体" w:hAnsi="宋体" w:eastAsia="宋体" w:cs="宋体"/>
                <w:color w:val="auto"/>
                <w:sz w:val="24"/>
                <w:szCs w:val="24"/>
              </w:rPr>
              <w:t>各合同甲方</w:t>
            </w:r>
            <w:r>
              <w:rPr>
                <w:rFonts w:ascii="宋体" w:hAnsi="宋体" w:eastAsia="宋体" w:cs="宋体"/>
                <w:color w:val="auto"/>
                <w:sz w:val="24"/>
                <w:szCs w:val="24"/>
              </w:rPr>
              <w:t>应当自合同变更之日起2个工作日内在安徽省政府采购网发布政府采购合同变更公告，但涉及国家秘密、商业秘密的信息和其他依法不得公开的信息除外。</w:t>
            </w:r>
          </w:p>
        </w:tc>
      </w:tr>
      <w:tr w14:paraId="2B87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4B02F421">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29.3</w:t>
            </w:r>
          </w:p>
        </w:tc>
        <w:tc>
          <w:tcPr>
            <w:tcW w:w="2240" w:type="dxa"/>
            <w:vAlign w:val="center"/>
          </w:tcPr>
          <w:p w14:paraId="41756A5C">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质疑函递交方式、接收部门、联系电话和通讯地址</w:t>
            </w:r>
          </w:p>
        </w:tc>
        <w:tc>
          <w:tcPr>
            <w:tcW w:w="6421" w:type="dxa"/>
            <w:vAlign w:val="center"/>
          </w:tcPr>
          <w:p w14:paraId="6EB8D957">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递交方式：“徽采云”电子交易系统</w:t>
            </w:r>
          </w:p>
          <w:p w14:paraId="487866FD">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接收部门：安徽省淮河河道管理局</w:t>
            </w:r>
          </w:p>
          <w:p w14:paraId="41031871">
            <w:pPr>
              <w:pStyle w:val="40"/>
              <w:widowControl w:val="0"/>
              <w:spacing w:before="0" w:beforeAutospacing="0" w:after="0" w:afterAutospacing="0" w:line="360" w:lineRule="auto"/>
              <w:jc w:val="both"/>
              <w:rPr>
                <w:rFonts w:ascii="宋体" w:hAnsi="宋体" w:eastAsia="宋体"/>
                <w:b w:val="0"/>
                <w:color w:val="auto"/>
                <w:sz w:val="24"/>
              </w:rPr>
            </w:pPr>
            <w:r>
              <w:rPr>
                <w:rFonts w:ascii="宋体" w:hAnsi="宋体" w:eastAsia="宋体"/>
                <w:b w:val="0"/>
                <w:color w:val="auto"/>
                <w:sz w:val="24"/>
              </w:rPr>
              <w:t>联系电话：</w:t>
            </w:r>
            <w:r>
              <w:rPr>
                <w:rFonts w:hint="eastAsia" w:ascii="宋体" w:hAnsi="宋体" w:eastAsia="宋体"/>
                <w:b w:val="0"/>
                <w:color w:val="auto"/>
                <w:sz w:val="24"/>
              </w:rPr>
              <w:t>0552-3918027</w:t>
            </w:r>
          </w:p>
          <w:p w14:paraId="657D3AE0">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通讯地址：安徽省蚌埠市解放一路116号</w:t>
            </w:r>
          </w:p>
        </w:tc>
      </w:tr>
      <w:tr w14:paraId="5AAF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 w:type="dxa"/>
            <w:vAlign w:val="center"/>
          </w:tcPr>
          <w:p w14:paraId="26E32E4C">
            <w:pPr>
              <w:pStyle w:val="41"/>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yellow"/>
              </w:rPr>
            </w:pPr>
            <w:r>
              <w:rPr>
                <w:rFonts w:hint="eastAsia" w:ascii="宋体" w:hAnsi="宋体" w:eastAsia="宋体"/>
                <w:bCs/>
                <w:color w:val="auto"/>
                <w:kern w:val="2"/>
              </w:rPr>
              <w:t>30</w:t>
            </w:r>
          </w:p>
        </w:tc>
        <w:tc>
          <w:tcPr>
            <w:tcW w:w="2240" w:type="dxa"/>
            <w:vAlign w:val="center"/>
          </w:tcPr>
          <w:p w14:paraId="0F038B7B">
            <w:pPr>
              <w:pStyle w:val="40"/>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其他内容</w:t>
            </w:r>
          </w:p>
        </w:tc>
        <w:tc>
          <w:tcPr>
            <w:tcW w:w="6421" w:type="dxa"/>
            <w:vAlign w:val="center"/>
          </w:tcPr>
          <w:p w14:paraId="2803F1FB">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1.解释权</w:t>
            </w:r>
          </w:p>
          <w:p w14:paraId="5E2C7C42">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r>
              <w:rPr>
                <w:rFonts w:asciiTheme="minorEastAsia" w:hAnsiTheme="minorEastAsia" w:eastAsiaTheme="minorEastAsia"/>
                <w:bCs/>
                <w:color w:val="auto"/>
                <w:sz w:val="24"/>
                <w:szCs w:val="24"/>
              </w:rPr>
              <w:t>构成本</w:t>
            </w:r>
            <w:r>
              <w:rPr>
                <w:rFonts w:hint="eastAsia" w:asciiTheme="minorEastAsia" w:hAnsiTheme="minorEastAsia" w:eastAsiaTheme="minorEastAsia"/>
                <w:bCs/>
                <w:color w:val="auto"/>
                <w:sz w:val="24"/>
                <w:szCs w:val="24"/>
              </w:rPr>
              <w:t>磋商</w:t>
            </w:r>
            <w:r>
              <w:rPr>
                <w:rFonts w:asciiTheme="minorEastAsia" w:hAnsiTheme="minorEastAsia" w:eastAsiaTheme="minorEastAsia"/>
                <w:bCs/>
                <w:color w:val="auto"/>
                <w:sz w:val="24"/>
                <w:szCs w:val="24"/>
              </w:rPr>
              <w:t>文件的各个组成文件应互为解释，互为说明；</w:t>
            </w:r>
          </w:p>
          <w:p w14:paraId="151E3FC2">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w:t>
            </w:r>
            <w:r>
              <w:rPr>
                <w:rFonts w:asciiTheme="minorEastAsia" w:hAnsiTheme="minorEastAsia" w:eastAsiaTheme="minorEastAsia"/>
                <w:bCs/>
                <w:color w:val="auto"/>
                <w:sz w:val="24"/>
                <w:szCs w:val="24"/>
              </w:rPr>
              <w:t>同一组成文件中就同一事项的规定或约定不一致的，以编排顺序在后者为准；</w:t>
            </w:r>
          </w:p>
          <w:p w14:paraId="14037C20">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r>
              <w:rPr>
                <w:rFonts w:asciiTheme="minorEastAsia" w:hAnsiTheme="minorEastAsia" w:eastAsiaTheme="minorEastAsia"/>
                <w:bCs/>
                <w:color w:val="auto"/>
                <w:sz w:val="24"/>
                <w:szCs w:val="24"/>
              </w:rPr>
              <w:t>如有不明确或不一致，构成合同文件组成内容的，以合同文件约定内容为准，且以专用合同条款约定的合同文件优先顺序解释；</w:t>
            </w:r>
          </w:p>
          <w:p w14:paraId="357236A4">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（4）</w:t>
            </w:r>
            <w:r>
              <w:rPr>
                <w:rFonts w:asciiTheme="minorEastAsia" w:hAnsiTheme="minorEastAsia" w:eastAsiaTheme="minorEastAsia"/>
                <w:bCs/>
                <w:color w:val="auto"/>
                <w:sz w:val="24"/>
                <w:szCs w:val="24"/>
              </w:rPr>
              <w:t>除</w:t>
            </w:r>
            <w:r>
              <w:rPr>
                <w:rFonts w:hint="eastAsia" w:asciiTheme="minorEastAsia" w:hAnsiTheme="minorEastAsia" w:eastAsiaTheme="minorEastAsia"/>
                <w:bCs/>
                <w:color w:val="auto"/>
                <w:sz w:val="24"/>
                <w:szCs w:val="24"/>
              </w:rPr>
              <w:t>磋商</w:t>
            </w:r>
            <w:r>
              <w:rPr>
                <w:rFonts w:asciiTheme="minorEastAsia" w:hAnsiTheme="minorEastAsia" w:eastAsiaTheme="minorEastAsia"/>
                <w:bCs/>
                <w:color w:val="auto"/>
                <w:sz w:val="24"/>
                <w:szCs w:val="24"/>
              </w:rPr>
              <w:t>文件中有特别规定外，仅适用于</w:t>
            </w:r>
            <w:r>
              <w:rPr>
                <w:rFonts w:hint="eastAsia" w:asciiTheme="minorEastAsia" w:hAnsiTheme="minorEastAsia" w:eastAsiaTheme="minorEastAsia"/>
                <w:bCs/>
                <w:color w:val="auto"/>
                <w:sz w:val="24"/>
                <w:szCs w:val="24"/>
              </w:rPr>
              <w:t>磋商及响应文件提交</w:t>
            </w:r>
            <w:r>
              <w:rPr>
                <w:rFonts w:asciiTheme="minorEastAsia" w:hAnsiTheme="minorEastAsia" w:eastAsiaTheme="minorEastAsia"/>
                <w:bCs/>
                <w:color w:val="auto"/>
                <w:sz w:val="24"/>
                <w:szCs w:val="24"/>
              </w:rPr>
              <w:t>阶段的规定，按</w:t>
            </w:r>
            <w:r>
              <w:rPr>
                <w:rFonts w:hint="eastAsia" w:asciiTheme="minorEastAsia" w:hAnsiTheme="minorEastAsia" w:eastAsiaTheme="minorEastAsia"/>
                <w:bCs/>
                <w:color w:val="auto"/>
                <w:sz w:val="24"/>
                <w:szCs w:val="24"/>
              </w:rPr>
              <w:t>竞争性磋商</w:t>
            </w:r>
            <w:r>
              <w:rPr>
                <w:rFonts w:asciiTheme="minorEastAsia" w:hAnsiTheme="minorEastAsia" w:eastAsiaTheme="minorEastAsia"/>
                <w:bCs/>
                <w:color w:val="auto"/>
                <w:sz w:val="24"/>
                <w:szCs w:val="24"/>
              </w:rPr>
              <w:t>公告、</w:t>
            </w:r>
            <w:r>
              <w:rPr>
                <w:rFonts w:hint="eastAsia" w:asciiTheme="minorEastAsia" w:hAnsiTheme="minorEastAsia" w:eastAsiaTheme="minorEastAsia"/>
                <w:bCs/>
                <w:color w:val="auto"/>
                <w:sz w:val="24"/>
                <w:szCs w:val="24"/>
              </w:rPr>
              <w:t>磋商邀请、供应商</w:t>
            </w:r>
            <w:r>
              <w:rPr>
                <w:rFonts w:asciiTheme="minorEastAsia" w:hAnsiTheme="minorEastAsia" w:eastAsiaTheme="minorEastAsia"/>
                <w:bCs/>
                <w:color w:val="auto"/>
                <w:sz w:val="24"/>
                <w:szCs w:val="24"/>
              </w:rPr>
              <w:t>须知、评</w:t>
            </w:r>
            <w:r>
              <w:rPr>
                <w:rFonts w:hint="eastAsia" w:asciiTheme="minorEastAsia" w:hAnsiTheme="minorEastAsia" w:eastAsiaTheme="minorEastAsia"/>
                <w:bCs/>
                <w:color w:val="auto"/>
                <w:sz w:val="24"/>
                <w:szCs w:val="24"/>
              </w:rPr>
              <w:t>审方</w:t>
            </w:r>
            <w:r>
              <w:rPr>
                <w:rFonts w:asciiTheme="minorEastAsia" w:hAnsiTheme="minorEastAsia" w:eastAsiaTheme="minorEastAsia"/>
                <w:bCs/>
                <w:color w:val="auto"/>
                <w:sz w:val="24"/>
                <w:szCs w:val="24"/>
              </w:rPr>
              <w:t>法</w:t>
            </w:r>
            <w:r>
              <w:rPr>
                <w:rFonts w:hint="eastAsia" w:asciiTheme="minorEastAsia" w:hAnsiTheme="minorEastAsia" w:eastAsiaTheme="minorEastAsia"/>
                <w:bCs/>
                <w:color w:val="auto"/>
                <w:sz w:val="24"/>
                <w:szCs w:val="24"/>
              </w:rPr>
              <w:t>和标准</w:t>
            </w:r>
            <w:r>
              <w:rPr>
                <w:rFonts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rPr>
              <w:t>响应</w:t>
            </w:r>
            <w:r>
              <w:rPr>
                <w:rFonts w:asciiTheme="minorEastAsia" w:hAnsiTheme="minorEastAsia" w:eastAsiaTheme="minorEastAsia"/>
                <w:bCs/>
                <w:color w:val="auto"/>
                <w:sz w:val="24"/>
                <w:szCs w:val="24"/>
              </w:rPr>
              <w:t>文件格式的先后顺序解释；</w:t>
            </w:r>
          </w:p>
          <w:p w14:paraId="359861C3">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（5）</w:t>
            </w:r>
            <w:r>
              <w:rPr>
                <w:rFonts w:asciiTheme="minorEastAsia" w:hAnsiTheme="minorEastAsia" w:eastAsiaTheme="minorEastAsia"/>
                <w:bCs/>
                <w:color w:val="auto"/>
                <w:sz w:val="24"/>
                <w:szCs w:val="24"/>
              </w:rPr>
              <w:t>按本款前述规定仍不能形成结论的，由</w:t>
            </w:r>
            <w:r>
              <w:rPr>
                <w:rFonts w:hint="eastAsia" w:asciiTheme="minorEastAsia" w:hAnsiTheme="minorEastAsia" w:eastAsiaTheme="minorEastAsia"/>
                <w:bCs/>
                <w:color w:val="auto"/>
                <w:sz w:val="24"/>
                <w:szCs w:val="24"/>
              </w:rPr>
              <w:t>采购</w:t>
            </w:r>
            <w:r>
              <w:rPr>
                <w:rFonts w:asciiTheme="minorEastAsia" w:hAnsiTheme="minorEastAsia" w:eastAsiaTheme="minorEastAsia"/>
                <w:bCs/>
                <w:color w:val="auto"/>
                <w:sz w:val="24"/>
                <w:szCs w:val="24"/>
              </w:rPr>
              <w:t>人负责解释。</w:t>
            </w:r>
          </w:p>
          <w:p w14:paraId="0BB01CA8">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2.“政采贷”融资指引：有融资需求的</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rPr>
              <w:t>成交供应商</w:t>
            </w:r>
            <w:r>
              <w:rPr>
                <w:rFonts w:hint="eastAsia" w:asciiTheme="minorEastAsia" w:hAnsiTheme="minorEastAsia" w:eastAsiaTheme="minorEastAsia"/>
                <w:bCs/>
                <w:color w:val="auto"/>
                <w:sz w:val="24"/>
                <w:szCs w:val="24"/>
              </w:rPr>
              <w:t>融资申请信息推送第三方平台、意向金融机构。</w:t>
            </w:r>
          </w:p>
          <w:p w14:paraId="692EBC3C">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3.电子保函指引：成交供应商可访问安徽省政府采购网“融资/保函”栏目，申请办理电子保函（包括：履约保函、预付款保函）。</w:t>
            </w:r>
          </w:p>
        </w:tc>
      </w:tr>
    </w:tbl>
    <w:p w14:paraId="2AE31249">
      <w:pPr>
        <w:spacing w:line="360" w:lineRule="auto"/>
        <w:jc w:val="center"/>
        <w:outlineLvl w:val="1"/>
        <w:rPr>
          <w:rFonts w:asciiTheme="minorEastAsia" w:hAnsiTheme="minorEastAsia" w:eastAsiaTheme="minorEastAsia"/>
          <w:b/>
          <w:color w:val="auto"/>
          <w:sz w:val="24"/>
        </w:rPr>
      </w:pPr>
      <w:r>
        <w:rPr>
          <w:rFonts w:asciiTheme="minorEastAsia" w:hAnsiTheme="minorEastAsia" w:eastAsiaTheme="minorEastAsia"/>
          <w:b/>
          <w:color w:val="auto"/>
          <w:sz w:val="28"/>
        </w:rPr>
        <w:br w:type="page"/>
      </w:r>
      <w:bookmarkStart w:id="56" w:name="_Toc14293"/>
      <w:bookmarkStart w:id="57" w:name="_Toc27470"/>
      <w:r>
        <w:rPr>
          <w:rFonts w:hint="eastAsia" w:asciiTheme="minorEastAsia" w:hAnsiTheme="minorEastAsia" w:eastAsiaTheme="minorEastAsia"/>
          <w:b/>
          <w:color w:val="auto"/>
          <w:sz w:val="24"/>
        </w:rPr>
        <w:t>二、供应商</w:t>
      </w:r>
      <w:r>
        <w:rPr>
          <w:rFonts w:asciiTheme="minorEastAsia" w:hAnsiTheme="minorEastAsia" w:eastAsiaTheme="minorEastAsia"/>
          <w:b/>
          <w:color w:val="auto"/>
          <w:sz w:val="24"/>
        </w:rPr>
        <w:t>须知</w:t>
      </w:r>
      <w:r>
        <w:rPr>
          <w:rFonts w:hint="eastAsia" w:asciiTheme="minorEastAsia" w:hAnsiTheme="minorEastAsia" w:eastAsiaTheme="minorEastAsia"/>
          <w:b/>
          <w:color w:val="auto"/>
          <w:sz w:val="24"/>
        </w:rPr>
        <w:t>正文</w:t>
      </w:r>
      <w:bookmarkEnd w:id="56"/>
      <w:bookmarkEnd w:id="57"/>
    </w:p>
    <w:p w14:paraId="40362714">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采购人、采购代理机构及供应商</w:t>
      </w:r>
    </w:p>
    <w:p w14:paraId="246483CB">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.1采购人：是指依法开展政府采购活动的国家机关、事业单位、团体组织。</w:t>
      </w:r>
    </w:p>
    <w:p w14:paraId="129A4ACD">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.2采购代理机构：是指集中采购机构或从事采购代理业务的社会中介机构。</w:t>
      </w:r>
    </w:p>
    <w:p w14:paraId="7F976192">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.3政府采购监督管理部门：</w:t>
      </w:r>
      <w:r>
        <w:rPr>
          <w:rFonts w:hint="eastAsia" w:ascii="宋体" w:hAnsi="宋体" w:eastAsia="宋体"/>
          <w:color w:val="auto"/>
          <w:sz w:val="24"/>
        </w:rPr>
        <w:t>各级人民政府指定的有关部门依法履行与政府采购活动有关的监督管理职责</w:t>
      </w:r>
      <w:r>
        <w:rPr>
          <w:rFonts w:ascii="宋体" w:hAnsi="宋体" w:eastAsia="宋体"/>
          <w:color w:val="auto"/>
          <w:sz w:val="24"/>
        </w:rPr>
        <w:t>。</w:t>
      </w:r>
    </w:p>
    <w:p w14:paraId="7C12B5BB">
      <w:pPr>
        <w:spacing w:line="360" w:lineRule="auto"/>
        <w:ind w:firstLine="435"/>
        <w:rPr>
          <w:rFonts w:ascii="宋体" w:hAnsi="宋体" w:eastAsia="宋体"/>
          <w:color w:val="auto"/>
          <w:sz w:val="24"/>
          <w:highlight w:val="yellow"/>
        </w:rPr>
      </w:pPr>
      <w:r>
        <w:rPr>
          <w:rFonts w:hint="eastAsia" w:ascii="宋体" w:hAnsi="宋体" w:eastAsia="宋体"/>
          <w:color w:val="auto"/>
          <w:sz w:val="24"/>
        </w:rPr>
        <w:t>1</w:t>
      </w:r>
      <w:r>
        <w:rPr>
          <w:rFonts w:ascii="宋体" w:hAnsi="宋体" w:eastAsia="宋体"/>
          <w:color w:val="auto"/>
          <w:sz w:val="24"/>
        </w:rPr>
        <w:t>.4</w:t>
      </w:r>
      <w:r>
        <w:rPr>
          <w:rFonts w:hint="eastAsia" w:ascii="宋体" w:hAnsi="宋体" w:eastAsia="宋体"/>
          <w:color w:val="auto"/>
          <w:sz w:val="24"/>
        </w:rPr>
        <w:t>供应商</w:t>
      </w:r>
      <w:r>
        <w:rPr>
          <w:rFonts w:ascii="宋体" w:hAnsi="宋体" w:eastAsia="宋体"/>
          <w:color w:val="auto"/>
          <w:sz w:val="24"/>
        </w:rPr>
        <w:t>：是指向采购人提供货物、工程或者服务的法人、</w:t>
      </w:r>
      <w:r>
        <w:rPr>
          <w:rFonts w:hint="eastAsia" w:ascii="宋体" w:hAnsi="宋体" w:eastAsia="宋体"/>
          <w:color w:val="auto"/>
          <w:sz w:val="24"/>
        </w:rPr>
        <w:t>其他</w:t>
      </w:r>
      <w:r>
        <w:rPr>
          <w:rFonts w:ascii="宋体" w:hAnsi="宋体" w:eastAsia="宋体"/>
          <w:color w:val="auto"/>
          <w:sz w:val="24"/>
        </w:rPr>
        <w:t>组织或者自然人。</w:t>
      </w:r>
      <w:r>
        <w:rPr>
          <w:rFonts w:hint="eastAsia" w:ascii="宋体" w:hAnsi="宋体" w:eastAsia="宋体"/>
          <w:color w:val="auto"/>
          <w:sz w:val="24"/>
        </w:rPr>
        <w:t>分支机构不得参加政府采购活动，但银行、保险、石油石化、电力、电信等特殊行业除外。</w:t>
      </w:r>
      <w:r>
        <w:rPr>
          <w:rFonts w:ascii="宋体" w:hAnsi="宋体" w:eastAsia="宋体"/>
          <w:color w:val="auto"/>
          <w:sz w:val="24"/>
        </w:rPr>
        <w:t>本项目的</w:t>
      </w:r>
      <w:r>
        <w:rPr>
          <w:rFonts w:hint="eastAsia" w:ascii="宋体" w:hAnsi="宋体" w:eastAsia="宋体"/>
          <w:color w:val="auto"/>
          <w:sz w:val="24"/>
        </w:rPr>
        <w:t>供应商</w:t>
      </w:r>
      <w:r>
        <w:rPr>
          <w:rFonts w:ascii="宋体" w:hAnsi="宋体" w:eastAsia="宋体"/>
          <w:color w:val="auto"/>
          <w:sz w:val="24"/>
        </w:rPr>
        <w:t>及其</w:t>
      </w:r>
      <w:r>
        <w:rPr>
          <w:rFonts w:hint="eastAsia" w:ascii="宋体" w:hAnsi="宋体" w:eastAsia="宋体"/>
          <w:color w:val="auto"/>
          <w:sz w:val="24"/>
        </w:rPr>
        <w:t>所</w:t>
      </w:r>
      <w:r>
        <w:rPr>
          <w:rFonts w:ascii="宋体" w:hAnsi="宋体" w:eastAsia="宋体"/>
          <w:color w:val="auto"/>
          <w:sz w:val="24"/>
        </w:rPr>
        <w:t>投货物须满足以下条件：</w:t>
      </w:r>
    </w:p>
    <w:p w14:paraId="38FF0DCD">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4.</w:t>
      </w:r>
      <w:r>
        <w:rPr>
          <w:rFonts w:hint="eastAsia" w:ascii="宋体" w:hAnsi="宋体" w:eastAsia="宋体"/>
          <w:color w:val="auto"/>
          <w:sz w:val="24"/>
        </w:rPr>
        <w:t>1</w:t>
      </w:r>
      <w:r>
        <w:rPr>
          <w:rFonts w:ascii="宋体" w:hAnsi="宋体" w:eastAsia="宋体"/>
          <w:color w:val="auto"/>
          <w:sz w:val="24"/>
        </w:rPr>
        <w:t>具备《中华人民共和国政府采购法》第二十二条关于供应商条件的规定，遵守本项目采购人本级和上级财政部门政府采购的有关规定。</w:t>
      </w:r>
    </w:p>
    <w:p w14:paraId="12A974F5">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4.</w:t>
      </w:r>
      <w:r>
        <w:rPr>
          <w:rFonts w:hint="eastAsia" w:ascii="宋体" w:hAnsi="宋体" w:eastAsia="宋体"/>
          <w:color w:val="auto"/>
          <w:sz w:val="24"/>
        </w:rPr>
        <w:t>2</w:t>
      </w:r>
      <w:r>
        <w:rPr>
          <w:rFonts w:ascii="宋体" w:hAnsi="宋体" w:eastAsia="宋体"/>
          <w:color w:val="auto"/>
          <w:sz w:val="24"/>
        </w:rPr>
        <w:t>以采购代理机构认可的方式获得了本项目的</w:t>
      </w:r>
      <w:r>
        <w:rPr>
          <w:rFonts w:hint="eastAsia" w:ascii="宋体" w:hAnsi="宋体" w:eastAsia="宋体"/>
          <w:color w:val="auto"/>
          <w:sz w:val="24"/>
        </w:rPr>
        <w:t>磋商</w:t>
      </w:r>
      <w:r>
        <w:rPr>
          <w:rFonts w:ascii="宋体" w:hAnsi="宋体" w:eastAsia="宋体"/>
          <w:color w:val="auto"/>
          <w:sz w:val="24"/>
        </w:rPr>
        <w:t>文件。</w:t>
      </w:r>
    </w:p>
    <w:p w14:paraId="23AFE09C">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4.</w:t>
      </w:r>
      <w:r>
        <w:rPr>
          <w:rFonts w:hint="eastAsia" w:ascii="宋体" w:hAnsi="宋体" w:eastAsia="宋体"/>
          <w:color w:val="auto"/>
          <w:sz w:val="24"/>
        </w:rPr>
        <w:t>3</w:t>
      </w:r>
      <w:r>
        <w:rPr>
          <w:rFonts w:ascii="宋体" w:hAnsi="宋体" w:eastAsia="宋体"/>
          <w:color w:val="auto"/>
          <w:sz w:val="24"/>
        </w:rPr>
        <w:t>若</w:t>
      </w:r>
      <w:r>
        <w:rPr>
          <w:rFonts w:hint="eastAsia" w:ascii="宋体" w:hAnsi="宋体" w:eastAsia="宋体"/>
          <w:color w:val="auto"/>
          <w:sz w:val="24"/>
        </w:rPr>
        <w:t>采购需求</w:t>
      </w:r>
      <w:r>
        <w:rPr>
          <w:rFonts w:ascii="宋体" w:hAnsi="宋体" w:eastAsia="宋体"/>
          <w:color w:val="auto"/>
          <w:sz w:val="24"/>
        </w:rPr>
        <w:t>中写明允许采购进口产品，</w:t>
      </w:r>
      <w:r>
        <w:rPr>
          <w:rFonts w:hint="eastAsia" w:ascii="宋体" w:hAnsi="宋体" w:eastAsia="宋体"/>
          <w:color w:val="auto"/>
          <w:sz w:val="24"/>
        </w:rPr>
        <w:t>供应商</w:t>
      </w:r>
      <w:r>
        <w:rPr>
          <w:rFonts w:ascii="宋体" w:hAnsi="宋体" w:eastAsia="宋体"/>
          <w:color w:val="auto"/>
          <w:sz w:val="24"/>
        </w:rPr>
        <w:t>应保证所投产品可履行合法报通关手续进入中国关境内。</w:t>
      </w:r>
    </w:p>
    <w:p w14:paraId="10D02AE5">
      <w:pPr>
        <w:spacing w:line="360" w:lineRule="auto"/>
        <w:ind w:firstLine="435"/>
        <w:rPr>
          <w:rFonts w:ascii="宋体" w:hAnsi="宋体" w:eastAsia="宋体"/>
          <w:color w:val="auto"/>
          <w:sz w:val="24"/>
        </w:rPr>
      </w:pPr>
      <w:r>
        <w:rPr>
          <w:rFonts w:hint="eastAsia" w:ascii="宋体" w:hAnsi="宋体" w:eastAsia="宋体"/>
          <w:color w:val="auto"/>
          <w:sz w:val="24"/>
        </w:rPr>
        <w:t>若采购需求中未写明允许采购进口产品，如供应商所投产品为进口产品，其响应文件将被认定为</w:t>
      </w:r>
      <w:r>
        <w:rPr>
          <w:rFonts w:hint="eastAsia" w:ascii="宋体" w:hAnsi="宋体" w:eastAsia="宋体"/>
          <w:b/>
          <w:color w:val="auto"/>
          <w:sz w:val="24"/>
        </w:rPr>
        <w:t>响应无效</w:t>
      </w:r>
      <w:r>
        <w:rPr>
          <w:rFonts w:hint="eastAsia" w:ascii="宋体" w:hAnsi="宋体" w:eastAsia="宋体"/>
          <w:color w:val="auto"/>
          <w:sz w:val="24"/>
        </w:rPr>
        <w:t>。</w:t>
      </w:r>
    </w:p>
    <w:p w14:paraId="3217C4F3">
      <w:pPr>
        <w:spacing w:line="360" w:lineRule="auto"/>
        <w:ind w:firstLine="435"/>
        <w:rPr>
          <w:rFonts w:ascii="宋体" w:hAnsi="宋体" w:eastAsia="宋体"/>
          <w:color w:val="auto"/>
          <w:sz w:val="24"/>
        </w:rPr>
      </w:pPr>
      <w:bookmarkStart w:id="58" w:name="_Hlk60607583"/>
      <w:r>
        <w:rPr>
          <w:rFonts w:hint="eastAsia" w:ascii="宋体" w:hAnsi="宋体" w:eastAsia="宋体"/>
          <w:bCs/>
          <w:color w:val="auto"/>
          <w:kern w:val="0"/>
          <w:sz w:val="24"/>
          <w:szCs w:val="28"/>
        </w:rPr>
        <w:t>1</w:t>
      </w:r>
      <w:r>
        <w:rPr>
          <w:rFonts w:ascii="宋体" w:hAnsi="宋体" w:eastAsia="宋体"/>
          <w:bCs/>
          <w:color w:val="auto"/>
          <w:kern w:val="0"/>
          <w:sz w:val="24"/>
          <w:szCs w:val="28"/>
        </w:rPr>
        <w:t>.5</w:t>
      </w:r>
      <w:r>
        <w:rPr>
          <w:rFonts w:hint="eastAsia" w:ascii="宋体" w:hAnsi="宋体" w:eastAsia="宋体"/>
          <w:bCs/>
          <w:color w:val="auto"/>
          <w:kern w:val="0"/>
          <w:sz w:val="24"/>
          <w:szCs w:val="28"/>
        </w:rPr>
        <w:t>若竞争性磋商公告</w:t>
      </w:r>
      <w:r>
        <w:rPr>
          <w:rFonts w:ascii="宋体" w:hAnsi="宋体" w:eastAsia="宋体"/>
          <w:bCs/>
          <w:color w:val="auto"/>
          <w:kern w:val="0"/>
          <w:sz w:val="24"/>
          <w:szCs w:val="28"/>
        </w:rPr>
        <w:t>中允许联合体</w:t>
      </w:r>
      <w:r>
        <w:rPr>
          <w:rFonts w:hint="eastAsia" w:ascii="宋体" w:hAnsi="宋体" w:eastAsia="宋体"/>
          <w:bCs/>
          <w:color w:val="auto"/>
          <w:kern w:val="0"/>
          <w:sz w:val="24"/>
          <w:szCs w:val="28"/>
        </w:rPr>
        <w:t>参加磋商</w:t>
      </w:r>
      <w:r>
        <w:rPr>
          <w:rFonts w:ascii="宋体" w:hAnsi="宋体" w:eastAsia="宋体"/>
          <w:bCs/>
          <w:color w:val="auto"/>
          <w:kern w:val="0"/>
          <w:sz w:val="24"/>
          <w:szCs w:val="28"/>
        </w:rPr>
        <w:t>，对联合体规定如下：</w:t>
      </w:r>
    </w:p>
    <w:bookmarkEnd w:id="58"/>
    <w:p w14:paraId="5866F463">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5</w:t>
      </w:r>
      <w:r>
        <w:rPr>
          <w:rFonts w:ascii="宋体" w:hAnsi="宋体" w:eastAsia="宋体"/>
          <w:color w:val="auto"/>
          <w:sz w:val="24"/>
        </w:rPr>
        <w:t>.1</w:t>
      </w:r>
      <w:r>
        <w:rPr>
          <w:rFonts w:hint="eastAsia" w:ascii="宋体" w:hAnsi="宋体" w:eastAsia="宋体"/>
          <w:color w:val="auto"/>
          <w:sz w:val="24"/>
        </w:rPr>
        <w:t>两个以上供应商可以组成一个磋商联合体，以一个供应商的身份磋商</w:t>
      </w:r>
      <w:r>
        <w:rPr>
          <w:rFonts w:ascii="宋体" w:hAnsi="宋体" w:eastAsia="宋体"/>
          <w:color w:val="auto"/>
          <w:sz w:val="24"/>
        </w:rPr>
        <w:t>。联合体参加磋商的，</w:t>
      </w:r>
      <w:r>
        <w:rPr>
          <w:rFonts w:hint="eastAsia" w:ascii="宋体" w:hAnsi="宋体" w:eastAsia="宋体"/>
          <w:color w:val="auto"/>
          <w:sz w:val="24"/>
        </w:rPr>
        <w:t>磋商文件获取</w:t>
      </w:r>
      <w:r>
        <w:rPr>
          <w:rFonts w:ascii="宋体" w:hAnsi="宋体" w:eastAsia="宋体"/>
          <w:color w:val="auto"/>
          <w:sz w:val="24"/>
        </w:rPr>
        <w:t>手续由联合体</w:t>
      </w:r>
      <w:r>
        <w:rPr>
          <w:rFonts w:hint="eastAsia" w:ascii="宋体" w:hAnsi="宋体" w:eastAsia="宋体"/>
          <w:color w:val="auto"/>
          <w:sz w:val="24"/>
        </w:rPr>
        <w:t>中</w:t>
      </w:r>
      <w:r>
        <w:rPr>
          <w:rFonts w:ascii="宋体" w:hAnsi="宋体" w:eastAsia="宋体"/>
          <w:color w:val="auto"/>
          <w:sz w:val="24"/>
        </w:rPr>
        <w:t>任一</w:t>
      </w:r>
      <w:r>
        <w:rPr>
          <w:rFonts w:hint="eastAsia" w:ascii="宋体" w:hAnsi="宋体" w:eastAsia="宋体"/>
          <w:color w:val="auto"/>
          <w:sz w:val="24"/>
        </w:rPr>
        <w:t>成员单位</w:t>
      </w:r>
      <w:r>
        <w:rPr>
          <w:rFonts w:ascii="宋体" w:hAnsi="宋体" w:eastAsia="宋体"/>
          <w:color w:val="auto"/>
          <w:sz w:val="24"/>
        </w:rPr>
        <w:t>办理均可。</w:t>
      </w:r>
    </w:p>
    <w:p w14:paraId="08680849">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5</w:t>
      </w:r>
      <w:r>
        <w:rPr>
          <w:rFonts w:ascii="宋体" w:hAnsi="宋体" w:eastAsia="宋体"/>
          <w:color w:val="auto"/>
          <w:sz w:val="24"/>
        </w:rPr>
        <w:t>.2联合体各方均应符合《中华人民共和国政府采购法》第二十二条规定的条件。</w:t>
      </w:r>
    </w:p>
    <w:p w14:paraId="76669727">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5</w:t>
      </w:r>
      <w:r>
        <w:rPr>
          <w:rFonts w:ascii="宋体" w:hAnsi="宋体" w:eastAsia="宋体"/>
          <w:color w:val="auto"/>
          <w:sz w:val="24"/>
        </w:rPr>
        <w:t>.3采购人根据采购项目对</w:t>
      </w:r>
      <w:r>
        <w:rPr>
          <w:rFonts w:hint="eastAsia" w:ascii="宋体" w:hAnsi="宋体" w:eastAsia="宋体"/>
          <w:color w:val="auto"/>
          <w:sz w:val="24"/>
        </w:rPr>
        <w:t>供应商</w:t>
      </w:r>
      <w:r>
        <w:rPr>
          <w:rFonts w:ascii="宋体" w:hAnsi="宋体" w:eastAsia="宋体"/>
          <w:color w:val="auto"/>
          <w:sz w:val="24"/>
        </w:rPr>
        <w:t>的特殊要求，联合体中至少应当有一方符合相关规定。</w:t>
      </w:r>
    </w:p>
    <w:p w14:paraId="01B7DDA6">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5</w:t>
      </w:r>
      <w:r>
        <w:rPr>
          <w:rFonts w:ascii="宋体" w:hAnsi="宋体" w:eastAsia="宋体"/>
          <w:color w:val="auto"/>
          <w:sz w:val="24"/>
        </w:rPr>
        <w:t>.4联合体各方应签订</w:t>
      </w:r>
      <w:r>
        <w:rPr>
          <w:rFonts w:hint="eastAsia" w:ascii="宋体" w:hAnsi="宋体" w:eastAsia="宋体"/>
          <w:color w:val="auto"/>
          <w:sz w:val="24"/>
        </w:rPr>
        <w:t>联合协议</w:t>
      </w:r>
      <w:r>
        <w:rPr>
          <w:rFonts w:ascii="宋体" w:hAnsi="宋体" w:eastAsia="宋体"/>
          <w:color w:val="auto"/>
          <w:sz w:val="24"/>
        </w:rPr>
        <w:t>，明确约定联合体各方承担的工作和相应的责任，并将</w:t>
      </w:r>
      <w:r>
        <w:rPr>
          <w:rFonts w:hint="eastAsia" w:ascii="宋体" w:hAnsi="宋体" w:eastAsia="宋体"/>
          <w:color w:val="auto"/>
          <w:sz w:val="24"/>
        </w:rPr>
        <w:t>联合协议</w:t>
      </w:r>
      <w:r>
        <w:rPr>
          <w:rFonts w:ascii="宋体" w:hAnsi="宋体" w:eastAsia="宋体"/>
          <w:color w:val="auto"/>
          <w:sz w:val="24"/>
        </w:rPr>
        <w:t>作为</w:t>
      </w:r>
      <w:r>
        <w:rPr>
          <w:rFonts w:hint="eastAsia" w:ascii="宋体" w:hAnsi="宋体" w:eastAsia="宋体"/>
          <w:color w:val="auto"/>
          <w:sz w:val="24"/>
        </w:rPr>
        <w:t>响应</w:t>
      </w:r>
      <w:r>
        <w:rPr>
          <w:rFonts w:ascii="宋体" w:hAnsi="宋体" w:eastAsia="宋体"/>
          <w:color w:val="auto"/>
          <w:sz w:val="24"/>
        </w:rPr>
        <w:t>文件</w:t>
      </w:r>
      <w:r>
        <w:rPr>
          <w:rFonts w:hint="eastAsia" w:ascii="宋体" w:hAnsi="宋体" w:eastAsia="宋体"/>
          <w:color w:val="auto"/>
          <w:sz w:val="24"/>
        </w:rPr>
        <w:t>的</w:t>
      </w:r>
      <w:r>
        <w:rPr>
          <w:rFonts w:ascii="宋体" w:hAnsi="宋体" w:eastAsia="宋体"/>
          <w:color w:val="auto"/>
          <w:sz w:val="24"/>
        </w:rPr>
        <w:t>一部分提交。</w:t>
      </w:r>
    </w:p>
    <w:p w14:paraId="0EACC0B4">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5</w:t>
      </w:r>
      <w:r>
        <w:rPr>
          <w:rFonts w:ascii="宋体" w:hAnsi="宋体" w:eastAsia="宋体"/>
          <w:color w:val="auto"/>
          <w:sz w:val="24"/>
        </w:rPr>
        <w:t>.5大中型企业、其他自然人、法人或者非法人组织与小型、微型企业组成联合体共同参加</w:t>
      </w:r>
      <w:r>
        <w:rPr>
          <w:rFonts w:hint="eastAsia" w:ascii="宋体" w:hAnsi="宋体" w:eastAsia="宋体"/>
          <w:color w:val="auto"/>
          <w:sz w:val="24"/>
        </w:rPr>
        <w:t>磋商</w:t>
      </w:r>
      <w:r>
        <w:rPr>
          <w:rFonts w:ascii="宋体" w:hAnsi="宋体" w:eastAsia="宋体"/>
          <w:color w:val="auto"/>
          <w:sz w:val="24"/>
        </w:rPr>
        <w:t>，</w:t>
      </w:r>
      <w:r>
        <w:rPr>
          <w:rFonts w:hint="eastAsia" w:ascii="宋体" w:hAnsi="宋体" w:eastAsia="宋体"/>
          <w:color w:val="auto"/>
          <w:sz w:val="24"/>
        </w:rPr>
        <w:t>联合协议中</w:t>
      </w:r>
      <w:r>
        <w:rPr>
          <w:rFonts w:ascii="宋体" w:hAnsi="宋体" w:eastAsia="宋体"/>
          <w:color w:val="auto"/>
          <w:sz w:val="24"/>
        </w:rPr>
        <w:t>应写明小型、微型企业的协议合同金额占到</w:t>
      </w:r>
      <w:r>
        <w:rPr>
          <w:rFonts w:hint="eastAsia" w:ascii="宋体" w:hAnsi="宋体" w:eastAsia="宋体"/>
          <w:color w:val="auto"/>
          <w:sz w:val="24"/>
        </w:rPr>
        <w:t>联合协议合同</w:t>
      </w:r>
      <w:r>
        <w:rPr>
          <w:rFonts w:ascii="宋体" w:hAnsi="宋体" w:eastAsia="宋体"/>
          <w:color w:val="auto"/>
          <w:sz w:val="24"/>
        </w:rPr>
        <w:t>总金额的比例。</w:t>
      </w:r>
    </w:p>
    <w:p w14:paraId="539AAAB6">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.5.6</w:t>
      </w:r>
      <w:r>
        <w:rPr>
          <w:rFonts w:hint="eastAsia" w:ascii="宋体" w:hAnsi="宋体" w:eastAsia="宋体"/>
          <w:color w:val="auto"/>
          <w:sz w:val="24"/>
        </w:rPr>
        <w:t>联合体中有同类资质的供应商按照联合体分工承担相同工作的，</w:t>
      </w:r>
      <w:r>
        <w:rPr>
          <w:rFonts w:ascii="宋体" w:hAnsi="宋体" w:eastAsia="宋体"/>
          <w:color w:val="auto"/>
          <w:sz w:val="24"/>
        </w:rPr>
        <w:t>应当按照</w:t>
      </w:r>
      <w:r>
        <w:rPr>
          <w:rFonts w:hint="eastAsia" w:ascii="宋体" w:hAnsi="宋体" w:eastAsia="宋体"/>
          <w:color w:val="auto"/>
          <w:sz w:val="24"/>
        </w:rPr>
        <w:t>资质等级较低的供应商确定资质等级。</w:t>
      </w:r>
    </w:p>
    <w:p w14:paraId="47DCE546">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5</w:t>
      </w:r>
      <w:r>
        <w:rPr>
          <w:rFonts w:ascii="宋体" w:hAnsi="宋体" w:eastAsia="宋体"/>
          <w:color w:val="auto"/>
          <w:sz w:val="24"/>
        </w:rPr>
        <w:t>.7以联合体形式参加政府采购活动的，联合体各方不得再单独参加或者与其他供应商另外组成联合体参加本项目</w:t>
      </w:r>
      <w:r>
        <w:rPr>
          <w:rFonts w:hint="eastAsia" w:ascii="宋体" w:hAnsi="宋体" w:eastAsia="宋体"/>
          <w:color w:val="auto"/>
          <w:sz w:val="24"/>
        </w:rPr>
        <w:t>磋商</w:t>
      </w:r>
      <w:r>
        <w:rPr>
          <w:rFonts w:ascii="宋体" w:hAnsi="宋体" w:eastAsia="宋体"/>
          <w:color w:val="auto"/>
          <w:sz w:val="24"/>
        </w:rPr>
        <w:t>，否则相关</w:t>
      </w:r>
      <w:r>
        <w:rPr>
          <w:rFonts w:hint="eastAsia" w:ascii="宋体" w:hAnsi="宋体" w:eastAsia="宋体"/>
          <w:color w:val="auto"/>
          <w:sz w:val="24"/>
        </w:rPr>
        <w:t>响应文件将被认定为</w:t>
      </w:r>
      <w:r>
        <w:rPr>
          <w:rFonts w:hint="eastAsia" w:ascii="宋体" w:hAnsi="宋体" w:eastAsia="宋体"/>
          <w:b/>
          <w:color w:val="auto"/>
          <w:sz w:val="24"/>
        </w:rPr>
        <w:t>响应无效</w:t>
      </w:r>
      <w:r>
        <w:rPr>
          <w:rFonts w:ascii="宋体" w:hAnsi="宋体" w:eastAsia="宋体"/>
          <w:color w:val="auto"/>
          <w:sz w:val="24"/>
        </w:rPr>
        <w:t>。</w:t>
      </w:r>
    </w:p>
    <w:p w14:paraId="2A6412C2">
      <w:pPr>
        <w:spacing w:line="360" w:lineRule="auto"/>
        <w:ind w:firstLine="435"/>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5</w:t>
      </w:r>
      <w:r>
        <w:rPr>
          <w:rFonts w:ascii="宋体" w:hAnsi="宋体" w:eastAsia="宋体"/>
          <w:color w:val="auto"/>
          <w:sz w:val="24"/>
        </w:rPr>
        <w:t>.8对联合体参加磋商的其他资格要求见</w:t>
      </w:r>
      <w:r>
        <w:rPr>
          <w:rFonts w:hint="eastAsia" w:ascii="宋体" w:hAnsi="宋体" w:eastAsia="宋体"/>
          <w:color w:val="auto"/>
          <w:sz w:val="24"/>
        </w:rPr>
        <w:t>申请人的资格要求</w:t>
      </w:r>
      <w:r>
        <w:rPr>
          <w:rFonts w:ascii="宋体" w:hAnsi="宋体" w:eastAsia="宋体"/>
          <w:color w:val="auto"/>
          <w:sz w:val="24"/>
        </w:rPr>
        <w:t>。</w:t>
      </w:r>
    </w:p>
    <w:p w14:paraId="3ED85F71">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资金落实情况</w:t>
      </w:r>
    </w:p>
    <w:p w14:paraId="2BE19CC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.1本项目的采购人已获得足以支付本次磋商后所签订的合同项下的资金。</w:t>
      </w:r>
    </w:p>
    <w:p w14:paraId="0B65A05F">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磋商费用</w:t>
      </w:r>
    </w:p>
    <w:p w14:paraId="6D6145E0">
      <w:pPr>
        <w:spacing w:line="360" w:lineRule="auto"/>
        <w:ind w:firstLine="480" w:firstLineChars="200"/>
        <w:outlineLvl w:val="2"/>
        <w:rPr>
          <w:rFonts w:ascii="宋体" w:hAnsi="宋体" w:eastAsia="宋体"/>
          <w:color w:val="auto"/>
          <w:sz w:val="24"/>
        </w:rPr>
      </w:pPr>
      <w:r>
        <w:rPr>
          <w:rFonts w:hint="eastAsia" w:ascii="宋体" w:hAnsi="宋体" w:eastAsia="宋体"/>
          <w:color w:val="auto"/>
          <w:sz w:val="24"/>
        </w:rPr>
        <w:t>不论磋商的结果如何，供应商应承担其所有与准备和参加磋商有关的费用</w:t>
      </w:r>
    </w:p>
    <w:p w14:paraId="5A674499">
      <w:pPr>
        <w:spacing w:line="360" w:lineRule="auto"/>
        <w:ind w:firstLine="482" w:firstLineChars="200"/>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4.适用法律</w:t>
      </w:r>
    </w:p>
    <w:p w14:paraId="2C3643D6">
      <w:pPr>
        <w:spacing w:line="360" w:lineRule="auto"/>
        <w:ind w:firstLine="480" w:firstLineChars="200"/>
        <w:outlineLvl w:val="2"/>
        <w:rPr>
          <w:rFonts w:ascii="宋体" w:hAnsi="宋体" w:eastAsia="宋体"/>
          <w:color w:val="auto"/>
          <w:sz w:val="24"/>
        </w:rPr>
      </w:pPr>
      <w:r>
        <w:rPr>
          <w:rFonts w:hint="eastAsia" w:ascii="宋体" w:hAnsi="宋体" w:eastAsia="宋体"/>
          <w:color w:val="auto"/>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21EC246B">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磋商文件构成</w:t>
      </w:r>
    </w:p>
    <w:p w14:paraId="36866563">
      <w:pPr>
        <w:spacing w:line="360" w:lineRule="auto"/>
        <w:ind w:firstLine="435"/>
        <w:rPr>
          <w:rFonts w:ascii="宋体" w:hAnsi="宋体" w:eastAsia="宋体"/>
          <w:color w:val="auto"/>
          <w:sz w:val="24"/>
        </w:rPr>
      </w:pPr>
      <w:r>
        <w:rPr>
          <w:rFonts w:hint="eastAsia" w:ascii="宋体" w:hAnsi="宋体" w:eastAsia="宋体"/>
          <w:color w:val="auto"/>
          <w:sz w:val="24"/>
        </w:rPr>
        <w:t>5.1磋商文件包括下列内容：</w:t>
      </w:r>
    </w:p>
    <w:p w14:paraId="6690F975">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第一章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磋商邀请</w:t>
      </w:r>
    </w:p>
    <w:p w14:paraId="1EBAAE19">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第二章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须知</w:t>
      </w:r>
    </w:p>
    <w:p w14:paraId="45E1F7E2">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第三章</w:t>
      </w:r>
      <w:r>
        <w:rPr>
          <w:rFonts w:asciiTheme="minorEastAsia" w:hAnsiTheme="minorEastAsia" w:eastAsiaTheme="minorEastAsia"/>
          <w:color w:val="auto"/>
          <w:sz w:val="24"/>
        </w:rPr>
        <w:t xml:space="preserve">  采购需求</w:t>
      </w:r>
    </w:p>
    <w:p w14:paraId="4443485C">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第四章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评审方法</w:t>
      </w:r>
      <w:r>
        <w:rPr>
          <w:rFonts w:asciiTheme="minorEastAsia" w:hAnsiTheme="minorEastAsia" w:eastAsiaTheme="minorEastAsia"/>
          <w:color w:val="auto"/>
          <w:sz w:val="24"/>
        </w:rPr>
        <w:t>和标准</w:t>
      </w:r>
    </w:p>
    <w:p w14:paraId="411341E6">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第五章</w:t>
      </w:r>
      <w:r>
        <w:rPr>
          <w:rFonts w:asciiTheme="minorEastAsia" w:hAnsiTheme="minorEastAsia" w:eastAsiaTheme="minorEastAsia"/>
          <w:color w:val="auto"/>
          <w:sz w:val="24"/>
        </w:rPr>
        <w:t xml:space="preserve">  政府采购合同</w:t>
      </w:r>
    </w:p>
    <w:p w14:paraId="60C04964">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第六章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文件格式</w:t>
      </w:r>
    </w:p>
    <w:p w14:paraId="5C6F951B">
      <w:pPr>
        <w:spacing w:line="360" w:lineRule="auto"/>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第七章</w:t>
      </w:r>
      <w:r>
        <w:rPr>
          <w:rFonts w:asciiTheme="minorEastAsia" w:hAnsiTheme="minorEastAsia" w:eastAsiaTheme="minorEastAsia"/>
          <w:color w:val="auto"/>
          <w:sz w:val="24"/>
        </w:rPr>
        <w:t xml:space="preserve">  政府采购供应商</w:t>
      </w:r>
      <w:r>
        <w:rPr>
          <w:rFonts w:hint="eastAsia" w:asciiTheme="minorEastAsia" w:hAnsiTheme="minorEastAsia" w:eastAsiaTheme="minorEastAsia"/>
          <w:color w:val="auto"/>
          <w:sz w:val="24"/>
        </w:rPr>
        <w:t>询问函和</w:t>
      </w:r>
      <w:r>
        <w:rPr>
          <w:rFonts w:asciiTheme="minorEastAsia" w:hAnsiTheme="minorEastAsia" w:eastAsiaTheme="minorEastAsia"/>
          <w:color w:val="auto"/>
          <w:sz w:val="24"/>
        </w:rPr>
        <w:t>质疑函范本</w:t>
      </w:r>
    </w:p>
    <w:p w14:paraId="73C67CA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现场</w:t>
      </w:r>
      <w:r>
        <w:rPr>
          <w:rFonts w:hint="eastAsia" w:asciiTheme="minorEastAsia" w:hAnsiTheme="minorEastAsia" w:eastAsiaTheme="minorEastAsia"/>
          <w:color w:val="auto"/>
          <w:sz w:val="24"/>
        </w:rPr>
        <w:t>考察</w:t>
      </w:r>
      <w:r>
        <w:rPr>
          <w:rFonts w:asciiTheme="minorEastAsia" w:hAnsiTheme="minorEastAsia" w:eastAsiaTheme="minorEastAsia"/>
          <w:color w:val="auto"/>
          <w:sz w:val="24"/>
        </w:rPr>
        <w:t>及相关事项见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w:t>
      </w:r>
    </w:p>
    <w:p w14:paraId="0BA0061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3供应商</w:t>
      </w:r>
      <w:r>
        <w:rPr>
          <w:rFonts w:asciiTheme="minorEastAsia" w:hAnsiTheme="minorEastAsia" w:eastAsiaTheme="minorEastAsia"/>
          <w:color w:val="auto"/>
          <w:sz w:val="24"/>
        </w:rPr>
        <w:t>应认真阅读</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文件所有的事项、格式、条款和技术规范等。</w:t>
      </w:r>
    </w:p>
    <w:p w14:paraId="52C7C8A1">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磋商文件的澄清与修改</w:t>
      </w:r>
    </w:p>
    <w:p w14:paraId="24E69F1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1供应商</w:t>
      </w:r>
      <w:r>
        <w:rPr>
          <w:rFonts w:asciiTheme="minorEastAsia" w:hAnsiTheme="minorEastAsia" w:eastAsiaTheme="minorEastAsia"/>
          <w:color w:val="auto"/>
          <w:sz w:val="24"/>
        </w:rPr>
        <w:t>如对</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文件内容有疑问，必须在</w:t>
      </w:r>
      <w:r>
        <w:rPr>
          <w:rFonts w:ascii="宋体" w:hAnsi="宋体" w:eastAsia="宋体"/>
          <w:color w:val="auto"/>
          <w:sz w:val="24"/>
          <w:u w:val="single"/>
        </w:rPr>
        <w:t>供应商须知前附表</w:t>
      </w:r>
      <w:r>
        <w:rPr>
          <w:rFonts w:asciiTheme="minorEastAsia" w:hAnsiTheme="minorEastAsia" w:eastAsiaTheme="minorEastAsia"/>
          <w:color w:val="auto"/>
          <w:sz w:val="24"/>
        </w:rPr>
        <w:t>规定的</w:t>
      </w:r>
      <w:r>
        <w:rPr>
          <w:rFonts w:hint="eastAsia" w:asciiTheme="minorEastAsia" w:hAnsiTheme="minorEastAsia" w:eastAsiaTheme="minorEastAsia"/>
          <w:color w:val="auto"/>
          <w:sz w:val="24"/>
        </w:rPr>
        <w:t>网上询问</w:t>
      </w:r>
      <w:r>
        <w:rPr>
          <w:rFonts w:asciiTheme="minorEastAsia" w:hAnsiTheme="minorEastAsia" w:eastAsiaTheme="minorEastAsia"/>
          <w:color w:val="auto"/>
          <w:sz w:val="24"/>
        </w:rPr>
        <w:t>截止时间前以网上提问形式</w:t>
      </w:r>
      <w:r>
        <w:rPr>
          <w:rFonts w:hint="eastAsia" w:asciiTheme="minorEastAsia" w:hAnsiTheme="minorEastAsia" w:eastAsiaTheme="minorEastAsia"/>
          <w:color w:val="auto"/>
          <w:sz w:val="24"/>
        </w:rPr>
        <w:t>（电子交易系统）</w:t>
      </w:r>
      <w:r>
        <w:rPr>
          <w:rFonts w:asciiTheme="minorEastAsia" w:hAnsiTheme="minorEastAsia" w:eastAsiaTheme="minorEastAsia"/>
          <w:color w:val="auto"/>
          <w:sz w:val="24"/>
        </w:rPr>
        <w:t>提交给采购代理机构。</w:t>
      </w:r>
    </w:p>
    <w:p w14:paraId="7C07192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2采购人可主动地或在答复供应商提出的询问时对磋商文件进行澄清与修改。</w:t>
      </w:r>
      <w:r>
        <w:rPr>
          <w:rFonts w:asciiTheme="minorEastAsia" w:hAnsiTheme="minorEastAsia" w:eastAsiaTheme="minorEastAsia"/>
          <w:color w:val="auto"/>
          <w:sz w:val="24"/>
        </w:rPr>
        <w:t>采购代理机构将</w:t>
      </w:r>
      <w:r>
        <w:rPr>
          <w:rFonts w:hint="eastAsia" w:asciiTheme="minorEastAsia" w:hAnsiTheme="minorEastAsia" w:eastAsiaTheme="minorEastAsia"/>
          <w:color w:val="auto"/>
          <w:sz w:val="24"/>
        </w:rPr>
        <w:t>在</w:t>
      </w:r>
      <w:bookmarkStart w:id="59" w:name="_Hlk16458572"/>
      <w:r>
        <w:rPr>
          <w:rFonts w:hint="eastAsia" w:ascii="宋体" w:hAnsi="宋体" w:eastAsia="宋体"/>
          <w:color w:val="auto"/>
          <w:sz w:val="24"/>
          <w:szCs w:val="18"/>
        </w:rPr>
        <w:t>安徽省政府采购网及</w:t>
      </w:r>
      <w:bookmarkEnd w:id="59"/>
      <w:r>
        <w:rPr>
          <w:rFonts w:hint="eastAsia" w:asciiTheme="minorEastAsia" w:hAnsiTheme="minorEastAsia" w:eastAsiaTheme="minorEastAsia"/>
          <w:color w:val="auto"/>
          <w:sz w:val="24"/>
        </w:rPr>
        <w:t>以发布更正公告的方式澄清或者修改磋商文件，更正公告的</w:t>
      </w:r>
      <w:r>
        <w:rPr>
          <w:rFonts w:asciiTheme="minorEastAsia" w:hAnsiTheme="minorEastAsia" w:eastAsiaTheme="minorEastAsia"/>
          <w:color w:val="auto"/>
          <w:sz w:val="24"/>
        </w:rPr>
        <w:t>内容</w:t>
      </w:r>
      <w:r>
        <w:rPr>
          <w:rFonts w:hint="eastAsia" w:asciiTheme="minorEastAsia" w:hAnsiTheme="minorEastAsia" w:eastAsiaTheme="minorEastAsia"/>
          <w:color w:val="auto"/>
          <w:sz w:val="24"/>
        </w:rPr>
        <w:t>作</w:t>
      </w:r>
      <w:r>
        <w:rPr>
          <w:rFonts w:asciiTheme="minorEastAsia" w:hAnsiTheme="minorEastAsia" w:eastAsiaTheme="minorEastAsia"/>
          <w:color w:val="auto"/>
          <w:sz w:val="24"/>
        </w:rPr>
        <w:t>为</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文件</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组成部分，对</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起约束作用</w:t>
      </w:r>
      <w:r>
        <w:rPr>
          <w:rFonts w:hint="eastAsia" w:asciiTheme="minorEastAsia" w:hAnsiTheme="minorEastAsia" w:eastAsiaTheme="minorEastAsia"/>
          <w:color w:val="auto"/>
          <w:sz w:val="24"/>
        </w:rPr>
        <w:t>。供应商应主动上网查询。采购代理机构不承担供应商未及时关注相关信息引发的相关责任。</w:t>
      </w:r>
    </w:p>
    <w:p w14:paraId="027D5B83">
      <w:pPr>
        <w:spacing w:line="360" w:lineRule="auto"/>
        <w:ind w:firstLine="435"/>
        <w:rPr>
          <w:rFonts w:ascii="宋体" w:hAnsi="宋体" w:eastAsia="宋体"/>
          <w:color w:val="auto"/>
          <w:sz w:val="24"/>
        </w:rPr>
      </w:pPr>
      <w:r>
        <w:rPr>
          <w:rFonts w:hint="eastAsia" w:ascii="宋体" w:hAnsi="宋体" w:eastAsia="宋体"/>
          <w:color w:val="auto"/>
          <w:sz w:val="24"/>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2EF2C5D">
      <w:pPr>
        <w:spacing w:line="360" w:lineRule="auto"/>
        <w:ind w:firstLine="435"/>
        <w:rPr>
          <w:rFonts w:asciiTheme="minorEastAsia" w:hAnsiTheme="minorEastAsia" w:eastAsiaTheme="minorEastAsia"/>
          <w:iCs/>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对于</w:t>
      </w:r>
      <w:r>
        <w:rPr>
          <w:rFonts w:ascii="宋体" w:hAnsi="宋体" w:eastAsia="宋体"/>
          <w:color w:val="auto"/>
          <w:sz w:val="24"/>
        </w:rPr>
        <w:t>没有</w:t>
      </w:r>
      <w:r>
        <w:rPr>
          <w:rFonts w:asciiTheme="minorEastAsia" w:hAnsiTheme="minorEastAsia" w:eastAsiaTheme="minorEastAsia"/>
          <w:color w:val="auto"/>
          <w:sz w:val="24"/>
        </w:rPr>
        <w:t>提出</w:t>
      </w:r>
      <w:r>
        <w:rPr>
          <w:rFonts w:hint="eastAsia" w:asciiTheme="minorEastAsia" w:hAnsiTheme="minorEastAsia" w:eastAsiaTheme="minorEastAsia"/>
          <w:color w:val="auto"/>
          <w:sz w:val="24"/>
        </w:rPr>
        <w:t>询问</w:t>
      </w:r>
      <w:r>
        <w:rPr>
          <w:rFonts w:asciiTheme="minorEastAsia" w:hAnsiTheme="minorEastAsia" w:eastAsiaTheme="minorEastAsia"/>
          <w:color w:val="auto"/>
          <w:sz w:val="24"/>
        </w:rPr>
        <w:t>又参与了</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项目</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将被视为完全认同</w:t>
      </w:r>
      <w:r>
        <w:rPr>
          <w:rFonts w:hint="eastAsia" w:asciiTheme="minorEastAsia" w:hAnsiTheme="minorEastAsia" w:eastAsiaTheme="minorEastAsia"/>
          <w:color w:val="auto"/>
          <w:sz w:val="24"/>
        </w:rPr>
        <w:t>本磋商</w:t>
      </w:r>
      <w:r>
        <w:rPr>
          <w:rFonts w:asciiTheme="minorEastAsia" w:hAnsiTheme="minorEastAsia" w:eastAsiaTheme="minorEastAsia"/>
          <w:color w:val="auto"/>
          <w:sz w:val="24"/>
        </w:rPr>
        <w:t>文件（含</w:t>
      </w:r>
      <w:r>
        <w:rPr>
          <w:rFonts w:hint="eastAsia" w:asciiTheme="minorEastAsia" w:hAnsiTheme="minorEastAsia" w:eastAsiaTheme="minorEastAsia"/>
          <w:color w:val="auto"/>
          <w:sz w:val="24"/>
        </w:rPr>
        <w:t>更正公告的</w:t>
      </w:r>
      <w:r>
        <w:rPr>
          <w:rFonts w:asciiTheme="minorEastAsia" w:hAnsiTheme="minorEastAsia" w:eastAsiaTheme="minorEastAsia"/>
          <w:color w:val="auto"/>
          <w:sz w:val="24"/>
        </w:rPr>
        <w:t>内容）</w:t>
      </w:r>
      <w:r>
        <w:rPr>
          <w:rFonts w:hint="eastAsia" w:asciiTheme="minorEastAsia" w:hAnsiTheme="minorEastAsia" w:eastAsiaTheme="minorEastAsia"/>
          <w:color w:val="auto"/>
          <w:sz w:val="24"/>
        </w:rPr>
        <w:t>。</w:t>
      </w:r>
    </w:p>
    <w:p w14:paraId="2536E9FE">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磋商范围及响应文件中标准和计量单位的使用</w:t>
      </w:r>
    </w:p>
    <w:p w14:paraId="7DB600A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.1项目有分包的，供应商可</w:t>
      </w:r>
      <w:r>
        <w:rPr>
          <w:rFonts w:hint="eastAsia" w:asciiTheme="minorEastAsia" w:hAnsiTheme="minorEastAsia" w:eastAsiaTheme="minorEastAsia"/>
          <w:color w:val="auto"/>
          <w:sz w:val="24"/>
        </w:rPr>
        <w:t>参与</w:t>
      </w:r>
      <w:r>
        <w:rPr>
          <w:rFonts w:asciiTheme="minorEastAsia" w:hAnsiTheme="minorEastAsia" w:eastAsiaTheme="minorEastAsia"/>
          <w:color w:val="auto"/>
          <w:sz w:val="24"/>
        </w:rPr>
        <w:t>其中某一个或</w:t>
      </w:r>
      <w:r>
        <w:rPr>
          <w:rFonts w:hint="eastAsia" w:asciiTheme="minorEastAsia" w:hAnsiTheme="minorEastAsia" w:eastAsiaTheme="minorEastAsia"/>
          <w:color w:val="auto"/>
          <w:sz w:val="24"/>
        </w:rPr>
        <w:t>多</w:t>
      </w:r>
      <w:r>
        <w:rPr>
          <w:rFonts w:asciiTheme="minorEastAsia" w:hAnsiTheme="minorEastAsia" w:eastAsiaTheme="minorEastAsia"/>
          <w:color w:val="auto"/>
          <w:sz w:val="24"/>
        </w:rPr>
        <w:t>个分包</w:t>
      </w:r>
      <w:r>
        <w:rPr>
          <w:rFonts w:hint="eastAsia" w:asciiTheme="minorEastAsia" w:hAnsiTheme="minorEastAsia" w:eastAsiaTheme="minorEastAsia"/>
          <w:color w:val="auto"/>
          <w:sz w:val="24"/>
        </w:rPr>
        <w:t>的磋商</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成交包数详见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中规定。</w:t>
      </w:r>
    </w:p>
    <w:p w14:paraId="326F6A1B">
      <w:pPr>
        <w:spacing w:line="360" w:lineRule="auto"/>
        <w:ind w:firstLine="435"/>
        <w:rPr>
          <w:rFonts w:eastAsiaTheme="minorEastAsia"/>
          <w:color w:val="auto"/>
        </w:rPr>
      </w:pPr>
      <w:r>
        <w:rPr>
          <w:rFonts w:hint="eastAsia" w:asciiTheme="minorEastAsia" w:hAnsiTheme="minorEastAsia" w:eastAsiaTheme="minorEastAsia"/>
          <w:color w:val="auto"/>
          <w:sz w:val="24"/>
        </w:rPr>
        <w:t>7.2 供应商</w:t>
      </w:r>
      <w:r>
        <w:rPr>
          <w:rFonts w:asciiTheme="minorEastAsia" w:hAnsiTheme="minorEastAsia" w:eastAsiaTheme="minorEastAsia"/>
          <w:color w:val="auto"/>
          <w:sz w:val="24"/>
        </w:rPr>
        <w:t>应当对所投分包</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文件中“</w:t>
      </w:r>
      <w:r>
        <w:rPr>
          <w:rFonts w:hint="eastAsia" w:asciiTheme="minorEastAsia" w:hAnsiTheme="minorEastAsia" w:eastAsiaTheme="minorEastAsia"/>
          <w:color w:val="auto"/>
          <w:sz w:val="24"/>
        </w:rPr>
        <w:t>采购</w:t>
      </w:r>
      <w:r>
        <w:rPr>
          <w:rFonts w:asciiTheme="minorEastAsia" w:hAnsiTheme="minorEastAsia" w:eastAsiaTheme="minorEastAsia"/>
          <w:color w:val="auto"/>
          <w:sz w:val="24"/>
        </w:rPr>
        <w:t>需求”所列的所有内容进行</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，如仅响应</w:t>
      </w:r>
      <w:r>
        <w:rPr>
          <w:rFonts w:hint="eastAsia" w:asciiTheme="minorEastAsia" w:hAnsiTheme="minorEastAsia" w:eastAsiaTheme="minorEastAsia"/>
          <w:color w:val="auto"/>
          <w:sz w:val="24"/>
        </w:rPr>
        <w:t>所投包别</w:t>
      </w:r>
      <w:r>
        <w:rPr>
          <w:rFonts w:asciiTheme="minorEastAsia" w:hAnsiTheme="minorEastAsia" w:eastAsiaTheme="minorEastAsia"/>
          <w:color w:val="auto"/>
          <w:sz w:val="24"/>
        </w:rPr>
        <w:t>中的部分内容，其</w:t>
      </w:r>
      <w:r>
        <w:rPr>
          <w:rFonts w:hint="eastAsia" w:asciiTheme="minorEastAsia" w:hAnsiTheme="minorEastAsia" w:eastAsiaTheme="minorEastAsia"/>
          <w:color w:val="auto"/>
          <w:sz w:val="24"/>
        </w:rPr>
        <w:t>所投包别的响应</w:t>
      </w:r>
      <w:r>
        <w:rPr>
          <w:rFonts w:asciiTheme="minorEastAsia" w:hAnsiTheme="minorEastAsia" w:eastAsiaTheme="minorEastAsia"/>
          <w:color w:val="auto"/>
          <w:sz w:val="24"/>
        </w:rPr>
        <w:t>将被认定为</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06C11CF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无论磋商文件中是否要求，供应商所投货物及伴随的服务和工程均应符合国家强制性标准。</w:t>
      </w:r>
    </w:p>
    <w:p w14:paraId="1CBE6A6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3599B10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除磋商文件中有特殊要求外，响应文件中所使用的计量单位，应采用中华人民共和国法定计量单位。</w:t>
      </w:r>
    </w:p>
    <w:p w14:paraId="1D630E99">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响应文件构成</w:t>
      </w:r>
    </w:p>
    <w:p w14:paraId="3DF7B97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.1</w:t>
      </w:r>
      <w:r>
        <w:rPr>
          <w:rFonts w:hint="eastAsia" w:ascii="宋体" w:hAnsi="宋体" w:eastAsia="宋体"/>
          <w:color w:val="auto"/>
          <w:sz w:val="24"/>
        </w:rPr>
        <w:t>供应商</w:t>
      </w:r>
      <w:r>
        <w:rPr>
          <w:rFonts w:asciiTheme="minorEastAsia" w:hAnsiTheme="minorEastAsia" w:eastAsiaTheme="minorEastAsia"/>
          <w:color w:val="auto"/>
          <w:sz w:val="24"/>
        </w:rPr>
        <w:t>应完整地按</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文件提供的</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文件格式及要求</w:t>
      </w:r>
      <w:r>
        <w:rPr>
          <w:rFonts w:hint="eastAsia" w:asciiTheme="minorEastAsia" w:hAnsiTheme="minorEastAsia" w:eastAsiaTheme="minorEastAsia"/>
          <w:color w:val="auto"/>
          <w:sz w:val="24"/>
        </w:rPr>
        <w:t>编</w:t>
      </w:r>
      <w:r>
        <w:rPr>
          <w:rFonts w:asciiTheme="minorEastAsia" w:hAnsiTheme="minorEastAsia" w:eastAsiaTheme="minorEastAsia"/>
          <w:color w:val="auto"/>
          <w:sz w:val="24"/>
        </w:rPr>
        <w:t>写</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w:t>
      </w:r>
      <w:r>
        <w:rPr>
          <w:rFonts w:hint="eastAsia" w:asciiTheme="minorEastAsia" w:hAnsiTheme="minorEastAsia" w:eastAsiaTheme="minorEastAsia"/>
          <w:color w:val="auto"/>
          <w:sz w:val="24"/>
        </w:rPr>
        <w:t>具体内容详见本项目响应文件格式的相关内容。</w:t>
      </w:r>
    </w:p>
    <w:p w14:paraId="6C3BF05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8.2</w:t>
      </w:r>
      <w:r>
        <w:rPr>
          <w:rFonts w:hint="eastAsia" w:ascii="宋体" w:hAnsi="宋体" w:eastAsia="宋体"/>
          <w:color w:val="auto"/>
          <w:sz w:val="24"/>
        </w:rPr>
        <w:t>供应商</w:t>
      </w:r>
      <w:r>
        <w:rPr>
          <w:rFonts w:asciiTheme="minorEastAsia" w:hAnsiTheme="minorEastAsia" w:eastAsiaTheme="minorEastAsia"/>
          <w:color w:val="auto"/>
          <w:sz w:val="24"/>
        </w:rPr>
        <w:t>应提交</w:t>
      </w:r>
      <w:r>
        <w:rPr>
          <w:rFonts w:hint="eastAsia" w:asciiTheme="minorEastAsia" w:hAnsiTheme="minorEastAsia" w:eastAsiaTheme="minorEastAsia"/>
          <w:color w:val="auto"/>
          <w:sz w:val="24"/>
        </w:rPr>
        <w:t>磋商文件要求的</w:t>
      </w:r>
      <w:r>
        <w:rPr>
          <w:rFonts w:asciiTheme="minorEastAsia" w:hAnsiTheme="minorEastAsia" w:eastAsiaTheme="minorEastAsia"/>
          <w:color w:val="auto"/>
          <w:sz w:val="24"/>
        </w:rPr>
        <w:t>证明文件，证明其</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内容符合</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文件规定</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该证明文件是</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文件的一部分</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证明文件</w:t>
      </w:r>
      <w:r>
        <w:rPr>
          <w:rFonts w:hint="eastAsia" w:asciiTheme="minorEastAsia" w:hAnsiTheme="minorEastAsia" w:eastAsiaTheme="minorEastAsia"/>
          <w:color w:val="auto"/>
          <w:sz w:val="24"/>
        </w:rPr>
        <w:t>形式</w:t>
      </w:r>
      <w:r>
        <w:rPr>
          <w:rFonts w:asciiTheme="minorEastAsia" w:hAnsiTheme="minorEastAsia" w:eastAsiaTheme="minorEastAsia"/>
          <w:color w:val="auto"/>
          <w:sz w:val="24"/>
        </w:rPr>
        <w:t>可以是文字资料、图纸和数据</w:t>
      </w:r>
      <w:r>
        <w:rPr>
          <w:rFonts w:hint="eastAsia" w:asciiTheme="minorEastAsia" w:hAnsiTheme="minorEastAsia" w:eastAsiaTheme="minorEastAsia"/>
          <w:color w:val="auto"/>
          <w:sz w:val="24"/>
        </w:rPr>
        <w:t>等。</w:t>
      </w:r>
    </w:p>
    <w:p w14:paraId="32F1AF11">
      <w:pPr>
        <w:spacing w:line="360" w:lineRule="auto"/>
        <w:ind w:firstLine="435"/>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rPr>
        <w:t>8.3</w:t>
      </w:r>
      <w:r>
        <w:rPr>
          <w:rFonts w:asciiTheme="minorEastAsia" w:hAnsiTheme="minorEastAsia" w:eastAsiaTheme="minorEastAsia"/>
          <w:color w:val="auto"/>
          <w:sz w:val="24"/>
        </w:rPr>
        <w:t>为保证</w:t>
      </w:r>
      <w:r>
        <w:rPr>
          <w:rFonts w:ascii="宋体" w:hAnsi="宋体" w:eastAsia="宋体"/>
          <w:color w:val="auto"/>
          <w:sz w:val="24"/>
        </w:rPr>
        <w:t>公平</w:t>
      </w:r>
      <w:r>
        <w:rPr>
          <w:rFonts w:asciiTheme="minorEastAsia" w:hAnsiTheme="minorEastAsia" w:eastAsiaTheme="minorEastAsia"/>
          <w:color w:val="auto"/>
          <w:sz w:val="24"/>
        </w:rPr>
        <w:t>公正，除非另有规定或说明，</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对同一项目</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时，不得同时提供</w:t>
      </w:r>
      <w:r>
        <w:rPr>
          <w:rFonts w:hint="eastAsia" w:asciiTheme="minorEastAsia" w:hAnsiTheme="minorEastAsia" w:eastAsiaTheme="minorEastAsia"/>
          <w:color w:val="auto"/>
          <w:sz w:val="24"/>
        </w:rPr>
        <w:t>备选磋商</w:t>
      </w:r>
      <w:r>
        <w:rPr>
          <w:rFonts w:asciiTheme="minorEastAsia" w:hAnsiTheme="minorEastAsia" w:eastAsiaTheme="minorEastAsia"/>
          <w:color w:val="auto"/>
          <w:sz w:val="24"/>
        </w:rPr>
        <w:t>方案。</w:t>
      </w:r>
    </w:p>
    <w:p w14:paraId="55BA0594">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9</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报价</w:t>
      </w:r>
    </w:p>
    <w:p w14:paraId="3357651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的报价应当包括满足本次</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全部采购需求所应提供的</w:t>
      </w:r>
      <w:r>
        <w:rPr>
          <w:rFonts w:hint="eastAsia" w:asciiTheme="minorEastAsia" w:hAnsiTheme="minorEastAsia" w:eastAsiaTheme="minorEastAsia"/>
          <w:color w:val="auto"/>
          <w:sz w:val="24"/>
        </w:rPr>
        <w:t>货物，</w:t>
      </w:r>
      <w:r>
        <w:rPr>
          <w:rFonts w:asciiTheme="minorEastAsia" w:hAnsiTheme="minorEastAsia" w:eastAsiaTheme="minorEastAsia"/>
          <w:color w:val="auto"/>
          <w:sz w:val="24"/>
        </w:rPr>
        <w:t>以及伴随的</w:t>
      </w: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和工程</w:t>
      </w:r>
      <w:r>
        <w:rPr>
          <w:rFonts w:hint="eastAsia" w:asciiTheme="minorEastAsia" w:hAnsiTheme="minorEastAsia" w:eastAsiaTheme="minorEastAsia"/>
          <w:color w:val="auto"/>
          <w:sz w:val="24"/>
        </w:rPr>
        <w:t>。除磋商文件另有规定外，所有内容均应以人民币报价，供应商的磋商报价应遵守《中华人民共和国价格法》。</w:t>
      </w:r>
    </w:p>
    <w:p w14:paraId="5FAA5CC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除非磋商文件另有规定或经采购人同意支付的，最后报价均不得高于磋商文件（公告）列明的项目预算，否则其响应文件将被认定为</w:t>
      </w:r>
      <w:r>
        <w:rPr>
          <w:rFonts w:asciiTheme="minorEastAsia" w:hAnsiTheme="minorEastAsia" w:eastAsiaTheme="minorEastAsia"/>
          <w:b/>
          <w:color w:val="auto"/>
          <w:sz w:val="24"/>
        </w:rPr>
        <w:t>响应无效</w:t>
      </w:r>
      <w:r>
        <w:rPr>
          <w:rFonts w:asciiTheme="minorEastAsia" w:hAnsiTheme="minorEastAsia" w:eastAsiaTheme="minorEastAsia"/>
          <w:color w:val="auto"/>
          <w:sz w:val="24"/>
        </w:rPr>
        <w:t>。</w:t>
      </w:r>
    </w:p>
    <w:p w14:paraId="2FA1EA4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3报价</w:t>
      </w:r>
      <w:r>
        <w:rPr>
          <w:rFonts w:asciiTheme="minorEastAsia" w:hAnsiTheme="minorEastAsia" w:eastAsiaTheme="minorEastAsia"/>
          <w:color w:val="auto"/>
          <w:sz w:val="24"/>
        </w:rPr>
        <w:t>在合同履行过程中是固定不变的，不得以任何理由予以变更。任何包含价格调整要求的</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，其</w:t>
      </w:r>
      <w:r>
        <w:rPr>
          <w:rFonts w:hint="eastAsia" w:asciiTheme="minorEastAsia" w:hAnsiTheme="minorEastAsia" w:eastAsiaTheme="minorEastAsia"/>
          <w:color w:val="auto"/>
          <w:sz w:val="24"/>
        </w:rPr>
        <w:t>响应文件将被认定为</w:t>
      </w:r>
      <w:r>
        <w:rPr>
          <w:rFonts w:hint="eastAsia" w:asciiTheme="minorEastAsia" w:hAnsiTheme="minorEastAsia" w:eastAsiaTheme="minorEastAsia"/>
          <w:b/>
          <w:color w:val="auto"/>
          <w:sz w:val="24"/>
        </w:rPr>
        <w:t>响应无效</w:t>
      </w:r>
      <w:r>
        <w:rPr>
          <w:rFonts w:asciiTheme="minorEastAsia" w:hAnsiTheme="minorEastAsia" w:eastAsiaTheme="minorEastAsia"/>
          <w:color w:val="auto"/>
          <w:sz w:val="24"/>
        </w:rPr>
        <w:t>。</w:t>
      </w:r>
    </w:p>
    <w:p w14:paraId="5586565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采购人不接受具有附加条件的报价。</w:t>
      </w:r>
    </w:p>
    <w:p w14:paraId="46E57EB9">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磋商保证金</w:t>
      </w:r>
    </w:p>
    <w:p w14:paraId="20C66EF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10.1本项目不收取磋商保证金。</w:t>
      </w:r>
    </w:p>
    <w:p w14:paraId="0E7A8934">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磋商有效期</w:t>
      </w:r>
    </w:p>
    <w:p w14:paraId="74144C8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r>
        <w:rPr>
          <w:rFonts w:asciiTheme="minorEastAsia" w:hAnsiTheme="minorEastAsia" w:eastAsiaTheme="minorEastAsia"/>
          <w:color w:val="auto"/>
          <w:sz w:val="24"/>
        </w:rPr>
        <w:t>.1磋商有效期为从响应文件提交截止之日算起的日历天数，磋商有效期详见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w:t>
      </w:r>
    </w:p>
    <w:p w14:paraId="5E70248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r>
        <w:rPr>
          <w:rFonts w:asciiTheme="minorEastAsia" w:hAnsiTheme="minorEastAsia" w:eastAsiaTheme="minorEastAsia"/>
          <w:color w:val="auto"/>
          <w:sz w:val="24"/>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rPr>
        <w:t>响应无效</w:t>
      </w:r>
      <w:r>
        <w:rPr>
          <w:rFonts w:asciiTheme="minorEastAsia" w:hAnsiTheme="minorEastAsia" w:eastAsiaTheme="minorEastAsia"/>
          <w:color w:val="auto"/>
          <w:sz w:val="24"/>
        </w:rPr>
        <w:t>。</w:t>
      </w:r>
    </w:p>
    <w:p w14:paraId="6CA845B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r>
        <w:rPr>
          <w:rFonts w:asciiTheme="minorEastAsia" w:hAnsiTheme="minorEastAsia" w:eastAsiaTheme="minorEastAsia"/>
          <w:color w:val="auto"/>
          <w:sz w:val="24"/>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2D54634">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响应文件的提交、修改与撤回</w:t>
      </w:r>
    </w:p>
    <w:p w14:paraId="443283F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12.1供应商应当在第一章竞争性磋商公告规定的响应文件提交截止时间前</w:t>
      </w:r>
      <w:r>
        <w:rPr>
          <w:rFonts w:asciiTheme="minorEastAsia" w:hAnsiTheme="minorEastAsia" w:eastAsiaTheme="minorEastAsia"/>
          <w:color w:val="auto"/>
          <w:sz w:val="24"/>
        </w:rPr>
        <w:t>，将加密的</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w:t>
      </w:r>
      <w:r>
        <w:rPr>
          <w:rFonts w:hint="eastAsia" w:asciiTheme="minorEastAsia" w:hAnsiTheme="minorEastAsia" w:eastAsiaTheme="minorEastAsia"/>
          <w:color w:val="auto"/>
          <w:sz w:val="24"/>
        </w:rPr>
        <w:t>在电子交易系统</w:t>
      </w:r>
      <w:r>
        <w:rPr>
          <w:rFonts w:asciiTheme="minorEastAsia" w:hAnsiTheme="minorEastAsia" w:eastAsiaTheme="minorEastAsia"/>
          <w:color w:val="auto"/>
          <w:sz w:val="24"/>
        </w:rPr>
        <w:t>上传。</w:t>
      </w:r>
    </w:p>
    <w:p w14:paraId="115426F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8EA8AB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供应商应在</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规定的解密时间前对其响应文件进行解密。未在规定时间内进行解密的，</w:t>
      </w:r>
      <w:r>
        <w:rPr>
          <w:rFonts w:hint="eastAsia" w:asciiTheme="minorEastAsia" w:hAnsiTheme="minorEastAsia" w:eastAsiaTheme="minorEastAsia"/>
          <w:b/>
          <w:bCs/>
          <w:color w:val="auto"/>
          <w:sz w:val="24"/>
        </w:rPr>
        <w:t>响应无效。</w:t>
      </w:r>
    </w:p>
    <w:p w14:paraId="12002141">
      <w:pPr>
        <w:spacing w:line="360" w:lineRule="auto"/>
        <w:ind w:firstLine="435"/>
        <w:rPr>
          <w:rFonts w:ascii="宋体" w:hAnsi="宋体" w:eastAsia="宋体"/>
          <w:color w:val="auto"/>
          <w:sz w:val="24"/>
        </w:rPr>
      </w:pPr>
      <w:r>
        <w:rPr>
          <w:rFonts w:hint="eastAsia" w:asciiTheme="minorEastAsia" w:hAnsiTheme="minorEastAsia" w:eastAsiaTheme="minorEastAsia"/>
          <w:color w:val="auto"/>
          <w:sz w:val="24"/>
        </w:rPr>
        <w:t>12.4在响应文件提交截止时间之后，供应商不得对其响应文件做任何修改。</w:t>
      </w:r>
      <w:r>
        <w:rPr>
          <w:rFonts w:hint="eastAsia" w:ascii="宋体" w:hAnsi="宋体" w:eastAsia="宋体"/>
          <w:color w:val="auto"/>
          <w:sz w:val="24"/>
        </w:rPr>
        <w:t>但属于磋商小组在评审中发现的计算错误并进行核实的修改、按照磋商文件的变动情况和磋商小组的要求重新提交响应文件的，不在此列。</w:t>
      </w:r>
    </w:p>
    <w:p w14:paraId="35A1A248">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磋商小组</w:t>
      </w:r>
    </w:p>
    <w:p w14:paraId="617B16B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r>
        <w:rPr>
          <w:rFonts w:asciiTheme="minorEastAsia" w:hAnsiTheme="minorEastAsia" w:eastAsiaTheme="minorEastAsia"/>
          <w:color w:val="auto"/>
          <w:sz w:val="24"/>
        </w:rPr>
        <w:t>.1本项目将依法组建磋商小组，磋商小组成员由3人以上</w:t>
      </w:r>
      <w:r>
        <w:rPr>
          <w:rFonts w:hint="eastAsia" w:asciiTheme="minorEastAsia" w:hAnsiTheme="minorEastAsia" w:eastAsiaTheme="minorEastAsia"/>
          <w:color w:val="auto"/>
          <w:sz w:val="24"/>
        </w:rPr>
        <w:t>（含）</w:t>
      </w:r>
      <w:r>
        <w:rPr>
          <w:rFonts w:asciiTheme="minorEastAsia" w:hAnsiTheme="minorEastAsia" w:eastAsiaTheme="minorEastAsia"/>
          <w:color w:val="auto"/>
          <w:sz w:val="24"/>
        </w:rPr>
        <w:t>单数组成，磋商小组及其成员应当依照政府采购的有关规定履行相关职责和义务。</w:t>
      </w:r>
    </w:p>
    <w:p w14:paraId="0505330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r>
        <w:rPr>
          <w:rFonts w:asciiTheme="minorEastAsia" w:hAnsiTheme="minorEastAsia" w:eastAsiaTheme="minorEastAsia"/>
          <w:color w:val="auto"/>
          <w:sz w:val="24"/>
        </w:rPr>
        <w:t>.2磋商小组依法对响应文件进行评审，并根据磋商文件规定的程序、评定成交的标准等事项与实质性响应磋商文件要求的供应商进行磋商。</w:t>
      </w:r>
    </w:p>
    <w:p w14:paraId="5BA28D4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r>
        <w:rPr>
          <w:rFonts w:asciiTheme="minorEastAsia" w:hAnsiTheme="minorEastAsia" w:eastAsiaTheme="minorEastAsia"/>
          <w:color w:val="auto"/>
          <w:sz w:val="24"/>
        </w:rPr>
        <w:t>.3磋商小组应当从质量和服务均能满足磋商文件实质性响应要求的供应商中，按照评审方法和标准</w:t>
      </w:r>
      <w:r>
        <w:rPr>
          <w:rFonts w:hint="eastAsia" w:asciiTheme="minorEastAsia" w:hAnsiTheme="minorEastAsia" w:eastAsiaTheme="minorEastAsia"/>
          <w:color w:val="auto"/>
          <w:sz w:val="24"/>
        </w:rPr>
        <w:t>推荐</w:t>
      </w:r>
      <w:r>
        <w:rPr>
          <w:rFonts w:asciiTheme="minorEastAsia" w:hAnsiTheme="minorEastAsia" w:eastAsiaTheme="minorEastAsia"/>
          <w:color w:val="auto"/>
          <w:sz w:val="24"/>
        </w:rPr>
        <w:t>成交候选供应商，并编写</w:t>
      </w:r>
      <w:r>
        <w:rPr>
          <w:rFonts w:hint="eastAsia" w:asciiTheme="minorEastAsia" w:hAnsiTheme="minorEastAsia" w:eastAsiaTheme="minorEastAsia"/>
          <w:color w:val="auto"/>
          <w:sz w:val="24"/>
        </w:rPr>
        <w:t>评审</w:t>
      </w:r>
      <w:r>
        <w:rPr>
          <w:rFonts w:asciiTheme="minorEastAsia" w:hAnsiTheme="minorEastAsia" w:eastAsiaTheme="minorEastAsia"/>
          <w:color w:val="auto"/>
          <w:sz w:val="24"/>
        </w:rPr>
        <w:t>报告。</w:t>
      </w:r>
    </w:p>
    <w:p w14:paraId="209BACAC">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14</w:t>
      </w:r>
      <w:r>
        <w:rPr>
          <w:rFonts w:asciiTheme="minorEastAsia" w:hAnsiTheme="minorEastAsia" w:eastAsiaTheme="minorEastAsia"/>
          <w:b/>
          <w:color w:val="auto"/>
          <w:sz w:val="24"/>
        </w:rPr>
        <w:t>.响应文件的评审与磋商</w:t>
      </w:r>
    </w:p>
    <w:p w14:paraId="3F5A62D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1采购人和采购代理机构将在竞争性磋商公告规定的时间和地点组织磋商。</w:t>
      </w:r>
    </w:p>
    <w:p w14:paraId="00D019C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14.2竞争性磋商活动采用综合评分法评审。</w:t>
      </w:r>
    </w:p>
    <w:p w14:paraId="3C633C6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综合评分法，是指响应文件满足磋商文件全部实质性要求且按评审因素的量化指标评审得分最高的供应商为成交候选供应商的评审方法。</w:t>
      </w:r>
    </w:p>
    <w:p w14:paraId="7FA0870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14.3磋商小组将按照磋商文件规定的评审方法和标准对供应商独立进行评审。评审程序如下：</w:t>
      </w:r>
    </w:p>
    <w:p w14:paraId="4081BF7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14.3.1</w:t>
      </w:r>
      <w:r>
        <w:rPr>
          <w:rFonts w:hint="eastAsia" w:asciiTheme="minorEastAsia" w:hAnsiTheme="minorEastAsia" w:eastAsiaTheme="minorEastAsia"/>
          <w:b/>
          <w:color w:val="auto"/>
          <w:sz w:val="24"/>
        </w:rPr>
        <w:t>初审</w:t>
      </w:r>
      <w:r>
        <w:rPr>
          <w:rFonts w:hint="eastAsia" w:asciiTheme="minorEastAsia" w:hAnsiTheme="minorEastAsia" w:eastAsiaTheme="minorEastAsia"/>
          <w:color w:val="auto"/>
          <w:sz w:val="24"/>
        </w:rPr>
        <w:t>。磋商小组对供应商必须满足和实质性响应的内容进行评审，供应商未实质性响应磋商文件要求导致响应无效的，磋商小组将以书面询标的方式告知有关供应商。</w:t>
      </w:r>
    </w:p>
    <w:p w14:paraId="645D672E">
      <w:pPr>
        <w:spacing w:line="360" w:lineRule="auto"/>
        <w:ind w:firstLine="435"/>
        <w:rPr>
          <w:rFonts w:ascii="宋体" w:hAnsi="宋体" w:eastAsia="宋体" w:cs="宋体"/>
          <w:color w:val="auto"/>
          <w:sz w:val="24"/>
          <w:szCs w:val="24"/>
        </w:rPr>
      </w:pPr>
      <w:r>
        <w:rPr>
          <w:rFonts w:hint="eastAsia" w:ascii="宋体" w:hAnsi="宋体" w:eastAsia="宋体" w:cs="宋体"/>
          <w:color w:val="auto"/>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rPr>
        <w:t>响应无效</w:t>
      </w:r>
      <w:r>
        <w:rPr>
          <w:rFonts w:hint="eastAsia" w:ascii="宋体" w:hAnsi="宋体" w:eastAsia="宋体" w:cs="宋体"/>
          <w:color w:val="auto"/>
          <w:sz w:val="24"/>
          <w:szCs w:val="24"/>
        </w:rPr>
        <w:t>。</w:t>
      </w:r>
    </w:p>
    <w:p w14:paraId="2D607551">
      <w:pPr>
        <w:spacing w:line="360" w:lineRule="auto"/>
        <w:ind w:firstLine="435"/>
        <w:rPr>
          <w:rFonts w:ascii="宋体" w:hAnsi="宋体" w:eastAsia="宋体" w:cs="宋体"/>
          <w:color w:val="auto"/>
          <w:sz w:val="24"/>
          <w:szCs w:val="24"/>
        </w:rPr>
      </w:pPr>
      <w:r>
        <w:rPr>
          <w:rFonts w:hint="eastAsia" w:ascii="宋体" w:hAnsi="宋体" w:eastAsia="宋体" w:cs="宋体"/>
          <w:color w:val="auto"/>
          <w:sz w:val="24"/>
          <w:szCs w:val="24"/>
        </w:rPr>
        <w:t>以联合体形式参加磋商的，联合体成员存在以上不良信用记录的，联合体磋商将被认定为</w:t>
      </w:r>
      <w:r>
        <w:rPr>
          <w:rFonts w:hint="eastAsia" w:ascii="宋体" w:hAnsi="宋体" w:eastAsia="宋体" w:cs="宋体"/>
          <w:b/>
          <w:color w:val="auto"/>
          <w:sz w:val="24"/>
          <w:szCs w:val="24"/>
        </w:rPr>
        <w:t>响应无效</w:t>
      </w:r>
      <w:r>
        <w:rPr>
          <w:rFonts w:hint="eastAsia" w:ascii="宋体" w:hAnsi="宋体" w:eastAsia="宋体" w:cs="宋体"/>
          <w:color w:val="auto"/>
          <w:sz w:val="24"/>
          <w:szCs w:val="24"/>
        </w:rPr>
        <w:t>。</w:t>
      </w:r>
    </w:p>
    <w:p w14:paraId="71D620CF">
      <w:pPr>
        <w:spacing w:line="360" w:lineRule="auto"/>
        <w:ind w:firstLine="435"/>
        <w:rPr>
          <w:rFonts w:asciiTheme="minorEastAsia" w:hAnsiTheme="minorEastAsia" w:eastAsiaTheme="minorEastAsia"/>
          <w:color w:val="auto"/>
          <w:sz w:val="24"/>
        </w:rPr>
      </w:pPr>
      <w:r>
        <w:rPr>
          <w:rFonts w:hint="eastAsia" w:ascii="宋体" w:hAnsi="宋体" w:eastAsia="宋体" w:cs="宋体"/>
          <w:color w:val="auto"/>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62AC67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14.3.2</w:t>
      </w:r>
      <w:r>
        <w:rPr>
          <w:rFonts w:hint="eastAsia" w:asciiTheme="minorEastAsia" w:hAnsiTheme="minorEastAsia" w:eastAsiaTheme="minorEastAsia"/>
          <w:b/>
          <w:color w:val="auto"/>
          <w:sz w:val="24"/>
        </w:rPr>
        <w:t>磋商</w:t>
      </w:r>
      <w:r>
        <w:rPr>
          <w:rFonts w:hint="eastAsia" w:asciiTheme="minorEastAsia" w:hAnsiTheme="minorEastAsia" w:eastAsiaTheme="minorEastAsia"/>
          <w:color w:val="auto"/>
          <w:sz w:val="24"/>
        </w:rPr>
        <w:t>。初审合格后，磋商小组将按网上加密电子响应文件提交顺序集中与单一供应商分别进行磋商，并给予所有参加磋商的供应商平等的磋商机会。</w:t>
      </w:r>
    </w:p>
    <w:p w14:paraId="26D8D4F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14.3.3</w:t>
      </w:r>
      <w:r>
        <w:rPr>
          <w:rFonts w:asciiTheme="minorEastAsia" w:hAnsiTheme="minorEastAsia" w:eastAsiaTheme="minorEastAsia"/>
          <w:b/>
          <w:color w:val="auto"/>
          <w:sz w:val="24"/>
        </w:rPr>
        <w:t>报价</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磋商结束后，磋商小组应当要求所有</w:t>
      </w:r>
      <w:r>
        <w:rPr>
          <w:rFonts w:hint="eastAsia" w:asciiTheme="minorEastAsia" w:hAnsiTheme="minorEastAsia" w:eastAsiaTheme="minorEastAsia"/>
          <w:color w:val="auto"/>
          <w:sz w:val="24"/>
        </w:rPr>
        <w:t>实质性响应</w:t>
      </w:r>
      <w:r>
        <w:rPr>
          <w:rFonts w:asciiTheme="minorEastAsia" w:hAnsiTheme="minorEastAsia" w:eastAsiaTheme="minorEastAsia"/>
          <w:color w:val="auto"/>
          <w:sz w:val="24"/>
        </w:rPr>
        <w:t>的供应商在规定时间内提交最后报价</w:t>
      </w:r>
      <w:r>
        <w:rPr>
          <w:rFonts w:hint="eastAsia" w:ascii="宋体" w:hAnsi="宋体" w:eastAsia="宋体"/>
          <w:color w:val="auto"/>
          <w:sz w:val="24"/>
        </w:rPr>
        <w:t>。</w:t>
      </w:r>
    </w:p>
    <w:p w14:paraId="38A245DE">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14.3.4</w:t>
      </w:r>
      <w:r>
        <w:rPr>
          <w:rFonts w:hint="eastAsia" w:asciiTheme="minorEastAsia" w:hAnsiTheme="minorEastAsia" w:eastAsiaTheme="minorEastAsia"/>
          <w:b/>
          <w:color w:val="auto"/>
          <w:sz w:val="24"/>
        </w:rPr>
        <w:t>综合评分</w:t>
      </w:r>
      <w:r>
        <w:rPr>
          <w:rFonts w:hint="eastAsia" w:asciiTheme="minorEastAsia" w:hAnsiTheme="minorEastAsia" w:eastAsiaTheme="minorEastAsia"/>
          <w:color w:val="auto"/>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D6F097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14.4相关说明。</w:t>
      </w:r>
    </w:p>
    <w:p w14:paraId="63CB8EB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14.4.1为保证磋商活动顺利进行，供应商可派相关技术人员进行网上答疑； </w:t>
      </w:r>
    </w:p>
    <w:p w14:paraId="24ED3A1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14.4.2磋</w:t>
      </w:r>
      <w:r>
        <w:rPr>
          <w:rFonts w:asciiTheme="minorEastAsia" w:hAnsiTheme="minorEastAsia" w:eastAsiaTheme="minorEastAsia"/>
          <w:color w:val="auto"/>
          <w:sz w:val="24"/>
        </w:rPr>
        <w:t>商小组根据与</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磋商情况可能实质性变动</w:t>
      </w:r>
      <w:r>
        <w:rPr>
          <w:rFonts w:hint="eastAsia" w:asciiTheme="minorEastAsia" w:hAnsiTheme="minorEastAsia" w:eastAsiaTheme="minorEastAsia"/>
          <w:color w:val="auto"/>
          <w:sz w:val="24"/>
        </w:rPr>
        <w:t>磋商文件</w:t>
      </w:r>
      <w:r>
        <w:rPr>
          <w:rFonts w:asciiTheme="minorEastAsia" w:hAnsiTheme="minorEastAsia" w:eastAsiaTheme="minorEastAsia"/>
          <w:color w:val="auto"/>
          <w:sz w:val="24"/>
        </w:rPr>
        <w:t>的内容，包括采购需求中的技术、服务要求以及合同草案条款。磋商文件有实质性变动的，</w:t>
      </w:r>
      <w:r>
        <w:rPr>
          <w:rFonts w:hint="eastAsia" w:asciiTheme="minorEastAsia" w:hAnsiTheme="minorEastAsia" w:eastAsiaTheme="minorEastAsia"/>
          <w:color w:val="auto"/>
          <w:sz w:val="24"/>
        </w:rPr>
        <w:t>经采购人代表确认作为磋商文件的有效组成部分，</w:t>
      </w:r>
      <w:r>
        <w:rPr>
          <w:rFonts w:asciiTheme="minorEastAsia" w:hAnsiTheme="minorEastAsia" w:eastAsiaTheme="minorEastAsia"/>
          <w:color w:val="auto"/>
          <w:sz w:val="24"/>
        </w:rPr>
        <w:t>磋商小组</w:t>
      </w:r>
      <w:r>
        <w:rPr>
          <w:rFonts w:hint="eastAsia" w:asciiTheme="minorEastAsia" w:hAnsiTheme="minorEastAsia" w:eastAsiaTheme="minorEastAsia"/>
          <w:color w:val="auto"/>
          <w:sz w:val="24"/>
        </w:rPr>
        <w:t>将</w:t>
      </w:r>
      <w:r>
        <w:rPr>
          <w:rFonts w:asciiTheme="minorEastAsia" w:hAnsiTheme="minorEastAsia" w:eastAsiaTheme="minorEastAsia"/>
          <w:color w:val="auto"/>
          <w:sz w:val="24"/>
        </w:rPr>
        <w:t>以书面形式通知所有参加磋商的供应商。</w:t>
      </w:r>
    </w:p>
    <w:p w14:paraId="4C4538D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rPr>
        <w:t>响应无效</w:t>
      </w:r>
      <w:r>
        <w:rPr>
          <w:rFonts w:hint="eastAsia" w:asciiTheme="minorEastAsia" w:hAnsiTheme="minorEastAsia" w:eastAsiaTheme="minorEastAsia"/>
          <w:color w:val="auto"/>
          <w:sz w:val="24"/>
        </w:rPr>
        <w:t>。</w:t>
      </w:r>
    </w:p>
    <w:p w14:paraId="375FF00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14.4.4</w:t>
      </w:r>
      <w:r>
        <w:rPr>
          <w:rFonts w:asciiTheme="minorEastAsia" w:hAnsiTheme="minorEastAsia" w:eastAsiaTheme="minorEastAsia"/>
          <w:color w:val="auto"/>
          <w:sz w:val="24"/>
        </w:rPr>
        <w:t>无论何种原因，即使供应商</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时携带了证书材料的原件，但响应文件中未提供与之内容完全一致的</w:t>
      </w:r>
      <w:r>
        <w:rPr>
          <w:rFonts w:hint="eastAsia" w:asciiTheme="minorEastAsia" w:hAnsiTheme="minorEastAsia" w:eastAsiaTheme="minorEastAsia"/>
          <w:color w:val="auto"/>
          <w:sz w:val="24"/>
        </w:rPr>
        <w:t>扫描件</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小组可以视同其未提供。</w:t>
      </w:r>
    </w:p>
    <w:p w14:paraId="580C359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14.4.5磋商</w:t>
      </w:r>
      <w:r>
        <w:rPr>
          <w:rFonts w:asciiTheme="minorEastAsia" w:hAnsiTheme="minorEastAsia" w:eastAsiaTheme="minorEastAsia"/>
          <w:color w:val="auto"/>
          <w:sz w:val="24"/>
        </w:rPr>
        <w:t>小组决定响应文件的响应性及符合性只根据响应文件本身的内容，而不寻求其他外部证据。</w:t>
      </w:r>
    </w:p>
    <w:p w14:paraId="2CD69BC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供应商</w:t>
      </w:r>
      <w:r>
        <w:rPr>
          <w:rFonts w:hint="eastAsia" w:asciiTheme="minorEastAsia" w:hAnsiTheme="minorEastAsia" w:eastAsiaTheme="minorEastAsia"/>
          <w:color w:val="auto"/>
          <w:sz w:val="24"/>
        </w:rPr>
        <w:t>授权</w:t>
      </w:r>
      <w:r>
        <w:rPr>
          <w:rFonts w:asciiTheme="minorEastAsia" w:hAnsiTheme="minorEastAsia" w:eastAsiaTheme="minorEastAsia"/>
          <w:color w:val="auto"/>
          <w:sz w:val="24"/>
        </w:rPr>
        <w:t>代表对</w:t>
      </w:r>
      <w:r>
        <w:rPr>
          <w:rFonts w:hint="eastAsia" w:asciiTheme="minorEastAsia" w:hAnsiTheme="minorEastAsia" w:eastAsiaTheme="minorEastAsia"/>
          <w:color w:val="auto"/>
          <w:sz w:val="24"/>
        </w:rPr>
        <w:t>磋商过程</w:t>
      </w:r>
      <w:r>
        <w:rPr>
          <w:rFonts w:asciiTheme="minorEastAsia" w:hAnsiTheme="minorEastAsia" w:eastAsiaTheme="minorEastAsia"/>
          <w:color w:val="auto"/>
          <w:sz w:val="24"/>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rPr>
        <w:t>，并说明理由。</w:t>
      </w:r>
      <w:r>
        <w:rPr>
          <w:rFonts w:asciiTheme="minorEastAsia" w:hAnsiTheme="minorEastAsia" w:eastAsiaTheme="minorEastAsia"/>
          <w:color w:val="auto"/>
          <w:sz w:val="24"/>
        </w:rPr>
        <w:t xml:space="preserve"> </w:t>
      </w:r>
    </w:p>
    <w:p w14:paraId="1F1314AC">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15</w:t>
      </w:r>
      <w:r>
        <w:rPr>
          <w:rFonts w:asciiTheme="minorEastAsia" w:hAnsiTheme="minorEastAsia" w:eastAsiaTheme="minorEastAsia"/>
          <w:b/>
          <w:color w:val="auto"/>
          <w:sz w:val="24"/>
        </w:rPr>
        <w:t>.终止竞争性磋商</w:t>
      </w:r>
    </w:p>
    <w:p w14:paraId="515C74B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15.1出现下列情况之一时，采购人和采购代理机构有权宣布终止竞争性磋商采购，并将理由通知所有供应商：</w:t>
      </w:r>
    </w:p>
    <w:p w14:paraId="281B075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（1）有效供应商数量不足，导致本次磋商缺乏竞争的；</w:t>
      </w:r>
    </w:p>
    <w:p w14:paraId="63C20CC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（2）出现影响采购公正的违法、违规行为的；</w:t>
      </w:r>
    </w:p>
    <w:p w14:paraId="1C57C29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（3）因重大变故，采购任务取消的；</w:t>
      </w:r>
    </w:p>
    <w:p w14:paraId="78451C77">
      <w:pPr>
        <w:spacing w:line="360" w:lineRule="auto"/>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（4）政府采购法律法规规定的其他情形。</w:t>
      </w:r>
    </w:p>
    <w:p w14:paraId="1B62060A">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16</w:t>
      </w:r>
      <w:r>
        <w:rPr>
          <w:rFonts w:asciiTheme="minorEastAsia" w:hAnsiTheme="minorEastAsia" w:eastAsiaTheme="minorEastAsia"/>
          <w:b/>
          <w:color w:val="auto"/>
          <w:sz w:val="24"/>
        </w:rPr>
        <w:t>.响应文件的澄清、说明或</w:t>
      </w:r>
      <w:r>
        <w:rPr>
          <w:rFonts w:hint="eastAsia" w:asciiTheme="minorEastAsia" w:hAnsiTheme="minorEastAsia" w:eastAsiaTheme="minorEastAsia"/>
          <w:b/>
          <w:color w:val="auto"/>
          <w:sz w:val="24"/>
        </w:rPr>
        <w:t>更正</w:t>
      </w:r>
    </w:p>
    <w:p w14:paraId="590D85D1">
      <w:pPr>
        <w:spacing w:line="360" w:lineRule="auto"/>
        <w:ind w:firstLine="470" w:firstLineChars="196"/>
        <w:rPr>
          <w:rFonts w:ascii="宋体" w:hAnsi="宋体" w:eastAsia="宋体"/>
          <w:color w:val="auto"/>
          <w:sz w:val="24"/>
        </w:rPr>
      </w:pPr>
      <w:r>
        <w:rPr>
          <w:rFonts w:hint="eastAsia" w:ascii="宋体" w:hAnsi="宋体" w:eastAsia="宋体"/>
          <w:color w:val="auto"/>
          <w:sz w:val="24"/>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752DE0B">
      <w:pPr>
        <w:spacing w:line="360" w:lineRule="auto"/>
        <w:ind w:firstLine="470" w:firstLineChars="196"/>
        <w:rPr>
          <w:rFonts w:ascii="宋体" w:hAnsi="宋体" w:eastAsia="宋体"/>
          <w:color w:val="auto"/>
          <w:sz w:val="24"/>
        </w:rPr>
      </w:pPr>
      <w:r>
        <w:rPr>
          <w:rFonts w:hint="eastAsia" w:ascii="宋体" w:hAnsi="宋体" w:eastAsia="宋体"/>
          <w:color w:val="auto"/>
          <w:sz w:val="24"/>
        </w:rPr>
        <w:t>16.2磋商小组要求供应商澄清、说明或者更正响应文件应当以书面形式（询标）作出。供应商的澄清、说明或者更正应当由法定代表人或其授权代表签字或者加盖公章（电子签章）。</w:t>
      </w:r>
    </w:p>
    <w:p w14:paraId="61B25F5D">
      <w:pPr>
        <w:spacing w:line="360" w:lineRule="auto"/>
        <w:ind w:firstLine="435"/>
        <w:rPr>
          <w:rFonts w:ascii="宋体" w:hAnsi="宋体" w:eastAsia="宋体"/>
          <w:color w:val="auto"/>
          <w:sz w:val="24"/>
        </w:rPr>
      </w:pPr>
      <w:r>
        <w:rPr>
          <w:rFonts w:hint="eastAsia" w:ascii="宋体" w:hAnsi="宋体" w:eastAsia="宋体"/>
          <w:b/>
          <w:color w:val="auto"/>
          <w:sz w:val="24"/>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rPr>
        <w:t>、没有及时登录系统等情形</w:t>
      </w:r>
      <w:r>
        <w:rPr>
          <w:rFonts w:hint="eastAsia" w:ascii="宋体" w:hAnsi="宋体" w:eastAsia="宋体"/>
          <w:b/>
          <w:color w:val="auto"/>
          <w:sz w:val="24"/>
        </w:rPr>
        <w:t>而无法接受磋商小组询标的，供应商自行承担相关风险。</w:t>
      </w:r>
    </w:p>
    <w:p w14:paraId="7B6EC559">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17</w:t>
      </w:r>
      <w:r>
        <w:rPr>
          <w:rFonts w:asciiTheme="minorEastAsia" w:hAnsiTheme="minorEastAsia" w:eastAsiaTheme="minorEastAsia"/>
          <w:b/>
          <w:color w:val="auto"/>
          <w:sz w:val="24"/>
        </w:rPr>
        <w:t>.最后报价</w:t>
      </w:r>
    </w:p>
    <w:p w14:paraId="688F096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17.1</w:t>
      </w:r>
      <w:r>
        <w:rPr>
          <w:rFonts w:asciiTheme="minorEastAsia" w:hAnsiTheme="minorEastAsia" w:eastAsiaTheme="minorEastAsia"/>
          <w:color w:val="auto"/>
          <w:sz w:val="24"/>
        </w:rPr>
        <w:t>磋商并不限定只进行二轮报价，如果磋商小组认为有必要，可以要求供应商进行多轮报价。</w:t>
      </w:r>
    </w:p>
    <w:p w14:paraId="2CE77E6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17.2</w:t>
      </w:r>
      <w:r>
        <w:rPr>
          <w:rFonts w:asciiTheme="minorEastAsia" w:hAnsiTheme="minorEastAsia" w:eastAsiaTheme="minorEastAsia"/>
          <w:color w:val="auto"/>
          <w:sz w:val="24"/>
        </w:rPr>
        <w:t>在磋商内容不做实质性变更或重大调整的前提下，供应商下轮报价不得高于上一轮报价</w:t>
      </w:r>
      <w:r>
        <w:rPr>
          <w:rFonts w:hint="eastAsia" w:asciiTheme="minorEastAsia" w:hAnsiTheme="minorEastAsia" w:eastAsiaTheme="minorEastAsia"/>
          <w:color w:val="auto"/>
          <w:sz w:val="24"/>
        </w:rPr>
        <w:t>。</w:t>
      </w:r>
    </w:p>
    <w:p w14:paraId="3FDB26B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17.3</w:t>
      </w:r>
      <w:r>
        <w:rPr>
          <w:rFonts w:asciiTheme="minorEastAsia" w:hAnsiTheme="minorEastAsia" w:eastAsiaTheme="minorEastAsia"/>
          <w:color w:val="auto"/>
          <w:sz w:val="24"/>
        </w:rPr>
        <w:t>最后报价是供应商响应文件的有效组成部分，最后报价也是签订合同的依据。</w:t>
      </w:r>
    </w:p>
    <w:p w14:paraId="2CDB689A">
      <w:pPr>
        <w:spacing w:line="360" w:lineRule="auto"/>
        <w:ind w:firstLine="435"/>
        <w:rPr>
          <w:rFonts w:asciiTheme="majorEastAsia" w:hAnsiTheme="majorEastAsia" w:eastAsiaTheme="majorEastAsia"/>
          <w:color w:val="auto"/>
          <w:sz w:val="24"/>
        </w:rPr>
      </w:pPr>
      <w:bookmarkStart w:id="60" w:name="_Hlk60607655"/>
      <w:bookmarkStart w:id="61" w:name="_Hlk60607673"/>
      <w:r>
        <w:rPr>
          <w:rFonts w:hint="eastAsia" w:asciiTheme="majorEastAsia" w:hAnsiTheme="majorEastAsia" w:eastAsiaTheme="majorEastAsia"/>
          <w:color w:val="auto"/>
          <w:sz w:val="24"/>
        </w:rPr>
        <w:t>17.</w:t>
      </w:r>
      <w:r>
        <w:rPr>
          <w:rFonts w:asciiTheme="majorEastAsia" w:hAnsiTheme="majorEastAsia" w:eastAsiaTheme="majorEastAsia"/>
          <w:color w:val="auto"/>
          <w:sz w:val="24"/>
        </w:rPr>
        <w:t>4</w:t>
      </w:r>
      <w:r>
        <w:rPr>
          <w:rFonts w:hint="eastAsia" w:asciiTheme="majorEastAsia" w:hAnsiTheme="majorEastAsia" w:eastAsiaTheme="majorEastAsia"/>
          <w:color w:val="auto"/>
          <w:sz w:val="24"/>
        </w:rPr>
        <w:t>根据《政府采购促进中小企业发展管理办法》（财库〔</w:t>
      </w:r>
      <w:r>
        <w:rPr>
          <w:rFonts w:asciiTheme="majorEastAsia" w:hAnsiTheme="majorEastAsia" w:eastAsiaTheme="majorEastAsia"/>
          <w:color w:val="auto"/>
          <w:sz w:val="24"/>
        </w:rPr>
        <w:t>2020〕46号</w:t>
      </w:r>
      <w:r>
        <w:rPr>
          <w:rFonts w:hint="eastAsia" w:asciiTheme="majorEastAsia" w:hAnsiTheme="majorEastAsia" w:eastAsiaTheme="majorEastAsia"/>
          <w:color w:val="auto"/>
          <w:sz w:val="24"/>
        </w:rPr>
        <w:t>）、《三部门联合发布关于促进残疾人就业政府采购政策的通知》（财库〔2017〕141号）和《</w:t>
      </w:r>
      <w:r>
        <w:rPr>
          <w:rFonts w:asciiTheme="majorEastAsia" w:hAnsiTheme="majorEastAsia" w:eastAsiaTheme="majorEastAsia"/>
          <w:color w:val="auto"/>
          <w:sz w:val="24"/>
        </w:rPr>
        <w:t>财政部 司法部关于政府采购支持监狱企业发展有关问题的通知</w:t>
      </w:r>
      <w:r>
        <w:rPr>
          <w:rFonts w:hint="eastAsia" w:asciiTheme="majorEastAsia" w:hAnsiTheme="majorEastAsia" w:eastAsiaTheme="majorEastAsia"/>
          <w:color w:val="auto"/>
          <w:sz w:val="24"/>
        </w:rPr>
        <w:t>》（财库〔2014〕68号）的规定，对满足价格扣除条件且在响应文件中提交了</w:t>
      </w:r>
      <w:r>
        <w:rPr>
          <w:rFonts w:asciiTheme="majorEastAsia" w:hAnsiTheme="majorEastAsia" w:eastAsiaTheme="majorEastAsia"/>
          <w:color w:val="auto"/>
          <w:sz w:val="24"/>
        </w:rPr>
        <w:t>《中小企业声明函》</w:t>
      </w:r>
      <w:r>
        <w:rPr>
          <w:rFonts w:hint="eastAsia" w:asciiTheme="majorEastAsia" w:hAnsiTheme="majorEastAsia" w:eastAsiaTheme="majorEastAsia"/>
          <w:color w:val="auto"/>
          <w:sz w:val="24"/>
        </w:rPr>
        <w:t>、</w:t>
      </w:r>
      <w:r>
        <w:rPr>
          <w:rFonts w:asciiTheme="majorEastAsia" w:hAnsiTheme="majorEastAsia" w:eastAsiaTheme="majorEastAsia"/>
          <w:color w:val="auto"/>
          <w:sz w:val="24"/>
        </w:rPr>
        <w:t>《残疾人福利性单位声明函》</w:t>
      </w:r>
      <w:r>
        <w:rPr>
          <w:rFonts w:hint="eastAsia" w:asciiTheme="majorEastAsia" w:hAnsiTheme="majorEastAsia" w:eastAsiaTheme="majorEastAsia"/>
          <w:color w:val="auto"/>
          <w:sz w:val="24"/>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中规定的标准扣除后的价格参与评审。对于同时属于小微企业、监狱企业或残疾人福利性单位的，不重复进行最后报价扣除。</w:t>
      </w:r>
    </w:p>
    <w:p w14:paraId="43101746">
      <w:pPr>
        <w:spacing w:line="360" w:lineRule="auto"/>
        <w:ind w:firstLine="435"/>
        <w:rPr>
          <w:rFonts w:asciiTheme="majorEastAsia" w:hAnsiTheme="majorEastAsia" w:eastAsiaTheme="majorEastAsia"/>
          <w:color w:val="auto"/>
          <w:sz w:val="24"/>
        </w:rPr>
      </w:pPr>
      <w:r>
        <w:rPr>
          <w:rFonts w:hint="eastAsia" w:asciiTheme="majorEastAsia" w:hAnsiTheme="majorEastAsia" w:eastAsiaTheme="majorEastAsia"/>
          <w:color w:val="auto"/>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rPr>
        <w:t>30%以上的，可给予联合体或者大中型企业的</w:t>
      </w:r>
      <w:r>
        <w:rPr>
          <w:rFonts w:hint="eastAsia" w:asciiTheme="majorEastAsia" w:hAnsiTheme="majorEastAsia" w:eastAsiaTheme="majorEastAsia"/>
          <w:color w:val="auto"/>
          <w:sz w:val="24"/>
        </w:rPr>
        <w:t>最后报价按照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组成联合体或者接受分包的小微企业与联合体内其他企业、分包企业之间存在直接控股、管理关系的，不享受价格扣除优惠政策。</w:t>
      </w:r>
    </w:p>
    <w:p w14:paraId="747C1875">
      <w:pPr>
        <w:spacing w:line="360" w:lineRule="auto"/>
        <w:ind w:firstLine="435"/>
        <w:rPr>
          <w:rFonts w:asciiTheme="minorEastAsia" w:hAnsiTheme="minorEastAsia" w:eastAsiaTheme="minorEastAsia"/>
          <w:color w:val="auto"/>
          <w:sz w:val="24"/>
        </w:rPr>
      </w:pPr>
      <w:r>
        <w:rPr>
          <w:rFonts w:hint="eastAsia" w:asciiTheme="majorEastAsia" w:hAnsiTheme="majorEastAsia" w:eastAsiaTheme="majorEastAsia"/>
          <w:color w:val="auto"/>
          <w:sz w:val="24"/>
        </w:rPr>
        <w:t>以联合体形式参加政府采购活动，联合体各方均为中小企业的，联合体视同中小企业。其中，联合体各方均为小微企业的，联合体视同小微企业。</w:t>
      </w:r>
      <w:bookmarkEnd w:id="60"/>
    </w:p>
    <w:bookmarkEnd w:id="61"/>
    <w:p w14:paraId="3A32110D">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成交候选供应商的推荐原则及标准</w:t>
      </w:r>
    </w:p>
    <w:p w14:paraId="6F5A3D9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1磋商小组</w:t>
      </w:r>
      <w:r>
        <w:rPr>
          <w:rFonts w:asciiTheme="minorEastAsia" w:hAnsiTheme="minorEastAsia" w:eastAsiaTheme="minorEastAsia"/>
          <w:color w:val="auto"/>
          <w:sz w:val="24"/>
        </w:rPr>
        <w:t>依据本项目</w:t>
      </w:r>
      <w:r>
        <w:rPr>
          <w:rFonts w:hint="eastAsia" w:asciiTheme="minorEastAsia" w:hAnsiTheme="minorEastAsia" w:eastAsiaTheme="minorEastAsia"/>
          <w:color w:val="auto"/>
          <w:sz w:val="24"/>
        </w:rPr>
        <w:t>磋商</w:t>
      </w:r>
      <w:r>
        <w:rPr>
          <w:rFonts w:asciiTheme="minorEastAsia" w:hAnsiTheme="minorEastAsia" w:eastAsiaTheme="minorEastAsia"/>
          <w:color w:val="auto"/>
          <w:sz w:val="24"/>
        </w:rPr>
        <w:t>文件所约定的</w:t>
      </w:r>
      <w:r>
        <w:rPr>
          <w:rFonts w:hint="eastAsia" w:asciiTheme="minorEastAsia" w:hAnsiTheme="minorEastAsia" w:eastAsiaTheme="minorEastAsia"/>
          <w:color w:val="auto"/>
          <w:sz w:val="24"/>
        </w:rPr>
        <w:t>评审</w:t>
      </w:r>
      <w:r>
        <w:rPr>
          <w:rFonts w:asciiTheme="minorEastAsia" w:hAnsiTheme="minorEastAsia" w:eastAsiaTheme="minorEastAsia"/>
          <w:color w:val="auto"/>
          <w:sz w:val="24"/>
        </w:rPr>
        <w:t>方法</w:t>
      </w:r>
      <w:r>
        <w:rPr>
          <w:rFonts w:hint="eastAsia" w:asciiTheme="minorEastAsia" w:hAnsiTheme="minorEastAsia" w:eastAsiaTheme="minorEastAsia"/>
          <w:color w:val="auto"/>
          <w:sz w:val="24"/>
        </w:rPr>
        <w:t>和标准</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39EAE38C">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19</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确定成交候选供应商和成交供应商</w:t>
      </w:r>
    </w:p>
    <w:p w14:paraId="24244840">
      <w:pPr>
        <w:spacing w:line="360" w:lineRule="auto"/>
        <w:ind w:firstLine="435"/>
        <w:rPr>
          <w:rFonts w:asciiTheme="minorEastAsia" w:hAnsiTheme="minorEastAsia" w:eastAsiaTheme="minorEastAsia"/>
          <w:color w:val="auto"/>
          <w:sz w:val="24"/>
        </w:rPr>
      </w:pPr>
      <w:r>
        <w:rPr>
          <w:rFonts w:hint="eastAsia" w:ascii="宋体" w:hAnsi="宋体" w:eastAsia="宋体"/>
          <w:color w:val="auto"/>
          <w:sz w:val="24"/>
        </w:rPr>
        <w:t>19.1磋商小组根据综合评分的结果和</w:t>
      </w:r>
      <w:r>
        <w:rPr>
          <w:rFonts w:hint="eastAsia" w:asciiTheme="minorEastAsia" w:hAnsiTheme="minorEastAsia" w:eastAsiaTheme="minorEastAsia"/>
          <w:color w:val="auto"/>
          <w:sz w:val="24"/>
          <w:u w:val="single"/>
        </w:rPr>
        <w:t>供应商</w:t>
      </w:r>
      <w:r>
        <w:rPr>
          <w:rFonts w:asciiTheme="minorEastAsia" w:hAnsiTheme="minorEastAsia" w:eastAsiaTheme="minorEastAsia"/>
          <w:color w:val="auto"/>
          <w:sz w:val="24"/>
          <w:u w:val="single"/>
        </w:rPr>
        <w:t>须知前附表</w:t>
      </w:r>
      <w:r>
        <w:rPr>
          <w:rFonts w:asciiTheme="minorEastAsia" w:hAnsiTheme="minorEastAsia" w:eastAsiaTheme="minorEastAsia"/>
          <w:color w:val="auto"/>
          <w:sz w:val="24"/>
        </w:rPr>
        <w:t>中规定</w:t>
      </w:r>
      <w:r>
        <w:rPr>
          <w:rFonts w:hint="eastAsia" w:ascii="宋体" w:hAnsi="宋体" w:eastAsia="宋体"/>
          <w:color w:val="auto"/>
          <w:sz w:val="24"/>
        </w:rPr>
        <w:t>确定成交候选供应商，并标明排列顺序。</w:t>
      </w:r>
      <w:r>
        <w:rPr>
          <w:rFonts w:hint="eastAsia" w:asciiTheme="minorEastAsia" w:hAnsiTheme="minorEastAsia" w:eastAsiaTheme="minorEastAsia"/>
          <w:color w:val="auto"/>
          <w:sz w:val="24"/>
        </w:rPr>
        <w:t>按</w:t>
      </w:r>
      <w:r>
        <w:rPr>
          <w:rFonts w:hint="eastAsia" w:asciiTheme="minorEastAsia" w:hAnsiTheme="minorEastAsia" w:eastAsiaTheme="minorEastAsia"/>
          <w:color w:val="auto"/>
          <w:sz w:val="24"/>
          <w:u w:val="single"/>
        </w:rPr>
        <w:t>供应商</w:t>
      </w:r>
      <w:r>
        <w:rPr>
          <w:rFonts w:asciiTheme="minorEastAsia" w:hAnsiTheme="minorEastAsia" w:eastAsiaTheme="minorEastAsia"/>
          <w:color w:val="auto"/>
          <w:sz w:val="24"/>
          <w:u w:val="single"/>
        </w:rPr>
        <w:t>须知前附表</w:t>
      </w:r>
      <w:r>
        <w:rPr>
          <w:rFonts w:hint="eastAsia" w:asciiTheme="minorEastAsia" w:hAnsiTheme="minorEastAsia" w:eastAsiaTheme="minorEastAsia"/>
          <w:color w:val="auto"/>
          <w:sz w:val="24"/>
        </w:rPr>
        <w:t>中规定，</w:t>
      </w:r>
      <w:r>
        <w:rPr>
          <w:rFonts w:asciiTheme="minorEastAsia" w:hAnsiTheme="minorEastAsia" w:eastAsiaTheme="minorEastAsia"/>
          <w:color w:val="auto"/>
          <w:sz w:val="24"/>
        </w:rPr>
        <w:t>由</w:t>
      </w:r>
      <w:r>
        <w:rPr>
          <w:rFonts w:hint="eastAsia" w:asciiTheme="minorEastAsia" w:hAnsiTheme="minorEastAsia" w:eastAsiaTheme="minorEastAsia"/>
          <w:color w:val="auto"/>
          <w:sz w:val="24"/>
        </w:rPr>
        <w:t>磋商小组</w:t>
      </w:r>
      <w:r>
        <w:rPr>
          <w:rFonts w:asciiTheme="minorEastAsia" w:hAnsiTheme="minorEastAsia" w:eastAsiaTheme="minorEastAsia"/>
          <w:color w:val="auto"/>
          <w:sz w:val="24"/>
        </w:rPr>
        <w:t>或采购人确定</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w:t>
      </w:r>
    </w:p>
    <w:p w14:paraId="3EBE8F07">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20</w:t>
      </w:r>
      <w:r>
        <w:rPr>
          <w:rFonts w:asciiTheme="minorEastAsia" w:hAnsiTheme="minorEastAsia" w:eastAsiaTheme="minorEastAsia"/>
          <w:b/>
          <w:color w:val="auto"/>
          <w:sz w:val="24"/>
        </w:rPr>
        <w:t>.编写评审报告</w:t>
      </w:r>
    </w:p>
    <w:p w14:paraId="36F245F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4EB06BC">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保密要求</w:t>
      </w:r>
    </w:p>
    <w:p w14:paraId="222E1890">
      <w:pPr>
        <w:spacing w:line="360" w:lineRule="auto"/>
        <w:ind w:firstLine="435"/>
        <w:rPr>
          <w:rFonts w:ascii="宋体" w:hAnsi="宋体" w:eastAsia="宋体"/>
          <w:color w:val="auto"/>
          <w:sz w:val="24"/>
        </w:rPr>
      </w:pPr>
      <w:r>
        <w:rPr>
          <w:rFonts w:hint="eastAsia" w:ascii="宋体" w:hAnsi="宋体" w:eastAsia="宋体"/>
          <w:color w:val="auto"/>
          <w:sz w:val="24"/>
        </w:rPr>
        <w:t>21.1评审将在严格保密的情况下进行。</w:t>
      </w:r>
    </w:p>
    <w:p w14:paraId="1F16541C">
      <w:pPr>
        <w:spacing w:line="360" w:lineRule="auto"/>
        <w:ind w:firstLine="435"/>
        <w:rPr>
          <w:rFonts w:ascii="宋体" w:hAnsi="宋体" w:eastAsia="宋体"/>
          <w:color w:val="auto"/>
          <w:sz w:val="24"/>
        </w:rPr>
      </w:pPr>
      <w:r>
        <w:rPr>
          <w:rFonts w:hint="eastAsia" w:ascii="宋体" w:hAnsi="宋体" w:eastAsia="宋体"/>
          <w:color w:val="auto"/>
          <w:sz w:val="24"/>
        </w:rPr>
        <w:t>21.2有关人员</w:t>
      </w:r>
      <w:r>
        <w:rPr>
          <w:rFonts w:ascii="宋体" w:hAnsi="宋体" w:eastAsia="宋体"/>
          <w:color w:val="auto"/>
          <w:sz w:val="24"/>
        </w:rPr>
        <w:t>应当</w:t>
      </w:r>
      <w:r>
        <w:rPr>
          <w:rFonts w:hint="eastAsia" w:ascii="宋体" w:hAnsi="宋体" w:eastAsia="宋体"/>
          <w:color w:val="auto"/>
          <w:sz w:val="24"/>
        </w:rPr>
        <w:t>遵</w:t>
      </w:r>
      <w:r>
        <w:rPr>
          <w:rFonts w:ascii="宋体" w:hAnsi="宋体" w:eastAsia="宋体"/>
          <w:color w:val="auto"/>
          <w:sz w:val="24"/>
        </w:rPr>
        <w:t>守</w:t>
      </w:r>
      <w:r>
        <w:rPr>
          <w:rFonts w:hint="eastAsia" w:ascii="宋体" w:hAnsi="宋体" w:eastAsia="宋体"/>
          <w:color w:val="auto"/>
          <w:sz w:val="24"/>
        </w:rPr>
        <w:t>评审</w:t>
      </w:r>
      <w:r>
        <w:rPr>
          <w:rFonts w:ascii="宋体" w:hAnsi="宋体" w:eastAsia="宋体"/>
          <w:color w:val="auto"/>
          <w:sz w:val="24"/>
        </w:rPr>
        <w:t>工作纪律，不得</w:t>
      </w:r>
      <w:r>
        <w:rPr>
          <w:rFonts w:hint="eastAsia" w:ascii="宋体" w:hAnsi="宋体" w:eastAsia="宋体"/>
          <w:color w:val="auto"/>
          <w:sz w:val="24"/>
        </w:rPr>
        <w:t>泄露评审文件</w:t>
      </w:r>
      <w:r>
        <w:rPr>
          <w:rFonts w:ascii="宋体" w:hAnsi="宋体" w:eastAsia="宋体"/>
          <w:color w:val="auto"/>
          <w:sz w:val="24"/>
        </w:rPr>
        <w:t>、</w:t>
      </w:r>
      <w:r>
        <w:rPr>
          <w:rFonts w:hint="eastAsia" w:ascii="宋体" w:hAnsi="宋体" w:eastAsia="宋体"/>
          <w:color w:val="auto"/>
          <w:sz w:val="24"/>
        </w:rPr>
        <w:t>评审</w:t>
      </w:r>
      <w:r>
        <w:rPr>
          <w:rFonts w:ascii="宋体" w:hAnsi="宋体" w:eastAsia="宋体"/>
          <w:color w:val="auto"/>
          <w:sz w:val="24"/>
        </w:rPr>
        <w:t>情况和</w:t>
      </w:r>
      <w:r>
        <w:rPr>
          <w:rFonts w:hint="eastAsia" w:ascii="宋体" w:hAnsi="宋体" w:eastAsia="宋体"/>
          <w:color w:val="auto"/>
          <w:sz w:val="24"/>
        </w:rPr>
        <w:t>评审</w:t>
      </w:r>
      <w:r>
        <w:rPr>
          <w:rFonts w:ascii="宋体" w:hAnsi="宋体" w:eastAsia="宋体"/>
          <w:color w:val="auto"/>
          <w:sz w:val="24"/>
        </w:rPr>
        <w:t>中获悉的</w:t>
      </w:r>
      <w:r>
        <w:rPr>
          <w:rFonts w:hint="eastAsia" w:ascii="宋体" w:hAnsi="宋体" w:eastAsia="宋体"/>
          <w:color w:val="auto"/>
          <w:sz w:val="24"/>
        </w:rPr>
        <w:t>国家秘密、</w:t>
      </w:r>
      <w:r>
        <w:rPr>
          <w:rFonts w:ascii="宋体" w:hAnsi="宋体" w:eastAsia="宋体"/>
          <w:color w:val="auto"/>
          <w:sz w:val="24"/>
        </w:rPr>
        <w:t>商业秘密。</w:t>
      </w:r>
    </w:p>
    <w:p w14:paraId="588FBC81">
      <w:pPr>
        <w:spacing w:line="360" w:lineRule="auto"/>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22</w:t>
      </w:r>
      <w:r>
        <w:rPr>
          <w:rFonts w:asciiTheme="minorEastAsia" w:hAnsiTheme="minorEastAsia" w:eastAsiaTheme="minorEastAsia"/>
          <w:b/>
          <w:color w:val="auto"/>
          <w:sz w:val="24"/>
        </w:rPr>
        <w:t>.成交结果公告</w:t>
      </w:r>
    </w:p>
    <w:p w14:paraId="04EBFDA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22</w:t>
      </w:r>
      <w:r>
        <w:rPr>
          <w:rFonts w:asciiTheme="minorEastAsia" w:hAnsiTheme="minorEastAsia" w:eastAsiaTheme="minorEastAsia"/>
          <w:color w:val="auto"/>
          <w:sz w:val="24"/>
        </w:rPr>
        <w:t>.1为体现“公开、公平、公正”的原则，磋商结束后，</w:t>
      </w:r>
      <w:r>
        <w:rPr>
          <w:rFonts w:hint="eastAsia" w:ascii="宋体" w:hAnsi="宋体" w:eastAsia="宋体"/>
          <w:color w:val="auto"/>
          <w:sz w:val="24"/>
          <w:szCs w:val="18"/>
        </w:rPr>
        <w:t>采购代理机构将在安徽省政府采购网（www.ccgp-anhui.gov.cn）</w:t>
      </w:r>
      <w:r>
        <w:rPr>
          <w:rFonts w:asciiTheme="minorEastAsia" w:hAnsiTheme="minorEastAsia" w:eastAsiaTheme="minorEastAsia"/>
          <w:color w:val="auto"/>
          <w:sz w:val="24"/>
        </w:rPr>
        <w:t>上发布成交结果公告。</w:t>
      </w:r>
    </w:p>
    <w:p w14:paraId="46AA3B7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22</w:t>
      </w:r>
      <w:r>
        <w:rPr>
          <w:rFonts w:asciiTheme="minorEastAsia" w:hAnsiTheme="minorEastAsia" w:eastAsiaTheme="minorEastAsia"/>
          <w:color w:val="auto"/>
          <w:sz w:val="24"/>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中约定进行公告的内容。</w:t>
      </w:r>
    </w:p>
    <w:p w14:paraId="54C3D1B0">
      <w:pPr>
        <w:spacing w:line="360" w:lineRule="auto"/>
        <w:ind w:firstLine="437"/>
        <w:outlineLvl w:val="2"/>
        <w:rPr>
          <w:rFonts w:ascii="宋体" w:hAnsi="宋体" w:eastAsia="宋体"/>
          <w:b/>
          <w:color w:val="auto"/>
          <w:sz w:val="24"/>
        </w:rPr>
      </w:pPr>
      <w:r>
        <w:rPr>
          <w:rFonts w:hint="eastAsia" w:ascii="宋体" w:hAnsi="宋体" w:eastAsia="宋体"/>
          <w:b/>
          <w:color w:val="auto"/>
          <w:sz w:val="24"/>
        </w:rPr>
        <w:t>23</w:t>
      </w:r>
      <w:r>
        <w:rPr>
          <w:rFonts w:ascii="宋体" w:hAnsi="宋体" w:eastAsia="宋体"/>
          <w:b/>
          <w:color w:val="auto"/>
          <w:sz w:val="24"/>
        </w:rPr>
        <w:t>.成交</w:t>
      </w:r>
      <w:r>
        <w:rPr>
          <w:rFonts w:asciiTheme="minorEastAsia" w:hAnsiTheme="minorEastAsia" w:eastAsiaTheme="minorEastAsia"/>
          <w:b/>
          <w:color w:val="auto"/>
          <w:sz w:val="24"/>
        </w:rPr>
        <w:t>通知书</w:t>
      </w:r>
    </w:p>
    <w:p w14:paraId="5B9CA3C8">
      <w:pPr>
        <w:spacing w:line="360" w:lineRule="auto"/>
        <w:ind w:firstLine="435"/>
        <w:rPr>
          <w:rFonts w:ascii="宋体" w:hAnsi="宋体" w:eastAsia="宋体"/>
          <w:color w:val="auto"/>
          <w:sz w:val="24"/>
        </w:rPr>
      </w:pPr>
      <w:r>
        <w:rPr>
          <w:rFonts w:hint="eastAsia" w:ascii="宋体" w:hAnsi="宋体" w:eastAsia="宋体"/>
          <w:color w:val="auto"/>
          <w:sz w:val="24"/>
        </w:rPr>
        <w:t>23</w:t>
      </w:r>
      <w:r>
        <w:rPr>
          <w:rFonts w:ascii="宋体" w:hAnsi="宋体" w:eastAsia="宋体"/>
          <w:color w:val="auto"/>
          <w:sz w:val="24"/>
        </w:rPr>
        <w:t>.1采购代理机构发布成交结果公告的同时</w:t>
      </w:r>
      <w:r>
        <w:rPr>
          <w:rFonts w:asciiTheme="minorEastAsia" w:hAnsiTheme="minorEastAsia" w:eastAsiaTheme="minorEastAsia"/>
          <w:color w:val="auto"/>
          <w:sz w:val="24"/>
        </w:rPr>
        <w:t>以</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w:t>
      </w:r>
      <w:r>
        <w:rPr>
          <w:rFonts w:asciiTheme="minorEastAsia" w:hAnsiTheme="minorEastAsia" w:eastAsiaTheme="minorEastAsia"/>
          <w:color w:val="auto"/>
          <w:sz w:val="24"/>
        </w:rPr>
        <w:t>形式</w:t>
      </w:r>
      <w:r>
        <w:rPr>
          <w:rFonts w:ascii="宋体" w:hAnsi="宋体" w:eastAsia="宋体"/>
          <w:color w:val="auto"/>
          <w:sz w:val="24"/>
        </w:rPr>
        <w:t>向成交供应商发出成交通知书。</w:t>
      </w:r>
    </w:p>
    <w:p w14:paraId="13C27859">
      <w:pPr>
        <w:spacing w:line="360" w:lineRule="auto"/>
        <w:ind w:firstLine="435"/>
        <w:rPr>
          <w:rFonts w:ascii="宋体" w:hAnsi="宋体" w:eastAsia="宋体"/>
          <w:color w:val="auto"/>
          <w:sz w:val="24"/>
        </w:rPr>
      </w:pPr>
      <w:r>
        <w:rPr>
          <w:rFonts w:hint="eastAsia" w:ascii="宋体" w:hAnsi="宋体" w:eastAsia="宋体"/>
          <w:color w:val="auto"/>
          <w:sz w:val="24"/>
        </w:rPr>
        <w:t>23</w:t>
      </w:r>
      <w:r>
        <w:rPr>
          <w:rFonts w:ascii="宋体" w:hAnsi="宋体" w:eastAsia="宋体"/>
          <w:color w:val="auto"/>
          <w:sz w:val="24"/>
        </w:rPr>
        <w:t>.2成交通知书对采购人和成交供应商具有同等法律效力。成交通知书发出以后，采购人改变成交结果或者成交供应商放弃成交资格，应当承担相应的法律责任。</w:t>
      </w:r>
    </w:p>
    <w:p w14:paraId="590308CF">
      <w:pPr>
        <w:spacing w:line="360" w:lineRule="auto"/>
        <w:ind w:firstLine="435"/>
        <w:rPr>
          <w:rFonts w:ascii="宋体" w:hAnsi="宋体" w:eastAsia="宋体"/>
          <w:color w:val="auto"/>
          <w:sz w:val="24"/>
        </w:rPr>
      </w:pPr>
      <w:r>
        <w:rPr>
          <w:rFonts w:hint="eastAsia" w:ascii="宋体" w:hAnsi="宋体" w:eastAsia="宋体"/>
          <w:color w:val="auto"/>
          <w:sz w:val="24"/>
        </w:rPr>
        <w:t>23</w:t>
      </w:r>
      <w:r>
        <w:rPr>
          <w:rFonts w:ascii="宋体" w:hAnsi="宋体" w:eastAsia="宋体"/>
          <w:color w:val="auto"/>
          <w:sz w:val="24"/>
        </w:rPr>
        <w:t>.3成交通知书是合同的组成部分。</w:t>
      </w:r>
    </w:p>
    <w:p w14:paraId="7918B35E">
      <w:pPr>
        <w:spacing w:line="360" w:lineRule="auto"/>
        <w:ind w:firstLine="437"/>
        <w:outlineLvl w:val="2"/>
        <w:rPr>
          <w:rFonts w:ascii="宋体" w:hAnsi="宋体" w:eastAsia="宋体"/>
          <w:b/>
          <w:color w:val="auto"/>
          <w:sz w:val="24"/>
        </w:rPr>
      </w:pPr>
      <w:r>
        <w:rPr>
          <w:rFonts w:hint="eastAsia" w:ascii="宋体" w:hAnsi="宋体" w:eastAsia="宋体"/>
          <w:b/>
          <w:color w:val="auto"/>
          <w:sz w:val="24"/>
        </w:rPr>
        <w:t>24</w:t>
      </w:r>
      <w:r>
        <w:rPr>
          <w:rFonts w:ascii="宋体" w:hAnsi="宋体" w:eastAsia="宋体"/>
          <w:b/>
          <w:color w:val="auto"/>
          <w:sz w:val="24"/>
        </w:rPr>
        <w:t>.告知</w:t>
      </w:r>
      <w:r>
        <w:rPr>
          <w:rFonts w:hint="eastAsia" w:ascii="宋体" w:hAnsi="宋体" w:eastAsia="宋体"/>
          <w:b/>
          <w:color w:val="auto"/>
          <w:sz w:val="24"/>
        </w:rPr>
        <w:t>磋商</w:t>
      </w:r>
      <w:r>
        <w:rPr>
          <w:rFonts w:ascii="宋体" w:hAnsi="宋体" w:eastAsia="宋体"/>
          <w:b/>
          <w:color w:val="auto"/>
          <w:sz w:val="24"/>
        </w:rPr>
        <w:t>结果</w:t>
      </w:r>
    </w:p>
    <w:p w14:paraId="308B91C6">
      <w:pPr>
        <w:spacing w:line="360" w:lineRule="auto"/>
        <w:ind w:firstLine="435"/>
        <w:rPr>
          <w:rFonts w:ascii="宋体" w:hAnsi="宋体" w:eastAsia="宋体"/>
          <w:color w:val="auto"/>
          <w:sz w:val="24"/>
        </w:rPr>
      </w:pPr>
      <w:r>
        <w:rPr>
          <w:rFonts w:hint="eastAsia" w:ascii="宋体" w:hAnsi="宋体" w:eastAsia="宋体"/>
          <w:color w:val="auto"/>
          <w:sz w:val="24"/>
        </w:rPr>
        <w:t>24</w:t>
      </w:r>
      <w:r>
        <w:rPr>
          <w:rFonts w:ascii="宋体" w:hAnsi="宋体" w:eastAsia="宋体"/>
          <w:color w:val="auto"/>
          <w:sz w:val="24"/>
        </w:rPr>
        <w:t>.1在公告</w:t>
      </w:r>
      <w:r>
        <w:rPr>
          <w:rFonts w:hint="eastAsia" w:ascii="宋体" w:hAnsi="宋体" w:eastAsia="宋体"/>
          <w:color w:val="auto"/>
          <w:sz w:val="24"/>
        </w:rPr>
        <w:t>成交</w:t>
      </w:r>
      <w:r>
        <w:rPr>
          <w:rFonts w:ascii="宋体" w:hAnsi="宋体" w:eastAsia="宋体"/>
          <w:color w:val="auto"/>
          <w:sz w:val="24"/>
        </w:rPr>
        <w:t>结果的同时，采购代理机构同时以</w:t>
      </w:r>
      <w:r>
        <w:rPr>
          <w:rFonts w:hint="eastAsia" w:ascii="宋体" w:hAnsi="宋体" w:eastAsia="宋体"/>
          <w:color w:val="auto"/>
          <w:sz w:val="24"/>
          <w:u w:val="single"/>
        </w:rPr>
        <w:t>供应商</w:t>
      </w:r>
      <w:r>
        <w:rPr>
          <w:rFonts w:ascii="宋体" w:hAnsi="宋体" w:eastAsia="宋体"/>
          <w:color w:val="auto"/>
          <w:sz w:val="24"/>
          <w:u w:val="single"/>
        </w:rPr>
        <w:t>须知前附表</w:t>
      </w:r>
      <w:r>
        <w:rPr>
          <w:rFonts w:ascii="宋体" w:hAnsi="宋体" w:eastAsia="宋体"/>
          <w:color w:val="auto"/>
          <w:sz w:val="24"/>
        </w:rPr>
        <w:t>规定的形式告知未</w:t>
      </w:r>
      <w:r>
        <w:rPr>
          <w:rFonts w:hint="eastAsia" w:ascii="宋体" w:hAnsi="宋体" w:eastAsia="宋体"/>
          <w:color w:val="auto"/>
          <w:sz w:val="24"/>
        </w:rPr>
        <w:t>成交供应商</w:t>
      </w:r>
      <w:r>
        <w:rPr>
          <w:rFonts w:ascii="宋体" w:hAnsi="宋体" w:eastAsia="宋体"/>
          <w:color w:val="auto"/>
          <w:sz w:val="24"/>
        </w:rPr>
        <w:t>本人的评审得分和排序。</w:t>
      </w:r>
    </w:p>
    <w:p w14:paraId="33E794B8">
      <w:pPr>
        <w:spacing w:line="360" w:lineRule="auto"/>
        <w:ind w:firstLine="480" w:firstLineChars="200"/>
        <w:rPr>
          <w:rFonts w:ascii="宋体" w:hAnsi="宋体" w:eastAsia="宋体"/>
          <w:color w:val="auto"/>
          <w:sz w:val="24"/>
        </w:rPr>
      </w:pPr>
      <w:r>
        <w:rPr>
          <w:rFonts w:hint="eastAsia" w:ascii="宋体" w:hAnsi="宋体" w:eastAsia="宋体"/>
          <w:color w:val="auto"/>
          <w:sz w:val="24"/>
        </w:rPr>
        <w:t>24</w:t>
      </w:r>
      <w:r>
        <w:rPr>
          <w:rFonts w:ascii="宋体" w:hAnsi="宋体" w:eastAsia="宋体"/>
          <w:color w:val="auto"/>
          <w:sz w:val="24"/>
        </w:rPr>
        <w:t>.</w:t>
      </w:r>
      <w:r>
        <w:rPr>
          <w:rFonts w:hint="eastAsia" w:ascii="宋体" w:hAnsi="宋体" w:eastAsia="宋体"/>
          <w:color w:val="auto"/>
          <w:sz w:val="24"/>
        </w:rPr>
        <w:t>2</w:t>
      </w:r>
      <w:r>
        <w:rPr>
          <w:rFonts w:ascii="宋体" w:hAnsi="宋体" w:eastAsia="宋体"/>
          <w:color w:val="auto"/>
          <w:sz w:val="24"/>
        </w:rPr>
        <w:t>采购代理机构对未成交的供应商不做未成交原因的解释。</w:t>
      </w:r>
    </w:p>
    <w:p w14:paraId="2DCB0824">
      <w:pPr>
        <w:spacing w:line="360" w:lineRule="auto"/>
        <w:ind w:firstLine="437"/>
        <w:outlineLvl w:val="2"/>
        <w:rPr>
          <w:rFonts w:ascii="宋体" w:hAnsi="宋体" w:eastAsia="宋体"/>
          <w:b/>
          <w:color w:val="auto"/>
          <w:sz w:val="24"/>
        </w:rPr>
      </w:pPr>
      <w:r>
        <w:rPr>
          <w:rFonts w:hint="eastAsia" w:ascii="宋体" w:hAnsi="宋体" w:eastAsia="宋体"/>
          <w:b/>
          <w:color w:val="auto"/>
          <w:sz w:val="24"/>
        </w:rPr>
        <w:t>25</w:t>
      </w:r>
      <w:r>
        <w:rPr>
          <w:rFonts w:ascii="宋体" w:hAnsi="宋体" w:eastAsia="宋体"/>
          <w:b/>
          <w:color w:val="auto"/>
          <w:sz w:val="24"/>
        </w:rPr>
        <w:t>.履约保证金</w:t>
      </w:r>
    </w:p>
    <w:p w14:paraId="2DA4CF5A">
      <w:pPr>
        <w:spacing w:line="360" w:lineRule="auto"/>
        <w:ind w:firstLine="435"/>
        <w:rPr>
          <w:rFonts w:ascii="宋体" w:hAnsi="宋体" w:eastAsia="宋体"/>
          <w:color w:val="auto"/>
          <w:sz w:val="24"/>
        </w:rPr>
      </w:pPr>
      <w:r>
        <w:rPr>
          <w:rFonts w:hint="eastAsia" w:ascii="宋体" w:hAnsi="宋体" w:eastAsia="宋体"/>
          <w:color w:val="auto"/>
          <w:sz w:val="24"/>
        </w:rPr>
        <w:t>25</w:t>
      </w:r>
      <w:r>
        <w:rPr>
          <w:rFonts w:ascii="宋体" w:hAnsi="宋体" w:eastAsia="宋体"/>
          <w:color w:val="auto"/>
          <w:sz w:val="24"/>
        </w:rPr>
        <w:t>.1成交供应商应按照</w:t>
      </w:r>
      <w:r>
        <w:rPr>
          <w:rFonts w:ascii="宋体" w:hAnsi="宋体" w:eastAsia="宋体"/>
          <w:color w:val="auto"/>
          <w:sz w:val="24"/>
          <w:u w:val="single"/>
        </w:rPr>
        <w:t>供应商须知前附表</w:t>
      </w:r>
      <w:r>
        <w:rPr>
          <w:rFonts w:ascii="宋体" w:hAnsi="宋体" w:eastAsia="宋体"/>
          <w:color w:val="auto"/>
          <w:sz w:val="24"/>
        </w:rPr>
        <w:t>规定</w:t>
      </w:r>
      <w:r>
        <w:rPr>
          <w:rFonts w:hint="eastAsia" w:ascii="宋体" w:hAnsi="宋体" w:eastAsia="宋体"/>
          <w:color w:val="auto"/>
          <w:sz w:val="24"/>
        </w:rPr>
        <w:t>缴纳</w:t>
      </w:r>
      <w:r>
        <w:rPr>
          <w:rFonts w:ascii="宋体" w:hAnsi="宋体" w:eastAsia="宋体"/>
          <w:color w:val="auto"/>
          <w:sz w:val="24"/>
        </w:rPr>
        <w:t>履约保证金。</w:t>
      </w:r>
    </w:p>
    <w:p w14:paraId="0AD0CBAA">
      <w:pPr>
        <w:spacing w:line="360" w:lineRule="auto"/>
        <w:ind w:firstLine="435"/>
        <w:rPr>
          <w:rFonts w:ascii="宋体" w:hAnsi="宋体" w:eastAsia="宋体"/>
          <w:color w:val="auto"/>
          <w:sz w:val="24"/>
        </w:rPr>
      </w:pPr>
      <w:r>
        <w:rPr>
          <w:rFonts w:hint="eastAsia" w:ascii="宋体" w:hAnsi="宋体" w:eastAsia="宋体"/>
          <w:color w:val="auto"/>
          <w:sz w:val="24"/>
        </w:rPr>
        <w:t>25</w:t>
      </w:r>
      <w:r>
        <w:rPr>
          <w:rFonts w:ascii="宋体" w:hAnsi="宋体" w:eastAsia="宋体"/>
          <w:color w:val="auto"/>
          <w:sz w:val="24"/>
        </w:rPr>
        <w:t>.2如果成交供应商没有按照上述履约保证金的规定执行，将视为放弃成交资格。在此情况下，采购人可确定下一成交候选供应商为成交供应商，也可以重新开展采购活动。</w:t>
      </w:r>
    </w:p>
    <w:p w14:paraId="37151757">
      <w:pPr>
        <w:spacing w:line="360" w:lineRule="auto"/>
        <w:ind w:firstLine="437"/>
        <w:outlineLvl w:val="2"/>
        <w:rPr>
          <w:rFonts w:ascii="宋体" w:hAnsi="宋体" w:eastAsia="宋体"/>
          <w:b/>
          <w:color w:val="auto"/>
          <w:sz w:val="24"/>
        </w:rPr>
      </w:pPr>
      <w:r>
        <w:rPr>
          <w:rFonts w:hint="eastAsia" w:ascii="宋体" w:hAnsi="宋体" w:eastAsia="宋体"/>
          <w:b/>
          <w:color w:val="auto"/>
          <w:sz w:val="24"/>
        </w:rPr>
        <w:t>26</w:t>
      </w:r>
      <w:r>
        <w:rPr>
          <w:rFonts w:ascii="宋体" w:hAnsi="宋体" w:eastAsia="宋体"/>
          <w:b/>
          <w:color w:val="auto"/>
          <w:sz w:val="24"/>
        </w:rPr>
        <w:t>.</w:t>
      </w:r>
      <w:r>
        <w:rPr>
          <w:rFonts w:hint="eastAsia" w:ascii="宋体" w:hAnsi="宋体" w:eastAsia="宋体"/>
          <w:b/>
          <w:color w:val="auto"/>
          <w:sz w:val="24"/>
        </w:rPr>
        <w:t>代理费用</w:t>
      </w:r>
    </w:p>
    <w:p w14:paraId="2EF46DD5">
      <w:pPr>
        <w:spacing w:line="360" w:lineRule="auto"/>
        <w:ind w:firstLine="435"/>
        <w:rPr>
          <w:rFonts w:ascii="宋体" w:hAnsi="宋体" w:eastAsia="宋体"/>
          <w:color w:val="auto"/>
          <w:sz w:val="24"/>
        </w:rPr>
      </w:pPr>
      <w:r>
        <w:rPr>
          <w:rFonts w:hint="eastAsia" w:ascii="宋体" w:hAnsi="宋体" w:eastAsia="宋体"/>
          <w:color w:val="auto"/>
          <w:sz w:val="24"/>
        </w:rPr>
        <w:t>26</w:t>
      </w:r>
      <w:r>
        <w:rPr>
          <w:rFonts w:ascii="宋体" w:hAnsi="宋体" w:eastAsia="宋体"/>
          <w:color w:val="auto"/>
          <w:sz w:val="24"/>
        </w:rPr>
        <w:t>.1本项目</w:t>
      </w:r>
      <w:r>
        <w:rPr>
          <w:rFonts w:hint="eastAsia" w:ascii="宋体" w:hAnsi="宋体" w:eastAsia="宋体"/>
          <w:color w:val="auto"/>
          <w:sz w:val="24"/>
        </w:rPr>
        <w:t>代理费用</w:t>
      </w:r>
      <w:r>
        <w:rPr>
          <w:rFonts w:ascii="宋体" w:hAnsi="宋体" w:eastAsia="宋体"/>
          <w:color w:val="auto"/>
          <w:sz w:val="24"/>
        </w:rPr>
        <w:t>的收取按</w:t>
      </w:r>
      <w:r>
        <w:rPr>
          <w:rFonts w:hint="eastAsia" w:ascii="宋体" w:hAnsi="宋体" w:eastAsia="宋体"/>
          <w:color w:val="auto"/>
          <w:sz w:val="24"/>
          <w:u w:val="single"/>
        </w:rPr>
        <w:t>供应商</w:t>
      </w:r>
      <w:r>
        <w:rPr>
          <w:rFonts w:ascii="宋体" w:hAnsi="宋体" w:eastAsia="宋体"/>
          <w:color w:val="auto"/>
          <w:sz w:val="24"/>
          <w:u w:val="single"/>
        </w:rPr>
        <w:t>须知前附表</w:t>
      </w:r>
      <w:r>
        <w:rPr>
          <w:rFonts w:ascii="宋体" w:hAnsi="宋体" w:eastAsia="宋体"/>
          <w:color w:val="auto"/>
          <w:sz w:val="24"/>
        </w:rPr>
        <w:t>的规定执行。</w:t>
      </w:r>
    </w:p>
    <w:p w14:paraId="70602F0D">
      <w:pPr>
        <w:spacing w:line="360" w:lineRule="auto"/>
        <w:ind w:firstLine="437"/>
        <w:outlineLvl w:val="2"/>
        <w:rPr>
          <w:rFonts w:ascii="宋体" w:hAnsi="宋体" w:eastAsia="宋体"/>
          <w:b/>
          <w:color w:val="auto"/>
          <w:sz w:val="24"/>
        </w:rPr>
      </w:pPr>
      <w:r>
        <w:rPr>
          <w:rFonts w:hint="eastAsia" w:ascii="宋体" w:hAnsi="宋体" w:eastAsia="宋体"/>
          <w:b/>
          <w:color w:val="auto"/>
          <w:sz w:val="24"/>
        </w:rPr>
        <w:t>27</w:t>
      </w:r>
      <w:r>
        <w:rPr>
          <w:rFonts w:ascii="宋体" w:hAnsi="宋体" w:eastAsia="宋体"/>
          <w:b/>
          <w:color w:val="auto"/>
          <w:sz w:val="24"/>
        </w:rPr>
        <w:t>.签订</w:t>
      </w:r>
      <w:r>
        <w:rPr>
          <w:rFonts w:asciiTheme="minorEastAsia" w:hAnsiTheme="minorEastAsia" w:eastAsiaTheme="minorEastAsia"/>
          <w:b/>
          <w:color w:val="auto"/>
          <w:sz w:val="24"/>
        </w:rPr>
        <w:t>合同</w:t>
      </w:r>
    </w:p>
    <w:p w14:paraId="1869E342">
      <w:pPr>
        <w:spacing w:line="360" w:lineRule="auto"/>
        <w:ind w:firstLine="435"/>
        <w:rPr>
          <w:rFonts w:ascii="宋体" w:hAnsi="宋体" w:eastAsia="宋体"/>
          <w:color w:val="auto"/>
          <w:sz w:val="24"/>
        </w:rPr>
      </w:pPr>
      <w:r>
        <w:rPr>
          <w:rFonts w:hint="eastAsia" w:ascii="宋体" w:hAnsi="宋体" w:eastAsia="宋体"/>
          <w:color w:val="auto"/>
          <w:sz w:val="24"/>
        </w:rPr>
        <w:t>27</w:t>
      </w:r>
      <w:r>
        <w:rPr>
          <w:rFonts w:ascii="宋体" w:hAnsi="宋体" w:eastAsia="宋体"/>
          <w:color w:val="auto"/>
          <w:sz w:val="24"/>
        </w:rPr>
        <w:t>.1</w:t>
      </w:r>
      <w:r>
        <w:rPr>
          <w:rFonts w:hint="eastAsia" w:ascii="宋体" w:hAnsi="宋体" w:eastAsia="宋体" w:cs="宋体"/>
          <w:color w:val="auto"/>
          <w:sz w:val="24"/>
          <w:szCs w:val="24"/>
        </w:rPr>
        <w:t>采购人与成交供应商应当按照</w:t>
      </w:r>
      <w:r>
        <w:rPr>
          <w:rFonts w:hint="eastAsia" w:ascii="宋体" w:hAnsi="宋体" w:eastAsia="宋体" w:cs="宋体"/>
          <w:color w:val="auto"/>
          <w:sz w:val="24"/>
          <w:szCs w:val="24"/>
          <w:u w:val="single"/>
        </w:rPr>
        <w:t>供应商须知前附表</w:t>
      </w:r>
      <w:r>
        <w:rPr>
          <w:rFonts w:hint="eastAsia" w:ascii="宋体" w:hAnsi="宋体" w:eastAsia="宋体" w:cs="宋体"/>
          <w:color w:val="auto"/>
          <w:sz w:val="24"/>
          <w:szCs w:val="24"/>
        </w:rPr>
        <w:t>规定的时间内完成政府采购合同签订及合同公告。</w:t>
      </w:r>
    </w:p>
    <w:p w14:paraId="60B763ED">
      <w:pPr>
        <w:spacing w:line="360" w:lineRule="auto"/>
        <w:ind w:firstLine="480" w:firstLineChars="200"/>
        <w:rPr>
          <w:rFonts w:ascii="宋体" w:hAnsi="宋体" w:eastAsia="宋体"/>
          <w:color w:val="auto"/>
          <w:sz w:val="24"/>
        </w:rPr>
      </w:pPr>
      <w:r>
        <w:rPr>
          <w:rFonts w:hint="eastAsia" w:ascii="宋体" w:hAnsi="宋体" w:eastAsia="宋体"/>
          <w:color w:val="auto"/>
          <w:sz w:val="24"/>
        </w:rPr>
        <w:t>27</w:t>
      </w:r>
      <w:r>
        <w:rPr>
          <w:rFonts w:ascii="宋体" w:hAnsi="宋体" w:eastAsia="宋体"/>
          <w:color w:val="auto"/>
          <w:sz w:val="24"/>
        </w:rPr>
        <w:t>.2磋商文件、成交供应商的响应文件及其澄清文件等，均为签订合同的依据。</w:t>
      </w:r>
    </w:p>
    <w:p w14:paraId="6D1BEF9D">
      <w:pPr>
        <w:spacing w:line="360" w:lineRule="auto"/>
        <w:ind w:firstLine="480" w:firstLineChars="200"/>
        <w:rPr>
          <w:rFonts w:ascii="宋体" w:hAnsi="宋体" w:eastAsia="宋体"/>
          <w:color w:val="auto"/>
          <w:sz w:val="24"/>
        </w:rPr>
      </w:pPr>
      <w:r>
        <w:rPr>
          <w:rFonts w:hint="eastAsia" w:ascii="宋体" w:hAnsi="宋体" w:eastAsia="宋体"/>
          <w:color w:val="auto"/>
          <w:sz w:val="24"/>
        </w:rPr>
        <w:t>27</w:t>
      </w:r>
      <w:r>
        <w:rPr>
          <w:rFonts w:ascii="宋体" w:hAnsi="宋体" w:eastAsia="宋体"/>
          <w:color w:val="auto"/>
          <w:sz w:val="24"/>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rPr>
        <w:t>成交供应商拒绝签订政府采购合同的不得参加对该项目重新开展的采购活动。</w:t>
      </w:r>
    </w:p>
    <w:p w14:paraId="15FBE9A5">
      <w:pPr>
        <w:spacing w:line="360" w:lineRule="auto"/>
        <w:ind w:firstLine="470" w:firstLineChars="196"/>
        <w:rPr>
          <w:rFonts w:ascii="宋体" w:hAnsi="宋体" w:eastAsia="宋体"/>
          <w:color w:val="auto"/>
          <w:sz w:val="24"/>
        </w:rPr>
      </w:pPr>
      <w:bookmarkStart w:id="62" w:name="_Hlk60264926"/>
      <w:r>
        <w:rPr>
          <w:rFonts w:hint="eastAsia" w:ascii="宋体" w:hAnsi="宋体" w:eastAsia="宋体"/>
          <w:color w:val="auto"/>
          <w:sz w:val="24"/>
        </w:rPr>
        <w:t>27.</w:t>
      </w:r>
      <w:r>
        <w:rPr>
          <w:rFonts w:ascii="宋体" w:hAnsi="宋体" w:eastAsia="宋体"/>
          <w:color w:val="auto"/>
          <w:sz w:val="24"/>
        </w:rPr>
        <w:t>4</w:t>
      </w:r>
      <w:r>
        <w:rPr>
          <w:rFonts w:hint="eastAsia" w:ascii="宋体" w:hAnsi="宋体" w:eastAsia="宋体"/>
          <w:color w:val="auto"/>
          <w:sz w:val="24"/>
        </w:rPr>
        <w:t>依据《政府采购促进中小企业发展管理办法》（财库〔</w:t>
      </w:r>
      <w:r>
        <w:rPr>
          <w:rFonts w:ascii="宋体" w:hAnsi="宋体" w:eastAsia="宋体"/>
          <w:color w:val="auto"/>
          <w:sz w:val="24"/>
        </w:rPr>
        <w:t>2020〕46号</w:t>
      </w:r>
      <w:r>
        <w:rPr>
          <w:rFonts w:hint="eastAsia" w:ascii="宋体" w:hAnsi="宋体" w:eastAsia="宋体"/>
          <w:color w:val="auto"/>
          <w:sz w:val="24"/>
        </w:rPr>
        <w:t>）规定享受扶持政策获得政府采购合同的，小微企业不得将合同分包给大中型企业，中型企业不得将合同分包给大型企业。</w:t>
      </w:r>
      <w:bookmarkEnd w:id="62"/>
    </w:p>
    <w:p w14:paraId="1D3D2422">
      <w:pPr>
        <w:spacing w:line="360" w:lineRule="auto"/>
        <w:ind w:firstLine="437"/>
        <w:outlineLvl w:val="2"/>
        <w:rPr>
          <w:rFonts w:ascii="宋体" w:hAnsi="宋体" w:eastAsia="宋体"/>
          <w:b/>
          <w:color w:val="auto"/>
          <w:sz w:val="24"/>
        </w:rPr>
      </w:pPr>
      <w:r>
        <w:rPr>
          <w:rFonts w:hint="eastAsia" w:ascii="宋体" w:hAnsi="宋体" w:eastAsia="宋体"/>
          <w:b/>
          <w:color w:val="auto"/>
          <w:sz w:val="24"/>
        </w:rPr>
        <w:t>28</w:t>
      </w:r>
      <w:r>
        <w:rPr>
          <w:rFonts w:ascii="宋体" w:hAnsi="宋体" w:eastAsia="宋体"/>
          <w:b/>
          <w:color w:val="auto"/>
          <w:sz w:val="24"/>
        </w:rPr>
        <w:t>.廉洁</w:t>
      </w:r>
      <w:r>
        <w:rPr>
          <w:rFonts w:asciiTheme="minorEastAsia" w:hAnsiTheme="minorEastAsia" w:eastAsiaTheme="minorEastAsia"/>
          <w:b/>
          <w:color w:val="auto"/>
          <w:sz w:val="24"/>
        </w:rPr>
        <w:t>自律</w:t>
      </w:r>
      <w:r>
        <w:rPr>
          <w:rFonts w:ascii="宋体" w:hAnsi="宋体" w:eastAsia="宋体"/>
          <w:b/>
          <w:color w:val="auto"/>
          <w:sz w:val="24"/>
        </w:rPr>
        <w:t>规定</w:t>
      </w:r>
    </w:p>
    <w:p w14:paraId="2FC695F5">
      <w:pPr>
        <w:spacing w:line="360" w:lineRule="auto"/>
        <w:ind w:firstLine="435"/>
        <w:rPr>
          <w:rFonts w:ascii="宋体" w:hAnsi="宋体" w:eastAsia="宋体"/>
          <w:color w:val="auto"/>
          <w:sz w:val="24"/>
        </w:rPr>
      </w:pPr>
      <w:r>
        <w:rPr>
          <w:rFonts w:hint="eastAsia" w:ascii="宋体" w:hAnsi="宋体" w:eastAsia="宋体"/>
          <w:color w:val="auto"/>
          <w:sz w:val="24"/>
        </w:rPr>
        <w:t>28</w:t>
      </w:r>
      <w:r>
        <w:rPr>
          <w:rFonts w:ascii="宋体" w:hAnsi="宋体" w:eastAsia="宋体"/>
          <w:color w:val="auto"/>
          <w:sz w:val="24"/>
        </w:rPr>
        <w:t>.1采购代理机构工作人员不得以不正当手段获取政府采购代理业务，不得与采购人、供应商恶意串通。</w:t>
      </w:r>
    </w:p>
    <w:p w14:paraId="3A8259C1">
      <w:pPr>
        <w:spacing w:line="360" w:lineRule="auto"/>
        <w:ind w:firstLine="435"/>
        <w:rPr>
          <w:rFonts w:ascii="宋体" w:hAnsi="宋体" w:eastAsia="宋体"/>
          <w:color w:val="auto"/>
          <w:sz w:val="24"/>
        </w:rPr>
      </w:pPr>
      <w:r>
        <w:rPr>
          <w:rFonts w:hint="eastAsia" w:ascii="宋体" w:hAnsi="宋体" w:eastAsia="宋体"/>
          <w:color w:val="auto"/>
          <w:sz w:val="24"/>
        </w:rPr>
        <w:t>28</w:t>
      </w:r>
      <w:r>
        <w:rPr>
          <w:rFonts w:ascii="宋体" w:hAnsi="宋体" w:eastAsia="宋体"/>
          <w:color w:val="auto"/>
          <w:sz w:val="24"/>
        </w:rPr>
        <w:t>.2采购代理机构工作人员不得接受采购人或者供应商组织的宴请、旅游、娱乐，不得收受礼品、现金、有价证券等，不得向采购人或者供应商报销应当由个人承担的费用。</w:t>
      </w:r>
    </w:p>
    <w:p w14:paraId="18F0D7F1">
      <w:pPr>
        <w:spacing w:line="360" w:lineRule="auto"/>
        <w:ind w:firstLine="437"/>
        <w:outlineLvl w:val="2"/>
        <w:rPr>
          <w:rFonts w:ascii="宋体" w:hAnsi="宋体" w:eastAsia="宋体"/>
          <w:b/>
          <w:color w:val="auto"/>
          <w:sz w:val="24"/>
        </w:rPr>
      </w:pPr>
      <w:r>
        <w:rPr>
          <w:rFonts w:hint="eastAsia" w:ascii="宋体" w:hAnsi="宋体" w:eastAsia="宋体"/>
          <w:b/>
          <w:color w:val="auto"/>
          <w:sz w:val="24"/>
        </w:rPr>
        <w:t>29</w:t>
      </w:r>
      <w:r>
        <w:rPr>
          <w:rFonts w:ascii="宋体" w:hAnsi="宋体" w:eastAsia="宋体"/>
          <w:b/>
          <w:color w:val="auto"/>
          <w:sz w:val="24"/>
        </w:rPr>
        <w:t>.质疑的</w:t>
      </w:r>
      <w:r>
        <w:rPr>
          <w:rFonts w:asciiTheme="minorEastAsia" w:hAnsiTheme="minorEastAsia" w:eastAsiaTheme="minorEastAsia"/>
          <w:b/>
          <w:color w:val="auto"/>
          <w:sz w:val="24"/>
        </w:rPr>
        <w:t>提出</w:t>
      </w:r>
      <w:r>
        <w:rPr>
          <w:rFonts w:ascii="宋体" w:hAnsi="宋体" w:eastAsia="宋体"/>
          <w:b/>
          <w:color w:val="auto"/>
          <w:sz w:val="24"/>
        </w:rPr>
        <w:t>与接收</w:t>
      </w:r>
    </w:p>
    <w:p w14:paraId="40BFB5FD">
      <w:pPr>
        <w:spacing w:line="360" w:lineRule="auto"/>
        <w:ind w:firstLine="435"/>
        <w:rPr>
          <w:rFonts w:ascii="宋体" w:hAnsi="宋体" w:eastAsia="宋体"/>
          <w:color w:val="auto"/>
          <w:sz w:val="24"/>
        </w:rPr>
      </w:pPr>
      <w:r>
        <w:rPr>
          <w:rFonts w:hint="eastAsia" w:ascii="宋体" w:hAnsi="宋体" w:eastAsia="宋体"/>
          <w:color w:val="auto"/>
          <w:sz w:val="24"/>
        </w:rPr>
        <w:t>29.1供应商认为磋商文件、采购过程和成交结果使自己的权益受到损害的，可以在知道或者应知其权益受到损害之日起七个工作日内，以书面形式向采购人或其委托的采购代理机构提出质疑。</w:t>
      </w:r>
    </w:p>
    <w:p w14:paraId="3ABCC269">
      <w:pPr>
        <w:spacing w:line="360" w:lineRule="auto"/>
        <w:ind w:firstLine="435"/>
        <w:rPr>
          <w:rFonts w:ascii="宋体" w:hAnsi="宋体" w:eastAsia="宋体"/>
          <w:color w:val="auto"/>
          <w:sz w:val="24"/>
        </w:rPr>
      </w:pPr>
      <w:r>
        <w:rPr>
          <w:rFonts w:hint="eastAsia" w:ascii="宋体" w:hAnsi="宋体" w:eastAsia="宋体"/>
          <w:color w:val="auto"/>
          <w:sz w:val="24"/>
        </w:rPr>
        <w:t>29.2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7FEAAEA8">
      <w:pPr>
        <w:spacing w:line="360" w:lineRule="auto"/>
        <w:ind w:firstLine="435"/>
        <w:rPr>
          <w:rFonts w:ascii="宋体" w:hAnsi="宋体" w:eastAsia="宋体"/>
          <w:color w:val="auto"/>
          <w:sz w:val="24"/>
        </w:rPr>
      </w:pPr>
      <w:r>
        <w:rPr>
          <w:rFonts w:hint="eastAsia" w:ascii="宋体" w:hAnsi="宋体" w:eastAsia="宋体"/>
          <w:color w:val="auto"/>
          <w:sz w:val="24"/>
        </w:rPr>
        <w:t>29.3采购代理机构质疑函接收部门、联系电话和通讯地址，见</w:t>
      </w:r>
      <w:r>
        <w:rPr>
          <w:rFonts w:hint="eastAsia" w:ascii="宋体" w:hAnsi="宋体" w:eastAsia="宋体"/>
          <w:color w:val="auto"/>
          <w:sz w:val="24"/>
          <w:u w:val="single"/>
        </w:rPr>
        <w:t>供应商须知前附表</w:t>
      </w:r>
      <w:r>
        <w:rPr>
          <w:rFonts w:hint="eastAsia" w:ascii="宋体" w:hAnsi="宋体" w:eastAsia="宋体"/>
          <w:color w:val="auto"/>
          <w:sz w:val="24"/>
        </w:rPr>
        <w:t>。</w:t>
      </w:r>
    </w:p>
    <w:p w14:paraId="51ECB483">
      <w:pPr>
        <w:spacing w:line="360" w:lineRule="auto"/>
        <w:ind w:firstLine="435"/>
        <w:rPr>
          <w:rFonts w:ascii="宋体" w:hAnsi="宋体" w:eastAsia="宋体"/>
          <w:color w:val="auto"/>
          <w:sz w:val="24"/>
        </w:rPr>
      </w:pPr>
      <w:r>
        <w:rPr>
          <w:rFonts w:hint="eastAsia" w:ascii="宋体" w:hAnsi="宋体" w:eastAsia="宋体"/>
          <w:color w:val="auto"/>
          <w:sz w:val="24"/>
        </w:rPr>
        <w:t>注：上述条款中所要求的书面形式包含通过电子交易系统递交方式。</w:t>
      </w:r>
    </w:p>
    <w:p w14:paraId="6A3D8120">
      <w:pPr>
        <w:spacing w:line="360" w:lineRule="auto"/>
        <w:ind w:firstLine="437"/>
        <w:outlineLvl w:val="2"/>
        <w:rPr>
          <w:rFonts w:ascii="宋体" w:hAnsi="宋体" w:eastAsia="宋体"/>
          <w:b/>
          <w:color w:val="auto"/>
          <w:sz w:val="24"/>
        </w:rPr>
      </w:pPr>
      <w:r>
        <w:rPr>
          <w:rFonts w:hint="eastAsia" w:ascii="宋体" w:hAnsi="宋体" w:eastAsia="宋体"/>
          <w:b/>
          <w:color w:val="auto"/>
          <w:sz w:val="24"/>
        </w:rPr>
        <w:t>30</w:t>
      </w:r>
      <w:r>
        <w:rPr>
          <w:rFonts w:ascii="宋体" w:hAnsi="宋体" w:eastAsia="宋体"/>
          <w:b/>
          <w:color w:val="auto"/>
          <w:sz w:val="24"/>
        </w:rPr>
        <w:t>.需要</w:t>
      </w:r>
      <w:r>
        <w:rPr>
          <w:rFonts w:asciiTheme="minorEastAsia" w:hAnsiTheme="minorEastAsia" w:eastAsiaTheme="minorEastAsia"/>
          <w:b/>
          <w:color w:val="auto"/>
          <w:sz w:val="24"/>
        </w:rPr>
        <w:t>补充</w:t>
      </w:r>
      <w:r>
        <w:rPr>
          <w:rFonts w:ascii="宋体" w:hAnsi="宋体" w:eastAsia="宋体"/>
          <w:b/>
          <w:color w:val="auto"/>
          <w:sz w:val="24"/>
        </w:rPr>
        <w:t>的其他内容</w:t>
      </w:r>
    </w:p>
    <w:p w14:paraId="5BC24884">
      <w:pPr>
        <w:spacing w:line="360" w:lineRule="auto"/>
        <w:ind w:firstLine="437"/>
        <w:rPr>
          <w:rFonts w:asciiTheme="minorEastAsia" w:hAnsiTheme="minorEastAsia" w:eastAsiaTheme="minorEastAsia"/>
          <w:b/>
          <w:color w:val="auto"/>
          <w:sz w:val="28"/>
        </w:rPr>
      </w:pPr>
      <w:r>
        <w:rPr>
          <w:rFonts w:hint="eastAsia" w:ascii="宋体" w:hAnsi="宋体" w:eastAsia="宋体"/>
          <w:color w:val="auto"/>
          <w:sz w:val="24"/>
        </w:rPr>
        <w:t>需要补充的其他内容，见</w:t>
      </w:r>
      <w:r>
        <w:rPr>
          <w:rFonts w:hint="eastAsia" w:ascii="宋体" w:hAnsi="宋体" w:eastAsia="宋体"/>
          <w:color w:val="auto"/>
          <w:sz w:val="24"/>
          <w:u w:val="single"/>
        </w:rPr>
        <w:t>供应商须知前附表</w:t>
      </w:r>
      <w:r>
        <w:rPr>
          <w:rFonts w:hint="eastAsia" w:ascii="宋体" w:hAnsi="宋体" w:eastAsia="宋体"/>
          <w:color w:val="auto"/>
          <w:sz w:val="24"/>
        </w:rPr>
        <w:t>。</w:t>
      </w:r>
      <w:r>
        <w:rPr>
          <w:rFonts w:asciiTheme="minorEastAsia" w:hAnsiTheme="minorEastAsia" w:eastAsiaTheme="minorEastAsia"/>
          <w:color w:val="auto"/>
          <w:sz w:val="24"/>
        </w:rPr>
        <w:br w:type="page"/>
      </w:r>
    </w:p>
    <w:p w14:paraId="18BCA75D">
      <w:pPr>
        <w:spacing w:line="360" w:lineRule="auto"/>
        <w:jc w:val="center"/>
        <w:outlineLvl w:val="0"/>
        <w:rPr>
          <w:rFonts w:asciiTheme="minorEastAsia" w:hAnsiTheme="minorEastAsia" w:eastAsiaTheme="minorEastAsia"/>
          <w:b/>
          <w:color w:val="auto"/>
          <w:sz w:val="28"/>
        </w:rPr>
      </w:pPr>
      <w:bookmarkStart w:id="63" w:name="_Toc19440"/>
      <w:r>
        <w:rPr>
          <w:rFonts w:hint="eastAsia" w:asciiTheme="minorEastAsia" w:hAnsiTheme="minorEastAsia" w:eastAsiaTheme="minorEastAsia"/>
          <w:b/>
          <w:color w:val="auto"/>
          <w:sz w:val="28"/>
        </w:rPr>
        <w:t>第三章  采购需求</w:t>
      </w:r>
      <w:bookmarkEnd w:id="63"/>
    </w:p>
    <w:p w14:paraId="4A09B04F">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前注：</w:t>
      </w:r>
    </w:p>
    <w:p w14:paraId="71A0C889">
      <w:pPr>
        <w:spacing w:line="360" w:lineRule="auto"/>
        <w:ind w:firstLine="435"/>
        <w:rPr>
          <w:rFonts w:asciiTheme="minorEastAsia" w:hAnsiTheme="minorEastAsia" w:eastAsiaTheme="minorEastAsia"/>
          <w:color w:val="auto"/>
          <w:sz w:val="24"/>
        </w:rPr>
      </w:pPr>
      <w:r>
        <w:rPr>
          <w:rFonts w:hint="eastAsia" w:ascii="宋体" w:hAnsi="宋体" w:eastAsia="宋体" w:cs="宋体"/>
          <w:color w:val="auto"/>
          <w:sz w:val="24"/>
          <w:szCs w:val="24"/>
        </w:rPr>
        <w:t>本采购需求中提出的服务方案仅为参考，如无明确限制，供应商可以进行优化，提供满足采购人实际需要的更优（或者性能实质上不低于的）服务方案，且此方案须经磋商小组评审认可。</w:t>
      </w:r>
    </w:p>
    <w:p w14:paraId="2A41375A">
      <w:pPr>
        <w:spacing w:line="360" w:lineRule="auto"/>
        <w:ind w:firstLine="437"/>
        <w:outlineLvl w:val="1"/>
        <w:rPr>
          <w:rFonts w:ascii="宋体" w:hAnsi="宋体" w:eastAsia="宋体"/>
          <w:b/>
          <w:color w:val="auto"/>
          <w:sz w:val="24"/>
          <w:szCs w:val="18"/>
        </w:rPr>
      </w:pPr>
      <w:bookmarkStart w:id="64" w:name="_Toc26349"/>
      <w:bookmarkStart w:id="65" w:name="_Toc7699"/>
      <w:r>
        <w:rPr>
          <w:rFonts w:hint="eastAsia" w:ascii="宋体" w:hAnsi="宋体" w:eastAsia="宋体"/>
          <w:b/>
          <w:color w:val="auto"/>
          <w:sz w:val="24"/>
          <w:szCs w:val="18"/>
        </w:rPr>
        <w:t>一、采购需求前附表</w:t>
      </w:r>
      <w:bookmarkEnd w:id="64"/>
      <w:bookmarkEnd w:id="65"/>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25"/>
        <w:gridCol w:w="5466"/>
      </w:tblGrid>
      <w:tr w14:paraId="0076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5EFE82">
            <w:pPr>
              <w:pStyle w:val="41"/>
              <w:pBdr>
                <w:bottom w:val="none" w:color="auto" w:sz="0" w:space="0"/>
              </w:pBdr>
              <w:tabs>
                <w:tab w:val="clear" w:pos="4153"/>
                <w:tab w:val="clear" w:pos="8306"/>
              </w:tabs>
              <w:adjustRightInd/>
              <w:spacing w:line="240" w:lineRule="auto"/>
              <w:textAlignment w:val="auto"/>
              <w:rPr>
                <w:rFonts w:ascii="宋体" w:hAnsi="宋体" w:eastAsia="宋体"/>
                <w:b/>
                <w:color w:val="auto"/>
                <w:kern w:val="2"/>
              </w:rPr>
            </w:pPr>
            <w:bookmarkStart w:id="66" w:name="_Hlk16461016"/>
            <w:r>
              <w:rPr>
                <w:rFonts w:hint="eastAsia" w:ascii="宋体" w:hAnsi="宋体" w:eastAsia="宋体"/>
                <w:b/>
                <w:color w:val="auto"/>
                <w:kern w:val="2"/>
              </w:rPr>
              <w:t>序号</w:t>
            </w:r>
          </w:p>
        </w:tc>
        <w:tc>
          <w:tcPr>
            <w:tcW w:w="1192" w:type="pct"/>
            <w:vAlign w:val="center"/>
          </w:tcPr>
          <w:p w14:paraId="45EB98D4">
            <w:pPr>
              <w:pStyle w:val="40"/>
              <w:widowControl w:val="0"/>
              <w:spacing w:before="0" w:beforeAutospacing="0" w:after="0" w:afterAutospacing="0"/>
              <w:rPr>
                <w:rFonts w:ascii="宋体" w:hAnsi="宋体" w:eastAsia="宋体"/>
                <w:bCs w:val="0"/>
                <w:color w:val="auto"/>
                <w:sz w:val="24"/>
              </w:rPr>
            </w:pPr>
            <w:r>
              <w:rPr>
                <w:rFonts w:hint="eastAsia" w:ascii="宋体" w:hAnsi="宋体" w:eastAsia="宋体"/>
                <w:bCs w:val="0"/>
                <w:color w:val="auto"/>
                <w:sz w:val="24"/>
              </w:rPr>
              <w:t>条款名称</w:t>
            </w:r>
          </w:p>
        </w:tc>
        <w:tc>
          <w:tcPr>
            <w:tcW w:w="3217" w:type="pct"/>
            <w:vAlign w:val="center"/>
          </w:tcPr>
          <w:p w14:paraId="2EF713BD">
            <w:pPr>
              <w:pStyle w:val="40"/>
              <w:widowControl w:val="0"/>
              <w:spacing w:before="0" w:beforeAutospacing="0" w:after="0" w:afterAutospacing="0"/>
              <w:rPr>
                <w:rFonts w:ascii="宋体" w:hAnsi="宋体" w:eastAsia="宋体"/>
                <w:bCs w:val="0"/>
                <w:color w:val="auto"/>
                <w:sz w:val="24"/>
              </w:rPr>
            </w:pPr>
            <w:r>
              <w:rPr>
                <w:rFonts w:hint="eastAsia" w:ascii="宋体" w:hAnsi="宋体" w:eastAsia="宋体"/>
                <w:bCs w:val="0"/>
                <w:color w:val="auto"/>
                <w:sz w:val="24"/>
              </w:rPr>
              <w:t>内容、说明与要求</w:t>
            </w:r>
          </w:p>
        </w:tc>
      </w:tr>
      <w:tr w14:paraId="3240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C128850">
            <w:pPr>
              <w:pStyle w:val="4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1</w:t>
            </w:r>
          </w:p>
        </w:tc>
        <w:tc>
          <w:tcPr>
            <w:tcW w:w="1192" w:type="pct"/>
            <w:vAlign w:val="center"/>
          </w:tcPr>
          <w:p w14:paraId="5B35904B">
            <w:pPr>
              <w:pStyle w:val="40"/>
              <w:widowControl w:val="0"/>
              <w:spacing w:before="0" w:beforeAutospacing="0" w:after="0" w:afterAutospacing="0"/>
              <w:rPr>
                <w:rFonts w:ascii="宋体" w:hAnsi="宋体" w:eastAsia="宋体"/>
                <w:b w:val="0"/>
                <w:color w:val="auto"/>
                <w:sz w:val="24"/>
              </w:rPr>
            </w:pPr>
            <w:r>
              <w:rPr>
                <w:rFonts w:hint="eastAsia" w:ascii="宋体" w:hAnsi="宋体" w:eastAsia="宋体"/>
                <w:b w:val="0"/>
                <w:color w:val="auto"/>
                <w:sz w:val="24"/>
              </w:rPr>
              <w:t>付款方式</w:t>
            </w:r>
          </w:p>
        </w:tc>
        <w:tc>
          <w:tcPr>
            <w:tcW w:w="3217" w:type="pct"/>
            <w:vAlign w:val="center"/>
          </w:tcPr>
          <w:p w14:paraId="7681EE8E">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①</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w:t>
            </w:r>
            <w:r>
              <w:rPr>
                <w:rFonts w:hint="eastAsia" w:ascii="宋体" w:hAnsi="宋体" w:eastAsia="宋体" w:cs="宋体"/>
                <w:bCs/>
                <w:kern w:val="0"/>
                <w:sz w:val="24"/>
                <w:szCs w:val="24"/>
                <w:lang w:val="en-US" w:eastAsia="zh-CN"/>
              </w:rPr>
              <w:t>按规定及时</w:t>
            </w:r>
            <w:r>
              <w:rPr>
                <w:rFonts w:hint="eastAsia" w:ascii="宋体" w:hAnsi="宋体" w:eastAsia="宋体" w:cs="宋体"/>
                <w:bCs/>
                <w:kern w:val="0"/>
                <w:sz w:val="24"/>
                <w:szCs w:val="24"/>
              </w:rPr>
              <w:t>向乙方支付合同总价的40%作为预付款；合同款按进度支付，乙方申请并经甲方审核同意后支付相应阶段费用。提供甲方认可且具备审查深度的报告，</w:t>
            </w:r>
            <w:r>
              <w:rPr>
                <w:rFonts w:hint="eastAsia" w:ascii="宋体" w:hAnsi="宋体" w:eastAsia="宋体" w:cs="宋体"/>
                <w:bCs/>
                <w:kern w:val="0"/>
                <w:sz w:val="24"/>
                <w:szCs w:val="24"/>
                <w:lang w:val="en-US" w:eastAsia="zh-CN"/>
              </w:rPr>
              <w:t>按规定及时</w:t>
            </w:r>
            <w:r>
              <w:rPr>
                <w:rFonts w:hint="eastAsia" w:ascii="宋体" w:hAnsi="宋体" w:eastAsia="宋体" w:cs="宋体"/>
                <w:bCs/>
                <w:kern w:val="0"/>
                <w:sz w:val="24"/>
                <w:szCs w:val="24"/>
              </w:rPr>
              <w:t>支付至合同价款的90%，并扣回全</w:t>
            </w:r>
            <w:r>
              <w:rPr>
                <w:rFonts w:hint="eastAsia" w:ascii="宋体" w:hAnsi="宋体" w:eastAsia="宋体" w:cs="宋体"/>
                <w:bCs/>
                <w:kern w:val="0"/>
                <w:sz w:val="24"/>
                <w:szCs w:val="24"/>
                <w:lang w:val="en-US" w:eastAsia="zh-CN"/>
              </w:rPr>
              <w:t>部</w:t>
            </w:r>
            <w:r>
              <w:rPr>
                <w:rFonts w:hint="eastAsia" w:ascii="宋体" w:hAnsi="宋体" w:eastAsia="宋体" w:cs="宋体"/>
                <w:bCs/>
                <w:kern w:val="0"/>
                <w:sz w:val="24"/>
                <w:szCs w:val="24"/>
              </w:rPr>
              <w:t>预付款（扣回方式由双方约定），年度验收合格并经结算审核后，支付至结算价的100%。</w:t>
            </w:r>
          </w:p>
          <w:p w14:paraId="0625937E">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②</w:t>
            </w:r>
            <w:r>
              <w:rPr>
                <w:rFonts w:hint="eastAsia" w:ascii="宋体" w:hAnsi="宋体" w:eastAsia="宋体" w:cs="宋体"/>
                <w:bCs/>
                <w:kern w:val="0"/>
                <w:sz w:val="24"/>
                <w:szCs w:val="24"/>
              </w:rPr>
              <w:t>在签订合同时，乙方书面明确表示无需预付款，即乙方无需提供预付款担保，按皖财购〔2022〕556号规定，合同甲方可不再支付预付款。</w:t>
            </w:r>
          </w:p>
          <w:p w14:paraId="26973635">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合同款按进度支付，乙方申请并经甲方审核同意后支付相应阶段费用。提供甲方认可且具备审查深度的报告，可支付至合同价款的90%，并扣回全</w:t>
            </w:r>
            <w:r>
              <w:rPr>
                <w:rFonts w:hint="eastAsia" w:ascii="宋体" w:hAnsi="宋体" w:eastAsia="宋体" w:cs="宋体"/>
                <w:bCs/>
                <w:kern w:val="0"/>
                <w:sz w:val="24"/>
                <w:szCs w:val="24"/>
                <w:lang w:val="en-US" w:eastAsia="zh-CN"/>
              </w:rPr>
              <w:t>部</w:t>
            </w:r>
            <w:r>
              <w:rPr>
                <w:rFonts w:hint="eastAsia" w:ascii="宋体" w:hAnsi="宋体" w:eastAsia="宋体" w:cs="宋体"/>
                <w:bCs/>
                <w:kern w:val="0"/>
                <w:sz w:val="24"/>
                <w:szCs w:val="24"/>
              </w:rPr>
              <w:t>预付款（扣回方式由双方约定），年度验收合格并经结算审核后，支付至结算价的100%。</w:t>
            </w:r>
          </w:p>
          <w:p w14:paraId="6F40ED2F">
            <w:pPr>
              <w:widowControl/>
              <w:spacing w:line="360" w:lineRule="auto"/>
              <w:jc w:val="left"/>
              <w:rPr>
                <w:rFonts w:hint="eastAsia" w:ascii="宋体" w:hAnsi="宋体" w:eastAsia="宋体"/>
                <w:color w:val="auto"/>
                <w:sz w:val="24"/>
                <w:u w:val="single"/>
                <w:lang w:eastAsia="zh-CN"/>
              </w:rPr>
            </w:pPr>
            <w:r>
              <w:rPr>
                <w:rFonts w:hint="eastAsia" w:ascii="宋体" w:hAnsi="宋体" w:eastAsia="宋体" w:cs="宋体"/>
                <w:b/>
                <w:bCs w:val="0"/>
                <w:color w:val="auto"/>
                <w:kern w:val="0"/>
                <w:sz w:val="24"/>
                <w:szCs w:val="24"/>
                <w:highlight w:val="none"/>
              </w:rPr>
              <w:t>备注：预付款支付前，乙方须提交银行、保险公司、担保公司等金融机构出具的预付款保函（见索即付保函）。</w:t>
            </w:r>
          </w:p>
        </w:tc>
      </w:tr>
      <w:tr w14:paraId="3E5C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48C9E52">
            <w:pPr>
              <w:pStyle w:val="4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2</w:t>
            </w:r>
          </w:p>
        </w:tc>
        <w:tc>
          <w:tcPr>
            <w:tcW w:w="1192" w:type="pct"/>
            <w:vAlign w:val="center"/>
          </w:tcPr>
          <w:p w14:paraId="35830C3F">
            <w:pPr>
              <w:pStyle w:val="40"/>
              <w:widowControl w:val="0"/>
              <w:spacing w:before="0" w:beforeAutospacing="0" w:after="0" w:afterAutospacing="0"/>
              <w:rPr>
                <w:rFonts w:ascii="宋体" w:hAnsi="宋体" w:eastAsia="宋体"/>
                <w:b w:val="0"/>
                <w:color w:val="auto"/>
                <w:sz w:val="24"/>
              </w:rPr>
            </w:pPr>
            <w:r>
              <w:rPr>
                <w:rFonts w:hint="eastAsia" w:ascii="宋体" w:hAnsi="宋体" w:eastAsia="宋体"/>
                <w:b w:val="0"/>
                <w:color w:val="auto"/>
                <w:sz w:val="24"/>
              </w:rPr>
              <w:t>服务地点</w:t>
            </w:r>
          </w:p>
        </w:tc>
        <w:tc>
          <w:tcPr>
            <w:tcW w:w="3217" w:type="pct"/>
            <w:vAlign w:val="center"/>
          </w:tcPr>
          <w:p w14:paraId="63D6FC69">
            <w:pPr>
              <w:pStyle w:val="40"/>
              <w:widowControl w:val="0"/>
              <w:spacing w:before="0" w:beforeAutospacing="0" w:after="0" w:afterAutospacing="0"/>
              <w:jc w:val="both"/>
              <w:rPr>
                <w:rFonts w:ascii="宋体" w:hAnsi="宋体" w:eastAsia="宋体"/>
                <w:b w:val="0"/>
                <w:color w:val="auto"/>
                <w:sz w:val="24"/>
              </w:rPr>
            </w:pPr>
            <w:r>
              <w:rPr>
                <w:rFonts w:ascii="宋体" w:hAnsi="宋体" w:eastAsia="宋体"/>
                <w:b w:val="0"/>
                <w:color w:val="auto"/>
                <w:sz w:val="24"/>
              </w:rPr>
              <w:t>安徽省境内（采购人指定地点）</w:t>
            </w:r>
          </w:p>
        </w:tc>
      </w:tr>
      <w:tr w14:paraId="622D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AFD2E10">
            <w:pPr>
              <w:pStyle w:val="4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3</w:t>
            </w:r>
          </w:p>
        </w:tc>
        <w:tc>
          <w:tcPr>
            <w:tcW w:w="1192" w:type="pct"/>
            <w:vAlign w:val="center"/>
          </w:tcPr>
          <w:p w14:paraId="603547A1">
            <w:pPr>
              <w:pStyle w:val="40"/>
              <w:widowControl w:val="0"/>
              <w:spacing w:before="0" w:beforeAutospacing="0" w:after="0" w:afterAutospacing="0"/>
              <w:rPr>
                <w:rFonts w:ascii="宋体" w:hAnsi="宋体" w:eastAsia="宋体"/>
                <w:b w:val="0"/>
                <w:color w:val="auto"/>
                <w:sz w:val="24"/>
              </w:rPr>
            </w:pPr>
            <w:r>
              <w:rPr>
                <w:rFonts w:hint="eastAsia" w:ascii="宋体" w:hAnsi="宋体" w:eastAsia="宋体"/>
                <w:b w:val="0"/>
                <w:color w:val="auto"/>
                <w:sz w:val="24"/>
              </w:rPr>
              <w:t>服务期限</w:t>
            </w:r>
          </w:p>
        </w:tc>
        <w:tc>
          <w:tcPr>
            <w:tcW w:w="3217" w:type="pct"/>
            <w:vAlign w:val="center"/>
          </w:tcPr>
          <w:p w14:paraId="00D87E6B">
            <w:pPr>
              <w:rPr>
                <w:rFonts w:ascii="宋体" w:hAnsi="宋体" w:eastAsia="宋体"/>
                <w:color w:val="auto"/>
                <w:sz w:val="24"/>
              </w:rPr>
            </w:pPr>
            <w:r>
              <w:rPr>
                <w:rFonts w:hint="eastAsia" w:ascii="宋体" w:hAnsi="宋体" w:eastAsia="宋体" w:cs="宋体"/>
                <w:color w:val="auto"/>
                <w:sz w:val="24"/>
                <w:szCs w:val="24"/>
              </w:rPr>
              <w:t>合同签订之日起</w:t>
            </w:r>
            <w:r>
              <w:rPr>
                <w:rFonts w:ascii="宋体" w:hAnsi="宋体" w:eastAsia="宋体" w:cs="宋体"/>
                <w:color w:val="auto"/>
                <w:sz w:val="24"/>
                <w:szCs w:val="24"/>
              </w:rPr>
              <w:t>210</w:t>
            </w:r>
            <w:r>
              <w:rPr>
                <w:rFonts w:hint="eastAsia" w:ascii="宋体" w:hAnsi="宋体" w:eastAsia="宋体" w:cs="宋体"/>
                <w:color w:val="auto"/>
                <w:sz w:val="24"/>
                <w:szCs w:val="24"/>
              </w:rPr>
              <w:t>日历天</w:t>
            </w:r>
          </w:p>
        </w:tc>
      </w:tr>
      <w:tr w14:paraId="279D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0" w:type="pct"/>
            <w:vAlign w:val="center"/>
          </w:tcPr>
          <w:p w14:paraId="3596C58B">
            <w:pPr>
              <w:pStyle w:val="4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4</w:t>
            </w:r>
          </w:p>
        </w:tc>
        <w:tc>
          <w:tcPr>
            <w:tcW w:w="1192" w:type="pct"/>
            <w:vAlign w:val="center"/>
          </w:tcPr>
          <w:p w14:paraId="2DCC2CFD">
            <w:pPr>
              <w:pStyle w:val="40"/>
              <w:widowControl w:val="0"/>
              <w:spacing w:before="0" w:beforeAutospacing="0" w:after="0" w:afterAutospacing="0"/>
              <w:rPr>
                <w:rFonts w:ascii="宋体" w:hAnsi="宋体" w:eastAsia="宋体"/>
                <w:b w:val="0"/>
                <w:color w:val="auto"/>
                <w:sz w:val="24"/>
              </w:rPr>
            </w:pPr>
            <w:r>
              <w:rPr>
                <w:rFonts w:hint="eastAsia" w:ascii="宋体" w:hAnsi="宋体" w:eastAsia="宋体"/>
                <w:b w:val="0"/>
                <w:color w:val="auto"/>
                <w:sz w:val="24"/>
              </w:rPr>
              <w:t>本项目采购标的名称及所属行业</w:t>
            </w:r>
          </w:p>
        </w:tc>
        <w:tc>
          <w:tcPr>
            <w:tcW w:w="3217" w:type="pct"/>
            <w:vAlign w:val="center"/>
          </w:tcPr>
          <w:p w14:paraId="1B2A658A">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标的名称：</w:t>
            </w:r>
            <w:r>
              <w:rPr>
                <w:rFonts w:hint="eastAsia" w:ascii="宋体" w:hAnsi="宋体" w:eastAsia="宋体" w:cs="宋体"/>
                <w:color w:val="auto"/>
                <w:sz w:val="24"/>
                <w:szCs w:val="24"/>
              </w:rPr>
              <w:t>省淮河局2025年部分水闸安全鉴定</w:t>
            </w:r>
          </w:p>
          <w:p w14:paraId="13B6A520">
            <w:pPr>
              <w:rPr>
                <w:rFonts w:ascii="宋体" w:hAnsi="宋体" w:eastAsia="宋体"/>
                <w:color w:val="auto"/>
                <w:sz w:val="24"/>
                <w:u w:val="single"/>
              </w:rPr>
            </w:pPr>
            <w:r>
              <w:rPr>
                <w:rFonts w:hint="eastAsia" w:asciiTheme="minorEastAsia" w:hAnsiTheme="minorEastAsia" w:eastAsiaTheme="minorEastAsia"/>
                <w:color w:val="auto"/>
                <w:sz w:val="24"/>
              </w:rPr>
              <w:t>所</w:t>
            </w:r>
            <w:r>
              <w:rPr>
                <w:rFonts w:hint="eastAsia" w:ascii="宋体" w:hAnsi="宋体" w:eastAsia="宋体" w:cs="宋体"/>
                <w:color w:val="auto"/>
                <w:sz w:val="24"/>
                <w:szCs w:val="24"/>
              </w:rPr>
              <w:t>属行业：</w:t>
            </w:r>
            <w:r>
              <w:rPr>
                <w:rFonts w:ascii="宋体" w:hAnsi="宋体" w:eastAsia="宋体" w:cs="宋体"/>
                <w:color w:val="auto"/>
                <w:sz w:val="24"/>
                <w:szCs w:val="24"/>
                <w:lang w:val="zh-TW"/>
              </w:rPr>
              <w:t>其他未列明行业</w:t>
            </w:r>
          </w:p>
        </w:tc>
      </w:tr>
      <w:tr w14:paraId="03CE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90" w:type="pct"/>
            <w:vAlign w:val="center"/>
          </w:tcPr>
          <w:p w14:paraId="60271DD3">
            <w:pPr>
              <w:pStyle w:val="41"/>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bookmarkStart w:id="67" w:name="_Toc23116"/>
            <w:bookmarkStart w:id="68" w:name="_Toc25144"/>
            <w:r>
              <w:rPr>
                <w:rFonts w:hint="eastAsia" w:ascii="宋体" w:hAnsi="宋体" w:eastAsia="宋体"/>
                <w:bCs/>
                <w:color w:val="auto"/>
                <w:kern w:val="2"/>
              </w:rPr>
              <w:t>5</w:t>
            </w:r>
          </w:p>
        </w:tc>
        <w:tc>
          <w:tcPr>
            <w:tcW w:w="1192" w:type="pct"/>
            <w:vAlign w:val="center"/>
          </w:tcPr>
          <w:p w14:paraId="6DEEAF34">
            <w:pPr>
              <w:pStyle w:val="40"/>
              <w:widowControl w:val="0"/>
              <w:spacing w:before="0" w:beforeAutospacing="0" w:after="0" w:afterAutospacing="0"/>
              <w:rPr>
                <w:rFonts w:ascii="宋体" w:hAnsi="宋体" w:eastAsia="宋体"/>
                <w:b w:val="0"/>
                <w:color w:val="auto"/>
                <w:sz w:val="24"/>
              </w:rPr>
            </w:pPr>
            <w:r>
              <w:rPr>
                <w:rFonts w:hint="eastAsia" w:ascii="宋体" w:hAnsi="宋体" w:eastAsia="宋体"/>
                <w:b w:val="0"/>
                <w:color w:val="auto"/>
                <w:sz w:val="24"/>
              </w:rPr>
              <w:t>前期资料收集</w:t>
            </w:r>
          </w:p>
        </w:tc>
        <w:tc>
          <w:tcPr>
            <w:tcW w:w="3217" w:type="pct"/>
            <w:vAlign w:val="center"/>
          </w:tcPr>
          <w:p w14:paraId="14698EE2">
            <w:pPr>
              <w:rPr>
                <w:rFonts w:asciiTheme="minorEastAsia" w:hAnsiTheme="minorEastAsia" w:eastAsiaTheme="minorEastAsia"/>
                <w:color w:val="auto"/>
                <w:sz w:val="24"/>
              </w:rPr>
            </w:pPr>
            <w:r>
              <w:rPr>
                <w:rFonts w:hint="eastAsia" w:ascii="宋体" w:hAnsi="宋体" w:eastAsia="宋体"/>
                <w:color w:val="auto"/>
                <w:sz w:val="24"/>
              </w:rPr>
              <w:t>与本项目相关的前期和基础资料，全部由成交供应商负责收集，潜在供应商在报价时要充分考虑此部分费用。</w:t>
            </w:r>
          </w:p>
        </w:tc>
      </w:tr>
    </w:tbl>
    <w:p w14:paraId="27390C02">
      <w:pPr>
        <w:rPr>
          <w:rFonts w:ascii="宋体" w:hAnsi="宋体" w:eastAsia="宋体"/>
          <w:b/>
          <w:color w:val="auto"/>
          <w:sz w:val="24"/>
          <w:szCs w:val="18"/>
        </w:rPr>
      </w:pPr>
      <w:r>
        <w:rPr>
          <w:rFonts w:hint="eastAsia" w:ascii="宋体" w:hAnsi="宋体" w:eastAsia="宋体"/>
          <w:b/>
          <w:color w:val="auto"/>
          <w:sz w:val="24"/>
          <w:szCs w:val="18"/>
        </w:rPr>
        <w:br w:type="page"/>
      </w:r>
    </w:p>
    <w:p w14:paraId="69E26BCB">
      <w:pPr>
        <w:spacing w:line="360" w:lineRule="auto"/>
        <w:ind w:firstLine="437"/>
        <w:outlineLvl w:val="1"/>
        <w:rPr>
          <w:rFonts w:ascii="宋体" w:hAnsi="宋体" w:eastAsia="宋体"/>
          <w:b/>
          <w:color w:val="auto"/>
          <w:sz w:val="24"/>
          <w:szCs w:val="18"/>
        </w:rPr>
      </w:pPr>
      <w:r>
        <w:rPr>
          <w:rFonts w:hint="eastAsia" w:ascii="宋体" w:hAnsi="宋体" w:eastAsia="宋体"/>
          <w:b/>
          <w:color w:val="auto"/>
          <w:sz w:val="24"/>
          <w:szCs w:val="18"/>
        </w:rPr>
        <w:t>二、项目概况</w:t>
      </w:r>
      <w:bookmarkEnd w:id="67"/>
      <w:bookmarkEnd w:id="68"/>
    </w:p>
    <w:p w14:paraId="5C621866">
      <w:pPr>
        <w:spacing w:line="360" w:lineRule="auto"/>
        <w:ind w:firstLine="437"/>
        <w:rPr>
          <w:rFonts w:ascii="宋体" w:hAnsi="宋体" w:eastAsia="宋体" w:cs="宋体"/>
          <w:color w:val="auto"/>
          <w:sz w:val="24"/>
          <w:szCs w:val="24"/>
        </w:rPr>
      </w:pPr>
      <w:r>
        <w:rPr>
          <w:rFonts w:hint="eastAsia" w:ascii="宋体" w:hAnsi="宋体" w:eastAsia="宋体" w:cs="宋体"/>
          <w:color w:val="auto"/>
          <w:sz w:val="24"/>
          <w:szCs w:val="24"/>
        </w:rPr>
        <w:t>拟对以下水闸进行安全鉴定工作，供应商编制完成现状调查分析报告、现场安全检测报告、工程复核计算分析报告和水闸安全评价报告等，并及时配合完成通过水闸安全评价成果审查工作等。</w:t>
      </w:r>
    </w:p>
    <w:p w14:paraId="115A22A3">
      <w:pPr>
        <w:spacing w:line="360" w:lineRule="auto"/>
        <w:ind w:firstLine="437"/>
        <w:rPr>
          <w:rFonts w:ascii="宋体" w:hAnsi="宋体" w:eastAsia="宋体" w:cs="宋体"/>
          <w:color w:val="auto"/>
          <w:sz w:val="24"/>
          <w:szCs w:val="24"/>
        </w:rPr>
      </w:pPr>
      <w:r>
        <w:rPr>
          <w:rFonts w:hint="eastAsia" w:ascii="宋体" w:hAnsi="宋体" w:eastAsia="宋体" w:cs="宋体"/>
          <w:color w:val="auto"/>
          <w:sz w:val="24"/>
          <w:szCs w:val="24"/>
        </w:rPr>
        <w:t>大型闸：颍上闸、城西湖退水闸、姜唐湖退水闸。</w:t>
      </w:r>
    </w:p>
    <w:p w14:paraId="676C7A09">
      <w:pPr>
        <w:spacing w:line="360" w:lineRule="auto"/>
        <w:ind w:firstLine="437"/>
        <w:rPr>
          <w:rFonts w:ascii="宋体" w:hAnsi="宋体" w:eastAsia="宋体" w:cs="宋体"/>
          <w:color w:val="auto"/>
          <w:sz w:val="24"/>
          <w:szCs w:val="24"/>
        </w:rPr>
      </w:pPr>
      <w:r>
        <w:rPr>
          <w:rFonts w:hint="eastAsia" w:ascii="宋体" w:hAnsi="宋体" w:eastAsia="宋体" w:cs="宋体"/>
          <w:color w:val="auto"/>
          <w:sz w:val="24"/>
          <w:szCs w:val="24"/>
        </w:rPr>
        <w:t>中型闸：五河分洪闸、刘桥闸、新淝闸；</w:t>
      </w:r>
    </w:p>
    <w:p w14:paraId="2B6C7CB0">
      <w:pPr>
        <w:spacing w:line="360" w:lineRule="auto"/>
        <w:ind w:firstLine="437"/>
        <w:rPr>
          <w:rFonts w:ascii="宋体" w:hAnsi="宋体" w:eastAsia="宋体" w:cs="宋体"/>
          <w:color w:val="auto"/>
          <w:sz w:val="24"/>
          <w:szCs w:val="24"/>
        </w:rPr>
      </w:pPr>
      <w:r>
        <w:rPr>
          <w:rFonts w:hint="eastAsia" w:ascii="宋体" w:hAnsi="宋体" w:eastAsia="宋体" w:cs="宋体"/>
          <w:color w:val="auto"/>
          <w:sz w:val="24"/>
          <w:szCs w:val="24"/>
        </w:rPr>
        <w:t>小型闸：张大桥闸、双涧闸、架河闸；</w:t>
      </w:r>
    </w:p>
    <w:p w14:paraId="3D64260C">
      <w:pPr>
        <w:spacing w:line="360" w:lineRule="auto"/>
        <w:ind w:firstLine="437"/>
        <w:rPr>
          <w:rFonts w:ascii="宋体" w:hAnsi="宋体" w:eastAsia="宋体" w:cs="宋体"/>
          <w:color w:val="auto"/>
          <w:sz w:val="24"/>
          <w:szCs w:val="24"/>
        </w:rPr>
      </w:pPr>
      <w:r>
        <w:rPr>
          <w:rFonts w:hint="eastAsia" w:ascii="宋体" w:hAnsi="宋体" w:eastAsia="宋体" w:cs="宋体"/>
          <w:color w:val="auto"/>
          <w:sz w:val="24"/>
          <w:szCs w:val="24"/>
        </w:rPr>
        <w:t>其中</w:t>
      </w:r>
      <w:bookmarkStart w:id="69" w:name="_Hlk190350464"/>
      <w:r>
        <w:rPr>
          <w:rFonts w:hint="eastAsia" w:ascii="宋体" w:hAnsi="宋体" w:eastAsia="宋体" w:cs="宋体"/>
          <w:color w:val="auto"/>
          <w:sz w:val="24"/>
          <w:szCs w:val="24"/>
        </w:rPr>
        <w:t>颍上闸、城西湖退水闸、姜唐湖退水闸、五河分洪闸、刘桥闸、新淝闸在现场安全检测报告基础上另单独编写闸门和启闭设备安全检测与评价报告。</w:t>
      </w:r>
      <w:bookmarkEnd w:id="69"/>
    </w:p>
    <w:p w14:paraId="572A283C">
      <w:pPr>
        <w:adjustRightInd w:val="0"/>
        <w:snapToGrid w:val="0"/>
        <w:spacing w:line="560" w:lineRule="exact"/>
        <w:ind w:firstLine="482" w:firstLineChars="200"/>
        <w:jc w:val="left"/>
        <w:outlineLvl w:val="1"/>
        <w:rPr>
          <w:rFonts w:ascii="Times New Roman" w:hAnsi="Times New Roman" w:eastAsia="宋体" w:cs="Times New Roman"/>
          <w:b/>
          <w:color w:val="auto"/>
          <w:sz w:val="24"/>
          <w:szCs w:val="24"/>
        </w:rPr>
      </w:pPr>
      <w:bookmarkStart w:id="70" w:name="_Toc8586"/>
      <w:bookmarkStart w:id="71" w:name="_Toc21757"/>
      <w:r>
        <w:rPr>
          <w:rFonts w:hint="eastAsia" w:ascii="宋体" w:hAnsi="宋体" w:eastAsia="宋体"/>
          <w:b/>
          <w:color w:val="auto"/>
          <w:sz w:val="24"/>
          <w:szCs w:val="18"/>
        </w:rPr>
        <w:t>三、服务需求</w:t>
      </w:r>
      <w:bookmarkEnd w:id="70"/>
      <w:bookmarkEnd w:id="71"/>
    </w:p>
    <w:p w14:paraId="11DC28AD">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1.工作内容</w:t>
      </w:r>
    </w:p>
    <w:p w14:paraId="6AB48891">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根据《水闸安全鉴定管理办法》（水利部水建管〔2008〕214号）和《水闸安全评价导则》（SL214-2015）等规定，水闸安全鉴定承担单位须完成以下工作：</w:t>
      </w:r>
    </w:p>
    <w:p w14:paraId="75A8E1BD">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w:t>
      </w:r>
      <w:r>
        <w:rPr>
          <w:rFonts w:ascii="宋体" w:hAnsi="宋体" w:eastAsia="宋体"/>
          <w:bCs/>
          <w:color w:val="auto"/>
          <w:sz w:val="24"/>
          <w:szCs w:val="18"/>
        </w:rPr>
        <w:t>收集资料</w:t>
      </w:r>
      <w:r>
        <w:rPr>
          <w:rFonts w:hint="eastAsia" w:ascii="宋体" w:hAnsi="宋体" w:eastAsia="宋体"/>
          <w:bCs/>
          <w:color w:val="auto"/>
          <w:sz w:val="24"/>
          <w:szCs w:val="18"/>
        </w:rPr>
        <w:t>，进行现场调查，编写工程现状调查分析报告。在现状调查的基础上，提出现场安全检测和工程复核计算项目；</w:t>
      </w:r>
    </w:p>
    <w:p w14:paraId="01FFB721">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（2）按有关规程开展现场安全检测，评价检测部位和结构的安全状态，编写现场安全检测报告</w:t>
      </w:r>
      <w:bookmarkStart w:id="72" w:name="_Hlk190350199"/>
      <w:r>
        <w:rPr>
          <w:rFonts w:hint="eastAsia" w:ascii="宋体" w:hAnsi="宋体" w:eastAsia="宋体"/>
          <w:bCs/>
          <w:color w:val="auto"/>
          <w:sz w:val="24"/>
          <w:szCs w:val="18"/>
        </w:rPr>
        <w:t>；</w:t>
      </w:r>
    </w:p>
    <w:bookmarkEnd w:id="72"/>
    <w:p w14:paraId="538054E1">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（3）按有关规范进行安全复核计算，编写工程复核计算分析报告；</w:t>
      </w:r>
    </w:p>
    <w:p w14:paraId="160C2A67">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（4）对水闸安全状况进行评价，提出工程存在主要问题、水闸安全类别鉴定结果和处理措施建议等，编写水闸安全评价报告；</w:t>
      </w:r>
    </w:p>
    <w:p w14:paraId="4F1C0769">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（5）按照水闸安全鉴定专家组的审查意见，补充相关工作，修改完善水闸安全鉴定报告，协助完成安全鉴定相关工作等。</w:t>
      </w:r>
    </w:p>
    <w:p w14:paraId="5B67E618">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（6）编写颍上闸、城西湖退水闸、姜唐湖退水闸、五河分洪闸、刘桥闸、新淝闸闸门和启闭设备安全检测与评价报告。</w:t>
      </w:r>
    </w:p>
    <w:p w14:paraId="1363F0F5">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2.鉴定检测所依据的有关标准、规范和规程包括但不限于</w:t>
      </w:r>
    </w:p>
    <w:p w14:paraId="280125E2">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（1）《水闸设计规范》（SL 265-2016）。</w:t>
      </w:r>
    </w:p>
    <w:p w14:paraId="38C50A00">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（2）《水闸安全评价导则》（SL 214-2015）。</w:t>
      </w:r>
    </w:p>
    <w:p w14:paraId="1EED999B">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（3）《水闸安全鉴定管理办法》（水建管[2008]214 号）</w:t>
      </w:r>
    </w:p>
    <w:p w14:paraId="4324BE75">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3</w:t>
      </w:r>
      <w:r>
        <w:rPr>
          <w:rFonts w:ascii="宋体" w:hAnsi="宋体" w:eastAsia="宋体"/>
          <w:bCs/>
          <w:color w:val="auto"/>
          <w:sz w:val="24"/>
          <w:szCs w:val="18"/>
        </w:rPr>
        <w:t>.</w:t>
      </w:r>
      <w:bookmarkStart w:id="73" w:name="_Hlk190272144"/>
      <w:r>
        <w:rPr>
          <w:rFonts w:hint="eastAsia" w:ascii="宋体" w:hAnsi="宋体" w:eastAsia="宋体"/>
          <w:bCs/>
          <w:color w:val="auto"/>
          <w:sz w:val="24"/>
          <w:szCs w:val="18"/>
        </w:rPr>
        <w:t>水上及临水作业，作业人员必须穿戴好救生衣，不得穿带钉易滑的硬底鞋，每次工作前对所用的救生衣进行检查确保其安全有效，禁止单人独自作业，室外作业时，当风力较大，影响作业安全时，立即停止工作，人员在船上走动或操作时，船只要固定牢靠，船上配备救生圈等救生器具；作业过程中，应加强人员管理，确保人员工作安全，防范安全生产事故，乙方在履行本合同过程中发生的任何工伤或意外事故等，均由乙方负责处理并承担全部费用；若因此给采购人或第三方造成损失，由乙方予以全额赔偿。</w:t>
      </w:r>
      <w:bookmarkEnd w:id="73"/>
    </w:p>
    <w:p w14:paraId="3CA6F72A">
      <w:pPr>
        <w:adjustRightInd w:val="0"/>
        <w:snapToGrid w:val="0"/>
        <w:spacing w:line="560" w:lineRule="exact"/>
        <w:ind w:firstLine="482" w:firstLineChars="200"/>
        <w:jc w:val="left"/>
        <w:outlineLvl w:val="1"/>
        <w:rPr>
          <w:rFonts w:ascii="宋体" w:hAnsi="宋体" w:eastAsia="宋体"/>
          <w:b/>
          <w:color w:val="auto"/>
          <w:sz w:val="24"/>
          <w:szCs w:val="18"/>
        </w:rPr>
      </w:pPr>
      <w:bookmarkStart w:id="74" w:name="_Toc12910"/>
      <w:bookmarkStart w:id="75" w:name="_Toc18052"/>
      <w:r>
        <w:rPr>
          <w:rFonts w:hint="eastAsia" w:ascii="宋体" w:hAnsi="宋体" w:eastAsia="宋体"/>
          <w:b/>
          <w:color w:val="auto"/>
          <w:sz w:val="24"/>
          <w:szCs w:val="18"/>
        </w:rPr>
        <w:t>四、报价要求</w:t>
      </w:r>
      <w:bookmarkEnd w:id="74"/>
      <w:bookmarkEnd w:id="75"/>
    </w:p>
    <w:p w14:paraId="58712A67">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1.1报价清单及报价表应与磋商须知、合同条款、采购需求等文件一起参照阅读。</w:t>
      </w:r>
    </w:p>
    <w:p w14:paraId="29C9B557">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1.2</w:t>
      </w:r>
      <w:r>
        <w:rPr>
          <w:rFonts w:ascii="宋体" w:hAnsi="宋体" w:eastAsia="宋体"/>
          <w:bCs/>
          <w:color w:val="auto"/>
          <w:sz w:val="24"/>
          <w:szCs w:val="18"/>
        </w:rPr>
        <w:t>报价</w:t>
      </w:r>
      <w:r>
        <w:rPr>
          <w:rFonts w:hint="eastAsia" w:ascii="宋体" w:hAnsi="宋体" w:eastAsia="宋体"/>
          <w:bCs/>
          <w:color w:val="auto"/>
          <w:sz w:val="24"/>
          <w:szCs w:val="18"/>
        </w:rPr>
        <w:t>应包含履行合同内容而发生的包括但不限于差旅费、人员补助费和成果评审（论证）会议等涉及项目相关的所有费用，以及合同明示或暗示的所有责任、义务和一般风险。</w:t>
      </w:r>
    </w:p>
    <w:p w14:paraId="2D809D7A">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1.3本项目采用单项总价承包方式。</w:t>
      </w:r>
    </w:p>
    <w:p w14:paraId="5AE9CED5">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1.4报价表中所有的报价栏均由供应商填报。报价货币为人民币。若供应商对某些项目未填报的，则认为已包括在其它项目的报价内。</w:t>
      </w:r>
    </w:p>
    <w:p w14:paraId="7579DB40">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1.5报价表中各项目的工作内容和要求的规定详见采购需求有关部分。</w:t>
      </w:r>
    </w:p>
    <w:p w14:paraId="7F6ED204">
      <w:pPr>
        <w:adjustRightInd w:val="0"/>
        <w:snapToGrid w:val="0"/>
        <w:spacing w:line="560" w:lineRule="exact"/>
        <w:ind w:firstLine="437"/>
        <w:rPr>
          <w:rFonts w:ascii="宋体" w:hAnsi="宋体" w:eastAsia="宋体"/>
          <w:bCs/>
          <w:color w:val="auto"/>
          <w:sz w:val="24"/>
          <w:szCs w:val="18"/>
        </w:rPr>
      </w:pPr>
      <w:r>
        <w:rPr>
          <w:rFonts w:hint="eastAsia" w:ascii="宋体" w:hAnsi="宋体" w:eastAsia="宋体"/>
          <w:bCs/>
          <w:color w:val="auto"/>
          <w:sz w:val="24"/>
          <w:szCs w:val="18"/>
        </w:rPr>
        <w:t>1.6供应商</w:t>
      </w:r>
      <w:r>
        <w:rPr>
          <w:rFonts w:ascii="宋体" w:hAnsi="宋体" w:eastAsia="宋体"/>
          <w:bCs/>
          <w:color w:val="auto"/>
          <w:sz w:val="24"/>
          <w:szCs w:val="18"/>
        </w:rPr>
        <w:t>应对全部工作内容负责，不得分包、转包。如一经发现上述行为，</w:t>
      </w:r>
      <w:r>
        <w:rPr>
          <w:rFonts w:hint="eastAsia" w:ascii="宋体" w:hAnsi="宋体" w:eastAsia="宋体"/>
          <w:bCs/>
          <w:color w:val="auto"/>
          <w:sz w:val="24"/>
          <w:szCs w:val="18"/>
        </w:rPr>
        <w:t>采购人</w:t>
      </w:r>
      <w:r>
        <w:rPr>
          <w:rFonts w:ascii="宋体" w:hAnsi="宋体" w:eastAsia="宋体"/>
          <w:bCs/>
          <w:color w:val="auto"/>
          <w:sz w:val="24"/>
          <w:szCs w:val="18"/>
        </w:rPr>
        <w:t>有权</w:t>
      </w:r>
      <w:r>
        <w:rPr>
          <w:rFonts w:hint="eastAsia" w:ascii="宋体" w:hAnsi="宋体" w:eastAsia="宋体"/>
          <w:bCs/>
          <w:color w:val="auto"/>
          <w:sz w:val="24"/>
          <w:szCs w:val="18"/>
        </w:rPr>
        <w:t>单方面</w:t>
      </w:r>
      <w:r>
        <w:rPr>
          <w:rFonts w:ascii="宋体" w:hAnsi="宋体" w:eastAsia="宋体"/>
          <w:bCs/>
          <w:color w:val="auto"/>
          <w:sz w:val="24"/>
          <w:szCs w:val="18"/>
        </w:rPr>
        <w:t>立即终止承包合同，由此产生一切法律责任和经济损失均由</w:t>
      </w:r>
      <w:r>
        <w:rPr>
          <w:rFonts w:hint="eastAsia" w:ascii="宋体" w:hAnsi="宋体" w:eastAsia="宋体"/>
          <w:bCs/>
          <w:color w:val="auto"/>
          <w:sz w:val="24"/>
          <w:szCs w:val="18"/>
        </w:rPr>
        <w:t>供应商</w:t>
      </w:r>
      <w:r>
        <w:rPr>
          <w:rFonts w:ascii="宋体" w:hAnsi="宋体" w:eastAsia="宋体"/>
          <w:bCs/>
          <w:color w:val="auto"/>
          <w:sz w:val="24"/>
          <w:szCs w:val="18"/>
        </w:rPr>
        <w:t>承担。</w:t>
      </w:r>
    </w:p>
    <w:p w14:paraId="096DF332">
      <w:pPr>
        <w:pStyle w:val="8"/>
        <w:jc w:val="center"/>
        <w:rPr>
          <w:rFonts w:ascii="宋体" w:hAnsi="宋体" w:eastAsia="宋体" w:cs="宋体"/>
          <w:b/>
          <w:bCs/>
          <w:color w:val="auto"/>
          <w:sz w:val="30"/>
          <w:szCs w:val="30"/>
          <w:lang w:val="en-US"/>
        </w:rPr>
      </w:pPr>
      <w:r>
        <w:rPr>
          <w:rFonts w:hint="eastAsia" w:ascii="宋体" w:hAnsi="宋体" w:eastAsia="宋体" w:cs="宋体"/>
          <w:b/>
          <w:bCs/>
          <w:color w:val="auto"/>
          <w:sz w:val="30"/>
          <w:szCs w:val="30"/>
          <w:lang w:val="en-US"/>
        </w:rPr>
        <w:t>报价清单</w:t>
      </w:r>
    </w:p>
    <w:bookmarkEnd w:id="66"/>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4525"/>
        <w:gridCol w:w="1598"/>
        <w:gridCol w:w="1459"/>
      </w:tblGrid>
      <w:tr w14:paraId="49C4E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30F01DE">
            <w:pPr>
              <w:rPr>
                <w:rFonts w:ascii="宋体" w:hAnsi="宋体" w:eastAsia="宋体" w:cs="宋体"/>
                <w:b/>
                <w:color w:val="auto"/>
                <w:szCs w:val="21"/>
              </w:rPr>
            </w:pPr>
            <w:r>
              <w:rPr>
                <w:rFonts w:hint="eastAsia" w:ascii="宋体" w:hAnsi="宋体" w:eastAsia="宋体" w:cs="宋体"/>
                <w:b/>
                <w:color w:val="auto"/>
                <w:szCs w:val="21"/>
              </w:rPr>
              <w:t>序号</w:t>
            </w:r>
          </w:p>
        </w:tc>
        <w:tc>
          <w:tcPr>
            <w:tcW w:w="4525" w:type="dxa"/>
            <w:tcBorders>
              <w:top w:val="single" w:color="auto" w:sz="4" w:space="0"/>
              <w:left w:val="single" w:color="auto" w:sz="4" w:space="0"/>
              <w:bottom w:val="single" w:color="auto" w:sz="4" w:space="0"/>
              <w:right w:val="single" w:color="auto" w:sz="4" w:space="0"/>
            </w:tcBorders>
            <w:vAlign w:val="center"/>
          </w:tcPr>
          <w:p w14:paraId="591D8359">
            <w:pPr>
              <w:jc w:val="center"/>
              <w:rPr>
                <w:rFonts w:ascii="宋体" w:hAnsi="宋体" w:eastAsia="宋体" w:cs="宋体"/>
                <w:b/>
                <w:color w:val="auto"/>
                <w:szCs w:val="21"/>
              </w:rPr>
            </w:pPr>
            <w:r>
              <w:rPr>
                <w:rFonts w:hint="eastAsia" w:ascii="宋体" w:hAnsi="宋体" w:eastAsia="宋体" w:cs="宋体"/>
                <w:b/>
                <w:color w:val="auto"/>
                <w:szCs w:val="21"/>
              </w:rPr>
              <w:t>项目名称</w:t>
            </w:r>
          </w:p>
        </w:tc>
        <w:tc>
          <w:tcPr>
            <w:tcW w:w="1598" w:type="dxa"/>
            <w:tcBorders>
              <w:top w:val="single" w:color="auto" w:sz="4" w:space="0"/>
              <w:left w:val="single" w:color="auto" w:sz="4" w:space="0"/>
              <w:bottom w:val="single" w:color="auto" w:sz="4" w:space="0"/>
              <w:right w:val="single" w:color="auto" w:sz="4" w:space="0"/>
            </w:tcBorders>
            <w:vAlign w:val="center"/>
          </w:tcPr>
          <w:p w14:paraId="645A2CAA">
            <w:pPr>
              <w:jc w:val="center"/>
              <w:rPr>
                <w:rFonts w:ascii="宋体" w:hAnsi="宋体" w:eastAsia="宋体" w:cs="宋体"/>
                <w:b/>
                <w:color w:val="auto"/>
                <w:szCs w:val="21"/>
              </w:rPr>
            </w:pPr>
            <w:r>
              <w:rPr>
                <w:rFonts w:hint="eastAsia" w:ascii="宋体" w:hAnsi="宋体" w:eastAsia="宋体" w:cs="宋体"/>
                <w:b/>
                <w:color w:val="auto"/>
                <w:szCs w:val="21"/>
              </w:rPr>
              <w:t>合价（元）</w:t>
            </w:r>
          </w:p>
        </w:tc>
        <w:tc>
          <w:tcPr>
            <w:tcW w:w="1459" w:type="dxa"/>
            <w:tcBorders>
              <w:top w:val="single" w:color="auto" w:sz="4" w:space="0"/>
              <w:left w:val="single" w:color="auto" w:sz="4" w:space="0"/>
              <w:bottom w:val="single" w:color="auto" w:sz="4" w:space="0"/>
              <w:right w:val="single" w:color="auto" w:sz="4" w:space="0"/>
            </w:tcBorders>
            <w:vAlign w:val="center"/>
          </w:tcPr>
          <w:p w14:paraId="35C3CD5A">
            <w:pPr>
              <w:jc w:val="center"/>
              <w:rPr>
                <w:rFonts w:ascii="宋体" w:hAnsi="宋体" w:eastAsia="宋体" w:cs="宋体"/>
                <w:b/>
                <w:color w:val="auto"/>
                <w:szCs w:val="21"/>
              </w:rPr>
            </w:pPr>
            <w:r>
              <w:rPr>
                <w:rFonts w:hint="eastAsia" w:ascii="宋体" w:hAnsi="宋体" w:eastAsia="宋体" w:cs="宋体"/>
                <w:b/>
                <w:color w:val="auto"/>
                <w:szCs w:val="21"/>
              </w:rPr>
              <w:t>备注</w:t>
            </w:r>
          </w:p>
        </w:tc>
      </w:tr>
      <w:tr w14:paraId="25A9A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C987049">
            <w:pPr>
              <w:jc w:val="center"/>
              <w:rPr>
                <w:rFonts w:ascii="宋体" w:hAnsi="宋体" w:eastAsia="宋体" w:cs="宋体"/>
                <w:b/>
                <w:bCs/>
                <w:color w:val="auto"/>
                <w:szCs w:val="21"/>
              </w:rPr>
            </w:pPr>
            <w:r>
              <w:rPr>
                <w:rFonts w:hint="eastAsia" w:ascii="宋体" w:hAnsi="宋体" w:eastAsia="宋体" w:cs="宋体"/>
                <w:b/>
                <w:bCs/>
                <w:color w:val="auto"/>
                <w:szCs w:val="21"/>
              </w:rPr>
              <w:t>1</w:t>
            </w:r>
          </w:p>
        </w:tc>
        <w:tc>
          <w:tcPr>
            <w:tcW w:w="4525" w:type="dxa"/>
            <w:tcBorders>
              <w:top w:val="single" w:color="auto" w:sz="4" w:space="0"/>
              <w:left w:val="single" w:color="auto" w:sz="4" w:space="0"/>
              <w:bottom w:val="single" w:color="auto" w:sz="4" w:space="0"/>
              <w:right w:val="single" w:color="auto" w:sz="4" w:space="0"/>
            </w:tcBorders>
            <w:vAlign w:val="center"/>
          </w:tcPr>
          <w:p w14:paraId="38BF18FF">
            <w:pPr>
              <w:spacing w:line="360" w:lineRule="auto"/>
              <w:rPr>
                <w:rFonts w:ascii="宋体" w:hAnsi="宋体" w:eastAsia="宋体" w:cs="宋体"/>
                <w:color w:val="auto"/>
                <w:szCs w:val="21"/>
              </w:rPr>
            </w:pPr>
            <w:r>
              <w:rPr>
                <w:rFonts w:hint="eastAsia" w:ascii="宋体" w:hAnsi="宋体" w:eastAsia="宋体" w:cs="宋体"/>
                <w:b/>
                <w:bCs/>
                <w:color w:val="auto"/>
                <w:szCs w:val="21"/>
              </w:rPr>
              <w:t>五河分洪闸</w:t>
            </w:r>
          </w:p>
        </w:tc>
        <w:tc>
          <w:tcPr>
            <w:tcW w:w="1598" w:type="dxa"/>
            <w:tcBorders>
              <w:top w:val="single" w:color="auto" w:sz="4" w:space="0"/>
              <w:left w:val="single" w:color="auto" w:sz="4" w:space="0"/>
              <w:bottom w:val="single" w:color="auto" w:sz="4" w:space="0"/>
              <w:right w:val="single" w:color="auto" w:sz="4" w:space="0"/>
            </w:tcBorders>
            <w:vAlign w:val="center"/>
          </w:tcPr>
          <w:p w14:paraId="24262654">
            <w:pPr>
              <w:jc w:val="center"/>
              <w:rPr>
                <w:rFonts w:ascii="宋体" w:hAnsi="宋体" w:eastAsia="宋体" w:cs="宋体"/>
                <w:color w:val="auto"/>
                <w:szCs w:val="21"/>
              </w:rPr>
            </w:pPr>
          </w:p>
        </w:tc>
        <w:tc>
          <w:tcPr>
            <w:tcW w:w="1459" w:type="dxa"/>
            <w:vMerge w:val="restart"/>
            <w:tcBorders>
              <w:top w:val="single" w:color="auto" w:sz="4" w:space="0"/>
              <w:left w:val="single" w:color="auto" w:sz="4" w:space="0"/>
              <w:right w:val="single" w:color="auto" w:sz="4" w:space="0"/>
            </w:tcBorders>
            <w:vAlign w:val="center"/>
          </w:tcPr>
          <w:p w14:paraId="7C43FC61">
            <w:pPr>
              <w:jc w:val="center"/>
              <w:rPr>
                <w:rFonts w:ascii="宋体" w:hAnsi="宋体" w:eastAsia="宋体" w:cs="宋体"/>
                <w:color w:val="auto"/>
                <w:szCs w:val="21"/>
              </w:rPr>
            </w:pPr>
            <w:r>
              <w:rPr>
                <w:rFonts w:hint="eastAsia" w:ascii="宋体" w:hAnsi="宋体" w:eastAsia="宋体" w:cs="宋体"/>
                <w:b/>
                <w:bCs/>
                <w:color w:val="auto"/>
                <w:szCs w:val="21"/>
              </w:rPr>
              <w:t>颍上闸、五河分洪闸、刘桥闸、新淝闸、张大桥闸、双涧闸、架河闸分项限价合计84万元</w:t>
            </w:r>
          </w:p>
        </w:tc>
      </w:tr>
      <w:tr w14:paraId="72B03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9D9EBCE">
            <w:pPr>
              <w:jc w:val="center"/>
              <w:rPr>
                <w:rFonts w:ascii="宋体" w:hAnsi="宋体" w:eastAsia="宋体" w:cs="宋体"/>
                <w:b/>
                <w:bCs/>
                <w:color w:val="auto"/>
                <w:szCs w:val="21"/>
              </w:rPr>
            </w:pPr>
            <w:r>
              <w:rPr>
                <w:rFonts w:hint="eastAsia" w:ascii="宋体" w:hAnsi="宋体" w:eastAsia="宋体" w:cs="宋体"/>
                <w:b/>
                <w:bCs/>
                <w:color w:val="auto"/>
                <w:szCs w:val="21"/>
              </w:rPr>
              <w:t>2</w:t>
            </w:r>
          </w:p>
        </w:tc>
        <w:tc>
          <w:tcPr>
            <w:tcW w:w="4525" w:type="dxa"/>
            <w:tcBorders>
              <w:top w:val="single" w:color="auto" w:sz="4" w:space="0"/>
              <w:left w:val="single" w:color="auto" w:sz="4" w:space="0"/>
              <w:bottom w:val="single" w:color="auto" w:sz="4" w:space="0"/>
              <w:right w:val="single" w:color="auto" w:sz="4" w:space="0"/>
            </w:tcBorders>
            <w:vAlign w:val="center"/>
          </w:tcPr>
          <w:p w14:paraId="0120B13C">
            <w:pPr>
              <w:spacing w:line="360" w:lineRule="auto"/>
              <w:rPr>
                <w:rFonts w:ascii="宋体" w:hAnsi="宋体" w:eastAsia="宋体" w:cs="宋体"/>
                <w:color w:val="auto"/>
                <w:szCs w:val="21"/>
              </w:rPr>
            </w:pPr>
            <w:r>
              <w:rPr>
                <w:rFonts w:hint="eastAsia" w:ascii="宋体" w:hAnsi="宋体" w:eastAsia="宋体" w:cs="宋体"/>
                <w:b/>
                <w:bCs/>
                <w:color w:val="auto"/>
                <w:szCs w:val="21"/>
              </w:rPr>
              <w:t>刘桥闸</w:t>
            </w:r>
          </w:p>
        </w:tc>
        <w:tc>
          <w:tcPr>
            <w:tcW w:w="1598" w:type="dxa"/>
            <w:tcBorders>
              <w:top w:val="single" w:color="auto" w:sz="4" w:space="0"/>
              <w:left w:val="single" w:color="auto" w:sz="4" w:space="0"/>
              <w:bottom w:val="single" w:color="auto" w:sz="4" w:space="0"/>
              <w:right w:val="single" w:color="auto" w:sz="4" w:space="0"/>
            </w:tcBorders>
            <w:vAlign w:val="center"/>
          </w:tcPr>
          <w:p w14:paraId="579F9D14">
            <w:pPr>
              <w:jc w:val="center"/>
              <w:rPr>
                <w:rFonts w:ascii="宋体" w:hAnsi="宋体" w:eastAsia="宋体" w:cs="宋体"/>
                <w:color w:val="auto"/>
                <w:szCs w:val="21"/>
              </w:rPr>
            </w:pPr>
          </w:p>
        </w:tc>
        <w:tc>
          <w:tcPr>
            <w:tcW w:w="1459" w:type="dxa"/>
            <w:vMerge w:val="continue"/>
            <w:tcBorders>
              <w:left w:val="single" w:color="auto" w:sz="4" w:space="0"/>
              <w:right w:val="single" w:color="auto" w:sz="4" w:space="0"/>
            </w:tcBorders>
            <w:vAlign w:val="center"/>
          </w:tcPr>
          <w:p w14:paraId="7B9F61CE">
            <w:pPr>
              <w:jc w:val="center"/>
              <w:rPr>
                <w:rFonts w:ascii="宋体" w:hAnsi="宋体" w:eastAsia="宋体" w:cs="宋体"/>
                <w:color w:val="auto"/>
                <w:szCs w:val="21"/>
              </w:rPr>
            </w:pPr>
          </w:p>
        </w:tc>
      </w:tr>
      <w:tr w14:paraId="7B0A6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E2138F4">
            <w:pPr>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4525" w:type="dxa"/>
            <w:tcBorders>
              <w:top w:val="single" w:color="auto" w:sz="4" w:space="0"/>
              <w:left w:val="single" w:color="auto" w:sz="4" w:space="0"/>
              <w:bottom w:val="single" w:color="auto" w:sz="4" w:space="0"/>
              <w:right w:val="single" w:color="auto" w:sz="4" w:space="0"/>
            </w:tcBorders>
            <w:vAlign w:val="center"/>
          </w:tcPr>
          <w:p w14:paraId="69A80B13">
            <w:pPr>
              <w:spacing w:line="360" w:lineRule="auto"/>
              <w:rPr>
                <w:rFonts w:ascii="宋体" w:hAnsi="宋体" w:eastAsia="宋体" w:cs="宋体"/>
                <w:color w:val="auto"/>
                <w:szCs w:val="21"/>
              </w:rPr>
            </w:pPr>
            <w:r>
              <w:rPr>
                <w:rFonts w:hint="eastAsia" w:ascii="宋体" w:hAnsi="宋体" w:eastAsia="宋体" w:cs="宋体"/>
                <w:b/>
                <w:bCs/>
                <w:color w:val="auto"/>
                <w:szCs w:val="21"/>
              </w:rPr>
              <w:t>新淝闸</w:t>
            </w:r>
          </w:p>
        </w:tc>
        <w:tc>
          <w:tcPr>
            <w:tcW w:w="1598" w:type="dxa"/>
            <w:tcBorders>
              <w:top w:val="single" w:color="auto" w:sz="4" w:space="0"/>
              <w:left w:val="single" w:color="auto" w:sz="4" w:space="0"/>
              <w:bottom w:val="single" w:color="auto" w:sz="4" w:space="0"/>
              <w:right w:val="single" w:color="auto" w:sz="4" w:space="0"/>
            </w:tcBorders>
            <w:vAlign w:val="center"/>
          </w:tcPr>
          <w:p w14:paraId="733E2730">
            <w:pPr>
              <w:jc w:val="center"/>
              <w:rPr>
                <w:rFonts w:ascii="宋体" w:hAnsi="宋体" w:eastAsia="宋体" w:cs="宋体"/>
                <w:color w:val="auto"/>
                <w:szCs w:val="21"/>
              </w:rPr>
            </w:pPr>
          </w:p>
        </w:tc>
        <w:tc>
          <w:tcPr>
            <w:tcW w:w="1459" w:type="dxa"/>
            <w:vMerge w:val="continue"/>
            <w:tcBorders>
              <w:left w:val="single" w:color="auto" w:sz="4" w:space="0"/>
              <w:right w:val="single" w:color="auto" w:sz="4" w:space="0"/>
            </w:tcBorders>
            <w:vAlign w:val="center"/>
          </w:tcPr>
          <w:p w14:paraId="397C13FB">
            <w:pPr>
              <w:jc w:val="center"/>
              <w:rPr>
                <w:rFonts w:ascii="宋体" w:hAnsi="宋体" w:eastAsia="宋体" w:cs="宋体"/>
                <w:color w:val="auto"/>
                <w:szCs w:val="21"/>
              </w:rPr>
            </w:pPr>
          </w:p>
        </w:tc>
      </w:tr>
      <w:tr w14:paraId="406D2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4B8FBE5">
            <w:pPr>
              <w:jc w:val="center"/>
              <w:rPr>
                <w:rFonts w:ascii="宋体" w:hAnsi="宋体" w:eastAsia="宋体" w:cs="宋体"/>
                <w:b/>
                <w:bCs/>
                <w:color w:val="auto"/>
                <w:szCs w:val="21"/>
              </w:rPr>
            </w:pPr>
            <w:r>
              <w:rPr>
                <w:rFonts w:hint="eastAsia" w:ascii="宋体" w:hAnsi="宋体" w:eastAsia="宋体" w:cs="宋体"/>
                <w:b/>
                <w:bCs/>
                <w:color w:val="auto"/>
                <w:szCs w:val="21"/>
              </w:rPr>
              <w:t>4</w:t>
            </w:r>
          </w:p>
        </w:tc>
        <w:tc>
          <w:tcPr>
            <w:tcW w:w="4525" w:type="dxa"/>
            <w:tcBorders>
              <w:top w:val="single" w:color="auto" w:sz="4" w:space="0"/>
              <w:left w:val="single" w:color="auto" w:sz="4" w:space="0"/>
              <w:bottom w:val="single" w:color="auto" w:sz="4" w:space="0"/>
              <w:right w:val="single" w:color="auto" w:sz="4" w:space="0"/>
            </w:tcBorders>
            <w:vAlign w:val="center"/>
          </w:tcPr>
          <w:p w14:paraId="229F4B65">
            <w:pPr>
              <w:spacing w:line="360" w:lineRule="auto"/>
              <w:rPr>
                <w:rFonts w:ascii="宋体" w:hAnsi="宋体" w:eastAsia="宋体" w:cs="宋体"/>
                <w:color w:val="auto"/>
                <w:szCs w:val="21"/>
              </w:rPr>
            </w:pPr>
            <w:r>
              <w:rPr>
                <w:rFonts w:hint="eastAsia" w:ascii="宋体" w:hAnsi="宋体" w:eastAsia="宋体" w:cs="宋体"/>
                <w:b/>
                <w:bCs/>
                <w:color w:val="auto"/>
                <w:szCs w:val="21"/>
              </w:rPr>
              <w:t>张大桥闸</w:t>
            </w:r>
          </w:p>
        </w:tc>
        <w:tc>
          <w:tcPr>
            <w:tcW w:w="1598" w:type="dxa"/>
            <w:tcBorders>
              <w:top w:val="single" w:color="auto" w:sz="4" w:space="0"/>
              <w:left w:val="single" w:color="auto" w:sz="4" w:space="0"/>
              <w:bottom w:val="single" w:color="auto" w:sz="4" w:space="0"/>
              <w:right w:val="single" w:color="auto" w:sz="4" w:space="0"/>
            </w:tcBorders>
            <w:vAlign w:val="center"/>
          </w:tcPr>
          <w:p w14:paraId="5069E489">
            <w:pPr>
              <w:jc w:val="center"/>
              <w:rPr>
                <w:rFonts w:ascii="宋体" w:hAnsi="宋体" w:eastAsia="宋体" w:cs="宋体"/>
                <w:color w:val="auto"/>
                <w:szCs w:val="21"/>
              </w:rPr>
            </w:pPr>
          </w:p>
        </w:tc>
        <w:tc>
          <w:tcPr>
            <w:tcW w:w="1459" w:type="dxa"/>
            <w:vMerge w:val="continue"/>
            <w:tcBorders>
              <w:left w:val="single" w:color="auto" w:sz="4" w:space="0"/>
              <w:right w:val="single" w:color="auto" w:sz="4" w:space="0"/>
            </w:tcBorders>
            <w:vAlign w:val="center"/>
          </w:tcPr>
          <w:p w14:paraId="3899D4F2">
            <w:pPr>
              <w:jc w:val="center"/>
              <w:rPr>
                <w:rFonts w:ascii="宋体" w:hAnsi="宋体" w:eastAsia="宋体" w:cs="宋体"/>
                <w:color w:val="auto"/>
                <w:szCs w:val="21"/>
              </w:rPr>
            </w:pPr>
          </w:p>
        </w:tc>
      </w:tr>
      <w:tr w14:paraId="2302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96A4F9F">
            <w:pPr>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4525" w:type="dxa"/>
            <w:tcBorders>
              <w:top w:val="single" w:color="auto" w:sz="4" w:space="0"/>
              <w:left w:val="single" w:color="auto" w:sz="4" w:space="0"/>
              <w:bottom w:val="single" w:color="auto" w:sz="4" w:space="0"/>
              <w:right w:val="single" w:color="auto" w:sz="4" w:space="0"/>
            </w:tcBorders>
            <w:vAlign w:val="center"/>
          </w:tcPr>
          <w:p w14:paraId="49332EDA">
            <w:pPr>
              <w:spacing w:line="360" w:lineRule="auto"/>
              <w:rPr>
                <w:rFonts w:ascii="宋体" w:hAnsi="宋体" w:eastAsia="宋体" w:cs="宋体"/>
                <w:color w:val="auto"/>
                <w:szCs w:val="21"/>
              </w:rPr>
            </w:pPr>
            <w:r>
              <w:rPr>
                <w:rFonts w:hint="eastAsia" w:ascii="宋体" w:hAnsi="宋体" w:eastAsia="宋体" w:cs="宋体"/>
                <w:b/>
                <w:bCs/>
                <w:color w:val="auto"/>
                <w:szCs w:val="21"/>
              </w:rPr>
              <w:t>双涧闸</w:t>
            </w:r>
          </w:p>
        </w:tc>
        <w:tc>
          <w:tcPr>
            <w:tcW w:w="1598" w:type="dxa"/>
            <w:tcBorders>
              <w:top w:val="single" w:color="auto" w:sz="4" w:space="0"/>
              <w:left w:val="single" w:color="auto" w:sz="4" w:space="0"/>
              <w:bottom w:val="single" w:color="auto" w:sz="4" w:space="0"/>
              <w:right w:val="single" w:color="auto" w:sz="4" w:space="0"/>
            </w:tcBorders>
            <w:vAlign w:val="center"/>
          </w:tcPr>
          <w:p w14:paraId="303EC1B9">
            <w:pPr>
              <w:jc w:val="center"/>
              <w:rPr>
                <w:rFonts w:ascii="宋体" w:hAnsi="宋体" w:eastAsia="宋体" w:cs="宋体"/>
                <w:color w:val="auto"/>
                <w:szCs w:val="21"/>
              </w:rPr>
            </w:pPr>
          </w:p>
        </w:tc>
        <w:tc>
          <w:tcPr>
            <w:tcW w:w="1459" w:type="dxa"/>
            <w:vMerge w:val="continue"/>
            <w:tcBorders>
              <w:left w:val="single" w:color="auto" w:sz="4" w:space="0"/>
              <w:right w:val="single" w:color="auto" w:sz="4" w:space="0"/>
            </w:tcBorders>
            <w:vAlign w:val="center"/>
          </w:tcPr>
          <w:p w14:paraId="12EF936C">
            <w:pPr>
              <w:jc w:val="center"/>
              <w:rPr>
                <w:rFonts w:ascii="宋体" w:hAnsi="宋体" w:eastAsia="宋体" w:cs="宋体"/>
                <w:color w:val="auto"/>
                <w:szCs w:val="21"/>
              </w:rPr>
            </w:pPr>
          </w:p>
        </w:tc>
      </w:tr>
      <w:tr w14:paraId="71250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F92BAB5">
            <w:pPr>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4525" w:type="dxa"/>
            <w:tcBorders>
              <w:top w:val="single" w:color="auto" w:sz="4" w:space="0"/>
              <w:left w:val="single" w:color="auto" w:sz="4" w:space="0"/>
              <w:bottom w:val="single" w:color="auto" w:sz="4" w:space="0"/>
              <w:right w:val="single" w:color="auto" w:sz="4" w:space="0"/>
            </w:tcBorders>
            <w:vAlign w:val="center"/>
          </w:tcPr>
          <w:p w14:paraId="7658F28A">
            <w:pPr>
              <w:spacing w:line="360" w:lineRule="auto"/>
              <w:rPr>
                <w:rFonts w:ascii="宋体" w:hAnsi="宋体" w:eastAsia="宋体" w:cs="宋体"/>
                <w:b/>
                <w:bCs/>
                <w:color w:val="auto"/>
                <w:szCs w:val="21"/>
              </w:rPr>
            </w:pPr>
            <w:r>
              <w:rPr>
                <w:rFonts w:hint="eastAsia" w:ascii="宋体" w:hAnsi="宋体" w:eastAsia="宋体" w:cs="宋体"/>
                <w:b/>
                <w:bCs/>
                <w:color w:val="auto"/>
                <w:szCs w:val="21"/>
              </w:rPr>
              <w:t>架河闸</w:t>
            </w:r>
          </w:p>
        </w:tc>
        <w:tc>
          <w:tcPr>
            <w:tcW w:w="1598" w:type="dxa"/>
            <w:tcBorders>
              <w:top w:val="single" w:color="auto" w:sz="4" w:space="0"/>
              <w:left w:val="single" w:color="auto" w:sz="4" w:space="0"/>
              <w:bottom w:val="single" w:color="auto" w:sz="4" w:space="0"/>
              <w:right w:val="single" w:color="auto" w:sz="4" w:space="0"/>
            </w:tcBorders>
            <w:vAlign w:val="center"/>
          </w:tcPr>
          <w:p w14:paraId="23E1083B">
            <w:pPr>
              <w:jc w:val="center"/>
              <w:rPr>
                <w:rFonts w:ascii="宋体" w:hAnsi="宋体" w:eastAsia="宋体" w:cs="宋体"/>
                <w:color w:val="auto"/>
                <w:szCs w:val="21"/>
              </w:rPr>
            </w:pPr>
          </w:p>
        </w:tc>
        <w:tc>
          <w:tcPr>
            <w:tcW w:w="1459" w:type="dxa"/>
            <w:vMerge w:val="continue"/>
            <w:tcBorders>
              <w:left w:val="single" w:color="auto" w:sz="4" w:space="0"/>
              <w:right w:val="single" w:color="auto" w:sz="4" w:space="0"/>
            </w:tcBorders>
            <w:vAlign w:val="center"/>
          </w:tcPr>
          <w:p w14:paraId="1F539BD4">
            <w:pPr>
              <w:jc w:val="center"/>
              <w:rPr>
                <w:rFonts w:ascii="宋体" w:hAnsi="宋体" w:eastAsia="宋体" w:cs="宋体"/>
                <w:color w:val="auto"/>
                <w:szCs w:val="21"/>
              </w:rPr>
            </w:pPr>
          </w:p>
        </w:tc>
      </w:tr>
      <w:tr w14:paraId="5F5CB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05B7F80">
            <w:pPr>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4525" w:type="dxa"/>
            <w:tcBorders>
              <w:top w:val="single" w:color="auto" w:sz="4" w:space="0"/>
              <w:left w:val="single" w:color="auto" w:sz="4" w:space="0"/>
              <w:bottom w:val="single" w:color="auto" w:sz="4" w:space="0"/>
              <w:right w:val="single" w:color="auto" w:sz="4" w:space="0"/>
            </w:tcBorders>
            <w:vAlign w:val="center"/>
          </w:tcPr>
          <w:p w14:paraId="2146B525">
            <w:pPr>
              <w:spacing w:line="360" w:lineRule="auto"/>
              <w:rPr>
                <w:rFonts w:ascii="宋体" w:hAnsi="宋体" w:eastAsia="宋体" w:cs="宋体"/>
                <w:b/>
                <w:bCs/>
                <w:color w:val="auto"/>
                <w:szCs w:val="21"/>
              </w:rPr>
            </w:pPr>
            <w:r>
              <w:rPr>
                <w:rFonts w:hint="eastAsia" w:ascii="宋体" w:hAnsi="宋体" w:eastAsia="宋体" w:cs="宋体"/>
                <w:b/>
                <w:bCs/>
                <w:color w:val="auto"/>
                <w:szCs w:val="21"/>
              </w:rPr>
              <w:t>颍上闸</w:t>
            </w:r>
          </w:p>
        </w:tc>
        <w:tc>
          <w:tcPr>
            <w:tcW w:w="1598" w:type="dxa"/>
            <w:tcBorders>
              <w:top w:val="single" w:color="auto" w:sz="4" w:space="0"/>
              <w:left w:val="single" w:color="auto" w:sz="4" w:space="0"/>
              <w:bottom w:val="single" w:color="auto" w:sz="4" w:space="0"/>
              <w:right w:val="single" w:color="auto" w:sz="4" w:space="0"/>
            </w:tcBorders>
            <w:vAlign w:val="center"/>
          </w:tcPr>
          <w:p w14:paraId="70C32219">
            <w:pPr>
              <w:jc w:val="center"/>
              <w:rPr>
                <w:rFonts w:ascii="宋体" w:hAnsi="宋体" w:eastAsia="宋体" w:cs="宋体"/>
                <w:color w:val="auto"/>
                <w:szCs w:val="21"/>
              </w:rPr>
            </w:pPr>
          </w:p>
        </w:tc>
        <w:tc>
          <w:tcPr>
            <w:tcW w:w="1459" w:type="dxa"/>
            <w:vMerge w:val="continue"/>
            <w:tcBorders>
              <w:left w:val="single" w:color="auto" w:sz="4" w:space="0"/>
              <w:bottom w:val="single" w:color="auto" w:sz="4" w:space="0"/>
              <w:right w:val="single" w:color="auto" w:sz="4" w:space="0"/>
            </w:tcBorders>
            <w:vAlign w:val="center"/>
          </w:tcPr>
          <w:p w14:paraId="4549AD7E">
            <w:pPr>
              <w:jc w:val="center"/>
              <w:rPr>
                <w:rFonts w:ascii="宋体" w:hAnsi="宋体" w:eastAsia="宋体" w:cs="宋体"/>
                <w:color w:val="auto"/>
                <w:szCs w:val="21"/>
              </w:rPr>
            </w:pPr>
          </w:p>
        </w:tc>
      </w:tr>
      <w:tr w14:paraId="7B244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C504CED">
            <w:pPr>
              <w:jc w:val="center"/>
              <w:rPr>
                <w:rFonts w:ascii="宋体" w:hAnsi="宋体" w:eastAsia="宋体" w:cs="宋体"/>
                <w:b/>
                <w:bCs/>
                <w:color w:val="auto"/>
                <w:szCs w:val="21"/>
              </w:rPr>
            </w:pPr>
            <w:r>
              <w:rPr>
                <w:rFonts w:hint="eastAsia" w:ascii="宋体" w:hAnsi="宋体" w:eastAsia="宋体" w:cs="宋体"/>
                <w:b/>
                <w:bCs/>
                <w:color w:val="auto"/>
                <w:szCs w:val="21"/>
              </w:rPr>
              <w:t>8</w:t>
            </w:r>
          </w:p>
        </w:tc>
        <w:tc>
          <w:tcPr>
            <w:tcW w:w="4525" w:type="dxa"/>
            <w:tcBorders>
              <w:top w:val="single" w:color="auto" w:sz="4" w:space="0"/>
              <w:left w:val="single" w:color="auto" w:sz="4" w:space="0"/>
              <w:bottom w:val="single" w:color="auto" w:sz="4" w:space="0"/>
              <w:right w:val="single" w:color="auto" w:sz="4" w:space="0"/>
            </w:tcBorders>
            <w:vAlign w:val="center"/>
          </w:tcPr>
          <w:p w14:paraId="6FD5D90A">
            <w:pPr>
              <w:spacing w:line="360" w:lineRule="auto"/>
              <w:rPr>
                <w:rFonts w:ascii="宋体" w:hAnsi="宋体" w:eastAsia="宋体" w:cs="宋体"/>
                <w:b/>
                <w:bCs/>
                <w:color w:val="auto"/>
                <w:szCs w:val="21"/>
              </w:rPr>
            </w:pPr>
            <w:r>
              <w:rPr>
                <w:rFonts w:hint="eastAsia" w:ascii="宋体" w:hAnsi="宋体" w:eastAsia="宋体" w:cs="宋体"/>
                <w:b/>
                <w:bCs/>
                <w:color w:val="auto"/>
                <w:szCs w:val="21"/>
              </w:rPr>
              <w:t>城西湖退水闸</w:t>
            </w:r>
          </w:p>
        </w:tc>
        <w:tc>
          <w:tcPr>
            <w:tcW w:w="1598" w:type="dxa"/>
            <w:tcBorders>
              <w:top w:val="single" w:color="auto" w:sz="4" w:space="0"/>
              <w:left w:val="single" w:color="auto" w:sz="4" w:space="0"/>
              <w:bottom w:val="single" w:color="auto" w:sz="4" w:space="0"/>
              <w:right w:val="single" w:color="auto" w:sz="4" w:space="0"/>
            </w:tcBorders>
            <w:vAlign w:val="center"/>
          </w:tcPr>
          <w:p w14:paraId="056611BD">
            <w:pPr>
              <w:jc w:val="center"/>
              <w:rPr>
                <w:rFonts w:ascii="宋体" w:hAnsi="宋体" w:eastAsia="宋体" w:cs="宋体"/>
                <w:color w:val="auto"/>
                <w:szCs w:val="21"/>
              </w:rPr>
            </w:pPr>
          </w:p>
        </w:tc>
        <w:tc>
          <w:tcPr>
            <w:tcW w:w="1459" w:type="dxa"/>
            <w:tcBorders>
              <w:top w:val="single" w:color="auto" w:sz="4" w:space="0"/>
              <w:left w:val="single" w:color="auto" w:sz="4" w:space="0"/>
              <w:bottom w:val="single" w:color="auto" w:sz="4" w:space="0"/>
              <w:right w:val="single" w:color="auto" w:sz="4" w:space="0"/>
            </w:tcBorders>
            <w:vAlign w:val="center"/>
          </w:tcPr>
          <w:p w14:paraId="30306DF4">
            <w:pPr>
              <w:jc w:val="center"/>
              <w:rPr>
                <w:rFonts w:ascii="宋体" w:hAnsi="宋体" w:eastAsia="宋体" w:cs="宋体"/>
                <w:b/>
                <w:bCs/>
                <w:color w:val="auto"/>
                <w:szCs w:val="21"/>
              </w:rPr>
            </w:pPr>
            <w:r>
              <w:rPr>
                <w:rFonts w:hint="eastAsia" w:ascii="宋体" w:hAnsi="宋体" w:eastAsia="宋体" w:cs="宋体"/>
                <w:b/>
                <w:bCs/>
                <w:color w:val="auto"/>
                <w:szCs w:val="21"/>
              </w:rPr>
              <w:t>城西湖退水闸分项限价24万元</w:t>
            </w:r>
          </w:p>
        </w:tc>
      </w:tr>
      <w:tr w14:paraId="3E729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0942231">
            <w:pPr>
              <w:jc w:val="center"/>
              <w:rPr>
                <w:rFonts w:ascii="宋体" w:hAnsi="宋体" w:eastAsia="宋体" w:cs="宋体"/>
                <w:b/>
                <w:bCs/>
                <w:color w:val="auto"/>
                <w:szCs w:val="21"/>
              </w:rPr>
            </w:pPr>
            <w:r>
              <w:rPr>
                <w:rFonts w:hint="eastAsia" w:ascii="宋体" w:hAnsi="宋体" w:eastAsia="宋体" w:cs="宋体"/>
                <w:b/>
                <w:bCs/>
                <w:color w:val="auto"/>
                <w:szCs w:val="21"/>
              </w:rPr>
              <w:t>9</w:t>
            </w:r>
          </w:p>
        </w:tc>
        <w:tc>
          <w:tcPr>
            <w:tcW w:w="4525" w:type="dxa"/>
            <w:tcBorders>
              <w:top w:val="single" w:color="auto" w:sz="4" w:space="0"/>
              <w:left w:val="single" w:color="auto" w:sz="4" w:space="0"/>
              <w:bottom w:val="single" w:color="auto" w:sz="4" w:space="0"/>
              <w:right w:val="single" w:color="auto" w:sz="4" w:space="0"/>
            </w:tcBorders>
            <w:vAlign w:val="center"/>
          </w:tcPr>
          <w:p w14:paraId="08C3AF4C">
            <w:pPr>
              <w:spacing w:line="360" w:lineRule="auto"/>
              <w:rPr>
                <w:rFonts w:ascii="宋体" w:hAnsi="宋体" w:eastAsia="宋体" w:cs="宋体"/>
                <w:b/>
                <w:bCs/>
                <w:color w:val="auto"/>
                <w:szCs w:val="21"/>
              </w:rPr>
            </w:pPr>
            <w:r>
              <w:rPr>
                <w:rFonts w:hint="eastAsia" w:ascii="宋体" w:hAnsi="宋体" w:eastAsia="宋体" w:cs="宋体"/>
                <w:b/>
                <w:bCs/>
                <w:color w:val="auto"/>
                <w:szCs w:val="21"/>
              </w:rPr>
              <w:t>姜唐湖退水闸</w:t>
            </w:r>
          </w:p>
        </w:tc>
        <w:tc>
          <w:tcPr>
            <w:tcW w:w="1598" w:type="dxa"/>
            <w:tcBorders>
              <w:top w:val="single" w:color="auto" w:sz="4" w:space="0"/>
              <w:left w:val="single" w:color="auto" w:sz="4" w:space="0"/>
              <w:bottom w:val="single" w:color="auto" w:sz="4" w:space="0"/>
              <w:right w:val="single" w:color="auto" w:sz="4" w:space="0"/>
            </w:tcBorders>
            <w:vAlign w:val="center"/>
          </w:tcPr>
          <w:p w14:paraId="7D58663E">
            <w:pPr>
              <w:jc w:val="center"/>
              <w:rPr>
                <w:rFonts w:ascii="宋体" w:hAnsi="宋体" w:eastAsia="宋体" w:cs="宋体"/>
                <w:color w:val="auto"/>
                <w:szCs w:val="21"/>
              </w:rPr>
            </w:pPr>
          </w:p>
        </w:tc>
        <w:tc>
          <w:tcPr>
            <w:tcW w:w="1459" w:type="dxa"/>
            <w:tcBorders>
              <w:top w:val="single" w:color="auto" w:sz="4" w:space="0"/>
              <w:left w:val="single" w:color="auto" w:sz="4" w:space="0"/>
              <w:bottom w:val="single" w:color="auto" w:sz="4" w:space="0"/>
              <w:right w:val="single" w:color="auto" w:sz="4" w:space="0"/>
            </w:tcBorders>
            <w:vAlign w:val="center"/>
          </w:tcPr>
          <w:p w14:paraId="26B7EE1C">
            <w:pPr>
              <w:jc w:val="center"/>
              <w:rPr>
                <w:rFonts w:ascii="宋体" w:hAnsi="宋体" w:eastAsia="宋体" w:cs="宋体"/>
                <w:b/>
                <w:bCs/>
                <w:color w:val="auto"/>
                <w:szCs w:val="21"/>
              </w:rPr>
            </w:pPr>
            <w:r>
              <w:rPr>
                <w:rFonts w:hint="eastAsia" w:ascii="宋体" w:hAnsi="宋体" w:eastAsia="宋体" w:cs="宋体"/>
                <w:b/>
                <w:bCs/>
                <w:color w:val="auto"/>
                <w:szCs w:val="21"/>
              </w:rPr>
              <w:t>姜唐湖退水闸分项限价20万</w:t>
            </w:r>
          </w:p>
        </w:tc>
      </w:tr>
    </w:tbl>
    <w:p w14:paraId="74C1E26F">
      <w:pPr>
        <w:spacing w:line="360" w:lineRule="auto"/>
        <w:jc w:val="center"/>
        <w:rPr>
          <w:rFonts w:asciiTheme="minorEastAsia" w:hAnsiTheme="minorEastAsia" w:eastAsiaTheme="minorEastAsia"/>
          <w:color w:val="auto"/>
          <w:sz w:val="24"/>
        </w:rPr>
      </w:pPr>
      <w:r>
        <w:rPr>
          <w:rFonts w:asciiTheme="minorEastAsia" w:hAnsiTheme="minorEastAsia" w:eastAsiaTheme="minorEastAsia"/>
          <w:color w:val="auto"/>
          <w:szCs w:val="21"/>
        </w:rPr>
        <w:br w:type="page"/>
      </w:r>
    </w:p>
    <w:p w14:paraId="48BAD0A5">
      <w:pPr>
        <w:spacing w:line="360" w:lineRule="auto"/>
        <w:jc w:val="center"/>
        <w:outlineLvl w:val="0"/>
        <w:rPr>
          <w:rFonts w:asciiTheme="minorEastAsia" w:hAnsiTheme="minorEastAsia" w:eastAsiaTheme="minorEastAsia"/>
          <w:b/>
          <w:color w:val="auto"/>
          <w:sz w:val="28"/>
        </w:rPr>
      </w:pPr>
      <w:bookmarkStart w:id="76" w:name="_Toc8668"/>
      <w:r>
        <w:rPr>
          <w:rFonts w:hint="eastAsia" w:asciiTheme="minorEastAsia" w:hAnsiTheme="minorEastAsia" w:eastAsiaTheme="minorEastAsia"/>
          <w:b/>
          <w:color w:val="auto"/>
          <w:sz w:val="28"/>
        </w:rPr>
        <w:t>第四章  评审方法和标准</w:t>
      </w:r>
      <w:bookmarkEnd w:id="76"/>
    </w:p>
    <w:p w14:paraId="05AC01A1">
      <w:pPr>
        <w:spacing w:line="360" w:lineRule="auto"/>
        <w:ind w:firstLine="437"/>
        <w:outlineLvl w:val="1"/>
        <w:rPr>
          <w:rFonts w:asciiTheme="minorEastAsia" w:hAnsiTheme="minorEastAsia" w:eastAsiaTheme="minorEastAsia"/>
          <w:b/>
          <w:color w:val="auto"/>
          <w:sz w:val="24"/>
        </w:rPr>
      </w:pPr>
      <w:bookmarkStart w:id="77" w:name="_Toc12199"/>
      <w:bookmarkStart w:id="78" w:name="_Toc21211"/>
      <w:r>
        <w:rPr>
          <w:rFonts w:hint="eastAsia" w:asciiTheme="minorEastAsia" w:hAnsiTheme="minorEastAsia" w:eastAsiaTheme="minorEastAsia"/>
          <w:b/>
          <w:color w:val="auto"/>
          <w:sz w:val="24"/>
        </w:rPr>
        <w:t>一、总则</w:t>
      </w:r>
      <w:bookmarkEnd w:id="77"/>
      <w:bookmarkEnd w:id="78"/>
    </w:p>
    <w:p w14:paraId="7318A41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本项目将按照磋商文件第二章 供应商须知的相关要求</w:t>
      </w:r>
      <w:r>
        <w:rPr>
          <w:rFonts w:asciiTheme="minorEastAsia" w:hAnsiTheme="minorEastAsia" w:eastAsiaTheme="minorEastAsia"/>
          <w:color w:val="auto"/>
          <w:sz w:val="24"/>
        </w:rPr>
        <w:t>及本章的规定</w:t>
      </w:r>
      <w:r>
        <w:rPr>
          <w:rFonts w:hint="eastAsia" w:asciiTheme="minorEastAsia" w:hAnsiTheme="minorEastAsia" w:eastAsiaTheme="minorEastAsia"/>
          <w:color w:val="auto"/>
          <w:sz w:val="24"/>
        </w:rPr>
        <w:t>评审</w:t>
      </w:r>
      <w:r>
        <w:rPr>
          <w:rFonts w:asciiTheme="minorEastAsia" w:hAnsiTheme="minorEastAsia" w:eastAsiaTheme="minorEastAsia"/>
          <w:color w:val="auto"/>
          <w:sz w:val="24"/>
        </w:rPr>
        <w:t>。</w:t>
      </w:r>
    </w:p>
    <w:p w14:paraId="13968768">
      <w:pPr>
        <w:spacing w:line="360" w:lineRule="auto"/>
        <w:ind w:firstLine="437"/>
        <w:outlineLvl w:val="1"/>
        <w:rPr>
          <w:rFonts w:asciiTheme="minorEastAsia" w:hAnsiTheme="minorEastAsia" w:eastAsiaTheme="minorEastAsia"/>
          <w:b/>
          <w:color w:val="auto"/>
          <w:sz w:val="24"/>
        </w:rPr>
      </w:pPr>
      <w:bookmarkStart w:id="79" w:name="_Toc16885"/>
      <w:bookmarkStart w:id="80" w:name="_Toc13039"/>
      <w:r>
        <w:rPr>
          <w:rFonts w:hint="eastAsia" w:asciiTheme="minorEastAsia" w:hAnsiTheme="minorEastAsia" w:eastAsiaTheme="minorEastAsia"/>
          <w:b/>
          <w:color w:val="auto"/>
          <w:sz w:val="24"/>
        </w:rPr>
        <w:t>二、评审方法</w:t>
      </w:r>
      <w:bookmarkEnd w:id="79"/>
      <w:bookmarkEnd w:id="80"/>
    </w:p>
    <w:p w14:paraId="4C0875E7">
      <w:pPr>
        <w:spacing w:line="360" w:lineRule="auto"/>
        <w:ind w:firstLine="435"/>
        <w:outlineLvl w:val="2"/>
        <w:rPr>
          <w:rFonts w:asciiTheme="minorEastAsia" w:hAnsiTheme="minorEastAsia" w:eastAsiaTheme="minorEastAsia"/>
          <w:color w:val="auto"/>
          <w:sz w:val="24"/>
        </w:rPr>
      </w:pPr>
      <w:r>
        <w:rPr>
          <w:rFonts w:hint="eastAsia" w:asciiTheme="minorEastAsia" w:hAnsiTheme="minorEastAsia" w:eastAsiaTheme="minorEastAsia"/>
          <w:color w:val="auto"/>
          <w:sz w:val="24"/>
        </w:rPr>
        <w:t>2.1初审</w:t>
      </w:r>
    </w:p>
    <w:p w14:paraId="4BC8A98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磋商小组对供应商的响应文件进行初审，以确定其是否满足磋商文件的实质性要求。初审表如下：</w:t>
      </w:r>
    </w:p>
    <w:tbl>
      <w:tblPr>
        <w:tblStyle w:val="23"/>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63"/>
        <w:gridCol w:w="4579"/>
        <w:gridCol w:w="2819"/>
      </w:tblGrid>
      <w:tr w14:paraId="526E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5000" w:type="pct"/>
            <w:gridSpan w:val="4"/>
            <w:tcBorders>
              <w:bottom w:val="single" w:color="auto" w:sz="4" w:space="0"/>
            </w:tcBorders>
            <w:vAlign w:val="center"/>
          </w:tcPr>
          <w:p w14:paraId="27B02C81">
            <w:pPr>
              <w:jc w:val="center"/>
              <w:rPr>
                <w:rFonts w:ascii="宋体" w:hAnsi="宋体" w:eastAsia="宋体" w:cs="宋体"/>
                <w:color w:val="auto"/>
                <w:sz w:val="24"/>
                <w:szCs w:val="24"/>
              </w:rPr>
            </w:pPr>
            <w:r>
              <w:rPr>
                <w:rFonts w:hint="eastAsia" w:ascii="宋体" w:hAnsi="宋体" w:eastAsia="宋体" w:cs="宋体"/>
                <w:b/>
                <w:bCs/>
                <w:color w:val="auto"/>
                <w:sz w:val="24"/>
                <w:szCs w:val="24"/>
              </w:rPr>
              <w:t>初审表</w:t>
            </w:r>
          </w:p>
        </w:tc>
      </w:tr>
      <w:tr w14:paraId="7A3E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1" w:type="pct"/>
            <w:tcBorders>
              <w:bottom w:val="single" w:color="auto" w:sz="4" w:space="0"/>
            </w:tcBorders>
            <w:vAlign w:val="center"/>
          </w:tcPr>
          <w:p w14:paraId="1CB46B63">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25" w:type="pct"/>
            <w:tcBorders>
              <w:bottom w:val="single" w:color="auto" w:sz="4" w:space="0"/>
            </w:tcBorders>
            <w:vAlign w:val="center"/>
          </w:tcPr>
          <w:p w14:paraId="4A38F201">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审查指标</w:t>
            </w:r>
          </w:p>
        </w:tc>
        <w:tc>
          <w:tcPr>
            <w:tcW w:w="2435" w:type="pct"/>
            <w:tcBorders>
              <w:bottom w:val="single" w:color="auto" w:sz="4" w:space="0"/>
            </w:tcBorders>
            <w:vAlign w:val="center"/>
          </w:tcPr>
          <w:p w14:paraId="537D6D74">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审查标准</w:t>
            </w:r>
          </w:p>
        </w:tc>
        <w:tc>
          <w:tcPr>
            <w:tcW w:w="1498" w:type="pct"/>
            <w:tcBorders>
              <w:bottom w:val="single" w:color="auto" w:sz="4" w:space="0"/>
            </w:tcBorders>
            <w:vAlign w:val="center"/>
          </w:tcPr>
          <w:p w14:paraId="57850822">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格式要求</w:t>
            </w:r>
          </w:p>
        </w:tc>
      </w:tr>
      <w:tr w14:paraId="6C37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41" w:type="pct"/>
            <w:tcBorders>
              <w:bottom w:val="single" w:color="auto" w:sz="4" w:space="0"/>
            </w:tcBorders>
            <w:vAlign w:val="center"/>
          </w:tcPr>
          <w:p w14:paraId="776EA22D">
            <w:pPr>
              <w:jc w:val="left"/>
              <w:rPr>
                <w:rFonts w:ascii="宋体" w:hAnsi="宋体" w:eastAsia="宋体" w:cs="宋体"/>
                <w:color w:val="auto"/>
                <w:sz w:val="24"/>
                <w:szCs w:val="24"/>
              </w:rPr>
            </w:pPr>
            <w:r>
              <w:rPr>
                <w:rFonts w:hint="eastAsia" w:ascii="宋体" w:hAnsi="宋体" w:eastAsia="宋体" w:cs="宋体"/>
                <w:color w:val="auto"/>
                <w:sz w:val="24"/>
                <w:szCs w:val="24"/>
              </w:rPr>
              <w:t>1</w:t>
            </w:r>
          </w:p>
        </w:tc>
        <w:tc>
          <w:tcPr>
            <w:tcW w:w="725" w:type="pct"/>
            <w:tcBorders>
              <w:bottom w:val="single" w:color="auto" w:sz="4" w:space="0"/>
            </w:tcBorders>
            <w:vAlign w:val="center"/>
          </w:tcPr>
          <w:p w14:paraId="49A3957A">
            <w:pPr>
              <w:jc w:val="left"/>
              <w:rPr>
                <w:rFonts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2435" w:type="pct"/>
            <w:tcBorders>
              <w:bottom w:val="single" w:color="auto" w:sz="4" w:space="0"/>
            </w:tcBorders>
            <w:vAlign w:val="center"/>
          </w:tcPr>
          <w:p w14:paraId="0BB87CFE">
            <w:pPr>
              <w:jc w:val="left"/>
              <w:rPr>
                <w:rFonts w:ascii="宋体" w:hAnsi="宋体" w:eastAsia="宋体" w:cs="宋体"/>
                <w:color w:val="auto"/>
                <w:sz w:val="24"/>
                <w:szCs w:val="24"/>
              </w:rPr>
            </w:pPr>
            <w:r>
              <w:rPr>
                <w:rFonts w:hint="eastAsia" w:ascii="宋体" w:hAnsi="宋体" w:eastAsia="宋体" w:cs="宋体"/>
                <w:color w:val="auto"/>
                <w:sz w:val="24"/>
                <w:szCs w:val="24"/>
              </w:rPr>
              <w:t>（1）供应商为企业（包括合伙企业）的，应提供有效的营业执照；</w:t>
            </w:r>
          </w:p>
          <w:p w14:paraId="2127DC26">
            <w:pPr>
              <w:jc w:val="left"/>
              <w:rPr>
                <w:rFonts w:ascii="宋体" w:hAnsi="宋体" w:eastAsia="宋体" w:cs="宋体"/>
                <w:color w:val="auto"/>
                <w:sz w:val="24"/>
                <w:szCs w:val="24"/>
              </w:rPr>
            </w:pPr>
            <w:r>
              <w:rPr>
                <w:rFonts w:hint="eastAsia" w:ascii="宋体" w:hAnsi="宋体" w:eastAsia="宋体" w:cs="宋体"/>
                <w:color w:val="auto"/>
                <w:sz w:val="24"/>
                <w:szCs w:val="24"/>
              </w:rPr>
              <w:t>（2）供应商为事业单位的，应提供有效的事业单位法人证书；</w:t>
            </w:r>
          </w:p>
          <w:p w14:paraId="61F80D7A">
            <w:pPr>
              <w:jc w:val="left"/>
              <w:rPr>
                <w:rFonts w:ascii="宋体" w:hAnsi="宋体" w:eastAsia="宋体" w:cs="宋体"/>
                <w:color w:val="auto"/>
                <w:sz w:val="24"/>
                <w:szCs w:val="24"/>
              </w:rPr>
            </w:pPr>
            <w:r>
              <w:rPr>
                <w:rFonts w:hint="eastAsia" w:ascii="宋体" w:hAnsi="宋体" w:eastAsia="宋体" w:cs="宋体"/>
                <w:color w:val="auto"/>
                <w:sz w:val="24"/>
                <w:szCs w:val="24"/>
              </w:rPr>
              <w:t>（3）供应商是非企业机构的，应提供有效的执业许可证或登记证书等证明文件；</w:t>
            </w:r>
          </w:p>
        </w:tc>
        <w:tc>
          <w:tcPr>
            <w:tcW w:w="1498" w:type="pct"/>
            <w:vAlign w:val="center"/>
          </w:tcPr>
          <w:p w14:paraId="3A4C3927">
            <w:pPr>
              <w:jc w:val="left"/>
              <w:rPr>
                <w:rFonts w:ascii="宋体" w:hAnsi="宋体" w:eastAsia="宋体" w:cs="宋体"/>
                <w:color w:val="auto"/>
                <w:sz w:val="24"/>
                <w:szCs w:val="24"/>
              </w:rPr>
            </w:pPr>
            <w:r>
              <w:rPr>
                <w:rFonts w:hint="eastAsia" w:ascii="宋体" w:hAnsi="宋体" w:eastAsia="宋体" w:cs="宋体"/>
                <w:color w:val="auto"/>
                <w:sz w:val="24"/>
                <w:szCs w:val="24"/>
              </w:rPr>
              <w:t>提供材料扫描件或电子证照，应完整的体现出材料或电子证照全部内容</w:t>
            </w:r>
            <w:r>
              <w:rPr>
                <w:rFonts w:hint="eastAsia" w:ascii="宋体" w:hAnsi="宋体" w:eastAsia="宋体" w:cs="宋体"/>
                <w:b/>
                <w:bCs/>
                <w:color w:val="auto"/>
                <w:sz w:val="24"/>
                <w:szCs w:val="24"/>
              </w:rPr>
              <w:t>。</w:t>
            </w:r>
          </w:p>
        </w:tc>
      </w:tr>
      <w:tr w14:paraId="2239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41" w:type="pct"/>
            <w:tcBorders>
              <w:bottom w:val="single" w:color="auto" w:sz="4" w:space="0"/>
            </w:tcBorders>
            <w:vAlign w:val="center"/>
          </w:tcPr>
          <w:p w14:paraId="62B1D74F">
            <w:pPr>
              <w:jc w:val="left"/>
              <w:rPr>
                <w:rFonts w:ascii="宋体" w:hAnsi="宋体" w:eastAsia="宋体" w:cs="宋体"/>
                <w:color w:val="auto"/>
                <w:sz w:val="24"/>
                <w:szCs w:val="24"/>
              </w:rPr>
            </w:pPr>
            <w:r>
              <w:rPr>
                <w:rFonts w:hint="eastAsia" w:ascii="宋体" w:hAnsi="宋体" w:eastAsia="宋体" w:cs="宋体"/>
                <w:color w:val="auto"/>
                <w:sz w:val="24"/>
                <w:szCs w:val="24"/>
              </w:rPr>
              <w:t>2</w:t>
            </w:r>
          </w:p>
        </w:tc>
        <w:tc>
          <w:tcPr>
            <w:tcW w:w="725" w:type="pct"/>
            <w:tcBorders>
              <w:bottom w:val="single" w:color="auto" w:sz="4" w:space="0"/>
            </w:tcBorders>
            <w:vAlign w:val="center"/>
          </w:tcPr>
          <w:p w14:paraId="4F45DE1B">
            <w:pPr>
              <w:jc w:val="left"/>
              <w:rPr>
                <w:rFonts w:ascii="宋体" w:hAnsi="宋体" w:eastAsia="宋体" w:cs="宋体"/>
                <w:color w:val="auto"/>
                <w:sz w:val="24"/>
                <w:szCs w:val="24"/>
              </w:rPr>
            </w:pPr>
            <w:r>
              <w:rPr>
                <w:rFonts w:hint="eastAsia" w:ascii="宋体" w:hAnsi="宋体" w:eastAsia="宋体" w:cs="宋体"/>
                <w:color w:val="auto"/>
                <w:sz w:val="24"/>
                <w:szCs w:val="24"/>
              </w:rPr>
              <w:t>供应商资格声明书</w:t>
            </w:r>
          </w:p>
        </w:tc>
        <w:tc>
          <w:tcPr>
            <w:tcW w:w="2435" w:type="pct"/>
            <w:tcBorders>
              <w:bottom w:val="single" w:color="auto" w:sz="4" w:space="0"/>
            </w:tcBorders>
            <w:vAlign w:val="center"/>
          </w:tcPr>
          <w:p w14:paraId="19B54E42">
            <w:pPr>
              <w:jc w:val="left"/>
              <w:rPr>
                <w:rFonts w:ascii="宋体" w:hAnsi="宋体" w:eastAsia="宋体" w:cs="宋体"/>
                <w:color w:val="auto"/>
                <w:sz w:val="24"/>
                <w:szCs w:val="24"/>
              </w:rPr>
            </w:pPr>
            <w:r>
              <w:rPr>
                <w:rFonts w:hint="eastAsia" w:ascii="宋体" w:hAnsi="宋体" w:eastAsia="宋体" w:cs="宋体"/>
                <w:color w:val="auto"/>
                <w:sz w:val="24"/>
                <w:szCs w:val="24"/>
              </w:rPr>
              <w:t>提供符合磋商文件要求的《供应商资格声明书》。</w:t>
            </w:r>
          </w:p>
        </w:tc>
        <w:tc>
          <w:tcPr>
            <w:tcW w:w="1498" w:type="pct"/>
            <w:vAlign w:val="center"/>
          </w:tcPr>
          <w:p w14:paraId="04B01BEB">
            <w:pPr>
              <w:jc w:val="left"/>
              <w:rPr>
                <w:rFonts w:ascii="宋体" w:hAnsi="宋体" w:eastAsia="宋体" w:cs="宋体"/>
                <w:color w:val="auto"/>
                <w:sz w:val="24"/>
                <w:szCs w:val="24"/>
              </w:rPr>
            </w:pPr>
            <w:r>
              <w:rPr>
                <w:rFonts w:hint="eastAsia" w:ascii="宋体" w:hAnsi="宋体" w:eastAsia="宋体" w:cs="宋体"/>
                <w:color w:val="auto"/>
                <w:sz w:val="24"/>
                <w:szCs w:val="24"/>
              </w:rPr>
              <w:t>详见第六章响应文件格式。</w:t>
            </w:r>
          </w:p>
        </w:tc>
      </w:tr>
      <w:tr w14:paraId="3921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bottom w:val="single" w:color="auto" w:sz="4" w:space="0"/>
            </w:tcBorders>
            <w:vAlign w:val="center"/>
          </w:tcPr>
          <w:p w14:paraId="689CAB54">
            <w:pPr>
              <w:jc w:val="left"/>
              <w:rPr>
                <w:rFonts w:ascii="宋体" w:hAnsi="宋体" w:eastAsia="宋体" w:cs="宋体"/>
                <w:color w:val="auto"/>
                <w:sz w:val="24"/>
                <w:szCs w:val="24"/>
              </w:rPr>
            </w:pPr>
            <w:r>
              <w:rPr>
                <w:rFonts w:hint="eastAsia" w:ascii="宋体" w:hAnsi="宋体" w:eastAsia="宋体" w:cs="宋体"/>
                <w:color w:val="auto"/>
                <w:sz w:val="24"/>
                <w:szCs w:val="24"/>
              </w:rPr>
              <w:t>3</w:t>
            </w:r>
          </w:p>
        </w:tc>
        <w:tc>
          <w:tcPr>
            <w:tcW w:w="725" w:type="pct"/>
            <w:tcBorders>
              <w:bottom w:val="single" w:color="auto" w:sz="4" w:space="0"/>
            </w:tcBorders>
            <w:vAlign w:val="center"/>
          </w:tcPr>
          <w:p w14:paraId="76CC69C1">
            <w:pPr>
              <w:jc w:val="left"/>
              <w:rPr>
                <w:rFonts w:ascii="宋体" w:hAnsi="宋体" w:eastAsia="宋体" w:cs="宋体"/>
                <w:color w:val="auto"/>
                <w:sz w:val="24"/>
                <w:szCs w:val="24"/>
              </w:rPr>
            </w:pPr>
            <w:r>
              <w:rPr>
                <w:rFonts w:hint="eastAsia" w:ascii="宋体" w:hAnsi="宋体" w:eastAsia="宋体" w:cs="宋体"/>
                <w:color w:val="auto"/>
                <w:sz w:val="24"/>
                <w:szCs w:val="24"/>
              </w:rPr>
              <w:t>供应商信用记录</w:t>
            </w:r>
          </w:p>
        </w:tc>
        <w:tc>
          <w:tcPr>
            <w:tcW w:w="2435" w:type="pct"/>
            <w:tcBorders>
              <w:bottom w:val="single" w:color="auto" w:sz="4" w:space="0"/>
            </w:tcBorders>
            <w:vAlign w:val="center"/>
          </w:tcPr>
          <w:p w14:paraId="2AAC6FA8">
            <w:pPr>
              <w:jc w:val="left"/>
              <w:rPr>
                <w:rFonts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不得存在</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须知正文第1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3条中的不良信用记录情形</w:t>
            </w:r>
          </w:p>
        </w:tc>
        <w:tc>
          <w:tcPr>
            <w:tcW w:w="1498" w:type="pct"/>
            <w:tcBorders>
              <w:bottom w:val="single" w:color="auto" w:sz="4" w:space="0"/>
            </w:tcBorders>
            <w:vAlign w:val="center"/>
          </w:tcPr>
          <w:p w14:paraId="50446B64">
            <w:pPr>
              <w:jc w:val="left"/>
              <w:rPr>
                <w:rFonts w:ascii="宋体" w:hAnsi="宋体" w:eastAsia="宋体" w:cs="宋体"/>
                <w:color w:val="auto"/>
                <w:sz w:val="24"/>
                <w:szCs w:val="24"/>
              </w:rPr>
            </w:pPr>
            <w:r>
              <w:rPr>
                <w:rFonts w:hint="eastAsia" w:ascii="宋体" w:hAnsi="宋体" w:eastAsia="宋体" w:cs="宋体"/>
                <w:color w:val="auto"/>
                <w:sz w:val="24"/>
                <w:szCs w:val="24"/>
              </w:rPr>
              <w:t>无须供应商提供，由采购人或采购代理机构查询。</w:t>
            </w:r>
          </w:p>
        </w:tc>
      </w:tr>
      <w:tr w14:paraId="44C5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67D02282">
            <w:pPr>
              <w:jc w:val="left"/>
              <w:rPr>
                <w:rFonts w:ascii="宋体" w:hAnsi="宋体" w:eastAsia="宋体" w:cs="宋体"/>
                <w:color w:val="auto"/>
                <w:sz w:val="24"/>
                <w:szCs w:val="24"/>
              </w:rPr>
            </w:pPr>
            <w:r>
              <w:rPr>
                <w:rFonts w:hint="eastAsia" w:ascii="宋体" w:hAnsi="宋体" w:eastAsia="宋体" w:cs="宋体"/>
                <w:color w:val="auto"/>
                <w:sz w:val="24"/>
                <w:szCs w:val="24"/>
              </w:rPr>
              <w:t>4</w:t>
            </w:r>
          </w:p>
        </w:tc>
        <w:tc>
          <w:tcPr>
            <w:tcW w:w="725" w:type="pct"/>
            <w:vAlign w:val="center"/>
          </w:tcPr>
          <w:p w14:paraId="1B4BFC65">
            <w:pPr>
              <w:jc w:val="left"/>
              <w:rPr>
                <w:rFonts w:ascii="宋体" w:hAnsi="宋体" w:eastAsia="宋体" w:cs="宋体"/>
                <w:color w:val="auto"/>
                <w:sz w:val="24"/>
                <w:szCs w:val="24"/>
              </w:rPr>
            </w:pPr>
            <w:r>
              <w:rPr>
                <w:rFonts w:ascii="宋体" w:hAnsi="宋体" w:eastAsia="宋体" w:cs="宋体"/>
                <w:color w:val="auto"/>
                <w:sz w:val="24"/>
                <w:szCs w:val="24"/>
              </w:rPr>
              <w:t>其它落实政府采购政策的资格要求</w:t>
            </w:r>
          </w:p>
        </w:tc>
        <w:tc>
          <w:tcPr>
            <w:tcW w:w="2435" w:type="pct"/>
            <w:vAlign w:val="center"/>
          </w:tcPr>
          <w:p w14:paraId="76CF82A6">
            <w:pPr>
              <w:jc w:val="left"/>
              <w:rPr>
                <w:rFonts w:ascii="宋体" w:hAnsi="宋体" w:eastAsia="宋体" w:cs="宋体"/>
                <w:color w:val="auto"/>
                <w:sz w:val="24"/>
                <w:szCs w:val="24"/>
              </w:rPr>
            </w:pPr>
            <w:r>
              <w:rPr>
                <w:rFonts w:hint="eastAsia" w:ascii="宋体" w:hAnsi="宋体" w:eastAsia="宋体" w:cs="宋体"/>
                <w:color w:val="auto"/>
                <w:sz w:val="24"/>
                <w:szCs w:val="24"/>
              </w:rPr>
              <w:t>如有，见第一章《磋商邀请》</w:t>
            </w:r>
          </w:p>
        </w:tc>
        <w:tc>
          <w:tcPr>
            <w:tcW w:w="1498" w:type="pct"/>
            <w:vAlign w:val="center"/>
          </w:tcPr>
          <w:p w14:paraId="18B6B45F">
            <w:pPr>
              <w:jc w:val="left"/>
              <w:rPr>
                <w:rFonts w:ascii="宋体" w:hAnsi="宋体" w:eastAsia="宋体" w:cs="宋体"/>
                <w:color w:val="auto"/>
                <w:sz w:val="24"/>
                <w:szCs w:val="24"/>
              </w:rPr>
            </w:pPr>
            <w:r>
              <w:rPr>
                <w:rFonts w:hint="eastAsia" w:ascii="宋体" w:hAnsi="宋体" w:eastAsia="宋体" w:cs="宋体"/>
                <w:color w:val="auto"/>
                <w:sz w:val="24"/>
                <w:szCs w:val="24"/>
              </w:rPr>
              <w:t>提供材料扫描件或电子证照，应完整的体现出材料或电子证照全部内容。</w:t>
            </w:r>
          </w:p>
        </w:tc>
      </w:tr>
      <w:tr w14:paraId="30E8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227CA572">
            <w:pPr>
              <w:jc w:val="left"/>
              <w:rPr>
                <w:rFonts w:ascii="宋体" w:hAnsi="宋体" w:eastAsia="宋体" w:cs="宋体"/>
                <w:color w:val="auto"/>
                <w:sz w:val="24"/>
                <w:szCs w:val="24"/>
              </w:rPr>
            </w:pPr>
            <w:r>
              <w:rPr>
                <w:rFonts w:hint="eastAsia" w:ascii="宋体" w:hAnsi="宋体" w:eastAsia="宋体" w:cs="宋体"/>
                <w:color w:val="auto"/>
                <w:sz w:val="24"/>
                <w:szCs w:val="24"/>
              </w:rPr>
              <w:t>5</w:t>
            </w:r>
          </w:p>
        </w:tc>
        <w:tc>
          <w:tcPr>
            <w:tcW w:w="725" w:type="pct"/>
            <w:vAlign w:val="center"/>
          </w:tcPr>
          <w:p w14:paraId="378A545A">
            <w:pPr>
              <w:jc w:val="left"/>
              <w:rPr>
                <w:rFonts w:ascii="宋体" w:hAnsi="宋体" w:eastAsia="宋体" w:cs="宋体"/>
                <w:color w:val="auto"/>
                <w:sz w:val="24"/>
                <w:szCs w:val="24"/>
              </w:rPr>
            </w:pPr>
            <w:r>
              <w:rPr>
                <w:rFonts w:hint="eastAsia" w:ascii="宋体" w:hAnsi="宋体" w:eastAsia="宋体" w:cs="宋体"/>
                <w:color w:val="auto"/>
                <w:sz w:val="24"/>
                <w:szCs w:val="24"/>
              </w:rPr>
              <w:t>供应商其他特定资格要求</w:t>
            </w:r>
          </w:p>
        </w:tc>
        <w:tc>
          <w:tcPr>
            <w:tcW w:w="2435" w:type="pct"/>
            <w:vAlign w:val="center"/>
          </w:tcPr>
          <w:p w14:paraId="33354F49">
            <w:pPr>
              <w:jc w:val="left"/>
              <w:rPr>
                <w:rFonts w:ascii="宋体" w:hAnsi="宋体" w:eastAsia="宋体" w:cs="宋体"/>
                <w:color w:val="auto"/>
                <w:sz w:val="24"/>
                <w:szCs w:val="24"/>
              </w:rPr>
            </w:pPr>
            <w:r>
              <w:rPr>
                <w:rFonts w:hint="eastAsia" w:ascii="宋体" w:hAnsi="宋体" w:eastAsia="宋体" w:cs="宋体"/>
                <w:color w:val="auto"/>
                <w:sz w:val="24"/>
                <w:szCs w:val="24"/>
              </w:rPr>
              <w:t>如有，见第一章《磋商邀请》</w:t>
            </w:r>
          </w:p>
        </w:tc>
        <w:tc>
          <w:tcPr>
            <w:tcW w:w="1498" w:type="pct"/>
            <w:vAlign w:val="center"/>
          </w:tcPr>
          <w:p w14:paraId="4EF69DEF">
            <w:pPr>
              <w:jc w:val="left"/>
              <w:rPr>
                <w:rFonts w:ascii="宋体" w:hAnsi="宋体" w:eastAsia="宋体" w:cs="宋体"/>
                <w:color w:val="auto"/>
                <w:sz w:val="24"/>
                <w:szCs w:val="24"/>
              </w:rPr>
            </w:pPr>
            <w:r>
              <w:rPr>
                <w:rFonts w:hint="eastAsia" w:ascii="宋体" w:hAnsi="宋体" w:eastAsia="宋体" w:cs="宋体"/>
                <w:color w:val="auto"/>
                <w:sz w:val="24"/>
                <w:szCs w:val="24"/>
              </w:rPr>
              <w:t>提供材料扫描件或电子证照，应完整的体现出材料或电子证照全部内容。</w:t>
            </w:r>
          </w:p>
        </w:tc>
      </w:tr>
      <w:tr w14:paraId="3DA3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0D8AB3A9">
            <w:pPr>
              <w:jc w:val="left"/>
              <w:rPr>
                <w:rFonts w:ascii="宋体" w:hAnsi="宋体" w:eastAsia="宋体" w:cs="宋体"/>
                <w:color w:val="auto"/>
                <w:sz w:val="24"/>
                <w:szCs w:val="24"/>
              </w:rPr>
            </w:pPr>
            <w:r>
              <w:rPr>
                <w:rFonts w:hint="eastAsia" w:ascii="宋体" w:hAnsi="宋体" w:eastAsia="宋体" w:cs="宋体"/>
                <w:color w:val="auto"/>
                <w:sz w:val="24"/>
                <w:szCs w:val="24"/>
              </w:rPr>
              <w:t>6</w:t>
            </w:r>
          </w:p>
        </w:tc>
        <w:tc>
          <w:tcPr>
            <w:tcW w:w="725" w:type="pct"/>
            <w:vAlign w:val="center"/>
          </w:tcPr>
          <w:p w14:paraId="7431BC29">
            <w:pPr>
              <w:jc w:val="left"/>
              <w:rPr>
                <w:rFonts w:ascii="宋体" w:hAnsi="宋体" w:eastAsia="宋体" w:cs="宋体"/>
                <w:color w:val="auto"/>
                <w:sz w:val="24"/>
                <w:szCs w:val="24"/>
              </w:rPr>
            </w:pPr>
            <w:r>
              <w:rPr>
                <w:rFonts w:hint="eastAsia" w:ascii="宋体" w:hAnsi="宋体" w:eastAsia="宋体" w:cs="宋体"/>
                <w:color w:val="auto"/>
                <w:sz w:val="24"/>
                <w:szCs w:val="24"/>
              </w:rPr>
              <w:t>磋商响应函</w:t>
            </w:r>
          </w:p>
        </w:tc>
        <w:tc>
          <w:tcPr>
            <w:tcW w:w="2435" w:type="pct"/>
            <w:vAlign w:val="center"/>
          </w:tcPr>
          <w:p w14:paraId="2E7B5244">
            <w:pPr>
              <w:jc w:val="left"/>
              <w:rPr>
                <w:rFonts w:ascii="宋体" w:hAnsi="宋体" w:eastAsia="宋体" w:cs="宋体"/>
                <w:color w:val="auto"/>
                <w:sz w:val="24"/>
                <w:szCs w:val="24"/>
              </w:rPr>
            </w:pPr>
            <w:r>
              <w:rPr>
                <w:rFonts w:hint="eastAsia" w:ascii="宋体" w:hAnsi="宋体" w:eastAsia="宋体" w:cs="宋体"/>
                <w:color w:val="auto"/>
                <w:sz w:val="24"/>
                <w:szCs w:val="24"/>
              </w:rPr>
              <w:t>格式、填写要求符合磋商文件规定并加盖供应商电子签章</w:t>
            </w:r>
          </w:p>
        </w:tc>
        <w:tc>
          <w:tcPr>
            <w:tcW w:w="1498" w:type="pct"/>
            <w:vAlign w:val="center"/>
          </w:tcPr>
          <w:p w14:paraId="2DB65D28">
            <w:pPr>
              <w:jc w:val="left"/>
              <w:rPr>
                <w:rFonts w:ascii="宋体" w:hAnsi="宋体" w:eastAsia="宋体" w:cs="宋体"/>
                <w:color w:val="auto"/>
                <w:sz w:val="24"/>
                <w:szCs w:val="24"/>
              </w:rPr>
            </w:pPr>
            <w:r>
              <w:rPr>
                <w:rFonts w:hint="eastAsia" w:ascii="宋体" w:hAnsi="宋体" w:eastAsia="宋体" w:cs="宋体"/>
                <w:color w:val="auto"/>
                <w:sz w:val="24"/>
                <w:szCs w:val="24"/>
              </w:rPr>
              <w:t>详见第六章响应文件格式。</w:t>
            </w:r>
          </w:p>
        </w:tc>
      </w:tr>
      <w:tr w14:paraId="590A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5A940A18">
            <w:pPr>
              <w:jc w:val="left"/>
              <w:rPr>
                <w:rFonts w:ascii="宋体" w:hAnsi="宋体" w:eastAsia="宋体" w:cs="宋体"/>
                <w:color w:val="auto"/>
                <w:sz w:val="24"/>
                <w:szCs w:val="24"/>
              </w:rPr>
            </w:pPr>
            <w:r>
              <w:rPr>
                <w:rFonts w:hint="eastAsia" w:ascii="宋体" w:hAnsi="宋体" w:eastAsia="宋体" w:cs="宋体"/>
                <w:color w:val="auto"/>
                <w:sz w:val="24"/>
                <w:szCs w:val="24"/>
              </w:rPr>
              <w:t>7</w:t>
            </w:r>
          </w:p>
        </w:tc>
        <w:tc>
          <w:tcPr>
            <w:tcW w:w="725" w:type="pct"/>
            <w:vAlign w:val="center"/>
          </w:tcPr>
          <w:p w14:paraId="5856C2D7">
            <w:pPr>
              <w:jc w:val="left"/>
              <w:rPr>
                <w:rFonts w:ascii="宋体" w:hAnsi="宋体" w:eastAsia="宋体" w:cs="宋体"/>
                <w:color w:val="auto"/>
                <w:sz w:val="24"/>
                <w:szCs w:val="24"/>
              </w:rPr>
            </w:pPr>
            <w:r>
              <w:rPr>
                <w:rFonts w:hint="eastAsia" w:ascii="宋体" w:hAnsi="宋体" w:eastAsia="宋体" w:cs="宋体"/>
                <w:color w:val="auto"/>
                <w:sz w:val="24"/>
                <w:szCs w:val="24"/>
              </w:rPr>
              <w:t>授权书</w:t>
            </w:r>
          </w:p>
        </w:tc>
        <w:tc>
          <w:tcPr>
            <w:tcW w:w="2435" w:type="pct"/>
            <w:vAlign w:val="center"/>
          </w:tcPr>
          <w:p w14:paraId="4DF84191">
            <w:pPr>
              <w:jc w:val="left"/>
              <w:rPr>
                <w:rFonts w:ascii="宋体" w:hAnsi="宋体" w:eastAsia="宋体" w:cs="宋体"/>
                <w:color w:val="auto"/>
                <w:sz w:val="24"/>
                <w:szCs w:val="24"/>
              </w:rPr>
            </w:pPr>
            <w:r>
              <w:rPr>
                <w:rFonts w:hint="eastAsia" w:ascii="宋体" w:hAnsi="宋体" w:eastAsia="宋体" w:cs="宋体"/>
                <w:color w:val="auto"/>
                <w:sz w:val="24"/>
                <w:szCs w:val="24"/>
              </w:rPr>
              <w:t>格式、填写要求符合磋商文件规定并加盖供应商电子签章</w:t>
            </w:r>
          </w:p>
        </w:tc>
        <w:tc>
          <w:tcPr>
            <w:tcW w:w="1498" w:type="pct"/>
            <w:vAlign w:val="center"/>
          </w:tcPr>
          <w:p w14:paraId="098EE0E1">
            <w:pPr>
              <w:jc w:val="left"/>
              <w:rPr>
                <w:rFonts w:ascii="宋体" w:hAnsi="宋体" w:eastAsia="宋体" w:cs="宋体"/>
                <w:color w:val="auto"/>
                <w:sz w:val="24"/>
                <w:szCs w:val="24"/>
              </w:rPr>
            </w:pPr>
            <w:r>
              <w:rPr>
                <w:rFonts w:hint="eastAsia" w:ascii="宋体" w:hAnsi="宋体" w:eastAsia="宋体" w:cs="宋体"/>
                <w:color w:val="auto"/>
                <w:sz w:val="24"/>
                <w:szCs w:val="24"/>
              </w:rPr>
              <w:t>法定代表人参加磋商的无需此件，提供身份证明即可。详见第六章响应文件格式。</w:t>
            </w:r>
          </w:p>
        </w:tc>
      </w:tr>
      <w:tr w14:paraId="20D9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18375B7C">
            <w:pPr>
              <w:jc w:val="left"/>
              <w:rPr>
                <w:rFonts w:ascii="宋体" w:hAnsi="宋体" w:eastAsia="宋体" w:cs="宋体"/>
                <w:color w:val="auto"/>
                <w:sz w:val="24"/>
                <w:szCs w:val="24"/>
              </w:rPr>
            </w:pPr>
            <w:r>
              <w:rPr>
                <w:rFonts w:hint="eastAsia" w:ascii="宋体" w:hAnsi="宋体" w:eastAsia="宋体" w:cs="宋体"/>
                <w:color w:val="auto"/>
                <w:sz w:val="24"/>
                <w:szCs w:val="24"/>
              </w:rPr>
              <w:t>8</w:t>
            </w:r>
          </w:p>
        </w:tc>
        <w:tc>
          <w:tcPr>
            <w:tcW w:w="725" w:type="pct"/>
            <w:vAlign w:val="center"/>
          </w:tcPr>
          <w:p w14:paraId="4F85F25B">
            <w:pPr>
              <w:jc w:val="left"/>
              <w:rPr>
                <w:rFonts w:ascii="宋体" w:hAnsi="宋体" w:eastAsia="宋体" w:cs="宋体"/>
                <w:color w:val="auto"/>
                <w:sz w:val="24"/>
                <w:szCs w:val="24"/>
              </w:rPr>
            </w:pPr>
            <w:r>
              <w:rPr>
                <w:rFonts w:hint="eastAsia" w:ascii="宋体" w:hAnsi="宋体" w:eastAsia="宋体" w:cs="宋体"/>
                <w:color w:val="auto"/>
                <w:sz w:val="24"/>
                <w:szCs w:val="24"/>
              </w:rPr>
              <w:t>磋商报价</w:t>
            </w:r>
          </w:p>
        </w:tc>
        <w:tc>
          <w:tcPr>
            <w:tcW w:w="2435" w:type="pct"/>
            <w:vAlign w:val="center"/>
          </w:tcPr>
          <w:p w14:paraId="39AD4B4E">
            <w:pPr>
              <w:jc w:val="left"/>
              <w:rPr>
                <w:rFonts w:ascii="宋体" w:hAnsi="宋体" w:eastAsia="宋体" w:cs="宋体"/>
                <w:color w:val="auto"/>
                <w:sz w:val="24"/>
                <w:szCs w:val="24"/>
              </w:rPr>
            </w:pPr>
            <w:r>
              <w:rPr>
                <w:rFonts w:hint="eastAsia" w:ascii="宋体" w:hAnsi="宋体" w:eastAsia="宋体" w:cs="宋体"/>
                <w:color w:val="auto"/>
                <w:sz w:val="24"/>
                <w:szCs w:val="24"/>
              </w:rPr>
              <w:t>符合磋商文件供应商须知正文第9条要求</w:t>
            </w:r>
          </w:p>
        </w:tc>
        <w:tc>
          <w:tcPr>
            <w:tcW w:w="1498" w:type="pct"/>
            <w:vAlign w:val="center"/>
          </w:tcPr>
          <w:p w14:paraId="484913C5">
            <w:pPr>
              <w:jc w:val="left"/>
              <w:rPr>
                <w:rFonts w:ascii="宋体" w:hAnsi="宋体" w:eastAsia="宋体" w:cs="宋体"/>
                <w:color w:val="auto"/>
                <w:sz w:val="24"/>
                <w:szCs w:val="24"/>
              </w:rPr>
            </w:pPr>
            <w:r>
              <w:rPr>
                <w:rFonts w:hint="eastAsia" w:ascii="宋体" w:hAnsi="宋体" w:eastAsia="宋体" w:cs="宋体"/>
                <w:color w:val="auto"/>
                <w:sz w:val="24"/>
                <w:szCs w:val="24"/>
              </w:rPr>
              <w:t>详见第六章响应文件格式。</w:t>
            </w:r>
          </w:p>
        </w:tc>
      </w:tr>
      <w:tr w14:paraId="2C96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14DCBAFB">
            <w:pPr>
              <w:jc w:val="left"/>
              <w:rPr>
                <w:rFonts w:ascii="宋体" w:hAnsi="宋体" w:eastAsia="宋体" w:cs="宋体"/>
                <w:color w:val="auto"/>
                <w:sz w:val="24"/>
                <w:szCs w:val="24"/>
              </w:rPr>
            </w:pPr>
            <w:r>
              <w:rPr>
                <w:rFonts w:hint="eastAsia" w:ascii="宋体" w:hAnsi="宋体" w:eastAsia="宋体" w:cs="宋体"/>
                <w:color w:val="auto"/>
                <w:sz w:val="24"/>
                <w:szCs w:val="24"/>
              </w:rPr>
              <w:t>9</w:t>
            </w:r>
          </w:p>
        </w:tc>
        <w:tc>
          <w:tcPr>
            <w:tcW w:w="725" w:type="pct"/>
            <w:vAlign w:val="center"/>
          </w:tcPr>
          <w:p w14:paraId="6D85024F">
            <w:pPr>
              <w:jc w:val="left"/>
              <w:rPr>
                <w:rFonts w:ascii="宋体" w:hAnsi="宋体" w:eastAsia="宋体" w:cs="宋体"/>
                <w:color w:val="auto"/>
                <w:sz w:val="24"/>
                <w:szCs w:val="24"/>
              </w:rPr>
            </w:pPr>
            <w:r>
              <w:rPr>
                <w:rFonts w:hint="eastAsia" w:ascii="宋体" w:hAnsi="宋体" w:eastAsia="宋体" w:cs="宋体"/>
                <w:color w:val="auto"/>
                <w:sz w:val="24"/>
                <w:szCs w:val="24"/>
              </w:rPr>
              <w:t>商务响应情况</w:t>
            </w:r>
          </w:p>
        </w:tc>
        <w:tc>
          <w:tcPr>
            <w:tcW w:w="2435" w:type="pct"/>
            <w:vAlign w:val="center"/>
          </w:tcPr>
          <w:p w14:paraId="5EE298F7">
            <w:pPr>
              <w:jc w:val="left"/>
              <w:rPr>
                <w:rFonts w:ascii="宋体" w:hAnsi="宋体" w:eastAsia="宋体" w:cs="宋体"/>
                <w:color w:val="auto"/>
                <w:sz w:val="24"/>
                <w:szCs w:val="24"/>
              </w:rPr>
            </w:pPr>
            <w:r>
              <w:rPr>
                <w:rFonts w:hint="eastAsia" w:ascii="宋体" w:hAnsi="宋体" w:eastAsia="宋体" w:cs="宋体"/>
                <w:color w:val="auto"/>
                <w:sz w:val="24"/>
                <w:szCs w:val="24"/>
              </w:rPr>
              <w:t>符合磋商文件采购需求中对付款方式、服务地点、服务期限等实质性要求</w:t>
            </w:r>
          </w:p>
        </w:tc>
        <w:tc>
          <w:tcPr>
            <w:tcW w:w="1498" w:type="pct"/>
            <w:vAlign w:val="center"/>
          </w:tcPr>
          <w:p w14:paraId="10622C9B">
            <w:pPr>
              <w:jc w:val="left"/>
              <w:rPr>
                <w:rFonts w:ascii="宋体" w:hAnsi="宋体" w:eastAsia="宋体" w:cs="宋体"/>
                <w:color w:val="auto"/>
                <w:sz w:val="24"/>
                <w:szCs w:val="24"/>
              </w:rPr>
            </w:pPr>
            <w:r>
              <w:rPr>
                <w:rFonts w:hint="eastAsia" w:ascii="宋体" w:hAnsi="宋体" w:eastAsia="宋体" w:cs="宋体"/>
                <w:color w:val="auto"/>
                <w:sz w:val="24"/>
                <w:szCs w:val="24"/>
              </w:rPr>
              <w:t>详见第六章响应文件格式。</w:t>
            </w:r>
          </w:p>
        </w:tc>
      </w:tr>
      <w:tr w14:paraId="6F74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25D4D89E">
            <w:pPr>
              <w:jc w:val="left"/>
              <w:rPr>
                <w:rFonts w:ascii="宋体" w:hAnsi="宋体" w:eastAsia="宋体" w:cs="宋体"/>
                <w:color w:val="auto"/>
                <w:sz w:val="24"/>
                <w:szCs w:val="24"/>
              </w:rPr>
            </w:pPr>
            <w:r>
              <w:rPr>
                <w:rFonts w:hint="eastAsia" w:ascii="宋体" w:hAnsi="宋体" w:eastAsia="宋体" w:cs="宋体"/>
                <w:color w:val="auto"/>
                <w:sz w:val="24"/>
                <w:szCs w:val="24"/>
              </w:rPr>
              <w:t>10</w:t>
            </w:r>
          </w:p>
        </w:tc>
        <w:tc>
          <w:tcPr>
            <w:tcW w:w="725" w:type="pct"/>
            <w:vAlign w:val="center"/>
          </w:tcPr>
          <w:p w14:paraId="09E01555">
            <w:pPr>
              <w:jc w:val="left"/>
              <w:rPr>
                <w:rFonts w:ascii="宋体" w:hAnsi="宋体" w:eastAsia="宋体" w:cs="宋体"/>
                <w:color w:val="auto"/>
                <w:sz w:val="24"/>
                <w:szCs w:val="24"/>
              </w:rPr>
            </w:pPr>
            <w:r>
              <w:rPr>
                <w:rFonts w:hint="eastAsia" w:ascii="宋体" w:hAnsi="宋体" w:eastAsia="宋体" w:cs="宋体"/>
                <w:color w:val="auto"/>
                <w:sz w:val="24"/>
                <w:szCs w:val="24"/>
              </w:rPr>
              <w:t>技术响应情况</w:t>
            </w:r>
          </w:p>
        </w:tc>
        <w:tc>
          <w:tcPr>
            <w:tcW w:w="2435" w:type="pct"/>
            <w:vAlign w:val="center"/>
          </w:tcPr>
          <w:p w14:paraId="092E68C1">
            <w:pPr>
              <w:jc w:val="left"/>
              <w:rPr>
                <w:rFonts w:ascii="宋体" w:hAnsi="宋体" w:eastAsia="宋体" w:cs="宋体"/>
                <w:color w:val="auto"/>
                <w:sz w:val="24"/>
                <w:szCs w:val="24"/>
              </w:rPr>
            </w:pPr>
            <w:r>
              <w:rPr>
                <w:rFonts w:hint="eastAsia" w:ascii="宋体" w:hAnsi="宋体" w:eastAsia="宋体" w:cs="宋体"/>
                <w:color w:val="auto"/>
                <w:sz w:val="24"/>
                <w:szCs w:val="24"/>
              </w:rPr>
              <w:t>符合磋商文件采购需求中货物技术参数等实质性要求</w:t>
            </w:r>
          </w:p>
        </w:tc>
        <w:tc>
          <w:tcPr>
            <w:tcW w:w="1498" w:type="pct"/>
            <w:vAlign w:val="center"/>
          </w:tcPr>
          <w:p w14:paraId="06AFD6A3">
            <w:pPr>
              <w:jc w:val="left"/>
              <w:rPr>
                <w:rFonts w:ascii="宋体" w:hAnsi="宋体" w:eastAsia="宋体" w:cs="宋体"/>
                <w:color w:val="auto"/>
                <w:sz w:val="24"/>
                <w:szCs w:val="24"/>
              </w:rPr>
            </w:pPr>
            <w:r>
              <w:rPr>
                <w:rFonts w:hint="eastAsia" w:ascii="宋体" w:hAnsi="宋体" w:eastAsia="宋体" w:cs="宋体"/>
                <w:color w:val="auto"/>
                <w:sz w:val="24"/>
                <w:szCs w:val="24"/>
              </w:rPr>
              <w:t>详见第六章响应文件格式。</w:t>
            </w:r>
          </w:p>
        </w:tc>
      </w:tr>
      <w:tr w14:paraId="7D9A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2178E5F1">
            <w:pPr>
              <w:jc w:val="left"/>
              <w:rPr>
                <w:rFonts w:ascii="宋体" w:hAnsi="宋体" w:eastAsia="宋体" w:cs="宋体"/>
                <w:color w:val="auto"/>
                <w:sz w:val="24"/>
                <w:szCs w:val="24"/>
              </w:rPr>
            </w:pPr>
            <w:r>
              <w:rPr>
                <w:rFonts w:hint="eastAsia" w:ascii="宋体" w:hAnsi="宋体" w:eastAsia="宋体" w:cs="宋体"/>
                <w:color w:val="auto"/>
                <w:sz w:val="24"/>
                <w:szCs w:val="24"/>
              </w:rPr>
              <w:t>11</w:t>
            </w:r>
          </w:p>
        </w:tc>
        <w:tc>
          <w:tcPr>
            <w:tcW w:w="725" w:type="pct"/>
            <w:vAlign w:val="center"/>
          </w:tcPr>
          <w:p w14:paraId="21E576C0">
            <w:pPr>
              <w:jc w:val="left"/>
              <w:rPr>
                <w:rFonts w:ascii="宋体" w:hAnsi="宋体" w:eastAsia="宋体" w:cs="宋体"/>
                <w:color w:val="auto"/>
                <w:sz w:val="24"/>
                <w:szCs w:val="24"/>
              </w:rPr>
            </w:pPr>
            <w:r>
              <w:rPr>
                <w:rFonts w:hint="eastAsia" w:ascii="宋体" w:hAnsi="宋体" w:eastAsia="宋体" w:cs="宋体"/>
                <w:color w:val="auto"/>
                <w:sz w:val="24"/>
                <w:szCs w:val="24"/>
              </w:rPr>
              <w:t>其他要求</w:t>
            </w:r>
          </w:p>
        </w:tc>
        <w:tc>
          <w:tcPr>
            <w:tcW w:w="2435" w:type="pct"/>
            <w:vAlign w:val="center"/>
          </w:tcPr>
          <w:p w14:paraId="0ED0D017">
            <w:pPr>
              <w:jc w:val="left"/>
              <w:rPr>
                <w:rFonts w:ascii="宋体" w:hAnsi="宋体" w:eastAsia="宋体" w:cs="宋体"/>
                <w:color w:val="auto"/>
                <w:sz w:val="24"/>
                <w:szCs w:val="24"/>
              </w:rPr>
            </w:pPr>
            <w:r>
              <w:rPr>
                <w:rFonts w:hint="eastAsia" w:ascii="宋体" w:hAnsi="宋体" w:eastAsia="宋体" w:cs="宋体"/>
                <w:color w:val="auto"/>
                <w:sz w:val="24"/>
                <w:szCs w:val="24"/>
              </w:rPr>
              <w:t>符合法律、行政法规规定的其他条件或磋商文件列明的其他实质性要求</w:t>
            </w:r>
          </w:p>
        </w:tc>
        <w:tc>
          <w:tcPr>
            <w:tcW w:w="1498" w:type="pct"/>
            <w:vAlign w:val="center"/>
          </w:tcPr>
          <w:p w14:paraId="1BE29933">
            <w:pPr>
              <w:jc w:val="left"/>
              <w:rPr>
                <w:rFonts w:ascii="宋体" w:hAnsi="宋体" w:eastAsia="宋体" w:cs="宋体"/>
                <w:color w:val="auto"/>
                <w:sz w:val="24"/>
                <w:szCs w:val="24"/>
              </w:rPr>
            </w:pPr>
          </w:p>
        </w:tc>
      </w:tr>
    </w:tbl>
    <w:p w14:paraId="25CE8CA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b/>
          <w:bCs/>
          <w:color w:val="auto"/>
          <w:sz w:val="24"/>
        </w:rPr>
        <w:t>初审指标通过标准：</w:t>
      </w:r>
      <w:r>
        <w:rPr>
          <w:rFonts w:hint="eastAsia" w:asciiTheme="minorEastAsia" w:hAnsiTheme="minorEastAsia" w:eastAsiaTheme="minorEastAsia"/>
          <w:color w:val="auto"/>
          <w:sz w:val="24"/>
        </w:rPr>
        <w:t>供应商必须通过初审表中的全部评审指标。</w:t>
      </w:r>
    </w:p>
    <w:p w14:paraId="42B8971A">
      <w:pPr>
        <w:spacing w:line="360" w:lineRule="auto"/>
        <w:ind w:firstLine="435"/>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2.2综合评分</w:t>
      </w:r>
    </w:p>
    <w:p w14:paraId="4D0BB43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磋商小组按照下表对</w:t>
      </w:r>
      <w:r>
        <w:rPr>
          <w:rFonts w:hint="eastAsia" w:ascii="宋体" w:hAnsi="宋体" w:eastAsia="宋体"/>
          <w:color w:val="auto"/>
          <w:sz w:val="24"/>
        </w:rPr>
        <w:t>进入综合评分的所有供应商的</w:t>
      </w:r>
      <w:r>
        <w:rPr>
          <w:rFonts w:hint="eastAsia" w:asciiTheme="minorEastAsia" w:hAnsiTheme="minorEastAsia" w:eastAsiaTheme="minorEastAsia"/>
          <w:color w:val="auto"/>
          <w:sz w:val="24"/>
        </w:rPr>
        <w:t>响应文件进行综合评分。</w:t>
      </w:r>
    </w:p>
    <w:p w14:paraId="17B71EFC">
      <w:pPr>
        <w:spacing w:line="360" w:lineRule="auto"/>
        <w:ind w:firstLine="435"/>
        <w:rPr>
          <w:color w:val="auto"/>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本项目综合评分满分为1</w:t>
      </w:r>
      <w:r>
        <w:rPr>
          <w:rFonts w:asciiTheme="minorEastAsia" w:hAnsiTheme="minorEastAsia" w:eastAsiaTheme="minorEastAsia"/>
          <w:color w:val="auto"/>
          <w:sz w:val="24"/>
        </w:rPr>
        <w:t>00</w:t>
      </w:r>
      <w:r>
        <w:rPr>
          <w:rFonts w:hint="eastAsia" w:asciiTheme="minorEastAsia" w:hAnsiTheme="minorEastAsia" w:eastAsiaTheme="minorEastAsia"/>
          <w:color w:val="auto"/>
          <w:sz w:val="24"/>
        </w:rPr>
        <w:t>分，其中：技术资信分值占总分值的权重为</w:t>
      </w:r>
      <w:r>
        <w:rPr>
          <w:rFonts w:hint="eastAsia" w:asciiTheme="minorEastAsia" w:hAnsiTheme="minorEastAsia" w:eastAsiaTheme="minorEastAsia"/>
          <w:color w:val="auto"/>
          <w:sz w:val="24"/>
          <w:u w:val="single"/>
        </w:rPr>
        <w:t>90</w:t>
      </w:r>
      <w:r>
        <w:rPr>
          <w:rFonts w:asciiTheme="minorEastAsia" w:hAnsiTheme="minorEastAsia" w:eastAsiaTheme="minorEastAsia"/>
          <w:color w:val="auto"/>
          <w:sz w:val="24"/>
        </w:rPr>
        <w:t>%，价格分值占总分值的权重为</w:t>
      </w:r>
      <w:r>
        <w:rPr>
          <w:rFonts w:hint="eastAsia" w:asciiTheme="minorEastAsia" w:hAnsiTheme="minorEastAsia" w:eastAsiaTheme="minorEastAsia"/>
          <w:color w:val="auto"/>
          <w:sz w:val="24"/>
          <w:u w:val="single"/>
        </w:rPr>
        <w:t>10</w:t>
      </w:r>
      <w:r>
        <w:rPr>
          <w:rFonts w:asciiTheme="minorEastAsia" w:hAnsiTheme="minorEastAsia" w:eastAsiaTheme="minorEastAsia"/>
          <w:color w:val="auto"/>
          <w:sz w:val="24"/>
        </w:rPr>
        <w:t>%。具体评分细则如下：</w:t>
      </w:r>
    </w:p>
    <w:tbl>
      <w:tblPr>
        <w:tblStyle w:val="23"/>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545"/>
        <w:gridCol w:w="5546"/>
        <w:gridCol w:w="1334"/>
      </w:tblGrid>
      <w:tr w14:paraId="3262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1BC8DEBF">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类别</w:t>
            </w:r>
          </w:p>
        </w:tc>
        <w:tc>
          <w:tcPr>
            <w:tcW w:w="820" w:type="pct"/>
            <w:tcBorders>
              <w:top w:val="single" w:color="auto" w:sz="4" w:space="0"/>
              <w:left w:val="single" w:color="auto" w:sz="4" w:space="0"/>
              <w:bottom w:val="single" w:color="auto" w:sz="4" w:space="0"/>
              <w:right w:val="single" w:color="auto" w:sz="4" w:space="0"/>
            </w:tcBorders>
            <w:vAlign w:val="center"/>
          </w:tcPr>
          <w:p w14:paraId="1AFCD82D">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评分内容</w:t>
            </w:r>
          </w:p>
        </w:tc>
        <w:tc>
          <w:tcPr>
            <w:tcW w:w="2943" w:type="pct"/>
            <w:tcBorders>
              <w:top w:val="single" w:color="auto" w:sz="4" w:space="0"/>
              <w:left w:val="single" w:color="auto" w:sz="4" w:space="0"/>
              <w:bottom w:val="single" w:color="auto" w:sz="4" w:space="0"/>
              <w:right w:val="single" w:color="auto" w:sz="4" w:space="0"/>
            </w:tcBorders>
            <w:vAlign w:val="center"/>
          </w:tcPr>
          <w:p w14:paraId="6B91B029">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评分标准</w:t>
            </w:r>
          </w:p>
        </w:tc>
        <w:tc>
          <w:tcPr>
            <w:tcW w:w="706" w:type="pct"/>
            <w:tcBorders>
              <w:top w:val="single" w:color="auto" w:sz="4" w:space="0"/>
              <w:left w:val="single" w:color="auto" w:sz="4" w:space="0"/>
              <w:bottom w:val="single" w:color="auto" w:sz="4" w:space="0"/>
              <w:right w:val="single" w:color="auto" w:sz="4" w:space="0"/>
            </w:tcBorders>
            <w:vAlign w:val="center"/>
          </w:tcPr>
          <w:p w14:paraId="465CBC30">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分值范围</w:t>
            </w:r>
          </w:p>
        </w:tc>
      </w:tr>
      <w:tr w14:paraId="7E20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restart"/>
            <w:tcBorders>
              <w:top w:val="single" w:color="auto" w:sz="4" w:space="0"/>
              <w:left w:val="single" w:color="auto" w:sz="4" w:space="0"/>
              <w:right w:val="single" w:color="auto" w:sz="4" w:space="0"/>
            </w:tcBorders>
            <w:vAlign w:val="center"/>
          </w:tcPr>
          <w:p w14:paraId="42DE0057">
            <w:pPr>
              <w:spacing w:line="360" w:lineRule="auto"/>
              <w:jc w:val="center"/>
              <w:rPr>
                <w:rFonts w:ascii="宋体" w:hAnsi="宋体" w:eastAsia="宋体" w:cs="宋体"/>
                <w:color w:val="auto"/>
                <w:szCs w:val="21"/>
              </w:rPr>
            </w:pPr>
            <w:r>
              <w:rPr>
                <w:rFonts w:hint="eastAsia" w:ascii="宋体" w:hAnsi="宋体" w:eastAsia="宋体" w:cs="宋体"/>
                <w:color w:val="auto"/>
                <w:szCs w:val="21"/>
              </w:rPr>
              <w:t>技术资信分</w:t>
            </w:r>
          </w:p>
          <w:p w14:paraId="3D98E167">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w:t>
            </w:r>
            <w:r>
              <w:rPr>
                <w:rFonts w:hint="eastAsia" w:ascii="宋体" w:hAnsi="宋体" w:eastAsia="宋体" w:cs="宋体"/>
                <w:color w:val="auto"/>
                <w:szCs w:val="21"/>
                <w:u w:val="single"/>
              </w:rPr>
              <w:t>90</w:t>
            </w:r>
            <w:r>
              <w:rPr>
                <w:rFonts w:hint="eastAsia" w:ascii="宋体" w:hAnsi="宋体" w:eastAsia="宋体" w:cs="宋体"/>
                <w:color w:val="auto"/>
                <w:szCs w:val="21"/>
              </w:rPr>
              <w:t>分）</w:t>
            </w:r>
          </w:p>
        </w:tc>
        <w:tc>
          <w:tcPr>
            <w:tcW w:w="820" w:type="pct"/>
            <w:tcBorders>
              <w:top w:val="single" w:color="auto" w:sz="4" w:space="0"/>
              <w:left w:val="single" w:color="auto" w:sz="4" w:space="0"/>
              <w:bottom w:val="single" w:color="auto" w:sz="4" w:space="0"/>
              <w:right w:val="single" w:color="auto" w:sz="4" w:space="0"/>
            </w:tcBorders>
            <w:vAlign w:val="center"/>
          </w:tcPr>
          <w:p w14:paraId="343A905F">
            <w:pPr>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供应商业绩</w:t>
            </w:r>
          </w:p>
        </w:tc>
        <w:tc>
          <w:tcPr>
            <w:tcW w:w="2943" w:type="pct"/>
            <w:tcBorders>
              <w:top w:val="single" w:color="auto" w:sz="4" w:space="0"/>
              <w:left w:val="single" w:color="auto" w:sz="4" w:space="0"/>
              <w:bottom w:val="single" w:color="auto" w:sz="4" w:space="0"/>
              <w:right w:val="single" w:color="auto" w:sz="4" w:space="0"/>
            </w:tcBorders>
            <w:vAlign w:val="center"/>
          </w:tcPr>
          <w:p w14:paraId="50B7E5DC">
            <w:pPr>
              <w:jc w:val="left"/>
              <w:rPr>
                <w:rFonts w:ascii="宋体" w:hAnsi="宋体" w:eastAsia="宋体" w:cs="宋体"/>
                <w:bCs/>
                <w:color w:val="auto"/>
                <w:szCs w:val="21"/>
              </w:rPr>
            </w:pPr>
            <w:r>
              <w:rPr>
                <w:rFonts w:hint="eastAsia" w:ascii="宋体" w:hAnsi="宋体" w:eastAsia="宋体" w:cs="宋体"/>
                <w:bCs/>
                <w:color w:val="auto"/>
                <w:szCs w:val="21"/>
              </w:rPr>
              <w:t>202</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年1月1日以来（以合同签订时间为准），具有水闸安全鉴定业绩的每提供一个得4分，满分16分。</w:t>
            </w:r>
          </w:p>
          <w:p w14:paraId="022EDA70">
            <w:pPr>
              <w:jc w:val="left"/>
              <w:rPr>
                <w:rFonts w:ascii="宋体" w:hAnsi="宋体" w:eastAsia="宋体" w:cs="宋体"/>
                <w:bCs/>
                <w:color w:val="auto"/>
                <w:szCs w:val="21"/>
              </w:rPr>
            </w:pPr>
            <w:r>
              <w:rPr>
                <w:rFonts w:hint="eastAsia" w:ascii="宋体" w:hAnsi="宋体" w:eastAsia="宋体" w:cs="宋体"/>
                <w:b/>
                <w:color w:val="auto"/>
                <w:szCs w:val="21"/>
              </w:rPr>
              <w:t>注：业绩证明材料须同时提供①合同、②安全鉴定报告封面及关键页、③专家评审或验收意见。如上述证明材料无法体现服务内容、签订时间等评审要素的，须另附合同甲方出具的证明材料。</w:t>
            </w:r>
          </w:p>
        </w:tc>
        <w:tc>
          <w:tcPr>
            <w:tcW w:w="706" w:type="pct"/>
            <w:tcBorders>
              <w:top w:val="single" w:color="auto" w:sz="4" w:space="0"/>
              <w:left w:val="single" w:color="auto" w:sz="4" w:space="0"/>
              <w:bottom w:val="single" w:color="auto" w:sz="4" w:space="0"/>
              <w:right w:val="single" w:color="auto" w:sz="4" w:space="0"/>
            </w:tcBorders>
            <w:vAlign w:val="center"/>
          </w:tcPr>
          <w:p w14:paraId="6A051569">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0-16分</w:t>
            </w:r>
          </w:p>
        </w:tc>
      </w:tr>
      <w:tr w14:paraId="7C2D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6B4BC834">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542B87F2">
            <w:pPr>
              <w:spacing w:line="360" w:lineRule="auto"/>
              <w:jc w:val="center"/>
              <w:rPr>
                <w:rFonts w:ascii="宋体" w:hAnsi="宋体" w:eastAsia="宋体" w:cs="宋体"/>
                <w:color w:val="auto"/>
                <w:szCs w:val="21"/>
              </w:rPr>
            </w:pPr>
            <w:r>
              <w:rPr>
                <w:rFonts w:hint="eastAsia" w:ascii="宋体" w:hAnsi="宋体" w:eastAsia="宋体" w:cs="宋体"/>
                <w:color w:val="auto"/>
                <w:szCs w:val="21"/>
              </w:rPr>
              <w:t>项目负责人实力</w:t>
            </w:r>
          </w:p>
        </w:tc>
        <w:tc>
          <w:tcPr>
            <w:tcW w:w="2943" w:type="pct"/>
            <w:tcBorders>
              <w:top w:val="single" w:color="auto" w:sz="4" w:space="0"/>
              <w:left w:val="single" w:color="auto" w:sz="4" w:space="0"/>
              <w:bottom w:val="single" w:color="auto" w:sz="4" w:space="0"/>
              <w:right w:val="single" w:color="auto" w:sz="4" w:space="0"/>
            </w:tcBorders>
            <w:vAlign w:val="center"/>
          </w:tcPr>
          <w:p w14:paraId="01607E79">
            <w:pPr>
              <w:jc w:val="left"/>
              <w:rPr>
                <w:rFonts w:ascii="宋体" w:hAnsi="宋体" w:eastAsia="宋体" w:cs="宋体"/>
                <w:color w:val="auto"/>
                <w:szCs w:val="21"/>
              </w:rPr>
            </w:pPr>
            <w:r>
              <w:rPr>
                <w:rFonts w:hint="eastAsia" w:ascii="宋体" w:hAnsi="宋体" w:eastAsia="宋体" w:cs="宋体"/>
                <w:bCs/>
                <w:color w:val="auto"/>
                <w:szCs w:val="21"/>
              </w:rPr>
              <w:t>供应商拟派项目负责人具有水利水电工程相关专业高级及以上职称的得4分，具有水利水电工程相关专业中级职称的得3分，最多得4分；</w:t>
            </w:r>
          </w:p>
          <w:p w14:paraId="2392B3BC">
            <w:pPr>
              <w:pStyle w:val="12"/>
              <w:rPr>
                <w:rFonts w:hAnsi="宋体" w:eastAsia="宋体" w:cs="宋体"/>
                <w:color w:val="auto"/>
                <w:szCs w:val="21"/>
              </w:rPr>
            </w:pPr>
            <w:r>
              <w:rPr>
                <w:rFonts w:hint="eastAsia" w:hAnsi="宋体" w:eastAsia="宋体" w:cs="宋体"/>
                <w:b/>
                <w:color w:val="auto"/>
                <w:szCs w:val="21"/>
              </w:rPr>
              <w:t>注：响应文件中须提供有效的项目负责人技术职称证书扫描件。</w:t>
            </w:r>
          </w:p>
        </w:tc>
        <w:tc>
          <w:tcPr>
            <w:tcW w:w="706" w:type="pct"/>
            <w:tcBorders>
              <w:top w:val="single" w:color="auto" w:sz="4" w:space="0"/>
              <w:left w:val="single" w:color="auto" w:sz="4" w:space="0"/>
              <w:bottom w:val="single" w:color="auto" w:sz="4" w:space="0"/>
              <w:right w:val="single" w:color="auto" w:sz="4" w:space="0"/>
            </w:tcBorders>
            <w:vAlign w:val="center"/>
          </w:tcPr>
          <w:p w14:paraId="7AE5105F">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0-4分</w:t>
            </w:r>
          </w:p>
        </w:tc>
      </w:tr>
      <w:tr w14:paraId="3F76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1DF84EF4">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3C852819">
            <w:pPr>
              <w:spacing w:line="360" w:lineRule="auto"/>
              <w:jc w:val="center"/>
              <w:rPr>
                <w:rFonts w:ascii="宋体" w:hAnsi="宋体" w:eastAsia="宋体" w:cs="宋体"/>
                <w:color w:val="auto"/>
                <w:szCs w:val="21"/>
              </w:rPr>
            </w:pPr>
            <w:r>
              <w:rPr>
                <w:rFonts w:hint="eastAsia" w:ascii="宋体" w:hAnsi="宋体" w:eastAsia="宋体" w:cs="宋体"/>
                <w:color w:val="auto"/>
                <w:szCs w:val="21"/>
              </w:rPr>
              <w:t>项目负责人业绩</w:t>
            </w:r>
          </w:p>
        </w:tc>
        <w:tc>
          <w:tcPr>
            <w:tcW w:w="2943" w:type="pct"/>
            <w:tcBorders>
              <w:top w:val="single" w:color="auto" w:sz="4" w:space="0"/>
              <w:left w:val="single" w:color="auto" w:sz="4" w:space="0"/>
              <w:bottom w:val="single" w:color="auto" w:sz="4" w:space="0"/>
              <w:right w:val="single" w:color="auto" w:sz="4" w:space="0"/>
            </w:tcBorders>
            <w:vAlign w:val="center"/>
          </w:tcPr>
          <w:p w14:paraId="49CA5CBD">
            <w:pPr>
              <w:pStyle w:val="12"/>
              <w:rPr>
                <w:rFonts w:hAnsi="宋体" w:eastAsia="宋体" w:cs="宋体"/>
                <w:bCs/>
                <w:color w:val="auto"/>
                <w:szCs w:val="21"/>
              </w:rPr>
            </w:pPr>
            <w:r>
              <w:rPr>
                <w:rFonts w:hint="eastAsia" w:hAnsi="宋体" w:eastAsia="宋体" w:cs="宋体"/>
                <w:bCs/>
                <w:color w:val="auto"/>
                <w:szCs w:val="21"/>
              </w:rPr>
              <w:t>供应商拟派项目负责人每具有一项水闸安全鉴定的项目负责人业绩得4分，最多得8分；</w:t>
            </w:r>
          </w:p>
          <w:p w14:paraId="1981C8B5">
            <w:pPr>
              <w:pStyle w:val="12"/>
              <w:rPr>
                <w:rFonts w:hAnsi="宋体" w:eastAsia="宋体" w:cs="宋体"/>
                <w:color w:val="auto"/>
                <w:szCs w:val="21"/>
              </w:rPr>
            </w:pPr>
            <w:r>
              <w:rPr>
                <w:rFonts w:hint="eastAsia" w:hAnsi="宋体" w:eastAsia="宋体" w:cs="宋体"/>
                <w:b/>
                <w:color w:val="auto"/>
                <w:szCs w:val="21"/>
              </w:rPr>
              <w:t>注：业绩证明材料须同时提供①合同、②安全鉴定报告封面及关键页、③专家评审或验收意见。如上述证明材料无法体现服务内容、签订时间、项目负责人姓名等评审要素的，须另附合同甲方出具的证明材料。</w:t>
            </w:r>
          </w:p>
        </w:tc>
        <w:tc>
          <w:tcPr>
            <w:tcW w:w="706" w:type="pct"/>
            <w:tcBorders>
              <w:top w:val="single" w:color="auto" w:sz="4" w:space="0"/>
              <w:left w:val="single" w:color="auto" w:sz="4" w:space="0"/>
              <w:bottom w:val="single" w:color="auto" w:sz="4" w:space="0"/>
              <w:right w:val="single" w:color="auto" w:sz="4" w:space="0"/>
            </w:tcBorders>
            <w:vAlign w:val="center"/>
          </w:tcPr>
          <w:p w14:paraId="131CE5C7">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0-8分</w:t>
            </w:r>
          </w:p>
        </w:tc>
      </w:tr>
      <w:tr w14:paraId="2246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0D723B23">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7806CE81">
            <w:pPr>
              <w:spacing w:line="360" w:lineRule="auto"/>
              <w:jc w:val="center"/>
              <w:rPr>
                <w:rFonts w:ascii="宋体" w:hAnsi="宋体" w:eastAsia="宋体" w:cs="宋体"/>
                <w:color w:val="auto"/>
                <w:szCs w:val="21"/>
              </w:rPr>
            </w:pPr>
            <w:r>
              <w:rPr>
                <w:rFonts w:hint="eastAsia" w:ascii="宋体" w:hAnsi="宋体" w:eastAsia="宋体" w:cs="宋体"/>
                <w:color w:val="auto"/>
                <w:szCs w:val="21"/>
              </w:rPr>
              <w:t>项目组成员</w:t>
            </w:r>
          </w:p>
        </w:tc>
        <w:tc>
          <w:tcPr>
            <w:tcW w:w="2943" w:type="pct"/>
            <w:tcBorders>
              <w:top w:val="single" w:color="auto" w:sz="4" w:space="0"/>
              <w:left w:val="single" w:color="auto" w:sz="4" w:space="0"/>
              <w:bottom w:val="single" w:color="auto" w:sz="4" w:space="0"/>
              <w:right w:val="single" w:color="auto" w:sz="4" w:space="0"/>
            </w:tcBorders>
            <w:vAlign w:val="center"/>
          </w:tcPr>
          <w:p w14:paraId="4DBB756C">
            <w:pPr>
              <w:pStyle w:val="12"/>
              <w:rPr>
                <w:rFonts w:hAnsi="宋体" w:eastAsia="宋体" w:cs="宋体"/>
                <w:bCs/>
                <w:color w:val="auto"/>
                <w:szCs w:val="21"/>
              </w:rPr>
            </w:pPr>
            <w:r>
              <w:rPr>
                <w:rFonts w:hint="eastAsia" w:hAnsi="宋体" w:eastAsia="宋体" w:cs="宋体"/>
                <w:bCs/>
                <w:color w:val="auto"/>
                <w:szCs w:val="21"/>
              </w:rPr>
              <w:t>（项目负责人除外）</w:t>
            </w:r>
          </w:p>
          <w:p w14:paraId="35BA969F">
            <w:pPr>
              <w:pStyle w:val="12"/>
              <w:rPr>
                <w:rFonts w:hAnsi="宋体" w:eastAsia="宋体" w:cs="宋体"/>
                <w:bCs/>
                <w:color w:val="auto"/>
                <w:szCs w:val="21"/>
              </w:rPr>
            </w:pPr>
            <w:r>
              <w:rPr>
                <w:rFonts w:hint="eastAsia" w:hAnsi="宋体" w:eastAsia="宋体" w:cs="宋体"/>
                <w:bCs/>
                <w:color w:val="auto"/>
                <w:szCs w:val="21"/>
              </w:rPr>
              <w:t>（1）拟投入本项目的项目组成员每具有一个水利水电工程相关专业高级及以上技术职称的得4分，中级技术职称得3分，本项最多得12分；</w:t>
            </w:r>
          </w:p>
          <w:p w14:paraId="6412D069">
            <w:pPr>
              <w:pStyle w:val="12"/>
              <w:rPr>
                <w:rFonts w:hAnsi="宋体" w:eastAsia="宋体" w:cs="宋体"/>
                <w:bCs/>
                <w:color w:val="auto"/>
                <w:szCs w:val="21"/>
              </w:rPr>
            </w:pPr>
            <w:r>
              <w:rPr>
                <w:rFonts w:hint="eastAsia" w:hAnsi="宋体" w:eastAsia="宋体" w:cs="宋体"/>
                <w:bCs/>
                <w:color w:val="auto"/>
                <w:szCs w:val="21"/>
              </w:rPr>
              <w:t>（2）拟为本项目配备具有水工、岩土、金属结构、机电专业的人员，每配备一个专业得</w:t>
            </w:r>
            <w:r>
              <w:rPr>
                <w:rFonts w:hint="eastAsia" w:hAnsi="宋体" w:eastAsia="宋体" w:cs="宋体"/>
                <w:bCs/>
                <w:color w:val="auto"/>
                <w:szCs w:val="21"/>
                <w:lang w:val="en-US" w:eastAsia="zh-CN"/>
              </w:rPr>
              <w:t>2</w:t>
            </w:r>
            <w:r>
              <w:rPr>
                <w:rFonts w:hAnsi="宋体" w:eastAsia="宋体" w:cs="宋体"/>
                <w:bCs/>
                <w:color w:val="auto"/>
                <w:szCs w:val="21"/>
              </w:rPr>
              <w:t>分，本项最多得10分；本小项一个专业计分一次，重复的不再计分。</w:t>
            </w:r>
          </w:p>
          <w:p w14:paraId="3DC5CBB6">
            <w:pPr>
              <w:pStyle w:val="12"/>
              <w:rPr>
                <w:rFonts w:hAnsi="宋体" w:eastAsia="宋体" w:cs="宋体"/>
                <w:color w:val="auto"/>
                <w:szCs w:val="21"/>
              </w:rPr>
            </w:pPr>
            <w:r>
              <w:rPr>
                <w:rFonts w:hint="eastAsia" w:hAnsi="宋体" w:eastAsia="宋体" w:cs="宋体"/>
                <w:b/>
                <w:color w:val="auto"/>
                <w:szCs w:val="21"/>
              </w:rPr>
              <w:t>注：响应文件中须提供有效的上述人员相关证书扫描件。</w:t>
            </w:r>
          </w:p>
        </w:tc>
        <w:tc>
          <w:tcPr>
            <w:tcW w:w="706" w:type="pct"/>
            <w:tcBorders>
              <w:top w:val="single" w:color="auto" w:sz="4" w:space="0"/>
              <w:left w:val="single" w:color="auto" w:sz="4" w:space="0"/>
              <w:bottom w:val="single" w:color="auto" w:sz="4" w:space="0"/>
              <w:right w:val="single" w:color="auto" w:sz="4" w:space="0"/>
            </w:tcBorders>
            <w:vAlign w:val="center"/>
          </w:tcPr>
          <w:p w14:paraId="138905DE">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0-22分</w:t>
            </w:r>
          </w:p>
        </w:tc>
      </w:tr>
      <w:tr w14:paraId="6A65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5B2D57F2">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2C86CA5D">
            <w:pPr>
              <w:widowControl/>
              <w:ind w:right="-86" w:rightChars="-41"/>
              <w:jc w:val="center"/>
              <w:rPr>
                <w:rFonts w:ascii="宋体" w:hAnsi="宋体" w:eastAsia="宋体" w:cs="宋体"/>
                <w:color w:val="auto"/>
                <w:szCs w:val="21"/>
              </w:rPr>
            </w:pPr>
            <w:r>
              <w:rPr>
                <w:rFonts w:hint="eastAsia" w:ascii="宋体" w:hAnsi="宋体" w:eastAsia="宋体" w:cs="宋体"/>
                <w:color w:val="auto"/>
                <w:szCs w:val="21"/>
              </w:rPr>
              <w:t>水闸鉴定</w:t>
            </w:r>
            <w:r>
              <w:rPr>
                <w:rFonts w:hint="eastAsia" w:ascii="宋体" w:hAnsi="宋体" w:eastAsia="宋体" w:cs="宋体"/>
                <w:color w:val="auto"/>
                <w:kern w:val="0"/>
                <w:szCs w:val="21"/>
                <w:lang w:bidi="ar"/>
              </w:rPr>
              <w:t>实施方案</w:t>
            </w:r>
          </w:p>
        </w:tc>
        <w:tc>
          <w:tcPr>
            <w:tcW w:w="2943" w:type="pct"/>
            <w:tcBorders>
              <w:top w:val="single" w:color="auto" w:sz="4" w:space="0"/>
              <w:left w:val="single" w:color="auto" w:sz="4" w:space="0"/>
              <w:bottom w:val="single" w:color="auto" w:sz="4" w:space="0"/>
              <w:right w:val="single" w:color="auto" w:sz="4" w:space="0"/>
            </w:tcBorders>
            <w:vAlign w:val="center"/>
          </w:tcPr>
          <w:p w14:paraId="55D95AC6">
            <w:pPr>
              <w:jc w:val="left"/>
              <w:rPr>
                <w:rFonts w:ascii="宋体" w:hAnsi="宋体" w:eastAsia="宋体" w:cs="宋体"/>
                <w:color w:val="auto"/>
                <w:szCs w:val="21"/>
              </w:rPr>
            </w:pPr>
            <w:r>
              <w:rPr>
                <w:rFonts w:hint="eastAsia" w:ascii="宋体" w:hAnsi="宋体" w:eastAsia="宋体" w:cs="宋体"/>
                <w:color w:val="auto"/>
                <w:szCs w:val="21"/>
              </w:rPr>
              <w:t>评审小组根据供应商提供的实施方案中鉴定依据是否全面、鉴定方法是否详细，鉴定程序是否合理，鉴定成果内部审核是否严格、鉴定制度等相关内容进行综合评审：</w:t>
            </w:r>
          </w:p>
          <w:p w14:paraId="1B35AFA0">
            <w:pPr>
              <w:jc w:val="left"/>
              <w:rPr>
                <w:rFonts w:ascii="宋体" w:hAnsi="宋体" w:eastAsia="宋体" w:cs="宋体"/>
                <w:color w:val="auto"/>
                <w:szCs w:val="21"/>
              </w:rPr>
            </w:pPr>
            <w:r>
              <w:rPr>
                <w:rFonts w:hint="eastAsia" w:ascii="宋体" w:hAnsi="宋体" w:eastAsia="宋体" w:cs="宋体"/>
                <w:color w:val="auto"/>
                <w:szCs w:val="21"/>
              </w:rPr>
              <w:t>（1）计划周密详细、合理科学，实施方案充分满足项目实际需要的得5分；</w:t>
            </w:r>
          </w:p>
          <w:p w14:paraId="5FEABECB">
            <w:pPr>
              <w:jc w:val="left"/>
              <w:rPr>
                <w:rFonts w:ascii="宋体" w:hAnsi="宋体" w:eastAsia="宋体" w:cs="宋体"/>
                <w:color w:val="auto"/>
                <w:szCs w:val="21"/>
              </w:rPr>
            </w:pPr>
            <w:r>
              <w:rPr>
                <w:rFonts w:hint="eastAsia" w:ascii="宋体" w:hAnsi="宋体" w:eastAsia="宋体" w:cs="宋体"/>
                <w:color w:val="auto"/>
                <w:szCs w:val="21"/>
              </w:rPr>
              <w:t>（2）计划较详细、较合理，实施方案满足项目实际需要的得3分；</w:t>
            </w:r>
          </w:p>
          <w:p w14:paraId="28E398B8">
            <w:pPr>
              <w:jc w:val="left"/>
              <w:rPr>
                <w:rFonts w:ascii="宋体" w:hAnsi="宋体" w:eastAsia="宋体" w:cs="宋体"/>
                <w:color w:val="auto"/>
                <w:szCs w:val="21"/>
              </w:rPr>
            </w:pPr>
            <w:r>
              <w:rPr>
                <w:rFonts w:hint="eastAsia" w:ascii="宋体" w:hAnsi="宋体" w:eastAsia="宋体" w:cs="宋体"/>
                <w:color w:val="auto"/>
                <w:szCs w:val="21"/>
              </w:rPr>
              <w:t>（3）计划详细性、合理性一般，实施方案勉强满足项目实际需要的得1分；</w:t>
            </w:r>
          </w:p>
          <w:p w14:paraId="7237915D">
            <w:pPr>
              <w:jc w:val="left"/>
              <w:rPr>
                <w:rFonts w:ascii="宋体" w:hAnsi="宋体" w:eastAsia="宋体" w:cs="宋体"/>
                <w:color w:val="auto"/>
                <w:szCs w:val="21"/>
              </w:rPr>
            </w:pPr>
            <w:r>
              <w:rPr>
                <w:rFonts w:hint="eastAsia" w:ascii="宋体" w:hAnsi="宋体" w:eastAsia="宋体" w:cs="宋体"/>
                <w:color w:val="auto"/>
                <w:szCs w:val="21"/>
              </w:rPr>
              <w:t>（4）与项目实际需要偏差较大或未提供的不得分。</w:t>
            </w:r>
          </w:p>
        </w:tc>
        <w:tc>
          <w:tcPr>
            <w:tcW w:w="706" w:type="pct"/>
            <w:tcBorders>
              <w:top w:val="single" w:color="auto" w:sz="4" w:space="0"/>
              <w:left w:val="single" w:color="auto" w:sz="4" w:space="0"/>
              <w:bottom w:val="single" w:color="auto" w:sz="4" w:space="0"/>
              <w:right w:val="single" w:color="auto" w:sz="4" w:space="0"/>
            </w:tcBorders>
            <w:vAlign w:val="center"/>
          </w:tcPr>
          <w:p w14:paraId="24225908">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1F4E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50CEEFFA">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1DF668D7">
            <w:pPr>
              <w:widowControl/>
              <w:ind w:right="-86" w:rightChars="-41"/>
              <w:jc w:val="center"/>
              <w:rPr>
                <w:rFonts w:ascii="宋体" w:hAnsi="宋体" w:eastAsia="宋体" w:cs="宋体"/>
                <w:color w:val="auto"/>
                <w:szCs w:val="21"/>
              </w:rPr>
            </w:pPr>
            <w:r>
              <w:rPr>
                <w:rFonts w:hint="eastAsia" w:ascii="宋体" w:hAnsi="宋体" w:eastAsia="宋体" w:cs="宋体"/>
                <w:color w:val="auto"/>
                <w:kern w:val="0"/>
                <w:szCs w:val="21"/>
                <w:lang w:bidi="ar"/>
              </w:rPr>
              <w:t>服务承诺</w:t>
            </w:r>
          </w:p>
        </w:tc>
        <w:tc>
          <w:tcPr>
            <w:tcW w:w="2943" w:type="pct"/>
            <w:tcBorders>
              <w:top w:val="single" w:color="auto" w:sz="4" w:space="0"/>
              <w:left w:val="single" w:color="auto" w:sz="4" w:space="0"/>
              <w:bottom w:val="single" w:color="auto" w:sz="4" w:space="0"/>
              <w:right w:val="single" w:color="auto" w:sz="4" w:space="0"/>
            </w:tcBorders>
            <w:vAlign w:val="center"/>
          </w:tcPr>
          <w:p w14:paraId="5CDC9844">
            <w:pPr>
              <w:jc w:val="left"/>
              <w:rPr>
                <w:rFonts w:ascii="宋体" w:hAnsi="宋体" w:eastAsia="宋体" w:cs="宋体"/>
                <w:color w:val="auto"/>
                <w:szCs w:val="21"/>
              </w:rPr>
            </w:pPr>
            <w:r>
              <w:rPr>
                <w:rFonts w:hint="eastAsia" w:ascii="宋体" w:hAnsi="宋体" w:eastAsia="宋体" w:cs="宋体"/>
                <w:color w:val="auto"/>
                <w:szCs w:val="21"/>
              </w:rPr>
              <w:t>评审小组根据供应商对本项目的报告评审、技术支持及其他有利于采购人的服务等做出的承诺进行综合评审：</w:t>
            </w:r>
          </w:p>
          <w:p w14:paraId="6E31CA5D">
            <w:pPr>
              <w:jc w:val="left"/>
              <w:rPr>
                <w:rFonts w:ascii="宋体" w:hAnsi="宋体" w:eastAsia="宋体" w:cs="宋体"/>
                <w:color w:val="auto"/>
                <w:szCs w:val="21"/>
              </w:rPr>
            </w:pPr>
            <w:r>
              <w:rPr>
                <w:rFonts w:hint="eastAsia" w:ascii="宋体" w:hAnsi="宋体" w:eastAsia="宋体" w:cs="宋体"/>
                <w:color w:val="auto"/>
                <w:szCs w:val="21"/>
              </w:rPr>
              <w:t>（1）服务承诺充分满足项目实际需要的得5分；</w:t>
            </w:r>
          </w:p>
          <w:p w14:paraId="7AED02FA">
            <w:pPr>
              <w:jc w:val="left"/>
              <w:rPr>
                <w:rFonts w:ascii="宋体" w:hAnsi="宋体" w:eastAsia="宋体" w:cs="宋体"/>
                <w:color w:val="auto"/>
                <w:szCs w:val="21"/>
              </w:rPr>
            </w:pPr>
            <w:r>
              <w:rPr>
                <w:rFonts w:hint="eastAsia" w:ascii="宋体" w:hAnsi="宋体" w:eastAsia="宋体" w:cs="宋体"/>
                <w:color w:val="auto"/>
                <w:szCs w:val="21"/>
              </w:rPr>
              <w:t>（2）服务承诺满足项目实际需要的得3分；</w:t>
            </w:r>
          </w:p>
          <w:p w14:paraId="4C295B1F">
            <w:pPr>
              <w:jc w:val="left"/>
              <w:rPr>
                <w:rFonts w:ascii="宋体" w:hAnsi="宋体" w:eastAsia="宋体" w:cs="宋体"/>
                <w:color w:val="auto"/>
                <w:szCs w:val="21"/>
              </w:rPr>
            </w:pPr>
            <w:r>
              <w:rPr>
                <w:rFonts w:hint="eastAsia" w:ascii="宋体" w:hAnsi="宋体" w:eastAsia="宋体" w:cs="宋体"/>
                <w:color w:val="auto"/>
                <w:szCs w:val="21"/>
              </w:rPr>
              <w:t>（3）服务承诺勉强满足项目实际需要的得1分；</w:t>
            </w:r>
          </w:p>
          <w:p w14:paraId="21537186">
            <w:pPr>
              <w:jc w:val="left"/>
              <w:rPr>
                <w:rFonts w:ascii="宋体" w:hAnsi="宋体" w:eastAsia="宋体" w:cs="宋体"/>
                <w:color w:val="auto"/>
                <w:szCs w:val="21"/>
              </w:rPr>
            </w:pPr>
            <w:r>
              <w:rPr>
                <w:rFonts w:hint="eastAsia" w:ascii="宋体" w:hAnsi="宋体" w:eastAsia="宋体" w:cs="宋体"/>
                <w:color w:val="auto"/>
                <w:szCs w:val="21"/>
              </w:rPr>
              <w:t>（4）未提供的不得分。</w:t>
            </w:r>
          </w:p>
        </w:tc>
        <w:tc>
          <w:tcPr>
            <w:tcW w:w="706" w:type="pct"/>
            <w:tcBorders>
              <w:top w:val="single" w:color="auto" w:sz="4" w:space="0"/>
              <w:left w:val="single" w:color="auto" w:sz="4" w:space="0"/>
              <w:bottom w:val="single" w:color="auto" w:sz="4" w:space="0"/>
              <w:right w:val="single" w:color="auto" w:sz="4" w:space="0"/>
            </w:tcBorders>
            <w:vAlign w:val="center"/>
          </w:tcPr>
          <w:p w14:paraId="35E7BD45">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01DB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10DAE7C2">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59821250">
            <w:pPr>
              <w:jc w:val="center"/>
              <w:rPr>
                <w:rFonts w:ascii="宋体" w:hAnsi="宋体" w:eastAsia="宋体" w:cs="宋体"/>
                <w:color w:val="auto"/>
                <w:szCs w:val="21"/>
              </w:rPr>
            </w:pPr>
            <w:r>
              <w:rPr>
                <w:rFonts w:hint="eastAsia" w:ascii="宋体" w:hAnsi="宋体" w:eastAsia="宋体" w:cs="宋体"/>
                <w:color w:val="auto"/>
                <w:szCs w:val="21"/>
              </w:rPr>
              <w:t>水闸鉴定计划</w:t>
            </w:r>
          </w:p>
        </w:tc>
        <w:tc>
          <w:tcPr>
            <w:tcW w:w="2943" w:type="pct"/>
            <w:tcBorders>
              <w:top w:val="single" w:color="auto" w:sz="4" w:space="0"/>
              <w:left w:val="single" w:color="auto" w:sz="4" w:space="0"/>
              <w:bottom w:val="single" w:color="auto" w:sz="4" w:space="0"/>
              <w:right w:val="single" w:color="auto" w:sz="4" w:space="0"/>
            </w:tcBorders>
            <w:vAlign w:val="center"/>
          </w:tcPr>
          <w:p w14:paraId="6DB8BF87">
            <w:pPr>
              <w:widowControl/>
              <w:jc w:val="left"/>
              <w:rPr>
                <w:rFonts w:ascii="宋体" w:hAnsi="宋体" w:eastAsia="宋体" w:cs="宋体"/>
                <w:color w:val="auto"/>
                <w:kern w:val="0"/>
                <w:szCs w:val="21"/>
                <w:lang w:bidi="ar"/>
              </w:rPr>
            </w:pPr>
            <w:r>
              <w:rPr>
                <w:rFonts w:hint="eastAsia" w:ascii="宋体" w:hAnsi="宋体" w:eastAsia="宋体" w:cs="宋体"/>
                <w:color w:val="auto"/>
                <w:szCs w:val="21"/>
              </w:rPr>
              <w:t>评审小组</w:t>
            </w:r>
            <w:r>
              <w:rPr>
                <w:rFonts w:hint="eastAsia" w:ascii="宋体" w:hAnsi="宋体" w:eastAsia="宋体" w:cs="宋体"/>
                <w:color w:val="auto"/>
                <w:kern w:val="0"/>
                <w:szCs w:val="21"/>
                <w:lang w:bidi="ar"/>
              </w:rPr>
              <w:t>根据</w:t>
            </w:r>
            <w:r>
              <w:rPr>
                <w:rFonts w:hint="eastAsia" w:ascii="宋体" w:hAnsi="宋体" w:eastAsia="宋体" w:cs="宋体"/>
                <w:color w:val="auto"/>
                <w:szCs w:val="21"/>
              </w:rPr>
              <w:t>供应商提供的</w:t>
            </w:r>
            <w:r>
              <w:rPr>
                <w:rFonts w:hint="eastAsia" w:ascii="宋体" w:hAnsi="宋体" w:eastAsia="宋体" w:cs="宋体"/>
                <w:color w:val="auto"/>
                <w:kern w:val="0"/>
                <w:szCs w:val="21"/>
                <w:lang w:bidi="ar"/>
              </w:rPr>
              <w:t>鉴定计划是否合理、及时、满足鉴定进度要求进行评审：</w:t>
            </w:r>
          </w:p>
          <w:p w14:paraId="14A08A3A">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（1）科学合理、计划及时，</w:t>
            </w:r>
            <w:r>
              <w:rPr>
                <w:rFonts w:hint="eastAsia" w:ascii="宋体" w:hAnsi="宋体" w:eastAsia="宋体" w:cs="宋体"/>
                <w:color w:val="auto"/>
                <w:szCs w:val="21"/>
              </w:rPr>
              <w:t>充分</w:t>
            </w:r>
            <w:r>
              <w:rPr>
                <w:rFonts w:hint="eastAsia" w:ascii="宋体" w:hAnsi="宋体" w:eastAsia="宋体" w:cs="宋体"/>
                <w:color w:val="auto"/>
                <w:kern w:val="0"/>
                <w:szCs w:val="21"/>
                <w:lang w:bidi="ar"/>
              </w:rPr>
              <w:t>满足</w:t>
            </w:r>
            <w:r>
              <w:rPr>
                <w:rFonts w:hint="eastAsia" w:ascii="宋体" w:hAnsi="宋体" w:eastAsia="宋体" w:cs="宋体"/>
                <w:color w:val="auto"/>
                <w:szCs w:val="21"/>
              </w:rPr>
              <w:t>项目</w:t>
            </w:r>
            <w:r>
              <w:rPr>
                <w:rFonts w:hint="eastAsia" w:ascii="宋体" w:hAnsi="宋体" w:eastAsia="宋体" w:cs="宋体"/>
                <w:color w:val="auto"/>
                <w:kern w:val="0"/>
                <w:szCs w:val="21"/>
                <w:lang w:bidi="ar"/>
              </w:rPr>
              <w:t>鉴定进度要求</w:t>
            </w:r>
            <w:r>
              <w:rPr>
                <w:rFonts w:hint="eastAsia" w:ascii="宋体" w:hAnsi="宋体" w:eastAsia="宋体" w:cs="宋体"/>
                <w:color w:val="auto"/>
                <w:szCs w:val="21"/>
              </w:rPr>
              <w:t>的</w:t>
            </w:r>
            <w:r>
              <w:rPr>
                <w:rFonts w:hint="eastAsia" w:ascii="宋体" w:hAnsi="宋体" w:eastAsia="宋体" w:cs="宋体"/>
                <w:color w:val="auto"/>
                <w:kern w:val="0"/>
                <w:szCs w:val="21"/>
                <w:lang w:bidi="ar"/>
              </w:rPr>
              <w:t>得5分；</w:t>
            </w:r>
          </w:p>
          <w:p w14:paraId="24284A06">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（2）较科学合理、计划较及时，</w:t>
            </w:r>
            <w:r>
              <w:rPr>
                <w:rFonts w:hint="eastAsia" w:ascii="宋体" w:hAnsi="宋体" w:eastAsia="宋体" w:cs="宋体"/>
                <w:color w:val="auto"/>
                <w:szCs w:val="21"/>
              </w:rPr>
              <w:t>满足项目</w:t>
            </w:r>
            <w:r>
              <w:rPr>
                <w:rFonts w:hint="eastAsia" w:ascii="宋体" w:hAnsi="宋体" w:eastAsia="宋体" w:cs="宋体"/>
                <w:color w:val="auto"/>
                <w:kern w:val="0"/>
                <w:szCs w:val="21"/>
                <w:lang w:bidi="ar"/>
              </w:rPr>
              <w:t>鉴定进度要求</w:t>
            </w:r>
            <w:r>
              <w:rPr>
                <w:rFonts w:hint="eastAsia" w:ascii="宋体" w:hAnsi="宋体" w:eastAsia="宋体" w:cs="宋体"/>
                <w:color w:val="auto"/>
                <w:szCs w:val="21"/>
              </w:rPr>
              <w:t>的</w:t>
            </w:r>
            <w:r>
              <w:rPr>
                <w:rFonts w:hint="eastAsia" w:ascii="宋体" w:hAnsi="宋体" w:eastAsia="宋体" w:cs="宋体"/>
                <w:color w:val="auto"/>
                <w:kern w:val="0"/>
                <w:szCs w:val="21"/>
                <w:lang w:bidi="ar"/>
              </w:rPr>
              <w:t>得3分；</w:t>
            </w:r>
          </w:p>
          <w:p w14:paraId="4E7F8068">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（3）合理性、及时性一般，</w:t>
            </w:r>
            <w:r>
              <w:rPr>
                <w:rFonts w:hint="eastAsia" w:ascii="宋体" w:hAnsi="宋体" w:eastAsia="宋体" w:cs="宋体"/>
                <w:color w:val="auto"/>
                <w:szCs w:val="21"/>
              </w:rPr>
              <w:t>勉强</w:t>
            </w:r>
            <w:r>
              <w:rPr>
                <w:rFonts w:hint="eastAsia" w:ascii="宋体" w:hAnsi="宋体" w:eastAsia="宋体" w:cs="宋体"/>
                <w:color w:val="auto"/>
                <w:kern w:val="0"/>
                <w:szCs w:val="21"/>
                <w:lang w:bidi="ar"/>
              </w:rPr>
              <w:t>满足</w:t>
            </w:r>
            <w:r>
              <w:rPr>
                <w:rFonts w:hint="eastAsia" w:ascii="宋体" w:hAnsi="宋体" w:eastAsia="宋体" w:cs="宋体"/>
                <w:color w:val="auto"/>
                <w:szCs w:val="21"/>
              </w:rPr>
              <w:t>项目</w:t>
            </w:r>
            <w:r>
              <w:rPr>
                <w:rFonts w:hint="eastAsia" w:ascii="宋体" w:hAnsi="宋体" w:eastAsia="宋体" w:cs="宋体"/>
                <w:color w:val="auto"/>
                <w:kern w:val="0"/>
                <w:szCs w:val="21"/>
                <w:lang w:bidi="ar"/>
              </w:rPr>
              <w:t>鉴定进度要求</w:t>
            </w:r>
            <w:r>
              <w:rPr>
                <w:rFonts w:hint="eastAsia" w:ascii="宋体" w:hAnsi="宋体" w:eastAsia="宋体" w:cs="宋体"/>
                <w:color w:val="auto"/>
                <w:szCs w:val="21"/>
              </w:rPr>
              <w:t>的</w:t>
            </w:r>
            <w:r>
              <w:rPr>
                <w:rFonts w:hint="eastAsia" w:ascii="宋体" w:hAnsi="宋体" w:eastAsia="宋体" w:cs="宋体"/>
                <w:color w:val="auto"/>
                <w:kern w:val="0"/>
                <w:szCs w:val="21"/>
                <w:lang w:bidi="ar"/>
              </w:rPr>
              <w:t>得1分；</w:t>
            </w:r>
          </w:p>
          <w:p w14:paraId="57706941">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（4）</w:t>
            </w:r>
            <w:r>
              <w:rPr>
                <w:rFonts w:hint="eastAsia" w:ascii="宋体" w:hAnsi="宋体" w:eastAsia="宋体" w:cs="宋体"/>
                <w:color w:val="auto"/>
                <w:szCs w:val="21"/>
              </w:rPr>
              <w:t>与项目实际需要偏差较大或</w:t>
            </w:r>
            <w:r>
              <w:rPr>
                <w:rFonts w:hint="eastAsia" w:ascii="宋体" w:hAnsi="宋体" w:eastAsia="宋体" w:cs="宋体"/>
                <w:color w:val="auto"/>
                <w:kern w:val="0"/>
                <w:szCs w:val="21"/>
                <w:lang w:bidi="ar"/>
              </w:rPr>
              <w:t>未提供的不得分。</w:t>
            </w:r>
          </w:p>
        </w:tc>
        <w:tc>
          <w:tcPr>
            <w:tcW w:w="706" w:type="pct"/>
            <w:tcBorders>
              <w:top w:val="single" w:color="auto" w:sz="4" w:space="0"/>
              <w:left w:val="single" w:color="auto" w:sz="4" w:space="0"/>
              <w:bottom w:val="single" w:color="auto" w:sz="4" w:space="0"/>
              <w:right w:val="single" w:color="auto" w:sz="4" w:space="0"/>
            </w:tcBorders>
            <w:vAlign w:val="center"/>
          </w:tcPr>
          <w:p w14:paraId="2754CE06">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4C8A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1ED99C68">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560186F5">
            <w:pPr>
              <w:widowControl/>
              <w:jc w:val="center"/>
              <w:rPr>
                <w:rFonts w:ascii="宋体" w:hAnsi="宋体" w:eastAsia="宋体" w:cs="宋体"/>
                <w:color w:val="auto"/>
                <w:szCs w:val="21"/>
              </w:rPr>
            </w:pPr>
            <w:r>
              <w:rPr>
                <w:rFonts w:hint="eastAsia" w:ascii="宋体" w:hAnsi="宋体" w:eastAsia="宋体" w:cs="宋体"/>
                <w:color w:val="auto"/>
                <w:kern w:val="0"/>
                <w:szCs w:val="21"/>
                <w:lang w:bidi="ar"/>
              </w:rPr>
              <w:t>现场服务（质量、安全、文明）保障措施</w:t>
            </w:r>
          </w:p>
          <w:p w14:paraId="6A3D4FA0">
            <w:pPr>
              <w:widowControl/>
              <w:adjustRightInd w:val="0"/>
              <w:snapToGrid w:val="0"/>
              <w:jc w:val="center"/>
              <w:rPr>
                <w:rFonts w:ascii="宋体" w:hAnsi="宋体" w:eastAsia="宋体" w:cs="宋体"/>
                <w:color w:val="auto"/>
                <w:szCs w:val="21"/>
              </w:rPr>
            </w:pPr>
          </w:p>
        </w:tc>
        <w:tc>
          <w:tcPr>
            <w:tcW w:w="2943" w:type="pct"/>
            <w:tcBorders>
              <w:top w:val="single" w:color="auto" w:sz="4" w:space="0"/>
              <w:left w:val="single" w:color="auto" w:sz="4" w:space="0"/>
              <w:bottom w:val="single" w:color="auto" w:sz="4" w:space="0"/>
              <w:right w:val="single" w:color="auto" w:sz="4" w:space="0"/>
            </w:tcBorders>
            <w:vAlign w:val="center"/>
          </w:tcPr>
          <w:p w14:paraId="5CCCAF8C">
            <w:pPr>
              <w:widowControl/>
              <w:jc w:val="left"/>
              <w:rPr>
                <w:rFonts w:ascii="宋体" w:hAnsi="宋体" w:eastAsia="宋体" w:cs="宋体"/>
                <w:color w:val="auto"/>
                <w:kern w:val="0"/>
                <w:szCs w:val="21"/>
                <w:lang w:bidi="ar"/>
              </w:rPr>
            </w:pPr>
            <w:r>
              <w:rPr>
                <w:rFonts w:hint="eastAsia" w:ascii="宋体" w:hAnsi="宋体" w:eastAsia="宋体" w:cs="宋体"/>
                <w:color w:val="auto"/>
                <w:szCs w:val="21"/>
              </w:rPr>
              <w:t>评审小组</w:t>
            </w:r>
            <w:r>
              <w:rPr>
                <w:rFonts w:hint="eastAsia" w:ascii="宋体" w:hAnsi="宋体" w:eastAsia="宋体" w:cs="宋体"/>
                <w:color w:val="auto"/>
                <w:kern w:val="0"/>
                <w:szCs w:val="21"/>
                <w:lang w:bidi="ar"/>
              </w:rPr>
              <w:t>根据</w:t>
            </w:r>
            <w:r>
              <w:rPr>
                <w:rFonts w:hint="eastAsia" w:ascii="宋体" w:hAnsi="宋体" w:eastAsia="宋体" w:cs="宋体"/>
                <w:color w:val="auto"/>
                <w:szCs w:val="21"/>
              </w:rPr>
              <w:t>供应商提供的</w:t>
            </w:r>
            <w:r>
              <w:rPr>
                <w:rFonts w:hint="eastAsia" w:ascii="宋体" w:hAnsi="宋体" w:eastAsia="宋体" w:cs="宋体"/>
                <w:color w:val="auto"/>
                <w:kern w:val="0"/>
                <w:szCs w:val="21"/>
                <w:lang w:bidi="ar"/>
              </w:rPr>
              <w:t>鉴定期间的安全、质量保证措施以及针对文明鉴定提出相关方案及措施；</w:t>
            </w:r>
          </w:p>
          <w:p w14:paraId="4DFEABB6">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（1）详细，贴切实际，合理，</w:t>
            </w:r>
            <w:r>
              <w:rPr>
                <w:rFonts w:hint="eastAsia" w:ascii="宋体" w:hAnsi="宋体" w:eastAsia="宋体" w:cs="宋体"/>
                <w:color w:val="auto"/>
                <w:szCs w:val="21"/>
              </w:rPr>
              <w:t>充分满足项目服务需求的</w:t>
            </w:r>
            <w:r>
              <w:rPr>
                <w:rFonts w:hint="eastAsia" w:ascii="宋体" w:hAnsi="宋体" w:eastAsia="宋体" w:cs="宋体"/>
                <w:color w:val="auto"/>
                <w:kern w:val="0"/>
                <w:szCs w:val="21"/>
                <w:lang w:bidi="ar"/>
              </w:rPr>
              <w:t>得5分；</w:t>
            </w:r>
          </w:p>
          <w:p w14:paraId="431F8753">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（2）较详细，较贴切实际，较合理，</w:t>
            </w:r>
            <w:r>
              <w:rPr>
                <w:rFonts w:hint="eastAsia" w:ascii="宋体" w:hAnsi="宋体" w:eastAsia="宋体" w:cs="宋体"/>
                <w:color w:val="auto"/>
                <w:szCs w:val="21"/>
              </w:rPr>
              <w:t>满足项目服务需求的</w:t>
            </w:r>
            <w:r>
              <w:rPr>
                <w:rFonts w:hint="eastAsia" w:ascii="宋体" w:hAnsi="宋体" w:eastAsia="宋体" w:cs="宋体"/>
                <w:color w:val="auto"/>
                <w:kern w:val="0"/>
                <w:szCs w:val="21"/>
                <w:lang w:bidi="ar"/>
              </w:rPr>
              <w:t>得3分；</w:t>
            </w:r>
          </w:p>
          <w:p w14:paraId="72E00B38">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（3）详细性、合理性一般，勉强</w:t>
            </w:r>
            <w:r>
              <w:rPr>
                <w:rFonts w:hint="eastAsia" w:ascii="宋体" w:hAnsi="宋体" w:eastAsia="宋体" w:cs="宋体"/>
                <w:color w:val="auto"/>
                <w:szCs w:val="21"/>
              </w:rPr>
              <w:t>满足项目服务需求的</w:t>
            </w:r>
            <w:r>
              <w:rPr>
                <w:rFonts w:hint="eastAsia" w:ascii="宋体" w:hAnsi="宋体" w:eastAsia="宋体" w:cs="宋体"/>
                <w:color w:val="auto"/>
                <w:kern w:val="0"/>
                <w:szCs w:val="21"/>
                <w:lang w:bidi="ar"/>
              </w:rPr>
              <w:t>得1分；</w:t>
            </w:r>
          </w:p>
          <w:p w14:paraId="328293BB">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（4）</w:t>
            </w:r>
            <w:r>
              <w:rPr>
                <w:rFonts w:hint="eastAsia" w:ascii="宋体" w:hAnsi="宋体" w:eastAsia="宋体" w:cs="宋体"/>
                <w:color w:val="auto"/>
                <w:szCs w:val="21"/>
              </w:rPr>
              <w:t>与项目实际需要偏差较大或</w:t>
            </w:r>
            <w:r>
              <w:rPr>
                <w:rFonts w:hint="eastAsia" w:ascii="宋体" w:hAnsi="宋体" w:eastAsia="宋体" w:cs="宋体"/>
                <w:color w:val="auto"/>
                <w:kern w:val="0"/>
                <w:szCs w:val="21"/>
                <w:lang w:bidi="ar"/>
              </w:rPr>
              <w:t xml:space="preserve">未提供的不得分。 </w:t>
            </w:r>
          </w:p>
        </w:tc>
        <w:tc>
          <w:tcPr>
            <w:tcW w:w="706" w:type="pct"/>
            <w:tcBorders>
              <w:top w:val="single" w:color="auto" w:sz="4" w:space="0"/>
              <w:left w:val="single" w:color="auto" w:sz="4" w:space="0"/>
              <w:bottom w:val="single" w:color="auto" w:sz="4" w:space="0"/>
              <w:right w:val="single" w:color="auto" w:sz="4" w:space="0"/>
            </w:tcBorders>
            <w:vAlign w:val="center"/>
          </w:tcPr>
          <w:p w14:paraId="270A266A">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18EF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584B0D0B">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1EA4B369">
            <w:pPr>
              <w:widowControl/>
              <w:jc w:val="center"/>
              <w:rPr>
                <w:rFonts w:ascii="宋体" w:hAnsi="宋体" w:eastAsia="宋体" w:cs="宋体"/>
                <w:color w:val="auto"/>
                <w:szCs w:val="21"/>
              </w:rPr>
            </w:pPr>
            <w:r>
              <w:rPr>
                <w:rFonts w:hint="eastAsia" w:ascii="宋体" w:hAnsi="宋体" w:eastAsia="宋体" w:cs="宋体"/>
                <w:color w:val="auto"/>
                <w:kern w:val="0"/>
                <w:szCs w:val="21"/>
                <w:lang w:bidi="ar"/>
              </w:rPr>
              <w:t>水下专项检测方案</w:t>
            </w:r>
          </w:p>
        </w:tc>
        <w:tc>
          <w:tcPr>
            <w:tcW w:w="2943" w:type="pct"/>
            <w:tcBorders>
              <w:top w:val="single" w:color="auto" w:sz="4" w:space="0"/>
              <w:left w:val="single" w:color="auto" w:sz="4" w:space="0"/>
              <w:bottom w:val="single" w:color="auto" w:sz="4" w:space="0"/>
              <w:right w:val="single" w:color="auto" w:sz="4" w:space="0"/>
            </w:tcBorders>
            <w:vAlign w:val="center"/>
          </w:tcPr>
          <w:p w14:paraId="71A3DE4C">
            <w:pPr>
              <w:widowControl/>
              <w:jc w:val="left"/>
              <w:rPr>
                <w:rFonts w:ascii="宋体" w:hAnsi="宋体" w:eastAsia="宋体" w:cs="宋体"/>
                <w:color w:val="auto"/>
                <w:kern w:val="0"/>
                <w:szCs w:val="21"/>
                <w:lang w:bidi="ar"/>
              </w:rPr>
            </w:pPr>
            <w:r>
              <w:rPr>
                <w:rFonts w:hint="eastAsia" w:ascii="宋体" w:hAnsi="宋体" w:eastAsia="宋体" w:cs="宋体"/>
                <w:color w:val="auto"/>
                <w:szCs w:val="21"/>
              </w:rPr>
              <w:t>评审小组</w:t>
            </w:r>
            <w:r>
              <w:rPr>
                <w:rFonts w:hint="eastAsia" w:ascii="宋体" w:hAnsi="宋体" w:eastAsia="宋体" w:cs="宋体"/>
                <w:color w:val="auto"/>
                <w:kern w:val="0"/>
                <w:szCs w:val="21"/>
                <w:lang w:bidi="ar"/>
              </w:rPr>
              <w:t>根据</w:t>
            </w:r>
            <w:r>
              <w:rPr>
                <w:rFonts w:hint="eastAsia" w:ascii="宋体" w:hAnsi="宋体" w:eastAsia="宋体" w:cs="宋体"/>
                <w:color w:val="auto"/>
                <w:szCs w:val="21"/>
              </w:rPr>
              <w:t>供应商提供的</w:t>
            </w:r>
            <w:r>
              <w:rPr>
                <w:rFonts w:hint="eastAsia" w:ascii="宋体" w:hAnsi="宋体" w:eastAsia="宋体" w:cs="宋体"/>
                <w:color w:val="auto"/>
                <w:kern w:val="0"/>
                <w:szCs w:val="21"/>
                <w:lang w:bidi="ar"/>
              </w:rPr>
              <w:t>水下专项检测方案进行评分：</w:t>
            </w:r>
          </w:p>
          <w:p w14:paraId="4CC093EE">
            <w:pPr>
              <w:jc w:val="left"/>
              <w:rPr>
                <w:rFonts w:ascii="宋体" w:hAnsi="宋体" w:eastAsia="宋体" w:cs="宋体"/>
                <w:color w:val="auto"/>
                <w:szCs w:val="21"/>
              </w:rPr>
            </w:pPr>
            <w:r>
              <w:rPr>
                <w:rFonts w:hint="eastAsia" w:ascii="宋体" w:hAnsi="宋体" w:eastAsia="宋体" w:cs="宋体"/>
                <w:color w:val="auto"/>
                <w:szCs w:val="21"/>
              </w:rPr>
              <w:t>（1）计划周密详细、合理科学，专项</w:t>
            </w:r>
            <w:r>
              <w:rPr>
                <w:rFonts w:hint="eastAsia" w:ascii="宋体" w:hAnsi="宋体" w:eastAsia="宋体" w:cs="宋体"/>
                <w:color w:val="auto"/>
                <w:kern w:val="0"/>
                <w:szCs w:val="21"/>
                <w:lang w:bidi="ar"/>
              </w:rPr>
              <w:t>检测</w:t>
            </w:r>
            <w:r>
              <w:rPr>
                <w:rFonts w:hint="eastAsia" w:ascii="宋体" w:hAnsi="宋体" w:eastAsia="宋体" w:cs="宋体"/>
                <w:color w:val="auto"/>
                <w:szCs w:val="21"/>
              </w:rPr>
              <w:t>方案充分满足项目实际需要的得5分；</w:t>
            </w:r>
          </w:p>
          <w:p w14:paraId="2086E80B">
            <w:pPr>
              <w:jc w:val="left"/>
              <w:rPr>
                <w:rFonts w:ascii="宋体" w:hAnsi="宋体" w:eastAsia="宋体" w:cs="宋体"/>
                <w:color w:val="auto"/>
                <w:szCs w:val="21"/>
              </w:rPr>
            </w:pPr>
            <w:r>
              <w:rPr>
                <w:rFonts w:hint="eastAsia" w:ascii="宋体" w:hAnsi="宋体" w:eastAsia="宋体" w:cs="宋体"/>
                <w:color w:val="auto"/>
                <w:szCs w:val="21"/>
              </w:rPr>
              <w:t>（2）计划较详细、较合理，专项检测方案满足项目实际需要的得3分；</w:t>
            </w:r>
          </w:p>
          <w:p w14:paraId="6609D410">
            <w:pPr>
              <w:jc w:val="left"/>
              <w:rPr>
                <w:rFonts w:ascii="宋体" w:hAnsi="宋体" w:eastAsia="宋体" w:cs="宋体"/>
                <w:color w:val="auto"/>
                <w:szCs w:val="21"/>
              </w:rPr>
            </w:pPr>
            <w:r>
              <w:rPr>
                <w:rFonts w:hint="eastAsia" w:ascii="宋体" w:hAnsi="宋体" w:eastAsia="宋体" w:cs="宋体"/>
                <w:color w:val="auto"/>
                <w:szCs w:val="21"/>
              </w:rPr>
              <w:t>（3）计划详细性、合理性一般，专项检测方案勉强满足项目实际需要的得1分；</w:t>
            </w:r>
          </w:p>
          <w:p w14:paraId="3C7B9BC8">
            <w:pPr>
              <w:widowControl/>
              <w:jc w:val="left"/>
              <w:rPr>
                <w:rFonts w:ascii="宋体" w:hAnsi="宋体" w:eastAsia="宋体" w:cs="宋体"/>
                <w:color w:val="auto"/>
                <w:szCs w:val="21"/>
              </w:rPr>
            </w:pPr>
            <w:r>
              <w:rPr>
                <w:rFonts w:hint="eastAsia" w:ascii="宋体" w:hAnsi="宋体" w:eastAsia="宋体" w:cs="宋体"/>
                <w:color w:val="auto"/>
                <w:szCs w:val="21"/>
              </w:rPr>
              <w:t>（4）与项目实际需要偏差较大或未提供的不得分。</w:t>
            </w:r>
          </w:p>
        </w:tc>
        <w:tc>
          <w:tcPr>
            <w:tcW w:w="706" w:type="pct"/>
            <w:tcBorders>
              <w:top w:val="single" w:color="auto" w:sz="4" w:space="0"/>
              <w:left w:val="single" w:color="auto" w:sz="4" w:space="0"/>
              <w:bottom w:val="single" w:color="auto" w:sz="4" w:space="0"/>
              <w:right w:val="single" w:color="auto" w:sz="4" w:space="0"/>
            </w:tcBorders>
            <w:vAlign w:val="center"/>
          </w:tcPr>
          <w:p w14:paraId="456D5357">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694C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3B33284B">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1BB0230B">
            <w:pPr>
              <w:widowControl/>
              <w:jc w:val="center"/>
              <w:rPr>
                <w:rFonts w:ascii="宋体" w:hAnsi="宋体" w:eastAsia="宋体" w:cs="宋体"/>
                <w:color w:val="auto"/>
                <w:szCs w:val="21"/>
              </w:rPr>
            </w:pPr>
            <w:r>
              <w:rPr>
                <w:rFonts w:hint="eastAsia" w:ascii="宋体" w:hAnsi="宋体" w:eastAsia="宋体" w:cs="宋体"/>
                <w:color w:val="auto"/>
                <w:kern w:val="0"/>
                <w:szCs w:val="21"/>
                <w:lang w:bidi="ar"/>
              </w:rPr>
              <w:t>设备配备</w:t>
            </w:r>
          </w:p>
        </w:tc>
        <w:tc>
          <w:tcPr>
            <w:tcW w:w="2943" w:type="pct"/>
            <w:tcBorders>
              <w:top w:val="single" w:color="auto" w:sz="4" w:space="0"/>
              <w:left w:val="single" w:color="auto" w:sz="4" w:space="0"/>
              <w:bottom w:val="single" w:color="auto" w:sz="4" w:space="0"/>
              <w:right w:val="single" w:color="auto" w:sz="4" w:space="0"/>
            </w:tcBorders>
            <w:vAlign w:val="center"/>
          </w:tcPr>
          <w:p w14:paraId="7C84B1CA">
            <w:pPr>
              <w:widowControl/>
              <w:jc w:val="left"/>
              <w:rPr>
                <w:rFonts w:ascii="宋体" w:hAnsi="宋体" w:eastAsia="宋体" w:cs="宋体"/>
                <w:color w:val="auto"/>
                <w:kern w:val="0"/>
                <w:szCs w:val="21"/>
                <w:lang w:bidi="ar"/>
              </w:rPr>
            </w:pPr>
            <w:r>
              <w:rPr>
                <w:rFonts w:hint="eastAsia" w:ascii="宋体" w:hAnsi="宋体" w:eastAsia="宋体" w:cs="宋体"/>
                <w:color w:val="auto"/>
                <w:szCs w:val="21"/>
              </w:rPr>
              <w:t>评审小组</w:t>
            </w:r>
            <w:r>
              <w:rPr>
                <w:rFonts w:hint="eastAsia" w:ascii="宋体" w:hAnsi="宋体" w:eastAsia="宋体" w:cs="宋体"/>
                <w:color w:val="auto"/>
                <w:kern w:val="0"/>
                <w:szCs w:val="21"/>
                <w:lang w:bidi="ar"/>
              </w:rPr>
              <w:t>根据供应商为本项目拟配备的鉴定设备是否科学合理，设备齐全进行综合评审：</w:t>
            </w:r>
          </w:p>
          <w:p w14:paraId="1B70B414">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（1）科学合理，设备齐全，</w:t>
            </w:r>
            <w:r>
              <w:rPr>
                <w:rFonts w:hint="eastAsia" w:ascii="宋体" w:hAnsi="宋体" w:eastAsia="宋体" w:cs="宋体"/>
                <w:color w:val="auto"/>
                <w:szCs w:val="21"/>
              </w:rPr>
              <w:t>充分满足项目设备要求的</w:t>
            </w:r>
            <w:r>
              <w:rPr>
                <w:rFonts w:hint="eastAsia" w:ascii="宋体" w:hAnsi="宋体" w:eastAsia="宋体" w:cs="宋体"/>
                <w:color w:val="auto"/>
                <w:kern w:val="0"/>
                <w:szCs w:val="21"/>
                <w:lang w:bidi="ar"/>
              </w:rPr>
              <w:t>得5分；</w:t>
            </w:r>
          </w:p>
          <w:p w14:paraId="2CC13F06">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（2）基本科学合理，设备较齐全，</w:t>
            </w:r>
            <w:r>
              <w:rPr>
                <w:rFonts w:hint="eastAsia" w:ascii="宋体" w:hAnsi="宋体" w:eastAsia="宋体" w:cs="宋体"/>
                <w:color w:val="auto"/>
                <w:szCs w:val="21"/>
              </w:rPr>
              <w:t>满足项目设备要求的</w:t>
            </w:r>
            <w:r>
              <w:rPr>
                <w:rFonts w:hint="eastAsia" w:ascii="宋体" w:hAnsi="宋体" w:eastAsia="宋体" w:cs="宋体"/>
                <w:color w:val="auto"/>
                <w:kern w:val="0"/>
                <w:szCs w:val="21"/>
                <w:lang w:bidi="ar"/>
              </w:rPr>
              <w:t>得3 分；</w:t>
            </w:r>
          </w:p>
          <w:p w14:paraId="59C8AD3D">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（3）科学合理性一般，设备一般，勉强</w:t>
            </w:r>
            <w:r>
              <w:rPr>
                <w:rFonts w:hint="eastAsia" w:ascii="宋体" w:hAnsi="宋体" w:eastAsia="宋体" w:cs="宋体"/>
                <w:color w:val="auto"/>
                <w:szCs w:val="21"/>
              </w:rPr>
              <w:t>满足项目设备要求的</w:t>
            </w:r>
            <w:r>
              <w:rPr>
                <w:rFonts w:hint="eastAsia" w:ascii="宋体" w:hAnsi="宋体" w:eastAsia="宋体" w:cs="宋体"/>
                <w:color w:val="auto"/>
                <w:kern w:val="0"/>
                <w:szCs w:val="21"/>
                <w:lang w:bidi="ar"/>
              </w:rPr>
              <w:t>得1分；</w:t>
            </w:r>
          </w:p>
          <w:p w14:paraId="63DD8A21">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（4）</w:t>
            </w:r>
            <w:r>
              <w:rPr>
                <w:rFonts w:hint="eastAsia" w:ascii="宋体" w:hAnsi="宋体" w:eastAsia="宋体" w:cs="宋体"/>
                <w:color w:val="auto"/>
                <w:szCs w:val="21"/>
              </w:rPr>
              <w:t>与项目实际需要偏差较大或</w:t>
            </w:r>
            <w:r>
              <w:rPr>
                <w:rFonts w:hint="eastAsia" w:ascii="宋体" w:hAnsi="宋体" w:eastAsia="宋体" w:cs="宋体"/>
                <w:color w:val="auto"/>
                <w:kern w:val="0"/>
                <w:szCs w:val="21"/>
                <w:lang w:bidi="ar"/>
              </w:rPr>
              <w:t xml:space="preserve">未提供的不得分。 </w:t>
            </w:r>
          </w:p>
        </w:tc>
        <w:tc>
          <w:tcPr>
            <w:tcW w:w="706" w:type="pct"/>
            <w:tcBorders>
              <w:top w:val="single" w:color="auto" w:sz="4" w:space="0"/>
              <w:left w:val="single" w:color="auto" w:sz="4" w:space="0"/>
              <w:bottom w:val="single" w:color="auto" w:sz="4" w:space="0"/>
              <w:right w:val="single" w:color="auto" w:sz="4" w:space="0"/>
            </w:tcBorders>
            <w:vAlign w:val="center"/>
          </w:tcPr>
          <w:p w14:paraId="4516F3CB">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08BB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single" w:color="auto" w:sz="4" w:space="0"/>
              <w:right w:val="single" w:color="auto" w:sz="4" w:space="0"/>
            </w:tcBorders>
            <w:vAlign w:val="center"/>
          </w:tcPr>
          <w:p w14:paraId="6D72F6AF">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285C9457">
            <w:pPr>
              <w:widowControl/>
              <w:jc w:val="center"/>
              <w:rPr>
                <w:rFonts w:ascii="宋体" w:hAnsi="宋体" w:eastAsia="宋体" w:cs="宋体"/>
                <w:color w:val="auto"/>
                <w:szCs w:val="21"/>
              </w:rPr>
            </w:pPr>
            <w:r>
              <w:rPr>
                <w:rFonts w:hint="eastAsia" w:ascii="宋体" w:hAnsi="宋体" w:eastAsia="宋体" w:cs="宋体"/>
                <w:color w:val="auto"/>
                <w:kern w:val="0"/>
                <w:szCs w:val="21"/>
                <w:lang w:bidi="ar"/>
              </w:rPr>
              <w:t>重难点分析及解决措施</w:t>
            </w:r>
          </w:p>
        </w:tc>
        <w:tc>
          <w:tcPr>
            <w:tcW w:w="2943" w:type="pct"/>
            <w:tcBorders>
              <w:top w:val="single" w:color="auto" w:sz="4" w:space="0"/>
              <w:left w:val="single" w:color="auto" w:sz="4" w:space="0"/>
              <w:bottom w:val="single" w:color="auto" w:sz="4" w:space="0"/>
              <w:right w:val="single" w:color="auto" w:sz="4" w:space="0"/>
            </w:tcBorders>
            <w:vAlign w:val="center"/>
          </w:tcPr>
          <w:p w14:paraId="0A76728A">
            <w:pPr>
              <w:widowControl/>
              <w:jc w:val="left"/>
              <w:rPr>
                <w:rFonts w:ascii="宋体" w:hAnsi="宋体" w:eastAsia="宋体" w:cs="宋体"/>
                <w:color w:val="auto"/>
                <w:kern w:val="0"/>
                <w:szCs w:val="21"/>
                <w:lang w:bidi="ar"/>
              </w:rPr>
            </w:pPr>
            <w:r>
              <w:rPr>
                <w:rFonts w:hint="eastAsia" w:ascii="宋体" w:hAnsi="宋体" w:eastAsia="宋体" w:cs="宋体"/>
                <w:color w:val="auto"/>
                <w:szCs w:val="21"/>
              </w:rPr>
              <w:t>评审小组</w:t>
            </w:r>
            <w:r>
              <w:rPr>
                <w:rFonts w:hint="eastAsia" w:ascii="宋体" w:hAnsi="宋体" w:eastAsia="宋体" w:cs="宋体"/>
                <w:color w:val="auto"/>
                <w:kern w:val="0"/>
                <w:szCs w:val="21"/>
                <w:lang w:bidi="ar"/>
              </w:rPr>
              <w:t>根据供应商对项目研究过程中重点、难点及关键过程分析等方面进行综合评审：</w:t>
            </w:r>
          </w:p>
          <w:p w14:paraId="62FA1BF8">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（1）重点、难点及关键过程分析全面、解决措施得当的得5分；</w:t>
            </w:r>
          </w:p>
          <w:p w14:paraId="223D7580">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（2）重点、难点及关键过程分析较全面，解决措施一般的得3分；</w:t>
            </w:r>
          </w:p>
          <w:p w14:paraId="7388730B">
            <w:pPr>
              <w:widowControl/>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（3）重点、难点及关键过程分析有一定偏差但偏差程度较小的，无法解决的得1分；</w:t>
            </w:r>
          </w:p>
          <w:p w14:paraId="696D6182">
            <w:pPr>
              <w:widowControl/>
              <w:jc w:val="left"/>
              <w:rPr>
                <w:rFonts w:ascii="宋体" w:hAnsi="宋体" w:eastAsia="宋体" w:cs="宋体"/>
                <w:color w:val="auto"/>
                <w:szCs w:val="21"/>
              </w:rPr>
            </w:pPr>
            <w:r>
              <w:rPr>
                <w:rFonts w:hint="eastAsia" w:ascii="宋体" w:hAnsi="宋体" w:eastAsia="宋体" w:cs="宋体"/>
                <w:color w:val="auto"/>
                <w:kern w:val="0"/>
                <w:szCs w:val="21"/>
                <w:lang w:bidi="ar"/>
              </w:rPr>
              <w:t>（4）</w:t>
            </w:r>
            <w:r>
              <w:rPr>
                <w:rFonts w:hint="eastAsia" w:ascii="宋体" w:hAnsi="宋体" w:eastAsia="宋体" w:cs="宋体"/>
                <w:color w:val="auto"/>
                <w:szCs w:val="21"/>
              </w:rPr>
              <w:t>与项目实际需要偏差较大或</w:t>
            </w:r>
            <w:r>
              <w:rPr>
                <w:rFonts w:hint="eastAsia" w:ascii="宋体" w:hAnsi="宋体" w:eastAsia="宋体" w:cs="宋体"/>
                <w:color w:val="auto"/>
                <w:kern w:val="0"/>
                <w:szCs w:val="21"/>
                <w:lang w:bidi="ar"/>
              </w:rPr>
              <w:t>未提供此项内容的不得分。</w:t>
            </w:r>
          </w:p>
        </w:tc>
        <w:tc>
          <w:tcPr>
            <w:tcW w:w="706" w:type="pct"/>
            <w:tcBorders>
              <w:top w:val="single" w:color="auto" w:sz="4" w:space="0"/>
              <w:left w:val="single" w:color="auto" w:sz="4" w:space="0"/>
              <w:bottom w:val="single" w:color="auto" w:sz="4" w:space="0"/>
              <w:right w:val="single" w:color="auto" w:sz="4" w:space="0"/>
            </w:tcBorders>
            <w:vAlign w:val="center"/>
          </w:tcPr>
          <w:p w14:paraId="761B0493">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26E9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528" w:type="pct"/>
            <w:vMerge w:val="continue"/>
            <w:tcBorders>
              <w:left w:val="single" w:color="auto" w:sz="4" w:space="0"/>
              <w:right w:val="single" w:color="auto" w:sz="4" w:space="0"/>
            </w:tcBorders>
            <w:vAlign w:val="center"/>
          </w:tcPr>
          <w:p w14:paraId="68C80782">
            <w:pPr>
              <w:spacing w:line="360" w:lineRule="auto"/>
              <w:ind w:firstLine="435"/>
              <w:jc w:val="center"/>
              <w:rPr>
                <w:rFonts w:ascii="宋体" w:hAnsi="宋体" w:eastAsia="宋体" w:cs="宋体"/>
                <w:b/>
                <w:bCs/>
                <w:color w:val="auto"/>
                <w:szCs w:val="21"/>
              </w:rPr>
            </w:pPr>
          </w:p>
        </w:tc>
        <w:tc>
          <w:tcPr>
            <w:tcW w:w="820" w:type="pct"/>
            <w:tcBorders>
              <w:top w:val="single" w:color="auto" w:sz="4" w:space="0"/>
              <w:left w:val="single" w:color="auto" w:sz="4" w:space="0"/>
              <w:bottom w:val="single" w:color="auto" w:sz="4" w:space="0"/>
              <w:right w:val="single" w:color="auto" w:sz="4" w:space="0"/>
            </w:tcBorders>
            <w:vAlign w:val="center"/>
          </w:tcPr>
          <w:p w14:paraId="40587DC7">
            <w:pPr>
              <w:widowControl/>
              <w:jc w:val="center"/>
              <w:rPr>
                <w:rFonts w:ascii="宋体" w:hAnsi="宋体" w:eastAsia="宋体" w:cs="宋体"/>
                <w:color w:val="auto"/>
                <w:szCs w:val="21"/>
              </w:rPr>
            </w:pPr>
            <w:r>
              <w:rPr>
                <w:rFonts w:hint="eastAsia" w:ascii="宋体" w:hAnsi="宋体" w:eastAsia="宋体" w:cs="宋体"/>
                <w:color w:val="auto"/>
                <w:kern w:val="0"/>
                <w:szCs w:val="21"/>
                <w:lang w:bidi="ar"/>
              </w:rPr>
              <w:t>进度计划和合同履行期限保证措施</w:t>
            </w:r>
          </w:p>
        </w:tc>
        <w:tc>
          <w:tcPr>
            <w:tcW w:w="2943" w:type="pct"/>
            <w:tcBorders>
              <w:top w:val="single" w:color="auto" w:sz="4" w:space="0"/>
              <w:left w:val="single" w:color="auto" w:sz="4" w:space="0"/>
              <w:bottom w:val="single" w:color="auto" w:sz="4" w:space="0"/>
              <w:right w:val="single" w:color="auto" w:sz="4" w:space="0"/>
            </w:tcBorders>
            <w:vAlign w:val="center"/>
          </w:tcPr>
          <w:p w14:paraId="42304788">
            <w:pPr>
              <w:widowControl/>
              <w:jc w:val="left"/>
              <w:rPr>
                <w:rFonts w:ascii="宋体" w:hAnsi="宋体" w:eastAsia="宋体" w:cs="宋体"/>
                <w:color w:val="auto"/>
                <w:kern w:val="0"/>
                <w:szCs w:val="21"/>
                <w:lang w:bidi="ar"/>
              </w:rPr>
            </w:pPr>
            <w:r>
              <w:rPr>
                <w:rFonts w:hint="eastAsia" w:ascii="宋体" w:hAnsi="宋体" w:eastAsia="宋体" w:cs="宋体"/>
                <w:color w:val="auto"/>
                <w:szCs w:val="21"/>
              </w:rPr>
              <w:t>评审小组</w:t>
            </w:r>
            <w:r>
              <w:rPr>
                <w:rFonts w:hint="eastAsia" w:ascii="宋体" w:hAnsi="宋体" w:eastAsia="宋体" w:cs="宋体"/>
                <w:color w:val="auto"/>
                <w:kern w:val="0"/>
                <w:szCs w:val="21"/>
                <w:lang w:bidi="ar"/>
              </w:rPr>
              <w:t>根据供应商对项目进度提供的计划方案、合同履行期限的提供保证措施进行综合评分：</w:t>
            </w:r>
          </w:p>
          <w:p w14:paraId="110A5F99">
            <w:pPr>
              <w:widowControl/>
              <w:numPr>
                <w:ilvl w:val="0"/>
                <w:numId w:val="2"/>
              </w:numPr>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计划方案完善有效，进度控制合理，合同履行期限充分满足项目要求的得5分；</w:t>
            </w:r>
          </w:p>
          <w:p w14:paraId="0527EA4F">
            <w:pPr>
              <w:widowControl/>
              <w:numPr>
                <w:ilvl w:val="0"/>
                <w:numId w:val="2"/>
              </w:numPr>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计划方案完善比较有效，进度控制比较合理，合同履行期限满足项目要求的得3分；</w:t>
            </w:r>
          </w:p>
          <w:p w14:paraId="22194184">
            <w:pPr>
              <w:widowControl/>
              <w:numPr>
                <w:ilvl w:val="0"/>
                <w:numId w:val="2"/>
              </w:numPr>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计划方案和进度控制一般，合同履行期限勉强满足项目要求的得1分。</w:t>
            </w:r>
          </w:p>
          <w:p w14:paraId="395415BA">
            <w:pPr>
              <w:widowControl/>
              <w:numPr>
                <w:ilvl w:val="0"/>
                <w:numId w:val="2"/>
              </w:numPr>
              <w:jc w:val="left"/>
              <w:rPr>
                <w:rFonts w:ascii="宋体" w:hAnsi="宋体" w:eastAsia="宋体" w:cs="宋体"/>
                <w:color w:val="auto"/>
                <w:szCs w:val="21"/>
              </w:rPr>
            </w:pPr>
            <w:r>
              <w:rPr>
                <w:rFonts w:hint="eastAsia" w:ascii="宋体" w:hAnsi="宋体" w:eastAsia="宋体" w:cs="宋体"/>
                <w:color w:val="auto"/>
                <w:kern w:val="0"/>
                <w:szCs w:val="21"/>
                <w:lang w:bidi="ar"/>
              </w:rPr>
              <w:t>未提供此项内容的不得分。</w:t>
            </w:r>
          </w:p>
        </w:tc>
        <w:tc>
          <w:tcPr>
            <w:tcW w:w="706" w:type="pct"/>
            <w:tcBorders>
              <w:top w:val="single" w:color="auto" w:sz="4" w:space="0"/>
              <w:left w:val="single" w:color="auto" w:sz="4" w:space="0"/>
              <w:bottom w:val="single" w:color="auto" w:sz="4" w:space="0"/>
              <w:right w:val="single" w:color="auto" w:sz="4" w:space="0"/>
            </w:tcBorders>
            <w:vAlign w:val="center"/>
          </w:tcPr>
          <w:p w14:paraId="6D031DBB">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0-5分</w:t>
            </w:r>
          </w:p>
        </w:tc>
      </w:tr>
      <w:tr w14:paraId="10B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tcBorders>
              <w:left w:val="single" w:color="auto" w:sz="4" w:space="0"/>
              <w:right w:val="single" w:color="auto" w:sz="4" w:space="0"/>
            </w:tcBorders>
            <w:vAlign w:val="center"/>
          </w:tcPr>
          <w:p w14:paraId="5FA70746">
            <w:pPr>
              <w:spacing w:line="360" w:lineRule="auto"/>
              <w:jc w:val="center"/>
              <w:rPr>
                <w:rFonts w:ascii="宋体" w:hAnsi="宋体" w:eastAsia="宋体" w:cs="宋体"/>
                <w:color w:val="auto"/>
                <w:szCs w:val="21"/>
              </w:rPr>
            </w:pPr>
            <w:r>
              <w:rPr>
                <w:rFonts w:hint="eastAsia" w:ascii="宋体" w:hAnsi="宋体" w:eastAsia="宋体" w:cs="宋体"/>
                <w:color w:val="auto"/>
                <w:szCs w:val="21"/>
              </w:rPr>
              <w:t>价格分</w:t>
            </w:r>
          </w:p>
          <w:p w14:paraId="5EE1679B">
            <w:pPr>
              <w:spacing w:line="360" w:lineRule="auto"/>
              <w:jc w:val="center"/>
              <w:rPr>
                <w:rFonts w:ascii="宋体" w:hAnsi="宋体" w:eastAsia="宋体" w:cs="宋体"/>
                <w:b/>
                <w:bCs/>
                <w:color w:val="auto"/>
                <w:szCs w:val="21"/>
              </w:rPr>
            </w:pPr>
            <w:r>
              <w:rPr>
                <w:rFonts w:hint="eastAsia" w:ascii="宋体" w:hAnsi="宋体" w:eastAsia="宋体" w:cs="宋体"/>
                <w:color w:val="auto"/>
                <w:szCs w:val="21"/>
              </w:rPr>
              <w:t>（</w:t>
            </w:r>
            <w:r>
              <w:rPr>
                <w:rFonts w:hint="eastAsia" w:ascii="宋体" w:hAnsi="宋体" w:eastAsia="宋体" w:cs="宋体"/>
                <w:color w:val="auto"/>
                <w:szCs w:val="21"/>
                <w:u w:val="single"/>
              </w:rPr>
              <w:t>10</w:t>
            </w:r>
            <w:r>
              <w:rPr>
                <w:rFonts w:hint="eastAsia" w:ascii="宋体" w:hAnsi="宋体" w:eastAsia="宋体" w:cs="宋体"/>
                <w:color w:val="auto"/>
                <w:szCs w:val="21"/>
              </w:rPr>
              <w:t>分）</w:t>
            </w:r>
          </w:p>
        </w:tc>
        <w:tc>
          <w:tcPr>
            <w:tcW w:w="4471" w:type="pct"/>
            <w:gridSpan w:val="3"/>
            <w:tcBorders>
              <w:top w:val="single" w:color="auto" w:sz="4" w:space="0"/>
              <w:left w:val="single" w:color="auto" w:sz="4" w:space="0"/>
              <w:bottom w:val="single" w:color="auto" w:sz="4" w:space="0"/>
              <w:right w:val="single" w:color="auto" w:sz="4" w:space="0"/>
            </w:tcBorders>
            <w:vAlign w:val="center"/>
          </w:tcPr>
          <w:p w14:paraId="69B75835">
            <w:pPr>
              <w:spacing w:line="360" w:lineRule="auto"/>
              <w:rPr>
                <w:rFonts w:ascii="宋体" w:hAnsi="宋体" w:eastAsia="宋体" w:cs="宋体"/>
                <w:color w:val="auto"/>
                <w:szCs w:val="21"/>
              </w:rPr>
            </w:pPr>
            <w:r>
              <w:rPr>
                <w:rFonts w:hint="eastAsia" w:ascii="宋体" w:hAnsi="宋体" w:eastAsia="宋体" w:cs="宋体"/>
                <w:color w:val="auto"/>
                <w:szCs w:val="21"/>
              </w:rPr>
              <w:t>价格分统一采用低价优先法，即满足磋商文件要求且最后报价最低的供应商的价格为磋商基准价，其价格分为满分</w:t>
            </w:r>
            <w:r>
              <w:rPr>
                <w:rFonts w:hint="eastAsia" w:ascii="宋体" w:hAnsi="宋体" w:eastAsia="宋体" w:cs="宋体"/>
                <w:color w:val="auto"/>
                <w:szCs w:val="21"/>
                <w:u w:val="single"/>
              </w:rPr>
              <w:t>10</w:t>
            </w:r>
            <w:r>
              <w:rPr>
                <w:rFonts w:hint="eastAsia" w:ascii="宋体" w:hAnsi="宋体" w:eastAsia="宋体" w:cs="宋体"/>
                <w:color w:val="auto"/>
                <w:szCs w:val="21"/>
              </w:rPr>
              <w:t>分。其他供应商的价格分统一按照下列公式计算：</w:t>
            </w:r>
          </w:p>
          <w:p w14:paraId="081C5369">
            <w:pPr>
              <w:spacing w:line="360" w:lineRule="auto"/>
              <w:rPr>
                <w:rFonts w:ascii="宋体" w:hAnsi="宋体" w:eastAsia="宋体" w:cs="宋体"/>
                <w:b/>
                <w:bCs/>
                <w:color w:val="auto"/>
                <w:szCs w:val="21"/>
              </w:rPr>
            </w:pPr>
            <w:r>
              <w:rPr>
                <w:rFonts w:hint="eastAsia" w:ascii="宋体" w:hAnsi="宋体" w:eastAsia="宋体" w:cs="宋体"/>
                <w:color w:val="auto"/>
                <w:szCs w:val="21"/>
              </w:rPr>
              <w:t>磋商报价得分＝（磋商基准价/最后磋商报价）×</w:t>
            </w:r>
            <w:r>
              <w:rPr>
                <w:rFonts w:hint="eastAsia" w:ascii="宋体" w:hAnsi="宋体" w:eastAsia="宋体" w:cs="宋体"/>
                <w:color w:val="auto"/>
                <w:szCs w:val="21"/>
                <w:u w:val="single"/>
              </w:rPr>
              <w:t>10</w:t>
            </w:r>
            <w:r>
              <w:rPr>
                <w:rFonts w:hint="eastAsia" w:ascii="宋体" w:hAnsi="宋体" w:eastAsia="宋体" w:cs="宋体"/>
                <w:color w:val="auto"/>
                <w:szCs w:val="21"/>
              </w:rPr>
              <w:t>％×100</w:t>
            </w:r>
          </w:p>
        </w:tc>
      </w:tr>
    </w:tbl>
    <w:p w14:paraId="6AB4072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分值汇总</w:t>
      </w:r>
    </w:p>
    <w:p w14:paraId="266EB53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67A64E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2）将每个供应商的技术资信分加上根据上述标准计算出的价格分，即为该供应商的综合总得分。</w:t>
      </w:r>
    </w:p>
    <w:p w14:paraId="3ADDFF35">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5D07549">
      <w:pPr>
        <w:spacing w:line="360" w:lineRule="auto"/>
        <w:jc w:val="center"/>
        <w:outlineLvl w:val="0"/>
        <w:rPr>
          <w:rFonts w:asciiTheme="minorEastAsia" w:hAnsiTheme="minorEastAsia" w:eastAsiaTheme="minorEastAsia"/>
          <w:b/>
          <w:color w:val="auto"/>
          <w:sz w:val="28"/>
        </w:rPr>
      </w:pPr>
      <w:bookmarkStart w:id="81" w:name="_Toc63440929"/>
      <w:bookmarkStart w:id="82" w:name="_Toc17167"/>
      <w:r>
        <w:rPr>
          <w:rFonts w:hint="eastAsia" w:asciiTheme="minorEastAsia" w:hAnsiTheme="minorEastAsia" w:eastAsiaTheme="minorEastAsia"/>
          <w:b/>
          <w:color w:val="auto"/>
          <w:sz w:val="28"/>
        </w:rPr>
        <w:t xml:space="preserve">第五章  </w:t>
      </w:r>
      <w:r>
        <w:rPr>
          <w:rFonts w:asciiTheme="minorEastAsia" w:hAnsiTheme="minorEastAsia" w:eastAsiaTheme="minorEastAsia"/>
          <w:b/>
          <w:color w:val="auto"/>
          <w:sz w:val="28"/>
        </w:rPr>
        <w:t>政府采购合同</w:t>
      </w:r>
      <w:bookmarkEnd w:id="81"/>
      <w:bookmarkEnd w:id="82"/>
    </w:p>
    <w:p w14:paraId="1E4A1BF2">
      <w:pPr>
        <w:spacing w:line="480" w:lineRule="auto"/>
        <w:jc w:val="center"/>
        <w:rPr>
          <w:rFonts w:ascii="宋体" w:hAnsi="宋体" w:eastAsia="宋体"/>
          <w:b/>
          <w:color w:val="auto"/>
          <w:sz w:val="24"/>
        </w:rPr>
      </w:pPr>
    </w:p>
    <w:p w14:paraId="35BC683A">
      <w:pPr>
        <w:spacing w:line="360" w:lineRule="auto"/>
        <w:jc w:val="center"/>
        <w:outlineLvl w:val="1"/>
        <w:rPr>
          <w:rFonts w:ascii="宋体" w:hAnsi="宋体" w:eastAsia="宋体"/>
          <w:b/>
          <w:color w:val="auto"/>
          <w:sz w:val="24"/>
        </w:rPr>
      </w:pPr>
      <w:bookmarkStart w:id="83" w:name="_Toc30604"/>
      <w:r>
        <w:rPr>
          <w:rFonts w:hint="eastAsia" w:ascii="宋体" w:hAnsi="宋体" w:eastAsia="宋体"/>
          <w:b/>
          <w:color w:val="auto"/>
          <w:sz w:val="24"/>
        </w:rPr>
        <w:t>第一部分 合同书</w:t>
      </w:r>
      <w:bookmarkEnd w:id="83"/>
    </w:p>
    <w:p w14:paraId="6541D62B">
      <w:pPr>
        <w:spacing w:line="480" w:lineRule="auto"/>
        <w:jc w:val="center"/>
        <w:rPr>
          <w:rFonts w:ascii="宋体" w:hAnsi="宋体" w:eastAsia="宋体"/>
          <w:b/>
          <w:color w:val="auto"/>
          <w:sz w:val="24"/>
        </w:rPr>
      </w:pPr>
    </w:p>
    <w:p w14:paraId="172D2CA2">
      <w:pPr>
        <w:spacing w:line="480" w:lineRule="auto"/>
        <w:jc w:val="center"/>
        <w:rPr>
          <w:rFonts w:ascii="宋体" w:hAnsi="宋体" w:eastAsia="宋体"/>
          <w:b/>
          <w:color w:val="auto"/>
          <w:sz w:val="24"/>
        </w:rPr>
      </w:pPr>
    </w:p>
    <w:p w14:paraId="5A47D854">
      <w:pPr>
        <w:spacing w:line="480" w:lineRule="auto"/>
        <w:jc w:val="center"/>
        <w:rPr>
          <w:rFonts w:ascii="宋体" w:hAnsi="宋体" w:eastAsia="宋体"/>
          <w:b/>
          <w:color w:val="auto"/>
          <w:sz w:val="24"/>
        </w:rPr>
      </w:pPr>
    </w:p>
    <w:p w14:paraId="1752B254">
      <w:pPr>
        <w:spacing w:before="120" w:line="480" w:lineRule="auto"/>
        <w:ind w:left="960"/>
        <w:rPr>
          <w:rFonts w:ascii="宋体" w:hAnsi="宋体" w:eastAsia="宋体"/>
          <w:color w:val="auto"/>
          <w:sz w:val="24"/>
          <w:u w:val="single"/>
        </w:rPr>
      </w:pPr>
      <w:r>
        <w:rPr>
          <w:rFonts w:hint="eastAsia" w:ascii="宋体" w:hAnsi="宋体" w:eastAsia="宋体"/>
          <w:color w:val="auto"/>
          <w:sz w:val="24"/>
        </w:rPr>
        <w:t>项目名称：</w:t>
      </w:r>
      <w:r>
        <w:rPr>
          <w:rFonts w:hint="eastAsia" w:ascii="宋体" w:hAnsi="宋体" w:eastAsia="宋体"/>
          <w:color w:val="auto"/>
          <w:sz w:val="24"/>
          <w:u w:val="single"/>
        </w:rPr>
        <w:t>省淮河局2025年部分水闸安全鉴定</w:t>
      </w:r>
    </w:p>
    <w:p w14:paraId="508CC8DB">
      <w:pPr>
        <w:spacing w:before="120" w:line="480" w:lineRule="auto"/>
        <w:ind w:left="960"/>
        <w:rPr>
          <w:rFonts w:ascii="宋体" w:hAnsi="宋体" w:eastAsia="宋体"/>
          <w:color w:val="auto"/>
          <w:sz w:val="24"/>
        </w:rPr>
      </w:pPr>
      <w:r>
        <w:rPr>
          <w:rFonts w:hint="eastAsia" w:ascii="宋体" w:hAnsi="宋体" w:eastAsia="宋体"/>
          <w:color w:val="auto"/>
          <w:sz w:val="24"/>
        </w:rPr>
        <w:t>项目编号：</w:t>
      </w:r>
      <w:r>
        <w:rPr>
          <w:rFonts w:hint="eastAsia" w:ascii="宋体" w:hAnsi="宋体" w:eastAsia="宋体"/>
          <w:color w:val="auto"/>
          <w:sz w:val="24"/>
          <w:u w:val="single"/>
        </w:rPr>
        <w:t xml:space="preserve">               </w:t>
      </w:r>
    </w:p>
    <w:p w14:paraId="6E9F5746">
      <w:pPr>
        <w:spacing w:before="120" w:line="480" w:lineRule="auto"/>
        <w:ind w:left="960"/>
        <w:rPr>
          <w:rFonts w:ascii="宋体" w:hAnsi="宋体" w:eastAsia="宋体"/>
          <w:color w:val="auto"/>
          <w:sz w:val="24"/>
          <w:u w:val="single"/>
        </w:rPr>
      </w:pPr>
      <w:r>
        <w:rPr>
          <w:rFonts w:hint="eastAsia" w:ascii="宋体" w:hAnsi="宋体" w:eastAsia="宋体"/>
          <w:color w:val="auto"/>
          <w:sz w:val="24"/>
        </w:rPr>
        <w:t>甲方（采购人）：</w:t>
      </w:r>
      <w:r>
        <w:rPr>
          <w:rFonts w:hint="eastAsia" w:ascii="宋体" w:hAnsi="宋体" w:eastAsia="宋体"/>
          <w:color w:val="auto"/>
          <w:sz w:val="24"/>
          <w:u w:val="single"/>
        </w:rPr>
        <w:t xml:space="preserve">               </w:t>
      </w:r>
    </w:p>
    <w:p w14:paraId="69D1E2A0">
      <w:pPr>
        <w:spacing w:before="120" w:line="480" w:lineRule="auto"/>
        <w:ind w:left="960"/>
        <w:rPr>
          <w:rFonts w:ascii="宋体" w:hAnsi="宋体" w:eastAsia="宋体"/>
          <w:color w:val="auto"/>
          <w:sz w:val="24"/>
          <w:u w:val="single"/>
        </w:rPr>
      </w:pPr>
      <w:r>
        <w:rPr>
          <w:rFonts w:hint="eastAsia" w:ascii="宋体" w:hAnsi="宋体" w:eastAsia="宋体"/>
          <w:color w:val="auto"/>
          <w:sz w:val="24"/>
        </w:rPr>
        <w:t>乙方（成交供应商）：</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2EFF448C">
      <w:pPr>
        <w:spacing w:before="120" w:line="480" w:lineRule="auto"/>
        <w:ind w:firstLine="960" w:firstLineChars="400"/>
        <w:rPr>
          <w:rFonts w:ascii="宋体" w:hAnsi="宋体" w:eastAsia="宋体"/>
          <w:color w:val="auto"/>
          <w:sz w:val="24"/>
          <w:u w:val="single"/>
        </w:rPr>
      </w:pPr>
      <w:r>
        <w:rPr>
          <w:rFonts w:hint="eastAsia" w:ascii="宋体" w:hAnsi="宋体" w:eastAsia="宋体"/>
          <w:color w:val="auto"/>
          <w:sz w:val="24"/>
        </w:rPr>
        <w:t>签订地：</w:t>
      </w:r>
      <w:r>
        <w:rPr>
          <w:rFonts w:hint="eastAsia" w:ascii="宋体" w:hAnsi="宋体" w:eastAsia="宋体"/>
          <w:color w:val="auto"/>
          <w:sz w:val="24"/>
          <w:u w:val="single"/>
        </w:rPr>
        <w:t xml:space="preserve">                                     </w:t>
      </w:r>
    </w:p>
    <w:p w14:paraId="7E4EF4B0">
      <w:pPr>
        <w:spacing w:before="120" w:line="480" w:lineRule="auto"/>
        <w:ind w:firstLine="960" w:firstLineChars="400"/>
        <w:rPr>
          <w:rFonts w:ascii="宋体" w:hAnsi="宋体" w:eastAsia="宋体"/>
          <w:color w:val="auto"/>
          <w:sz w:val="24"/>
        </w:rPr>
      </w:pPr>
      <w:r>
        <w:rPr>
          <w:rFonts w:hint="eastAsia" w:ascii="宋体" w:hAnsi="宋体" w:eastAsia="宋体"/>
          <w:color w:val="auto"/>
          <w:sz w:val="24"/>
        </w:rPr>
        <w:t>签订日期：</w:t>
      </w:r>
      <w:r>
        <w:rPr>
          <w:rFonts w:hint="eastAsia" w:ascii="宋体" w:hAnsi="宋体" w:eastAsia="宋体"/>
          <w:color w:val="auto"/>
          <w:sz w:val="24"/>
          <w:u w:val="single"/>
        </w:rPr>
        <w:t xml:space="preserve">       </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w:t>
      </w:r>
    </w:p>
    <w:p w14:paraId="17A2764B">
      <w:pPr>
        <w:widowControl/>
        <w:jc w:val="left"/>
        <w:rPr>
          <w:rFonts w:ascii="宋体" w:hAnsi="宋体" w:eastAsia="宋体"/>
          <w:color w:val="auto"/>
          <w:sz w:val="24"/>
        </w:rPr>
      </w:pPr>
      <w:r>
        <w:rPr>
          <w:rFonts w:ascii="宋体" w:hAnsi="宋体" w:eastAsia="宋体"/>
          <w:color w:val="auto"/>
          <w:sz w:val="24"/>
        </w:rPr>
        <w:br w:type="page"/>
      </w:r>
    </w:p>
    <w:p w14:paraId="4025DE8A">
      <w:pPr>
        <w:spacing w:line="360" w:lineRule="auto"/>
        <w:ind w:firstLine="435"/>
        <w:rPr>
          <w:rFonts w:ascii="宋体" w:hAnsi="宋体" w:eastAsia="宋体"/>
          <w:color w:val="auto"/>
          <w:sz w:val="24"/>
        </w:rPr>
      </w:pPr>
      <w:r>
        <w:rPr>
          <w:rFonts w:hint="eastAsia" w:ascii="宋体" w:hAnsi="宋体" w:eastAsia="宋体"/>
          <w:color w:val="auto"/>
          <w:sz w:val="24"/>
        </w:rPr>
        <w:t>甲方：</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2469E920">
      <w:pPr>
        <w:spacing w:line="360" w:lineRule="auto"/>
        <w:ind w:firstLine="435"/>
        <w:rPr>
          <w:rFonts w:ascii="宋体" w:hAnsi="宋体" w:eastAsia="宋体"/>
          <w:color w:val="auto"/>
          <w:sz w:val="24"/>
        </w:rPr>
      </w:pPr>
      <w:r>
        <w:rPr>
          <w:rFonts w:hint="eastAsia" w:ascii="宋体" w:hAnsi="宋体" w:eastAsia="宋体"/>
          <w:color w:val="auto"/>
          <w:sz w:val="24"/>
        </w:rPr>
        <w:t>乙方：</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460C4EA1">
      <w:pPr>
        <w:spacing w:line="360" w:lineRule="auto"/>
        <w:ind w:firstLine="435"/>
        <w:rPr>
          <w:rFonts w:ascii="宋体" w:hAnsi="宋体" w:eastAsia="宋体"/>
          <w:color w:val="auto"/>
          <w:sz w:val="24"/>
          <w:lang w:val="zh-CN"/>
        </w:rPr>
      </w:pPr>
      <w:r>
        <w:rPr>
          <w:rFonts w:hint="eastAsia" w:ascii="宋体" w:hAnsi="宋体" w:eastAsia="宋体"/>
          <w:color w:val="auto"/>
          <w:sz w:val="24"/>
        </w:rPr>
        <w:t>根据《中华人民共和国民法典》、《中华人民共和国政府采购法》等相关法律法规之规定，按照平等、自愿、公平和诚实信用的原则，经甲方和乙方协商一致，约定以下合同条款，以兹共同遵守、全面履行。</w:t>
      </w:r>
    </w:p>
    <w:p w14:paraId="259F859F">
      <w:pPr>
        <w:spacing w:line="360" w:lineRule="auto"/>
        <w:ind w:firstLine="437"/>
        <w:outlineLvl w:val="2"/>
        <w:rPr>
          <w:rFonts w:ascii="宋体" w:hAnsi="宋体" w:eastAsia="宋体"/>
          <w:b/>
          <w:bCs/>
          <w:color w:val="auto"/>
          <w:sz w:val="24"/>
          <w:lang w:val="zh-CN"/>
        </w:rPr>
      </w:pPr>
      <w:bookmarkStart w:id="84" w:name="_Toc2232"/>
      <w:bookmarkStart w:id="85" w:name="_Toc3029"/>
      <w:bookmarkStart w:id="86" w:name="_Toc24059"/>
      <w:r>
        <w:rPr>
          <w:rFonts w:hint="eastAsia" w:ascii="宋体" w:hAnsi="宋体" w:eastAsia="宋体"/>
          <w:b/>
          <w:bCs/>
          <w:color w:val="auto"/>
          <w:sz w:val="24"/>
          <w:lang w:val="zh-CN"/>
        </w:rPr>
        <w:t>1.1</w:t>
      </w:r>
      <w:r>
        <w:rPr>
          <w:rFonts w:ascii="宋体" w:hAnsi="宋体" w:eastAsia="宋体"/>
          <w:b/>
          <w:bCs/>
          <w:color w:val="auto"/>
          <w:sz w:val="24"/>
          <w:lang w:val="zh-CN"/>
        </w:rPr>
        <w:t xml:space="preserve"> </w:t>
      </w:r>
      <w:r>
        <w:rPr>
          <w:rFonts w:hint="eastAsia" w:ascii="宋体" w:hAnsi="宋体" w:eastAsia="宋体"/>
          <w:b/>
          <w:bCs/>
          <w:color w:val="auto"/>
          <w:sz w:val="24"/>
          <w:lang w:val="zh-CN"/>
        </w:rPr>
        <w:t>合同组成部分</w:t>
      </w:r>
      <w:bookmarkEnd w:id="84"/>
      <w:bookmarkEnd w:id="85"/>
      <w:bookmarkEnd w:id="86"/>
    </w:p>
    <w:p w14:paraId="0962F179">
      <w:pPr>
        <w:spacing w:line="360" w:lineRule="auto"/>
        <w:ind w:firstLine="435"/>
        <w:rPr>
          <w:rFonts w:ascii="宋体" w:hAnsi="宋体" w:eastAsia="宋体"/>
          <w:color w:val="auto"/>
          <w:sz w:val="24"/>
          <w:lang w:val="zh-CN"/>
        </w:rPr>
      </w:pPr>
      <w:r>
        <w:rPr>
          <w:rFonts w:hint="eastAsia" w:ascii="宋体" w:hAnsi="宋体" w:eastAsia="宋体"/>
          <w:color w:val="auto"/>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0450C22">
      <w:pPr>
        <w:spacing w:line="360" w:lineRule="auto"/>
        <w:ind w:firstLine="435"/>
        <w:rPr>
          <w:rFonts w:ascii="宋体" w:hAnsi="宋体" w:eastAsia="宋体"/>
          <w:color w:val="auto"/>
          <w:sz w:val="24"/>
          <w:lang w:val="zh-CN"/>
        </w:rPr>
      </w:pPr>
      <w:r>
        <w:rPr>
          <w:rFonts w:hint="eastAsia" w:ascii="宋体" w:hAnsi="宋体" w:eastAsia="宋体"/>
          <w:color w:val="auto"/>
          <w:sz w:val="24"/>
          <w:lang w:val="zh-CN"/>
        </w:rPr>
        <w:t>1.1.1本合同及其补充合同、变更协议；</w:t>
      </w:r>
    </w:p>
    <w:p w14:paraId="7BEA1229">
      <w:pPr>
        <w:spacing w:line="360" w:lineRule="auto"/>
        <w:ind w:firstLine="435"/>
        <w:rPr>
          <w:rFonts w:ascii="宋体" w:hAnsi="宋体" w:eastAsia="宋体"/>
          <w:color w:val="auto"/>
          <w:sz w:val="24"/>
          <w:lang w:val="zh-CN"/>
        </w:rPr>
      </w:pPr>
      <w:r>
        <w:rPr>
          <w:rFonts w:hint="eastAsia" w:ascii="宋体" w:hAnsi="宋体" w:eastAsia="宋体"/>
          <w:color w:val="auto"/>
          <w:sz w:val="24"/>
          <w:lang w:val="zh-CN"/>
        </w:rPr>
        <w:t>1.1.2成交通知书；</w:t>
      </w:r>
    </w:p>
    <w:p w14:paraId="344400EB">
      <w:pPr>
        <w:spacing w:line="360" w:lineRule="auto"/>
        <w:ind w:firstLine="435"/>
        <w:rPr>
          <w:rFonts w:ascii="宋体" w:hAnsi="宋体" w:eastAsia="宋体"/>
          <w:color w:val="auto"/>
          <w:sz w:val="24"/>
          <w:lang w:val="zh-CN"/>
        </w:rPr>
      </w:pPr>
      <w:r>
        <w:rPr>
          <w:rFonts w:hint="eastAsia" w:ascii="宋体" w:hAnsi="宋体" w:eastAsia="宋体"/>
          <w:color w:val="auto"/>
          <w:sz w:val="24"/>
          <w:lang w:val="zh-CN"/>
        </w:rPr>
        <w:t>1.1.3响应文件（含澄清或者说明文件）；</w:t>
      </w:r>
    </w:p>
    <w:p w14:paraId="4EE76938">
      <w:pPr>
        <w:spacing w:line="360" w:lineRule="auto"/>
        <w:ind w:firstLine="435"/>
        <w:rPr>
          <w:rFonts w:ascii="宋体" w:hAnsi="宋体" w:eastAsia="宋体"/>
          <w:color w:val="auto"/>
          <w:sz w:val="24"/>
          <w:lang w:val="zh-CN"/>
        </w:rPr>
      </w:pPr>
      <w:r>
        <w:rPr>
          <w:rFonts w:hint="eastAsia" w:ascii="宋体" w:hAnsi="宋体" w:eastAsia="宋体"/>
          <w:color w:val="auto"/>
          <w:sz w:val="24"/>
          <w:lang w:val="zh-CN"/>
        </w:rPr>
        <w:t>1.1.4磋商文件（含澄清或者修改文件）；</w:t>
      </w:r>
    </w:p>
    <w:p w14:paraId="47DAFDFF">
      <w:pPr>
        <w:spacing w:line="360" w:lineRule="auto"/>
        <w:ind w:firstLine="435"/>
        <w:rPr>
          <w:rFonts w:ascii="宋体" w:hAnsi="宋体" w:eastAsia="宋体"/>
          <w:color w:val="auto"/>
          <w:sz w:val="24"/>
          <w:lang w:val="zh-CN"/>
        </w:rPr>
      </w:pPr>
      <w:r>
        <w:rPr>
          <w:rFonts w:hint="eastAsia" w:ascii="宋体" w:hAnsi="宋体" w:eastAsia="宋体"/>
          <w:color w:val="auto"/>
          <w:sz w:val="24"/>
          <w:lang w:val="zh-CN"/>
        </w:rPr>
        <w:t>1.1.5其他相关采购文件。</w:t>
      </w:r>
    </w:p>
    <w:p w14:paraId="46F74073">
      <w:pPr>
        <w:spacing w:line="360" w:lineRule="auto"/>
        <w:ind w:firstLine="437"/>
        <w:outlineLvl w:val="2"/>
        <w:rPr>
          <w:rFonts w:ascii="宋体" w:hAnsi="宋体" w:eastAsia="宋体"/>
          <w:b/>
          <w:bCs/>
          <w:color w:val="auto"/>
          <w:sz w:val="24"/>
          <w:lang w:val="zh-CN"/>
        </w:rPr>
      </w:pPr>
      <w:bookmarkStart w:id="87" w:name="_Toc2918"/>
      <w:bookmarkStart w:id="88" w:name="_Toc6311"/>
      <w:bookmarkStart w:id="89" w:name="_Toc22185"/>
      <w:bookmarkStart w:id="90" w:name="_Toc6773"/>
      <w:bookmarkStart w:id="91" w:name="_Toc18585"/>
      <w:r>
        <w:rPr>
          <w:rFonts w:hint="eastAsia" w:ascii="宋体" w:hAnsi="宋体" w:eastAsia="宋体"/>
          <w:b/>
          <w:bCs/>
          <w:color w:val="auto"/>
          <w:sz w:val="24"/>
          <w:lang w:val="zh-CN"/>
        </w:rPr>
        <w:t xml:space="preserve">1.2 </w:t>
      </w:r>
      <w:bookmarkEnd w:id="87"/>
      <w:bookmarkEnd w:id="88"/>
      <w:bookmarkEnd w:id="89"/>
      <w:bookmarkEnd w:id="90"/>
      <w:bookmarkEnd w:id="91"/>
      <w:r>
        <w:rPr>
          <w:rFonts w:hint="eastAsia" w:ascii="宋体" w:hAnsi="宋体" w:eastAsia="宋体"/>
          <w:b/>
          <w:bCs/>
          <w:color w:val="auto"/>
          <w:sz w:val="24"/>
          <w:lang w:val="zh-CN"/>
        </w:rPr>
        <w:t>服务</w:t>
      </w:r>
    </w:p>
    <w:p w14:paraId="2A78076A">
      <w:pPr>
        <w:spacing w:line="360" w:lineRule="auto"/>
        <w:ind w:firstLine="435"/>
        <w:rPr>
          <w:rFonts w:ascii="宋体" w:hAnsi="宋体" w:eastAsia="宋体"/>
          <w:color w:val="auto"/>
          <w:sz w:val="24"/>
          <w:u w:val="single"/>
        </w:rPr>
      </w:pPr>
      <w:r>
        <w:rPr>
          <w:rFonts w:hint="eastAsia" w:ascii="宋体" w:hAnsi="宋体" w:eastAsia="宋体"/>
          <w:color w:val="auto"/>
          <w:sz w:val="24"/>
        </w:rPr>
        <w:t>1.2.1服务</w:t>
      </w:r>
      <w:r>
        <w:rPr>
          <w:rFonts w:ascii="宋体" w:hAnsi="宋体" w:eastAsia="宋体"/>
          <w:color w:val="auto"/>
          <w:sz w:val="24"/>
        </w:rPr>
        <w:t>名称：</w:t>
      </w:r>
      <w:r>
        <w:rPr>
          <w:rFonts w:hint="eastAsia" w:ascii="宋体" w:hAnsi="宋体" w:eastAsia="宋体"/>
          <w:color w:val="auto"/>
          <w:sz w:val="24"/>
          <w:u w:val="single"/>
        </w:rPr>
        <w:t>省淮河局2025年部分水闸安全鉴定</w:t>
      </w:r>
      <w:r>
        <w:rPr>
          <w:rFonts w:hint="eastAsia" w:ascii="宋体" w:hAnsi="宋体" w:eastAsia="宋体"/>
          <w:color w:val="auto"/>
          <w:sz w:val="24"/>
        </w:rPr>
        <w:t>。</w:t>
      </w:r>
    </w:p>
    <w:p w14:paraId="67D606B4">
      <w:pPr>
        <w:spacing w:line="360" w:lineRule="auto"/>
        <w:ind w:firstLine="435"/>
        <w:rPr>
          <w:rFonts w:ascii="宋体" w:hAnsi="宋体" w:eastAsia="宋体"/>
          <w:color w:val="auto"/>
          <w:sz w:val="24"/>
        </w:rPr>
      </w:pPr>
      <w:r>
        <w:rPr>
          <w:rFonts w:hint="eastAsia" w:ascii="宋体" w:hAnsi="宋体" w:eastAsia="宋体"/>
          <w:color w:val="auto"/>
          <w:sz w:val="24"/>
        </w:rPr>
        <w:t>1.2.2服务内容</w:t>
      </w:r>
      <w:r>
        <w:rPr>
          <w:rFonts w:ascii="宋体" w:hAnsi="宋体" w:eastAsia="宋体"/>
          <w:color w:val="auto"/>
          <w:sz w:val="24"/>
        </w:rPr>
        <w:t>：</w:t>
      </w:r>
    </w:p>
    <w:p w14:paraId="56DE8027">
      <w:pPr>
        <w:spacing w:line="360" w:lineRule="auto"/>
        <w:ind w:firstLine="435"/>
        <w:rPr>
          <w:rFonts w:ascii="宋体" w:hAnsi="宋体" w:eastAsia="宋体"/>
          <w:color w:val="auto"/>
          <w:sz w:val="24"/>
          <w:u w:val="single"/>
        </w:rPr>
      </w:pPr>
      <w:r>
        <w:rPr>
          <w:rFonts w:hint="eastAsia" w:ascii="宋体" w:hAnsi="宋体" w:eastAsia="宋体"/>
          <w:color w:val="auto"/>
          <w:sz w:val="24"/>
          <w:u w:val="single"/>
        </w:rPr>
        <w:t>对颍上闸、五河分洪闸、刘桥闸、新淝闸、城西湖退水闸、姜唐湖退水闸等水闸进行安全鉴定，要求成交供应商编制完成现状调查分析报告、现场安全检测报告、工程复核计算分析报告和水闸安全评价报告，并协助完成安全鉴定相关工作等，具体详见磋商文件。</w:t>
      </w:r>
    </w:p>
    <w:p w14:paraId="0DBC5977">
      <w:pPr>
        <w:spacing w:line="360" w:lineRule="auto"/>
        <w:ind w:firstLine="435"/>
        <w:rPr>
          <w:rFonts w:ascii="宋体" w:hAnsi="宋体" w:eastAsia="宋体"/>
          <w:color w:val="auto"/>
          <w:sz w:val="24"/>
        </w:rPr>
      </w:pPr>
      <w:r>
        <w:rPr>
          <w:rFonts w:hint="eastAsia" w:ascii="宋体" w:hAnsi="宋体" w:eastAsia="宋体"/>
          <w:color w:val="auto"/>
          <w:sz w:val="24"/>
        </w:rPr>
        <w:t>1.2.3服务质量：</w:t>
      </w:r>
      <w:r>
        <w:rPr>
          <w:rFonts w:hint="eastAsia" w:ascii="Times New Roman" w:hAnsi="Times New Roman" w:eastAsia="宋体" w:cs="Times New Roman"/>
          <w:color w:val="auto"/>
          <w:sz w:val="24"/>
          <w:szCs w:val="24"/>
          <w:u w:val="single"/>
        </w:rPr>
        <w:t>符合国家法律法规及相关规范标准要求，通过审查。</w:t>
      </w:r>
    </w:p>
    <w:p w14:paraId="6AD433BD">
      <w:pPr>
        <w:spacing w:line="360" w:lineRule="auto"/>
        <w:ind w:firstLine="437"/>
        <w:outlineLvl w:val="2"/>
        <w:rPr>
          <w:rFonts w:ascii="宋体" w:hAnsi="宋体" w:eastAsia="宋体"/>
          <w:b/>
          <w:bCs/>
          <w:color w:val="auto"/>
          <w:sz w:val="24"/>
          <w:lang w:val="zh-CN"/>
        </w:rPr>
      </w:pPr>
      <w:bookmarkStart w:id="92" w:name="_Toc21631"/>
      <w:bookmarkStart w:id="93" w:name="_Toc21551"/>
      <w:bookmarkStart w:id="94" w:name="_Toc23292"/>
      <w:r>
        <w:rPr>
          <w:rFonts w:hint="eastAsia" w:ascii="宋体" w:hAnsi="宋体" w:eastAsia="宋体"/>
          <w:b/>
          <w:bCs/>
          <w:color w:val="auto"/>
          <w:sz w:val="24"/>
          <w:lang w:val="zh-CN"/>
        </w:rPr>
        <w:t>1.</w:t>
      </w:r>
      <w:r>
        <w:rPr>
          <w:rFonts w:ascii="宋体" w:hAnsi="宋体" w:eastAsia="宋体"/>
          <w:b/>
          <w:bCs/>
          <w:color w:val="auto"/>
          <w:sz w:val="24"/>
          <w:lang w:val="zh-CN"/>
        </w:rPr>
        <w:t xml:space="preserve">3 </w:t>
      </w:r>
      <w:r>
        <w:rPr>
          <w:rFonts w:hint="eastAsia" w:ascii="宋体" w:hAnsi="宋体" w:eastAsia="宋体"/>
          <w:b/>
          <w:bCs/>
          <w:color w:val="auto"/>
          <w:sz w:val="24"/>
          <w:lang w:val="zh-CN"/>
        </w:rPr>
        <w:t>价款</w:t>
      </w:r>
      <w:bookmarkEnd w:id="92"/>
      <w:bookmarkEnd w:id="93"/>
      <w:bookmarkEnd w:id="94"/>
    </w:p>
    <w:p w14:paraId="1F107095">
      <w:pPr>
        <w:spacing w:line="360" w:lineRule="auto"/>
        <w:ind w:firstLine="435"/>
        <w:rPr>
          <w:rFonts w:ascii="宋体" w:hAnsi="宋体" w:eastAsia="宋体"/>
          <w:color w:val="auto"/>
          <w:sz w:val="24"/>
          <w:u w:val="single"/>
        </w:rPr>
      </w:pPr>
      <w:r>
        <w:rPr>
          <w:rFonts w:ascii="宋体" w:hAnsi="宋体" w:eastAsia="宋体"/>
          <w:color w:val="auto"/>
          <w:sz w:val="24"/>
        </w:rPr>
        <w:t>本合同总价为</w:t>
      </w:r>
      <w:r>
        <w:rPr>
          <w:rFonts w:hint="eastAsia" w:ascii="宋体" w:hAnsi="宋体" w:eastAsia="宋体"/>
          <w:color w:val="auto"/>
          <w:sz w:val="24"/>
        </w:rPr>
        <w:t>：￥</w:t>
      </w:r>
      <w:r>
        <w:rPr>
          <w:rFonts w:hint="eastAsia" w:ascii="宋体" w:hAnsi="宋体" w:eastAsia="宋体"/>
          <w:color w:val="auto"/>
          <w:sz w:val="24"/>
          <w:u w:val="single"/>
        </w:rPr>
        <w:t xml:space="preserve">           </w:t>
      </w:r>
      <w:r>
        <w:rPr>
          <w:rFonts w:ascii="宋体" w:hAnsi="宋体" w:eastAsia="宋体"/>
          <w:color w:val="auto"/>
          <w:sz w:val="24"/>
        </w:rPr>
        <w:t>元</w:t>
      </w:r>
      <w:r>
        <w:rPr>
          <w:rFonts w:hint="eastAsia" w:ascii="宋体" w:hAnsi="宋体" w:eastAsia="宋体"/>
          <w:color w:val="auto"/>
          <w:sz w:val="24"/>
        </w:rPr>
        <w:t>（大写：人民币</w:t>
      </w:r>
      <w:r>
        <w:rPr>
          <w:rFonts w:hint="eastAsia" w:ascii="宋体" w:hAnsi="宋体" w:eastAsia="宋体"/>
          <w:color w:val="auto"/>
          <w:sz w:val="24"/>
          <w:u w:val="single"/>
        </w:rPr>
        <w:t xml:space="preserve">                 </w:t>
      </w:r>
      <w:r>
        <w:rPr>
          <w:rFonts w:hint="eastAsia" w:ascii="宋体" w:hAnsi="宋体" w:eastAsia="宋体"/>
          <w:color w:val="auto"/>
          <w:sz w:val="24"/>
        </w:rPr>
        <w:t>元）</w:t>
      </w:r>
      <w:r>
        <w:rPr>
          <w:rFonts w:ascii="宋体" w:hAnsi="宋体" w:eastAsia="宋体"/>
          <w:color w:val="auto"/>
          <w:sz w:val="24"/>
        </w:rPr>
        <w:t>。</w:t>
      </w:r>
    </w:p>
    <w:p w14:paraId="42E548D8">
      <w:pPr>
        <w:spacing w:line="360" w:lineRule="auto"/>
        <w:ind w:firstLine="437"/>
        <w:outlineLvl w:val="2"/>
        <w:rPr>
          <w:rFonts w:ascii="宋体" w:hAnsi="宋体" w:eastAsia="宋体"/>
          <w:b/>
          <w:bCs/>
          <w:color w:val="auto"/>
          <w:sz w:val="24"/>
          <w:lang w:val="zh-CN"/>
        </w:rPr>
      </w:pPr>
      <w:bookmarkStart w:id="95" w:name="_Toc1814"/>
      <w:bookmarkStart w:id="96" w:name="_Toc10340"/>
      <w:bookmarkStart w:id="97" w:name="_Toc22618"/>
      <w:r>
        <w:rPr>
          <w:rFonts w:hint="eastAsia" w:ascii="宋体" w:hAnsi="宋体" w:eastAsia="宋体"/>
          <w:b/>
          <w:bCs/>
          <w:color w:val="auto"/>
          <w:sz w:val="24"/>
          <w:lang w:val="zh-CN"/>
        </w:rPr>
        <w:t>1.</w:t>
      </w:r>
      <w:r>
        <w:rPr>
          <w:rFonts w:ascii="宋体" w:hAnsi="宋体" w:eastAsia="宋体"/>
          <w:b/>
          <w:bCs/>
          <w:color w:val="auto"/>
          <w:sz w:val="24"/>
          <w:lang w:val="zh-CN"/>
        </w:rPr>
        <w:t>4 付款方式和发票开具方式</w:t>
      </w:r>
      <w:bookmarkEnd w:id="95"/>
      <w:bookmarkEnd w:id="96"/>
      <w:bookmarkEnd w:id="97"/>
    </w:p>
    <w:p w14:paraId="3A7FDCAF">
      <w:pPr>
        <w:widowControl/>
        <w:spacing w:line="360" w:lineRule="auto"/>
        <w:jc w:val="left"/>
        <w:rPr>
          <w:rFonts w:ascii="宋体" w:hAnsi="宋体" w:eastAsia="宋体"/>
          <w:color w:val="auto"/>
          <w:sz w:val="24"/>
        </w:rPr>
      </w:pPr>
      <w:r>
        <w:rPr>
          <w:rFonts w:hint="eastAsia" w:ascii="宋体" w:hAnsi="宋体" w:eastAsia="宋体"/>
          <w:color w:val="auto"/>
          <w:sz w:val="24"/>
        </w:rPr>
        <w:t>1.4.1</w:t>
      </w:r>
      <w:r>
        <w:rPr>
          <w:rFonts w:ascii="宋体" w:hAnsi="宋体" w:eastAsia="宋体"/>
          <w:color w:val="auto"/>
          <w:sz w:val="24"/>
        </w:rPr>
        <w:t>付款方式：</w:t>
      </w:r>
    </w:p>
    <w:p w14:paraId="622A6275">
      <w:pPr>
        <w:widowControl/>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①</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w:t>
      </w:r>
      <w:r>
        <w:rPr>
          <w:rFonts w:hint="eastAsia" w:ascii="宋体" w:hAnsi="宋体" w:eastAsia="宋体" w:cs="宋体"/>
          <w:bCs/>
          <w:kern w:val="0"/>
          <w:sz w:val="24"/>
          <w:szCs w:val="24"/>
          <w:lang w:val="en-US" w:eastAsia="zh-CN"/>
        </w:rPr>
        <w:t>按规定及时</w:t>
      </w:r>
      <w:r>
        <w:rPr>
          <w:rFonts w:hint="eastAsia" w:ascii="宋体" w:hAnsi="宋体" w:eastAsia="宋体" w:cs="宋体"/>
          <w:bCs/>
          <w:kern w:val="0"/>
          <w:sz w:val="24"/>
          <w:szCs w:val="24"/>
        </w:rPr>
        <w:t>向乙方支付合同总价的40%作为预付款；合同款按进度支付，乙方申请并经甲方审核同意后支付相应阶段费用。提供甲方认可且具备审查深度的报告，</w:t>
      </w:r>
      <w:r>
        <w:rPr>
          <w:rFonts w:hint="eastAsia" w:ascii="宋体" w:hAnsi="宋体" w:eastAsia="宋体" w:cs="宋体"/>
          <w:bCs/>
          <w:kern w:val="0"/>
          <w:sz w:val="24"/>
          <w:szCs w:val="24"/>
          <w:lang w:val="en-US" w:eastAsia="zh-CN"/>
        </w:rPr>
        <w:t>按规定及时</w:t>
      </w:r>
      <w:r>
        <w:rPr>
          <w:rFonts w:hint="eastAsia" w:ascii="宋体" w:hAnsi="宋体" w:eastAsia="宋体" w:cs="宋体"/>
          <w:bCs/>
          <w:kern w:val="0"/>
          <w:sz w:val="24"/>
          <w:szCs w:val="24"/>
        </w:rPr>
        <w:t>支付至合同价款的90%，并扣回全</w:t>
      </w:r>
      <w:r>
        <w:rPr>
          <w:rFonts w:hint="eastAsia" w:ascii="宋体" w:hAnsi="宋体" w:eastAsia="宋体" w:cs="宋体"/>
          <w:bCs/>
          <w:kern w:val="0"/>
          <w:sz w:val="24"/>
          <w:szCs w:val="24"/>
          <w:lang w:val="en-US" w:eastAsia="zh-CN"/>
        </w:rPr>
        <w:t>部</w:t>
      </w:r>
      <w:r>
        <w:rPr>
          <w:rFonts w:hint="eastAsia" w:ascii="宋体" w:hAnsi="宋体" w:eastAsia="宋体" w:cs="宋体"/>
          <w:bCs/>
          <w:kern w:val="0"/>
          <w:sz w:val="24"/>
          <w:szCs w:val="24"/>
        </w:rPr>
        <w:t>预付款（扣回方式由双方约定），年度验收合格并经结算审核后，支付至结算价的100%。</w:t>
      </w:r>
    </w:p>
    <w:p w14:paraId="46301065">
      <w:pPr>
        <w:widowControl/>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②</w:t>
      </w:r>
      <w:r>
        <w:rPr>
          <w:rFonts w:hint="eastAsia" w:ascii="宋体" w:hAnsi="宋体" w:eastAsia="宋体" w:cs="宋体"/>
          <w:bCs/>
          <w:kern w:val="0"/>
          <w:sz w:val="24"/>
          <w:szCs w:val="24"/>
        </w:rPr>
        <w:t>在签订合同时，乙方书面明确表示无需预付款，即乙方无需提供预付款担保，按皖财购〔2022〕556号规定，合同甲方可不再支付预付款。</w:t>
      </w:r>
    </w:p>
    <w:p w14:paraId="681D2C17">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合同款按进度支付，乙方申请并经甲方审核同意后支付相应阶段费用。提供甲方认可且具备审查深度的报告，可支付至合同价款的90%，并扣回全</w:t>
      </w:r>
      <w:r>
        <w:rPr>
          <w:rFonts w:hint="eastAsia" w:ascii="宋体" w:hAnsi="宋体" w:eastAsia="宋体" w:cs="宋体"/>
          <w:bCs/>
          <w:kern w:val="0"/>
          <w:sz w:val="24"/>
          <w:szCs w:val="24"/>
          <w:lang w:val="en-US" w:eastAsia="zh-CN"/>
        </w:rPr>
        <w:t>部</w:t>
      </w:r>
      <w:r>
        <w:rPr>
          <w:rFonts w:hint="eastAsia" w:ascii="宋体" w:hAnsi="宋体" w:eastAsia="宋体" w:cs="宋体"/>
          <w:bCs/>
          <w:kern w:val="0"/>
          <w:sz w:val="24"/>
          <w:szCs w:val="24"/>
        </w:rPr>
        <w:t>预付款（扣回方式由双方约定），年度验收合格并经结算审核后，支付至结算价的100%。</w:t>
      </w:r>
    </w:p>
    <w:p w14:paraId="41D61CBE">
      <w:pPr>
        <w:spacing w:line="360" w:lineRule="auto"/>
        <w:ind w:firstLine="435"/>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备注：预付款支付前，乙方须提交银行、保险公司、担保公司等金融机构出具的预付款保函（见索即付保函）。</w:t>
      </w:r>
    </w:p>
    <w:p w14:paraId="5E50D6E0">
      <w:pPr>
        <w:spacing w:line="360" w:lineRule="auto"/>
        <w:ind w:firstLine="435"/>
        <w:rPr>
          <w:rFonts w:ascii="宋体" w:hAnsi="宋体" w:eastAsia="宋体"/>
          <w:color w:val="auto"/>
          <w:sz w:val="24"/>
        </w:rPr>
      </w:pPr>
      <w:r>
        <w:rPr>
          <w:rFonts w:hint="eastAsia" w:ascii="宋体" w:hAnsi="宋体" w:eastAsia="宋体"/>
          <w:color w:val="auto"/>
          <w:sz w:val="24"/>
        </w:rPr>
        <w:t>1.4.2发票开具方式：</w:t>
      </w:r>
      <w:r>
        <w:rPr>
          <w:rFonts w:hint="eastAsia" w:ascii="宋体" w:hAnsi="宋体" w:eastAsia="宋体"/>
          <w:color w:val="auto"/>
          <w:sz w:val="24"/>
          <w:u w:val="single"/>
        </w:rPr>
        <w:t xml:space="preserve"> 每次付款前乙方按甲方要求出具增值税发票  </w:t>
      </w:r>
      <w:r>
        <w:rPr>
          <w:rFonts w:hint="eastAsia" w:ascii="宋体" w:hAnsi="宋体" w:eastAsia="宋体"/>
          <w:color w:val="auto"/>
          <w:sz w:val="24"/>
        </w:rPr>
        <w:t>。</w:t>
      </w:r>
    </w:p>
    <w:p w14:paraId="74EC677F">
      <w:pPr>
        <w:spacing w:line="360" w:lineRule="auto"/>
        <w:ind w:firstLine="437"/>
        <w:outlineLvl w:val="2"/>
        <w:rPr>
          <w:rFonts w:ascii="宋体" w:hAnsi="宋体" w:eastAsia="宋体"/>
          <w:b/>
          <w:bCs/>
          <w:color w:val="auto"/>
          <w:sz w:val="24"/>
          <w:lang w:val="zh-CN"/>
        </w:rPr>
      </w:pPr>
      <w:bookmarkStart w:id="98" w:name="_Toc19304"/>
      <w:bookmarkStart w:id="99" w:name="_Toc2846"/>
      <w:bookmarkStart w:id="100" w:name="_Toc32071"/>
      <w:r>
        <w:rPr>
          <w:rFonts w:hint="eastAsia" w:ascii="宋体" w:hAnsi="宋体" w:eastAsia="宋体"/>
          <w:b/>
          <w:bCs/>
          <w:color w:val="auto"/>
          <w:sz w:val="24"/>
          <w:lang w:val="zh-CN"/>
        </w:rPr>
        <w:t>1.</w:t>
      </w:r>
      <w:r>
        <w:rPr>
          <w:rFonts w:ascii="宋体" w:hAnsi="宋体" w:eastAsia="宋体"/>
          <w:b/>
          <w:bCs/>
          <w:color w:val="auto"/>
          <w:sz w:val="24"/>
          <w:lang w:val="zh-CN"/>
        </w:rPr>
        <w:t xml:space="preserve">5 </w:t>
      </w:r>
      <w:r>
        <w:rPr>
          <w:rFonts w:hint="eastAsia" w:ascii="宋体" w:hAnsi="宋体" w:eastAsia="宋体"/>
          <w:b/>
          <w:bCs/>
          <w:color w:val="auto"/>
          <w:sz w:val="24"/>
          <w:lang w:val="zh-CN"/>
        </w:rPr>
        <w:t>服务</w:t>
      </w:r>
      <w:r>
        <w:rPr>
          <w:rFonts w:ascii="宋体" w:hAnsi="宋体" w:eastAsia="宋体"/>
          <w:b/>
          <w:bCs/>
          <w:color w:val="auto"/>
          <w:sz w:val="24"/>
          <w:lang w:val="zh-CN"/>
        </w:rPr>
        <w:t>期限</w:t>
      </w:r>
      <w:r>
        <w:rPr>
          <w:rFonts w:hint="eastAsia" w:ascii="宋体" w:hAnsi="宋体" w:eastAsia="宋体"/>
          <w:b/>
          <w:bCs/>
          <w:color w:val="auto"/>
          <w:sz w:val="24"/>
          <w:lang w:val="zh-CN"/>
        </w:rPr>
        <w:t>、地点和方式</w:t>
      </w:r>
      <w:bookmarkEnd w:id="98"/>
      <w:bookmarkEnd w:id="99"/>
      <w:bookmarkEnd w:id="100"/>
    </w:p>
    <w:p w14:paraId="5C9BE3C1">
      <w:pPr>
        <w:spacing w:line="360" w:lineRule="auto"/>
        <w:ind w:firstLine="435"/>
        <w:rPr>
          <w:rFonts w:ascii="宋体" w:hAnsi="宋体" w:eastAsia="宋体"/>
          <w:color w:val="auto"/>
          <w:sz w:val="24"/>
          <w:u w:val="single"/>
        </w:rPr>
      </w:pPr>
      <w:r>
        <w:rPr>
          <w:rFonts w:hint="eastAsia" w:ascii="宋体" w:hAnsi="宋体" w:eastAsia="宋体"/>
          <w:color w:val="auto"/>
          <w:sz w:val="24"/>
        </w:rPr>
        <w:t>1.5.1服务期限</w:t>
      </w:r>
      <w:r>
        <w:rPr>
          <w:rFonts w:ascii="宋体" w:hAnsi="宋体" w:eastAsia="宋体"/>
          <w:color w:val="auto"/>
          <w:sz w:val="24"/>
        </w:rPr>
        <w:t>：</w:t>
      </w:r>
      <w:r>
        <w:rPr>
          <w:rFonts w:hint="eastAsia" w:ascii="宋体" w:hAnsi="宋体" w:eastAsia="宋体"/>
          <w:color w:val="auto"/>
          <w:sz w:val="24"/>
          <w:u w:val="single"/>
        </w:rPr>
        <w:t>合同签订之日起</w:t>
      </w:r>
      <w:r>
        <w:rPr>
          <w:rFonts w:ascii="宋体" w:hAnsi="宋体" w:eastAsia="宋体"/>
          <w:color w:val="auto"/>
          <w:sz w:val="24"/>
          <w:u w:val="single"/>
        </w:rPr>
        <w:t>210</w:t>
      </w:r>
      <w:r>
        <w:rPr>
          <w:rFonts w:hint="eastAsia" w:ascii="宋体" w:hAnsi="宋体" w:eastAsia="宋体"/>
          <w:color w:val="auto"/>
          <w:sz w:val="24"/>
          <w:u w:val="single"/>
        </w:rPr>
        <w:t>日历天；</w:t>
      </w:r>
    </w:p>
    <w:p w14:paraId="4EF2EA5A">
      <w:pPr>
        <w:spacing w:line="360" w:lineRule="auto"/>
        <w:ind w:firstLine="435"/>
        <w:rPr>
          <w:rFonts w:ascii="宋体" w:hAnsi="宋体" w:eastAsia="宋体"/>
          <w:color w:val="auto"/>
          <w:sz w:val="24"/>
        </w:rPr>
      </w:pPr>
      <w:r>
        <w:rPr>
          <w:rFonts w:hint="eastAsia" w:ascii="宋体" w:hAnsi="宋体" w:eastAsia="宋体"/>
          <w:color w:val="auto"/>
          <w:sz w:val="24"/>
        </w:rPr>
        <w:t>1.5.2服务地点</w:t>
      </w:r>
      <w:r>
        <w:rPr>
          <w:rFonts w:ascii="宋体" w:hAnsi="宋体" w:eastAsia="宋体"/>
          <w:color w:val="auto"/>
          <w:sz w:val="24"/>
        </w:rPr>
        <w:t>：</w:t>
      </w:r>
      <w:r>
        <w:rPr>
          <w:rFonts w:hint="eastAsia" w:ascii="宋体" w:hAnsi="宋体" w:eastAsia="宋体"/>
          <w:color w:val="auto"/>
          <w:sz w:val="24"/>
          <w:u w:val="single"/>
        </w:rPr>
        <w:t>安徽省境内（采购人指定地点）</w:t>
      </w:r>
      <w:r>
        <w:rPr>
          <w:rFonts w:hint="eastAsia" w:ascii="宋体" w:hAnsi="宋体" w:eastAsia="宋体"/>
          <w:color w:val="auto"/>
          <w:sz w:val="24"/>
        </w:rPr>
        <w:t>；</w:t>
      </w:r>
    </w:p>
    <w:p w14:paraId="555706EA">
      <w:pPr>
        <w:spacing w:line="360" w:lineRule="auto"/>
        <w:ind w:firstLine="435"/>
        <w:rPr>
          <w:rFonts w:ascii="宋体" w:hAnsi="宋体" w:eastAsia="宋体"/>
          <w:color w:val="auto"/>
          <w:sz w:val="24"/>
        </w:rPr>
      </w:pPr>
      <w:r>
        <w:rPr>
          <w:rFonts w:hint="eastAsia" w:ascii="宋体" w:hAnsi="宋体" w:eastAsia="宋体"/>
          <w:color w:val="auto"/>
          <w:sz w:val="24"/>
        </w:rPr>
        <w:t>1.5.3服务方式：</w:t>
      </w:r>
      <w:r>
        <w:rPr>
          <w:rFonts w:hint="eastAsia" w:ascii="宋体" w:hAnsi="宋体" w:eastAsia="宋体"/>
          <w:color w:val="auto"/>
          <w:sz w:val="24"/>
          <w:u w:val="single"/>
        </w:rPr>
        <w:t xml:space="preserve"> 技术服务 </w:t>
      </w:r>
      <w:r>
        <w:rPr>
          <w:rFonts w:hint="eastAsia" w:ascii="宋体" w:hAnsi="宋体" w:eastAsia="宋体"/>
          <w:color w:val="auto"/>
          <w:sz w:val="24"/>
        </w:rPr>
        <w:t>。</w:t>
      </w:r>
    </w:p>
    <w:p w14:paraId="4085CD65">
      <w:pPr>
        <w:spacing w:line="360" w:lineRule="auto"/>
        <w:ind w:firstLine="437"/>
        <w:outlineLvl w:val="2"/>
        <w:rPr>
          <w:rFonts w:hint="eastAsia" w:ascii="宋体" w:hAnsi="宋体" w:eastAsia="宋体"/>
          <w:b/>
          <w:bCs/>
          <w:color w:val="auto"/>
          <w:sz w:val="24"/>
          <w:szCs w:val="24"/>
          <w:lang w:val="zh-CN"/>
        </w:rPr>
      </w:pPr>
      <w:bookmarkStart w:id="101" w:name="_Toc27250"/>
      <w:bookmarkStart w:id="102" w:name="_Toc21423"/>
      <w:bookmarkStart w:id="103" w:name="_Toc19554"/>
      <w:bookmarkStart w:id="104" w:name="_Toc8809"/>
      <w:bookmarkStart w:id="105" w:name="_Toc331685783"/>
      <w:r>
        <w:rPr>
          <w:rFonts w:hint="eastAsia" w:ascii="宋体" w:hAnsi="宋体" w:eastAsia="宋体"/>
          <w:b/>
          <w:bCs/>
          <w:color w:val="auto"/>
          <w:sz w:val="24"/>
          <w:szCs w:val="24"/>
          <w:lang w:val="zh-CN"/>
        </w:rPr>
        <w:t>1.6 违约责任</w:t>
      </w:r>
      <w:bookmarkEnd w:id="101"/>
      <w:bookmarkEnd w:id="102"/>
      <w:bookmarkEnd w:id="103"/>
    </w:p>
    <w:p w14:paraId="026B68E8">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1.6.1</w:t>
      </w:r>
      <w:r>
        <w:rPr>
          <w:rFonts w:ascii="宋体" w:hAnsi="宋体" w:eastAsia="宋体"/>
          <w:color w:val="auto"/>
          <w:sz w:val="24"/>
          <w:szCs w:val="24"/>
        </w:rPr>
        <w:t>除不可抗力外，如果乙方没有按照本合同约定的期限</w:t>
      </w:r>
      <w:r>
        <w:rPr>
          <w:rFonts w:hint="eastAsia" w:ascii="宋体" w:hAnsi="宋体" w:eastAsia="宋体"/>
          <w:color w:val="auto"/>
          <w:sz w:val="24"/>
          <w:szCs w:val="24"/>
        </w:rPr>
        <w:t>、</w:t>
      </w:r>
      <w:r>
        <w:rPr>
          <w:rFonts w:ascii="宋体" w:hAnsi="宋体" w:eastAsia="宋体"/>
          <w:color w:val="auto"/>
          <w:sz w:val="24"/>
          <w:szCs w:val="24"/>
        </w:rPr>
        <w:t>地点和方式</w:t>
      </w:r>
      <w:r>
        <w:rPr>
          <w:rFonts w:hint="eastAsia" w:ascii="宋体" w:hAnsi="宋体" w:eastAsia="宋体"/>
          <w:color w:val="auto"/>
          <w:sz w:val="24"/>
          <w:szCs w:val="24"/>
        </w:rPr>
        <w:t>履行</w:t>
      </w:r>
      <w:r>
        <w:rPr>
          <w:rFonts w:ascii="宋体" w:hAnsi="宋体" w:eastAsia="宋体"/>
          <w:color w:val="auto"/>
          <w:sz w:val="24"/>
          <w:szCs w:val="24"/>
        </w:rPr>
        <w:t>，那么甲方可要求乙方支付违约金</w:t>
      </w:r>
      <w:r>
        <w:rPr>
          <w:rFonts w:hint="eastAsia" w:ascii="宋体" w:hAnsi="宋体" w:eastAsia="宋体"/>
          <w:color w:val="auto"/>
          <w:sz w:val="24"/>
          <w:szCs w:val="24"/>
        </w:rPr>
        <w:t>，</w:t>
      </w:r>
      <w:r>
        <w:rPr>
          <w:rFonts w:ascii="宋体" w:hAnsi="宋体" w:eastAsia="宋体"/>
          <w:color w:val="auto"/>
          <w:sz w:val="24"/>
          <w:szCs w:val="24"/>
        </w:rPr>
        <w:t>违约金按每迟延</w:t>
      </w:r>
      <w:r>
        <w:rPr>
          <w:rFonts w:hint="eastAsia" w:ascii="宋体" w:hAnsi="宋体" w:eastAsia="宋体"/>
          <w:color w:val="auto"/>
          <w:sz w:val="24"/>
          <w:szCs w:val="24"/>
        </w:rPr>
        <w:t>履行</w:t>
      </w:r>
      <w:r>
        <w:rPr>
          <w:rFonts w:ascii="宋体" w:hAnsi="宋体" w:eastAsia="宋体"/>
          <w:color w:val="auto"/>
          <w:sz w:val="24"/>
          <w:szCs w:val="24"/>
        </w:rPr>
        <w:t>一日的应提供而未</w:t>
      </w:r>
      <w:r>
        <w:rPr>
          <w:rFonts w:hint="eastAsia" w:ascii="宋体" w:hAnsi="宋体" w:eastAsia="宋体"/>
          <w:color w:val="auto"/>
          <w:sz w:val="24"/>
          <w:szCs w:val="24"/>
        </w:rPr>
        <w:t>提供</w:t>
      </w:r>
      <w:r>
        <w:rPr>
          <w:rFonts w:ascii="宋体" w:hAnsi="宋体" w:eastAsia="宋体"/>
          <w:color w:val="auto"/>
          <w:sz w:val="24"/>
          <w:szCs w:val="24"/>
        </w:rPr>
        <w:t>服务价格的</w:t>
      </w:r>
      <w:r>
        <w:rPr>
          <w:rFonts w:hint="eastAsia" w:ascii="宋体" w:hAnsi="宋体" w:eastAsia="宋体"/>
          <w:color w:val="auto"/>
          <w:sz w:val="24"/>
          <w:szCs w:val="24"/>
          <w:u w:val="single"/>
        </w:rPr>
        <w:t xml:space="preserve"> 0.5 </w:t>
      </w:r>
      <w:r>
        <w:rPr>
          <w:rFonts w:ascii="宋体" w:hAnsi="宋体" w:eastAsia="宋体"/>
          <w:color w:val="auto"/>
          <w:sz w:val="24"/>
          <w:szCs w:val="24"/>
        </w:rPr>
        <w:t>%计算</w:t>
      </w:r>
      <w:r>
        <w:rPr>
          <w:rFonts w:hint="eastAsia" w:ascii="宋体" w:hAnsi="宋体" w:eastAsia="宋体"/>
          <w:color w:val="auto"/>
          <w:sz w:val="24"/>
          <w:szCs w:val="24"/>
        </w:rPr>
        <w:t>，</w:t>
      </w:r>
      <w:r>
        <w:rPr>
          <w:rFonts w:ascii="宋体" w:hAnsi="宋体" w:eastAsia="宋体"/>
          <w:color w:val="auto"/>
          <w:sz w:val="24"/>
          <w:szCs w:val="24"/>
        </w:rPr>
        <w:t>最高限额为</w:t>
      </w:r>
      <w:r>
        <w:rPr>
          <w:rFonts w:hint="eastAsia" w:ascii="宋体" w:hAnsi="宋体" w:eastAsia="宋体"/>
          <w:color w:val="auto"/>
          <w:sz w:val="24"/>
          <w:szCs w:val="24"/>
        </w:rPr>
        <w:t>本</w:t>
      </w:r>
      <w:r>
        <w:rPr>
          <w:rFonts w:ascii="宋体" w:hAnsi="宋体" w:eastAsia="宋体"/>
          <w:color w:val="auto"/>
          <w:sz w:val="24"/>
          <w:szCs w:val="24"/>
        </w:rPr>
        <w:t>合同总价的</w:t>
      </w:r>
      <w:r>
        <w:rPr>
          <w:rFonts w:hint="eastAsia" w:ascii="宋体" w:hAnsi="宋体" w:eastAsia="宋体"/>
          <w:color w:val="auto"/>
          <w:sz w:val="24"/>
          <w:szCs w:val="24"/>
          <w:u w:val="single"/>
        </w:rPr>
        <w:t xml:space="preserve"> 10 </w:t>
      </w:r>
      <w:r>
        <w:rPr>
          <w:rFonts w:ascii="宋体" w:hAnsi="宋体" w:eastAsia="宋体"/>
          <w:color w:val="auto"/>
          <w:sz w:val="24"/>
          <w:szCs w:val="24"/>
        </w:rPr>
        <w:t>%</w:t>
      </w:r>
      <w:r>
        <w:rPr>
          <w:rFonts w:hint="eastAsia" w:ascii="宋体" w:hAnsi="宋体" w:eastAsia="宋体"/>
          <w:color w:val="auto"/>
          <w:sz w:val="24"/>
          <w:szCs w:val="24"/>
        </w:rPr>
        <w:t>；</w:t>
      </w:r>
      <w:r>
        <w:rPr>
          <w:rFonts w:ascii="宋体" w:hAnsi="宋体" w:eastAsia="宋体"/>
          <w:color w:val="auto"/>
          <w:sz w:val="24"/>
          <w:szCs w:val="24"/>
        </w:rPr>
        <w:t>迟延</w:t>
      </w:r>
      <w:r>
        <w:rPr>
          <w:rFonts w:hint="eastAsia" w:ascii="宋体" w:hAnsi="宋体" w:eastAsia="宋体"/>
          <w:color w:val="auto"/>
          <w:sz w:val="24"/>
          <w:szCs w:val="24"/>
        </w:rPr>
        <w:t>履行</w:t>
      </w:r>
      <w:r>
        <w:rPr>
          <w:rFonts w:ascii="宋体" w:hAnsi="宋体" w:eastAsia="宋体"/>
          <w:color w:val="auto"/>
          <w:sz w:val="24"/>
          <w:szCs w:val="24"/>
        </w:rPr>
        <w:t>的违约金计算数额达到前述最高限额之日起</w:t>
      </w:r>
      <w:r>
        <w:rPr>
          <w:rFonts w:hint="eastAsia" w:ascii="宋体" w:hAnsi="宋体" w:eastAsia="宋体"/>
          <w:color w:val="auto"/>
          <w:sz w:val="24"/>
          <w:szCs w:val="24"/>
        </w:rPr>
        <w:t>，</w:t>
      </w:r>
      <w:r>
        <w:rPr>
          <w:rFonts w:ascii="宋体" w:hAnsi="宋体" w:eastAsia="宋体"/>
          <w:color w:val="auto"/>
          <w:sz w:val="24"/>
          <w:szCs w:val="24"/>
        </w:rPr>
        <w:t>甲方有权在要求乙方支付违约金的同时</w:t>
      </w:r>
      <w:r>
        <w:rPr>
          <w:rFonts w:hint="eastAsia" w:ascii="宋体" w:hAnsi="宋体" w:eastAsia="宋体"/>
          <w:color w:val="auto"/>
          <w:sz w:val="24"/>
          <w:szCs w:val="24"/>
        </w:rPr>
        <w:t>，书面通知乙方</w:t>
      </w:r>
      <w:r>
        <w:rPr>
          <w:rFonts w:ascii="宋体" w:hAnsi="宋体" w:eastAsia="宋体"/>
          <w:color w:val="auto"/>
          <w:sz w:val="24"/>
          <w:szCs w:val="24"/>
        </w:rPr>
        <w:t>解除本合同</w:t>
      </w:r>
      <w:r>
        <w:rPr>
          <w:rFonts w:hint="eastAsia" w:ascii="宋体" w:hAnsi="宋体" w:eastAsia="宋体"/>
          <w:color w:val="auto"/>
          <w:sz w:val="24"/>
          <w:szCs w:val="24"/>
        </w:rPr>
        <w:t>；</w:t>
      </w:r>
    </w:p>
    <w:p w14:paraId="0F4BFD7C">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1.6.2</w:t>
      </w:r>
      <w:r>
        <w:rPr>
          <w:rFonts w:ascii="宋体" w:hAnsi="宋体" w:eastAsia="宋体"/>
          <w:color w:val="auto"/>
          <w:sz w:val="24"/>
          <w:szCs w:val="24"/>
        </w:rPr>
        <w:t>除不可抗力外，如果甲方没有按照本合同约定的付款方式付款，那么乙方可要求甲方支付违约金</w:t>
      </w:r>
      <w:r>
        <w:rPr>
          <w:rFonts w:hint="eastAsia" w:ascii="宋体" w:hAnsi="宋体" w:eastAsia="宋体"/>
          <w:color w:val="auto"/>
          <w:sz w:val="24"/>
          <w:szCs w:val="24"/>
        </w:rPr>
        <w:t>，</w:t>
      </w:r>
      <w:r>
        <w:rPr>
          <w:rFonts w:ascii="宋体" w:hAnsi="宋体" w:eastAsia="宋体"/>
          <w:color w:val="auto"/>
          <w:sz w:val="24"/>
          <w:szCs w:val="24"/>
        </w:rPr>
        <w:t>违约金按每迟延</w:t>
      </w:r>
      <w:r>
        <w:rPr>
          <w:rFonts w:hint="eastAsia" w:ascii="宋体" w:hAnsi="宋体" w:eastAsia="宋体"/>
          <w:color w:val="auto"/>
          <w:sz w:val="24"/>
          <w:szCs w:val="24"/>
        </w:rPr>
        <w:t>付款</w:t>
      </w:r>
      <w:r>
        <w:rPr>
          <w:rFonts w:ascii="宋体" w:hAnsi="宋体" w:eastAsia="宋体"/>
          <w:color w:val="auto"/>
          <w:sz w:val="24"/>
          <w:szCs w:val="24"/>
        </w:rPr>
        <w:t>一日的应付而未付款的</w:t>
      </w:r>
      <w:r>
        <w:rPr>
          <w:rFonts w:hint="eastAsia" w:ascii="宋体" w:hAnsi="宋体" w:eastAsia="宋体"/>
          <w:color w:val="auto"/>
          <w:sz w:val="24"/>
          <w:szCs w:val="24"/>
          <w:u w:val="single"/>
        </w:rPr>
        <w:t>0.5</w:t>
      </w:r>
      <w:r>
        <w:rPr>
          <w:rFonts w:ascii="宋体" w:hAnsi="宋体" w:eastAsia="宋体"/>
          <w:color w:val="auto"/>
          <w:sz w:val="24"/>
          <w:szCs w:val="24"/>
        </w:rPr>
        <w:t>%计算</w:t>
      </w:r>
      <w:r>
        <w:rPr>
          <w:rFonts w:hint="eastAsia" w:ascii="宋体" w:hAnsi="宋体" w:eastAsia="宋体"/>
          <w:color w:val="auto"/>
          <w:sz w:val="24"/>
          <w:szCs w:val="24"/>
        </w:rPr>
        <w:t>，</w:t>
      </w:r>
      <w:r>
        <w:rPr>
          <w:rFonts w:ascii="宋体" w:hAnsi="宋体" w:eastAsia="宋体"/>
          <w:color w:val="auto"/>
          <w:sz w:val="24"/>
          <w:szCs w:val="24"/>
        </w:rPr>
        <w:t>最高限额为</w:t>
      </w:r>
      <w:r>
        <w:rPr>
          <w:rFonts w:hint="eastAsia" w:ascii="宋体" w:hAnsi="宋体" w:eastAsia="宋体"/>
          <w:color w:val="auto"/>
          <w:sz w:val="24"/>
          <w:szCs w:val="24"/>
        </w:rPr>
        <w:t>本</w:t>
      </w:r>
      <w:r>
        <w:rPr>
          <w:rFonts w:ascii="宋体" w:hAnsi="宋体" w:eastAsia="宋体"/>
          <w:color w:val="auto"/>
          <w:sz w:val="24"/>
          <w:szCs w:val="24"/>
        </w:rPr>
        <w:t>合同总价的</w:t>
      </w:r>
      <w:r>
        <w:rPr>
          <w:rFonts w:hint="eastAsia" w:ascii="宋体" w:hAnsi="宋体" w:eastAsia="宋体"/>
          <w:color w:val="auto"/>
          <w:sz w:val="24"/>
          <w:szCs w:val="24"/>
          <w:u w:val="single"/>
        </w:rPr>
        <w:t xml:space="preserve"> 10 </w:t>
      </w:r>
      <w:r>
        <w:rPr>
          <w:rFonts w:ascii="宋体" w:hAnsi="宋体" w:eastAsia="宋体"/>
          <w:color w:val="auto"/>
          <w:sz w:val="24"/>
          <w:szCs w:val="24"/>
        </w:rPr>
        <w:t>%</w:t>
      </w:r>
      <w:r>
        <w:rPr>
          <w:rFonts w:hint="eastAsia" w:ascii="宋体" w:hAnsi="宋体" w:eastAsia="宋体"/>
          <w:color w:val="auto"/>
          <w:sz w:val="24"/>
          <w:szCs w:val="24"/>
        </w:rPr>
        <w:t>；</w:t>
      </w:r>
      <w:r>
        <w:rPr>
          <w:rFonts w:ascii="宋体" w:hAnsi="宋体" w:eastAsia="宋体"/>
          <w:color w:val="auto"/>
          <w:sz w:val="24"/>
          <w:szCs w:val="24"/>
        </w:rPr>
        <w:t>迟延</w:t>
      </w:r>
      <w:r>
        <w:rPr>
          <w:rFonts w:hint="eastAsia" w:ascii="宋体" w:hAnsi="宋体" w:eastAsia="宋体"/>
          <w:color w:val="auto"/>
          <w:sz w:val="24"/>
          <w:szCs w:val="24"/>
        </w:rPr>
        <w:t>付款</w:t>
      </w:r>
      <w:r>
        <w:rPr>
          <w:rFonts w:ascii="宋体" w:hAnsi="宋体" w:eastAsia="宋体"/>
          <w:color w:val="auto"/>
          <w:sz w:val="24"/>
          <w:szCs w:val="24"/>
        </w:rPr>
        <w:t>的违约金计算数额达到前述最高限额之日起</w:t>
      </w:r>
      <w:r>
        <w:rPr>
          <w:rFonts w:hint="eastAsia" w:ascii="宋体" w:hAnsi="宋体" w:eastAsia="宋体"/>
          <w:color w:val="auto"/>
          <w:sz w:val="24"/>
          <w:szCs w:val="24"/>
        </w:rPr>
        <w:t>，乙</w:t>
      </w:r>
      <w:r>
        <w:rPr>
          <w:rFonts w:ascii="宋体" w:hAnsi="宋体" w:eastAsia="宋体"/>
          <w:color w:val="auto"/>
          <w:sz w:val="24"/>
          <w:szCs w:val="24"/>
        </w:rPr>
        <w:t>方有权在要求甲方支付违约金的同时</w:t>
      </w:r>
      <w:r>
        <w:rPr>
          <w:rFonts w:hint="eastAsia" w:ascii="宋体" w:hAnsi="宋体" w:eastAsia="宋体"/>
          <w:color w:val="auto"/>
          <w:sz w:val="24"/>
          <w:szCs w:val="24"/>
        </w:rPr>
        <w:t>，书面通知甲方</w:t>
      </w:r>
      <w:r>
        <w:rPr>
          <w:rFonts w:ascii="宋体" w:hAnsi="宋体" w:eastAsia="宋体"/>
          <w:color w:val="auto"/>
          <w:sz w:val="24"/>
          <w:szCs w:val="24"/>
        </w:rPr>
        <w:t>解除本合同</w:t>
      </w:r>
      <w:r>
        <w:rPr>
          <w:rFonts w:hint="eastAsia" w:ascii="宋体" w:hAnsi="宋体" w:eastAsia="宋体"/>
          <w:color w:val="auto"/>
          <w:sz w:val="24"/>
          <w:szCs w:val="24"/>
        </w:rPr>
        <w:t>；</w:t>
      </w:r>
    </w:p>
    <w:p w14:paraId="3BF00894">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85693D">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B78F309">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04C6425">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1.6.6如果出现政府采购监督管理部门在处理投诉事项期间，书面通知甲方暂停采购活动的情形，或者询问或质疑事项可能影响成交结果的，导致甲方中止履行合同的情形，均不视为甲方违约。</w:t>
      </w:r>
    </w:p>
    <w:p w14:paraId="6E24C1BB">
      <w:pPr>
        <w:spacing w:line="360" w:lineRule="auto"/>
        <w:ind w:firstLine="435"/>
        <w:rPr>
          <w:rFonts w:hint="eastAsia" w:cs="Times New Roman" w:asciiTheme="minorEastAsia" w:hAnsiTheme="minorEastAsia" w:eastAsiaTheme="minorEastAsia"/>
          <w:color w:val="auto"/>
          <w:sz w:val="24"/>
          <w:szCs w:val="24"/>
        </w:rPr>
      </w:pPr>
      <w:bookmarkStart w:id="106" w:name="_Toc15583"/>
      <w:bookmarkStart w:id="107" w:name="_Toc28375"/>
      <w:bookmarkStart w:id="108" w:name="_Toc16021"/>
      <w:r>
        <w:rPr>
          <w:rFonts w:hint="eastAsia" w:cs="Times New Roman" w:asciiTheme="minorEastAsia" w:hAnsiTheme="minorEastAsia" w:eastAsiaTheme="minorEastAsia"/>
          <w:color w:val="auto"/>
          <w:sz w:val="24"/>
          <w:szCs w:val="24"/>
        </w:rPr>
        <w:t>1.6.7</w:t>
      </w:r>
      <w:r>
        <w:rPr>
          <w:rFonts w:cs="Times New Roman" w:asciiTheme="minorEastAsia" w:hAnsiTheme="minorEastAsia" w:eastAsiaTheme="minorEastAsia"/>
          <w:color w:val="auto"/>
          <w:sz w:val="24"/>
          <w:szCs w:val="24"/>
        </w:rPr>
        <w:t>因甲方未按合同约定支付价款、未按合同约定受领标的物、擅自解除合同</w:t>
      </w:r>
      <w:r>
        <w:rPr>
          <w:rFonts w:hint="eastAsia" w:cs="Times New Roman" w:asciiTheme="minorEastAsia" w:hAnsiTheme="minorEastAsia" w:eastAsiaTheme="minorEastAsia"/>
          <w:color w:val="auto"/>
          <w:sz w:val="24"/>
          <w:szCs w:val="24"/>
        </w:rPr>
        <w:t>、逾期退还履约保证金</w:t>
      </w:r>
      <w:r>
        <w:rPr>
          <w:rFonts w:cs="Times New Roman" w:asciiTheme="minorEastAsia" w:hAnsiTheme="minorEastAsia" w:eastAsiaTheme="minorEastAsia"/>
          <w:color w:val="auto"/>
          <w:sz w:val="24"/>
          <w:szCs w:val="24"/>
        </w:rPr>
        <w:t>导致乙方遭受的直接损失，乙方可向甲方申请赔偿，赔偿金额由双方协商一致；</w:t>
      </w:r>
      <w:r>
        <w:rPr>
          <w:rFonts w:hint="eastAsia" w:cs="Times New Roman" w:asciiTheme="minorEastAsia" w:hAnsiTheme="minorEastAsia" w:eastAsiaTheme="minorEastAsia"/>
          <w:color w:val="auto"/>
          <w:sz w:val="24"/>
          <w:szCs w:val="24"/>
        </w:rPr>
        <w:t>针对因政策变化等原因不能签订合同或解除合同时，造成乙方合法利益受损的情形，可以给予乙方合理补偿，补偿金额不得超过乙方的直接损失。</w:t>
      </w:r>
    </w:p>
    <w:p w14:paraId="2E2B784C">
      <w:pPr>
        <w:autoSpaceDE w:val="0"/>
        <w:autoSpaceDN w:val="0"/>
        <w:adjustRightInd w:val="0"/>
        <w:snapToGrid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1.7、甲方责任义务</w:t>
      </w:r>
    </w:p>
    <w:p w14:paraId="534CA78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cs="Times New Roman" w:asciiTheme="minorEastAsia" w:hAnsiTheme="minorEastAsia" w:eastAsiaTheme="minorEastAsia"/>
          <w:color w:val="auto"/>
          <w:sz w:val="24"/>
          <w:szCs w:val="24"/>
        </w:rPr>
        <w:t>1.7.</w:t>
      </w:r>
      <w:r>
        <w:rPr>
          <w:rFonts w:hint="eastAsia" w:asciiTheme="minorEastAsia" w:hAnsiTheme="minorEastAsia" w:eastAsiaTheme="minorEastAsia" w:cstheme="minorEastAsia"/>
          <w:color w:val="auto"/>
          <w:sz w:val="24"/>
          <w:szCs w:val="24"/>
        </w:rPr>
        <w:t>1甲方</w:t>
      </w:r>
      <w:r>
        <w:rPr>
          <w:rFonts w:hint="eastAsia" w:ascii="宋体" w:hAnsi="宋体" w:eastAsia="宋体" w:cs="宋体"/>
          <w:color w:val="auto"/>
          <w:sz w:val="24"/>
          <w:szCs w:val="24"/>
        </w:rPr>
        <w:t>承诺按照合同约定的期限和方式支付合同价款。</w:t>
      </w:r>
    </w:p>
    <w:p w14:paraId="33CF0B1B">
      <w:pPr>
        <w:spacing w:line="360" w:lineRule="auto"/>
        <w:ind w:firstLine="480" w:firstLineChars="200"/>
        <w:rPr>
          <w:rFonts w:hint="eastAsia"/>
          <w:color w:val="auto"/>
        </w:rPr>
      </w:pPr>
      <w:r>
        <w:rPr>
          <w:rFonts w:hint="eastAsia" w:cs="Times New Roman" w:asciiTheme="minorEastAsia" w:hAnsiTheme="minorEastAsia" w:eastAsiaTheme="minorEastAsia"/>
          <w:color w:val="auto"/>
          <w:sz w:val="24"/>
          <w:szCs w:val="24"/>
        </w:rPr>
        <w:t>1.7.</w:t>
      </w:r>
      <w:r>
        <w:rPr>
          <w:rFonts w:hint="eastAsia" w:asciiTheme="minorEastAsia" w:hAnsiTheme="minorEastAsia" w:eastAsiaTheme="minorEastAsia" w:cstheme="minorEastAsia"/>
          <w:color w:val="auto"/>
          <w:sz w:val="24"/>
          <w:szCs w:val="24"/>
        </w:rPr>
        <w:t>2甲方对乙方作业安全具有监督、检查和指导的权利。</w:t>
      </w:r>
    </w:p>
    <w:p w14:paraId="333FF464">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szCs w:val="24"/>
        </w:rPr>
      </w:pPr>
      <w:r>
        <w:rPr>
          <w:rFonts w:hint="eastAsia" w:ascii="宋体" w:hAnsi="宋体" w:eastAsia="宋体" w:cs="宋体"/>
          <w:b/>
          <w:bCs/>
          <w:color w:val="auto"/>
          <w:sz w:val="24"/>
          <w:szCs w:val="24"/>
        </w:rPr>
        <w:t>1.8、乙方责任义务</w:t>
      </w:r>
    </w:p>
    <w:p w14:paraId="131F8222">
      <w:pPr>
        <w:spacing w:line="360" w:lineRule="auto"/>
        <w:ind w:firstLine="482" w:firstLineChars="200"/>
        <w:rPr>
          <w:rFonts w:hint="eastAsia" w:asciiTheme="minorEastAsia" w:hAnsiTheme="minorEastAsia" w:eastAsiaTheme="minorEastAsia" w:cstheme="minorEastAsia"/>
          <w:b/>
          <w:bCs/>
          <w:color w:val="auto"/>
          <w:kern w:val="0"/>
          <w:sz w:val="24"/>
          <w:szCs w:val="24"/>
        </w:rPr>
      </w:pPr>
      <w:r>
        <w:rPr>
          <w:rFonts w:hint="eastAsia" w:cs="Times New Roman" w:asciiTheme="minorEastAsia" w:hAnsiTheme="minorEastAsia" w:eastAsiaTheme="minorEastAsia"/>
          <w:b/>
          <w:bCs/>
          <w:color w:val="auto"/>
          <w:sz w:val="24"/>
          <w:szCs w:val="24"/>
        </w:rPr>
        <w:t>1.8.1</w:t>
      </w:r>
      <w:r>
        <w:rPr>
          <w:rFonts w:hint="eastAsia" w:asciiTheme="minorEastAsia" w:hAnsiTheme="minorEastAsia" w:eastAsiaTheme="minorEastAsia" w:cstheme="minorEastAsia"/>
          <w:b/>
          <w:bCs/>
          <w:color w:val="auto"/>
          <w:kern w:val="0"/>
          <w:sz w:val="24"/>
          <w:szCs w:val="24"/>
        </w:rPr>
        <w:t>.乙方在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4AD56667">
      <w:pPr>
        <w:spacing w:line="360" w:lineRule="auto"/>
        <w:ind w:firstLine="482" w:firstLineChars="200"/>
        <w:rPr>
          <w:rFonts w:hint="eastAsia" w:asciiTheme="minorEastAsia" w:hAnsiTheme="minorEastAsia" w:eastAsiaTheme="minorEastAsia" w:cstheme="minorEastAsia"/>
          <w:b/>
          <w:bCs/>
          <w:color w:val="auto"/>
          <w:kern w:val="0"/>
          <w:sz w:val="24"/>
          <w:szCs w:val="24"/>
        </w:rPr>
      </w:pPr>
      <w:r>
        <w:rPr>
          <w:rFonts w:hint="eastAsia" w:cs="Times New Roman" w:asciiTheme="minorEastAsia" w:hAnsiTheme="minorEastAsia" w:eastAsiaTheme="minorEastAsia"/>
          <w:b/>
          <w:bCs/>
          <w:color w:val="auto"/>
          <w:sz w:val="24"/>
          <w:szCs w:val="24"/>
        </w:rPr>
        <w:t>1.8.2</w:t>
      </w:r>
      <w:r>
        <w:rPr>
          <w:rFonts w:hint="eastAsia" w:asciiTheme="minorEastAsia" w:hAnsiTheme="minorEastAsia" w:eastAsiaTheme="minorEastAsia" w:cstheme="minorEastAsia"/>
          <w:b/>
          <w:bCs/>
          <w:color w:val="auto"/>
          <w:kern w:val="0"/>
          <w:sz w:val="24"/>
          <w:szCs w:val="24"/>
        </w:rPr>
        <w:t>项目实施前，乙方须提供本项目所有从业人员的社会保险（含工伤和医疗）缴纳证明，如无法提供相应证明材料，则须为本项目所有从业人员购买以下保险（二者任选其一）：雇主责任险或团体意外险，其保险费已包含在签约合同价中。</w:t>
      </w:r>
    </w:p>
    <w:p w14:paraId="4FB8B639">
      <w:pPr>
        <w:spacing w:line="360" w:lineRule="auto"/>
        <w:ind w:firstLine="482" w:firstLineChars="200"/>
        <w:rPr>
          <w:rFonts w:hint="eastAsia" w:ascii="宋体" w:hAnsi="宋体" w:eastAsia="宋体"/>
          <w:b/>
          <w:bCs/>
          <w:color w:val="auto"/>
          <w:sz w:val="24"/>
          <w:szCs w:val="24"/>
          <w:lang w:val="zh-CN"/>
        </w:rPr>
      </w:pPr>
      <w:r>
        <w:rPr>
          <w:rFonts w:hint="eastAsia" w:cs="Times New Roman" w:asciiTheme="minorEastAsia" w:hAnsiTheme="minorEastAsia" w:eastAsiaTheme="minorEastAsia"/>
          <w:b/>
          <w:bCs/>
          <w:color w:val="auto"/>
          <w:sz w:val="24"/>
          <w:szCs w:val="24"/>
        </w:rPr>
        <w:t>1.8.3</w:t>
      </w:r>
      <w:r>
        <w:rPr>
          <w:rFonts w:hint="eastAsia" w:ascii="宋体" w:hAnsi="宋体" w:eastAsia="宋体"/>
          <w:b/>
          <w:bCs/>
          <w:color w:val="auto"/>
          <w:sz w:val="24"/>
          <w:szCs w:val="24"/>
          <w:lang w:val="zh-CN"/>
        </w:rPr>
        <w:t>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27BE7636">
      <w:pPr>
        <w:spacing w:line="360" w:lineRule="auto"/>
        <w:ind w:firstLine="437"/>
        <w:outlineLvl w:val="2"/>
        <w:rPr>
          <w:rFonts w:hint="eastAsia" w:ascii="宋体" w:hAnsi="宋体" w:eastAsia="宋体"/>
          <w:b/>
          <w:bCs/>
          <w:color w:val="auto"/>
          <w:sz w:val="24"/>
          <w:szCs w:val="24"/>
          <w:lang w:val="zh-CN"/>
        </w:rPr>
      </w:pPr>
      <w:r>
        <w:rPr>
          <w:rFonts w:hint="eastAsia" w:ascii="宋体" w:hAnsi="宋体" w:eastAsia="宋体"/>
          <w:b/>
          <w:bCs/>
          <w:color w:val="auto"/>
          <w:sz w:val="24"/>
          <w:szCs w:val="24"/>
          <w:lang w:val="zh-CN"/>
        </w:rPr>
        <w:t>1.</w:t>
      </w:r>
      <w:r>
        <w:rPr>
          <w:rFonts w:hint="eastAsia" w:ascii="宋体" w:hAnsi="宋体" w:eastAsia="宋体"/>
          <w:b/>
          <w:bCs/>
          <w:color w:val="auto"/>
          <w:sz w:val="24"/>
          <w:szCs w:val="24"/>
        </w:rPr>
        <w:t>9</w:t>
      </w:r>
      <w:r>
        <w:rPr>
          <w:rFonts w:ascii="宋体" w:hAnsi="宋体" w:eastAsia="宋体"/>
          <w:b/>
          <w:bCs/>
          <w:color w:val="auto"/>
          <w:sz w:val="24"/>
          <w:szCs w:val="24"/>
          <w:lang w:val="zh-CN"/>
        </w:rPr>
        <w:t xml:space="preserve"> </w:t>
      </w:r>
      <w:r>
        <w:rPr>
          <w:rFonts w:hint="eastAsia" w:ascii="宋体" w:hAnsi="宋体" w:eastAsia="宋体"/>
          <w:b/>
          <w:bCs/>
          <w:color w:val="auto"/>
          <w:sz w:val="24"/>
          <w:szCs w:val="24"/>
          <w:lang w:val="zh-CN"/>
        </w:rPr>
        <w:t>合同</w:t>
      </w:r>
      <w:r>
        <w:rPr>
          <w:rFonts w:ascii="宋体" w:hAnsi="宋体" w:eastAsia="宋体"/>
          <w:b/>
          <w:bCs/>
          <w:color w:val="auto"/>
          <w:sz w:val="24"/>
          <w:szCs w:val="24"/>
          <w:lang w:val="zh-CN"/>
        </w:rPr>
        <w:t>争议的解决</w:t>
      </w:r>
      <w:bookmarkEnd w:id="106"/>
      <w:bookmarkEnd w:id="107"/>
      <w:bookmarkEnd w:id="108"/>
    </w:p>
    <w:p w14:paraId="0B0F82D7">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本合</w:t>
      </w:r>
      <w:r>
        <w:rPr>
          <w:rFonts w:ascii="宋体" w:hAnsi="宋体" w:eastAsia="宋体"/>
          <w:color w:val="auto"/>
          <w:sz w:val="24"/>
          <w:szCs w:val="24"/>
        </w:rPr>
        <w:t>同履行过程中发生的任何争议，双方当事人均可</w:t>
      </w:r>
      <w:r>
        <w:rPr>
          <w:rFonts w:hint="eastAsia" w:ascii="宋体" w:hAnsi="宋体" w:eastAsia="宋体"/>
          <w:color w:val="auto"/>
          <w:sz w:val="24"/>
          <w:szCs w:val="24"/>
        </w:rPr>
        <w:t>通过和解或者调解解决；不愿和解、调解或者和解、调解不成的，可以选择下列第</w:t>
      </w:r>
      <w:r>
        <w:rPr>
          <w:rFonts w:hint="eastAsia" w:ascii="宋体" w:hAnsi="宋体" w:eastAsia="宋体"/>
          <w:color w:val="auto"/>
          <w:sz w:val="24"/>
          <w:szCs w:val="24"/>
          <w:u w:val="single"/>
        </w:rPr>
        <w:t xml:space="preserve"> 1.9.1 </w:t>
      </w:r>
      <w:r>
        <w:rPr>
          <w:rFonts w:hint="eastAsia" w:ascii="宋体" w:hAnsi="宋体" w:eastAsia="宋体"/>
          <w:color w:val="auto"/>
          <w:sz w:val="24"/>
          <w:szCs w:val="24"/>
        </w:rPr>
        <w:t>种方式解决：</w:t>
      </w:r>
    </w:p>
    <w:p w14:paraId="38460A9B">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1.9.1将争议提交</w:t>
      </w:r>
      <w:r>
        <w:rPr>
          <w:rFonts w:hint="eastAsia" w:ascii="宋体" w:hAnsi="宋体" w:eastAsia="宋体"/>
          <w:color w:val="auto"/>
          <w:sz w:val="24"/>
          <w:szCs w:val="24"/>
          <w:u w:val="single"/>
        </w:rPr>
        <w:t xml:space="preserve"> </w:t>
      </w:r>
      <w:r>
        <w:rPr>
          <w:rFonts w:hint="eastAsia" w:ascii="宋体" w:hAnsi="宋体" w:eastAsia="宋体" w:cs="宋体"/>
          <w:bCs/>
          <w:color w:val="auto"/>
          <w:sz w:val="24"/>
          <w:szCs w:val="24"/>
          <w:u w:val="single"/>
        </w:rPr>
        <w:t>甲方法人证书登记的住所地</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仲裁委员会依申请仲裁时其现行有效的仲裁规则裁决；</w:t>
      </w:r>
    </w:p>
    <w:p w14:paraId="129BB992">
      <w:pPr>
        <w:spacing w:line="360" w:lineRule="auto"/>
        <w:ind w:firstLine="435"/>
        <w:rPr>
          <w:rFonts w:hint="eastAsia" w:ascii="宋体" w:hAnsi="宋体" w:eastAsia="宋体"/>
          <w:color w:val="auto"/>
          <w:sz w:val="24"/>
          <w:szCs w:val="24"/>
        </w:rPr>
      </w:pPr>
      <w:r>
        <w:rPr>
          <w:rFonts w:hint="eastAsia" w:ascii="宋体" w:hAnsi="宋体" w:eastAsia="宋体"/>
          <w:color w:val="auto"/>
          <w:sz w:val="24"/>
          <w:szCs w:val="24"/>
        </w:rPr>
        <w:t>1.9.2向</w:t>
      </w:r>
      <w:r>
        <w:rPr>
          <w:rFonts w:hint="eastAsia" w:ascii="宋体" w:hAnsi="宋体" w:eastAsia="宋体"/>
          <w:color w:val="auto"/>
          <w:sz w:val="24"/>
          <w:szCs w:val="24"/>
          <w:u w:val="single"/>
        </w:rPr>
        <w:t xml:space="preserve"> </w:t>
      </w:r>
      <w:r>
        <w:rPr>
          <w:rFonts w:hint="eastAsia" w:ascii="宋体" w:hAnsi="宋体" w:eastAsia="宋体" w:cs="宋体"/>
          <w:bCs/>
          <w:color w:val="auto"/>
          <w:sz w:val="24"/>
          <w:szCs w:val="24"/>
          <w:u w:val="single"/>
        </w:rPr>
        <w:t>甲方法人证书登记的住所地</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人民法院起诉。</w:t>
      </w:r>
    </w:p>
    <w:p w14:paraId="73F66463">
      <w:pPr>
        <w:spacing w:line="360" w:lineRule="auto"/>
        <w:ind w:firstLine="437"/>
        <w:outlineLvl w:val="2"/>
        <w:rPr>
          <w:rFonts w:hint="eastAsia" w:ascii="宋体" w:hAnsi="宋体" w:eastAsia="宋体"/>
          <w:b/>
          <w:bCs/>
          <w:color w:val="auto"/>
          <w:sz w:val="24"/>
          <w:szCs w:val="24"/>
          <w:lang w:val="zh-CN"/>
        </w:rPr>
      </w:pPr>
      <w:bookmarkStart w:id="109" w:name="_Toc7245"/>
      <w:bookmarkStart w:id="110" w:name="_Toc15322"/>
      <w:bookmarkStart w:id="111" w:name="_Toc11173"/>
      <w:r>
        <w:rPr>
          <w:rFonts w:hint="eastAsia" w:ascii="宋体" w:hAnsi="宋体" w:eastAsia="宋体"/>
          <w:b/>
          <w:bCs/>
          <w:color w:val="auto"/>
          <w:sz w:val="24"/>
          <w:szCs w:val="24"/>
          <w:lang w:val="zh-CN"/>
        </w:rPr>
        <w:t>1.</w:t>
      </w:r>
      <w:r>
        <w:rPr>
          <w:rFonts w:hint="eastAsia" w:ascii="宋体" w:hAnsi="宋体" w:eastAsia="宋体"/>
          <w:b/>
          <w:bCs/>
          <w:color w:val="auto"/>
          <w:sz w:val="24"/>
          <w:szCs w:val="24"/>
        </w:rPr>
        <w:t>10</w:t>
      </w:r>
      <w:r>
        <w:rPr>
          <w:rFonts w:ascii="宋体" w:hAnsi="宋体" w:eastAsia="宋体"/>
          <w:b/>
          <w:bCs/>
          <w:color w:val="auto"/>
          <w:sz w:val="24"/>
          <w:szCs w:val="24"/>
          <w:lang w:val="zh-CN"/>
        </w:rPr>
        <w:t xml:space="preserve"> 合同生效</w:t>
      </w:r>
      <w:bookmarkEnd w:id="109"/>
      <w:bookmarkEnd w:id="110"/>
      <w:bookmarkEnd w:id="111"/>
    </w:p>
    <w:p w14:paraId="2C0F8989">
      <w:pPr>
        <w:spacing w:line="360" w:lineRule="auto"/>
        <w:ind w:firstLine="435"/>
        <w:rPr>
          <w:rFonts w:hint="eastAsia" w:ascii="宋体" w:hAnsi="宋体" w:eastAsia="宋体"/>
          <w:color w:val="auto"/>
          <w:sz w:val="24"/>
          <w:szCs w:val="24"/>
          <w:lang w:val="zh-CN"/>
        </w:rPr>
      </w:pPr>
      <w:r>
        <w:rPr>
          <w:rFonts w:ascii="宋体" w:hAnsi="宋体" w:eastAsia="宋体"/>
          <w:color w:val="auto"/>
          <w:sz w:val="24"/>
          <w:szCs w:val="24"/>
        </w:rPr>
        <w:t>本合同自</w:t>
      </w:r>
      <w:r>
        <w:rPr>
          <w:rFonts w:hint="eastAsia" w:ascii="宋体" w:hAnsi="宋体" w:eastAsia="宋体"/>
          <w:color w:val="auto"/>
          <w:sz w:val="24"/>
          <w:szCs w:val="24"/>
        </w:rPr>
        <w:t>双方当事人盖章时</w:t>
      </w:r>
      <w:r>
        <w:rPr>
          <w:rFonts w:ascii="宋体" w:hAnsi="宋体" w:eastAsia="宋体"/>
          <w:color w:val="auto"/>
          <w:sz w:val="24"/>
          <w:szCs w:val="24"/>
        </w:rPr>
        <w:t>生效。</w:t>
      </w:r>
    </w:p>
    <w:p w14:paraId="07E56117">
      <w:pPr>
        <w:autoSpaceDE w:val="0"/>
        <w:autoSpaceDN w:val="0"/>
        <w:adjustRightInd w:val="0"/>
        <w:spacing w:line="560" w:lineRule="exact"/>
        <w:rPr>
          <w:rFonts w:hint="eastAsia" w:ascii="宋体" w:hAnsi="宋体" w:eastAsia="宋体"/>
          <w:color w:val="auto"/>
          <w:sz w:val="24"/>
          <w:szCs w:val="24"/>
          <w:lang w:val="zh-CN"/>
        </w:rPr>
      </w:pPr>
    </w:p>
    <w:p w14:paraId="300C52A0">
      <w:pPr>
        <w:autoSpaceDE w:val="0"/>
        <w:autoSpaceDN w:val="0"/>
        <w:adjustRightInd w:val="0"/>
        <w:spacing w:line="560" w:lineRule="exact"/>
        <w:rPr>
          <w:rFonts w:hint="eastAsia" w:cs="Times New Roman" w:asciiTheme="minorEastAsia" w:hAnsiTheme="minorEastAsia" w:eastAsiaTheme="minorEastAsia"/>
          <w:bCs/>
          <w:color w:val="auto"/>
          <w:sz w:val="24"/>
          <w:szCs w:val="24"/>
          <w:lang w:val="zh-CN"/>
        </w:rPr>
      </w:pPr>
      <w:r>
        <w:rPr>
          <w:rFonts w:hint="eastAsia" w:cs="Times New Roman" w:asciiTheme="minorEastAsia" w:hAnsiTheme="minorEastAsia" w:eastAsiaTheme="minorEastAsia"/>
          <w:bCs/>
          <w:color w:val="auto"/>
          <w:sz w:val="24"/>
          <w:szCs w:val="24"/>
          <w:lang w:val="zh-CN"/>
        </w:rPr>
        <w:t xml:space="preserve">甲 </w:t>
      </w:r>
      <w:r>
        <w:rPr>
          <w:rFonts w:cs="Times New Roman" w:asciiTheme="minorEastAsia" w:hAnsiTheme="minorEastAsia" w:eastAsiaTheme="minorEastAsia"/>
          <w:bCs/>
          <w:color w:val="auto"/>
          <w:sz w:val="24"/>
          <w:szCs w:val="24"/>
          <w:lang w:val="zh-CN"/>
        </w:rPr>
        <w:t xml:space="preserve">   </w:t>
      </w:r>
      <w:r>
        <w:rPr>
          <w:rFonts w:hint="eastAsia" w:cs="Times New Roman" w:asciiTheme="minorEastAsia" w:hAnsiTheme="minorEastAsia" w:eastAsiaTheme="minorEastAsia"/>
          <w:bCs/>
          <w:color w:val="auto"/>
          <w:sz w:val="24"/>
          <w:szCs w:val="24"/>
          <w:lang w:val="zh-CN"/>
        </w:rPr>
        <w:t>方：</w:t>
      </w:r>
      <w:r>
        <w:rPr>
          <w:rFonts w:hint="eastAsia" w:cs="Times New Roman" w:asciiTheme="minorEastAsia" w:hAnsiTheme="minorEastAsia" w:eastAsiaTheme="minorEastAsia"/>
          <w:bCs/>
          <w:color w:val="auto"/>
          <w:sz w:val="24"/>
          <w:szCs w:val="24"/>
          <w:u w:val="single"/>
          <w:lang w:val="zh-CN"/>
        </w:rPr>
        <w:t xml:space="preserve">    （单位盖章）     </w:t>
      </w:r>
      <w:r>
        <w:rPr>
          <w:rFonts w:hint="eastAsia" w:cs="Times New Roman" w:asciiTheme="minorEastAsia" w:hAnsiTheme="minorEastAsia" w:eastAsiaTheme="minorEastAsia"/>
          <w:bCs/>
          <w:color w:val="auto"/>
          <w:sz w:val="24"/>
          <w:szCs w:val="24"/>
          <w:lang w:val="zh-CN"/>
        </w:rPr>
        <w:t xml:space="preserve">          乙方：</w:t>
      </w:r>
      <w:r>
        <w:rPr>
          <w:rFonts w:hint="eastAsia" w:cs="Times New Roman" w:asciiTheme="minorEastAsia" w:hAnsiTheme="minorEastAsia" w:eastAsiaTheme="minorEastAsia"/>
          <w:bCs/>
          <w:color w:val="auto"/>
          <w:sz w:val="24"/>
          <w:szCs w:val="24"/>
          <w:u w:val="single"/>
          <w:lang w:val="zh-CN"/>
        </w:rPr>
        <w:t xml:space="preserve">    （单位盖章）     </w:t>
      </w:r>
    </w:p>
    <w:p w14:paraId="650208BC">
      <w:pPr>
        <w:autoSpaceDE w:val="0"/>
        <w:autoSpaceDN w:val="0"/>
        <w:adjustRightInd w:val="0"/>
        <w:spacing w:line="560" w:lineRule="exact"/>
        <w:rPr>
          <w:rFonts w:hint="eastAsia" w:cs="Times New Roman" w:asciiTheme="minorEastAsia" w:hAnsiTheme="minorEastAsia" w:eastAsiaTheme="minorEastAsia"/>
          <w:color w:val="auto"/>
          <w:sz w:val="24"/>
          <w:szCs w:val="24"/>
          <w:lang w:val="zh-CN"/>
        </w:rPr>
      </w:pPr>
      <w:r>
        <w:rPr>
          <w:rFonts w:hint="eastAsia" w:cs="Times New Roman" w:asciiTheme="minorEastAsia" w:hAnsiTheme="minorEastAsia" w:eastAsiaTheme="minorEastAsia"/>
          <w:color w:val="auto"/>
          <w:sz w:val="24"/>
          <w:szCs w:val="24"/>
          <w:lang w:val="zh-CN"/>
        </w:rPr>
        <w:t xml:space="preserve">法定代表人                             </w:t>
      </w:r>
      <w:r>
        <w:rPr>
          <w:rFonts w:cs="Times New Roman" w:asciiTheme="minorEastAsia" w:hAnsiTheme="minorEastAsia" w:eastAsiaTheme="minorEastAsia"/>
          <w:color w:val="auto"/>
          <w:sz w:val="24"/>
          <w:szCs w:val="24"/>
          <w:lang w:val="zh-CN"/>
        </w:rPr>
        <w:t xml:space="preserve">  </w:t>
      </w:r>
      <w:r>
        <w:rPr>
          <w:rFonts w:hint="eastAsia" w:cs="Times New Roman" w:asciiTheme="minorEastAsia" w:hAnsiTheme="minorEastAsia" w:eastAsiaTheme="minorEastAsia"/>
          <w:color w:val="auto"/>
          <w:sz w:val="24"/>
          <w:szCs w:val="24"/>
          <w:lang w:val="zh-CN"/>
        </w:rPr>
        <w:t>法定代表人</w:t>
      </w:r>
    </w:p>
    <w:p w14:paraId="52BE4D2D">
      <w:pPr>
        <w:autoSpaceDE w:val="0"/>
        <w:autoSpaceDN w:val="0"/>
        <w:adjustRightInd w:val="0"/>
        <w:spacing w:line="560" w:lineRule="exact"/>
        <w:rPr>
          <w:rFonts w:hint="eastAsia" w:cs="Times New Roman" w:asciiTheme="minorEastAsia" w:hAnsiTheme="minorEastAsia" w:eastAsiaTheme="minorEastAsia"/>
          <w:color w:val="auto"/>
          <w:sz w:val="24"/>
          <w:szCs w:val="24"/>
          <w:lang w:val="zh-CN"/>
        </w:rPr>
      </w:pPr>
      <w:r>
        <w:rPr>
          <w:rFonts w:hint="eastAsia" w:cs="Times New Roman" w:asciiTheme="minorEastAsia" w:hAnsiTheme="minorEastAsia" w:eastAsiaTheme="minorEastAsia"/>
          <w:color w:val="auto"/>
          <w:sz w:val="24"/>
          <w:szCs w:val="24"/>
          <w:lang w:val="zh-CN"/>
        </w:rPr>
        <w:t>或授权代表（签字）：                      或授权代表（签字）：</w:t>
      </w:r>
    </w:p>
    <w:p w14:paraId="3E69D17E">
      <w:pPr>
        <w:widowControl/>
        <w:spacing w:line="560" w:lineRule="exact"/>
        <w:jc w:val="left"/>
        <w:rPr>
          <w:rFonts w:hint="eastAsia" w:cs="Times New Roman" w:asciiTheme="minorEastAsia" w:hAnsiTheme="minorEastAsia" w:eastAsiaTheme="minorEastAsia"/>
          <w:bCs/>
          <w:color w:val="auto"/>
          <w:sz w:val="24"/>
          <w:szCs w:val="24"/>
        </w:rPr>
      </w:pPr>
      <w:r>
        <w:rPr>
          <w:rFonts w:hint="eastAsia" w:cs="Times New Roman" w:asciiTheme="minorEastAsia" w:hAnsiTheme="minorEastAsia" w:eastAsiaTheme="minorEastAsia"/>
          <w:bCs/>
          <w:color w:val="auto"/>
          <w:sz w:val="24"/>
          <w:szCs w:val="24"/>
        </w:rPr>
        <w:t>时间：</w:t>
      </w:r>
      <w:r>
        <w:rPr>
          <w:rFonts w:hint="eastAsia" w:cs="Times New Roman" w:asciiTheme="minorEastAsia" w:hAnsiTheme="minorEastAsia" w:eastAsiaTheme="minorEastAsia"/>
          <w:bCs/>
          <w:color w:val="auto"/>
          <w:sz w:val="24"/>
          <w:szCs w:val="24"/>
          <w:u w:val="single"/>
        </w:rPr>
        <w:t xml:space="preserve">  </w:t>
      </w:r>
      <w:r>
        <w:rPr>
          <w:rFonts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rPr>
        <w:t>年</w:t>
      </w:r>
      <w:r>
        <w:rPr>
          <w:rFonts w:hint="eastAsia" w:cs="Times New Roman" w:asciiTheme="minorEastAsia" w:hAnsiTheme="minorEastAsia" w:eastAsiaTheme="minorEastAsia"/>
          <w:bCs/>
          <w:color w:val="auto"/>
          <w:sz w:val="24"/>
          <w:szCs w:val="24"/>
          <w:u w:val="single"/>
        </w:rPr>
        <w:t xml:space="preserve">  </w:t>
      </w:r>
      <w:r>
        <w:rPr>
          <w:rFonts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rPr>
        <w:t>月</w:t>
      </w:r>
      <w:r>
        <w:rPr>
          <w:rFonts w:hint="eastAsia" w:cs="Times New Roman" w:asciiTheme="minorEastAsia" w:hAnsiTheme="minorEastAsia" w:eastAsiaTheme="minorEastAsia"/>
          <w:bCs/>
          <w:color w:val="auto"/>
          <w:sz w:val="24"/>
          <w:szCs w:val="24"/>
          <w:u w:val="single"/>
        </w:rPr>
        <w:t xml:space="preserve">  </w:t>
      </w:r>
      <w:r>
        <w:rPr>
          <w:rFonts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rPr>
        <w:t>日               时间：</w:t>
      </w:r>
      <w:r>
        <w:rPr>
          <w:rFonts w:hint="eastAsia" w:cs="Times New Roman" w:asciiTheme="minorEastAsia" w:hAnsiTheme="minorEastAsia" w:eastAsiaTheme="minorEastAsia"/>
          <w:bCs/>
          <w:color w:val="auto"/>
          <w:sz w:val="24"/>
          <w:szCs w:val="24"/>
          <w:u w:val="single"/>
        </w:rPr>
        <w:t xml:space="preserve">  </w:t>
      </w:r>
      <w:r>
        <w:rPr>
          <w:rFonts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rPr>
        <w:t>年</w:t>
      </w:r>
      <w:r>
        <w:rPr>
          <w:rFonts w:hint="eastAsia" w:cs="Times New Roman" w:asciiTheme="minorEastAsia" w:hAnsiTheme="minorEastAsia" w:eastAsiaTheme="minorEastAsia"/>
          <w:bCs/>
          <w:color w:val="auto"/>
          <w:sz w:val="24"/>
          <w:szCs w:val="24"/>
          <w:u w:val="single"/>
        </w:rPr>
        <w:t xml:space="preserve">  </w:t>
      </w:r>
      <w:r>
        <w:rPr>
          <w:rFonts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rPr>
        <w:t>月</w:t>
      </w:r>
      <w:r>
        <w:rPr>
          <w:rFonts w:hint="eastAsia" w:cs="Times New Roman" w:asciiTheme="minorEastAsia" w:hAnsiTheme="minorEastAsia" w:eastAsiaTheme="minorEastAsia"/>
          <w:bCs/>
          <w:color w:val="auto"/>
          <w:sz w:val="24"/>
          <w:szCs w:val="24"/>
          <w:u w:val="single"/>
        </w:rPr>
        <w:t xml:space="preserve"> </w:t>
      </w:r>
      <w:r>
        <w:rPr>
          <w:rFonts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u w:val="single"/>
        </w:rPr>
        <w:t xml:space="preserve">  </w:t>
      </w:r>
      <w:r>
        <w:rPr>
          <w:rFonts w:hint="eastAsia" w:cs="Times New Roman" w:asciiTheme="minorEastAsia" w:hAnsiTheme="minorEastAsia" w:eastAsiaTheme="minorEastAsia"/>
          <w:bCs/>
          <w:color w:val="auto"/>
          <w:sz w:val="24"/>
          <w:szCs w:val="24"/>
        </w:rPr>
        <w:t>日</w:t>
      </w:r>
    </w:p>
    <w:p w14:paraId="56916DB8">
      <w:pPr>
        <w:widowControl/>
        <w:spacing w:line="560" w:lineRule="exact"/>
        <w:jc w:val="left"/>
        <w:rPr>
          <w:rFonts w:hint="eastAsia" w:cs="Times New Roman" w:asciiTheme="minorEastAsia" w:hAnsiTheme="minorEastAsia" w:eastAsiaTheme="minorEastAsia"/>
          <w:bCs/>
          <w:color w:val="auto"/>
          <w:sz w:val="24"/>
          <w:szCs w:val="24"/>
        </w:rPr>
      </w:pPr>
      <w:r>
        <w:rPr>
          <w:rFonts w:hint="eastAsia" w:cs="Times New Roman" w:asciiTheme="minorEastAsia" w:hAnsiTheme="minorEastAsia" w:eastAsiaTheme="minorEastAsia"/>
          <w:bCs/>
          <w:color w:val="auto"/>
          <w:sz w:val="24"/>
          <w:szCs w:val="24"/>
        </w:rPr>
        <w:t xml:space="preserve">                                        乙方账户信息</w:t>
      </w:r>
    </w:p>
    <w:p w14:paraId="7685BC38">
      <w:pPr>
        <w:widowControl/>
        <w:spacing w:line="560" w:lineRule="exact"/>
        <w:jc w:val="left"/>
        <w:rPr>
          <w:rFonts w:hint="eastAsia" w:cs="Times New Roman" w:asciiTheme="minorEastAsia" w:hAnsiTheme="minorEastAsia" w:eastAsiaTheme="minorEastAsia"/>
          <w:bCs/>
          <w:color w:val="auto"/>
          <w:sz w:val="24"/>
          <w:szCs w:val="24"/>
          <w:u w:val="single"/>
        </w:rPr>
      </w:pPr>
      <w:r>
        <w:rPr>
          <w:rFonts w:hint="eastAsia" w:cs="Times New Roman" w:asciiTheme="minorEastAsia" w:hAnsiTheme="minorEastAsia" w:eastAsiaTheme="minorEastAsia"/>
          <w:bCs/>
          <w:color w:val="auto"/>
          <w:sz w:val="24"/>
          <w:szCs w:val="24"/>
        </w:rPr>
        <w:t xml:space="preserve">                                        户名：</w:t>
      </w:r>
      <w:r>
        <w:rPr>
          <w:rFonts w:hint="eastAsia" w:cs="Times New Roman" w:asciiTheme="minorEastAsia" w:hAnsiTheme="minorEastAsia" w:eastAsiaTheme="minorEastAsia"/>
          <w:bCs/>
          <w:color w:val="auto"/>
          <w:sz w:val="24"/>
          <w:szCs w:val="24"/>
          <w:u w:val="single"/>
        </w:rPr>
        <w:t xml:space="preserve">                    </w:t>
      </w:r>
    </w:p>
    <w:p w14:paraId="0D16B1C5">
      <w:pPr>
        <w:widowControl/>
        <w:spacing w:line="560" w:lineRule="exact"/>
        <w:jc w:val="left"/>
        <w:rPr>
          <w:rFonts w:hint="eastAsia" w:cs="Times New Roman" w:asciiTheme="minorEastAsia" w:hAnsiTheme="minorEastAsia" w:eastAsiaTheme="minorEastAsia"/>
          <w:bCs/>
          <w:color w:val="auto"/>
          <w:sz w:val="24"/>
          <w:szCs w:val="24"/>
          <w:u w:val="single"/>
        </w:rPr>
      </w:pPr>
      <w:r>
        <w:rPr>
          <w:rFonts w:hint="eastAsia" w:cs="Times New Roman" w:asciiTheme="minorEastAsia" w:hAnsiTheme="minorEastAsia" w:eastAsiaTheme="minorEastAsia"/>
          <w:bCs/>
          <w:color w:val="auto"/>
          <w:sz w:val="24"/>
          <w:szCs w:val="24"/>
        </w:rPr>
        <w:t xml:space="preserve">                                        账号：</w:t>
      </w:r>
      <w:r>
        <w:rPr>
          <w:rFonts w:hint="eastAsia" w:cs="Times New Roman" w:asciiTheme="minorEastAsia" w:hAnsiTheme="minorEastAsia" w:eastAsiaTheme="minorEastAsia"/>
          <w:bCs/>
          <w:color w:val="auto"/>
          <w:sz w:val="24"/>
          <w:szCs w:val="24"/>
          <w:u w:val="single"/>
        </w:rPr>
        <w:t xml:space="preserve">                    </w:t>
      </w:r>
    </w:p>
    <w:p w14:paraId="15EBF35D">
      <w:pPr>
        <w:widowControl/>
        <w:spacing w:line="560" w:lineRule="exact"/>
        <w:jc w:val="left"/>
        <w:rPr>
          <w:rFonts w:hint="eastAsia" w:cs="Times New Roman" w:asciiTheme="minorEastAsia" w:hAnsiTheme="minorEastAsia" w:eastAsiaTheme="minorEastAsia"/>
          <w:bCs/>
          <w:color w:val="auto"/>
          <w:sz w:val="24"/>
          <w:szCs w:val="24"/>
          <w:u w:val="single"/>
        </w:rPr>
      </w:pPr>
      <w:r>
        <w:rPr>
          <w:rFonts w:hint="eastAsia" w:cs="Times New Roman" w:asciiTheme="minorEastAsia" w:hAnsiTheme="minorEastAsia" w:eastAsiaTheme="minorEastAsia"/>
          <w:bCs/>
          <w:color w:val="auto"/>
          <w:sz w:val="24"/>
          <w:szCs w:val="24"/>
        </w:rPr>
        <w:t xml:space="preserve">                                        开户银行：</w:t>
      </w:r>
      <w:r>
        <w:rPr>
          <w:rFonts w:hint="eastAsia" w:cs="Times New Roman" w:asciiTheme="minorEastAsia" w:hAnsiTheme="minorEastAsia" w:eastAsiaTheme="minorEastAsia"/>
          <w:bCs/>
          <w:color w:val="auto"/>
          <w:sz w:val="24"/>
          <w:szCs w:val="24"/>
          <w:u w:val="single"/>
        </w:rPr>
        <w:t xml:space="preserve">                </w:t>
      </w:r>
    </w:p>
    <w:p w14:paraId="4467292A">
      <w:pPr>
        <w:widowControl/>
        <w:jc w:val="left"/>
        <w:rPr>
          <w:rFonts w:hint="eastAsia" w:ascii="宋体" w:hAnsi="宋体" w:eastAsia="宋体"/>
          <w:b/>
          <w:color w:val="auto"/>
          <w:sz w:val="24"/>
          <w:szCs w:val="24"/>
        </w:rPr>
      </w:pPr>
      <w:r>
        <w:rPr>
          <w:rFonts w:ascii="宋体" w:hAnsi="宋体" w:eastAsia="宋体"/>
          <w:b/>
          <w:color w:val="auto"/>
          <w:sz w:val="24"/>
          <w:szCs w:val="24"/>
        </w:rPr>
        <w:br w:type="page"/>
      </w:r>
    </w:p>
    <w:p w14:paraId="19D37B39">
      <w:pPr>
        <w:spacing w:line="360" w:lineRule="auto"/>
        <w:jc w:val="center"/>
        <w:outlineLvl w:val="1"/>
        <w:rPr>
          <w:rFonts w:ascii="宋体" w:hAnsi="宋体" w:eastAsia="宋体"/>
          <w:b/>
          <w:color w:val="auto"/>
          <w:sz w:val="24"/>
        </w:rPr>
      </w:pPr>
      <w:r>
        <w:rPr>
          <w:rFonts w:hint="eastAsia" w:ascii="宋体" w:hAnsi="宋体" w:eastAsia="宋体"/>
          <w:b/>
          <w:color w:val="auto"/>
          <w:sz w:val="24"/>
        </w:rPr>
        <w:t>第二部分</w:t>
      </w:r>
      <w:r>
        <w:rPr>
          <w:rFonts w:ascii="宋体" w:hAnsi="宋体" w:eastAsia="宋体"/>
          <w:b/>
          <w:color w:val="auto"/>
          <w:sz w:val="24"/>
        </w:rPr>
        <w:t xml:space="preserve"> </w:t>
      </w:r>
      <w:r>
        <w:rPr>
          <w:rFonts w:hint="eastAsia" w:ascii="宋体" w:hAnsi="宋体" w:eastAsia="宋体"/>
          <w:b/>
          <w:color w:val="auto"/>
          <w:sz w:val="24"/>
        </w:rPr>
        <w:t>合同一般条款</w:t>
      </w:r>
      <w:bookmarkEnd w:id="104"/>
      <w:bookmarkEnd w:id="105"/>
    </w:p>
    <w:p w14:paraId="79ED6D7F">
      <w:pPr>
        <w:spacing w:line="360" w:lineRule="auto"/>
        <w:ind w:firstLine="437"/>
        <w:outlineLvl w:val="2"/>
        <w:rPr>
          <w:rFonts w:ascii="宋体" w:hAnsi="宋体" w:eastAsia="宋体"/>
          <w:b/>
          <w:bCs/>
          <w:color w:val="auto"/>
          <w:sz w:val="24"/>
          <w:lang w:val="zh-CN"/>
        </w:rPr>
      </w:pPr>
      <w:bookmarkStart w:id="112" w:name="_Ref467378499"/>
      <w:bookmarkStart w:id="113" w:name="_Ref467379094"/>
      <w:bookmarkStart w:id="114" w:name="_Ref467379225"/>
      <w:bookmarkStart w:id="115" w:name="_Toc259093669"/>
      <w:bookmarkStart w:id="116" w:name="_Ref467379195"/>
      <w:bookmarkStart w:id="117" w:name="_Ref467378404"/>
      <w:bookmarkStart w:id="118" w:name="_Ref467378463"/>
      <w:bookmarkStart w:id="119" w:name="_Ref467379214"/>
      <w:bookmarkStart w:id="120" w:name="_Toc487900349"/>
      <w:bookmarkStart w:id="121" w:name="_Ref467379205"/>
      <w:bookmarkStart w:id="122" w:name="_Toc28763"/>
      <w:bookmarkStart w:id="123" w:name="_Toc16917"/>
      <w:bookmarkStart w:id="124" w:name="_Ref467379109"/>
      <w:bookmarkStart w:id="125" w:name="_Toc279701240"/>
      <w:bookmarkStart w:id="126" w:name="_Ref467379101"/>
      <w:bookmarkStart w:id="127" w:name="_Toc19614"/>
      <w:r>
        <w:rPr>
          <w:rFonts w:hint="eastAsia" w:ascii="宋体" w:hAnsi="宋体" w:eastAsia="宋体"/>
          <w:b/>
          <w:bCs/>
          <w:color w:val="auto"/>
          <w:sz w:val="24"/>
          <w:lang w:val="zh-CN"/>
        </w:rPr>
        <w:t>2.1</w:t>
      </w:r>
      <w:r>
        <w:rPr>
          <w:rFonts w:ascii="宋体" w:hAnsi="宋体" w:eastAsia="宋体"/>
          <w:b/>
          <w:bCs/>
          <w:color w:val="auto"/>
          <w:sz w:val="24"/>
          <w:lang w:val="zh-CN"/>
        </w:rPr>
        <w:t xml:space="preserve"> 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3CF5DBB">
      <w:pPr>
        <w:spacing w:line="360" w:lineRule="auto"/>
        <w:ind w:firstLine="435"/>
        <w:rPr>
          <w:rFonts w:ascii="宋体" w:hAnsi="宋体" w:eastAsia="宋体"/>
          <w:color w:val="auto"/>
          <w:sz w:val="24"/>
        </w:rPr>
      </w:pPr>
      <w:r>
        <w:rPr>
          <w:rFonts w:ascii="宋体" w:hAnsi="宋体" w:eastAsia="宋体"/>
          <w:color w:val="auto"/>
          <w:sz w:val="24"/>
        </w:rPr>
        <w:t>本合同中的下列</w:t>
      </w:r>
      <w:r>
        <w:rPr>
          <w:rFonts w:hint="eastAsia" w:ascii="宋体" w:hAnsi="宋体" w:eastAsia="宋体"/>
          <w:color w:val="auto"/>
          <w:sz w:val="24"/>
        </w:rPr>
        <w:t>词</w:t>
      </w:r>
      <w:r>
        <w:rPr>
          <w:rFonts w:ascii="宋体" w:hAnsi="宋体" w:eastAsia="宋体"/>
          <w:color w:val="auto"/>
          <w:sz w:val="24"/>
        </w:rPr>
        <w:t>语应</w:t>
      </w:r>
      <w:r>
        <w:rPr>
          <w:rFonts w:hint="eastAsia" w:ascii="宋体" w:hAnsi="宋体" w:eastAsia="宋体"/>
          <w:color w:val="auto"/>
          <w:sz w:val="24"/>
        </w:rPr>
        <w:t>按以下内容进行</w:t>
      </w:r>
      <w:r>
        <w:rPr>
          <w:rFonts w:ascii="宋体" w:hAnsi="宋体" w:eastAsia="宋体"/>
          <w:color w:val="auto"/>
          <w:sz w:val="24"/>
        </w:rPr>
        <w:t>解释：</w:t>
      </w:r>
    </w:p>
    <w:p w14:paraId="108BC5ED">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w:t>
      </w:r>
      <w:r>
        <w:rPr>
          <w:rFonts w:hint="eastAsia" w:ascii="宋体" w:hAnsi="宋体" w:eastAsia="宋体"/>
          <w:color w:val="auto"/>
          <w:sz w:val="24"/>
        </w:rPr>
        <w:t>.1</w:t>
      </w:r>
      <w:r>
        <w:rPr>
          <w:rFonts w:ascii="宋体" w:hAnsi="宋体" w:eastAsia="宋体"/>
          <w:color w:val="auto"/>
          <w:sz w:val="24"/>
        </w:rPr>
        <w:t>“合同”系指采购人和成交供应商签订的载明双方当事人所达成的协议，并包括所有的附件、附录和构成合同的其他文件。</w:t>
      </w:r>
    </w:p>
    <w:p w14:paraId="6AEA76E0">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1.2“合同价”系指根据合同约定，成交供应商在完全履行合同义务后</w:t>
      </w:r>
      <w:r>
        <w:rPr>
          <w:rFonts w:hint="eastAsia" w:ascii="宋体" w:hAnsi="宋体" w:eastAsia="宋体"/>
          <w:color w:val="auto"/>
          <w:sz w:val="24"/>
        </w:rPr>
        <w:t>，</w:t>
      </w:r>
      <w:r>
        <w:rPr>
          <w:rFonts w:ascii="宋体" w:hAnsi="宋体" w:eastAsia="宋体"/>
          <w:color w:val="auto"/>
          <w:sz w:val="24"/>
        </w:rPr>
        <w:t>采购人应支付给成交供应商的价格。</w:t>
      </w:r>
    </w:p>
    <w:p w14:paraId="6DE75919">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1.3“</w:t>
      </w:r>
      <w:r>
        <w:rPr>
          <w:rFonts w:hint="eastAsia" w:ascii="宋体" w:hAnsi="宋体" w:eastAsia="宋体"/>
          <w:color w:val="auto"/>
          <w:sz w:val="24"/>
        </w:rPr>
        <w:t>服务</w:t>
      </w:r>
      <w:r>
        <w:rPr>
          <w:rFonts w:ascii="宋体" w:hAnsi="宋体" w:eastAsia="宋体"/>
          <w:color w:val="auto"/>
          <w:sz w:val="24"/>
        </w:rPr>
        <w:t>”系指</w:t>
      </w:r>
      <w:r>
        <w:rPr>
          <w:rFonts w:hint="eastAsia" w:ascii="宋体" w:hAnsi="宋体" w:eastAsia="宋体"/>
          <w:color w:val="auto"/>
          <w:sz w:val="24"/>
        </w:rPr>
        <w:t>成交供应商</w:t>
      </w:r>
      <w:r>
        <w:rPr>
          <w:rFonts w:ascii="宋体" w:hAnsi="宋体" w:eastAsia="宋体"/>
          <w:color w:val="auto"/>
          <w:sz w:val="24"/>
        </w:rPr>
        <w:t>根据合同约定应向采购人</w:t>
      </w:r>
      <w:r>
        <w:rPr>
          <w:rFonts w:hint="eastAsia" w:ascii="宋体" w:hAnsi="宋体" w:eastAsia="宋体"/>
          <w:color w:val="auto"/>
          <w:sz w:val="24"/>
        </w:rPr>
        <w:t>履行</w:t>
      </w:r>
      <w:r>
        <w:rPr>
          <w:rFonts w:ascii="宋体" w:hAnsi="宋体" w:eastAsia="宋体"/>
          <w:color w:val="auto"/>
          <w:sz w:val="24"/>
        </w:rPr>
        <w:t>的</w:t>
      </w:r>
      <w:r>
        <w:rPr>
          <w:rFonts w:hint="eastAsia" w:ascii="宋体" w:hAnsi="宋体" w:eastAsia="宋体"/>
          <w:color w:val="auto"/>
          <w:sz w:val="24"/>
        </w:rPr>
        <w:t>除货物和工程以外的其他政府采购对象，包括采购人自身需要的服务和向社会公众提供的公共服务。</w:t>
      </w:r>
    </w:p>
    <w:p w14:paraId="2DC38C47">
      <w:pPr>
        <w:spacing w:line="360" w:lineRule="auto"/>
        <w:ind w:firstLine="435"/>
        <w:rPr>
          <w:rFonts w:ascii="宋体" w:hAnsi="宋体" w:eastAsia="宋体"/>
          <w:color w:val="auto"/>
          <w:sz w:val="24"/>
        </w:rPr>
      </w:pPr>
      <w:bookmarkStart w:id="128" w:name="_Ref467378840"/>
      <w:r>
        <w:rPr>
          <w:rFonts w:hint="eastAsia" w:ascii="宋体" w:hAnsi="宋体" w:eastAsia="宋体"/>
          <w:color w:val="auto"/>
          <w:sz w:val="24"/>
        </w:rPr>
        <w:t>2.</w:t>
      </w:r>
      <w:r>
        <w:rPr>
          <w:rFonts w:ascii="宋体" w:hAnsi="宋体" w:eastAsia="宋体"/>
          <w:color w:val="auto"/>
          <w:sz w:val="24"/>
        </w:rPr>
        <w:t>1.</w:t>
      </w:r>
      <w:r>
        <w:rPr>
          <w:rFonts w:hint="eastAsia" w:ascii="宋体" w:hAnsi="宋体" w:eastAsia="宋体"/>
          <w:color w:val="auto"/>
          <w:sz w:val="24"/>
        </w:rPr>
        <w:t>4</w:t>
      </w:r>
      <w:r>
        <w:rPr>
          <w:rFonts w:ascii="宋体" w:hAnsi="宋体" w:eastAsia="宋体"/>
          <w:color w:val="auto"/>
          <w:sz w:val="24"/>
        </w:rPr>
        <w:t>“</w:t>
      </w:r>
      <w:r>
        <w:rPr>
          <w:rFonts w:hint="eastAsia" w:ascii="宋体" w:hAnsi="宋体" w:eastAsia="宋体"/>
          <w:color w:val="auto"/>
          <w:sz w:val="24"/>
        </w:rPr>
        <w:t>甲方</w:t>
      </w:r>
      <w:r>
        <w:rPr>
          <w:rFonts w:ascii="宋体" w:hAnsi="宋体" w:eastAsia="宋体"/>
          <w:color w:val="auto"/>
          <w:sz w:val="24"/>
        </w:rPr>
        <w:t>”系指与</w:t>
      </w:r>
      <w:r>
        <w:rPr>
          <w:rFonts w:hint="eastAsia" w:ascii="宋体" w:hAnsi="宋体" w:eastAsia="宋体"/>
          <w:color w:val="auto"/>
          <w:sz w:val="24"/>
        </w:rPr>
        <w:t>成交供应商</w:t>
      </w:r>
      <w:r>
        <w:rPr>
          <w:rFonts w:ascii="宋体" w:hAnsi="宋体" w:eastAsia="宋体"/>
          <w:color w:val="auto"/>
          <w:sz w:val="24"/>
        </w:rPr>
        <w:t>签署合同的采购人</w:t>
      </w:r>
      <w:bookmarkEnd w:id="128"/>
      <w:r>
        <w:rPr>
          <w:rFonts w:hint="eastAsia" w:ascii="宋体" w:hAnsi="宋体" w:eastAsia="宋体"/>
          <w:color w:val="auto"/>
          <w:sz w:val="24"/>
        </w:rPr>
        <w:t>；采购人委托采购代理机构代表其与乙方签订合同的，采购人的授权委托书作为合同附件。</w:t>
      </w:r>
    </w:p>
    <w:p w14:paraId="6E954564">
      <w:pPr>
        <w:spacing w:line="360" w:lineRule="auto"/>
        <w:ind w:firstLine="435"/>
        <w:rPr>
          <w:rFonts w:ascii="宋体" w:hAnsi="宋体" w:eastAsia="宋体"/>
          <w:color w:val="auto"/>
          <w:sz w:val="24"/>
        </w:rPr>
      </w:pPr>
      <w:bookmarkStart w:id="129" w:name="_Ref467379400"/>
      <w:r>
        <w:rPr>
          <w:rFonts w:hint="eastAsia" w:ascii="宋体" w:hAnsi="宋体" w:eastAsia="宋体"/>
          <w:color w:val="auto"/>
          <w:sz w:val="24"/>
        </w:rPr>
        <w:t>2.</w:t>
      </w:r>
      <w:r>
        <w:rPr>
          <w:rFonts w:ascii="宋体" w:hAnsi="宋体" w:eastAsia="宋体"/>
          <w:color w:val="auto"/>
          <w:sz w:val="24"/>
        </w:rPr>
        <w:t>1.</w:t>
      </w:r>
      <w:r>
        <w:rPr>
          <w:rFonts w:hint="eastAsia" w:ascii="宋体" w:hAnsi="宋体" w:eastAsia="宋体"/>
          <w:color w:val="auto"/>
          <w:sz w:val="24"/>
        </w:rPr>
        <w:t>5</w:t>
      </w:r>
      <w:r>
        <w:rPr>
          <w:rFonts w:ascii="宋体" w:hAnsi="宋体" w:eastAsia="宋体"/>
          <w:color w:val="auto"/>
          <w:sz w:val="24"/>
        </w:rPr>
        <w:t>“乙方”系指根据合同约定</w:t>
      </w:r>
      <w:r>
        <w:rPr>
          <w:rFonts w:hint="eastAsia" w:ascii="宋体" w:hAnsi="宋体" w:eastAsia="宋体"/>
          <w:color w:val="auto"/>
          <w:sz w:val="24"/>
        </w:rPr>
        <w:t>提供服务</w:t>
      </w:r>
      <w:r>
        <w:rPr>
          <w:rFonts w:ascii="宋体" w:hAnsi="宋体" w:eastAsia="宋体"/>
          <w:color w:val="auto"/>
          <w:sz w:val="24"/>
        </w:rPr>
        <w:t>的成交供应商</w:t>
      </w:r>
      <w:bookmarkEnd w:id="129"/>
      <w:r>
        <w:rPr>
          <w:rFonts w:hint="eastAsia" w:ascii="宋体" w:hAnsi="宋体" w:eastAsia="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4AFAC5">
      <w:pPr>
        <w:spacing w:line="360" w:lineRule="auto"/>
        <w:ind w:firstLine="435"/>
        <w:rPr>
          <w:rFonts w:ascii="宋体" w:hAnsi="宋体" w:eastAsia="宋体"/>
          <w:color w:val="auto"/>
          <w:sz w:val="24"/>
        </w:rPr>
      </w:pPr>
      <w:bookmarkStart w:id="130" w:name="_Ref467379436"/>
      <w:r>
        <w:rPr>
          <w:rFonts w:hint="eastAsia" w:ascii="宋体" w:hAnsi="宋体" w:eastAsia="宋体"/>
          <w:color w:val="auto"/>
          <w:sz w:val="24"/>
        </w:rPr>
        <w:t>2.</w:t>
      </w:r>
      <w:r>
        <w:rPr>
          <w:rFonts w:ascii="宋体" w:hAnsi="宋体" w:eastAsia="宋体"/>
          <w:color w:val="auto"/>
          <w:sz w:val="24"/>
        </w:rPr>
        <w:t>1.</w:t>
      </w:r>
      <w:r>
        <w:rPr>
          <w:rFonts w:hint="eastAsia" w:ascii="宋体" w:hAnsi="宋体" w:eastAsia="宋体"/>
          <w:color w:val="auto"/>
          <w:sz w:val="24"/>
        </w:rPr>
        <w:t>6</w:t>
      </w:r>
      <w:r>
        <w:rPr>
          <w:rFonts w:ascii="宋体" w:hAnsi="宋体" w:eastAsia="宋体"/>
          <w:color w:val="auto"/>
          <w:sz w:val="24"/>
        </w:rPr>
        <w:t>“现场”系指合同约定</w:t>
      </w:r>
      <w:r>
        <w:rPr>
          <w:rFonts w:hint="eastAsia" w:ascii="宋体" w:hAnsi="宋体" w:eastAsia="宋体"/>
          <w:color w:val="auto"/>
          <w:sz w:val="24"/>
        </w:rPr>
        <w:t>提供服务</w:t>
      </w:r>
      <w:r>
        <w:rPr>
          <w:rFonts w:ascii="宋体" w:hAnsi="宋体" w:eastAsia="宋体"/>
          <w:color w:val="auto"/>
          <w:sz w:val="24"/>
        </w:rPr>
        <w:t>的地点。</w:t>
      </w:r>
      <w:bookmarkEnd w:id="130"/>
    </w:p>
    <w:p w14:paraId="108B7252">
      <w:pPr>
        <w:spacing w:line="360" w:lineRule="auto"/>
        <w:ind w:firstLine="437"/>
        <w:outlineLvl w:val="2"/>
        <w:rPr>
          <w:rFonts w:ascii="宋体" w:hAnsi="宋体" w:eastAsia="宋体"/>
          <w:b/>
          <w:bCs/>
          <w:color w:val="auto"/>
          <w:sz w:val="24"/>
          <w:lang w:val="zh-CN"/>
        </w:rPr>
      </w:pPr>
      <w:bookmarkStart w:id="131" w:name="_Toc27635"/>
      <w:bookmarkStart w:id="132" w:name="_Toc487900350"/>
      <w:bookmarkStart w:id="133" w:name="_Toc32504"/>
      <w:bookmarkStart w:id="134" w:name="_Toc13336"/>
      <w:bookmarkStart w:id="135" w:name="_Toc259093670"/>
      <w:bookmarkStart w:id="136" w:name="_Toc279701241"/>
      <w:r>
        <w:rPr>
          <w:rFonts w:hint="eastAsia" w:ascii="宋体" w:hAnsi="宋体" w:eastAsia="宋体"/>
          <w:b/>
          <w:bCs/>
          <w:color w:val="auto"/>
          <w:sz w:val="24"/>
          <w:lang w:val="zh-CN"/>
        </w:rPr>
        <w:t>2.</w:t>
      </w:r>
      <w:r>
        <w:rPr>
          <w:rFonts w:ascii="宋体" w:hAnsi="宋体" w:eastAsia="宋体"/>
          <w:b/>
          <w:bCs/>
          <w:color w:val="auto"/>
          <w:sz w:val="24"/>
          <w:lang w:val="zh-CN"/>
        </w:rPr>
        <w:t>2 技术规范</w:t>
      </w:r>
      <w:bookmarkEnd w:id="131"/>
      <w:bookmarkEnd w:id="132"/>
      <w:bookmarkEnd w:id="133"/>
      <w:bookmarkEnd w:id="134"/>
      <w:bookmarkEnd w:id="135"/>
      <w:bookmarkEnd w:id="136"/>
    </w:p>
    <w:p w14:paraId="1E22D1C2">
      <w:pPr>
        <w:spacing w:line="360" w:lineRule="auto"/>
        <w:ind w:firstLine="435"/>
        <w:rPr>
          <w:rFonts w:ascii="宋体" w:hAnsi="宋体" w:eastAsia="宋体"/>
          <w:color w:val="auto"/>
          <w:sz w:val="24"/>
        </w:rPr>
      </w:pPr>
      <w:r>
        <w:rPr>
          <w:rFonts w:ascii="宋体" w:hAnsi="宋体" w:eastAsia="宋体"/>
          <w:color w:val="auto"/>
          <w:sz w:val="24"/>
        </w:rPr>
        <w:t>货物所应遵守的技术规范应与采购文件规定的技术规范和技术规范附件(如果有的话)及其技术规范偏差表(如果被甲方接受的话)相一致</w:t>
      </w:r>
      <w:r>
        <w:rPr>
          <w:rFonts w:hint="eastAsia" w:ascii="宋体" w:hAnsi="宋体" w:eastAsia="宋体"/>
          <w:color w:val="auto"/>
          <w:sz w:val="24"/>
        </w:rPr>
        <w:t>；</w:t>
      </w:r>
      <w:r>
        <w:rPr>
          <w:rFonts w:ascii="宋体" w:hAnsi="宋体" w:eastAsia="宋体"/>
          <w:color w:val="auto"/>
          <w:sz w:val="24"/>
        </w:rPr>
        <w:t>如果采购文件中没有技术规范的相应说明，那么应以国家有关部门最新颁布的相应标准</w:t>
      </w:r>
      <w:r>
        <w:rPr>
          <w:rFonts w:hint="eastAsia" w:ascii="宋体" w:hAnsi="宋体" w:eastAsia="宋体"/>
          <w:color w:val="auto"/>
          <w:sz w:val="24"/>
        </w:rPr>
        <w:t>和</w:t>
      </w:r>
      <w:r>
        <w:rPr>
          <w:rFonts w:ascii="宋体" w:hAnsi="宋体" w:eastAsia="宋体"/>
          <w:color w:val="auto"/>
          <w:sz w:val="24"/>
        </w:rPr>
        <w:t>规范为准。</w:t>
      </w:r>
    </w:p>
    <w:p w14:paraId="46615C87">
      <w:pPr>
        <w:spacing w:line="360" w:lineRule="auto"/>
        <w:ind w:firstLine="437"/>
        <w:outlineLvl w:val="2"/>
        <w:rPr>
          <w:rFonts w:ascii="宋体" w:hAnsi="宋体" w:eastAsia="宋体"/>
          <w:b/>
          <w:bCs/>
          <w:color w:val="auto"/>
          <w:sz w:val="24"/>
          <w:lang w:val="zh-CN"/>
        </w:rPr>
      </w:pPr>
      <w:bookmarkStart w:id="137" w:name="_Toc9829"/>
      <w:bookmarkStart w:id="138" w:name="_Toc259093671"/>
      <w:bookmarkStart w:id="139" w:name="_Toc487900351"/>
      <w:bookmarkStart w:id="140" w:name="_Toc31634"/>
      <w:bookmarkStart w:id="141" w:name="_Toc279701242"/>
      <w:bookmarkStart w:id="142" w:name="_Toc27853"/>
      <w:r>
        <w:rPr>
          <w:rFonts w:hint="eastAsia" w:ascii="宋体" w:hAnsi="宋体" w:eastAsia="宋体"/>
          <w:b/>
          <w:bCs/>
          <w:color w:val="auto"/>
          <w:sz w:val="24"/>
          <w:lang w:val="zh-CN"/>
        </w:rPr>
        <w:t>2.</w:t>
      </w:r>
      <w:r>
        <w:rPr>
          <w:rFonts w:ascii="宋体" w:hAnsi="宋体" w:eastAsia="宋体"/>
          <w:b/>
          <w:bCs/>
          <w:color w:val="auto"/>
          <w:sz w:val="24"/>
          <w:lang w:val="zh-CN"/>
        </w:rPr>
        <w:t>3 知识产权</w:t>
      </w:r>
      <w:bookmarkEnd w:id="137"/>
      <w:bookmarkEnd w:id="138"/>
      <w:bookmarkEnd w:id="139"/>
      <w:bookmarkEnd w:id="140"/>
      <w:bookmarkEnd w:id="141"/>
      <w:bookmarkEnd w:id="142"/>
    </w:p>
    <w:p w14:paraId="206137BB">
      <w:pPr>
        <w:spacing w:line="360" w:lineRule="auto"/>
        <w:ind w:firstLine="435"/>
        <w:rPr>
          <w:rFonts w:ascii="宋体" w:hAnsi="宋体" w:eastAsia="宋体"/>
          <w:color w:val="auto"/>
          <w:sz w:val="24"/>
        </w:rPr>
      </w:pPr>
      <w:r>
        <w:rPr>
          <w:rFonts w:hint="eastAsia" w:ascii="宋体" w:hAnsi="宋体" w:eastAsia="宋体"/>
          <w:color w:val="auto"/>
          <w:sz w:val="24"/>
        </w:rPr>
        <w:t>2.3.1乙</w:t>
      </w:r>
      <w:r>
        <w:rPr>
          <w:rFonts w:ascii="宋体" w:hAnsi="宋体" w:eastAsia="宋体"/>
          <w:color w:val="auto"/>
          <w:sz w:val="24"/>
        </w:rPr>
        <w:t>方应保证</w:t>
      </w:r>
      <w:r>
        <w:rPr>
          <w:rFonts w:hint="eastAsia" w:ascii="宋体" w:hAnsi="宋体" w:eastAsia="宋体"/>
          <w:color w:val="auto"/>
          <w:sz w:val="24"/>
        </w:rPr>
        <w:t>其提供的服务</w:t>
      </w:r>
      <w:r>
        <w:rPr>
          <w:rFonts w:ascii="宋体" w:hAnsi="宋体" w:eastAsia="宋体"/>
          <w:color w:val="auto"/>
          <w:sz w:val="24"/>
        </w:rPr>
        <w:t>不受任何第三方提出的侵犯其著作权、商标权、专利权等知识产权方面的起诉</w:t>
      </w:r>
      <w:r>
        <w:rPr>
          <w:rFonts w:hint="eastAsia" w:ascii="宋体" w:hAnsi="宋体" w:eastAsia="宋体"/>
          <w:color w:val="auto"/>
          <w:sz w:val="24"/>
        </w:rPr>
        <w:t>；</w:t>
      </w:r>
      <w:r>
        <w:rPr>
          <w:rFonts w:ascii="宋体" w:hAnsi="宋体" w:eastAsia="宋体"/>
          <w:color w:val="auto"/>
          <w:sz w:val="24"/>
        </w:rPr>
        <w:t>如果任何第三方提出侵权</w:t>
      </w:r>
      <w:r>
        <w:rPr>
          <w:rFonts w:hint="eastAsia" w:ascii="宋体" w:hAnsi="宋体" w:eastAsia="宋体"/>
          <w:color w:val="auto"/>
          <w:sz w:val="24"/>
        </w:rPr>
        <w:t>指控</w:t>
      </w:r>
      <w:r>
        <w:rPr>
          <w:rFonts w:ascii="宋体" w:hAnsi="宋体" w:eastAsia="宋体"/>
          <w:color w:val="auto"/>
          <w:sz w:val="24"/>
        </w:rPr>
        <w:t>，那么乙方须与该第三方交涉并承担由此发生的一切责任、费用和赔偿</w:t>
      </w:r>
      <w:r>
        <w:rPr>
          <w:rFonts w:hint="eastAsia" w:ascii="宋体" w:hAnsi="宋体" w:eastAsia="宋体"/>
          <w:color w:val="auto"/>
          <w:sz w:val="24"/>
        </w:rPr>
        <w:t>；</w:t>
      </w:r>
    </w:p>
    <w:p w14:paraId="630839A9">
      <w:pPr>
        <w:spacing w:line="360" w:lineRule="auto"/>
        <w:ind w:firstLine="435"/>
        <w:rPr>
          <w:rFonts w:ascii="宋体" w:hAnsi="宋体" w:eastAsia="宋体"/>
          <w:color w:val="auto"/>
          <w:sz w:val="24"/>
        </w:rPr>
      </w:pPr>
      <w:r>
        <w:rPr>
          <w:rFonts w:hint="eastAsia" w:ascii="宋体" w:hAnsi="宋体" w:eastAsia="宋体"/>
          <w:color w:val="auto"/>
          <w:sz w:val="24"/>
        </w:rPr>
        <w:t>2.3.2具有知识产权的计算机软件等货物的知识产权归属，</w:t>
      </w: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7BF4E98C">
      <w:pPr>
        <w:spacing w:line="360" w:lineRule="auto"/>
        <w:ind w:firstLine="437"/>
        <w:outlineLvl w:val="2"/>
        <w:rPr>
          <w:rFonts w:ascii="宋体" w:hAnsi="宋体" w:eastAsia="宋体"/>
          <w:b/>
          <w:bCs/>
          <w:color w:val="auto"/>
          <w:sz w:val="24"/>
          <w:lang w:val="zh-CN"/>
        </w:rPr>
      </w:pPr>
      <w:bookmarkStart w:id="143" w:name="_Toc259093674"/>
      <w:bookmarkStart w:id="144" w:name="_Ref467378591"/>
      <w:bookmarkStart w:id="145" w:name="_Toc487900354"/>
      <w:bookmarkStart w:id="146" w:name="_Ref467379527"/>
      <w:bookmarkStart w:id="147" w:name="_Ref467379536"/>
      <w:bookmarkStart w:id="148" w:name="_Ref467379542"/>
      <w:bookmarkStart w:id="149" w:name="_Ref467378541"/>
      <w:bookmarkStart w:id="150" w:name="_Toc279701245"/>
      <w:bookmarkStart w:id="151" w:name="_Toc19074"/>
      <w:bookmarkStart w:id="152" w:name="_Toc30272"/>
      <w:bookmarkStart w:id="153" w:name="_Toc26182"/>
      <w:r>
        <w:rPr>
          <w:rFonts w:hint="eastAsia" w:ascii="宋体" w:hAnsi="宋体" w:eastAsia="宋体"/>
          <w:b/>
          <w:bCs/>
          <w:color w:val="auto"/>
          <w:sz w:val="24"/>
          <w:lang w:val="zh-CN"/>
        </w:rPr>
        <w:t>2.</w:t>
      </w:r>
      <w:bookmarkEnd w:id="143"/>
      <w:bookmarkEnd w:id="144"/>
      <w:bookmarkEnd w:id="145"/>
      <w:bookmarkEnd w:id="146"/>
      <w:bookmarkEnd w:id="147"/>
      <w:bookmarkEnd w:id="148"/>
      <w:bookmarkEnd w:id="149"/>
      <w:bookmarkEnd w:id="150"/>
      <w:r>
        <w:rPr>
          <w:rFonts w:ascii="宋体" w:hAnsi="宋体" w:eastAsia="宋体"/>
          <w:b/>
          <w:bCs/>
          <w:color w:val="auto"/>
          <w:sz w:val="24"/>
          <w:lang w:val="zh-CN"/>
        </w:rPr>
        <w:t xml:space="preserve">4 </w:t>
      </w:r>
      <w:r>
        <w:rPr>
          <w:rFonts w:hint="eastAsia" w:ascii="宋体" w:hAnsi="宋体" w:eastAsia="宋体"/>
          <w:b/>
          <w:bCs/>
          <w:color w:val="auto"/>
          <w:sz w:val="24"/>
          <w:lang w:val="zh-CN"/>
        </w:rPr>
        <w:t>履约检查和问题反馈</w:t>
      </w:r>
      <w:bookmarkEnd w:id="151"/>
      <w:bookmarkEnd w:id="152"/>
      <w:bookmarkEnd w:id="153"/>
    </w:p>
    <w:p w14:paraId="6F7A411D">
      <w:pPr>
        <w:spacing w:line="360" w:lineRule="auto"/>
        <w:ind w:firstLine="435"/>
        <w:rPr>
          <w:rFonts w:ascii="宋体" w:hAnsi="宋体" w:eastAsia="宋体"/>
          <w:color w:val="auto"/>
          <w:sz w:val="24"/>
        </w:rPr>
      </w:pPr>
      <w:bookmarkStart w:id="154" w:name="_Toc186431854"/>
      <w:bookmarkStart w:id="155" w:name="_Ref467379793"/>
      <w:bookmarkStart w:id="156" w:name="_Toc259093676"/>
      <w:bookmarkStart w:id="157" w:name="_Toc487900357"/>
      <w:bookmarkStart w:id="158" w:name="_Ref467379807"/>
      <w:bookmarkStart w:id="159" w:name="_Toc279701247"/>
      <w:r>
        <w:rPr>
          <w:rFonts w:hint="eastAsia" w:ascii="宋体" w:hAnsi="宋体" w:eastAsia="宋体"/>
          <w:color w:val="auto"/>
          <w:sz w:val="24"/>
        </w:rPr>
        <w:t>2.4</w:t>
      </w:r>
      <w:r>
        <w:rPr>
          <w:rFonts w:ascii="宋体" w:hAnsi="宋体" w:eastAsia="宋体"/>
          <w:color w:val="auto"/>
          <w:sz w:val="24"/>
        </w:rPr>
        <w:t>.1甲方</w:t>
      </w:r>
      <w:r>
        <w:rPr>
          <w:rFonts w:hint="eastAsia" w:ascii="宋体" w:hAnsi="宋体" w:eastAsia="宋体"/>
          <w:color w:val="auto"/>
          <w:sz w:val="24"/>
        </w:rPr>
        <w:t>有权</w:t>
      </w:r>
      <w:r>
        <w:rPr>
          <w:rFonts w:ascii="宋体" w:hAnsi="宋体" w:eastAsia="宋体"/>
          <w:color w:val="auto"/>
          <w:sz w:val="24"/>
        </w:rPr>
        <w:t>在其认为必要时</w:t>
      </w:r>
      <w:r>
        <w:rPr>
          <w:rFonts w:hint="eastAsia" w:ascii="宋体" w:hAnsi="宋体" w:eastAsia="宋体"/>
          <w:color w:val="auto"/>
          <w:sz w:val="24"/>
        </w:rPr>
        <w:t>，对乙方是否能够按照合同约定提供服务进行履约检查，以确保乙方所提供的服务能够依约满足甲方项目需求，但不得因履约检查妨碍乙方的正常工作，乙方应予积极配合；</w:t>
      </w:r>
    </w:p>
    <w:p w14:paraId="012B32FD">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4</w:t>
      </w:r>
      <w:r>
        <w:rPr>
          <w:rFonts w:hint="eastAsia" w:ascii="宋体" w:hAnsi="宋体" w:eastAsia="宋体"/>
          <w:color w:val="auto"/>
          <w:sz w:val="24"/>
        </w:rPr>
        <w:t>.2合同履行期间，甲方有权将履行过程中出现的问题反馈给乙方，双方当事人应以书面形式约定需要完善和改进的内容</w:t>
      </w:r>
      <w:bookmarkEnd w:id="154"/>
      <w:bookmarkStart w:id="160" w:name="_Toc186431855"/>
      <w:r>
        <w:rPr>
          <w:rFonts w:hint="eastAsia" w:ascii="宋体" w:hAnsi="宋体" w:eastAsia="宋体"/>
          <w:color w:val="auto"/>
          <w:sz w:val="24"/>
        </w:rPr>
        <w:t>。</w:t>
      </w:r>
    </w:p>
    <w:bookmarkEnd w:id="160"/>
    <w:p w14:paraId="55D2DF3F">
      <w:pPr>
        <w:spacing w:line="360" w:lineRule="auto"/>
        <w:ind w:firstLine="437"/>
        <w:outlineLvl w:val="2"/>
        <w:rPr>
          <w:rFonts w:ascii="宋体" w:hAnsi="宋体" w:eastAsia="宋体"/>
          <w:b/>
          <w:bCs/>
          <w:color w:val="auto"/>
          <w:sz w:val="24"/>
          <w:lang w:val="zh-CN"/>
        </w:rPr>
      </w:pPr>
      <w:bookmarkStart w:id="161" w:name="_Toc28451"/>
      <w:bookmarkStart w:id="162" w:name="_Toc7836"/>
      <w:bookmarkStart w:id="163" w:name="_Toc19219"/>
      <w:r>
        <w:rPr>
          <w:rFonts w:hint="eastAsia" w:ascii="宋体" w:hAnsi="宋体" w:eastAsia="宋体"/>
          <w:b/>
          <w:bCs/>
          <w:color w:val="auto"/>
          <w:sz w:val="24"/>
          <w:lang w:val="zh-CN"/>
        </w:rPr>
        <w:t>2.</w:t>
      </w:r>
      <w:r>
        <w:rPr>
          <w:rFonts w:ascii="宋体" w:hAnsi="宋体" w:eastAsia="宋体"/>
          <w:b/>
          <w:bCs/>
          <w:color w:val="auto"/>
          <w:sz w:val="24"/>
          <w:lang w:val="zh-CN"/>
        </w:rPr>
        <w:t>5</w:t>
      </w:r>
      <w:r>
        <w:rPr>
          <w:rFonts w:hint="eastAsia" w:ascii="宋体" w:hAnsi="宋体" w:eastAsia="宋体"/>
          <w:b/>
          <w:bCs/>
          <w:color w:val="auto"/>
          <w:sz w:val="24"/>
          <w:lang w:val="zh-CN"/>
        </w:rPr>
        <w:t xml:space="preserve"> </w:t>
      </w:r>
      <w:r>
        <w:rPr>
          <w:rFonts w:ascii="宋体" w:hAnsi="宋体" w:eastAsia="宋体"/>
          <w:b/>
          <w:bCs/>
          <w:color w:val="auto"/>
          <w:sz w:val="24"/>
          <w:lang w:val="zh-CN"/>
        </w:rPr>
        <w:t>结算方式和付款条件</w:t>
      </w:r>
      <w:bookmarkEnd w:id="155"/>
      <w:bookmarkEnd w:id="156"/>
      <w:bookmarkEnd w:id="157"/>
      <w:bookmarkEnd w:id="158"/>
      <w:bookmarkEnd w:id="159"/>
      <w:bookmarkEnd w:id="161"/>
      <w:bookmarkEnd w:id="162"/>
      <w:bookmarkEnd w:id="163"/>
    </w:p>
    <w:p w14:paraId="54DBBEF2">
      <w:pPr>
        <w:spacing w:line="360" w:lineRule="auto"/>
        <w:ind w:firstLine="435"/>
        <w:rPr>
          <w:rFonts w:ascii="宋体" w:hAnsi="宋体" w:eastAsia="宋体"/>
          <w:color w:val="auto"/>
          <w:sz w:val="24"/>
        </w:rPr>
      </w:pP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309DDC12">
      <w:pPr>
        <w:spacing w:line="360" w:lineRule="auto"/>
        <w:ind w:firstLine="437"/>
        <w:outlineLvl w:val="2"/>
        <w:rPr>
          <w:rFonts w:ascii="宋体" w:hAnsi="宋体" w:eastAsia="宋体"/>
          <w:b/>
          <w:bCs/>
          <w:color w:val="auto"/>
          <w:sz w:val="24"/>
          <w:lang w:val="zh-CN"/>
        </w:rPr>
      </w:pPr>
      <w:bookmarkStart w:id="164" w:name="_Ref467379923"/>
      <w:bookmarkStart w:id="165" w:name="_Ref467379863"/>
      <w:bookmarkStart w:id="166" w:name="_Toc259093677"/>
      <w:bookmarkStart w:id="167" w:name="_Toc279701248"/>
      <w:bookmarkStart w:id="168" w:name="_Ref467379852"/>
      <w:bookmarkStart w:id="169" w:name="_Toc487900358"/>
      <w:bookmarkStart w:id="170" w:name="_Toc3225"/>
      <w:bookmarkStart w:id="171" w:name="_Toc16110"/>
      <w:bookmarkStart w:id="172" w:name="_Toc774"/>
      <w:r>
        <w:rPr>
          <w:rFonts w:hint="eastAsia" w:ascii="宋体" w:hAnsi="宋体" w:eastAsia="宋体"/>
          <w:b/>
          <w:bCs/>
          <w:color w:val="auto"/>
          <w:sz w:val="24"/>
          <w:lang w:val="zh-CN"/>
        </w:rPr>
        <w:t>2.</w:t>
      </w:r>
      <w:r>
        <w:rPr>
          <w:rFonts w:ascii="宋体" w:hAnsi="宋体" w:eastAsia="宋体"/>
          <w:b/>
          <w:bCs/>
          <w:color w:val="auto"/>
          <w:sz w:val="24"/>
          <w:lang w:val="zh-CN"/>
        </w:rPr>
        <w:t>6</w:t>
      </w:r>
      <w:r>
        <w:rPr>
          <w:rFonts w:hint="eastAsia" w:ascii="宋体" w:hAnsi="宋体" w:eastAsia="宋体"/>
          <w:b/>
          <w:bCs/>
          <w:color w:val="auto"/>
          <w:sz w:val="24"/>
          <w:lang w:val="zh-CN"/>
        </w:rPr>
        <w:t xml:space="preserve"> </w:t>
      </w:r>
      <w:r>
        <w:rPr>
          <w:rFonts w:ascii="宋体" w:hAnsi="宋体" w:eastAsia="宋体"/>
          <w:b/>
          <w:bCs/>
          <w:color w:val="auto"/>
          <w:sz w:val="24"/>
          <w:lang w:val="zh-CN"/>
        </w:rPr>
        <w:t>技术资料</w:t>
      </w:r>
      <w:bookmarkEnd w:id="164"/>
      <w:bookmarkEnd w:id="165"/>
      <w:bookmarkEnd w:id="166"/>
      <w:bookmarkEnd w:id="167"/>
      <w:bookmarkEnd w:id="168"/>
      <w:bookmarkEnd w:id="169"/>
      <w:r>
        <w:rPr>
          <w:rFonts w:ascii="宋体" w:hAnsi="宋体" w:eastAsia="宋体"/>
          <w:b/>
          <w:bCs/>
          <w:color w:val="auto"/>
          <w:sz w:val="24"/>
          <w:lang w:val="zh-CN"/>
        </w:rPr>
        <w:t>和保密义务</w:t>
      </w:r>
      <w:bookmarkEnd w:id="170"/>
      <w:bookmarkEnd w:id="171"/>
      <w:bookmarkEnd w:id="172"/>
    </w:p>
    <w:p w14:paraId="256A4C7D">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6.1</w:t>
      </w:r>
      <w:r>
        <w:rPr>
          <w:rFonts w:hint="eastAsia" w:ascii="宋体" w:hAnsi="宋体" w:eastAsia="宋体"/>
          <w:color w:val="auto"/>
          <w:sz w:val="24"/>
        </w:rPr>
        <w:t>乙方有权依据合同约定和项目需要，向甲方了解有关情况，调阅有关资料等，甲方应予积极配合；</w:t>
      </w:r>
    </w:p>
    <w:p w14:paraId="0C0CDF1F">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6</w:t>
      </w:r>
      <w:r>
        <w:rPr>
          <w:rFonts w:hint="eastAsia" w:ascii="宋体" w:hAnsi="宋体" w:eastAsia="宋体"/>
          <w:color w:val="auto"/>
          <w:sz w:val="24"/>
        </w:rPr>
        <w:t>.2乙方有义务妥善保管和保护由甲方提供的前款信息和资料等；</w:t>
      </w:r>
    </w:p>
    <w:p w14:paraId="718042BF">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6.</w:t>
      </w:r>
      <w:r>
        <w:rPr>
          <w:rFonts w:hint="eastAsia" w:ascii="宋体" w:hAnsi="宋体" w:eastAsia="宋体"/>
          <w:color w:val="auto"/>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rPr>
        <w:t>技术情报</w:t>
      </w:r>
      <w:r>
        <w:rPr>
          <w:rFonts w:hint="eastAsia" w:ascii="宋体" w:hAnsi="宋体" w:eastAsia="宋体"/>
          <w:color w:val="auto"/>
          <w:sz w:val="24"/>
        </w:rPr>
        <w:t>、</w:t>
      </w:r>
      <w:r>
        <w:rPr>
          <w:rFonts w:ascii="宋体" w:hAnsi="宋体" w:eastAsia="宋体"/>
          <w:color w:val="auto"/>
          <w:sz w:val="24"/>
        </w:rPr>
        <w:t>技术资料</w:t>
      </w:r>
      <w:r>
        <w:rPr>
          <w:rFonts w:hint="eastAsia" w:ascii="宋体" w:hAnsi="宋体" w:eastAsia="宋体"/>
          <w:color w:val="auto"/>
          <w:sz w:val="24"/>
        </w:rPr>
        <w:t>、商业秘密和商业信息等，并采取一切合理和必要措施和方式防止任何第三方接触到对方当事人的上述保密信息和资料。</w:t>
      </w:r>
    </w:p>
    <w:p w14:paraId="733D128A">
      <w:pPr>
        <w:spacing w:line="360" w:lineRule="auto"/>
        <w:ind w:firstLine="437"/>
        <w:outlineLvl w:val="2"/>
        <w:rPr>
          <w:rFonts w:ascii="宋体" w:hAnsi="宋体" w:eastAsia="宋体"/>
          <w:b/>
          <w:bCs/>
          <w:color w:val="auto"/>
          <w:sz w:val="24"/>
          <w:lang w:val="zh-CN"/>
        </w:rPr>
      </w:pPr>
      <w:bookmarkStart w:id="173" w:name="_Toc7860"/>
      <w:r>
        <w:rPr>
          <w:rFonts w:ascii="宋体" w:hAnsi="宋体" w:eastAsia="宋体"/>
          <w:b/>
          <w:bCs/>
          <w:color w:val="auto"/>
          <w:sz w:val="24"/>
          <w:lang w:val="zh-CN"/>
        </w:rPr>
        <w:t>2.7 质量保证</w:t>
      </w:r>
      <w:bookmarkEnd w:id="173"/>
    </w:p>
    <w:p w14:paraId="0DEB866C">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7</w:t>
      </w:r>
      <w:r>
        <w:rPr>
          <w:rFonts w:hint="eastAsia" w:ascii="宋体" w:hAnsi="宋体" w:eastAsia="宋体"/>
          <w:color w:val="auto"/>
          <w:sz w:val="24"/>
        </w:rPr>
        <w:t>.1乙方应建立和完善履行合同的内部质量保证体系，并提供相关内部规章制度给甲方，以便甲方进行监督检查；</w:t>
      </w:r>
    </w:p>
    <w:p w14:paraId="5B2B5B4B">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7</w:t>
      </w:r>
      <w:r>
        <w:rPr>
          <w:rFonts w:hint="eastAsia" w:ascii="宋体" w:hAnsi="宋体" w:eastAsia="宋体"/>
          <w:color w:val="auto"/>
          <w:sz w:val="24"/>
        </w:rPr>
        <w:t>.2乙方应保证履行合同的人员数量和素质、软件和硬件设备的配置、场地、环境和设施等满足全面履行合同的要求，并应接受甲方的监督检查。</w:t>
      </w:r>
    </w:p>
    <w:p w14:paraId="6D1BBD22">
      <w:pPr>
        <w:spacing w:line="360" w:lineRule="auto"/>
        <w:ind w:firstLine="437"/>
        <w:outlineLvl w:val="2"/>
        <w:rPr>
          <w:rFonts w:ascii="宋体" w:hAnsi="宋体" w:eastAsia="宋体"/>
          <w:b/>
          <w:color w:val="auto"/>
          <w:sz w:val="24"/>
        </w:rPr>
      </w:pPr>
      <w:bookmarkStart w:id="174" w:name="_Toc22267"/>
      <w:r>
        <w:rPr>
          <w:rFonts w:hint="eastAsia" w:ascii="宋体" w:hAnsi="宋体" w:eastAsia="宋体"/>
          <w:b/>
          <w:color w:val="auto"/>
          <w:sz w:val="24"/>
        </w:rPr>
        <w:t>2.8 延迟履行</w:t>
      </w:r>
      <w:bookmarkEnd w:id="174"/>
    </w:p>
    <w:p w14:paraId="0769B01D">
      <w:pPr>
        <w:spacing w:line="360" w:lineRule="auto"/>
        <w:ind w:firstLine="435"/>
        <w:rPr>
          <w:rFonts w:ascii="宋体" w:hAnsi="宋体" w:eastAsia="宋体"/>
          <w:color w:val="auto"/>
          <w:sz w:val="24"/>
        </w:rPr>
      </w:pPr>
      <w:r>
        <w:rPr>
          <w:rFonts w:ascii="宋体" w:hAnsi="宋体" w:eastAsia="宋体"/>
          <w:color w:val="auto"/>
          <w:sz w:val="24"/>
        </w:rPr>
        <w:t>在合同履行过程中，如果乙方遇到不能按时</w:t>
      </w:r>
      <w:r>
        <w:rPr>
          <w:rFonts w:hint="eastAsia" w:ascii="宋体" w:hAnsi="宋体" w:eastAsia="宋体"/>
          <w:color w:val="auto"/>
          <w:sz w:val="24"/>
        </w:rPr>
        <w:t>提供服务</w:t>
      </w:r>
      <w:r>
        <w:rPr>
          <w:rFonts w:ascii="宋体" w:hAnsi="宋体" w:eastAsia="宋体"/>
          <w:color w:val="auto"/>
          <w:sz w:val="24"/>
        </w:rPr>
        <w:t>的情况，应及时以书面形式将不能按时</w:t>
      </w:r>
      <w:r>
        <w:rPr>
          <w:rFonts w:hint="eastAsia" w:ascii="宋体" w:hAnsi="宋体" w:eastAsia="宋体"/>
          <w:color w:val="auto"/>
          <w:sz w:val="24"/>
        </w:rPr>
        <w:t>提供服务</w:t>
      </w:r>
      <w:r>
        <w:rPr>
          <w:rFonts w:ascii="宋体" w:hAnsi="宋体" w:eastAsia="宋体"/>
          <w:color w:val="auto"/>
          <w:sz w:val="24"/>
        </w:rPr>
        <w:t>的理由、预期延误时间通知甲方</w:t>
      </w:r>
      <w:r>
        <w:rPr>
          <w:rFonts w:hint="eastAsia" w:ascii="宋体" w:hAnsi="宋体" w:eastAsia="宋体"/>
          <w:color w:val="auto"/>
          <w:sz w:val="24"/>
        </w:rPr>
        <w:t>；甲</w:t>
      </w:r>
      <w:r>
        <w:rPr>
          <w:rFonts w:ascii="宋体" w:hAnsi="宋体" w:eastAsia="宋体"/>
          <w:color w:val="auto"/>
          <w:sz w:val="24"/>
        </w:rPr>
        <w:t>方收到乙方通知后，认为其理由正当的，可以书面形式酌情同意乙方可以延长</w:t>
      </w:r>
      <w:r>
        <w:rPr>
          <w:rFonts w:hint="eastAsia" w:ascii="宋体" w:hAnsi="宋体" w:eastAsia="宋体"/>
          <w:color w:val="auto"/>
          <w:sz w:val="24"/>
        </w:rPr>
        <w:t>履行</w:t>
      </w:r>
      <w:r>
        <w:rPr>
          <w:rFonts w:ascii="宋体" w:hAnsi="宋体" w:eastAsia="宋体"/>
          <w:color w:val="auto"/>
          <w:sz w:val="24"/>
        </w:rPr>
        <w:t>的具体时间。</w:t>
      </w:r>
    </w:p>
    <w:p w14:paraId="7BCE544B">
      <w:pPr>
        <w:spacing w:line="360" w:lineRule="auto"/>
        <w:ind w:firstLine="437"/>
        <w:outlineLvl w:val="2"/>
        <w:rPr>
          <w:rFonts w:ascii="宋体" w:hAnsi="宋体" w:eastAsia="宋体"/>
          <w:b/>
          <w:bCs/>
          <w:color w:val="auto"/>
          <w:sz w:val="24"/>
          <w:lang w:val="zh-CN"/>
        </w:rPr>
      </w:pPr>
      <w:bookmarkStart w:id="175" w:name="_Toc7502"/>
      <w:bookmarkStart w:id="176" w:name="_Toc279701254"/>
      <w:bookmarkStart w:id="177" w:name="_Toc487900364"/>
      <w:bookmarkStart w:id="178" w:name="_Toc259093683"/>
      <w:bookmarkStart w:id="179" w:name="_Ref467378121"/>
      <w:r>
        <w:rPr>
          <w:rFonts w:ascii="宋体" w:hAnsi="宋体" w:eastAsia="宋体"/>
          <w:b/>
          <w:bCs/>
          <w:color w:val="auto"/>
          <w:sz w:val="24"/>
          <w:lang w:val="zh-CN"/>
        </w:rPr>
        <w:t>2.9 合同变更</w:t>
      </w:r>
      <w:bookmarkEnd w:id="175"/>
    </w:p>
    <w:p w14:paraId="5F38516F">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9</w:t>
      </w:r>
      <w:r>
        <w:rPr>
          <w:rFonts w:hint="eastAsia" w:ascii="宋体" w:hAnsi="宋体" w:eastAsia="宋体"/>
          <w:color w:val="auto"/>
          <w:sz w:val="24"/>
        </w:rPr>
        <w:t>.1双方当事人协商一致，可以签订书面补充合同的形式变更合同，但不得违背采购文件确定的事项；</w:t>
      </w:r>
    </w:p>
    <w:p w14:paraId="22186147">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9</w:t>
      </w:r>
      <w:r>
        <w:rPr>
          <w:rFonts w:hint="eastAsia" w:ascii="宋体" w:hAnsi="宋体" w:eastAsia="宋体"/>
          <w:color w:val="auto"/>
          <w:sz w:val="24"/>
        </w:rPr>
        <w:t>.2合同继续履行将损害国家利益和社会公共利益的，双方当事人应当以书面形式变更合同。有过错的一方应当承担赔偿责任，双方当事人都有过错的，各自承担相应的责任。</w:t>
      </w:r>
      <w:bookmarkStart w:id="180" w:name="_Toc279701259"/>
      <w:bookmarkStart w:id="181" w:name="_Toc487900369"/>
      <w:bookmarkStart w:id="182" w:name="_Toc259093688"/>
    </w:p>
    <w:p w14:paraId="43D94510">
      <w:pPr>
        <w:spacing w:line="360" w:lineRule="auto"/>
        <w:ind w:firstLine="437"/>
        <w:outlineLvl w:val="2"/>
        <w:rPr>
          <w:rFonts w:ascii="宋体" w:hAnsi="宋体" w:eastAsia="宋体"/>
          <w:b/>
          <w:bCs/>
          <w:color w:val="auto"/>
          <w:sz w:val="24"/>
          <w:lang w:val="zh-CN"/>
        </w:rPr>
      </w:pPr>
      <w:bookmarkStart w:id="183" w:name="_Toc10366"/>
      <w:bookmarkStart w:id="184" w:name="_Toc15237"/>
      <w:bookmarkStart w:id="185" w:name="_Toc22955"/>
      <w:r>
        <w:rPr>
          <w:rFonts w:hint="eastAsia" w:ascii="宋体" w:hAnsi="宋体" w:eastAsia="宋体"/>
          <w:b/>
          <w:bCs/>
          <w:color w:val="auto"/>
          <w:sz w:val="24"/>
          <w:lang w:val="zh-CN"/>
        </w:rPr>
        <w:t>2.1</w:t>
      </w:r>
      <w:r>
        <w:rPr>
          <w:rFonts w:ascii="宋体" w:hAnsi="宋体" w:eastAsia="宋体"/>
          <w:b/>
          <w:bCs/>
          <w:color w:val="auto"/>
          <w:sz w:val="24"/>
          <w:lang w:val="zh-CN"/>
        </w:rPr>
        <w:t>0</w:t>
      </w:r>
      <w:r>
        <w:rPr>
          <w:rFonts w:hint="eastAsia" w:ascii="宋体" w:hAnsi="宋体" w:eastAsia="宋体"/>
          <w:b/>
          <w:bCs/>
          <w:color w:val="auto"/>
          <w:sz w:val="24"/>
          <w:lang w:val="zh-CN"/>
        </w:rPr>
        <w:t xml:space="preserve"> </w:t>
      </w:r>
      <w:r>
        <w:rPr>
          <w:rFonts w:ascii="宋体" w:hAnsi="宋体" w:eastAsia="宋体"/>
          <w:b/>
          <w:bCs/>
          <w:color w:val="auto"/>
          <w:sz w:val="24"/>
          <w:lang w:val="zh-CN"/>
        </w:rPr>
        <w:t>合同转让</w:t>
      </w:r>
      <w:bookmarkEnd w:id="180"/>
      <w:bookmarkEnd w:id="181"/>
      <w:bookmarkEnd w:id="182"/>
      <w:r>
        <w:rPr>
          <w:rFonts w:ascii="宋体" w:hAnsi="宋体" w:eastAsia="宋体"/>
          <w:b/>
          <w:bCs/>
          <w:color w:val="auto"/>
          <w:sz w:val="24"/>
          <w:lang w:val="zh-CN"/>
        </w:rPr>
        <w:t>和分包</w:t>
      </w:r>
      <w:bookmarkEnd w:id="183"/>
      <w:bookmarkEnd w:id="184"/>
      <w:bookmarkEnd w:id="185"/>
    </w:p>
    <w:p w14:paraId="6E7923C4">
      <w:pPr>
        <w:spacing w:line="360" w:lineRule="auto"/>
        <w:ind w:firstLine="435"/>
        <w:rPr>
          <w:rFonts w:ascii="宋体" w:hAnsi="宋体" w:eastAsia="宋体"/>
          <w:color w:val="auto"/>
          <w:sz w:val="24"/>
        </w:rPr>
      </w:pPr>
      <w:r>
        <w:rPr>
          <w:rFonts w:ascii="宋体" w:hAnsi="宋体" w:eastAsia="宋体"/>
          <w:color w:val="auto"/>
          <w:sz w:val="24"/>
        </w:rPr>
        <w:t>合同的权利义务依法不</w:t>
      </w:r>
      <w:r>
        <w:rPr>
          <w:rFonts w:hint="eastAsia" w:ascii="宋体" w:hAnsi="宋体" w:eastAsia="宋体"/>
          <w:color w:val="auto"/>
          <w:sz w:val="24"/>
        </w:rPr>
        <w:t>得</w:t>
      </w:r>
      <w:r>
        <w:rPr>
          <w:rFonts w:ascii="宋体" w:hAnsi="宋体" w:eastAsia="宋体"/>
          <w:color w:val="auto"/>
          <w:sz w:val="24"/>
        </w:rPr>
        <w:t>转让</w:t>
      </w:r>
      <w:r>
        <w:rPr>
          <w:rFonts w:hint="eastAsia" w:ascii="宋体" w:hAnsi="宋体" w:eastAsia="宋体"/>
          <w:color w:val="auto"/>
          <w:sz w:val="24"/>
        </w:rPr>
        <w:t>，</w:t>
      </w:r>
      <w:r>
        <w:rPr>
          <w:rFonts w:ascii="宋体" w:hAnsi="宋体" w:eastAsia="宋体"/>
          <w:color w:val="auto"/>
          <w:sz w:val="24"/>
        </w:rPr>
        <w:t>但经甲方</w:t>
      </w:r>
      <w:r>
        <w:rPr>
          <w:rFonts w:hint="eastAsia" w:ascii="宋体" w:hAnsi="宋体" w:eastAsia="宋体"/>
          <w:color w:val="auto"/>
          <w:sz w:val="24"/>
        </w:rPr>
        <w:t>同意，乙方可以依法采取分包方式履行合同，即：依法可以</w:t>
      </w:r>
      <w:r>
        <w:rPr>
          <w:rFonts w:ascii="宋体" w:hAnsi="宋体" w:eastAsia="宋体"/>
          <w:color w:val="auto"/>
          <w:sz w:val="24"/>
        </w:rPr>
        <w:t>将合同项下的部分非主体、非关键性工作分包给他人完成</w:t>
      </w:r>
      <w:r>
        <w:rPr>
          <w:rFonts w:hint="eastAsia" w:ascii="宋体" w:hAnsi="宋体" w:eastAsia="宋体"/>
          <w:color w:val="auto"/>
          <w:sz w:val="24"/>
        </w:rPr>
        <w:t>，</w:t>
      </w:r>
      <w:r>
        <w:rPr>
          <w:rFonts w:ascii="宋体" w:hAnsi="宋体" w:eastAsia="宋体"/>
          <w:color w:val="auto"/>
          <w:sz w:val="24"/>
        </w:rPr>
        <w:t>接受分包的人应当具备相应的资格条件，并不得再次分包</w:t>
      </w:r>
      <w:r>
        <w:rPr>
          <w:rFonts w:hint="eastAsia" w:ascii="宋体" w:hAnsi="宋体" w:eastAsia="宋体"/>
          <w:color w:val="auto"/>
          <w:sz w:val="24"/>
        </w:rPr>
        <w:t>，</w:t>
      </w:r>
      <w:r>
        <w:rPr>
          <w:rFonts w:ascii="宋体" w:hAnsi="宋体" w:eastAsia="宋体"/>
          <w:color w:val="auto"/>
          <w:sz w:val="24"/>
        </w:rPr>
        <w:t>且乙方应就分包项目向甲方负责</w:t>
      </w:r>
      <w:r>
        <w:rPr>
          <w:rFonts w:hint="eastAsia" w:ascii="宋体" w:hAnsi="宋体" w:eastAsia="宋体"/>
          <w:color w:val="auto"/>
          <w:sz w:val="24"/>
        </w:rPr>
        <w:t>，</w:t>
      </w:r>
      <w:r>
        <w:rPr>
          <w:rFonts w:ascii="宋体" w:hAnsi="宋体" w:eastAsia="宋体"/>
          <w:color w:val="auto"/>
          <w:sz w:val="24"/>
        </w:rPr>
        <w:t>并</w:t>
      </w:r>
      <w:r>
        <w:rPr>
          <w:rFonts w:hint="eastAsia" w:ascii="宋体" w:hAnsi="宋体" w:eastAsia="宋体"/>
          <w:color w:val="auto"/>
          <w:sz w:val="24"/>
        </w:rPr>
        <w:t>与分包供应商就分包项目向甲方承担连带责任。</w:t>
      </w:r>
    </w:p>
    <w:p w14:paraId="4E58CA5F">
      <w:pPr>
        <w:spacing w:line="360" w:lineRule="auto"/>
        <w:ind w:firstLine="437"/>
        <w:outlineLvl w:val="2"/>
        <w:rPr>
          <w:rFonts w:ascii="宋体" w:hAnsi="宋体" w:eastAsia="宋体"/>
          <w:b/>
          <w:bCs/>
          <w:color w:val="auto"/>
          <w:sz w:val="24"/>
          <w:lang w:val="zh-CN"/>
        </w:rPr>
      </w:pPr>
      <w:bookmarkStart w:id="186" w:name="_Toc13566"/>
      <w:bookmarkStart w:id="187" w:name="_Toc16508"/>
      <w:bookmarkStart w:id="188" w:name="_Toc14066"/>
      <w:r>
        <w:rPr>
          <w:rFonts w:hint="eastAsia" w:ascii="宋体" w:hAnsi="宋体" w:eastAsia="宋体"/>
          <w:b/>
          <w:bCs/>
          <w:color w:val="auto"/>
          <w:sz w:val="24"/>
          <w:lang w:val="zh-CN"/>
        </w:rPr>
        <w:t>2.1</w:t>
      </w:r>
      <w:r>
        <w:rPr>
          <w:rFonts w:ascii="宋体" w:hAnsi="宋体" w:eastAsia="宋体"/>
          <w:b/>
          <w:bCs/>
          <w:color w:val="auto"/>
          <w:sz w:val="24"/>
          <w:lang w:val="zh-CN"/>
        </w:rPr>
        <w:t>1 不可抗力</w:t>
      </w:r>
      <w:bookmarkEnd w:id="186"/>
      <w:bookmarkEnd w:id="187"/>
      <w:bookmarkEnd w:id="188"/>
    </w:p>
    <w:p w14:paraId="7FC0EF04">
      <w:pPr>
        <w:spacing w:line="360" w:lineRule="auto"/>
        <w:ind w:firstLine="435"/>
        <w:rPr>
          <w:rFonts w:ascii="宋体" w:hAnsi="宋体" w:eastAsia="宋体"/>
          <w:color w:val="auto"/>
          <w:sz w:val="24"/>
        </w:rPr>
      </w:pPr>
      <w:r>
        <w:rPr>
          <w:rFonts w:hint="eastAsia" w:ascii="宋体" w:hAnsi="宋体" w:eastAsia="宋体"/>
          <w:color w:val="auto"/>
          <w:sz w:val="24"/>
        </w:rPr>
        <w:t>2.1</w:t>
      </w:r>
      <w:r>
        <w:rPr>
          <w:rFonts w:ascii="宋体" w:hAnsi="宋体" w:eastAsia="宋体"/>
          <w:color w:val="auto"/>
          <w:sz w:val="24"/>
        </w:rPr>
        <w:t>1.1如果任何一方遭遇法律规定的不可抗力，致使合同履行受阻时，履行合同的期限应予延长，延长的期限应相当于不可抗力所影响的时间</w:t>
      </w:r>
      <w:r>
        <w:rPr>
          <w:rFonts w:hint="eastAsia" w:ascii="宋体" w:hAnsi="宋体" w:eastAsia="宋体"/>
          <w:color w:val="auto"/>
          <w:sz w:val="24"/>
        </w:rPr>
        <w:t>；</w:t>
      </w:r>
    </w:p>
    <w:p w14:paraId="515C153C">
      <w:pPr>
        <w:spacing w:line="360" w:lineRule="auto"/>
        <w:ind w:firstLine="435"/>
        <w:rPr>
          <w:rFonts w:ascii="宋体" w:hAnsi="宋体" w:eastAsia="宋体"/>
          <w:color w:val="auto"/>
          <w:sz w:val="24"/>
        </w:rPr>
      </w:pPr>
      <w:r>
        <w:rPr>
          <w:rFonts w:hint="eastAsia" w:ascii="宋体" w:hAnsi="宋体" w:eastAsia="宋体"/>
          <w:color w:val="auto"/>
          <w:sz w:val="24"/>
        </w:rPr>
        <w:t>2.1</w:t>
      </w:r>
      <w:r>
        <w:rPr>
          <w:rFonts w:ascii="宋体" w:hAnsi="宋体" w:eastAsia="宋体"/>
          <w:color w:val="auto"/>
          <w:sz w:val="24"/>
        </w:rPr>
        <w:t>1</w:t>
      </w:r>
      <w:r>
        <w:rPr>
          <w:rFonts w:hint="eastAsia" w:ascii="宋体" w:hAnsi="宋体" w:eastAsia="宋体"/>
          <w:color w:val="auto"/>
          <w:sz w:val="24"/>
        </w:rPr>
        <w:t>.2因不可抗力致使不能实现合同目的的，当事人可以解除合同；</w:t>
      </w:r>
    </w:p>
    <w:p w14:paraId="7A406151">
      <w:pPr>
        <w:spacing w:line="360" w:lineRule="auto"/>
        <w:ind w:firstLine="435"/>
        <w:rPr>
          <w:rFonts w:ascii="宋体" w:hAnsi="宋体" w:eastAsia="宋体"/>
          <w:color w:val="auto"/>
          <w:sz w:val="24"/>
        </w:rPr>
      </w:pPr>
      <w:r>
        <w:rPr>
          <w:rFonts w:hint="eastAsia" w:ascii="宋体" w:hAnsi="宋体" w:eastAsia="宋体"/>
          <w:color w:val="auto"/>
          <w:sz w:val="24"/>
        </w:rPr>
        <w:t>2.1</w:t>
      </w:r>
      <w:r>
        <w:rPr>
          <w:rFonts w:ascii="宋体" w:hAnsi="宋体" w:eastAsia="宋体"/>
          <w:color w:val="auto"/>
          <w:sz w:val="24"/>
        </w:rPr>
        <w:t>1</w:t>
      </w:r>
      <w:r>
        <w:rPr>
          <w:rFonts w:hint="eastAsia" w:ascii="宋体" w:hAnsi="宋体" w:eastAsia="宋体"/>
          <w:color w:val="auto"/>
          <w:sz w:val="24"/>
        </w:rPr>
        <w:t>.3因</w:t>
      </w:r>
      <w:r>
        <w:rPr>
          <w:rFonts w:ascii="宋体" w:hAnsi="宋体" w:eastAsia="宋体"/>
          <w:color w:val="auto"/>
          <w:sz w:val="24"/>
        </w:rPr>
        <w:t>不可抗力致使合同有变更必要的，双方当事人应在</w:t>
      </w:r>
      <w:r>
        <w:rPr>
          <w:rFonts w:ascii="宋体" w:hAnsi="宋体" w:eastAsia="宋体"/>
          <w:b/>
          <w:i/>
          <w:color w:val="auto"/>
          <w:sz w:val="24"/>
          <w:u w:val="single"/>
        </w:rPr>
        <w:t>合同专用条款</w:t>
      </w:r>
      <w:r>
        <w:rPr>
          <w:rFonts w:ascii="宋体" w:hAnsi="宋体" w:eastAsia="宋体"/>
          <w:color w:val="auto"/>
          <w:sz w:val="24"/>
        </w:rPr>
        <w:t>约定时间内以书面形式变更合同</w:t>
      </w:r>
      <w:r>
        <w:rPr>
          <w:rFonts w:hint="eastAsia" w:ascii="宋体" w:hAnsi="宋体" w:eastAsia="宋体"/>
          <w:color w:val="auto"/>
          <w:sz w:val="24"/>
        </w:rPr>
        <w:t>；</w:t>
      </w:r>
    </w:p>
    <w:p w14:paraId="21265B81">
      <w:pPr>
        <w:spacing w:line="360" w:lineRule="auto"/>
        <w:ind w:firstLine="435"/>
        <w:rPr>
          <w:rFonts w:ascii="宋体" w:hAnsi="宋体" w:eastAsia="宋体"/>
          <w:color w:val="auto"/>
          <w:sz w:val="24"/>
        </w:rPr>
      </w:pPr>
      <w:r>
        <w:rPr>
          <w:rFonts w:hint="eastAsia" w:ascii="宋体" w:hAnsi="宋体" w:eastAsia="宋体"/>
          <w:color w:val="auto"/>
          <w:sz w:val="24"/>
        </w:rPr>
        <w:t>2.1</w:t>
      </w:r>
      <w:r>
        <w:rPr>
          <w:rFonts w:ascii="宋体" w:hAnsi="宋体" w:eastAsia="宋体"/>
          <w:color w:val="auto"/>
          <w:sz w:val="24"/>
        </w:rPr>
        <w:t>1.</w:t>
      </w:r>
      <w:r>
        <w:rPr>
          <w:rFonts w:hint="eastAsia" w:ascii="宋体" w:hAnsi="宋体" w:eastAsia="宋体"/>
          <w:color w:val="auto"/>
          <w:sz w:val="24"/>
        </w:rPr>
        <w:t>4</w:t>
      </w:r>
      <w:r>
        <w:rPr>
          <w:rFonts w:ascii="宋体" w:hAnsi="宋体" w:eastAsia="宋体"/>
          <w:color w:val="auto"/>
          <w:sz w:val="24"/>
        </w:rPr>
        <w:t>受</w:t>
      </w:r>
      <w:r>
        <w:rPr>
          <w:rFonts w:hint="eastAsia" w:ascii="宋体" w:hAnsi="宋体" w:eastAsia="宋体"/>
          <w:color w:val="auto"/>
          <w:sz w:val="24"/>
        </w:rPr>
        <w:t>不可抗力</w:t>
      </w:r>
      <w:r>
        <w:rPr>
          <w:rFonts w:ascii="宋体" w:hAnsi="宋体" w:eastAsia="宋体"/>
          <w:color w:val="auto"/>
          <w:sz w:val="24"/>
        </w:rPr>
        <w:t>影响的一方在不可抗力发生后</w:t>
      </w:r>
      <w:r>
        <w:rPr>
          <w:rFonts w:hint="eastAsia" w:ascii="宋体" w:hAnsi="宋体" w:eastAsia="宋体"/>
          <w:color w:val="auto"/>
          <w:sz w:val="24"/>
        </w:rPr>
        <w:t>，</w:t>
      </w:r>
      <w:r>
        <w:rPr>
          <w:rFonts w:ascii="宋体" w:hAnsi="宋体" w:eastAsia="宋体"/>
          <w:color w:val="auto"/>
          <w:sz w:val="24"/>
        </w:rPr>
        <w:t>应在</w:t>
      </w:r>
      <w:r>
        <w:rPr>
          <w:rFonts w:ascii="宋体" w:hAnsi="宋体" w:eastAsia="宋体"/>
          <w:b/>
          <w:i/>
          <w:color w:val="auto"/>
          <w:sz w:val="24"/>
          <w:u w:val="single"/>
        </w:rPr>
        <w:t>合同专用条款</w:t>
      </w:r>
      <w:r>
        <w:rPr>
          <w:rFonts w:ascii="宋体" w:hAnsi="宋体" w:eastAsia="宋体"/>
          <w:color w:val="auto"/>
          <w:sz w:val="24"/>
        </w:rPr>
        <w:t>约定时间内以书面形式通知</w:t>
      </w:r>
      <w:r>
        <w:rPr>
          <w:rFonts w:hint="eastAsia" w:ascii="宋体" w:hAnsi="宋体" w:eastAsia="宋体"/>
          <w:color w:val="auto"/>
          <w:sz w:val="24"/>
        </w:rPr>
        <w:t>对</w:t>
      </w:r>
      <w:r>
        <w:rPr>
          <w:rFonts w:ascii="宋体" w:hAnsi="宋体" w:eastAsia="宋体"/>
          <w:color w:val="auto"/>
          <w:sz w:val="24"/>
        </w:rPr>
        <w:t>方当事人，并在</w:t>
      </w:r>
      <w:r>
        <w:rPr>
          <w:rFonts w:ascii="宋体" w:hAnsi="宋体" w:eastAsia="宋体"/>
          <w:b/>
          <w:i/>
          <w:color w:val="auto"/>
          <w:sz w:val="24"/>
          <w:u w:val="single"/>
        </w:rPr>
        <w:t>合同专用条款</w:t>
      </w:r>
      <w:r>
        <w:rPr>
          <w:rFonts w:ascii="宋体" w:hAnsi="宋体" w:eastAsia="宋体"/>
          <w:color w:val="auto"/>
          <w:sz w:val="24"/>
        </w:rPr>
        <w:t>约定时间内，将有关部门出具的证明文件送达</w:t>
      </w:r>
      <w:r>
        <w:rPr>
          <w:rFonts w:hint="eastAsia" w:ascii="宋体" w:hAnsi="宋体" w:eastAsia="宋体"/>
          <w:color w:val="auto"/>
          <w:sz w:val="24"/>
        </w:rPr>
        <w:t>对方当事人</w:t>
      </w:r>
      <w:r>
        <w:rPr>
          <w:rFonts w:ascii="宋体" w:hAnsi="宋体" w:eastAsia="宋体"/>
          <w:color w:val="auto"/>
          <w:sz w:val="24"/>
        </w:rPr>
        <w:t>。</w:t>
      </w:r>
    </w:p>
    <w:p w14:paraId="4281B8E1">
      <w:pPr>
        <w:spacing w:line="360" w:lineRule="auto"/>
        <w:ind w:firstLine="437"/>
        <w:outlineLvl w:val="2"/>
        <w:rPr>
          <w:rFonts w:ascii="宋体" w:hAnsi="宋体" w:eastAsia="宋体"/>
          <w:b/>
          <w:bCs/>
          <w:color w:val="auto"/>
          <w:sz w:val="24"/>
          <w:lang w:val="zh-CN"/>
        </w:rPr>
      </w:pPr>
      <w:bookmarkStart w:id="189" w:name="_Toc259093684"/>
      <w:bookmarkStart w:id="190" w:name="_Toc6969"/>
      <w:bookmarkStart w:id="191" w:name="_Toc279701255"/>
      <w:bookmarkStart w:id="192" w:name="_Toc689"/>
      <w:bookmarkStart w:id="193" w:name="_Toc30676"/>
      <w:bookmarkStart w:id="194" w:name="_Toc487900365"/>
      <w:r>
        <w:rPr>
          <w:rFonts w:hint="eastAsia" w:ascii="宋体" w:hAnsi="宋体" w:eastAsia="宋体"/>
          <w:b/>
          <w:bCs/>
          <w:color w:val="auto"/>
          <w:sz w:val="24"/>
          <w:lang w:val="zh-CN"/>
        </w:rPr>
        <w:t>2.</w:t>
      </w:r>
      <w:r>
        <w:rPr>
          <w:rFonts w:ascii="宋体" w:hAnsi="宋体" w:eastAsia="宋体"/>
          <w:b/>
          <w:bCs/>
          <w:color w:val="auto"/>
          <w:sz w:val="24"/>
          <w:lang w:val="zh-CN"/>
        </w:rPr>
        <w:t>12</w:t>
      </w:r>
      <w:r>
        <w:rPr>
          <w:rFonts w:hint="eastAsia" w:ascii="宋体" w:hAnsi="宋体" w:eastAsia="宋体"/>
          <w:b/>
          <w:bCs/>
          <w:color w:val="auto"/>
          <w:sz w:val="24"/>
          <w:lang w:val="zh-CN"/>
        </w:rPr>
        <w:t xml:space="preserve"> </w:t>
      </w:r>
      <w:r>
        <w:rPr>
          <w:rFonts w:ascii="宋体" w:hAnsi="宋体" w:eastAsia="宋体"/>
          <w:b/>
          <w:bCs/>
          <w:color w:val="auto"/>
          <w:sz w:val="24"/>
          <w:lang w:val="zh-CN"/>
        </w:rPr>
        <w:t>税费</w:t>
      </w:r>
      <w:bookmarkEnd w:id="189"/>
      <w:bookmarkEnd w:id="190"/>
      <w:bookmarkEnd w:id="191"/>
      <w:bookmarkEnd w:id="192"/>
      <w:bookmarkEnd w:id="193"/>
      <w:bookmarkEnd w:id="194"/>
    </w:p>
    <w:p w14:paraId="45EB2C6F">
      <w:pPr>
        <w:spacing w:line="360" w:lineRule="auto"/>
        <w:ind w:firstLine="435"/>
        <w:rPr>
          <w:rFonts w:ascii="宋体" w:hAnsi="宋体" w:eastAsia="宋体"/>
          <w:color w:val="auto"/>
          <w:sz w:val="24"/>
        </w:rPr>
      </w:pPr>
      <w:r>
        <w:rPr>
          <w:rFonts w:ascii="宋体" w:hAnsi="宋体" w:eastAsia="宋体"/>
          <w:color w:val="auto"/>
          <w:sz w:val="24"/>
        </w:rPr>
        <w:t>与合同有关的一切税费</w:t>
      </w:r>
      <w:r>
        <w:rPr>
          <w:rFonts w:hint="eastAsia" w:ascii="宋体" w:hAnsi="宋体" w:eastAsia="宋体"/>
          <w:color w:val="auto"/>
          <w:sz w:val="24"/>
        </w:rPr>
        <w:t>，</w:t>
      </w:r>
      <w:r>
        <w:rPr>
          <w:rFonts w:ascii="宋体" w:hAnsi="宋体" w:eastAsia="宋体"/>
          <w:color w:val="auto"/>
          <w:sz w:val="24"/>
        </w:rPr>
        <w:t>均按照中华人民共和国法律的相关规定</w:t>
      </w:r>
      <w:r>
        <w:rPr>
          <w:rFonts w:hint="eastAsia" w:ascii="宋体" w:hAnsi="宋体" w:eastAsia="宋体"/>
          <w:color w:val="auto"/>
          <w:sz w:val="24"/>
        </w:rPr>
        <w:t>缴纳</w:t>
      </w:r>
      <w:r>
        <w:rPr>
          <w:rFonts w:ascii="宋体" w:hAnsi="宋体" w:eastAsia="宋体"/>
          <w:color w:val="auto"/>
          <w:sz w:val="24"/>
        </w:rPr>
        <w:t>。</w:t>
      </w:r>
    </w:p>
    <w:p w14:paraId="7F476AC0">
      <w:pPr>
        <w:spacing w:line="360" w:lineRule="auto"/>
        <w:ind w:firstLine="437"/>
        <w:outlineLvl w:val="2"/>
        <w:rPr>
          <w:rFonts w:ascii="宋体" w:hAnsi="宋体" w:eastAsia="宋体"/>
          <w:b/>
          <w:bCs/>
          <w:color w:val="auto"/>
          <w:sz w:val="24"/>
          <w:lang w:val="zh-CN"/>
        </w:rPr>
      </w:pPr>
      <w:bookmarkStart w:id="195" w:name="_Toc487900368"/>
      <w:bookmarkStart w:id="196" w:name="_Toc8298"/>
      <w:bookmarkStart w:id="197" w:name="_Toc279701258"/>
      <w:bookmarkStart w:id="198" w:name="_Toc259093687"/>
      <w:bookmarkStart w:id="199" w:name="_Toc7102"/>
      <w:bookmarkStart w:id="200" w:name="_Toc16959"/>
      <w:r>
        <w:rPr>
          <w:rFonts w:hint="eastAsia" w:ascii="宋体" w:hAnsi="宋体" w:eastAsia="宋体"/>
          <w:b/>
          <w:bCs/>
          <w:color w:val="auto"/>
          <w:sz w:val="24"/>
          <w:lang w:val="zh-CN"/>
        </w:rPr>
        <w:t>2.</w:t>
      </w:r>
      <w:r>
        <w:rPr>
          <w:rFonts w:ascii="宋体" w:hAnsi="宋体" w:eastAsia="宋体"/>
          <w:b/>
          <w:bCs/>
          <w:color w:val="auto"/>
          <w:sz w:val="24"/>
          <w:lang w:val="zh-CN"/>
        </w:rPr>
        <w:t>13</w:t>
      </w:r>
      <w:r>
        <w:rPr>
          <w:rFonts w:hint="eastAsia" w:ascii="宋体" w:hAnsi="宋体" w:eastAsia="宋体"/>
          <w:b/>
          <w:bCs/>
          <w:color w:val="auto"/>
          <w:sz w:val="24"/>
          <w:lang w:val="zh-CN"/>
        </w:rPr>
        <w:t xml:space="preserve"> </w:t>
      </w:r>
      <w:r>
        <w:rPr>
          <w:rFonts w:ascii="宋体" w:hAnsi="宋体" w:eastAsia="宋体"/>
          <w:b/>
          <w:bCs/>
          <w:color w:val="auto"/>
          <w:sz w:val="24"/>
          <w:lang w:val="zh-CN"/>
        </w:rPr>
        <w:t>乙方破产</w:t>
      </w:r>
      <w:bookmarkEnd w:id="195"/>
      <w:bookmarkEnd w:id="196"/>
      <w:bookmarkEnd w:id="197"/>
      <w:bookmarkEnd w:id="198"/>
      <w:bookmarkEnd w:id="199"/>
      <w:bookmarkEnd w:id="200"/>
    </w:p>
    <w:p w14:paraId="1B53DB4F">
      <w:pPr>
        <w:spacing w:line="360" w:lineRule="auto"/>
        <w:ind w:firstLine="435"/>
        <w:rPr>
          <w:rFonts w:ascii="宋体" w:hAnsi="宋体" w:eastAsia="宋体"/>
          <w:color w:val="auto"/>
          <w:sz w:val="24"/>
        </w:rPr>
      </w:pPr>
      <w:r>
        <w:rPr>
          <w:rFonts w:ascii="宋体" w:hAnsi="宋体" w:eastAsia="宋体"/>
          <w:color w:val="auto"/>
          <w:sz w:val="24"/>
        </w:rPr>
        <w:t>如果乙方破产导致合同无法履行时，甲方可以书面形式通知乙方终止合同且不给予乙方任何补偿和赔偿</w:t>
      </w:r>
      <w:r>
        <w:rPr>
          <w:rFonts w:hint="eastAsia" w:ascii="宋体" w:hAnsi="宋体" w:eastAsia="宋体"/>
          <w:color w:val="auto"/>
          <w:sz w:val="24"/>
        </w:rPr>
        <w:t>，但合同的</w:t>
      </w:r>
      <w:r>
        <w:rPr>
          <w:rFonts w:ascii="宋体" w:hAnsi="宋体" w:eastAsia="宋体"/>
          <w:color w:val="auto"/>
          <w:sz w:val="24"/>
        </w:rPr>
        <w:t>终止不损害或不影响甲方已经采取或将要采取的任何要求乙方支付违约金</w:t>
      </w:r>
      <w:r>
        <w:rPr>
          <w:rFonts w:hint="eastAsia" w:ascii="宋体" w:hAnsi="宋体" w:eastAsia="宋体"/>
          <w:color w:val="auto"/>
          <w:sz w:val="24"/>
        </w:rPr>
        <w:t>、</w:t>
      </w:r>
      <w:r>
        <w:rPr>
          <w:rFonts w:ascii="宋体" w:hAnsi="宋体" w:eastAsia="宋体"/>
          <w:color w:val="auto"/>
          <w:sz w:val="24"/>
        </w:rPr>
        <w:t>赔偿损失等的行动或补救措施的权利</w:t>
      </w:r>
      <w:r>
        <w:rPr>
          <w:rFonts w:hint="eastAsia" w:ascii="宋体" w:hAnsi="宋体" w:eastAsia="宋体"/>
          <w:color w:val="auto"/>
          <w:sz w:val="24"/>
        </w:rPr>
        <w:t>。</w:t>
      </w:r>
    </w:p>
    <w:p w14:paraId="26287C72">
      <w:pPr>
        <w:spacing w:line="360" w:lineRule="auto"/>
        <w:ind w:firstLine="437"/>
        <w:outlineLvl w:val="2"/>
        <w:rPr>
          <w:rFonts w:ascii="宋体" w:hAnsi="宋体" w:eastAsia="宋体"/>
          <w:b/>
          <w:color w:val="auto"/>
          <w:sz w:val="24"/>
        </w:rPr>
      </w:pPr>
      <w:bookmarkStart w:id="201" w:name="_Toc6134"/>
      <w:bookmarkStart w:id="202" w:name="_Toc29333"/>
      <w:bookmarkStart w:id="203" w:name="_Toc15387"/>
      <w:r>
        <w:rPr>
          <w:rFonts w:hint="eastAsia" w:ascii="宋体" w:hAnsi="宋体" w:eastAsia="宋体"/>
          <w:b/>
          <w:bCs/>
          <w:color w:val="auto"/>
          <w:sz w:val="24"/>
          <w:lang w:val="zh-CN"/>
        </w:rPr>
        <w:t>2.1</w:t>
      </w:r>
      <w:r>
        <w:rPr>
          <w:rFonts w:ascii="宋体" w:hAnsi="宋体" w:eastAsia="宋体"/>
          <w:b/>
          <w:bCs/>
          <w:color w:val="auto"/>
          <w:sz w:val="24"/>
          <w:lang w:val="zh-CN"/>
        </w:rPr>
        <w:t>4</w:t>
      </w:r>
      <w:r>
        <w:rPr>
          <w:rFonts w:hint="eastAsia" w:ascii="宋体" w:hAnsi="宋体" w:eastAsia="宋体"/>
          <w:b/>
          <w:bCs/>
          <w:color w:val="auto"/>
          <w:sz w:val="24"/>
          <w:lang w:val="zh-CN"/>
        </w:rPr>
        <w:t xml:space="preserve"> 合同中止、终止</w:t>
      </w:r>
      <w:bookmarkEnd w:id="201"/>
      <w:bookmarkEnd w:id="202"/>
      <w:bookmarkEnd w:id="203"/>
    </w:p>
    <w:p w14:paraId="412A0281">
      <w:pPr>
        <w:spacing w:line="360" w:lineRule="auto"/>
        <w:ind w:firstLine="435"/>
        <w:rPr>
          <w:rFonts w:ascii="宋体" w:hAnsi="宋体" w:eastAsia="宋体"/>
          <w:color w:val="auto"/>
          <w:sz w:val="24"/>
        </w:rPr>
      </w:pPr>
      <w:r>
        <w:rPr>
          <w:rFonts w:hint="eastAsia" w:ascii="宋体" w:hAnsi="宋体" w:eastAsia="宋体"/>
          <w:color w:val="auto"/>
          <w:sz w:val="24"/>
        </w:rPr>
        <w:t>2.1</w:t>
      </w:r>
      <w:r>
        <w:rPr>
          <w:rFonts w:ascii="宋体" w:hAnsi="宋体" w:eastAsia="宋体"/>
          <w:color w:val="auto"/>
          <w:sz w:val="24"/>
        </w:rPr>
        <w:t>4</w:t>
      </w:r>
      <w:r>
        <w:rPr>
          <w:rFonts w:hint="eastAsia" w:ascii="宋体" w:hAnsi="宋体" w:eastAsia="宋体"/>
          <w:color w:val="auto"/>
          <w:sz w:val="24"/>
        </w:rPr>
        <w:t>.1双方当事人不得擅自中止或者终止合同；</w:t>
      </w:r>
    </w:p>
    <w:p w14:paraId="5F77BF77">
      <w:pPr>
        <w:spacing w:line="360" w:lineRule="auto"/>
        <w:ind w:firstLine="435"/>
        <w:rPr>
          <w:rFonts w:ascii="宋体" w:hAnsi="宋体" w:eastAsia="宋体"/>
          <w:color w:val="auto"/>
          <w:sz w:val="24"/>
        </w:rPr>
      </w:pPr>
      <w:r>
        <w:rPr>
          <w:rFonts w:hint="eastAsia" w:ascii="宋体" w:hAnsi="宋体" w:eastAsia="宋体"/>
          <w:color w:val="auto"/>
          <w:sz w:val="24"/>
        </w:rPr>
        <w:t>2.1</w:t>
      </w:r>
      <w:r>
        <w:rPr>
          <w:rFonts w:ascii="宋体" w:hAnsi="宋体" w:eastAsia="宋体"/>
          <w:color w:val="auto"/>
          <w:sz w:val="24"/>
        </w:rPr>
        <w:t>4</w:t>
      </w:r>
      <w:r>
        <w:rPr>
          <w:rFonts w:hint="eastAsia" w:ascii="宋体" w:hAnsi="宋体" w:eastAsia="宋体"/>
          <w:color w:val="auto"/>
          <w:sz w:val="24"/>
        </w:rPr>
        <w:t>.2合同继续履行将损害国家利益和社会公共利益的，双方当事人应当中止或者终止合同。有过错的一方应当承担赔偿责任，双方当事人都有过错的，各自承担相应的责任。</w:t>
      </w:r>
    </w:p>
    <w:p w14:paraId="0ABC715D">
      <w:pPr>
        <w:spacing w:line="360" w:lineRule="auto"/>
        <w:ind w:firstLine="437"/>
        <w:outlineLvl w:val="2"/>
        <w:rPr>
          <w:rFonts w:ascii="宋体" w:hAnsi="宋体" w:eastAsia="宋体"/>
          <w:b/>
          <w:bCs/>
          <w:color w:val="auto"/>
          <w:sz w:val="24"/>
          <w:lang w:val="zh-CN"/>
        </w:rPr>
      </w:pPr>
      <w:bookmarkStart w:id="204" w:name="_Toc14563"/>
      <w:bookmarkStart w:id="205" w:name="_Toc1125"/>
      <w:bookmarkStart w:id="206" w:name="_Toc6596"/>
      <w:r>
        <w:rPr>
          <w:rFonts w:hint="eastAsia" w:ascii="宋体" w:hAnsi="宋体" w:eastAsia="宋体"/>
          <w:b/>
          <w:bCs/>
          <w:color w:val="auto"/>
          <w:sz w:val="24"/>
          <w:lang w:val="zh-CN"/>
        </w:rPr>
        <w:t>2.1</w:t>
      </w:r>
      <w:r>
        <w:rPr>
          <w:rFonts w:ascii="宋体" w:hAnsi="宋体" w:eastAsia="宋体"/>
          <w:b/>
          <w:bCs/>
          <w:color w:val="auto"/>
          <w:sz w:val="24"/>
          <w:lang w:val="zh-CN"/>
        </w:rPr>
        <w:t>5</w:t>
      </w:r>
      <w:r>
        <w:rPr>
          <w:rFonts w:hint="eastAsia" w:ascii="宋体" w:hAnsi="宋体" w:eastAsia="宋体"/>
          <w:b/>
          <w:bCs/>
          <w:color w:val="auto"/>
          <w:sz w:val="24"/>
          <w:lang w:val="zh-CN"/>
        </w:rPr>
        <w:t xml:space="preserve"> 检验和验收</w:t>
      </w:r>
      <w:bookmarkEnd w:id="204"/>
      <w:bookmarkEnd w:id="205"/>
      <w:bookmarkEnd w:id="206"/>
    </w:p>
    <w:p w14:paraId="5186D21E">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w:t>
      </w:r>
      <w:r>
        <w:rPr>
          <w:rFonts w:hint="eastAsia" w:ascii="宋体" w:hAnsi="宋体" w:eastAsia="宋体"/>
          <w:color w:val="auto"/>
          <w:sz w:val="24"/>
        </w:rPr>
        <w:t>5</w:t>
      </w:r>
      <w:r>
        <w:rPr>
          <w:rFonts w:ascii="宋体" w:hAnsi="宋体" w:eastAsia="宋体"/>
          <w:color w:val="auto"/>
          <w:sz w:val="24"/>
        </w:rPr>
        <w:t>.</w:t>
      </w:r>
      <w:r>
        <w:rPr>
          <w:rFonts w:hint="eastAsia" w:ascii="宋体" w:hAnsi="宋体" w:eastAsia="宋体"/>
          <w:color w:val="auto"/>
          <w:sz w:val="24"/>
        </w:rPr>
        <w:t>1乙方按照</w:t>
      </w:r>
      <w:r>
        <w:rPr>
          <w:rFonts w:ascii="宋体" w:hAnsi="宋体" w:eastAsia="宋体"/>
          <w:b/>
          <w:i/>
          <w:color w:val="auto"/>
          <w:sz w:val="24"/>
          <w:u w:val="single"/>
        </w:rPr>
        <w:t>合同专用条款</w:t>
      </w:r>
      <w:r>
        <w:rPr>
          <w:rFonts w:ascii="宋体" w:hAnsi="宋体" w:eastAsia="宋体"/>
          <w:color w:val="auto"/>
          <w:sz w:val="24"/>
        </w:rPr>
        <w:t>的约定</w:t>
      </w:r>
      <w:r>
        <w:rPr>
          <w:rFonts w:hint="eastAsia" w:ascii="宋体" w:hAnsi="宋体" w:eastAsia="宋体"/>
          <w:color w:val="auto"/>
          <w:sz w:val="24"/>
        </w:rPr>
        <w:t>，</w:t>
      </w:r>
      <w:r>
        <w:rPr>
          <w:rFonts w:ascii="宋体" w:hAnsi="宋体" w:eastAsia="宋体"/>
          <w:color w:val="auto"/>
          <w:sz w:val="24"/>
        </w:rPr>
        <w:t>定期提交服务报告</w:t>
      </w:r>
      <w:r>
        <w:rPr>
          <w:rFonts w:hint="eastAsia" w:ascii="宋体" w:hAnsi="宋体" w:eastAsia="宋体"/>
          <w:color w:val="auto"/>
          <w:sz w:val="24"/>
        </w:rPr>
        <w:t>，甲方按照</w:t>
      </w:r>
      <w:r>
        <w:rPr>
          <w:rFonts w:ascii="宋体" w:hAnsi="宋体" w:eastAsia="宋体"/>
          <w:b/>
          <w:i/>
          <w:color w:val="auto"/>
          <w:sz w:val="24"/>
          <w:u w:val="single"/>
        </w:rPr>
        <w:t>合同专用条款</w:t>
      </w:r>
      <w:r>
        <w:rPr>
          <w:rFonts w:ascii="宋体" w:hAnsi="宋体" w:eastAsia="宋体"/>
          <w:color w:val="auto"/>
          <w:sz w:val="24"/>
        </w:rPr>
        <w:t>的约定进行定期验收</w:t>
      </w:r>
      <w:r>
        <w:rPr>
          <w:rFonts w:hint="eastAsia" w:ascii="宋体" w:hAnsi="宋体" w:eastAsia="宋体"/>
          <w:color w:val="auto"/>
          <w:sz w:val="24"/>
        </w:rPr>
        <w:t>；</w:t>
      </w:r>
    </w:p>
    <w:p w14:paraId="6E12F743">
      <w:pPr>
        <w:spacing w:line="360" w:lineRule="auto"/>
        <w:ind w:firstLine="435"/>
        <w:rPr>
          <w:rFonts w:ascii="宋体" w:hAnsi="宋体" w:eastAsia="宋体"/>
          <w:color w:val="auto"/>
          <w:sz w:val="24"/>
        </w:rPr>
      </w:pPr>
      <w:r>
        <w:rPr>
          <w:rFonts w:hint="eastAsia" w:ascii="宋体" w:hAnsi="宋体" w:eastAsia="宋体"/>
          <w:color w:val="auto"/>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7DE54C1">
      <w:pPr>
        <w:spacing w:line="360" w:lineRule="auto"/>
        <w:ind w:firstLine="435"/>
        <w:rPr>
          <w:rFonts w:ascii="宋体" w:hAnsi="宋体" w:eastAsia="宋体"/>
          <w:color w:val="auto"/>
          <w:sz w:val="24"/>
        </w:rPr>
      </w:pPr>
      <w:r>
        <w:rPr>
          <w:rFonts w:hint="eastAsia" w:ascii="宋体" w:hAnsi="宋体" w:eastAsia="宋体"/>
          <w:color w:val="auto"/>
          <w:sz w:val="24"/>
        </w:rPr>
        <w:t>2.15.3检验和验收标准、程序等具体内容以及前述验收书的效力详见</w:t>
      </w:r>
      <w:r>
        <w:rPr>
          <w:rFonts w:ascii="宋体" w:hAnsi="宋体" w:eastAsia="宋体"/>
          <w:b/>
          <w:i/>
          <w:color w:val="auto"/>
          <w:sz w:val="24"/>
          <w:u w:val="single"/>
        </w:rPr>
        <w:t>合同专用条款</w:t>
      </w:r>
      <w:r>
        <w:rPr>
          <w:rFonts w:hint="eastAsia" w:ascii="宋体" w:hAnsi="宋体" w:eastAsia="宋体"/>
          <w:i/>
          <w:color w:val="auto"/>
          <w:sz w:val="24"/>
        </w:rPr>
        <w:t>。</w:t>
      </w:r>
    </w:p>
    <w:bookmarkEnd w:id="176"/>
    <w:bookmarkEnd w:id="177"/>
    <w:bookmarkEnd w:id="178"/>
    <w:bookmarkEnd w:id="179"/>
    <w:p w14:paraId="7B8AAA42">
      <w:pPr>
        <w:spacing w:line="360" w:lineRule="auto"/>
        <w:ind w:firstLine="437"/>
        <w:outlineLvl w:val="2"/>
        <w:rPr>
          <w:rFonts w:ascii="宋体" w:hAnsi="宋体" w:eastAsia="宋体"/>
          <w:b/>
          <w:bCs/>
          <w:color w:val="auto"/>
          <w:sz w:val="24"/>
        </w:rPr>
      </w:pPr>
      <w:bookmarkStart w:id="207" w:name="_Toc279701263"/>
      <w:bookmarkStart w:id="208" w:name="_Toc10330"/>
      <w:bookmarkStart w:id="209" w:name="_Toc12773"/>
      <w:bookmarkStart w:id="210" w:name="_Toc259093692"/>
      <w:bookmarkStart w:id="211" w:name="_Toc18567"/>
      <w:bookmarkStart w:id="212" w:name="_Toc487900373"/>
      <w:r>
        <w:rPr>
          <w:rFonts w:hint="eastAsia" w:ascii="宋体" w:hAnsi="宋体" w:eastAsia="宋体"/>
          <w:b/>
          <w:bCs/>
          <w:color w:val="auto"/>
          <w:sz w:val="24"/>
        </w:rPr>
        <w:t>2.</w:t>
      </w:r>
      <w:r>
        <w:rPr>
          <w:rFonts w:ascii="宋体" w:hAnsi="宋体" w:eastAsia="宋体"/>
          <w:b/>
          <w:bCs/>
          <w:color w:val="auto"/>
          <w:sz w:val="24"/>
        </w:rPr>
        <w:t>16</w:t>
      </w:r>
      <w:r>
        <w:rPr>
          <w:rFonts w:hint="eastAsia" w:ascii="宋体" w:hAnsi="宋体" w:eastAsia="宋体"/>
          <w:b/>
          <w:bCs/>
          <w:color w:val="auto"/>
          <w:sz w:val="24"/>
        </w:rPr>
        <w:t xml:space="preserve"> </w:t>
      </w:r>
      <w:r>
        <w:rPr>
          <w:rFonts w:hint="eastAsia" w:ascii="宋体" w:hAnsi="宋体" w:eastAsia="宋体"/>
          <w:b/>
          <w:bCs/>
          <w:color w:val="auto"/>
          <w:sz w:val="24"/>
          <w:lang w:val="zh-CN"/>
        </w:rPr>
        <w:t>合同使用的文字和</w:t>
      </w:r>
      <w:r>
        <w:rPr>
          <w:rFonts w:ascii="宋体" w:hAnsi="宋体" w:eastAsia="宋体"/>
          <w:b/>
          <w:bCs/>
          <w:color w:val="auto"/>
          <w:sz w:val="24"/>
          <w:lang w:val="zh-CN"/>
        </w:rPr>
        <w:t>适用的法律</w:t>
      </w:r>
      <w:bookmarkEnd w:id="207"/>
      <w:bookmarkEnd w:id="208"/>
      <w:bookmarkEnd w:id="209"/>
      <w:bookmarkEnd w:id="210"/>
      <w:bookmarkEnd w:id="211"/>
      <w:bookmarkEnd w:id="212"/>
    </w:p>
    <w:p w14:paraId="21EA69B5">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16.1合同使用汉语书就</w:t>
      </w:r>
      <w:r>
        <w:rPr>
          <w:rFonts w:hint="eastAsia" w:ascii="宋体" w:hAnsi="宋体" w:eastAsia="宋体"/>
          <w:color w:val="auto"/>
          <w:sz w:val="24"/>
        </w:rPr>
        <w:t>、</w:t>
      </w:r>
      <w:r>
        <w:rPr>
          <w:rFonts w:ascii="宋体" w:hAnsi="宋体" w:eastAsia="宋体"/>
          <w:color w:val="auto"/>
          <w:sz w:val="24"/>
        </w:rPr>
        <w:t>变更和解释</w:t>
      </w:r>
      <w:r>
        <w:rPr>
          <w:rFonts w:hint="eastAsia" w:ascii="宋体" w:hAnsi="宋体" w:eastAsia="宋体"/>
          <w:color w:val="auto"/>
          <w:sz w:val="24"/>
        </w:rPr>
        <w:t>；</w:t>
      </w:r>
    </w:p>
    <w:p w14:paraId="54181EA1">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16</w:t>
      </w:r>
      <w:r>
        <w:rPr>
          <w:rFonts w:hint="eastAsia" w:ascii="宋体" w:hAnsi="宋体" w:eastAsia="宋体"/>
          <w:color w:val="auto"/>
          <w:sz w:val="24"/>
        </w:rPr>
        <w:t>.2合同适用</w:t>
      </w:r>
      <w:r>
        <w:rPr>
          <w:rFonts w:ascii="宋体" w:hAnsi="宋体" w:eastAsia="宋体"/>
          <w:color w:val="auto"/>
          <w:sz w:val="24"/>
        </w:rPr>
        <w:t>中华人民共和国法律。</w:t>
      </w:r>
    </w:p>
    <w:p w14:paraId="08DA5A75">
      <w:pPr>
        <w:spacing w:line="360" w:lineRule="auto"/>
        <w:ind w:firstLine="437"/>
        <w:outlineLvl w:val="2"/>
        <w:rPr>
          <w:rFonts w:ascii="宋体" w:hAnsi="宋体" w:eastAsia="宋体"/>
          <w:b/>
          <w:color w:val="auto"/>
          <w:sz w:val="24"/>
        </w:rPr>
      </w:pPr>
      <w:bookmarkStart w:id="213" w:name="_Toc279701264"/>
      <w:bookmarkStart w:id="214" w:name="_Toc3148"/>
      <w:bookmarkStart w:id="215" w:name="_Toc259093693"/>
      <w:bookmarkStart w:id="216" w:name="_Toc12004"/>
      <w:bookmarkStart w:id="217" w:name="_Toc16673"/>
      <w:bookmarkStart w:id="218" w:name="_Toc487900374"/>
      <w:r>
        <w:rPr>
          <w:rFonts w:hint="eastAsia" w:ascii="宋体" w:hAnsi="宋体" w:eastAsia="宋体"/>
          <w:b/>
          <w:bCs/>
          <w:color w:val="auto"/>
          <w:sz w:val="24"/>
          <w:lang w:val="zh-CN"/>
        </w:rPr>
        <w:t>2.</w:t>
      </w:r>
      <w:r>
        <w:rPr>
          <w:rFonts w:ascii="宋体" w:hAnsi="宋体" w:eastAsia="宋体"/>
          <w:b/>
          <w:bCs/>
          <w:color w:val="auto"/>
          <w:sz w:val="24"/>
          <w:lang w:val="zh-CN"/>
        </w:rPr>
        <w:t>17</w:t>
      </w:r>
      <w:r>
        <w:rPr>
          <w:rFonts w:hint="eastAsia" w:ascii="宋体" w:hAnsi="宋体" w:eastAsia="宋体"/>
          <w:b/>
          <w:bCs/>
          <w:color w:val="auto"/>
          <w:sz w:val="24"/>
          <w:lang w:val="zh-CN"/>
        </w:rPr>
        <w:t xml:space="preserve"> </w:t>
      </w:r>
      <w:r>
        <w:rPr>
          <w:rFonts w:ascii="宋体" w:hAnsi="宋体" w:eastAsia="宋体"/>
          <w:b/>
          <w:bCs/>
          <w:color w:val="auto"/>
          <w:sz w:val="24"/>
          <w:lang w:val="zh-CN"/>
        </w:rPr>
        <w:t>履约保证金</w:t>
      </w:r>
      <w:bookmarkEnd w:id="213"/>
      <w:bookmarkEnd w:id="214"/>
      <w:bookmarkEnd w:id="215"/>
      <w:bookmarkEnd w:id="216"/>
      <w:bookmarkEnd w:id="217"/>
    </w:p>
    <w:p w14:paraId="3DD7DCF5">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17</w:t>
      </w:r>
      <w:r>
        <w:rPr>
          <w:rFonts w:hint="eastAsia" w:ascii="宋体" w:hAnsi="宋体" w:eastAsia="宋体"/>
          <w:color w:val="auto"/>
          <w:sz w:val="24"/>
        </w:rPr>
        <w:t>.1采购文件要求乙方提交履约保证金的，乙方</w:t>
      </w:r>
      <w:r>
        <w:rPr>
          <w:rFonts w:ascii="宋体" w:hAnsi="宋体" w:eastAsia="宋体"/>
          <w:color w:val="auto"/>
          <w:sz w:val="24"/>
        </w:rPr>
        <w:t>应按</w:t>
      </w:r>
      <w:r>
        <w:rPr>
          <w:rFonts w:ascii="宋体" w:hAnsi="宋体" w:eastAsia="宋体"/>
          <w:b/>
          <w:i/>
          <w:color w:val="auto"/>
          <w:sz w:val="24"/>
          <w:u w:val="single"/>
        </w:rPr>
        <w:t>合同专用条款</w:t>
      </w:r>
      <w:r>
        <w:rPr>
          <w:rFonts w:ascii="宋体" w:hAnsi="宋体" w:eastAsia="宋体"/>
          <w:color w:val="auto"/>
          <w:sz w:val="24"/>
        </w:rPr>
        <w:t>约定的方式</w:t>
      </w:r>
      <w:r>
        <w:rPr>
          <w:rFonts w:hint="eastAsia" w:ascii="宋体" w:hAnsi="宋体" w:eastAsia="宋体"/>
          <w:color w:val="auto"/>
          <w:sz w:val="24"/>
        </w:rPr>
        <w:t>，以支票、汇票、本票或者金融机构、担保机构出具的保函等非现金形式提交；</w:t>
      </w:r>
    </w:p>
    <w:p w14:paraId="2181C7B1">
      <w:pPr>
        <w:spacing w:line="360" w:lineRule="auto"/>
        <w:ind w:firstLine="435"/>
        <w:rPr>
          <w:rFonts w:ascii="宋体" w:hAnsi="宋体" w:eastAsia="宋体"/>
          <w:color w:val="auto"/>
          <w:sz w:val="24"/>
        </w:rPr>
      </w:pPr>
      <w:r>
        <w:rPr>
          <w:rFonts w:hint="eastAsia" w:cs="Times New Roman" w:asciiTheme="minorEastAsia" w:hAnsiTheme="minorEastAsia" w:eastAsiaTheme="minorEastAsia"/>
          <w:color w:val="auto"/>
          <w:sz w:val="24"/>
          <w:szCs w:val="24"/>
        </w:rPr>
        <w:t>2.17</w:t>
      </w:r>
      <w:r>
        <w:rPr>
          <w:rFonts w:cs="Times New Roman" w:asciiTheme="minorEastAsia" w:hAnsiTheme="minorEastAsia" w:eastAsiaTheme="minorEastAsia"/>
          <w:color w:val="auto"/>
          <w:sz w:val="24"/>
          <w:szCs w:val="24"/>
        </w:rPr>
        <w:t>.2履约保证金在</w:t>
      </w:r>
      <w:r>
        <w:rPr>
          <w:rFonts w:cs="Times New Roman" w:asciiTheme="minorEastAsia" w:hAnsiTheme="minorEastAsia" w:eastAsiaTheme="minorEastAsia"/>
          <w:b/>
          <w:i/>
          <w:color w:val="auto"/>
          <w:sz w:val="24"/>
          <w:szCs w:val="24"/>
          <w:u w:val="single"/>
        </w:rPr>
        <w:t>合同专用条款</w:t>
      </w:r>
      <w:r>
        <w:rPr>
          <w:rFonts w:cs="Times New Roman" w:asciiTheme="minorEastAsia" w:hAnsiTheme="minorEastAsia" w:eastAsiaTheme="minorEastAsia"/>
          <w:color w:val="auto"/>
          <w:sz w:val="24"/>
          <w:szCs w:val="24"/>
        </w:rPr>
        <w:t>约定期间内或者货物质量保证期内不予退还或者应完全有效</w:t>
      </w:r>
      <w:r>
        <w:rPr>
          <w:rFonts w:hint="eastAsia" w:cs="Times New Roman" w:asciiTheme="minorEastAsia" w:hAnsiTheme="minorEastAsia" w:eastAsiaTheme="minorEastAsia"/>
          <w:color w:val="auto"/>
          <w:sz w:val="24"/>
          <w:szCs w:val="24"/>
        </w:rPr>
        <w:t>，前述约定期间届满或者</w:t>
      </w:r>
      <w:r>
        <w:rPr>
          <w:rFonts w:cs="Times New Roman" w:asciiTheme="minorEastAsia" w:hAnsiTheme="minorEastAsia" w:eastAsiaTheme="minorEastAsia"/>
          <w:color w:val="auto"/>
          <w:sz w:val="24"/>
          <w:szCs w:val="24"/>
        </w:rPr>
        <w:t>货物质量保证期届满之日起</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rPr>
        <w:t>个</w:t>
      </w:r>
      <w:r>
        <w:rPr>
          <w:rFonts w:cs="Times New Roman" w:asciiTheme="minorEastAsia" w:hAnsiTheme="minorEastAsia" w:eastAsiaTheme="minorEastAsia"/>
          <w:color w:val="auto"/>
          <w:sz w:val="24"/>
          <w:szCs w:val="24"/>
        </w:rPr>
        <w:t>工作日内，甲方应将履约保证金退还乙方</w:t>
      </w:r>
      <w:r>
        <w:rPr>
          <w:rFonts w:hint="eastAsia" w:cs="Times New Roman" w:asciiTheme="minorEastAsia" w:hAnsiTheme="minorEastAsia" w:eastAsiaTheme="minorEastAsia"/>
          <w:color w:val="auto"/>
          <w:sz w:val="24"/>
          <w:szCs w:val="24"/>
        </w:rPr>
        <w:t>，甲方逾期退还履约保证金应承担违约责任。</w:t>
      </w:r>
    </w:p>
    <w:p w14:paraId="2EB60A7F">
      <w:pPr>
        <w:spacing w:line="360" w:lineRule="auto"/>
        <w:ind w:firstLine="435"/>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17</w:t>
      </w:r>
      <w:r>
        <w:rPr>
          <w:rFonts w:hint="eastAsia" w:ascii="宋体" w:hAnsi="宋体" w:eastAsia="宋体"/>
          <w:color w:val="auto"/>
          <w:sz w:val="24"/>
        </w:rPr>
        <w:t>.3</w:t>
      </w:r>
      <w:r>
        <w:rPr>
          <w:rFonts w:ascii="宋体" w:hAnsi="宋体" w:eastAsia="宋体"/>
          <w:color w:val="auto"/>
          <w:sz w:val="24"/>
        </w:rPr>
        <w:t>如果乙方不履行合同</w:t>
      </w:r>
      <w:r>
        <w:rPr>
          <w:rFonts w:hint="eastAsia" w:ascii="宋体" w:hAnsi="宋体" w:eastAsia="宋体"/>
          <w:color w:val="auto"/>
          <w:sz w:val="24"/>
        </w:rPr>
        <w:t>，履约保证金不予退还；如果乙方</w:t>
      </w:r>
      <w:r>
        <w:rPr>
          <w:rFonts w:ascii="宋体" w:hAnsi="宋体" w:eastAsia="宋体"/>
          <w:color w:val="auto"/>
          <w:sz w:val="24"/>
        </w:rPr>
        <w:t>未能按合同</w:t>
      </w:r>
      <w:r>
        <w:rPr>
          <w:rFonts w:hint="eastAsia" w:ascii="宋体" w:hAnsi="宋体" w:eastAsia="宋体"/>
          <w:color w:val="auto"/>
          <w:sz w:val="24"/>
        </w:rPr>
        <w:t>约</w:t>
      </w:r>
      <w:r>
        <w:rPr>
          <w:rFonts w:ascii="宋体" w:hAnsi="宋体" w:eastAsia="宋体"/>
          <w:color w:val="auto"/>
          <w:sz w:val="24"/>
        </w:rPr>
        <w:t>定全面履行义务，那么甲方有权从履约保证金中取得补偿或赔偿</w:t>
      </w:r>
      <w:r>
        <w:rPr>
          <w:rFonts w:hint="eastAsia" w:ascii="宋体" w:hAnsi="宋体" w:eastAsia="宋体"/>
          <w:color w:val="auto"/>
          <w:sz w:val="24"/>
        </w:rPr>
        <w:t>，同时不影响甲方要求乙方承担合同约定的超过履约保证金的违约责任的权利。</w:t>
      </w:r>
    </w:p>
    <w:bookmarkEnd w:id="218"/>
    <w:p w14:paraId="348C5450">
      <w:pPr>
        <w:spacing w:line="360" w:lineRule="auto"/>
        <w:ind w:firstLine="437"/>
        <w:outlineLvl w:val="2"/>
        <w:rPr>
          <w:rFonts w:ascii="宋体" w:hAnsi="宋体" w:eastAsia="宋体"/>
          <w:b/>
          <w:color w:val="auto"/>
          <w:sz w:val="24"/>
        </w:rPr>
      </w:pPr>
      <w:bookmarkStart w:id="219" w:name="_Toc14001"/>
      <w:bookmarkStart w:id="220" w:name="_Toc19890"/>
      <w:bookmarkStart w:id="221" w:name="_Toc6885"/>
      <w:r>
        <w:rPr>
          <w:rFonts w:hint="eastAsia" w:ascii="宋体" w:hAnsi="宋体" w:eastAsia="宋体"/>
          <w:b/>
          <w:bCs/>
          <w:color w:val="auto"/>
          <w:sz w:val="24"/>
          <w:lang w:val="zh-CN"/>
        </w:rPr>
        <w:t>2.</w:t>
      </w:r>
      <w:r>
        <w:rPr>
          <w:rFonts w:ascii="宋体" w:hAnsi="宋体" w:eastAsia="宋体"/>
          <w:b/>
          <w:bCs/>
          <w:color w:val="auto"/>
          <w:sz w:val="24"/>
          <w:lang w:val="zh-CN"/>
        </w:rPr>
        <w:t>18</w:t>
      </w:r>
      <w:r>
        <w:rPr>
          <w:rFonts w:hint="eastAsia" w:ascii="宋体" w:hAnsi="宋体" w:eastAsia="宋体"/>
          <w:b/>
          <w:bCs/>
          <w:color w:val="auto"/>
          <w:sz w:val="24"/>
          <w:lang w:val="zh-CN"/>
        </w:rPr>
        <w:t xml:space="preserve"> 合同份数</w:t>
      </w:r>
      <w:bookmarkEnd w:id="219"/>
      <w:bookmarkEnd w:id="220"/>
      <w:bookmarkEnd w:id="221"/>
    </w:p>
    <w:p w14:paraId="7CFD6C39">
      <w:pPr>
        <w:spacing w:line="360" w:lineRule="auto"/>
        <w:ind w:firstLine="435"/>
        <w:rPr>
          <w:rFonts w:ascii="宋体" w:hAnsi="宋体" w:eastAsia="宋体"/>
          <w:color w:val="auto"/>
          <w:sz w:val="24"/>
        </w:rPr>
      </w:pPr>
      <w:r>
        <w:rPr>
          <w:rFonts w:ascii="宋体" w:hAnsi="宋体" w:eastAsia="宋体"/>
          <w:color w:val="auto"/>
          <w:sz w:val="24"/>
        </w:rPr>
        <w:t>合同份数按</w:t>
      </w:r>
      <w:r>
        <w:rPr>
          <w:rFonts w:ascii="宋体" w:hAnsi="宋体" w:eastAsia="宋体"/>
          <w:b/>
          <w:i/>
          <w:color w:val="auto"/>
          <w:sz w:val="24"/>
          <w:u w:val="single"/>
        </w:rPr>
        <w:t>合同专用条款</w:t>
      </w:r>
      <w:r>
        <w:rPr>
          <w:rFonts w:ascii="宋体" w:hAnsi="宋体" w:eastAsia="宋体"/>
          <w:color w:val="auto"/>
          <w:sz w:val="24"/>
        </w:rPr>
        <w:t>规定</w:t>
      </w:r>
      <w:r>
        <w:rPr>
          <w:rFonts w:hint="eastAsia" w:ascii="宋体" w:hAnsi="宋体" w:eastAsia="宋体"/>
          <w:color w:val="auto"/>
          <w:sz w:val="24"/>
        </w:rPr>
        <w:t>，</w:t>
      </w:r>
      <w:r>
        <w:rPr>
          <w:rFonts w:ascii="宋体" w:hAnsi="宋体" w:eastAsia="宋体"/>
          <w:color w:val="auto"/>
          <w:sz w:val="24"/>
        </w:rPr>
        <w:t>每份均具有同等法律效力</w:t>
      </w:r>
      <w:r>
        <w:rPr>
          <w:rFonts w:hint="eastAsia" w:ascii="宋体" w:hAnsi="宋体" w:eastAsia="宋体"/>
          <w:color w:val="auto"/>
          <w:sz w:val="24"/>
        </w:rPr>
        <w:t>。</w:t>
      </w:r>
    </w:p>
    <w:p w14:paraId="3455B88B">
      <w:pPr>
        <w:spacing w:line="360" w:lineRule="auto"/>
        <w:jc w:val="center"/>
        <w:outlineLvl w:val="1"/>
        <w:rPr>
          <w:rFonts w:ascii="宋体" w:hAnsi="宋体" w:eastAsia="宋体"/>
          <w:b/>
          <w:color w:val="auto"/>
          <w:sz w:val="24"/>
        </w:rPr>
      </w:pPr>
      <w:r>
        <w:rPr>
          <w:rFonts w:ascii="宋体" w:hAnsi="宋体" w:eastAsia="宋体"/>
          <w:color w:val="auto"/>
          <w:sz w:val="24"/>
        </w:rPr>
        <w:br w:type="page"/>
      </w:r>
      <w:bookmarkStart w:id="222" w:name="_Toc8839"/>
      <w:bookmarkStart w:id="223" w:name="_Toc331685784"/>
      <w:r>
        <w:rPr>
          <w:rFonts w:hint="eastAsia" w:ascii="宋体" w:hAnsi="宋体" w:eastAsia="宋体"/>
          <w:b/>
          <w:color w:val="auto"/>
          <w:sz w:val="24"/>
        </w:rPr>
        <w:t>第三部分</w:t>
      </w:r>
      <w:r>
        <w:rPr>
          <w:rFonts w:ascii="宋体" w:hAnsi="宋体" w:eastAsia="宋体"/>
          <w:b/>
          <w:color w:val="auto"/>
          <w:sz w:val="24"/>
        </w:rPr>
        <w:t xml:space="preserve"> </w:t>
      </w:r>
      <w:r>
        <w:rPr>
          <w:rFonts w:hint="eastAsia" w:ascii="宋体" w:hAnsi="宋体" w:eastAsia="宋体"/>
          <w:b/>
          <w:color w:val="auto"/>
          <w:sz w:val="24"/>
        </w:rPr>
        <w:t>合同专用条款</w:t>
      </w:r>
      <w:bookmarkEnd w:id="222"/>
      <w:bookmarkEnd w:id="223"/>
    </w:p>
    <w:p w14:paraId="08536F20">
      <w:pPr>
        <w:spacing w:line="360" w:lineRule="auto"/>
        <w:ind w:firstLine="435"/>
        <w:rPr>
          <w:rFonts w:ascii="宋体" w:hAnsi="宋体" w:eastAsia="宋体"/>
          <w:color w:val="auto"/>
          <w:sz w:val="24"/>
        </w:rPr>
      </w:pPr>
      <w:r>
        <w:rPr>
          <w:rFonts w:hint="eastAsia" w:ascii="宋体" w:hAnsi="宋体" w:eastAsia="宋体"/>
          <w:color w:val="auto"/>
          <w:sz w:val="24"/>
        </w:rPr>
        <w:t>本部分</w:t>
      </w:r>
      <w:r>
        <w:rPr>
          <w:rFonts w:ascii="宋体" w:hAnsi="宋体" w:eastAsia="宋体"/>
          <w:color w:val="auto"/>
          <w:sz w:val="24"/>
        </w:rPr>
        <w:t>是对</w:t>
      </w:r>
      <w:r>
        <w:rPr>
          <w:rFonts w:hint="eastAsia" w:ascii="宋体" w:hAnsi="宋体" w:eastAsia="宋体"/>
          <w:color w:val="auto"/>
          <w:sz w:val="24"/>
        </w:rPr>
        <w:t>前两</w:t>
      </w:r>
      <w:r>
        <w:rPr>
          <w:rFonts w:ascii="宋体" w:hAnsi="宋体" w:eastAsia="宋体"/>
          <w:color w:val="auto"/>
          <w:sz w:val="24"/>
        </w:rPr>
        <w:t>部分的补充和修改</w:t>
      </w:r>
      <w:r>
        <w:rPr>
          <w:rFonts w:hint="eastAsia" w:ascii="宋体" w:hAnsi="宋体" w:eastAsia="宋体"/>
          <w:color w:val="auto"/>
          <w:sz w:val="24"/>
        </w:rPr>
        <w:t>，</w:t>
      </w:r>
      <w:r>
        <w:rPr>
          <w:rFonts w:ascii="宋体" w:hAnsi="宋体" w:eastAsia="宋体"/>
          <w:color w:val="auto"/>
          <w:sz w:val="24"/>
        </w:rPr>
        <w:t>如果</w:t>
      </w:r>
      <w:r>
        <w:rPr>
          <w:rFonts w:hint="eastAsia" w:ascii="宋体" w:hAnsi="宋体" w:eastAsia="宋体"/>
          <w:color w:val="auto"/>
          <w:sz w:val="24"/>
        </w:rPr>
        <w:t>前两</w:t>
      </w:r>
      <w:r>
        <w:rPr>
          <w:rFonts w:ascii="宋体" w:hAnsi="宋体" w:eastAsia="宋体"/>
          <w:color w:val="auto"/>
          <w:sz w:val="24"/>
        </w:rPr>
        <w:t>部分和本部分的约定不一致</w:t>
      </w:r>
      <w:r>
        <w:rPr>
          <w:rFonts w:hint="eastAsia" w:ascii="宋体" w:hAnsi="宋体" w:eastAsia="宋体"/>
          <w:color w:val="auto"/>
          <w:sz w:val="24"/>
        </w:rPr>
        <w:t>，</w:t>
      </w:r>
      <w:r>
        <w:rPr>
          <w:rFonts w:ascii="宋体" w:hAnsi="宋体" w:eastAsia="宋体"/>
          <w:color w:val="auto"/>
          <w:sz w:val="24"/>
        </w:rPr>
        <w:t>应以本部分的约定为准</w:t>
      </w:r>
      <w:r>
        <w:rPr>
          <w:rFonts w:hint="eastAsia" w:ascii="宋体" w:hAnsi="宋体" w:eastAsia="宋体"/>
          <w:color w:val="auto"/>
          <w:sz w:val="24"/>
        </w:rPr>
        <w:t>。</w:t>
      </w:r>
      <w:r>
        <w:rPr>
          <w:rFonts w:ascii="宋体" w:hAnsi="宋体" w:eastAsia="宋体"/>
          <w:color w:val="auto"/>
          <w:sz w:val="24"/>
        </w:rPr>
        <w:t>本部分的条款号应与</w:t>
      </w:r>
      <w:r>
        <w:rPr>
          <w:rFonts w:hint="eastAsia" w:ascii="宋体" w:hAnsi="宋体" w:eastAsia="宋体"/>
          <w:color w:val="auto"/>
          <w:sz w:val="24"/>
        </w:rPr>
        <w:t>前两部分</w:t>
      </w:r>
      <w:r>
        <w:rPr>
          <w:rFonts w:ascii="宋体" w:hAnsi="宋体" w:eastAsia="宋体"/>
          <w:color w:val="auto"/>
          <w:sz w:val="24"/>
        </w:rPr>
        <w:t>的条款号保持对应</w:t>
      </w:r>
      <w:r>
        <w:rPr>
          <w:rFonts w:hint="eastAsia" w:ascii="宋体" w:hAnsi="宋体" w:eastAsia="宋体"/>
          <w:color w:val="auto"/>
          <w:sz w:val="24"/>
        </w:rPr>
        <w:t>；与前两部分</w:t>
      </w:r>
      <w:r>
        <w:rPr>
          <w:rFonts w:ascii="宋体" w:hAnsi="宋体" w:eastAsia="宋体"/>
          <w:color w:val="auto"/>
          <w:sz w:val="24"/>
        </w:rPr>
        <w:t>无对应关系的内容可另行编制条款号</w:t>
      </w:r>
      <w:r>
        <w:rPr>
          <w:rFonts w:hint="eastAsia" w:ascii="宋体" w:hAnsi="宋体" w:eastAsia="宋体"/>
          <w:color w:val="auto"/>
          <w:sz w:val="24"/>
        </w:rPr>
        <w:t>。</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1"/>
        <w:gridCol w:w="7542"/>
      </w:tblGrid>
      <w:tr w14:paraId="090D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36C251E3">
            <w:pPr>
              <w:jc w:val="center"/>
              <w:rPr>
                <w:rFonts w:ascii="宋体" w:hAnsi="宋体" w:eastAsia="宋体"/>
                <w:b/>
                <w:color w:val="auto"/>
                <w:sz w:val="24"/>
              </w:rPr>
            </w:pPr>
            <w:r>
              <w:rPr>
                <w:rFonts w:ascii="宋体" w:hAnsi="宋体" w:eastAsia="宋体"/>
                <w:b/>
                <w:color w:val="auto"/>
                <w:sz w:val="24"/>
              </w:rPr>
              <w:t>条款号</w:t>
            </w:r>
          </w:p>
        </w:tc>
        <w:tc>
          <w:tcPr>
            <w:tcW w:w="4524" w:type="pct"/>
            <w:vAlign w:val="center"/>
          </w:tcPr>
          <w:p w14:paraId="4CEB93C7">
            <w:pPr>
              <w:jc w:val="center"/>
              <w:rPr>
                <w:rFonts w:ascii="宋体" w:hAnsi="宋体" w:eastAsia="宋体"/>
                <w:b/>
                <w:color w:val="auto"/>
                <w:sz w:val="24"/>
              </w:rPr>
            </w:pPr>
            <w:r>
              <w:rPr>
                <w:rFonts w:ascii="宋体" w:hAnsi="宋体" w:eastAsia="宋体"/>
                <w:b/>
                <w:color w:val="auto"/>
                <w:sz w:val="24"/>
              </w:rPr>
              <w:t>约定内容</w:t>
            </w:r>
          </w:p>
        </w:tc>
      </w:tr>
      <w:tr w14:paraId="3E87C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712694ED">
            <w:pPr>
              <w:spacing w:line="360" w:lineRule="auto"/>
              <w:rPr>
                <w:rFonts w:ascii="宋体" w:hAnsi="宋体" w:eastAsia="宋体"/>
                <w:color w:val="auto"/>
                <w:sz w:val="24"/>
              </w:rPr>
            </w:pPr>
            <w:r>
              <w:rPr>
                <w:rFonts w:hint="eastAsia" w:ascii="宋体" w:hAnsi="宋体" w:eastAsia="宋体"/>
                <w:color w:val="auto"/>
                <w:sz w:val="24"/>
              </w:rPr>
              <w:t>2.3.2</w:t>
            </w:r>
          </w:p>
        </w:tc>
        <w:tc>
          <w:tcPr>
            <w:tcW w:w="4524" w:type="pct"/>
            <w:vAlign w:val="center"/>
          </w:tcPr>
          <w:p w14:paraId="31E7EE35">
            <w:pPr>
              <w:pStyle w:val="53"/>
              <w:spacing w:line="360" w:lineRule="auto"/>
              <w:rPr>
                <w:rFonts w:ascii="宋体" w:hAnsi="宋体" w:eastAsia="宋体"/>
                <w:color w:val="auto"/>
                <w:sz w:val="24"/>
              </w:rPr>
            </w:pPr>
            <w:r>
              <w:rPr>
                <w:rFonts w:hint="eastAsia" w:ascii="宋体" w:hAnsi="宋体" w:eastAsia="宋体" w:cs="@仿宋_GB2312"/>
                <w:bCs/>
                <w:color w:val="auto"/>
                <w:kern w:val="0"/>
                <w:sz w:val="24"/>
                <w:szCs w:val="28"/>
              </w:rPr>
              <w:t>本项目所有成果的版权属甲方所有，未经同意，乙方不得自行删除、复制、修改、转移数据，亦不得以任何形式向第三方提供;甲方提供的任何业务资料，乙方需认真保管、严格保密，并在使用完毕后及时归还。乙方在甲方单位工作时，应遵守相关规章、制度等。不论本合同是否变更、解除、终止，本条款均有效。</w:t>
            </w:r>
          </w:p>
        </w:tc>
      </w:tr>
      <w:tr w14:paraId="21918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D644AE3">
            <w:pPr>
              <w:spacing w:line="360" w:lineRule="auto"/>
              <w:rPr>
                <w:rFonts w:ascii="宋体" w:hAnsi="宋体" w:eastAsia="宋体"/>
                <w:color w:val="auto"/>
                <w:sz w:val="24"/>
              </w:rPr>
            </w:pPr>
            <w:r>
              <w:rPr>
                <w:rFonts w:hint="eastAsia" w:ascii="宋体" w:hAnsi="宋体" w:eastAsia="宋体"/>
                <w:color w:val="auto"/>
                <w:sz w:val="24"/>
              </w:rPr>
              <w:t>2.5</w:t>
            </w:r>
          </w:p>
        </w:tc>
        <w:tc>
          <w:tcPr>
            <w:tcW w:w="4524" w:type="pct"/>
            <w:vAlign w:val="center"/>
          </w:tcPr>
          <w:p w14:paraId="1588AAFF">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①</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可向乙方支付合同总价的40%作为预付款；合同款按进度支付，乙方申请并经甲方审核同意后支付相应阶段费用。提供甲方认可且具备审查深度的报告，</w:t>
            </w:r>
            <w:r>
              <w:rPr>
                <w:rFonts w:hint="eastAsia" w:ascii="宋体" w:hAnsi="宋体" w:eastAsia="宋体" w:cs="宋体"/>
                <w:bCs/>
                <w:kern w:val="0"/>
                <w:sz w:val="24"/>
                <w:szCs w:val="24"/>
                <w:lang w:val="en-US" w:eastAsia="zh-CN"/>
              </w:rPr>
              <w:t>按规定及时</w:t>
            </w:r>
            <w:r>
              <w:rPr>
                <w:rFonts w:hint="eastAsia" w:ascii="宋体" w:hAnsi="宋体" w:eastAsia="宋体" w:cs="宋体"/>
                <w:bCs/>
                <w:kern w:val="0"/>
                <w:sz w:val="24"/>
                <w:szCs w:val="24"/>
              </w:rPr>
              <w:t>支付至合同价款的90%，并扣回全</w:t>
            </w:r>
            <w:r>
              <w:rPr>
                <w:rFonts w:hint="eastAsia" w:ascii="宋体" w:hAnsi="宋体" w:eastAsia="宋体" w:cs="宋体"/>
                <w:bCs/>
                <w:kern w:val="0"/>
                <w:sz w:val="24"/>
                <w:szCs w:val="24"/>
                <w:lang w:val="en-US" w:eastAsia="zh-CN"/>
              </w:rPr>
              <w:t>部</w:t>
            </w:r>
            <w:r>
              <w:rPr>
                <w:rFonts w:hint="eastAsia" w:ascii="宋体" w:hAnsi="宋体" w:eastAsia="宋体" w:cs="宋体"/>
                <w:bCs/>
                <w:kern w:val="0"/>
                <w:sz w:val="24"/>
                <w:szCs w:val="24"/>
              </w:rPr>
              <w:t>预付款（扣回方式由双方约定），年度验收合格并经结算审核后，支付至结算价的100%。</w:t>
            </w:r>
          </w:p>
          <w:p w14:paraId="7A81A8DA">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②</w:t>
            </w:r>
            <w:r>
              <w:rPr>
                <w:rFonts w:hint="eastAsia" w:ascii="宋体" w:hAnsi="宋体" w:eastAsia="宋体" w:cs="宋体"/>
                <w:bCs/>
                <w:kern w:val="0"/>
                <w:sz w:val="24"/>
                <w:szCs w:val="24"/>
              </w:rPr>
              <w:t>在签订合同时，乙方书面明确表示无需预付款，即乙方无需提供预付款担保，按皖财购〔2022〕556号规定，合同甲方可不再支付预付款。</w:t>
            </w:r>
          </w:p>
          <w:p w14:paraId="0F958BAA">
            <w:pPr>
              <w:widowControl/>
              <w:spacing w:line="360" w:lineRule="auto"/>
              <w:jc w:val="left"/>
              <w:rPr>
                <w:rFonts w:ascii="宋体" w:hAnsi="宋体" w:eastAsia="宋体"/>
                <w:color w:val="auto"/>
                <w:sz w:val="24"/>
              </w:rPr>
            </w:pPr>
            <w:r>
              <w:rPr>
                <w:rFonts w:hint="eastAsia" w:ascii="宋体" w:hAnsi="宋体" w:eastAsia="宋体" w:cs="宋体"/>
                <w:bCs/>
                <w:kern w:val="0"/>
                <w:sz w:val="24"/>
                <w:szCs w:val="24"/>
              </w:rPr>
              <w:t>合同款按进度支付，乙方申请并经甲方审核同意后支付相应阶段费用。提供甲方认可且具备审查深度的报告，可支付至合同价款的90%，并扣回全</w:t>
            </w:r>
            <w:r>
              <w:rPr>
                <w:rFonts w:hint="eastAsia" w:ascii="宋体" w:hAnsi="宋体" w:eastAsia="宋体" w:cs="宋体"/>
                <w:bCs/>
                <w:kern w:val="0"/>
                <w:sz w:val="24"/>
                <w:szCs w:val="24"/>
                <w:lang w:val="en-US" w:eastAsia="zh-CN"/>
              </w:rPr>
              <w:t>部</w:t>
            </w:r>
            <w:r>
              <w:rPr>
                <w:rFonts w:hint="eastAsia" w:ascii="宋体" w:hAnsi="宋体" w:eastAsia="宋体" w:cs="宋体"/>
                <w:bCs/>
                <w:kern w:val="0"/>
                <w:sz w:val="24"/>
                <w:szCs w:val="24"/>
              </w:rPr>
              <w:t>预付款（扣回方式由双方约定），年度验收合格并经结算审核后，支付至结算价的100%。</w:t>
            </w:r>
          </w:p>
        </w:tc>
      </w:tr>
      <w:tr w14:paraId="5F8EC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A785087">
            <w:pPr>
              <w:spacing w:line="360" w:lineRule="auto"/>
              <w:rPr>
                <w:rFonts w:ascii="宋体" w:hAnsi="宋体" w:eastAsia="宋体"/>
                <w:color w:val="auto"/>
                <w:sz w:val="24"/>
              </w:rPr>
            </w:pPr>
            <w:r>
              <w:rPr>
                <w:rFonts w:hint="eastAsia" w:ascii="宋体" w:hAnsi="宋体" w:eastAsia="宋体"/>
                <w:color w:val="auto"/>
                <w:sz w:val="24"/>
              </w:rPr>
              <w:t>2.11.3</w:t>
            </w:r>
          </w:p>
          <w:p w14:paraId="18258252">
            <w:pPr>
              <w:spacing w:line="360" w:lineRule="auto"/>
              <w:rPr>
                <w:rFonts w:ascii="宋体" w:hAnsi="宋体" w:eastAsia="宋体"/>
                <w:color w:val="auto"/>
                <w:sz w:val="24"/>
              </w:rPr>
            </w:pPr>
            <w:r>
              <w:rPr>
                <w:rFonts w:hint="eastAsia" w:ascii="宋体" w:hAnsi="宋体" w:eastAsia="宋体"/>
                <w:color w:val="auto"/>
                <w:sz w:val="24"/>
              </w:rPr>
              <w:t>2.11.4</w:t>
            </w:r>
          </w:p>
        </w:tc>
        <w:tc>
          <w:tcPr>
            <w:tcW w:w="4524" w:type="pct"/>
            <w:vAlign w:val="center"/>
          </w:tcPr>
          <w:p w14:paraId="6F49058A">
            <w:pPr>
              <w:pStyle w:val="53"/>
              <w:spacing w:line="360" w:lineRule="auto"/>
              <w:rPr>
                <w:rFonts w:ascii="宋体" w:hAnsi="宋体" w:eastAsia="宋体" w:cs="@仿宋_GB2312"/>
                <w:bCs/>
                <w:color w:val="auto"/>
                <w:kern w:val="0"/>
                <w:sz w:val="24"/>
                <w:szCs w:val="28"/>
              </w:rPr>
            </w:pPr>
            <w:r>
              <w:rPr>
                <w:rFonts w:hint="eastAsia" w:ascii="宋体" w:hAnsi="宋体" w:eastAsia="宋体" w:cs="@仿宋_GB2312"/>
                <w:bCs/>
                <w:color w:val="auto"/>
                <w:kern w:val="0"/>
                <w:sz w:val="24"/>
                <w:szCs w:val="28"/>
              </w:rPr>
              <w:t>不可抗力致使合同有变更必要，甲乙双方应在不可抗力发生后5个工作日内应以书面形式变更合同。</w:t>
            </w:r>
          </w:p>
          <w:p w14:paraId="315306D7">
            <w:pPr>
              <w:spacing w:line="360" w:lineRule="auto"/>
              <w:rPr>
                <w:rFonts w:ascii="宋体" w:hAnsi="宋体" w:eastAsia="宋体"/>
                <w:color w:val="auto"/>
                <w:sz w:val="24"/>
              </w:rPr>
            </w:pPr>
            <w:r>
              <w:rPr>
                <w:rFonts w:hint="eastAsia" w:ascii="宋体" w:hAnsi="宋体" w:eastAsia="宋体"/>
                <w:bCs/>
                <w:color w:val="auto"/>
                <w:kern w:val="0"/>
                <w:sz w:val="24"/>
                <w:szCs w:val="28"/>
              </w:rPr>
              <w:t>受不可抗力影响的一方在不可抗力发生后，甲乙双方应在不可抗力发生后10个工作日内以书面形式通知对方当事人，将有关部门出具的证明文件送达对方当事人。</w:t>
            </w:r>
          </w:p>
        </w:tc>
      </w:tr>
      <w:tr w14:paraId="1EAB4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7737120">
            <w:pPr>
              <w:spacing w:line="360" w:lineRule="auto"/>
              <w:rPr>
                <w:rFonts w:ascii="宋体" w:hAnsi="宋体" w:eastAsia="宋体"/>
                <w:color w:val="auto"/>
                <w:sz w:val="24"/>
              </w:rPr>
            </w:pPr>
            <w:r>
              <w:rPr>
                <w:rFonts w:hint="eastAsia" w:ascii="宋体" w:hAnsi="宋体" w:eastAsia="宋体"/>
                <w:color w:val="auto"/>
                <w:sz w:val="24"/>
              </w:rPr>
              <w:t>2.15.3</w:t>
            </w:r>
          </w:p>
        </w:tc>
        <w:tc>
          <w:tcPr>
            <w:tcW w:w="4524" w:type="pct"/>
            <w:vAlign w:val="center"/>
          </w:tcPr>
          <w:p w14:paraId="78B492C4">
            <w:pPr>
              <w:adjustRightInd w:val="0"/>
              <w:snapToGrid w:val="0"/>
              <w:spacing w:line="360" w:lineRule="auto"/>
              <w:jc w:val="left"/>
              <w:rPr>
                <w:rFonts w:ascii="宋体" w:hAnsi="宋体" w:eastAsia="宋体"/>
                <w:color w:val="auto"/>
                <w:sz w:val="24"/>
              </w:rPr>
            </w:pPr>
            <w:r>
              <w:rPr>
                <w:rFonts w:hint="eastAsia" w:ascii="宋体" w:hAnsi="宋体" w:eastAsia="宋体"/>
                <w:color w:val="auto"/>
                <w:sz w:val="24"/>
              </w:rPr>
              <w:t>1.验收标准</w:t>
            </w:r>
          </w:p>
          <w:p w14:paraId="007D77F3">
            <w:pPr>
              <w:adjustRightInd w:val="0"/>
              <w:snapToGrid w:val="0"/>
              <w:spacing w:line="360" w:lineRule="auto"/>
              <w:jc w:val="left"/>
              <w:rPr>
                <w:rFonts w:ascii="宋体" w:hAnsi="宋体" w:eastAsia="宋体"/>
                <w:color w:val="auto"/>
                <w:sz w:val="24"/>
              </w:rPr>
            </w:pPr>
            <w:r>
              <w:rPr>
                <w:rFonts w:hint="eastAsia" w:ascii="宋体" w:hAnsi="宋体" w:eastAsia="宋体"/>
                <w:color w:val="auto"/>
                <w:sz w:val="24"/>
              </w:rPr>
              <w:t>按照《水闸安全鉴定管理办法》的规定及相关要求。</w:t>
            </w:r>
          </w:p>
          <w:p w14:paraId="0D52A9DE">
            <w:pPr>
              <w:adjustRightInd w:val="0"/>
              <w:snapToGrid w:val="0"/>
              <w:spacing w:line="360" w:lineRule="auto"/>
              <w:jc w:val="left"/>
              <w:rPr>
                <w:rFonts w:ascii="宋体" w:hAnsi="宋体" w:eastAsia="宋体"/>
                <w:color w:val="auto"/>
                <w:sz w:val="24"/>
              </w:rPr>
            </w:pPr>
            <w:r>
              <w:rPr>
                <w:rFonts w:ascii="宋体" w:hAnsi="宋体" w:eastAsia="宋体"/>
                <w:color w:val="auto"/>
                <w:sz w:val="24"/>
              </w:rPr>
              <w:t>2.验收程序：</w:t>
            </w:r>
          </w:p>
          <w:p w14:paraId="02EBDE72">
            <w:pPr>
              <w:adjustRightInd w:val="0"/>
              <w:snapToGrid w:val="0"/>
              <w:spacing w:line="360" w:lineRule="auto"/>
              <w:jc w:val="left"/>
              <w:rPr>
                <w:rFonts w:ascii="宋体" w:hAnsi="宋体" w:eastAsia="宋体"/>
                <w:color w:val="auto"/>
                <w:sz w:val="24"/>
              </w:rPr>
            </w:pPr>
            <w:r>
              <w:rPr>
                <w:rFonts w:ascii="宋体" w:hAnsi="宋体" w:eastAsia="宋体"/>
                <w:color w:val="auto"/>
                <w:sz w:val="24"/>
              </w:rPr>
              <w:t>（1）成立验收小组，验收人员应由甲方、乙方组成。</w:t>
            </w:r>
          </w:p>
          <w:p w14:paraId="42D77767">
            <w:pPr>
              <w:adjustRightInd w:val="0"/>
              <w:snapToGrid w:val="0"/>
              <w:spacing w:line="360" w:lineRule="auto"/>
              <w:jc w:val="left"/>
              <w:rPr>
                <w:rFonts w:ascii="宋体" w:hAnsi="宋体" w:eastAsia="宋体"/>
                <w:color w:val="auto"/>
                <w:sz w:val="24"/>
              </w:rPr>
            </w:pPr>
            <w:r>
              <w:rPr>
                <w:rFonts w:hint="eastAsia" w:ascii="宋体" w:hAnsi="宋体" w:eastAsia="宋体"/>
                <w:color w:val="auto"/>
                <w:sz w:val="24"/>
              </w:rPr>
              <w:t>（</w:t>
            </w:r>
            <w:r>
              <w:rPr>
                <w:rFonts w:ascii="宋体" w:hAnsi="宋体" w:eastAsia="宋体"/>
                <w:color w:val="auto"/>
                <w:sz w:val="24"/>
              </w:rPr>
              <w:t>2）出具验收报告。</w:t>
            </w:r>
          </w:p>
          <w:p w14:paraId="0137A415">
            <w:pPr>
              <w:adjustRightInd w:val="0"/>
              <w:snapToGrid w:val="0"/>
              <w:spacing w:line="360" w:lineRule="auto"/>
              <w:jc w:val="left"/>
              <w:rPr>
                <w:rFonts w:ascii="宋体" w:hAnsi="宋体" w:eastAsia="宋体"/>
                <w:color w:val="auto"/>
                <w:sz w:val="24"/>
              </w:rPr>
            </w:pPr>
            <w:r>
              <w:rPr>
                <w:rFonts w:ascii="宋体" w:hAnsi="宋体" w:eastAsia="宋体"/>
                <w:color w:val="auto"/>
                <w:sz w:val="24"/>
              </w:rPr>
              <w:t>3.验收合格后，乙方向甲方提交成果报告电子档及纸质文档8份。</w:t>
            </w:r>
          </w:p>
        </w:tc>
      </w:tr>
      <w:tr w14:paraId="0AA0E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F3D4481">
            <w:pPr>
              <w:spacing w:line="560" w:lineRule="exact"/>
              <w:rPr>
                <w:rFonts w:ascii="宋体" w:hAnsi="宋体" w:eastAsia="宋体"/>
                <w:color w:val="auto"/>
                <w:sz w:val="24"/>
              </w:rPr>
            </w:pPr>
            <w:r>
              <w:rPr>
                <w:rFonts w:hint="eastAsia" w:ascii="宋体" w:hAnsi="宋体" w:eastAsia="宋体"/>
                <w:color w:val="auto"/>
                <w:sz w:val="24"/>
              </w:rPr>
              <w:t>2.17.1</w:t>
            </w:r>
          </w:p>
        </w:tc>
        <w:tc>
          <w:tcPr>
            <w:tcW w:w="4524" w:type="pct"/>
            <w:vAlign w:val="center"/>
          </w:tcPr>
          <w:p w14:paraId="6D5F6F9E">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（1）金额：合同价的</w:t>
            </w:r>
            <w:r>
              <w:rPr>
                <w:rFonts w:hint="eastAsia" w:ascii="宋体" w:hAnsi="宋体" w:eastAsia="宋体"/>
                <w:bCs/>
                <w:color w:val="auto"/>
                <w:kern w:val="0"/>
                <w:sz w:val="24"/>
                <w:szCs w:val="28"/>
                <w:u w:val="single"/>
              </w:rPr>
              <w:t>2.5</w:t>
            </w:r>
            <w:r>
              <w:rPr>
                <w:rFonts w:ascii="宋体" w:hAnsi="宋体" w:eastAsia="宋体"/>
                <w:bCs/>
                <w:color w:val="auto"/>
                <w:kern w:val="0"/>
                <w:sz w:val="24"/>
                <w:szCs w:val="28"/>
              </w:rPr>
              <w:t>%</w:t>
            </w:r>
          </w:p>
          <w:p w14:paraId="6C2A0DDE">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（2）支付方式：</w:t>
            </w:r>
          </w:p>
          <w:p w14:paraId="1E0C9E61">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sym w:font="Wingdings" w:char="00FE"/>
            </w:r>
            <w:r>
              <w:rPr>
                <w:rFonts w:ascii="宋体" w:hAnsi="宋体" w:eastAsia="宋体"/>
                <w:bCs/>
                <w:color w:val="auto"/>
                <w:kern w:val="0"/>
                <w:sz w:val="24"/>
                <w:szCs w:val="28"/>
              </w:rPr>
              <w:t>转账/电汇</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FE"/>
            </w:r>
            <w:r>
              <w:rPr>
                <w:rFonts w:ascii="宋体" w:hAnsi="宋体" w:eastAsia="宋体"/>
                <w:bCs/>
                <w:color w:val="auto"/>
                <w:kern w:val="0"/>
                <w:sz w:val="24"/>
                <w:szCs w:val="28"/>
              </w:rPr>
              <w:t xml:space="preserve">支票 </w:t>
            </w:r>
            <w:r>
              <w:rPr>
                <w:rFonts w:hint="eastAsia" w:ascii="宋体" w:hAnsi="宋体" w:eastAsia="宋体"/>
                <w:bCs/>
                <w:color w:val="auto"/>
                <w:kern w:val="0"/>
                <w:sz w:val="24"/>
                <w:szCs w:val="28"/>
              </w:rPr>
              <w:sym w:font="Wingdings" w:char="00FE"/>
            </w:r>
            <w:r>
              <w:rPr>
                <w:rFonts w:ascii="宋体" w:hAnsi="宋体" w:eastAsia="宋体"/>
                <w:bCs/>
                <w:color w:val="auto"/>
                <w:kern w:val="0"/>
                <w:sz w:val="24"/>
                <w:szCs w:val="28"/>
              </w:rPr>
              <w:t>汇票</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FE"/>
            </w:r>
            <w:r>
              <w:rPr>
                <w:rFonts w:hint="eastAsia" w:ascii="宋体" w:hAnsi="宋体" w:eastAsia="宋体"/>
                <w:bCs/>
                <w:color w:val="auto"/>
                <w:kern w:val="0"/>
                <w:sz w:val="24"/>
                <w:szCs w:val="28"/>
              </w:rPr>
              <w:t xml:space="preserve">本票 </w:t>
            </w:r>
            <w:r>
              <w:rPr>
                <w:rFonts w:hint="eastAsia" w:ascii="宋体" w:hAnsi="宋体" w:eastAsia="宋体"/>
                <w:bCs/>
                <w:color w:val="auto"/>
                <w:kern w:val="0"/>
                <w:sz w:val="24"/>
                <w:szCs w:val="28"/>
              </w:rPr>
              <w:sym w:font="Wingdings" w:char="00FE"/>
            </w:r>
            <w:r>
              <w:rPr>
                <w:rFonts w:ascii="宋体" w:hAnsi="宋体" w:eastAsia="宋体"/>
                <w:bCs/>
                <w:color w:val="auto"/>
                <w:kern w:val="0"/>
                <w:sz w:val="24"/>
                <w:szCs w:val="28"/>
              </w:rPr>
              <w:t>保</w:t>
            </w:r>
            <w:r>
              <w:rPr>
                <w:rFonts w:hint="eastAsia" w:ascii="宋体" w:hAnsi="宋体" w:eastAsia="宋体"/>
                <w:bCs/>
                <w:color w:val="auto"/>
                <w:kern w:val="0"/>
                <w:sz w:val="24"/>
                <w:szCs w:val="28"/>
              </w:rPr>
              <w:t xml:space="preserve">险 </w:t>
            </w:r>
            <w:r>
              <w:rPr>
                <w:rFonts w:hint="eastAsia" w:ascii="宋体" w:hAnsi="宋体" w:eastAsia="宋体"/>
                <w:bCs/>
                <w:color w:val="auto"/>
                <w:kern w:val="0"/>
                <w:sz w:val="24"/>
                <w:szCs w:val="28"/>
              </w:rPr>
              <w:sym w:font="Wingdings" w:char="00FE"/>
            </w:r>
            <w:r>
              <w:rPr>
                <w:rFonts w:hint="eastAsia" w:ascii="宋体" w:hAnsi="宋体" w:eastAsia="宋体"/>
                <w:bCs/>
                <w:color w:val="auto"/>
                <w:kern w:val="0"/>
                <w:sz w:val="24"/>
                <w:szCs w:val="28"/>
              </w:rPr>
              <w:t>保</w:t>
            </w:r>
            <w:r>
              <w:rPr>
                <w:rFonts w:ascii="宋体" w:hAnsi="宋体" w:eastAsia="宋体"/>
                <w:bCs/>
                <w:color w:val="auto"/>
                <w:kern w:val="0"/>
                <w:sz w:val="24"/>
                <w:szCs w:val="28"/>
              </w:rPr>
              <w:t>函</w:t>
            </w:r>
          </w:p>
          <w:p w14:paraId="623419EE">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（3）收取单位：</w:t>
            </w:r>
            <w:r>
              <w:rPr>
                <w:rFonts w:hint="eastAsia" w:ascii="Times New Roman" w:hAnsi="Times New Roman" w:eastAsia="宋体" w:cs="Times New Roman"/>
                <w:color w:val="auto"/>
                <w:sz w:val="24"/>
                <w:szCs w:val="24"/>
                <w:u w:val="single"/>
              </w:rPr>
              <w:t>本项目为统采分签项目，成交后履约保证金由各合同甲方分别收取</w:t>
            </w:r>
            <w:r>
              <w:rPr>
                <w:rFonts w:hint="eastAsia" w:ascii="宋体" w:hAnsi="宋体" w:eastAsia="宋体"/>
                <w:bCs/>
                <w:color w:val="auto"/>
                <w:kern w:val="0"/>
                <w:sz w:val="24"/>
                <w:szCs w:val="28"/>
              </w:rPr>
              <w:t xml:space="preserve">                 </w:t>
            </w:r>
          </w:p>
          <w:p w14:paraId="6ADA8FFB">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（4）收取账号：</w:t>
            </w:r>
            <w:r>
              <w:rPr>
                <w:rFonts w:hint="eastAsia" w:ascii="宋体" w:hAnsi="宋体" w:eastAsia="宋体"/>
                <w:bCs/>
                <w:color w:val="auto"/>
                <w:kern w:val="0"/>
                <w:sz w:val="24"/>
                <w:szCs w:val="28"/>
                <w:u w:val="single"/>
              </w:rPr>
              <w:t>成交后提供</w:t>
            </w:r>
          </w:p>
          <w:p w14:paraId="48E42A12">
            <w:pPr>
              <w:spacing w:line="360" w:lineRule="auto"/>
              <w:rPr>
                <w:rFonts w:asciiTheme="minorEastAsia" w:hAnsiTheme="minorEastAsia" w:eastAsiaTheme="minorEastAsia" w:cstheme="minorEastAsia"/>
                <w:bCs/>
                <w:color w:val="auto"/>
                <w:sz w:val="24"/>
                <w:szCs w:val="24"/>
                <w:u w:val="single"/>
              </w:rPr>
            </w:pPr>
            <w:r>
              <w:rPr>
                <w:rFonts w:hint="eastAsia" w:ascii="宋体" w:hAnsi="宋体" w:eastAsia="宋体"/>
                <w:bCs/>
                <w:color w:val="auto"/>
                <w:kern w:val="0"/>
                <w:sz w:val="24"/>
                <w:szCs w:val="28"/>
              </w:rPr>
              <w:t>（5）</w:t>
            </w:r>
            <w:r>
              <w:rPr>
                <w:rFonts w:hint="eastAsia" w:ascii="宋体" w:hAnsi="宋体" w:eastAsia="宋体"/>
                <w:color w:val="auto"/>
                <w:sz w:val="24"/>
              </w:rPr>
              <w:t>退还时间：</w:t>
            </w:r>
            <w:r>
              <w:rPr>
                <w:rFonts w:hint="eastAsia" w:ascii="宋体" w:hAnsi="宋体" w:eastAsia="宋体"/>
                <w:color w:val="auto"/>
                <w:sz w:val="24"/>
                <w:u w:val="single"/>
              </w:rPr>
              <w:t>履约保证金在合同生效之日起至项目验收合格前一直有效，移交项目成果并通过验收后经乙方申请，合同甲方确认后</w:t>
            </w:r>
            <w:r>
              <w:rPr>
                <w:rFonts w:hint="eastAsia" w:ascii="宋体" w:hAnsi="宋体" w:eastAsia="宋体" w:cs="宋体"/>
                <w:color w:val="auto"/>
                <w:sz w:val="24"/>
                <w:szCs w:val="24"/>
                <w:highlight w:val="none"/>
                <w:u w:val="single"/>
              </w:rPr>
              <w:t>按规定及时</w:t>
            </w:r>
            <w:r>
              <w:rPr>
                <w:rFonts w:ascii="宋体" w:hAnsi="宋体" w:eastAsia="宋体"/>
                <w:color w:val="auto"/>
                <w:sz w:val="24"/>
                <w:u w:val="single"/>
              </w:rPr>
              <w:t>将履约保证金款项退还给乙方或者解除履约担保。</w:t>
            </w:r>
          </w:p>
          <w:p w14:paraId="17971653">
            <w:pPr>
              <w:spacing w:line="360" w:lineRule="auto"/>
              <w:rPr>
                <w:rFonts w:ascii="宋体" w:hAnsi="宋体" w:eastAsia="宋体"/>
                <w:bCs/>
                <w:color w:val="auto"/>
                <w:sz w:val="24"/>
              </w:rPr>
            </w:pPr>
            <w:r>
              <w:rPr>
                <w:rFonts w:hint="eastAsia" w:asciiTheme="minorEastAsia" w:hAnsiTheme="minorEastAsia" w:eastAsiaTheme="minorEastAsia" w:cstheme="minorEastAsia"/>
                <w:bCs/>
                <w:color w:val="auto"/>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683EAE34">
            <w:pPr>
              <w:spacing w:line="360" w:lineRule="auto"/>
              <w:rPr>
                <w:rFonts w:ascii="宋体" w:hAnsi="宋体" w:eastAsia="宋体"/>
                <w:bCs/>
                <w:color w:val="auto"/>
                <w:kern w:val="0"/>
                <w:sz w:val="24"/>
                <w:szCs w:val="24"/>
              </w:rPr>
            </w:pPr>
            <w:r>
              <w:rPr>
                <w:rFonts w:hint="eastAsia" w:ascii="宋体" w:hAnsi="宋体" w:eastAsia="宋体"/>
                <w:bCs/>
                <w:color w:val="auto"/>
                <w:kern w:val="0"/>
                <w:sz w:val="24"/>
                <w:szCs w:val="24"/>
              </w:rPr>
              <w:t>注意事项：</w:t>
            </w:r>
          </w:p>
          <w:p w14:paraId="1756EFD2">
            <w:pPr>
              <w:spacing w:line="360" w:lineRule="auto"/>
              <w:rPr>
                <w:rFonts w:ascii="宋体" w:hAnsi="宋体" w:eastAsia="宋体"/>
                <w:bCs/>
                <w:color w:val="auto"/>
                <w:kern w:val="0"/>
                <w:sz w:val="24"/>
                <w:szCs w:val="24"/>
              </w:rPr>
            </w:pPr>
            <w:r>
              <w:rPr>
                <w:rFonts w:hint="eastAsia" w:ascii="宋体" w:hAnsi="宋体" w:eastAsia="宋体"/>
                <w:bCs/>
                <w:color w:val="auto"/>
                <w:kern w:val="0"/>
                <w:sz w:val="24"/>
                <w:szCs w:val="24"/>
              </w:rPr>
              <w:t>（1）以上各类机构出具的以担保函、保证保险承担责任的方式均须满足无条件见索即付条件。</w:t>
            </w:r>
          </w:p>
          <w:p w14:paraId="3D1862D9">
            <w:pPr>
              <w:adjustRightInd w:val="0"/>
              <w:snapToGrid w:val="0"/>
              <w:spacing w:line="360" w:lineRule="auto"/>
              <w:jc w:val="left"/>
              <w:rPr>
                <w:rFonts w:ascii="宋体" w:hAnsi="宋体" w:eastAsia="宋体"/>
                <w:color w:val="auto"/>
                <w:sz w:val="24"/>
                <w:u w:val="single"/>
              </w:rPr>
            </w:pPr>
            <w:r>
              <w:rPr>
                <w:rFonts w:hint="eastAsia" w:ascii="宋体" w:hAnsi="宋体" w:eastAsia="宋体"/>
                <w:color w:val="auto"/>
                <w:sz w:val="24"/>
                <w:szCs w:val="24"/>
              </w:rPr>
              <w:t>（2）以担保函、保证保险形式缴纳履约保证金的，受益人和收取单位须为合同甲方。</w:t>
            </w:r>
          </w:p>
        </w:tc>
      </w:tr>
      <w:tr w14:paraId="6E01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88F5876">
            <w:pPr>
              <w:pStyle w:val="53"/>
              <w:spacing w:line="360" w:lineRule="auto"/>
              <w:jc w:val="left"/>
              <w:rPr>
                <w:rFonts w:ascii="宋体" w:hAnsi="宋体" w:eastAsia="宋体"/>
                <w:color w:val="auto"/>
                <w:sz w:val="24"/>
              </w:rPr>
            </w:pPr>
            <w:r>
              <w:rPr>
                <w:rFonts w:hint="eastAsia" w:ascii="宋体" w:hAnsi="宋体" w:eastAsia="宋体" w:cs="宋体"/>
                <w:color w:val="auto"/>
                <w:sz w:val="24"/>
              </w:rPr>
              <w:t>2.18</w:t>
            </w:r>
          </w:p>
        </w:tc>
        <w:tc>
          <w:tcPr>
            <w:tcW w:w="4524" w:type="pct"/>
            <w:vAlign w:val="center"/>
          </w:tcPr>
          <w:p w14:paraId="4AACB34B">
            <w:pPr>
              <w:pStyle w:val="53"/>
              <w:spacing w:line="360" w:lineRule="auto"/>
              <w:rPr>
                <w:rFonts w:ascii="宋体" w:hAnsi="宋体" w:eastAsia="宋体"/>
                <w:color w:val="auto"/>
                <w:sz w:val="24"/>
              </w:rPr>
            </w:pPr>
            <w:r>
              <w:rPr>
                <w:rFonts w:hint="eastAsia" w:ascii="宋体" w:hAnsi="宋体" w:eastAsia="宋体" w:cs="宋体"/>
                <w:color w:val="auto"/>
                <w:sz w:val="24"/>
              </w:rPr>
              <w:t>本合同一式陆份，甲乙双方各执叁份。</w:t>
            </w:r>
          </w:p>
        </w:tc>
      </w:tr>
      <w:tr w14:paraId="17750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00116D47">
            <w:pPr>
              <w:pStyle w:val="53"/>
              <w:spacing w:line="360" w:lineRule="auto"/>
              <w:jc w:val="left"/>
              <w:rPr>
                <w:rFonts w:ascii="宋体" w:hAnsi="宋体" w:eastAsia="宋体"/>
                <w:color w:val="auto"/>
                <w:sz w:val="24"/>
              </w:rPr>
            </w:pPr>
            <w:r>
              <w:rPr>
                <w:rFonts w:hint="eastAsia" w:ascii="宋体" w:hAnsi="宋体" w:eastAsia="宋体" w:cs="宋体"/>
                <w:color w:val="auto"/>
                <w:sz w:val="24"/>
              </w:rPr>
              <w:t>2.19</w:t>
            </w:r>
          </w:p>
        </w:tc>
        <w:tc>
          <w:tcPr>
            <w:tcW w:w="4524" w:type="pct"/>
            <w:vAlign w:val="center"/>
          </w:tcPr>
          <w:p w14:paraId="5A5F7D4F">
            <w:pPr>
              <w:pStyle w:val="53"/>
              <w:spacing w:line="360" w:lineRule="auto"/>
              <w:rPr>
                <w:rFonts w:ascii="宋体" w:hAnsi="宋体" w:eastAsia="宋体"/>
                <w:color w:val="auto"/>
                <w:sz w:val="24"/>
                <w:u w:val="single"/>
              </w:rPr>
            </w:pPr>
            <w:r>
              <w:rPr>
                <w:rFonts w:hint="eastAsia" w:ascii="宋体" w:hAnsi="宋体" w:eastAsia="宋体" w:cs="@仿宋_GB2312"/>
                <w:bCs/>
                <w:color w:val="auto"/>
                <w:kern w:val="0"/>
                <w:sz w:val="24"/>
                <w:szCs w:val="28"/>
              </w:rPr>
              <w:t>需要补充的其他内容：项目组成员表（详见附件一）。</w:t>
            </w:r>
          </w:p>
        </w:tc>
      </w:tr>
      <w:tr w14:paraId="5E24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DA93E56">
            <w:pPr>
              <w:pStyle w:val="53"/>
              <w:spacing w:line="360" w:lineRule="auto"/>
              <w:jc w:val="left"/>
              <w:rPr>
                <w:rFonts w:ascii="宋体" w:hAnsi="宋体" w:eastAsia="宋体" w:cs="宋体"/>
                <w:color w:val="auto"/>
                <w:sz w:val="24"/>
              </w:rPr>
            </w:pPr>
            <w:r>
              <w:rPr>
                <w:rFonts w:hint="eastAsia" w:ascii="宋体" w:hAnsi="宋体" w:eastAsia="宋体" w:cs="宋体"/>
                <w:color w:val="auto"/>
                <w:sz w:val="24"/>
              </w:rPr>
              <w:t>2</w:t>
            </w:r>
            <w:r>
              <w:rPr>
                <w:rFonts w:ascii="宋体" w:hAnsi="宋体" w:eastAsia="宋体" w:cs="宋体"/>
                <w:color w:val="auto"/>
                <w:sz w:val="24"/>
              </w:rPr>
              <w:t>.20</w:t>
            </w:r>
          </w:p>
        </w:tc>
        <w:tc>
          <w:tcPr>
            <w:tcW w:w="4524" w:type="pct"/>
            <w:vAlign w:val="center"/>
          </w:tcPr>
          <w:p w14:paraId="71D7AA75">
            <w:pPr>
              <w:pStyle w:val="53"/>
              <w:spacing w:line="360" w:lineRule="auto"/>
              <w:rPr>
                <w:rFonts w:ascii="宋体" w:hAnsi="宋体" w:eastAsia="宋体" w:cs="@仿宋_GB2312"/>
                <w:bCs/>
                <w:color w:val="auto"/>
                <w:kern w:val="0"/>
                <w:sz w:val="24"/>
                <w:szCs w:val="28"/>
              </w:rPr>
            </w:pPr>
            <w:r>
              <w:rPr>
                <w:rFonts w:hint="eastAsia" w:ascii="宋体" w:hAnsi="宋体" w:eastAsia="宋体" w:cs="@仿宋_GB2312"/>
                <w:bCs/>
                <w:color w:val="auto"/>
                <w:kern w:val="0"/>
                <w:sz w:val="24"/>
                <w:szCs w:val="28"/>
              </w:rPr>
              <w:t>项目实施前，乙方须提供本项目所有从业人员的社会保险（含工伤和医疗）缴纳证明，如无法提供相应证明材料，则须为本项目所有从业人员购买以下保险（二者任选其一）</w:t>
            </w:r>
          </w:p>
          <w:p w14:paraId="3F2AA1C6">
            <w:pPr>
              <w:pStyle w:val="53"/>
              <w:spacing w:line="360" w:lineRule="auto"/>
              <w:rPr>
                <w:rFonts w:ascii="宋体" w:hAnsi="宋体" w:eastAsia="宋体" w:cs="@仿宋_GB2312"/>
                <w:bCs/>
                <w:color w:val="auto"/>
                <w:kern w:val="0"/>
                <w:sz w:val="24"/>
                <w:szCs w:val="28"/>
              </w:rPr>
            </w:pPr>
            <w:r>
              <w:rPr>
                <w:rFonts w:ascii="宋体" w:hAnsi="宋体" w:eastAsia="宋体" w:cs="@仿宋_GB2312"/>
                <w:bCs/>
                <w:color w:val="auto"/>
                <w:kern w:val="0"/>
                <w:sz w:val="24"/>
                <w:szCs w:val="28"/>
              </w:rPr>
              <w:t>1.雇主责任险</w:t>
            </w:r>
          </w:p>
          <w:p w14:paraId="7D1405AE">
            <w:pPr>
              <w:pStyle w:val="53"/>
              <w:spacing w:line="360" w:lineRule="auto"/>
              <w:rPr>
                <w:rFonts w:ascii="宋体" w:hAnsi="宋体" w:eastAsia="宋体" w:cs="@仿宋_GB2312"/>
                <w:bCs/>
                <w:color w:val="auto"/>
                <w:kern w:val="0"/>
                <w:sz w:val="24"/>
                <w:szCs w:val="28"/>
              </w:rPr>
            </w:pPr>
            <w:r>
              <w:rPr>
                <w:rFonts w:hint="eastAsia" w:ascii="宋体" w:hAnsi="宋体" w:eastAsia="宋体" w:cs="@仿宋_GB2312"/>
                <w:bCs/>
                <w:color w:val="auto"/>
                <w:kern w:val="0"/>
                <w:sz w:val="24"/>
                <w:szCs w:val="28"/>
              </w:rPr>
              <w:t>保险责任：被保险人为服务企业建立劳动关系的人员，在工作时间和工作场所内</w:t>
            </w:r>
            <w:r>
              <w:rPr>
                <w:rFonts w:ascii="宋体" w:hAnsi="宋体" w:eastAsia="宋体" w:cs="@仿宋_GB2312"/>
                <w:bCs/>
                <w:color w:val="auto"/>
                <w:kern w:val="0"/>
                <w:sz w:val="24"/>
                <w:szCs w:val="28"/>
              </w:rPr>
              <w:t>,因工作原因受到事故伤害;在工作时间和工作场所内,因履行工作职责受到暴力等意外伤害;被诊断、鉴定为职业病;在上下班途中,受到非本人主要责任的交通事故或者城市轨道交通、客运轮渡、火车事故伤害;在工作时间和工作岗位,突发疾病死亡或者在48小时之内经抢无效死亡;</w:t>
            </w:r>
          </w:p>
          <w:p w14:paraId="77DA8CDE">
            <w:pPr>
              <w:pStyle w:val="53"/>
              <w:spacing w:line="360" w:lineRule="auto"/>
              <w:rPr>
                <w:rFonts w:ascii="宋体" w:hAnsi="宋体" w:eastAsia="宋体" w:cs="@仿宋_GB2312"/>
                <w:bCs/>
                <w:color w:val="auto"/>
                <w:kern w:val="0"/>
                <w:sz w:val="24"/>
                <w:szCs w:val="28"/>
              </w:rPr>
            </w:pPr>
            <w:r>
              <w:rPr>
                <w:rFonts w:ascii="宋体" w:hAnsi="宋体" w:eastAsia="宋体" w:cs="@仿宋_GB2312"/>
                <w:bCs/>
                <w:color w:val="auto"/>
                <w:kern w:val="0"/>
                <w:sz w:val="24"/>
                <w:szCs w:val="28"/>
              </w:rPr>
              <w:t>2.企业作业人员员团队意外险</w:t>
            </w:r>
          </w:p>
          <w:p w14:paraId="6FDC09FC">
            <w:pPr>
              <w:pStyle w:val="53"/>
              <w:spacing w:line="360" w:lineRule="auto"/>
              <w:rPr>
                <w:rFonts w:ascii="宋体" w:hAnsi="宋体" w:eastAsia="宋体" w:cs="@仿宋_GB2312"/>
                <w:bCs/>
                <w:color w:val="auto"/>
                <w:kern w:val="0"/>
                <w:sz w:val="24"/>
                <w:szCs w:val="28"/>
              </w:rPr>
            </w:pPr>
            <w:r>
              <w:rPr>
                <w:rFonts w:hint="eastAsia" w:ascii="宋体" w:hAnsi="宋体" w:eastAsia="宋体" w:cs="@仿宋_GB2312"/>
                <w:bCs/>
                <w:color w:val="auto"/>
                <w:kern w:val="0"/>
                <w:sz w:val="24"/>
                <w:szCs w:val="28"/>
              </w:rPr>
              <w:t>保险责任：在从事工程服务或从事工程服务相关工作，以及在作业现场或在指定的生活区域内，因遭受意外伤害事故而导致的身故、残疾或发生的医疗费用，保险公司依照约定给付身故保险金，或按照残疾比例给付表给付伤残保险金，或医疗费用补偿金。</w:t>
            </w:r>
          </w:p>
        </w:tc>
      </w:tr>
    </w:tbl>
    <w:p w14:paraId="6ABE2B91">
      <w:pPr>
        <w:rPr>
          <w:rFonts w:ascii="宋体" w:hAnsi="宋体" w:eastAsia="宋体"/>
          <w:b/>
          <w:bCs/>
          <w:color w:val="auto"/>
          <w:sz w:val="30"/>
          <w:szCs w:val="30"/>
        </w:rPr>
      </w:pPr>
      <w:r>
        <w:rPr>
          <w:rFonts w:hint="eastAsia" w:ascii="宋体" w:hAnsi="宋体" w:eastAsia="宋体"/>
          <w:b/>
          <w:bCs/>
          <w:color w:val="auto"/>
          <w:sz w:val="30"/>
          <w:szCs w:val="30"/>
        </w:rPr>
        <w:br w:type="page"/>
      </w:r>
    </w:p>
    <w:p w14:paraId="608714D5">
      <w:pPr>
        <w:jc w:val="left"/>
        <w:rPr>
          <w:rFonts w:ascii="宋体" w:hAnsi="宋体" w:eastAsia="宋体"/>
          <w:color w:val="auto"/>
          <w:sz w:val="24"/>
          <w:u w:val="single"/>
        </w:rPr>
      </w:pPr>
      <w:r>
        <w:rPr>
          <w:rFonts w:hint="eastAsia" w:ascii="宋体" w:hAnsi="宋体" w:eastAsia="宋体"/>
          <w:b/>
          <w:bCs/>
          <w:color w:val="auto"/>
          <w:sz w:val="30"/>
          <w:szCs w:val="30"/>
        </w:rPr>
        <w:t>附件一  省淮河局2025年部分水闸安全鉴定项目组人员表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213"/>
        <w:gridCol w:w="1714"/>
        <w:gridCol w:w="1469"/>
        <w:gridCol w:w="2540"/>
      </w:tblGrid>
      <w:tr w14:paraId="6FE8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82" w:type="dxa"/>
            <w:vAlign w:val="center"/>
          </w:tcPr>
          <w:p w14:paraId="43033D40">
            <w:pPr>
              <w:widowControl/>
              <w:jc w:val="center"/>
              <w:rPr>
                <w:rFonts w:ascii="宋体" w:hAnsi="宋体" w:eastAsia="宋体"/>
                <w:b/>
                <w:bCs/>
                <w:color w:val="auto"/>
                <w:sz w:val="24"/>
              </w:rPr>
            </w:pPr>
            <w:r>
              <w:rPr>
                <w:rFonts w:hint="eastAsia" w:ascii="宋体" w:hAnsi="宋体" w:eastAsia="宋体"/>
                <w:b/>
                <w:bCs/>
                <w:color w:val="auto"/>
                <w:sz w:val="24"/>
              </w:rPr>
              <w:t>姓名</w:t>
            </w:r>
          </w:p>
        </w:tc>
        <w:tc>
          <w:tcPr>
            <w:tcW w:w="1213" w:type="dxa"/>
            <w:vAlign w:val="center"/>
          </w:tcPr>
          <w:p w14:paraId="0C940CAA">
            <w:pPr>
              <w:widowControl/>
              <w:jc w:val="center"/>
              <w:rPr>
                <w:rFonts w:ascii="宋体" w:hAnsi="宋体" w:eastAsia="宋体"/>
                <w:b/>
                <w:bCs/>
                <w:color w:val="auto"/>
                <w:sz w:val="24"/>
              </w:rPr>
            </w:pPr>
            <w:r>
              <w:rPr>
                <w:rFonts w:hint="eastAsia" w:ascii="宋体" w:hAnsi="宋体" w:eastAsia="宋体"/>
                <w:b/>
                <w:bCs/>
                <w:color w:val="auto"/>
                <w:sz w:val="24"/>
              </w:rPr>
              <w:t>性别</w:t>
            </w:r>
          </w:p>
        </w:tc>
        <w:tc>
          <w:tcPr>
            <w:tcW w:w="1714" w:type="dxa"/>
            <w:vAlign w:val="center"/>
          </w:tcPr>
          <w:p w14:paraId="4DFF0ADE">
            <w:pPr>
              <w:widowControl/>
              <w:jc w:val="center"/>
              <w:rPr>
                <w:rFonts w:ascii="宋体" w:hAnsi="宋体" w:eastAsia="宋体"/>
                <w:b/>
                <w:bCs/>
                <w:color w:val="auto"/>
                <w:sz w:val="24"/>
              </w:rPr>
            </w:pPr>
            <w:r>
              <w:rPr>
                <w:rFonts w:hint="eastAsia" w:ascii="宋体" w:hAnsi="宋体" w:eastAsia="宋体"/>
                <w:b/>
                <w:bCs/>
                <w:color w:val="auto"/>
                <w:sz w:val="24"/>
              </w:rPr>
              <w:t>专业</w:t>
            </w:r>
          </w:p>
        </w:tc>
        <w:tc>
          <w:tcPr>
            <w:tcW w:w="1469" w:type="dxa"/>
            <w:vAlign w:val="center"/>
          </w:tcPr>
          <w:p w14:paraId="13DA37AA">
            <w:pPr>
              <w:widowControl/>
              <w:jc w:val="center"/>
              <w:rPr>
                <w:rFonts w:ascii="宋体" w:hAnsi="宋体" w:eastAsia="宋体"/>
                <w:b/>
                <w:bCs/>
                <w:color w:val="auto"/>
                <w:sz w:val="24"/>
              </w:rPr>
            </w:pPr>
            <w:r>
              <w:rPr>
                <w:rFonts w:hint="eastAsia" w:ascii="宋体" w:hAnsi="宋体" w:eastAsia="宋体"/>
                <w:b/>
                <w:bCs/>
                <w:color w:val="auto"/>
                <w:sz w:val="24"/>
              </w:rPr>
              <w:t>职称</w:t>
            </w:r>
          </w:p>
        </w:tc>
        <w:tc>
          <w:tcPr>
            <w:tcW w:w="2540" w:type="dxa"/>
            <w:vAlign w:val="center"/>
          </w:tcPr>
          <w:p w14:paraId="066F108A">
            <w:pPr>
              <w:widowControl/>
              <w:jc w:val="center"/>
              <w:rPr>
                <w:rFonts w:ascii="宋体" w:hAnsi="宋体" w:eastAsia="宋体"/>
                <w:b/>
                <w:bCs/>
                <w:color w:val="auto"/>
                <w:sz w:val="24"/>
              </w:rPr>
            </w:pPr>
            <w:r>
              <w:rPr>
                <w:rFonts w:hint="eastAsia" w:ascii="宋体" w:hAnsi="宋体" w:eastAsia="宋体"/>
                <w:b/>
                <w:bCs/>
                <w:color w:val="auto"/>
                <w:sz w:val="24"/>
              </w:rPr>
              <w:t>拟任职务、岗位</w:t>
            </w:r>
          </w:p>
        </w:tc>
      </w:tr>
      <w:tr w14:paraId="71AD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82" w:type="dxa"/>
            <w:vAlign w:val="center"/>
          </w:tcPr>
          <w:p w14:paraId="61F787AA">
            <w:pPr>
              <w:widowControl/>
              <w:jc w:val="center"/>
              <w:rPr>
                <w:rFonts w:ascii="宋体" w:hAnsi="宋体" w:eastAsia="宋体"/>
                <w:b/>
                <w:bCs/>
                <w:color w:val="auto"/>
                <w:sz w:val="24"/>
              </w:rPr>
            </w:pPr>
          </w:p>
        </w:tc>
        <w:tc>
          <w:tcPr>
            <w:tcW w:w="1213" w:type="dxa"/>
            <w:vAlign w:val="center"/>
          </w:tcPr>
          <w:p w14:paraId="6EEF6A44">
            <w:pPr>
              <w:widowControl/>
              <w:jc w:val="center"/>
              <w:rPr>
                <w:rFonts w:ascii="宋体" w:hAnsi="宋体" w:eastAsia="宋体"/>
                <w:b/>
                <w:bCs/>
                <w:color w:val="auto"/>
                <w:sz w:val="24"/>
              </w:rPr>
            </w:pPr>
          </w:p>
        </w:tc>
        <w:tc>
          <w:tcPr>
            <w:tcW w:w="1714" w:type="dxa"/>
            <w:vAlign w:val="center"/>
          </w:tcPr>
          <w:p w14:paraId="4AB154CC">
            <w:pPr>
              <w:widowControl/>
              <w:jc w:val="center"/>
              <w:rPr>
                <w:rFonts w:ascii="宋体" w:hAnsi="宋体" w:eastAsia="宋体"/>
                <w:b/>
                <w:bCs/>
                <w:color w:val="auto"/>
                <w:sz w:val="24"/>
              </w:rPr>
            </w:pPr>
          </w:p>
        </w:tc>
        <w:tc>
          <w:tcPr>
            <w:tcW w:w="1469" w:type="dxa"/>
            <w:vAlign w:val="center"/>
          </w:tcPr>
          <w:p w14:paraId="27733602">
            <w:pPr>
              <w:widowControl/>
              <w:jc w:val="center"/>
              <w:rPr>
                <w:rFonts w:ascii="宋体" w:hAnsi="宋体" w:eastAsia="宋体"/>
                <w:b/>
                <w:bCs/>
                <w:color w:val="auto"/>
                <w:sz w:val="24"/>
              </w:rPr>
            </w:pPr>
          </w:p>
        </w:tc>
        <w:tc>
          <w:tcPr>
            <w:tcW w:w="2540" w:type="dxa"/>
            <w:vAlign w:val="center"/>
          </w:tcPr>
          <w:p w14:paraId="0CA44181">
            <w:pPr>
              <w:widowControl/>
              <w:jc w:val="center"/>
              <w:rPr>
                <w:rFonts w:ascii="宋体" w:hAnsi="宋体" w:eastAsia="宋体"/>
                <w:b/>
                <w:bCs/>
                <w:color w:val="auto"/>
                <w:sz w:val="24"/>
              </w:rPr>
            </w:pPr>
          </w:p>
        </w:tc>
      </w:tr>
      <w:tr w14:paraId="76B5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82" w:type="dxa"/>
            <w:vAlign w:val="center"/>
          </w:tcPr>
          <w:p w14:paraId="68E4CD0C">
            <w:pPr>
              <w:widowControl/>
              <w:jc w:val="center"/>
              <w:rPr>
                <w:rFonts w:ascii="宋体" w:hAnsi="宋体" w:eastAsia="宋体"/>
                <w:b/>
                <w:bCs/>
                <w:color w:val="auto"/>
                <w:sz w:val="24"/>
              </w:rPr>
            </w:pPr>
          </w:p>
        </w:tc>
        <w:tc>
          <w:tcPr>
            <w:tcW w:w="1213" w:type="dxa"/>
            <w:vAlign w:val="center"/>
          </w:tcPr>
          <w:p w14:paraId="4CA36019">
            <w:pPr>
              <w:widowControl/>
              <w:jc w:val="center"/>
              <w:rPr>
                <w:rFonts w:ascii="宋体" w:hAnsi="宋体" w:eastAsia="宋体"/>
                <w:b/>
                <w:bCs/>
                <w:color w:val="auto"/>
                <w:sz w:val="24"/>
              </w:rPr>
            </w:pPr>
          </w:p>
        </w:tc>
        <w:tc>
          <w:tcPr>
            <w:tcW w:w="1714" w:type="dxa"/>
            <w:vAlign w:val="center"/>
          </w:tcPr>
          <w:p w14:paraId="27F4FB75">
            <w:pPr>
              <w:widowControl/>
              <w:jc w:val="center"/>
              <w:rPr>
                <w:rFonts w:ascii="宋体" w:hAnsi="宋体" w:eastAsia="宋体"/>
                <w:b/>
                <w:bCs/>
                <w:color w:val="auto"/>
                <w:sz w:val="24"/>
              </w:rPr>
            </w:pPr>
          </w:p>
        </w:tc>
        <w:tc>
          <w:tcPr>
            <w:tcW w:w="1469" w:type="dxa"/>
            <w:vAlign w:val="center"/>
          </w:tcPr>
          <w:p w14:paraId="726F13C5">
            <w:pPr>
              <w:widowControl/>
              <w:jc w:val="center"/>
              <w:rPr>
                <w:rFonts w:ascii="宋体" w:hAnsi="宋体" w:eastAsia="宋体"/>
                <w:b/>
                <w:bCs/>
                <w:color w:val="auto"/>
                <w:sz w:val="24"/>
              </w:rPr>
            </w:pPr>
          </w:p>
        </w:tc>
        <w:tc>
          <w:tcPr>
            <w:tcW w:w="2540" w:type="dxa"/>
            <w:vAlign w:val="center"/>
          </w:tcPr>
          <w:p w14:paraId="48039137">
            <w:pPr>
              <w:widowControl/>
              <w:jc w:val="center"/>
              <w:rPr>
                <w:rFonts w:ascii="宋体" w:hAnsi="宋体" w:eastAsia="宋体"/>
                <w:b/>
                <w:bCs/>
                <w:color w:val="auto"/>
                <w:sz w:val="24"/>
              </w:rPr>
            </w:pPr>
          </w:p>
        </w:tc>
      </w:tr>
      <w:tr w14:paraId="7517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82" w:type="dxa"/>
            <w:vAlign w:val="center"/>
          </w:tcPr>
          <w:p w14:paraId="5071FB7C">
            <w:pPr>
              <w:widowControl/>
              <w:jc w:val="center"/>
              <w:rPr>
                <w:rFonts w:ascii="宋体" w:hAnsi="宋体" w:eastAsia="宋体"/>
                <w:b/>
                <w:bCs/>
                <w:color w:val="auto"/>
                <w:sz w:val="24"/>
              </w:rPr>
            </w:pPr>
          </w:p>
        </w:tc>
        <w:tc>
          <w:tcPr>
            <w:tcW w:w="1213" w:type="dxa"/>
            <w:vAlign w:val="center"/>
          </w:tcPr>
          <w:p w14:paraId="3D645F6B">
            <w:pPr>
              <w:widowControl/>
              <w:jc w:val="center"/>
              <w:rPr>
                <w:rFonts w:ascii="宋体" w:hAnsi="宋体" w:eastAsia="宋体"/>
                <w:b/>
                <w:bCs/>
                <w:color w:val="auto"/>
                <w:sz w:val="24"/>
              </w:rPr>
            </w:pPr>
          </w:p>
        </w:tc>
        <w:tc>
          <w:tcPr>
            <w:tcW w:w="1714" w:type="dxa"/>
            <w:vAlign w:val="center"/>
          </w:tcPr>
          <w:p w14:paraId="4B2B4373">
            <w:pPr>
              <w:widowControl/>
              <w:jc w:val="center"/>
              <w:rPr>
                <w:rFonts w:ascii="宋体" w:hAnsi="宋体" w:eastAsia="宋体"/>
                <w:b/>
                <w:bCs/>
                <w:color w:val="auto"/>
                <w:sz w:val="24"/>
              </w:rPr>
            </w:pPr>
          </w:p>
        </w:tc>
        <w:tc>
          <w:tcPr>
            <w:tcW w:w="1469" w:type="dxa"/>
            <w:vAlign w:val="center"/>
          </w:tcPr>
          <w:p w14:paraId="4EC08B33">
            <w:pPr>
              <w:widowControl/>
              <w:jc w:val="center"/>
              <w:rPr>
                <w:rFonts w:ascii="宋体" w:hAnsi="宋体" w:eastAsia="宋体"/>
                <w:b/>
                <w:bCs/>
                <w:color w:val="auto"/>
                <w:sz w:val="24"/>
              </w:rPr>
            </w:pPr>
          </w:p>
        </w:tc>
        <w:tc>
          <w:tcPr>
            <w:tcW w:w="2540" w:type="dxa"/>
            <w:vAlign w:val="center"/>
          </w:tcPr>
          <w:p w14:paraId="54C32045">
            <w:pPr>
              <w:widowControl/>
              <w:jc w:val="center"/>
              <w:rPr>
                <w:rFonts w:ascii="宋体" w:hAnsi="宋体" w:eastAsia="宋体"/>
                <w:b/>
                <w:bCs/>
                <w:color w:val="auto"/>
                <w:sz w:val="24"/>
              </w:rPr>
            </w:pPr>
          </w:p>
        </w:tc>
      </w:tr>
    </w:tbl>
    <w:p w14:paraId="6C253226">
      <w:pPr>
        <w:spacing w:line="400" w:lineRule="exact"/>
        <w:jc w:val="center"/>
        <w:outlineLvl w:val="1"/>
        <w:rPr>
          <w:rFonts w:ascii="宋体" w:hAnsi="宋体" w:eastAsia="宋体" w:cs="宋体"/>
          <w:color w:val="auto"/>
        </w:rPr>
      </w:pPr>
      <w:r>
        <w:rPr>
          <w:rFonts w:asciiTheme="minorEastAsia" w:hAnsiTheme="minorEastAsia" w:eastAsiaTheme="minorEastAsia"/>
          <w:color w:val="auto"/>
          <w:sz w:val="24"/>
        </w:rPr>
        <w:br w:type="page"/>
      </w:r>
      <w:r>
        <w:rPr>
          <w:rFonts w:hint="eastAsia" w:ascii="宋体" w:hAnsi="宋体" w:eastAsia="宋体" w:cs="宋体"/>
          <w:b/>
          <w:color w:val="auto"/>
          <w:sz w:val="24"/>
          <w:szCs w:val="24"/>
        </w:rPr>
        <w:t>第四部分 廉政协议书</w:t>
      </w:r>
    </w:p>
    <w:p w14:paraId="11AC51C0">
      <w:pPr>
        <w:spacing w:line="360" w:lineRule="auto"/>
        <w:ind w:firstLine="420" w:firstLineChars="200"/>
        <w:rPr>
          <w:rFonts w:ascii="宋体" w:hAnsi="宋体" w:eastAsia="宋体" w:cs="宋体"/>
          <w:color w:val="auto"/>
          <w:szCs w:val="32"/>
        </w:rPr>
      </w:pPr>
    </w:p>
    <w:p w14:paraId="013E4C01">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服务项目中的廉政建设，规范服务项目采购双方的各项活动，防止发生各种谋取不正当利益的违法违纪行为，保护国家、集体和当事人的合法权益，根据国家有关法律法规和廉政建设责任制规定，就省淮河局2025年堤防草皮养护及林间控高（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包）特订立廉政合同。</w:t>
      </w:r>
    </w:p>
    <w:p w14:paraId="4DDC9713">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甲乙双方的责任</w:t>
      </w:r>
    </w:p>
    <w:p w14:paraId="1A110B2D">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（一）应严格遵守国家关于市场准入、项目采购、工程建设、</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安装和市场活动等有关法律、法规，相关政策，以及廉政建设的各项规定。</w:t>
      </w:r>
    </w:p>
    <w:p w14:paraId="67E681E5">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（二）严格执行本项目合同书，自觉按合同办事。</w:t>
      </w:r>
    </w:p>
    <w:p w14:paraId="7D4E5165">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（三）业务活动必须坚持公开、公平、公正、诚信、透明的原则（除法律法规另有规定者外），不得为获取不正当的利益，损害国家、集体和对方利益，不得违反工程建设管理、</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安装的规章制度。</w:t>
      </w:r>
    </w:p>
    <w:p w14:paraId="2744DFA6">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（四）发现对方在业务活动中有违规、违纪、违法行为的，应及时提醒对方，情节严重的，应向其上级行政主管部门或纪检监察、司法等有关机关举报。</w:t>
      </w:r>
    </w:p>
    <w:p w14:paraId="6C1A1ED6">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甲方的责任</w:t>
      </w:r>
    </w:p>
    <w:p w14:paraId="4B4AD605">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甲方的领导和从事该服务项目的工作人员，在项目实施的事前、事中、事后应遵守以下规定：</w:t>
      </w:r>
    </w:p>
    <w:p w14:paraId="0EDCAB73">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（一）不准向乙方和相关单位索要或接受回扣、礼金、有价证券、贵重物品和好处费、感谢费等。   </w:t>
      </w:r>
    </w:p>
    <w:p w14:paraId="2F4A2D3E">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（二）不准在乙方和相关单位报销任何应由甲方或个人支付的费用。</w:t>
      </w:r>
    </w:p>
    <w:p w14:paraId="5CDDDB6F">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（三）不准要求、暗示或接受乙方和相关单位为个人装修住房、婚丧嫁娶、配偶子女的工作安排以及出国(境)、旅游等提供方便。</w:t>
      </w:r>
    </w:p>
    <w:p w14:paraId="2C6B9457">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（四）不准参加有可能影响公正执行公务的乙方和相关单位的宴请和健身、娱乐等活动。</w:t>
      </w:r>
    </w:p>
    <w:p w14:paraId="36E7245D">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03F17274">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乙方的责任</w:t>
      </w:r>
    </w:p>
    <w:p w14:paraId="03FEADB7">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应与甲方保持正常的业务交往，按照有关法律法规和程序开展业务工作，严格执行项目实施的有关方针、政策，尤其是有关建筑</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安装的强制性标准和规范，并遵守以下规定：</w:t>
      </w:r>
    </w:p>
    <w:p w14:paraId="4A511201">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（一）不准以任何理由向甲方及其工作人员索要、接受或赠送礼金、有价证券、贵重物品和回扣、好处费、感谢费等。</w:t>
      </w:r>
    </w:p>
    <w:p w14:paraId="240AC85D">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（二）不准以任何理由为甲方和相关单位报销应由对方或个人支付的费用。</w:t>
      </w:r>
    </w:p>
    <w:p w14:paraId="186BF680">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（三）不准接受或暗示为甲方、相关单位或个人装修住房、婚丧嫁娶、配偶子女的工作安排以及出国(境)、旅游等提供方便。</w:t>
      </w:r>
    </w:p>
    <w:p w14:paraId="48D59A99">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（四）不准以任何理由为甲方、相关单位或个人组织有可能影响公正执行公务的宴请、健身、娱乐等活动。</w:t>
      </w:r>
    </w:p>
    <w:p w14:paraId="7A142941">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违约责任</w:t>
      </w:r>
    </w:p>
    <w:p w14:paraId="18AE0302">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（一）甲方工作人员有违反本合同第一、二条责任行为的，按照管理权限，依据有关法律法规和规定给予党纪、政纪处分或组织处理；涉嫌犯罪的，移交司法机关追究刑事责任。</w:t>
      </w:r>
    </w:p>
    <w:p w14:paraId="440BFE62">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（二）乙方工作人员有违反本合同第一、三条责任行为的，按照管理权限，依据有关法律法规和规定给予党纪、政纪处分或组织处理；涉嫌犯罪的，移交司法机关追究刑事责任。</w:t>
      </w:r>
    </w:p>
    <w:p w14:paraId="7E166CB7">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本协议作为合同书的附件，与合同书具有同等法律效力。经双方签署后立即生效。</w:t>
      </w:r>
    </w:p>
    <w:p w14:paraId="5539B99F">
      <w:pPr>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本协议的有效期为双方签署之日起至该项目完工验收合格时止。</w:t>
      </w:r>
    </w:p>
    <w:p w14:paraId="7B3822AA">
      <w:pPr>
        <w:ind w:left="640"/>
        <w:rPr>
          <w:rFonts w:hint="eastAsia" w:ascii="宋体" w:hAnsi="宋体" w:eastAsia="宋体" w:cs="宋体"/>
          <w:color w:val="auto"/>
          <w:sz w:val="24"/>
          <w:szCs w:val="24"/>
          <w:highlight w:val="none"/>
        </w:rPr>
      </w:pPr>
    </w:p>
    <w:p w14:paraId="649F4989">
      <w:pPr>
        <w:pStyle w:val="6"/>
        <w:ind w:firstLine="420" w:firstLineChars="175"/>
        <w:rPr>
          <w:rFonts w:hint="eastAsia" w:ascii="宋体" w:hAnsi="宋体" w:eastAsia="宋体" w:cs="宋体"/>
          <w:color w:val="auto"/>
          <w:sz w:val="24"/>
          <w:szCs w:val="24"/>
          <w:highlight w:val="none"/>
        </w:rPr>
      </w:pPr>
    </w:p>
    <w:p w14:paraId="62FF1FE1">
      <w:pPr>
        <w:ind w:firstLine="640"/>
        <w:rPr>
          <w:rFonts w:hint="eastAsia" w:ascii="宋体" w:hAnsi="宋体" w:eastAsia="宋体" w:cs="宋体"/>
          <w:color w:val="auto"/>
          <w:sz w:val="24"/>
          <w:szCs w:val="24"/>
          <w:highlight w:val="none"/>
        </w:rPr>
      </w:pPr>
    </w:p>
    <w:p w14:paraId="2861E365">
      <w:pPr>
        <w:pStyle w:val="6"/>
        <w:ind w:firstLine="480"/>
        <w:rPr>
          <w:rFonts w:hint="eastAsia" w:ascii="宋体" w:hAnsi="宋体" w:eastAsia="宋体" w:cs="宋体"/>
          <w:color w:val="auto"/>
          <w:sz w:val="24"/>
          <w:szCs w:val="24"/>
          <w:highlight w:val="none"/>
        </w:rPr>
      </w:pPr>
    </w:p>
    <w:p w14:paraId="735BDE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方（盖章）：                  乙 方（盖章）：</w:t>
      </w:r>
    </w:p>
    <w:p w14:paraId="6A2C762B">
      <w:pPr>
        <w:ind w:firstLine="148" w:firstLineChars="62"/>
        <w:rPr>
          <w:rFonts w:hint="eastAsia" w:ascii="宋体" w:hAnsi="宋体" w:eastAsia="宋体" w:cs="宋体"/>
          <w:color w:val="auto"/>
          <w:sz w:val="24"/>
          <w:szCs w:val="24"/>
          <w:highlight w:val="none"/>
        </w:rPr>
      </w:pPr>
    </w:p>
    <w:p w14:paraId="5F178D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法定代表人（签字）：</w:t>
      </w:r>
    </w:p>
    <w:p w14:paraId="723E40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64B1A638">
      <w:pPr>
        <w:pStyle w:val="6"/>
        <w:ind w:firstLine="480"/>
        <w:rPr>
          <w:rFonts w:hint="eastAsia" w:ascii="宋体" w:hAnsi="宋体" w:eastAsia="宋体" w:cs="宋体"/>
          <w:color w:val="auto"/>
          <w:sz w:val="24"/>
          <w:szCs w:val="24"/>
          <w:highlight w:val="none"/>
        </w:rPr>
      </w:pPr>
    </w:p>
    <w:p w14:paraId="7AD01197">
      <w:pPr>
        <w:ind w:firstLine="640"/>
        <w:rPr>
          <w:rFonts w:hint="eastAsia" w:ascii="宋体" w:hAnsi="宋体" w:eastAsia="宋体" w:cs="宋体"/>
          <w:color w:val="auto"/>
          <w:sz w:val="24"/>
          <w:szCs w:val="24"/>
          <w:highlight w:val="none"/>
        </w:rPr>
      </w:pPr>
    </w:p>
    <w:p w14:paraId="27631E8F">
      <w:pPr>
        <w:pStyle w:val="6"/>
        <w:ind w:firstLine="480"/>
        <w:rPr>
          <w:rFonts w:hint="eastAsia" w:ascii="宋体" w:hAnsi="宋体" w:eastAsia="宋体" w:cs="宋体"/>
          <w:color w:val="auto"/>
          <w:sz w:val="24"/>
          <w:szCs w:val="24"/>
          <w:highlight w:val="none"/>
        </w:rPr>
      </w:pPr>
    </w:p>
    <w:p w14:paraId="2CB07F64">
      <w:pPr>
        <w:ind w:firstLine="1200" w:firstLineChars="500"/>
        <w:rPr>
          <w:rFonts w:hint="eastAsia" w:ascii="宋体" w:hAnsi="宋体" w:eastAsia="宋体" w:cs="宋体"/>
          <w:color w:val="auto"/>
          <w:sz w:val="24"/>
          <w:szCs w:val="24"/>
          <w:highlight w:val="none"/>
        </w:rPr>
        <w:sectPr>
          <w:footerReference r:id="rId5" w:type="default"/>
          <w:pgSz w:w="11905" w:h="16838"/>
          <w:pgMar w:top="1474" w:right="1814" w:bottom="1474" w:left="1814" w:header="851" w:footer="992" w:gutter="0"/>
          <w:pgNumType w:fmt="decimal" w:start="1"/>
          <w:cols w:space="0" w:num="1"/>
          <w:docGrid w:linePitch="328" w:charSpace="0"/>
        </w:sectPr>
      </w:pPr>
      <w:r>
        <w:rPr>
          <w:rFonts w:hint="eastAsia" w:ascii="宋体" w:hAnsi="宋体" w:eastAsia="宋体" w:cs="宋体"/>
          <w:color w:val="auto"/>
          <w:sz w:val="24"/>
          <w:szCs w:val="24"/>
          <w:highlight w:val="none"/>
        </w:rPr>
        <w:t>年   月   日                      年   月   日</w:t>
      </w:r>
    </w:p>
    <w:p w14:paraId="04295722">
      <w:pPr>
        <w:pStyle w:val="73"/>
        <w:spacing w:after="312" w:afterLines="100"/>
        <w:ind w:firstLine="482"/>
        <w:outlineLvl w:val="1"/>
        <w:rPr>
          <w:rFonts w:ascii="宋体" w:hAnsi="宋体" w:eastAsia="宋体" w:cs="宋体"/>
          <w:b/>
          <w:color w:val="auto"/>
          <w:lang w:val="en-US" w:eastAsia="zh-CN"/>
        </w:rPr>
      </w:pPr>
      <w:r>
        <w:rPr>
          <w:rFonts w:hint="eastAsia" w:ascii="宋体" w:hAnsi="宋体" w:eastAsia="宋体" w:cs="宋体"/>
          <w:b/>
          <w:color w:val="auto"/>
        </w:rPr>
        <w:t xml:space="preserve">第五部分 </w:t>
      </w:r>
      <w:r>
        <w:rPr>
          <w:rFonts w:hint="eastAsia" w:ascii="宋体" w:hAnsi="宋体" w:eastAsia="宋体" w:cs="宋体"/>
          <w:b/>
          <w:color w:val="auto"/>
          <w:lang w:val="en-US" w:eastAsia="zh-CN"/>
        </w:rPr>
        <w:t>安全生产协议书</w:t>
      </w:r>
    </w:p>
    <w:p w14:paraId="639BE5A3">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为在 </w:t>
      </w:r>
      <w:r>
        <w:rPr>
          <w:rFonts w:hint="eastAsia" w:ascii="宋体" w:hAnsi="宋体" w:eastAsia="宋体" w:cs="宋体"/>
          <w:bCs/>
          <w:color w:val="auto"/>
          <w:sz w:val="24"/>
          <w:szCs w:val="24"/>
          <w:u w:val="single"/>
        </w:rPr>
        <w:t xml:space="preserve">           （项目名称）</w:t>
      </w:r>
      <w:r>
        <w:rPr>
          <w:rFonts w:hint="eastAsia" w:ascii="宋体" w:hAnsi="宋体" w:eastAsia="宋体" w:cs="宋体"/>
          <w:bCs/>
          <w:color w:val="auto"/>
          <w:sz w:val="24"/>
          <w:szCs w:val="24"/>
        </w:rPr>
        <w:t>合同的实施过程中创造安全、高效的作业环境，切实搞好本项目的安全管理工作，本项目</w:t>
      </w:r>
      <w:r>
        <w:rPr>
          <w:rFonts w:hint="eastAsia" w:ascii="宋体" w:hAnsi="宋体" w:eastAsia="宋体" w:cs="宋体"/>
          <w:bCs/>
          <w:color w:val="auto"/>
          <w:sz w:val="24"/>
          <w:szCs w:val="24"/>
          <w:u w:val="single"/>
        </w:rPr>
        <w:t>甲方       （甲方名称，以下简称“甲方”）</w:t>
      </w:r>
      <w:r>
        <w:rPr>
          <w:rFonts w:hint="eastAsia" w:ascii="宋体" w:hAnsi="宋体" w:eastAsia="宋体" w:cs="宋体"/>
          <w:bCs/>
          <w:color w:val="auto"/>
          <w:sz w:val="24"/>
          <w:szCs w:val="24"/>
        </w:rPr>
        <w:t>与</w:t>
      </w:r>
      <w:r>
        <w:rPr>
          <w:rFonts w:hint="eastAsia" w:ascii="宋体" w:hAnsi="宋体" w:eastAsia="宋体" w:cs="宋体"/>
          <w:bCs/>
          <w:color w:val="auto"/>
          <w:sz w:val="24"/>
          <w:szCs w:val="24"/>
          <w:u w:val="single"/>
        </w:rPr>
        <w:t>乙方         （乙方名称，以下简称“乙方”）</w:t>
      </w:r>
      <w:r>
        <w:rPr>
          <w:rFonts w:hint="eastAsia" w:ascii="宋体" w:hAnsi="宋体" w:eastAsia="宋体" w:cs="宋体"/>
          <w:bCs/>
          <w:color w:val="auto"/>
          <w:sz w:val="24"/>
          <w:szCs w:val="24"/>
        </w:rPr>
        <w:t>特此签订安全生产合同：</w:t>
      </w:r>
    </w:p>
    <w:p w14:paraId="5FB4BB32">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一、甲方职责</w:t>
      </w:r>
    </w:p>
    <w:p w14:paraId="37B7F306">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1.甲方依据《中华人民共和国安全生产法》等法律法规规定责任，全面履行自己应有的权利和义务。</w:t>
      </w:r>
    </w:p>
    <w:p w14:paraId="23E677A4">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2.甲方对乙方作业安全具有监督、检查和指导的权利。</w:t>
      </w:r>
    </w:p>
    <w:p w14:paraId="7E0055D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二、乙方的安全责任</w:t>
      </w:r>
    </w:p>
    <w:p w14:paraId="60D43E22">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sz w:val="24"/>
          <w:szCs w:val="24"/>
        </w:rPr>
        <w:t>乙方要严格执行国家已发布的有关法律法规和地方政府有关安全管理的规定，严格各项安全生产的规章制度和方案。</w:t>
      </w:r>
    </w:p>
    <w:p w14:paraId="2F393328">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乙方必须严格执行安全技术交底，明确各级人员的安全生产责任，对所有参与现场作业的人员进行安全教育，使其具备安全意识和应对突发情况的能力。乙方涉及特种作业的必须持特种作业证上岗，并将特种作业人员名单和特种作业证上报甲方审查，无证人员禁止从事特种作业；临水临空等安全风险较大的作业应有现场安全监督人员现场监督，并通知管理单位技术人员到场。</w:t>
      </w:r>
    </w:p>
    <w:p w14:paraId="169DAD12">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3.操作人员上岗，必须按规定穿戴防护用品。作业负责人和安全检查员应随时检查劳动防护用品的穿戴情况，不按规定穿戴防护用品的人员不得上岗。</w:t>
      </w:r>
    </w:p>
    <w:p w14:paraId="1B318B63">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乙方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33720F44">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.乙方高空作业时，禁止穿硬底和带钉易滑的鞋，患有心脏病、高血压、精神病、癫痫病者禁止从事高空操作，高空作业操作人员要系安全带，并且安全带要固定牢靠。</w:t>
      </w:r>
    </w:p>
    <w:p w14:paraId="76E9C559">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.箱涵等封闭空间作业要求：</w:t>
      </w:r>
    </w:p>
    <w:p w14:paraId="6E0FDAB3">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①危险源识别</w:t>
      </w:r>
    </w:p>
    <w:p w14:paraId="786DA4C6">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a、中毒危害：有限空间容易积聚高浓度有害物质。有害物质可以是原来就存在于有限空间的也可以是作业过程中逐渐积聚的。</w:t>
      </w:r>
    </w:p>
    <w:p w14:paraId="6DD4FDEE">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b、缺氧危害：空气中氧浓度过低会引起缺氧。</w:t>
      </w:r>
    </w:p>
    <w:p w14:paraId="44FB0551">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c、燃爆危害：空气中存在易燃、易爆物质，浓度过高遇火会引起爆炸或燃烧。</w:t>
      </w:r>
    </w:p>
    <w:p w14:paraId="29B0BAB9">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d、其他危害：其他任何威胁生命或健康的环境条件。如坠落、溺水、物体打击、电击等。</w:t>
      </w:r>
    </w:p>
    <w:p w14:paraId="0B34C1E8">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②作业前准备工作</w:t>
      </w:r>
    </w:p>
    <w:p w14:paraId="0C6941A3">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a制定作业方案。详细了解密闭空间现场整体情况以往发生事故情况，做好风险识别和评估工作，制定作业方案和应急预案。</w:t>
      </w:r>
    </w:p>
    <w:p w14:paraId="7E992B06">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b配齐防护措施。要配齐职业病防护设施设备和个人防护装备，严禁无防护监护措施作业。</w:t>
      </w:r>
    </w:p>
    <w:p w14:paraId="6125BBD3">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c 明确安全责任。明确监护人员、作业人员、应急救援人员及其安全责任。</w:t>
      </w:r>
    </w:p>
    <w:p w14:paraId="3BA8215A">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d进行安全培训。向作业人员、应急救援人员进行安全培训。</w:t>
      </w:r>
    </w:p>
    <w:p w14:paraId="45D32A62">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③作业时管控措施</w:t>
      </w:r>
    </w:p>
    <w:p w14:paraId="16413F29">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a采取阻断措施。作业人员应在醒目位置设置警示标识或安全告知牌，防止无关人员随意进入。空间内发现存在可能危及作业安全的风险源时（如可燃气体浓度超标），作业人员应采取封闭、封堵、切断能源等隔离阻断措施。</w:t>
      </w:r>
    </w:p>
    <w:p w14:paraId="76B932D6">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b采取通风检测措施。进入作业现场前，作业人员应当严格遵守“先通风、再检测、后作业”的原则，对密闭空间进行强制通风一段时间后再进行气体检测，检测结果合格后佩戴符合要求的个体防护用品、安全防护设备和联络通讯设备方可进入作业。作业人员应拴带救生绳。未经通风和检测，任何人员不得进入密闭空间作业。</w:t>
      </w:r>
    </w:p>
    <w:p w14:paraId="604AC3CF">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c如检测结果不合格，在缺氧或有毒的受限空间作业时，应佩戴符合要求的供氧设备及个体防护用品、安全防护设备和联络通讯设备方可进入作业；作业人员应拴带救生绳。</w:t>
      </w:r>
    </w:p>
    <w:p w14:paraId="44F60060">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d受限空间外应备有消防器材、清水等相应的应急用品。</w:t>
      </w:r>
    </w:p>
    <w:p w14:paraId="7F7B5522">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④制定应急措施</w:t>
      </w:r>
    </w:p>
    <w:p w14:paraId="13F6A37E">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必须制定应急措施，现场配备应急装备，严禁盲目施救。</w:t>
      </w:r>
    </w:p>
    <w:p w14:paraId="7B5C6785">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a如发生异常情况或作业人员感觉不适或呼吸困难时，应立即撤离受限空间；</w:t>
      </w:r>
    </w:p>
    <w:p w14:paraId="2CAC70AA">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b发生突发性事件，项目负责人应立即帮助作业人员撤离受限空间，必要时可以采取急救手段，同时将情况上报部门负责人;</w:t>
      </w:r>
    </w:p>
    <w:p w14:paraId="28D0A745">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c出现有人中毒、窒息的紧急情况，抢救人员必须佩带隔离式防护面具进入受限空间，并至少一人在外部做联络工作发生事故，抢救工作应争分夺秒，但须沉着冷静正确处理事故。不得拖延耽误，更不能盲目抢救。抢救者首先要保护好自己，只有将自己保护好，才能更有效地抢救别人;</w:t>
      </w:r>
    </w:p>
    <w:p w14:paraId="42A3DCA2">
      <w:pPr>
        <w:widowControl/>
        <w:adjustRightInd w:val="0"/>
        <w:snapToGrid w:val="0"/>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d发生其他较严重情形按照应急预案相关要求处理。</w:t>
      </w:r>
    </w:p>
    <w:p w14:paraId="7994614A">
      <w:pPr>
        <w:spacing w:line="360" w:lineRule="auto"/>
        <w:ind w:firstLine="480" w:firstLineChars="200"/>
        <w:rPr>
          <w:rFonts w:hint="eastAsia" w:asciiTheme="minorEastAsia" w:hAnsiTheme="minorEastAsia" w:eastAsiaTheme="minorEastAsia" w:cstheme="minorEastAsia"/>
          <w:color w:val="auto"/>
          <w:kern w:val="0"/>
          <w:sz w:val="24"/>
          <w:szCs w:val="24"/>
        </w:rPr>
      </w:pPr>
      <w:bookmarkStart w:id="224" w:name="_Toc2430"/>
      <w:bookmarkStart w:id="225" w:name="_Toc25148"/>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.乙方应根据工程特点，合理安排身体素质、技术水平高、安全责任心强的人员作业，作业过程中做好职业健康、环境保护、劳动卫生、安全生产等有关工作，做到安全文明作业，坚决防范各类安全事故发生。</w:t>
      </w:r>
    </w:p>
    <w:p w14:paraId="3314308B">
      <w:pPr>
        <w:spacing w:line="360" w:lineRule="auto"/>
        <w:ind w:firstLine="482" w:firstLineChars="200"/>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8</w:t>
      </w:r>
      <w:r>
        <w:rPr>
          <w:rFonts w:hint="eastAsia" w:asciiTheme="minorEastAsia" w:hAnsiTheme="minorEastAsia" w:eastAsiaTheme="minorEastAsia" w:cstheme="minorEastAsia"/>
          <w:b/>
          <w:bCs/>
          <w:color w:val="auto"/>
          <w:kern w:val="0"/>
          <w:sz w:val="24"/>
          <w:szCs w:val="24"/>
        </w:rPr>
        <w:t>.乙方在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590445E5">
      <w:pPr>
        <w:spacing w:line="360" w:lineRule="auto"/>
        <w:ind w:firstLine="482" w:firstLineChars="200"/>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9</w:t>
      </w:r>
      <w:r>
        <w:rPr>
          <w:rFonts w:hint="eastAsia" w:asciiTheme="minorEastAsia" w:hAnsiTheme="minorEastAsia" w:eastAsiaTheme="minorEastAsia" w:cstheme="minorEastAsia"/>
          <w:b/>
          <w:bCs/>
          <w:color w:val="auto"/>
          <w:kern w:val="0"/>
          <w:sz w:val="24"/>
          <w:szCs w:val="24"/>
        </w:rPr>
        <w:t>.项目实施前，乙方须提供本项目所有从业人员的社会保险（含工伤和医疗）缴纳证明，如无法提供相应证明材料，则须为本项目所有从业人员购买以下保险（二者任选其一）：雇主责任险或团体意外险，其保险费已包含在签约合同价中。</w:t>
      </w:r>
    </w:p>
    <w:p w14:paraId="519B0097">
      <w:pPr>
        <w:spacing w:line="360" w:lineRule="auto"/>
        <w:ind w:firstLine="482" w:firstLineChars="200"/>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10.</w:t>
      </w:r>
      <w:r>
        <w:rPr>
          <w:rFonts w:hint="eastAsia" w:asciiTheme="minorEastAsia" w:hAnsiTheme="minorEastAsia" w:eastAsiaTheme="minorEastAsia" w:cstheme="minorEastAsia"/>
          <w:b/>
          <w:bCs/>
          <w:color w:val="auto"/>
          <w:kern w:val="0"/>
          <w:sz w:val="24"/>
          <w:szCs w:val="24"/>
        </w:rPr>
        <w:t>安全承诺</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rPr>
        <w:t>乙方承诺，作过程中如出现作业人员未有效佩戴安全帽、安全绳等安全防护用品，发生不安全行为的，每出现一次，从完工结算价中自愿核减1000元，减完为止。</w:t>
      </w:r>
    </w:p>
    <w:p w14:paraId="12513DB9">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三</w:t>
      </w:r>
      <w:r>
        <w:rPr>
          <w:rFonts w:hint="eastAsia" w:asciiTheme="minorEastAsia" w:hAnsiTheme="minorEastAsia" w:eastAsiaTheme="minorEastAsia" w:cstheme="minorEastAsia"/>
          <w:color w:val="auto"/>
          <w:kern w:val="0"/>
          <w:sz w:val="24"/>
          <w:szCs w:val="24"/>
        </w:rPr>
        <w:t>.本合同由双方法定代表人或其授权的代理人签署并加盖单位章后生效，全部工程竣工验收后失效。</w:t>
      </w:r>
    </w:p>
    <w:p w14:paraId="22B4D3E8">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四</w:t>
      </w:r>
      <w:r>
        <w:rPr>
          <w:rFonts w:hint="eastAsia" w:asciiTheme="minorEastAsia" w:hAnsiTheme="minorEastAsia" w:eastAsiaTheme="minorEastAsia" w:cstheme="minorEastAsia"/>
          <w:color w:val="auto"/>
          <w:kern w:val="0"/>
          <w:sz w:val="24"/>
          <w:szCs w:val="24"/>
        </w:rPr>
        <w:t>.本合同正本—式</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份，副本</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份，合同双方各执正本—份，副本</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份，当正本与副本的内容不一致时，以正本为准。</w:t>
      </w:r>
    </w:p>
    <w:p w14:paraId="41A45C0D">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甲方：</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（盖单位章）      乙方：</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（盖单位章）</w:t>
      </w:r>
    </w:p>
    <w:p w14:paraId="1FB25166">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法定代表人或其委托代理人：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（签字）  法定代表人或其委托代理人：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（签字）</w:t>
      </w:r>
    </w:p>
    <w:p w14:paraId="3511BE93">
      <w:pPr>
        <w:spacing w:line="360" w:lineRule="auto"/>
        <w:rPr>
          <w:rFonts w:hint="eastAsia" w:asciiTheme="minorEastAsia" w:hAnsiTheme="minorEastAsia" w:eastAsiaTheme="minorEastAsia" w:cstheme="minorEastAsia"/>
          <w:color w:val="auto"/>
          <w:kern w:val="0"/>
          <w:sz w:val="24"/>
          <w:szCs w:val="24"/>
        </w:rPr>
      </w:pPr>
    </w:p>
    <w:p w14:paraId="6FFBD24A">
      <w:pPr>
        <w:spacing w:line="360" w:lineRule="auto"/>
        <w:ind w:firstLine="84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日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日</w:t>
      </w:r>
    </w:p>
    <w:p w14:paraId="3497A7A1">
      <w:pPr>
        <w:rPr>
          <w:rFonts w:hint="eastAsia" w:asciiTheme="minorEastAsia" w:hAnsiTheme="minorEastAsia" w:eastAsiaTheme="minorEastAsia" w:cstheme="minorEastAsia"/>
          <w:color w:val="auto"/>
          <w:sz w:val="24"/>
          <w:szCs w:val="24"/>
        </w:rPr>
      </w:pPr>
    </w:p>
    <w:p w14:paraId="090678DE">
      <w:pPr>
        <w:spacing w:line="360" w:lineRule="auto"/>
        <w:jc w:val="center"/>
        <w:outlineLvl w:val="0"/>
        <w:rPr>
          <w:rFonts w:asciiTheme="minorEastAsia" w:hAnsiTheme="minorEastAsia" w:eastAsiaTheme="minorEastAsia"/>
          <w:b/>
          <w:color w:val="auto"/>
          <w:sz w:val="28"/>
        </w:rPr>
      </w:pPr>
      <w:r>
        <w:rPr>
          <w:rFonts w:hint="eastAsia" w:asciiTheme="minorEastAsia" w:hAnsiTheme="minorEastAsia" w:eastAsiaTheme="minorEastAsia"/>
          <w:b/>
          <w:color w:val="auto"/>
          <w:sz w:val="28"/>
        </w:rPr>
        <w:t>第六章  响应文件格式</w:t>
      </w:r>
      <w:bookmarkEnd w:id="224"/>
      <w:bookmarkEnd w:id="225"/>
    </w:p>
    <w:p w14:paraId="2A84A646">
      <w:pPr>
        <w:spacing w:line="900" w:lineRule="exact"/>
        <w:jc w:val="center"/>
        <w:rPr>
          <w:rFonts w:asciiTheme="minorEastAsia" w:hAnsiTheme="minorEastAsia" w:eastAsiaTheme="minorEastAsia"/>
          <w:b/>
          <w:color w:val="auto"/>
          <w:sz w:val="72"/>
        </w:rPr>
      </w:pPr>
    </w:p>
    <w:p w14:paraId="75DFAC87">
      <w:pPr>
        <w:spacing w:line="900" w:lineRule="exact"/>
        <w:jc w:val="center"/>
        <w:rPr>
          <w:rFonts w:asciiTheme="minorEastAsia" w:hAnsiTheme="minorEastAsia" w:eastAsiaTheme="minorEastAsia"/>
          <w:b/>
          <w:color w:val="auto"/>
          <w:sz w:val="72"/>
        </w:rPr>
      </w:pPr>
      <w:r>
        <w:rPr>
          <w:rFonts w:hint="eastAsia" w:asciiTheme="minorEastAsia" w:hAnsiTheme="minorEastAsia" w:eastAsiaTheme="minorEastAsia"/>
          <w:b/>
          <w:color w:val="auto"/>
          <w:sz w:val="72"/>
        </w:rPr>
        <w:t>响</w:t>
      </w:r>
    </w:p>
    <w:p w14:paraId="526EAD5B">
      <w:pPr>
        <w:spacing w:line="900" w:lineRule="exact"/>
        <w:jc w:val="center"/>
        <w:rPr>
          <w:rFonts w:asciiTheme="minorEastAsia" w:hAnsiTheme="minorEastAsia" w:eastAsiaTheme="minorEastAsia"/>
          <w:b/>
          <w:color w:val="auto"/>
          <w:sz w:val="72"/>
        </w:rPr>
      </w:pPr>
    </w:p>
    <w:p w14:paraId="6B00A759">
      <w:pPr>
        <w:spacing w:line="900" w:lineRule="exact"/>
        <w:jc w:val="center"/>
        <w:rPr>
          <w:rFonts w:asciiTheme="minorEastAsia" w:hAnsiTheme="minorEastAsia" w:eastAsiaTheme="minorEastAsia"/>
          <w:b/>
          <w:color w:val="auto"/>
          <w:sz w:val="72"/>
        </w:rPr>
      </w:pPr>
      <w:r>
        <w:rPr>
          <w:rFonts w:hint="eastAsia" w:asciiTheme="minorEastAsia" w:hAnsiTheme="minorEastAsia" w:eastAsiaTheme="minorEastAsia"/>
          <w:b/>
          <w:color w:val="auto"/>
          <w:sz w:val="72"/>
        </w:rPr>
        <w:t>应</w:t>
      </w:r>
    </w:p>
    <w:p w14:paraId="691834CB">
      <w:pPr>
        <w:spacing w:line="900" w:lineRule="exact"/>
        <w:jc w:val="center"/>
        <w:rPr>
          <w:rFonts w:asciiTheme="minorEastAsia" w:hAnsiTheme="minorEastAsia" w:eastAsiaTheme="minorEastAsia"/>
          <w:b/>
          <w:color w:val="auto"/>
          <w:sz w:val="72"/>
        </w:rPr>
      </w:pPr>
    </w:p>
    <w:p w14:paraId="1234D616">
      <w:pPr>
        <w:spacing w:line="900" w:lineRule="exact"/>
        <w:jc w:val="center"/>
        <w:rPr>
          <w:rFonts w:asciiTheme="minorEastAsia" w:hAnsiTheme="minorEastAsia" w:eastAsiaTheme="minorEastAsia"/>
          <w:b/>
          <w:color w:val="auto"/>
          <w:sz w:val="72"/>
        </w:rPr>
      </w:pPr>
      <w:r>
        <w:rPr>
          <w:rFonts w:hint="eastAsia" w:asciiTheme="minorEastAsia" w:hAnsiTheme="minorEastAsia" w:eastAsiaTheme="minorEastAsia"/>
          <w:b/>
          <w:color w:val="auto"/>
          <w:sz w:val="72"/>
        </w:rPr>
        <w:t>文</w:t>
      </w:r>
    </w:p>
    <w:p w14:paraId="1616B4B4">
      <w:pPr>
        <w:spacing w:line="900" w:lineRule="exact"/>
        <w:jc w:val="center"/>
        <w:rPr>
          <w:rFonts w:asciiTheme="minorEastAsia" w:hAnsiTheme="minorEastAsia" w:eastAsiaTheme="minorEastAsia"/>
          <w:b/>
          <w:color w:val="auto"/>
          <w:sz w:val="72"/>
        </w:rPr>
      </w:pPr>
    </w:p>
    <w:p w14:paraId="65730C6A">
      <w:pPr>
        <w:jc w:val="center"/>
        <w:rPr>
          <w:rFonts w:asciiTheme="minorEastAsia" w:hAnsiTheme="minorEastAsia" w:eastAsiaTheme="minorEastAsia"/>
          <w:b/>
          <w:color w:val="auto"/>
          <w:sz w:val="72"/>
        </w:rPr>
      </w:pPr>
      <w:r>
        <w:rPr>
          <w:rFonts w:hint="eastAsia" w:asciiTheme="minorEastAsia" w:hAnsiTheme="minorEastAsia" w:eastAsiaTheme="minorEastAsia"/>
          <w:b/>
          <w:color w:val="auto"/>
          <w:sz w:val="72"/>
        </w:rPr>
        <w:t>件</w:t>
      </w:r>
    </w:p>
    <w:p w14:paraId="03AD1431">
      <w:pPr>
        <w:spacing w:after="156" w:afterLines="50" w:line="500" w:lineRule="exact"/>
        <w:rPr>
          <w:rFonts w:asciiTheme="minorEastAsia" w:hAnsiTheme="minorEastAsia" w:eastAsiaTheme="minorEastAsia"/>
          <w:b/>
          <w:color w:val="auto"/>
          <w:sz w:val="72"/>
          <w:highlight w:val="yellow"/>
        </w:rPr>
      </w:pPr>
    </w:p>
    <w:p w14:paraId="34049800">
      <w:pPr>
        <w:spacing w:after="156" w:afterLines="50" w:line="500" w:lineRule="exact"/>
        <w:jc w:val="center"/>
        <w:rPr>
          <w:rFonts w:asciiTheme="minorEastAsia" w:hAnsiTheme="minorEastAsia" w:eastAsiaTheme="minorEastAsia"/>
          <w:b/>
          <w:color w:val="auto"/>
          <w:sz w:val="28"/>
          <w:szCs w:val="28"/>
        </w:rPr>
      </w:pPr>
    </w:p>
    <w:p w14:paraId="2CCF0C66">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rPr>
      </w:pPr>
      <w:r>
        <w:rPr>
          <w:rFonts w:hint="eastAsia" w:asciiTheme="minorEastAsia" w:hAnsiTheme="minorEastAsia" w:eastAsiaTheme="minorEastAsia"/>
          <w:b/>
          <w:color w:val="auto"/>
          <w:sz w:val="32"/>
        </w:rPr>
        <w:t>项目名称：</w:t>
      </w:r>
      <w:r>
        <w:rPr>
          <w:rFonts w:hint="eastAsia" w:asciiTheme="minorEastAsia" w:hAnsiTheme="minorEastAsia" w:eastAsiaTheme="minorEastAsia"/>
          <w:b/>
          <w:color w:val="auto"/>
          <w:sz w:val="32"/>
          <w:u w:val="single"/>
        </w:rPr>
        <w:t xml:space="preserve">                  </w:t>
      </w:r>
    </w:p>
    <w:p w14:paraId="40DEB0E4">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项目编号：</w:t>
      </w:r>
      <w:r>
        <w:rPr>
          <w:rFonts w:hint="eastAsia" w:asciiTheme="minorEastAsia" w:hAnsiTheme="minorEastAsia" w:eastAsiaTheme="minorEastAsia"/>
          <w:b/>
          <w:color w:val="auto"/>
          <w:sz w:val="32"/>
          <w:u w:val="single"/>
        </w:rPr>
        <w:t xml:space="preserve">                  </w:t>
      </w:r>
    </w:p>
    <w:p w14:paraId="27D64E57">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供 应 商：</w:t>
      </w:r>
      <w:r>
        <w:rPr>
          <w:rFonts w:hint="eastAsia" w:asciiTheme="minorEastAsia" w:hAnsiTheme="minorEastAsia" w:eastAsiaTheme="minorEastAsia"/>
          <w:b/>
          <w:color w:val="auto"/>
          <w:sz w:val="32"/>
          <w:u w:val="single"/>
        </w:rPr>
        <w:t xml:space="preserve">                  </w:t>
      </w:r>
    </w:p>
    <w:p w14:paraId="16C3E113">
      <w:pPr>
        <w:spacing w:after="156" w:afterLines="50" w:line="500" w:lineRule="exact"/>
        <w:jc w:val="center"/>
        <w:rPr>
          <w:rFonts w:asciiTheme="minorEastAsia" w:hAnsiTheme="minorEastAsia" w:eastAsiaTheme="minorEastAsia"/>
          <w:b/>
          <w:color w:val="auto"/>
          <w:sz w:val="32"/>
        </w:rPr>
      </w:pPr>
      <w:r>
        <w:rPr>
          <w:rFonts w:hint="eastAsia" w:asciiTheme="minorEastAsia" w:hAnsiTheme="minorEastAsia" w:eastAsiaTheme="minorEastAsia"/>
          <w:b/>
          <w:color w:val="auto"/>
          <w:sz w:val="32"/>
          <w:u w:val="single"/>
        </w:rPr>
        <w:t xml:space="preserve">  </w:t>
      </w:r>
      <w:bookmarkStart w:id="226" w:name="_Toc8037"/>
      <w:r>
        <w:rPr>
          <w:rFonts w:hint="eastAsia" w:asciiTheme="minorEastAsia" w:hAnsiTheme="minorEastAsia" w:eastAsiaTheme="minorEastAsia"/>
          <w:b/>
          <w:color w:val="auto"/>
          <w:sz w:val="32"/>
        </w:rPr>
        <w:t>年</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月</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日</w:t>
      </w:r>
      <w:bookmarkEnd w:id="226"/>
    </w:p>
    <w:p w14:paraId="3D796BE2">
      <w:pPr>
        <w:widowControl/>
        <w:jc w:val="left"/>
        <w:rPr>
          <w:rFonts w:asciiTheme="minorEastAsia" w:hAnsiTheme="minorEastAsia" w:eastAsiaTheme="minorEastAsia"/>
          <w:b/>
          <w:color w:val="auto"/>
          <w:sz w:val="28"/>
        </w:rPr>
      </w:pPr>
      <w:r>
        <w:rPr>
          <w:rFonts w:asciiTheme="minorEastAsia" w:hAnsiTheme="minorEastAsia" w:eastAsiaTheme="minorEastAsia"/>
          <w:b/>
          <w:color w:val="auto"/>
          <w:sz w:val="28"/>
        </w:rPr>
        <w:br w:type="page"/>
      </w:r>
    </w:p>
    <w:p w14:paraId="19465C3D">
      <w:pPr>
        <w:spacing w:line="360" w:lineRule="auto"/>
        <w:jc w:val="center"/>
        <w:outlineLvl w:val="1"/>
        <w:rPr>
          <w:rFonts w:asciiTheme="minorEastAsia" w:hAnsiTheme="minorEastAsia" w:eastAsiaTheme="minorEastAsia"/>
          <w:b/>
          <w:color w:val="auto"/>
          <w:sz w:val="24"/>
        </w:rPr>
      </w:pPr>
      <w:bookmarkStart w:id="227" w:name="_Toc461053086"/>
      <w:bookmarkStart w:id="228" w:name="_Toc461056631"/>
      <w:bookmarkStart w:id="229" w:name="_Toc520983587"/>
      <w:bookmarkStart w:id="230" w:name="_Toc26791"/>
      <w:bookmarkStart w:id="231" w:name="_Toc5881"/>
      <w:r>
        <w:rPr>
          <w:rFonts w:hint="eastAsia" w:asciiTheme="minorEastAsia" w:hAnsiTheme="minorEastAsia" w:eastAsiaTheme="minorEastAsia"/>
          <w:b/>
          <w:color w:val="auto"/>
          <w:sz w:val="24"/>
        </w:rPr>
        <w:t>一</w:t>
      </w:r>
      <w:bookmarkEnd w:id="227"/>
      <w:bookmarkEnd w:id="228"/>
      <w:r>
        <w:rPr>
          <w:rFonts w:hint="eastAsia" w:asciiTheme="minorEastAsia" w:hAnsiTheme="minorEastAsia" w:eastAsiaTheme="minorEastAsia"/>
          <w:b/>
          <w:color w:val="auto"/>
          <w:sz w:val="24"/>
        </w:rPr>
        <w:t>、报价表格式</w:t>
      </w:r>
      <w:bookmarkEnd w:id="229"/>
      <w:bookmarkEnd w:id="230"/>
      <w:bookmarkEnd w:id="231"/>
    </w:p>
    <w:p w14:paraId="3622DB3D">
      <w:pPr>
        <w:spacing w:before="156" w:beforeLines="50" w:after="156" w:afterLines="50" w:line="360" w:lineRule="auto"/>
        <w:jc w:val="left"/>
        <w:outlineLvl w:val="2"/>
        <w:rPr>
          <w:rFonts w:ascii="宋体" w:hAnsi="宋体" w:eastAsia="宋体"/>
          <w:b/>
          <w:color w:val="auto"/>
          <w:sz w:val="24"/>
          <w:szCs w:val="28"/>
        </w:rPr>
      </w:pPr>
      <w:r>
        <w:rPr>
          <w:rFonts w:hint="eastAsia" w:ascii="宋体" w:hAnsi="宋体" w:eastAsia="宋体"/>
          <w:b/>
          <w:color w:val="auto"/>
          <w:sz w:val="24"/>
          <w:szCs w:val="28"/>
        </w:rPr>
        <w:t>1-1 报价表</w:t>
      </w:r>
    </w:p>
    <w:p w14:paraId="3E3CD877">
      <w:pPr>
        <w:snapToGrid w:val="0"/>
        <w:spacing w:line="360" w:lineRule="auto"/>
        <w:jc w:val="left"/>
        <w:rPr>
          <w:rFonts w:ascii="宋体" w:hAnsi="宋体" w:eastAsia="宋体"/>
          <w:b/>
          <w:color w:val="auto"/>
          <w:sz w:val="24"/>
          <w:szCs w:val="28"/>
        </w:rPr>
      </w:pPr>
      <w:r>
        <w:rPr>
          <w:rFonts w:hint="eastAsia" w:ascii="宋体" w:hAnsi="宋体" w:eastAsia="宋体"/>
          <w:b/>
          <w:color w:val="auto"/>
          <w:sz w:val="24"/>
          <w:szCs w:val="28"/>
        </w:rPr>
        <w:t>项目名称：</w:t>
      </w:r>
      <w:r>
        <w:rPr>
          <w:rFonts w:hint="eastAsia" w:ascii="宋体" w:hAnsi="宋体" w:eastAsia="宋体"/>
          <w:b/>
          <w:color w:val="auto"/>
          <w:sz w:val="24"/>
          <w:szCs w:val="28"/>
          <w:u w:val="single"/>
        </w:rPr>
        <w:t xml:space="preserve">          </w:t>
      </w:r>
    </w:p>
    <w:p w14:paraId="38DA2379">
      <w:pPr>
        <w:snapToGrid w:val="0"/>
        <w:spacing w:after="156" w:afterLines="50" w:line="360" w:lineRule="auto"/>
        <w:jc w:val="left"/>
        <w:rPr>
          <w:rFonts w:ascii="宋体" w:hAnsi="宋体" w:eastAsia="宋体"/>
          <w:b/>
          <w:bCs/>
          <w:color w:val="auto"/>
          <w:sz w:val="24"/>
          <w:szCs w:val="28"/>
          <w:u w:val="single"/>
        </w:rPr>
      </w:pPr>
      <w:r>
        <w:rPr>
          <w:rFonts w:hint="eastAsia" w:ascii="宋体" w:hAnsi="宋体" w:eastAsia="宋体"/>
          <w:b/>
          <w:color w:val="auto"/>
          <w:sz w:val="24"/>
          <w:szCs w:val="28"/>
        </w:rPr>
        <w:t>项目编号：</w:t>
      </w:r>
      <w:r>
        <w:rPr>
          <w:rFonts w:hint="eastAsia" w:ascii="宋体" w:hAnsi="宋体" w:eastAsia="宋体"/>
          <w:b/>
          <w:color w:val="auto"/>
          <w:sz w:val="24"/>
          <w:szCs w:val="28"/>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26F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E547770">
            <w:pPr>
              <w:spacing w:line="360" w:lineRule="auto"/>
              <w:jc w:val="center"/>
              <w:rPr>
                <w:rFonts w:ascii="宋体" w:hAnsi="宋体" w:eastAsia="宋体"/>
                <w:b/>
                <w:color w:val="auto"/>
                <w:sz w:val="24"/>
              </w:rPr>
            </w:pPr>
            <w:r>
              <w:rPr>
                <w:rFonts w:hint="eastAsia" w:ascii="宋体" w:hAnsi="宋体" w:eastAsia="宋体"/>
                <w:b/>
                <w:color w:val="auto"/>
                <w:sz w:val="24"/>
              </w:rPr>
              <w:t>供应商名称</w:t>
            </w:r>
          </w:p>
        </w:tc>
        <w:tc>
          <w:tcPr>
            <w:tcW w:w="3557" w:type="pct"/>
            <w:tcBorders>
              <w:left w:val="single" w:color="auto" w:sz="4" w:space="0"/>
            </w:tcBorders>
          </w:tcPr>
          <w:p w14:paraId="379E0822">
            <w:pPr>
              <w:spacing w:line="360" w:lineRule="auto"/>
              <w:rPr>
                <w:rFonts w:ascii="宋体" w:hAnsi="宋体" w:eastAsia="宋体"/>
                <w:b/>
                <w:color w:val="auto"/>
                <w:sz w:val="24"/>
              </w:rPr>
            </w:pPr>
          </w:p>
        </w:tc>
      </w:tr>
      <w:tr w14:paraId="2003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03315AC">
            <w:pPr>
              <w:spacing w:line="360" w:lineRule="exact"/>
              <w:jc w:val="center"/>
              <w:rPr>
                <w:rFonts w:ascii="宋体" w:hAnsi="宋体" w:eastAsia="宋体"/>
                <w:b/>
                <w:color w:val="auto"/>
                <w:sz w:val="24"/>
              </w:rPr>
            </w:pPr>
            <w:r>
              <w:rPr>
                <w:rFonts w:hint="eastAsia" w:ascii="宋体" w:hAnsi="宋体" w:eastAsia="宋体"/>
                <w:b/>
                <w:color w:val="auto"/>
                <w:sz w:val="24"/>
              </w:rPr>
              <w:t>磋商范围</w:t>
            </w:r>
          </w:p>
        </w:tc>
        <w:tc>
          <w:tcPr>
            <w:tcW w:w="3557" w:type="pct"/>
            <w:tcBorders>
              <w:left w:val="single" w:color="auto" w:sz="4" w:space="0"/>
            </w:tcBorders>
            <w:vAlign w:val="center"/>
          </w:tcPr>
          <w:p w14:paraId="5D348BBD">
            <w:pPr>
              <w:widowControl/>
              <w:spacing w:line="360" w:lineRule="exact"/>
              <w:rPr>
                <w:rFonts w:ascii="宋体" w:hAnsi="宋体" w:eastAsia="宋体"/>
                <w:b/>
                <w:color w:val="auto"/>
                <w:sz w:val="24"/>
              </w:rPr>
            </w:pPr>
            <w:r>
              <w:rPr>
                <w:rFonts w:hint="eastAsia" w:asciiTheme="minorEastAsia" w:hAnsiTheme="minorEastAsia" w:eastAsiaTheme="minorEastAsia"/>
                <w:color w:val="auto"/>
                <w:sz w:val="24"/>
                <w:szCs w:val="28"/>
              </w:rPr>
              <w:t xml:space="preserve">全部 </w:t>
            </w:r>
          </w:p>
        </w:tc>
      </w:tr>
      <w:tr w14:paraId="0840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DA2CC7F">
            <w:pPr>
              <w:spacing w:line="360" w:lineRule="auto"/>
              <w:jc w:val="center"/>
              <w:rPr>
                <w:rFonts w:ascii="宋体" w:hAnsi="宋体" w:eastAsia="宋体"/>
                <w:b/>
                <w:color w:val="auto"/>
                <w:sz w:val="24"/>
              </w:rPr>
            </w:pPr>
            <w:r>
              <w:rPr>
                <w:rFonts w:hint="eastAsia" w:ascii="宋体" w:hAnsi="宋体" w:eastAsia="宋体"/>
                <w:b/>
                <w:color w:val="auto"/>
                <w:sz w:val="24"/>
              </w:rPr>
              <w:t>报价</w:t>
            </w:r>
          </w:p>
          <w:p w14:paraId="61D31D2A">
            <w:pPr>
              <w:spacing w:line="360" w:lineRule="auto"/>
              <w:jc w:val="center"/>
              <w:rPr>
                <w:rFonts w:ascii="宋体" w:hAnsi="宋体" w:eastAsia="宋体"/>
                <w:b/>
                <w:color w:val="auto"/>
                <w:sz w:val="24"/>
              </w:rPr>
            </w:pPr>
            <w:r>
              <w:rPr>
                <w:rFonts w:hint="eastAsia" w:ascii="宋体" w:hAnsi="宋体" w:eastAsia="宋体"/>
                <w:b/>
                <w:color w:val="auto"/>
                <w:sz w:val="24"/>
              </w:rPr>
              <w:t>（详见备注说明）</w:t>
            </w:r>
          </w:p>
        </w:tc>
        <w:tc>
          <w:tcPr>
            <w:tcW w:w="3557" w:type="pct"/>
            <w:vAlign w:val="center"/>
          </w:tcPr>
          <w:p w14:paraId="188D6C11">
            <w:pPr>
              <w:snapToGrid w:val="0"/>
              <w:spacing w:line="360" w:lineRule="auto"/>
              <w:rPr>
                <w:rFonts w:ascii="宋体" w:hAnsi="宋体" w:eastAsia="宋体"/>
                <w:color w:val="auto"/>
                <w:sz w:val="24"/>
                <w:szCs w:val="28"/>
              </w:rPr>
            </w:pPr>
          </w:p>
          <w:p w14:paraId="0F2DDF14">
            <w:pPr>
              <w:snapToGrid w:val="0"/>
              <w:spacing w:line="360" w:lineRule="auto"/>
              <w:jc w:val="left"/>
              <w:rPr>
                <w:rFonts w:ascii="宋体" w:hAnsi="宋体" w:eastAsia="宋体" w:cs="宋体"/>
                <w:bCs/>
                <w:color w:val="auto"/>
                <w:sz w:val="24"/>
                <w:szCs w:val="24"/>
                <w:u w:val="single"/>
              </w:rPr>
            </w:pPr>
            <w:r>
              <w:rPr>
                <w:rFonts w:hint="eastAsia" w:ascii="宋体" w:hAnsi="宋体" w:eastAsia="宋体" w:cs="宋体"/>
                <w:bCs/>
                <w:color w:val="auto"/>
                <w:sz w:val="24"/>
                <w:szCs w:val="24"/>
              </w:rPr>
              <w:t>大写：</w:t>
            </w:r>
            <w:r>
              <w:rPr>
                <w:rFonts w:hint="eastAsia" w:ascii="宋体" w:hAnsi="宋体" w:eastAsia="宋体" w:cs="宋体"/>
                <w:bCs/>
                <w:color w:val="auto"/>
                <w:sz w:val="24"/>
                <w:szCs w:val="24"/>
                <w:u w:val="single"/>
              </w:rPr>
              <w:t xml:space="preserve">                     </w:t>
            </w:r>
          </w:p>
          <w:p w14:paraId="25B13E90">
            <w:pPr>
              <w:spacing w:line="360" w:lineRule="auto"/>
              <w:ind w:right="-670"/>
              <w:rPr>
                <w:rFonts w:asciiTheme="minorEastAsia" w:hAnsiTheme="minorEastAsia" w:eastAsiaTheme="minorEastAsia"/>
                <w:color w:val="auto"/>
                <w:sz w:val="24"/>
              </w:rPr>
            </w:pPr>
            <w:r>
              <w:rPr>
                <w:rFonts w:hint="eastAsia" w:ascii="宋体" w:hAnsi="宋体" w:eastAsia="宋体" w:cs="宋体"/>
                <w:bCs/>
                <w:color w:val="auto"/>
                <w:sz w:val="24"/>
                <w:szCs w:val="24"/>
              </w:rPr>
              <w:t>小写</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元）</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 xml:space="preserve">                     </w:t>
            </w:r>
          </w:p>
          <w:p w14:paraId="07928C3A">
            <w:pPr>
              <w:snapToGrid w:val="0"/>
              <w:spacing w:line="360" w:lineRule="auto"/>
              <w:rPr>
                <w:rFonts w:ascii="宋体" w:hAnsi="宋体" w:eastAsia="宋体"/>
                <w:b/>
                <w:color w:val="auto"/>
                <w:sz w:val="24"/>
              </w:rPr>
            </w:pPr>
          </w:p>
        </w:tc>
      </w:tr>
      <w:tr w14:paraId="089A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443" w:type="pct"/>
            <w:vAlign w:val="center"/>
          </w:tcPr>
          <w:p w14:paraId="393ED82B">
            <w:pPr>
              <w:spacing w:line="360" w:lineRule="auto"/>
              <w:jc w:val="center"/>
              <w:rPr>
                <w:rFonts w:ascii="宋体" w:hAnsi="宋体" w:eastAsia="宋体"/>
                <w:b/>
                <w:color w:val="auto"/>
                <w:sz w:val="24"/>
              </w:rPr>
            </w:pPr>
            <w:r>
              <w:rPr>
                <w:rFonts w:hint="eastAsia" w:ascii="宋体" w:hAnsi="宋体" w:eastAsia="宋体"/>
                <w:b/>
                <w:color w:val="auto"/>
                <w:sz w:val="24"/>
              </w:rPr>
              <w:t>备注说明</w:t>
            </w:r>
          </w:p>
        </w:tc>
        <w:tc>
          <w:tcPr>
            <w:tcW w:w="3557" w:type="pct"/>
          </w:tcPr>
          <w:p w14:paraId="3B58D8A5">
            <w:pPr>
              <w:spacing w:line="360" w:lineRule="auto"/>
              <w:rPr>
                <w:rFonts w:ascii="宋体" w:hAnsi="宋体" w:eastAsia="宋体"/>
                <w:b/>
                <w:color w:val="auto"/>
                <w:sz w:val="24"/>
              </w:rPr>
            </w:pPr>
          </w:p>
        </w:tc>
      </w:tr>
    </w:tbl>
    <w:p w14:paraId="243334D6">
      <w:pPr>
        <w:spacing w:line="360" w:lineRule="auto"/>
        <w:ind w:firstLine="4800" w:firstLineChars="2000"/>
        <w:rPr>
          <w:rFonts w:ascii="宋体" w:hAnsi="宋体" w:eastAsia="宋体"/>
          <w:color w:val="auto"/>
          <w:sz w:val="24"/>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p>
    <w:p w14:paraId="3AA9A444">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日          期：</w:t>
      </w:r>
      <w:r>
        <w:rPr>
          <w:rFonts w:hint="eastAsia" w:ascii="宋体" w:hAnsi="宋体" w:eastAsia="宋体"/>
          <w:color w:val="auto"/>
          <w:sz w:val="24"/>
          <w:u w:val="single"/>
        </w:rPr>
        <w:t xml:space="preserve">             </w:t>
      </w:r>
    </w:p>
    <w:p w14:paraId="21F31211">
      <w:pPr>
        <w:adjustRightInd w:val="0"/>
        <w:snapToGrid w:val="0"/>
        <w:spacing w:line="360" w:lineRule="auto"/>
        <w:rPr>
          <w:rFonts w:ascii="宋体" w:hAnsi="宋体" w:eastAsia="宋体"/>
          <w:b/>
          <w:bCs/>
          <w:color w:val="auto"/>
          <w:sz w:val="24"/>
          <w:szCs w:val="28"/>
        </w:rPr>
      </w:pPr>
      <w:r>
        <w:rPr>
          <w:rFonts w:hint="eastAsia" w:ascii="宋体" w:hAnsi="宋体" w:eastAsia="宋体"/>
          <w:b/>
          <w:bCs/>
          <w:color w:val="auto"/>
          <w:sz w:val="24"/>
          <w:szCs w:val="28"/>
        </w:rPr>
        <w:t>注：</w:t>
      </w:r>
    </w:p>
    <w:p w14:paraId="1C687F0C">
      <w:pPr>
        <w:adjustRightInd w:val="0"/>
        <w:snapToGrid w:val="0"/>
        <w:spacing w:line="360" w:lineRule="auto"/>
        <w:ind w:firstLine="482" w:firstLineChars="200"/>
        <w:rPr>
          <w:rFonts w:ascii="宋体" w:hAnsi="宋体" w:eastAsia="宋体"/>
          <w:color w:val="auto"/>
          <w:sz w:val="24"/>
        </w:rPr>
      </w:pPr>
      <w:r>
        <w:rPr>
          <w:rFonts w:hint="eastAsia" w:ascii="宋体" w:hAnsi="宋体" w:eastAsia="宋体"/>
          <w:b/>
          <w:bCs/>
          <w:color w:val="auto"/>
          <w:sz w:val="24"/>
          <w:szCs w:val="28"/>
        </w:rPr>
        <w:t>1.本表内容根据磋商文件要求包括了服务及其配套的设计、试验、保险、税费以及培训、技术服务（包括技术资料、图纸的提供）质保期内的售后服务保障等所有费用。</w:t>
      </w:r>
    </w:p>
    <w:p w14:paraId="2217FE8B">
      <w:pPr>
        <w:adjustRightInd w:val="0"/>
        <w:snapToGrid w:val="0"/>
        <w:spacing w:line="360" w:lineRule="auto"/>
        <w:ind w:firstLine="482" w:firstLineChars="200"/>
        <w:rPr>
          <w:rFonts w:ascii="宋体" w:hAnsi="宋体" w:eastAsia="宋体"/>
          <w:b/>
          <w:bCs/>
          <w:color w:val="auto"/>
          <w:sz w:val="24"/>
          <w:szCs w:val="28"/>
        </w:rPr>
      </w:pPr>
      <w:r>
        <w:rPr>
          <w:rFonts w:hint="eastAsia" w:ascii="宋体" w:hAnsi="宋体" w:eastAsia="宋体"/>
          <w:b/>
          <w:bCs/>
          <w:color w:val="auto"/>
          <w:sz w:val="24"/>
          <w:szCs w:val="28"/>
        </w:rPr>
        <w:t>2.特殊事项在备注中注明。</w:t>
      </w:r>
    </w:p>
    <w:p w14:paraId="2580E169">
      <w:pPr>
        <w:adjustRightInd w:val="0"/>
        <w:snapToGrid w:val="0"/>
        <w:spacing w:line="360" w:lineRule="auto"/>
        <w:ind w:firstLine="482" w:firstLineChars="200"/>
        <w:rPr>
          <w:rFonts w:ascii="宋体" w:hAnsi="宋体" w:eastAsia="宋体"/>
          <w:b/>
          <w:bCs/>
          <w:color w:val="auto"/>
          <w:sz w:val="24"/>
          <w:szCs w:val="28"/>
        </w:rPr>
      </w:pPr>
      <w:r>
        <w:rPr>
          <w:rFonts w:hint="eastAsia" w:ascii="宋体" w:hAnsi="宋体" w:eastAsia="宋体"/>
          <w:b/>
          <w:bCs/>
          <w:color w:val="auto"/>
          <w:sz w:val="24"/>
          <w:szCs w:val="28"/>
        </w:rPr>
        <w:t>3.表中大写金额与小写金额不一致的，以大写金额为准。</w:t>
      </w:r>
    </w:p>
    <w:p w14:paraId="1583698F">
      <w:pPr>
        <w:widowControl/>
        <w:jc w:val="left"/>
        <w:rPr>
          <w:rFonts w:ascii="宋体" w:hAnsi="宋体" w:eastAsia="宋体"/>
          <w:b/>
          <w:bCs/>
          <w:color w:val="auto"/>
          <w:sz w:val="24"/>
          <w:szCs w:val="28"/>
        </w:rPr>
      </w:pPr>
      <w:r>
        <w:rPr>
          <w:rFonts w:ascii="宋体" w:hAnsi="宋体" w:eastAsia="宋体"/>
          <w:b/>
          <w:bCs/>
          <w:color w:val="auto"/>
          <w:sz w:val="24"/>
          <w:szCs w:val="28"/>
        </w:rPr>
        <w:br w:type="page"/>
      </w:r>
    </w:p>
    <w:p w14:paraId="60107B67">
      <w:pPr>
        <w:spacing w:before="156" w:beforeLines="50" w:after="156" w:afterLines="50" w:line="360" w:lineRule="auto"/>
        <w:jc w:val="left"/>
        <w:outlineLvl w:val="2"/>
        <w:rPr>
          <w:rFonts w:ascii="宋体" w:hAnsi="宋体" w:eastAsia="宋体"/>
          <w:b/>
          <w:color w:val="auto"/>
          <w:sz w:val="24"/>
          <w:szCs w:val="28"/>
        </w:rPr>
      </w:pPr>
      <w:r>
        <w:rPr>
          <w:rFonts w:hint="eastAsia" w:ascii="宋体" w:hAnsi="宋体" w:eastAsia="宋体"/>
          <w:b/>
          <w:color w:val="auto"/>
          <w:sz w:val="24"/>
          <w:szCs w:val="28"/>
        </w:rPr>
        <w:t>1-2 分项报价明细表</w:t>
      </w:r>
    </w:p>
    <w:p w14:paraId="62890D0F">
      <w:pPr>
        <w:spacing w:line="360" w:lineRule="auto"/>
        <w:ind w:firstLine="435"/>
        <w:jc w:val="center"/>
        <w:rPr>
          <w:rFonts w:asciiTheme="minorEastAsia" w:hAnsiTheme="minorEastAsia" w:eastAsiaTheme="minorEastAsia"/>
          <w:i/>
          <w:color w:val="auto"/>
          <w:sz w:val="24"/>
        </w:rPr>
      </w:pPr>
      <w:r>
        <w:rPr>
          <w:rFonts w:hint="eastAsia" w:asciiTheme="minorEastAsia" w:hAnsiTheme="minorEastAsia" w:eastAsiaTheme="minorEastAsia"/>
          <w:i/>
          <w:color w:val="auto"/>
          <w:sz w:val="24"/>
        </w:rPr>
        <w:t>（仅供参考，供应商可自行制作格式）</w:t>
      </w:r>
    </w:p>
    <w:p w14:paraId="3D981EE8">
      <w:pPr>
        <w:spacing w:line="360" w:lineRule="auto"/>
        <w:ind w:firstLine="43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025</w:t>
      </w:r>
      <w:r>
        <w:rPr>
          <w:rFonts w:hint="eastAsia" w:asciiTheme="minorEastAsia" w:hAnsiTheme="minorEastAsia" w:eastAsiaTheme="minorEastAsia"/>
          <w:b/>
          <w:color w:val="auto"/>
          <w:sz w:val="24"/>
        </w:rPr>
        <w:t>年部分水闸安全鉴定报价清单</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626"/>
        <w:gridCol w:w="1144"/>
        <w:gridCol w:w="1434"/>
        <w:gridCol w:w="1323"/>
        <w:gridCol w:w="1328"/>
      </w:tblGrid>
      <w:tr w14:paraId="3AB9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91" w:type="pct"/>
            <w:vAlign w:val="center"/>
          </w:tcPr>
          <w:p w14:paraId="07C816CD">
            <w:pPr>
              <w:jc w:val="center"/>
              <w:rPr>
                <w:rFonts w:ascii="宋体" w:hAnsi="宋体" w:eastAsia="宋体"/>
                <w:b/>
                <w:color w:val="auto"/>
                <w:sz w:val="24"/>
              </w:rPr>
            </w:pPr>
            <w:r>
              <w:rPr>
                <w:rFonts w:hint="eastAsia" w:ascii="宋体" w:hAnsi="宋体" w:eastAsia="宋体"/>
                <w:b/>
                <w:color w:val="auto"/>
                <w:sz w:val="24"/>
              </w:rPr>
              <w:t>序号</w:t>
            </w:r>
          </w:p>
        </w:tc>
        <w:tc>
          <w:tcPr>
            <w:tcW w:w="1540" w:type="pct"/>
            <w:vAlign w:val="center"/>
          </w:tcPr>
          <w:p w14:paraId="62EC5650">
            <w:pPr>
              <w:jc w:val="center"/>
              <w:rPr>
                <w:rFonts w:ascii="宋体" w:hAnsi="宋体" w:eastAsia="宋体"/>
                <w:b/>
                <w:color w:val="auto"/>
                <w:sz w:val="24"/>
              </w:rPr>
            </w:pPr>
            <w:r>
              <w:rPr>
                <w:rFonts w:hint="eastAsia" w:ascii="宋体" w:hAnsi="宋体" w:eastAsia="宋体"/>
                <w:b/>
                <w:color w:val="auto"/>
                <w:sz w:val="24"/>
              </w:rPr>
              <w:t>服务内容</w:t>
            </w:r>
          </w:p>
        </w:tc>
        <w:tc>
          <w:tcPr>
            <w:tcW w:w="671" w:type="pct"/>
            <w:vAlign w:val="center"/>
          </w:tcPr>
          <w:p w14:paraId="644B5616">
            <w:pPr>
              <w:jc w:val="center"/>
              <w:rPr>
                <w:rFonts w:ascii="宋体" w:hAnsi="宋体" w:eastAsia="宋体"/>
                <w:b/>
                <w:color w:val="auto"/>
                <w:sz w:val="24"/>
              </w:rPr>
            </w:pPr>
            <w:r>
              <w:rPr>
                <w:rFonts w:hint="eastAsia" w:ascii="宋体" w:hAnsi="宋体" w:eastAsia="宋体"/>
                <w:b/>
                <w:color w:val="auto"/>
                <w:sz w:val="24"/>
              </w:rPr>
              <w:t>项</w:t>
            </w:r>
          </w:p>
        </w:tc>
        <w:tc>
          <w:tcPr>
            <w:tcW w:w="841" w:type="pct"/>
            <w:vAlign w:val="center"/>
          </w:tcPr>
          <w:p w14:paraId="4E879FD1">
            <w:pPr>
              <w:jc w:val="center"/>
              <w:rPr>
                <w:rFonts w:ascii="宋体" w:hAnsi="宋体" w:eastAsia="宋体"/>
                <w:b/>
                <w:color w:val="auto"/>
                <w:sz w:val="24"/>
              </w:rPr>
            </w:pPr>
            <w:r>
              <w:rPr>
                <w:rFonts w:hint="eastAsia" w:ascii="宋体" w:hAnsi="宋体" w:eastAsia="宋体"/>
                <w:b/>
                <w:color w:val="auto"/>
                <w:sz w:val="24"/>
              </w:rPr>
              <w:t>单价</w:t>
            </w:r>
          </w:p>
        </w:tc>
        <w:tc>
          <w:tcPr>
            <w:tcW w:w="776" w:type="pct"/>
            <w:vAlign w:val="center"/>
          </w:tcPr>
          <w:p w14:paraId="28BE4E0D">
            <w:pPr>
              <w:jc w:val="center"/>
              <w:rPr>
                <w:rFonts w:ascii="宋体" w:hAnsi="宋体" w:eastAsia="宋体"/>
                <w:b/>
                <w:color w:val="auto"/>
                <w:sz w:val="24"/>
              </w:rPr>
            </w:pPr>
            <w:r>
              <w:rPr>
                <w:rFonts w:hint="eastAsia" w:ascii="宋体" w:hAnsi="宋体" w:eastAsia="宋体"/>
                <w:b/>
                <w:color w:val="auto"/>
                <w:sz w:val="24"/>
              </w:rPr>
              <w:t>合价</w:t>
            </w:r>
          </w:p>
        </w:tc>
        <w:tc>
          <w:tcPr>
            <w:tcW w:w="777" w:type="pct"/>
            <w:vAlign w:val="center"/>
          </w:tcPr>
          <w:p w14:paraId="67C9ABD2">
            <w:pPr>
              <w:jc w:val="center"/>
              <w:rPr>
                <w:rFonts w:ascii="宋体" w:hAnsi="宋体" w:eastAsia="宋体"/>
                <w:b/>
                <w:color w:val="auto"/>
                <w:sz w:val="24"/>
              </w:rPr>
            </w:pPr>
            <w:r>
              <w:rPr>
                <w:rFonts w:hint="eastAsia" w:ascii="宋体" w:hAnsi="宋体" w:eastAsia="宋体"/>
                <w:b/>
                <w:color w:val="auto"/>
                <w:sz w:val="24"/>
              </w:rPr>
              <w:t>备注</w:t>
            </w:r>
          </w:p>
        </w:tc>
      </w:tr>
      <w:tr w14:paraId="36D3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4D503AF9">
            <w:pPr>
              <w:jc w:val="center"/>
              <w:rPr>
                <w:rFonts w:ascii="宋体" w:hAnsi="宋体" w:eastAsia="宋体"/>
                <w:color w:val="auto"/>
                <w:sz w:val="24"/>
              </w:rPr>
            </w:pPr>
            <w:r>
              <w:rPr>
                <w:rFonts w:hint="eastAsia" w:ascii="宋体" w:hAnsi="宋体" w:eastAsia="宋体" w:cs="宋体"/>
                <w:b/>
                <w:bCs/>
                <w:color w:val="auto"/>
                <w:szCs w:val="21"/>
              </w:rPr>
              <w:t>1</w:t>
            </w:r>
          </w:p>
        </w:tc>
        <w:tc>
          <w:tcPr>
            <w:tcW w:w="1540" w:type="pct"/>
            <w:vAlign w:val="center"/>
          </w:tcPr>
          <w:p w14:paraId="44034AB1">
            <w:pPr>
              <w:jc w:val="center"/>
              <w:rPr>
                <w:rFonts w:ascii="宋体" w:hAnsi="宋体" w:eastAsia="宋体"/>
                <w:color w:val="auto"/>
                <w:sz w:val="24"/>
              </w:rPr>
            </w:pPr>
            <w:r>
              <w:rPr>
                <w:rFonts w:hint="eastAsia" w:ascii="宋体" w:hAnsi="宋体" w:eastAsia="宋体" w:cs="宋体"/>
                <w:b/>
                <w:bCs/>
                <w:color w:val="auto"/>
                <w:szCs w:val="21"/>
              </w:rPr>
              <w:t>五河分洪闸</w:t>
            </w:r>
          </w:p>
        </w:tc>
        <w:tc>
          <w:tcPr>
            <w:tcW w:w="671" w:type="pct"/>
            <w:vAlign w:val="center"/>
          </w:tcPr>
          <w:p w14:paraId="2BF16B53">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77D1B17F">
            <w:pPr>
              <w:jc w:val="center"/>
              <w:rPr>
                <w:rFonts w:ascii="宋体" w:hAnsi="宋体" w:eastAsia="宋体"/>
                <w:color w:val="auto"/>
                <w:sz w:val="24"/>
              </w:rPr>
            </w:pPr>
          </w:p>
        </w:tc>
        <w:tc>
          <w:tcPr>
            <w:tcW w:w="776" w:type="pct"/>
          </w:tcPr>
          <w:p w14:paraId="7617F1E5">
            <w:pPr>
              <w:jc w:val="center"/>
              <w:rPr>
                <w:rFonts w:ascii="宋体" w:hAnsi="宋体" w:eastAsia="宋体"/>
                <w:color w:val="auto"/>
                <w:sz w:val="24"/>
              </w:rPr>
            </w:pPr>
          </w:p>
        </w:tc>
        <w:tc>
          <w:tcPr>
            <w:tcW w:w="777" w:type="pct"/>
            <w:vAlign w:val="center"/>
          </w:tcPr>
          <w:p w14:paraId="658D86B1">
            <w:pPr>
              <w:jc w:val="center"/>
              <w:rPr>
                <w:rFonts w:ascii="宋体" w:hAnsi="宋体" w:eastAsia="宋体"/>
                <w:color w:val="auto"/>
                <w:sz w:val="24"/>
              </w:rPr>
            </w:pPr>
          </w:p>
        </w:tc>
      </w:tr>
      <w:tr w14:paraId="254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7930527B">
            <w:pPr>
              <w:jc w:val="center"/>
              <w:rPr>
                <w:rFonts w:ascii="宋体" w:hAnsi="宋体" w:eastAsia="宋体"/>
                <w:color w:val="auto"/>
                <w:sz w:val="24"/>
              </w:rPr>
            </w:pPr>
            <w:r>
              <w:rPr>
                <w:rFonts w:hint="eastAsia" w:ascii="宋体" w:hAnsi="宋体" w:eastAsia="宋体" w:cs="宋体"/>
                <w:b/>
                <w:bCs/>
                <w:color w:val="auto"/>
                <w:szCs w:val="21"/>
              </w:rPr>
              <w:t>2</w:t>
            </w:r>
          </w:p>
        </w:tc>
        <w:tc>
          <w:tcPr>
            <w:tcW w:w="1540" w:type="pct"/>
            <w:vAlign w:val="center"/>
          </w:tcPr>
          <w:p w14:paraId="4B4E1C0E">
            <w:pPr>
              <w:jc w:val="center"/>
              <w:rPr>
                <w:rFonts w:ascii="宋体" w:hAnsi="宋体" w:eastAsia="宋体"/>
                <w:color w:val="auto"/>
                <w:sz w:val="24"/>
              </w:rPr>
            </w:pPr>
            <w:r>
              <w:rPr>
                <w:rFonts w:hint="eastAsia" w:ascii="宋体" w:hAnsi="宋体" w:eastAsia="宋体" w:cs="宋体"/>
                <w:b/>
                <w:bCs/>
                <w:color w:val="auto"/>
                <w:szCs w:val="21"/>
              </w:rPr>
              <w:t>刘桥闸</w:t>
            </w:r>
          </w:p>
        </w:tc>
        <w:tc>
          <w:tcPr>
            <w:tcW w:w="671" w:type="pct"/>
            <w:vAlign w:val="center"/>
          </w:tcPr>
          <w:p w14:paraId="71475EEC">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7BA51D14">
            <w:pPr>
              <w:jc w:val="center"/>
              <w:rPr>
                <w:rFonts w:ascii="宋体" w:hAnsi="宋体" w:eastAsia="宋体"/>
                <w:color w:val="auto"/>
                <w:sz w:val="24"/>
              </w:rPr>
            </w:pPr>
          </w:p>
        </w:tc>
        <w:tc>
          <w:tcPr>
            <w:tcW w:w="776" w:type="pct"/>
          </w:tcPr>
          <w:p w14:paraId="1D80A3EA">
            <w:pPr>
              <w:jc w:val="center"/>
              <w:rPr>
                <w:rFonts w:ascii="宋体" w:hAnsi="宋体" w:eastAsia="宋体"/>
                <w:color w:val="auto"/>
                <w:sz w:val="24"/>
              </w:rPr>
            </w:pPr>
          </w:p>
        </w:tc>
        <w:tc>
          <w:tcPr>
            <w:tcW w:w="777" w:type="pct"/>
            <w:vAlign w:val="center"/>
          </w:tcPr>
          <w:p w14:paraId="19E14E65">
            <w:pPr>
              <w:jc w:val="center"/>
              <w:rPr>
                <w:rFonts w:ascii="宋体" w:hAnsi="宋体" w:eastAsia="宋体"/>
                <w:color w:val="auto"/>
                <w:sz w:val="24"/>
              </w:rPr>
            </w:pPr>
          </w:p>
        </w:tc>
      </w:tr>
      <w:tr w14:paraId="6A4B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2CF5DBC6">
            <w:pPr>
              <w:jc w:val="center"/>
              <w:rPr>
                <w:rFonts w:ascii="宋体" w:hAnsi="宋体" w:eastAsia="宋体"/>
                <w:color w:val="auto"/>
                <w:sz w:val="24"/>
              </w:rPr>
            </w:pPr>
            <w:r>
              <w:rPr>
                <w:rFonts w:hint="eastAsia" w:ascii="宋体" w:hAnsi="宋体" w:eastAsia="宋体" w:cs="宋体"/>
                <w:b/>
                <w:bCs/>
                <w:color w:val="auto"/>
                <w:szCs w:val="21"/>
              </w:rPr>
              <w:t>3</w:t>
            </w:r>
          </w:p>
        </w:tc>
        <w:tc>
          <w:tcPr>
            <w:tcW w:w="1540" w:type="pct"/>
            <w:vAlign w:val="center"/>
          </w:tcPr>
          <w:p w14:paraId="0B6C4782">
            <w:pPr>
              <w:jc w:val="center"/>
              <w:rPr>
                <w:rFonts w:ascii="宋体" w:hAnsi="宋体" w:eastAsia="宋体"/>
                <w:color w:val="auto"/>
                <w:sz w:val="24"/>
              </w:rPr>
            </w:pPr>
            <w:r>
              <w:rPr>
                <w:rFonts w:hint="eastAsia" w:ascii="宋体" w:hAnsi="宋体" w:eastAsia="宋体" w:cs="宋体"/>
                <w:b/>
                <w:bCs/>
                <w:color w:val="auto"/>
                <w:szCs w:val="21"/>
              </w:rPr>
              <w:t>新淝闸</w:t>
            </w:r>
          </w:p>
        </w:tc>
        <w:tc>
          <w:tcPr>
            <w:tcW w:w="671" w:type="pct"/>
            <w:vAlign w:val="center"/>
          </w:tcPr>
          <w:p w14:paraId="60A7BC57">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6B170677">
            <w:pPr>
              <w:jc w:val="center"/>
              <w:rPr>
                <w:rFonts w:ascii="宋体" w:hAnsi="宋体" w:eastAsia="宋体"/>
                <w:color w:val="auto"/>
                <w:sz w:val="24"/>
              </w:rPr>
            </w:pPr>
          </w:p>
        </w:tc>
        <w:tc>
          <w:tcPr>
            <w:tcW w:w="776" w:type="pct"/>
          </w:tcPr>
          <w:p w14:paraId="623CFBC4">
            <w:pPr>
              <w:jc w:val="center"/>
              <w:rPr>
                <w:rFonts w:ascii="宋体" w:hAnsi="宋体" w:eastAsia="宋体"/>
                <w:color w:val="auto"/>
                <w:sz w:val="24"/>
              </w:rPr>
            </w:pPr>
          </w:p>
        </w:tc>
        <w:tc>
          <w:tcPr>
            <w:tcW w:w="777" w:type="pct"/>
            <w:vAlign w:val="center"/>
          </w:tcPr>
          <w:p w14:paraId="7B184A3A">
            <w:pPr>
              <w:jc w:val="center"/>
              <w:rPr>
                <w:rFonts w:ascii="宋体" w:hAnsi="宋体" w:eastAsia="宋体"/>
                <w:color w:val="auto"/>
                <w:sz w:val="24"/>
              </w:rPr>
            </w:pPr>
          </w:p>
        </w:tc>
      </w:tr>
      <w:tr w14:paraId="74B0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2536864F">
            <w:pPr>
              <w:jc w:val="center"/>
              <w:rPr>
                <w:rFonts w:ascii="宋体" w:hAnsi="宋体" w:eastAsia="宋体"/>
                <w:color w:val="auto"/>
                <w:sz w:val="24"/>
              </w:rPr>
            </w:pPr>
            <w:r>
              <w:rPr>
                <w:rFonts w:hint="eastAsia" w:ascii="宋体" w:hAnsi="宋体" w:eastAsia="宋体" w:cs="宋体"/>
                <w:b/>
                <w:bCs/>
                <w:color w:val="auto"/>
                <w:szCs w:val="21"/>
              </w:rPr>
              <w:t>4</w:t>
            </w:r>
          </w:p>
        </w:tc>
        <w:tc>
          <w:tcPr>
            <w:tcW w:w="1540" w:type="pct"/>
            <w:vAlign w:val="center"/>
          </w:tcPr>
          <w:p w14:paraId="5C3B4069">
            <w:pPr>
              <w:jc w:val="center"/>
              <w:rPr>
                <w:rFonts w:ascii="宋体" w:hAnsi="宋体" w:eastAsia="宋体"/>
                <w:color w:val="auto"/>
                <w:sz w:val="24"/>
              </w:rPr>
            </w:pPr>
            <w:r>
              <w:rPr>
                <w:rFonts w:hint="eastAsia" w:ascii="宋体" w:hAnsi="宋体" w:eastAsia="宋体" w:cs="宋体"/>
                <w:b/>
                <w:bCs/>
                <w:color w:val="auto"/>
                <w:szCs w:val="21"/>
              </w:rPr>
              <w:t>张大桥闸</w:t>
            </w:r>
          </w:p>
        </w:tc>
        <w:tc>
          <w:tcPr>
            <w:tcW w:w="671" w:type="pct"/>
            <w:vAlign w:val="center"/>
          </w:tcPr>
          <w:p w14:paraId="4D11563D">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1F71A08C">
            <w:pPr>
              <w:jc w:val="center"/>
              <w:rPr>
                <w:rFonts w:ascii="宋体" w:hAnsi="宋体" w:eastAsia="宋体"/>
                <w:color w:val="auto"/>
                <w:sz w:val="24"/>
              </w:rPr>
            </w:pPr>
          </w:p>
        </w:tc>
        <w:tc>
          <w:tcPr>
            <w:tcW w:w="776" w:type="pct"/>
          </w:tcPr>
          <w:p w14:paraId="6D2B7284">
            <w:pPr>
              <w:jc w:val="center"/>
              <w:rPr>
                <w:rFonts w:ascii="宋体" w:hAnsi="宋体" w:eastAsia="宋体"/>
                <w:color w:val="auto"/>
                <w:sz w:val="24"/>
              </w:rPr>
            </w:pPr>
          </w:p>
        </w:tc>
        <w:tc>
          <w:tcPr>
            <w:tcW w:w="777" w:type="pct"/>
            <w:vAlign w:val="center"/>
          </w:tcPr>
          <w:p w14:paraId="012BE2A3">
            <w:pPr>
              <w:jc w:val="center"/>
              <w:rPr>
                <w:rFonts w:ascii="宋体" w:hAnsi="宋体" w:eastAsia="宋体"/>
                <w:color w:val="auto"/>
                <w:sz w:val="24"/>
              </w:rPr>
            </w:pPr>
          </w:p>
        </w:tc>
      </w:tr>
      <w:tr w14:paraId="7811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7B332E28">
            <w:pPr>
              <w:jc w:val="center"/>
              <w:rPr>
                <w:rFonts w:ascii="宋体" w:hAnsi="宋体" w:eastAsia="宋体"/>
                <w:color w:val="auto"/>
                <w:sz w:val="24"/>
              </w:rPr>
            </w:pPr>
            <w:r>
              <w:rPr>
                <w:rFonts w:hint="eastAsia" w:ascii="宋体" w:hAnsi="宋体" w:eastAsia="宋体" w:cs="宋体"/>
                <w:b/>
                <w:bCs/>
                <w:color w:val="auto"/>
                <w:szCs w:val="21"/>
              </w:rPr>
              <w:t>5</w:t>
            </w:r>
          </w:p>
        </w:tc>
        <w:tc>
          <w:tcPr>
            <w:tcW w:w="1540" w:type="pct"/>
            <w:vAlign w:val="center"/>
          </w:tcPr>
          <w:p w14:paraId="1FDC7D84">
            <w:pPr>
              <w:jc w:val="center"/>
              <w:rPr>
                <w:rFonts w:ascii="宋体" w:hAnsi="宋体" w:eastAsia="宋体"/>
                <w:color w:val="auto"/>
                <w:sz w:val="24"/>
              </w:rPr>
            </w:pPr>
            <w:r>
              <w:rPr>
                <w:rFonts w:hint="eastAsia" w:ascii="宋体" w:hAnsi="宋体" w:eastAsia="宋体" w:cs="宋体"/>
                <w:b/>
                <w:bCs/>
                <w:color w:val="auto"/>
                <w:szCs w:val="21"/>
              </w:rPr>
              <w:t>双涧闸</w:t>
            </w:r>
          </w:p>
        </w:tc>
        <w:tc>
          <w:tcPr>
            <w:tcW w:w="671" w:type="pct"/>
            <w:vAlign w:val="center"/>
          </w:tcPr>
          <w:p w14:paraId="6B21F529">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2AE4A3D3">
            <w:pPr>
              <w:jc w:val="center"/>
              <w:rPr>
                <w:rFonts w:ascii="宋体" w:hAnsi="宋体" w:eastAsia="宋体"/>
                <w:color w:val="auto"/>
                <w:sz w:val="24"/>
              </w:rPr>
            </w:pPr>
          </w:p>
        </w:tc>
        <w:tc>
          <w:tcPr>
            <w:tcW w:w="776" w:type="pct"/>
          </w:tcPr>
          <w:p w14:paraId="456C7743">
            <w:pPr>
              <w:jc w:val="center"/>
              <w:rPr>
                <w:rFonts w:ascii="宋体" w:hAnsi="宋体" w:eastAsia="宋体"/>
                <w:color w:val="auto"/>
                <w:sz w:val="24"/>
              </w:rPr>
            </w:pPr>
          </w:p>
        </w:tc>
        <w:tc>
          <w:tcPr>
            <w:tcW w:w="777" w:type="pct"/>
            <w:vAlign w:val="center"/>
          </w:tcPr>
          <w:p w14:paraId="3AE86780">
            <w:pPr>
              <w:jc w:val="center"/>
              <w:rPr>
                <w:rFonts w:ascii="宋体" w:hAnsi="宋体" w:eastAsia="宋体"/>
                <w:color w:val="auto"/>
                <w:sz w:val="24"/>
              </w:rPr>
            </w:pPr>
          </w:p>
        </w:tc>
      </w:tr>
      <w:tr w14:paraId="301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6F52489D">
            <w:pPr>
              <w:jc w:val="center"/>
              <w:rPr>
                <w:rFonts w:ascii="宋体" w:hAnsi="宋体" w:eastAsia="宋体"/>
                <w:color w:val="auto"/>
                <w:sz w:val="24"/>
              </w:rPr>
            </w:pPr>
            <w:r>
              <w:rPr>
                <w:rFonts w:hint="eastAsia" w:ascii="宋体" w:hAnsi="宋体" w:eastAsia="宋体" w:cs="宋体"/>
                <w:b/>
                <w:bCs/>
                <w:color w:val="auto"/>
                <w:szCs w:val="21"/>
              </w:rPr>
              <w:t>6</w:t>
            </w:r>
          </w:p>
        </w:tc>
        <w:tc>
          <w:tcPr>
            <w:tcW w:w="1540" w:type="pct"/>
            <w:vAlign w:val="center"/>
          </w:tcPr>
          <w:p w14:paraId="49516199">
            <w:pPr>
              <w:jc w:val="center"/>
              <w:rPr>
                <w:rFonts w:ascii="宋体" w:hAnsi="宋体" w:eastAsia="宋体"/>
                <w:color w:val="auto"/>
                <w:sz w:val="24"/>
              </w:rPr>
            </w:pPr>
            <w:r>
              <w:rPr>
                <w:rFonts w:hint="eastAsia" w:ascii="宋体" w:hAnsi="宋体" w:eastAsia="宋体" w:cs="宋体"/>
                <w:b/>
                <w:bCs/>
                <w:color w:val="auto"/>
                <w:szCs w:val="21"/>
              </w:rPr>
              <w:t>架河闸</w:t>
            </w:r>
          </w:p>
        </w:tc>
        <w:tc>
          <w:tcPr>
            <w:tcW w:w="671" w:type="pct"/>
            <w:vAlign w:val="center"/>
          </w:tcPr>
          <w:p w14:paraId="253DE9EE">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6AC1BDC4">
            <w:pPr>
              <w:jc w:val="center"/>
              <w:rPr>
                <w:rFonts w:ascii="宋体" w:hAnsi="宋体" w:eastAsia="宋体"/>
                <w:color w:val="auto"/>
                <w:sz w:val="24"/>
              </w:rPr>
            </w:pPr>
          </w:p>
        </w:tc>
        <w:tc>
          <w:tcPr>
            <w:tcW w:w="776" w:type="pct"/>
          </w:tcPr>
          <w:p w14:paraId="5A5A3DCE">
            <w:pPr>
              <w:jc w:val="center"/>
              <w:rPr>
                <w:rFonts w:ascii="宋体" w:hAnsi="宋体" w:eastAsia="宋体"/>
                <w:color w:val="auto"/>
                <w:sz w:val="24"/>
              </w:rPr>
            </w:pPr>
          </w:p>
        </w:tc>
        <w:tc>
          <w:tcPr>
            <w:tcW w:w="777" w:type="pct"/>
            <w:vAlign w:val="center"/>
          </w:tcPr>
          <w:p w14:paraId="5BB5D613">
            <w:pPr>
              <w:jc w:val="center"/>
              <w:rPr>
                <w:rFonts w:ascii="宋体" w:hAnsi="宋体" w:eastAsia="宋体"/>
                <w:color w:val="auto"/>
                <w:sz w:val="24"/>
              </w:rPr>
            </w:pPr>
          </w:p>
        </w:tc>
      </w:tr>
      <w:tr w14:paraId="1428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1A167138">
            <w:pPr>
              <w:jc w:val="center"/>
              <w:rPr>
                <w:rFonts w:ascii="宋体" w:hAnsi="宋体" w:eastAsia="宋体"/>
                <w:color w:val="auto"/>
                <w:sz w:val="24"/>
              </w:rPr>
            </w:pPr>
            <w:r>
              <w:rPr>
                <w:rFonts w:hint="eastAsia" w:ascii="宋体" w:hAnsi="宋体" w:eastAsia="宋体" w:cs="宋体"/>
                <w:b/>
                <w:bCs/>
                <w:color w:val="auto"/>
                <w:szCs w:val="21"/>
              </w:rPr>
              <w:t>7</w:t>
            </w:r>
          </w:p>
        </w:tc>
        <w:tc>
          <w:tcPr>
            <w:tcW w:w="1540" w:type="pct"/>
            <w:vAlign w:val="center"/>
          </w:tcPr>
          <w:p w14:paraId="0F9FC68F">
            <w:pPr>
              <w:jc w:val="center"/>
              <w:rPr>
                <w:rFonts w:ascii="宋体" w:hAnsi="宋体" w:eastAsia="宋体"/>
                <w:color w:val="auto"/>
                <w:sz w:val="24"/>
              </w:rPr>
            </w:pPr>
            <w:r>
              <w:rPr>
                <w:rFonts w:hint="eastAsia" w:ascii="宋体" w:hAnsi="宋体" w:eastAsia="宋体" w:cs="宋体"/>
                <w:b/>
                <w:bCs/>
                <w:color w:val="auto"/>
                <w:szCs w:val="21"/>
              </w:rPr>
              <w:t>颍上闸</w:t>
            </w:r>
          </w:p>
        </w:tc>
        <w:tc>
          <w:tcPr>
            <w:tcW w:w="671" w:type="pct"/>
            <w:vAlign w:val="center"/>
          </w:tcPr>
          <w:p w14:paraId="5429ABFB">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04A8813E">
            <w:pPr>
              <w:jc w:val="center"/>
              <w:rPr>
                <w:rFonts w:ascii="宋体" w:hAnsi="宋体" w:eastAsia="宋体"/>
                <w:color w:val="auto"/>
                <w:sz w:val="24"/>
              </w:rPr>
            </w:pPr>
          </w:p>
        </w:tc>
        <w:tc>
          <w:tcPr>
            <w:tcW w:w="776" w:type="pct"/>
          </w:tcPr>
          <w:p w14:paraId="085F52C2">
            <w:pPr>
              <w:jc w:val="center"/>
              <w:rPr>
                <w:rFonts w:ascii="宋体" w:hAnsi="宋体" w:eastAsia="宋体"/>
                <w:color w:val="auto"/>
                <w:sz w:val="24"/>
              </w:rPr>
            </w:pPr>
          </w:p>
        </w:tc>
        <w:tc>
          <w:tcPr>
            <w:tcW w:w="777" w:type="pct"/>
            <w:vAlign w:val="center"/>
          </w:tcPr>
          <w:p w14:paraId="56B0B4F9">
            <w:pPr>
              <w:jc w:val="center"/>
              <w:rPr>
                <w:rFonts w:ascii="宋体" w:hAnsi="宋体" w:eastAsia="宋体"/>
                <w:color w:val="auto"/>
                <w:sz w:val="24"/>
              </w:rPr>
            </w:pPr>
          </w:p>
        </w:tc>
      </w:tr>
      <w:tr w14:paraId="42B6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3B8484F7">
            <w:pPr>
              <w:jc w:val="center"/>
              <w:rPr>
                <w:rFonts w:ascii="宋体" w:hAnsi="宋体" w:eastAsia="宋体" w:cs="宋体"/>
                <w:b/>
                <w:bCs/>
                <w:color w:val="auto"/>
                <w:szCs w:val="21"/>
              </w:rPr>
            </w:pPr>
          </w:p>
        </w:tc>
        <w:tc>
          <w:tcPr>
            <w:tcW w:w="1540" w:type="pct"/>
            <w:vAlign w:val="center"/>
          </w:tcPr>
          <w:p w14:paraId="7B0B3E41">
            <w:pPr>
              <w:jc w:val="center"/>
              <w:rPr>
                <w:rFonts w:ascii="宋体" w:hAnsi="宋体" w:eastAsia="宋体" w:cs="宋体"/>
                <w:b/>
                <w:bCs/>
                <w:color w:val="auto"/>
                <w:szCs w:val="21"/>
              </w:rPr>
            </w:pPr>
            <w:r>
              <w:rPr>
                <w:rFonts w:hint="eastAsia" w:ascii="宋体" w:hAnsi="宋体" w:eastAsia="宋体" w:cs="宋体"/>
                <w:b/>
                <w:bCs/>
                <w:color w:val="auto"/>
                <w:szCs w:val="21"/>
              </w:rPr>
              <w:t>小计金额（元）</w:t>
            </w:r>
          </w:p>
        </w:tc>
        <w:tc>
          <w:tcPr>
            <w:tcW w:w="671" w:type="pct"/>
            <w:vAlign w:val="center"/>
          </w:tcPr>
          <w:p w14:paraId="5EB12E5D">
            <w:pPr>
              <w:jc w:val="center"/>
              <w:rPr>
                <w:rFonts w:ascii="宋体" w:hAnsi="宋体" w:eastAsia="宋体"/>
                <w:color w:val="auto"/>
                <w:sz w:val="24"/>
              </w:rPr>
            </w:pPr>
          </w:p>
        </w:tc>
        <w:tc>
          <w:tcPr>
            <w:tcW w:w="841" w:type="pct"/>
            <w:vAlign w:val="center"/>
          </w:tcPr>
          <w:p w14:paraId="458EA699">
            <w:pPr>
              <w:jc w:val="center"/>
              <w:rPr>
                <w:rFonts w:ascii="宋体" w:hAnsi="宋体" w:eastAsia="宋体"/>
                <w:color w:val="auto"/>
                <w:sz w:val="24"/>
              </w:rPr>
            </w:pPr>
          </w:p>
        </w:tc>
        <w:tc>
          <w:tcPr>
            <w:tcW w:w="776" w:type="pct"/>
          </w:tcPr>
          <w:p w14:paraId="7A695798">
            <w:pPr>
              <w:jc w:val="center"/>
              <w:rPr>
                <w:rFonts w:ascii="宋体" w:hAnsi="宋体" w:eastAsia="宋体"/>
                <w:color w:val="auto"/>
                <w:sz w:val="24"/>
              </w:rPr>
            </w:pPr>
          </w:p>
        </w:tc>
        <w:tc>
          <w:tcPr>
            <w:tcW w:w="777" w:type="pct"/>
            <w:vAlign w:val="center"/>
          </w:tcPr>
          <w:p w14:paraId="2588E255">
            <w:pPr>
              <w:jc w:val="center"/>
              <w:rPr>
                <w:rFonts w:ascii="宋体" w:hAnsi="宋体" w:eastAsia="宋体"/>
                <w:color w:val="auto"/>
                <w:sz w:val="24"/>
              </w:rPr>
            </w:pPr>
          </w:p>
        </w:tc>
      </w:tr>
      <w:tr w14:paraId="32FB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2D045A81">
            <w:pPr>
              <w:jc w:val="center"/>
              <w:rPr>
                <w:rFonts w:ascii="宋体" w:hAnsi="宋体" w:eastAsia="宋体"/>
                <w:color w:val="auto"/>
                <w:sz w:val="24"/>
              </w:rPr>
            </w:pPr>
            <w:r>
              <w:rPr>
                <w:rFonts w:hint="eastAsia" w:ascii="宋体" w:hAnsi="宋体" w:eastAsia="宋体" w:cs="宋体"/>
                <w:b/>
                <w:bCs/>
                <w:color w:val="auto"/>
                <w:szCs w:val="21"/>
              </w:rPr>
              <w:t>8</w:t>
            </w:r>
          </w:p>
        </w:tc>
        <w:tc>
          <w:tcPr>
            <w:tcW w:w="1540" w:type="pct"/>
            <w:vAlign w:val="center"/>
          </w:tcPr>
          <w:p w14:paraId="72B830ED">
            <w:pPr>
              <w:jc w:val="center"/>
              <w:rPr>
                <w:rFonts w:ascii="宋体" w:hAnsi="宋体" w:eastAsia="宋体"/>
                <w:color w:val="auto"/>
                <w:sz w:val="24"/>
              </w:rPr>
            </w:pPr>
            <w:r>
              <w:rPr>
                <w:rFonts w:hint="eastAsia" w:ascii="宋体" w:hAnsi="宋体" w:eastAsia="宋体" w:cs="宋体"/>
                <w:b/>
                <w:bCs/>
                <w:color w:val="auto"/>
                <w:szCs w:val="21"/>
              </w:rPr>
              <w:t>城西湖退水闸</w:t>
            </w:r>
          </w:p>
        </w:tc>
        <w:tc>
          <w:tcPr>
            <w:tcW w:w="671" w:type="pct"/>
            <w:vAlign w:val="center"/>
          </w:tcPr>
          <w:p w14:paraId="1F6B5546">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3514F667">
            <w:pPr>
              <w:jc w:val="center"/>
              <w:rPr>
                <w:rFonts w:ascii="宋体" w:hAnsi="宋体" w:eastAsia="宋体"/>
                <w:color w:val="auto"/>
                <w:sz w:val="24"/>
              </w:rPr>
            </w:pPr>
          </w:p>
        </w:tc>
        <w:tc>
          <w:tcPr>
            <w:tcW w:w="776" w:type="pct"/>
          </w:tcPr>
          <w:p w14:paraId="0324C94E">
            <w:pPr>
              <w:jc w:val="center"/>
              <w:rPr>
                <w:rFonts w:ascii="宋体" w:hAnsi="宋体" w:eastAsia="宋体"/>
                <w:color w:val="auto"/>
                <w:sz w:val="24"/>
              </w:rPr>
            </w:pPr>
          </w:p>
        </w:tc>
        <w:tc>
          <w:tcPr>
            <w:tcW w:w="777" w:type="pct"/>
            <w:vAlign w:val="center"/>
          </w:tcPr>
          <w:p w14:paraId="49D0CFBC">
            <w:pPr>
              <w:jc w:val="center"/>
              <w:rPr>
                <w:rFonts w:ascii="宋体" w:hAnsi="宋体" w:eastAsia="宋体"/>
                <w:color w:val="auto"/>
                <w:sz w:val="24"/>
              </w:rPr>
            </w:pPr>
          </w:p>
        </w:tc>
      </w:tr>
      <w:tr w14:paraId="054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1" w:type="pct"/>
            <w:vAlign w:val="center"/>
          </w:tcPr>
          <w:p w14:paraId="73350DCF">
            <w:pPr>
              <w:jc w:val="center"/>
              <w:rPr>
                <w:rFonts w:ascii="宋体" w:hAnsi="宋体" w:eastAsia="宋体"/>
                <w:color w:val="auto"/>
                <w:sz w:val="24"/>
              </w:rPr>
            </w:pPr>
            <w:r>
              <w:rPr>
                <w:rFonts w:hint="eastAsia" w:ascii="宋体" w:hAnsi="宋体" w:eastAsia="宋体" w:cs="宋体"/>
                <w:b/>
                <w:bCs/>
                <w:color w:val="auto"/>
                <w:szCs w:val="21"/>
              </w:rPr>
              <w:t>9</w:t>
            </w:r>
          </w:p>
        </w:tc>
        <w:tc>
          <w:tcPr>
            <w:tcW w:w="1540" w:type="pct"/>
            <w:vAlign w:val="center"/>
          </w:tcPr>
          <w:p w14:paraId="6D81D873">
            <w:pPr>
              <w:pStyle w:val="48"/>
              <w:ind w:left="-108"/>
              <w:jc w:val="center"/>
              <w:rPr>
                <w:rFonts w:ascii="宋体" w:hAnsi="宋体"/>
                <w:color w:val="auto"/>
              </w:rPr>
            </w:pPr>
            <w:r>
              <w:rPr>
                <w:rFonts w:hint="eastAsia" w:ascii="宋体" w:hAnsi="宋体" w:cs="宋体"/>
                <w:b/>
                <w:bCs/>
                <w:color w:val="auto"/>
                <w:szCs w:val="21"/>
              </w:rPr>
              <w:t>姜唐湖退水闸</w:t>
            </w:r>
          </w:p>
        </w:tc>
        <w:tc>
          <w:tcPr>
            <w:tcW w:w="671" w:type="pct"/>
            <w:vAlign w:val="center"/>
          </w:tcPr>
          <w:p w14:paraId="267DDC1B">
            <w:pPr>
              <w:jc w:val="center"/>
              <w:rPr>
                <w:rFonts w:ascii="宋体" w:hAnsi="宋体" w:eastAsia="宋体"/>
                <w:color w:val="auto"/>
                <w:sz w:val="24"/>
              </w:rPr>
            </w:pPr>
            <w:r>
              <w:rPr>
                <w:rFonts w:hint="eastAsia" w:ascii="宋体" w:hAnsi="宋体" w:eastAsia="宋体"/>
                <w:color w:val="auto"/>
                <w:sz w:val="24"/>
              </w:rPr>
              <w:t>1</w:t>
            </w:r>
          </w:p>
        </w:tc>
        <w:tc>
          <w:tcPr>
            <w:tcW w:w="841" w:type="pct"/>
            <w:vAlign w:val="center"/>
          </w:tcPr>
          <w:p w14:paraId="5FF7C488">
            <w:pPr>
              <w:jc w:val="center"/>
              <w:rPr>
                <w:rFonts w:ascii="宋体" w:hAnsi="宋体" w:eastAsia="宋体"/>
                <w:color w:val="auto"/>
                <w:sz w:val="24"/>
              </w:rPr>
            </w:pPr>
          </w:p>
        </w:tc>
        <w:tc>
          <w:tcPr>
            <w:tcW w:w="776" w:type="pct"/>
          </w:tcPr>
          <w:p w14:paraId="45E78B2B">
            <w:pPr>
              <w:jc w:val="center"/>
              <w:rPr>
                <w:rFonts w:ascii="宋体" w:hAnsi="宋体" w:eastAsia="宋体"/>
                <w:color w:val="auto"/>
                <w:sz w:val="24"/>
              </w:rPr>
            </w:pPr>
          </w:p>
        </w:tc>
        <w:tc>
          <w:tcPr>
            <w:tcW w:w="777" w:type="pct"/>
            <w:vAlign w:val="center"/>
          </w:tcPr>
          <w:p w14:paraId="39C899D7">
            <w:pPr>
              <w:jc w:val="center"/>
              <w:rPr>
                <w:rFonts w:ascii="宋体" w:hAnsi="宋体" w:eastAsia="宋体"/>
                <w:color w:val="auto"/>
                <w:sz w:val="24"/>
              </w:rPr>
            </w:pPr>
          </w:p>
        </w:tc>
      </w:tr>
      <w:tr w14:paraId="52D3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391" w:type="pct"/>
            <w:vAlign w:val="center"/>
          </w:tcPr>
          <w:p w14:paraId="40393B7A">
            <w:pPr>
              <w:jc w:val="center"/>
              <w:rPr>
                <w:rFonts w:ascii="宋体" w:hAnsi="宋体" w:eastAsia="宋体" w:cs="宋体"/>
                <w:b/>
                <w:bCs/>
                <w:color w:val="auto"/>
                <w:szCs w:val="21"/>
              </w:rPr>
            </w:pPr>
          </w:p>
        </w:tc>
        <w:tc>
          <w:tcPr>
            <w:tcW w:w="1540" w:type="pct"/>
            <w:vAlign w:val="center"/>
          </w:tcPr>
          <w:p w14:paraId="4D98D4D3">
            <w:pPr>
              <w:jc w:val="center"/>
              <w:rPr>
                <w:rFonts w:ascii="宋体" w:hAnsi="宋体" w:cs="宋体"/>
                <w:b/>
                <w:bCs/>
                <w:color w:val="auto"/>
                <w:szCs w:val="21"/>
              </w:rPr>
            </w:pPr>
            <w:r>
              <w:rPr>
                <w:rFonts w:hint="eastAsia" w:ascii="宋体" w:hAnsi="宋体" w:eastAsia="宋体" w:cs="宋体"/>
                <w:b/>
                <w:bCs/>
                <w:color w:val="auto"/>
                <w:szCs w:val="21"/>
                <w:lang w:val="en-US" w:eastAsia="zh-CN"/>
              </w:rPr>
              <w:t>总计</w:t>
            </w:r>
            <w:r>
              <w:rPr>
                <w:rFonts w:hint="eastAsia" w:ascii="宋体" w:hAnsi="宋体" w:eastAsia="宋体" w:cs="宋体"/>
                <w:b/>
                <w:bCs/>
                <w:color w:val="auto"/>
                <w:szCs w:val="21"/>
              </w:rPr>
              <w:t>金额（元）</w:t>
            </w:r>
          </w:p>
        </w:tc>
        <w:tc>
          <w:tcPr>
            <w:tcW w:w="3067" w:type="pct"/>
            <w:gridSpan w:val="4"/>
            <w:vAlign w:val="center"/>
          </w:tcPr>
          <w:p w14:paraId="57B433C7">
            <w:pPr>
              <w:jc w:val="center"/>
              <w:rPr>
                <w:rFonts w:ascii="宋体" w:hAnsi="宋体" w:eastAsia="宋体"/>
                <w:color w:val="auto"/>
                <w:sz w:val="24"/>
              </w:rPr>
            </w:pPr>
          </w:p>
        </w:tc>
      </w:tr>
    </w:tbl>
    <w:p w14:paraId="5DAE7E52">
      <w:pPr>
        <w:spacing w:line="360" w:lineRule="auto"/>
        <w:ind w:firstLine="4800" w:firstLineChars="2000"/>
        <w:rPr>
          <w:rFonts w:ascii="宋体" w:hAnsi="宋体" w:eastAsia="宋体"/>
          <w:color w:val="auto"/>
          <w:sz w:val="24"/>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p>
    <w:p w14:paraId="6AC23593">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日          期：</w:t>
      </w:r>
      <w:r>
        <w:rPr>
          <w:rFonts w:hint="eastAsia" w:ascii="宋体" w:hAnsi="宋体" w:eastAsia="宋体"/>
          <w:color w:val="auto"/>
          <w:sz w:val="24"/>
          <w:u w:val="single"/>
        </w:rPr>
        <w:t xml:space="preserve">             </w:t>
      </w:r>
    </w:p>
    <w:p w14:paraId="2C64F1A4">
      <w:pPr>
        <w:adjustRightInd w:val="0"/>
        <w:snapToGrid w:val="0"/>
        <w:spacing w:line="360" w:lineRule="auto"/>
        <w:rPr>
          <w:rFonts w:ascii="宋体" w:hAnsi="宋体" w:eastAsia="宋体"/>
          <w:b/>
          <w:bCs/>
          <w:color w:val="auto"/>
          <w:sz w:val="24"/>
          <w:szCs w:val="28"/>
        </w:rPr>
      </w:pPr>
      <w:r>
        <w:rPr>
          <w:rFonts w:hint="eastAsia" w:ascii="宋体" w:hAnsi="宋体" w:eastAsia="宋体"/>
          <w:b/>
          <w:bCs/>
          <w:color w:val="auto"/>
          <w:sz w:val="24"/>
          <w:szCs w:val="28"/>
        </w:rPr>
        <w:t>注：</w:t>
      </w:r>
    </w:p>
    <w:p w14:paraId="73CB1E87">
      <w:pPr>
        <w:adjustRightInd w:val="0"/>
        <w:snapToGrid w:val="0"/>
        <w:spacing w:line="360" w:lineRule="auto"/>
        <w:ind w:firstLine="482" w:firstLineChars="200"/>
        <w:rPr>
          <w:rFonts w:hint="eastAsia" w:ascii="宋体" w:hAnsi="宋体" w:eastAsia="宋体"/>
          <w:b/>
          <w:bCs/>
          <w:color w:val="auto"/>
          <w:sz w:val="24"/>
          <w:szCs w:val="28"/>
        </w:rPr>
      </w:pPr>
      <w:r>
        <w:rPr>
          <w:rFonts w:hint="eastAsia" w:ascii="宋体" w:hAnsi="宋体" w:eastAsia="宋体"/>
          <w:b/>
          <w:bCs/>
          <w:color w:val="auto"/>
          <w:sz w:val="24"/>
          <w:szCs w:val="28"/>
        </w:rPr>
        <w:t>表中所列服务为对应本项目需求的全部服务内容。如有漏项或缺项，供应商承担全部责任。</w:t>
      </w:r>
    </w:p>
    <w:p w14:paraId="5DF06A8D">
      <w:pPr>
        <w:adjustRightInd w:val="0"/>
        <w:snapToGrid w:val="0"/>
        <w:spacing w:line="360" w:lineRule="auto"/>
        <w:ind w:firstLine="482" w:firstLineChars="200"/>
        <w:rPr>
          <w:rFonts w:hint="eastAsia" w:ascii="宋体" w:hAnsi="宋体" w:eastAsia="宋体"/>
          <w:b/>
          <w:bCs/>
          <w:color w:val="auto"/>
          <w:sz w:val="24"/>
          <w:szCs w:val="28"/>
        </w:rPr>
      </w:pPr>
    </w:p>
    <w:p w14:paraId="65DE6B7E">
      <w:pPr>
        <w:widowControl/>
        <w:jc w:val="left"/>
        <w:rPr>
          <w:rFonts w:ascii="宋体" w:hAnsi="宋体" w:eastAsia="宋体"/>
          <w:b/>
          <w:bCs/>
          <w:color w:val="auto"/>
          <w:sz w:val="24"/>
          <w:szCs w:val="28"/>
        </w:rPr>
      </w:pPr>
      <w:r>
        <w:rPr>
          <w:rFonts w:ascii="宋体" w:hAnsi="宋体" w:eastAsia="宋体"/>
          <w:b/>
          <w:bCs/>
          <w:color w:val="auto"/>
          <w:sz w:val="24"/>
          <w:szCs w:val="28"/>
        </w:rPr>
        <w:br w:type="page"/>
      </w:r>
    </w:p>
    <w:p w14:paraId="0D35B554">
      <w:pPr>
        <w:spacing w:line="360" w:lineRule="auto"/>
        <w:jc w:val="center"/>
        <w:outlineLvl w:val="2"/>
        <w:rPr>
          <w:rFonts w:asciiTheme="minorEastAsia" w:hAnsiTheme="minorEastAsia" w:eastAsiaTheme="minorEastAsia"/>
          <w:b/>
          <w:color w:val="auto"/>
          <w:sz w:val="24"/>
        </w:rPr>
      </w:pPr>
      <w:bookmarkStart w:id="232" w:name="_Toc28695"/>
      <w:bookmarkStart w:id="233" w:name="_Toc520983588"/>
      <w:bookmarkStart w:id="234" w:name="_Toc32436"/>
      <w:r>
        <w:rPr>
          <w:rFonts w:hint="eastAsia" w:asciiTheme="minorEastAsia" w:hAnsiTheme="minorEastAsia" w:eastAsiaTheme="minorEastAsia"/>
          <w:b/>
          <w:color w:val="auto"/>
          <w:sz w:val="24"/>
          <w:lang w:val="en-US" w:eastAsia="zh-CN"/>
        </w:rPr>
        <w:t>1-3</w:t>
      </w:r>
      <w:r>
        <w:rPr>
          <w:rFonts w:hint="eastAsia" w:asciiTheme="minorEastAsia" w:hAnsiTheme="minorEastAsia" w:eastAsiaTheme="minorEastAsia"/>
          <w:b/>
          <w:color w:val="auto"/>
          <w:sz w:val="24"/>
        </w:rPr>
        <w:t>最后承诺报价表</w:t>
      </w:r>
      <w:bookmarkEnd w:id="232"/>
      <w:bookmarkEnd w:id="233"/>
      <w:bookmarkEnd w:id="234"/>
    </w:p>
    <w:p w14:paraId="682E5168">
      <w:pPr>
        <w:spacing w:before="156" w:beforeLines="50" w:after="156" w:afterLines="50" w:line="360" w:lineRule="auto"/>
        <w:ind w:firstLine="236" w:firstLineChars="98"/>
        <w:jc w:val="center"/>
        <w:rPr>
          <w:rFonts w:ascii="宋体" w:hAnsi="宋体" w:eastAsia="宋体"/>
          <w:b/>
          <w:color w:val="auto"/>
          <w:sz w:val="24"/>
          <w:szCs w:val="28"/>
        </w:rPr>
      </w:pPr>
      <w:r>
        <w:rPr>
          <w:rFonts w:hint="eastAsia" w:ascii="宋体" w:hAnsi="宋体" w:eastAsia="宋体"/>
          <w:b/>
          <w:color w:val="auto"/>
          <w:sz w:val="24"/>
          <w:szCs w:val="28"/>
        </w:rPr>
        <w:t>（第</w:t>
      </w:r>
      <w:r>
        <w:rPr>
          <w:rFonts w:hint="eastAsia" w:ascii="宋体" w:hAnsi="宋体" w:eastAsia="宋体"/>
          <w:b/>
          <w:color w:val="auto"/>
          <w:sz w:val="24"/>
          <w:szCs w:val="28"/>
          <w:u w:val="single"/>
        </w:rPr>
        <w:t xml:space="preserve">   </w:t>
      </w:r>
      <w:r>
        <w:rPr>
          <w:rFonts w:hint="eastAsia" w:ascii="宋体" w:hAnsi="宋体" w:eastAsia="宋体"/>
          <w:b/>
          <w:color w:val="auto"/>
          <w:sz w:val="24"/>
          <w:szCs w:val="28"/>
        </w:rPr>
        <w:t>次报价书）</w:t>
      </w:r>
    </w:p>
    <w:p w14:paraId="1FCD9D70">
      <w:pPr>
        <w:snapToGrid w:val="0"/>
        <w:spacing w:line="360" w:lineRule="auto"/>
        <w:jc w:val="left"/>
        <w:rPr>
          <w:rFonts w:ascii="宋体" w:hAnsi="宋体" w:eastAsia="宋体"/>
          <w:b/>
          <w:color w:val="auto"/>
          <w:sz w:val="24"/>
          <w:szCs w:val="28"/>
        </w:rPr>
      </w:pPr>
      <w:r>
        <w:rPr>
          <w:rFonts w:hint="eastAsia" w:ascii="宋体" w:hAnsi="宋体" w:eastAsia="宋体"/>
          <w:b/>
          <w:color w:val="auto"/>
          <w:sz w:val="24"/>
          <w:szCs w:val="28"/>
        </w:rPr>
        <w:t>项目名称：</w:t>
      </w:r>
      <w:r>
        <w:rPr>
          <w:rFonts w:hint="eastAsia" w:ascii="宋体" w:hAnsi="宋体" w:eastAsia="宋体"/>
          <w:b/>
          <w:color w:val="auto"/>
          <w:sz w:val="24"/>
          <w:szCs w:val="28"/>
          <w:u w:val="single"/>
        </w:rPr>
        <w:t xml:space="preserve">          </w:t>
      </w:r>
    </w:p>
    <w:p w14:paraId="43A6DEF3">
      <w:pPr>
        <w:snapToGrid w:val="0"/>
        <w:spacing w:after="156" w:afterLines="50" w:line="360" w:lineRule="auto"/>
        <w:jc w:val="left"/>
        <w:rPr>
          <w:rFonts w:ascii="宋体" w:hAnsi="宋体" w:eastAsia="宋体"/>
          <w:b/>
          <w:bCs/>
          <w:color w:val="auto"/>
          <w:sz w:val="24"/>
          <w:szCs w:val="28"/>
        </w:rPr>
      </w:pPr>
      <w:r>
        <w:rPr>
          <w:rFonts w:hint="eastAsia" w:ascii="宋体" w:hAnsi="宋体" w:eastAsia="宋体"/>
          <w:b/>
          <w:color w:val="auto"/>
          <w:sz w:val="24"/>
          <w:szCs w:val="28"/>
        </w:rPr>
        <w:t>项目编号：</w:t>
      </w:r>
      <w:r>
        <w:rPr>
          <w:rFonts w:hint="eastAsia" w:ascii="宋体" w:hAnsi="宋体" w:eastAsia="宋体"/>
          <w:b/>
          <w:color w:val="auto"/>
          <w:sz w:val="24"/>
          <w:szCs w:val="28"/>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0900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2DDCE2A">
            <w:pPr>
              <w:spacing w:line="360" w:lineRule="auto"/>
              <w:jc w:val="center"/>
              <w:rPr>
                <w:rFonts w:ascii="宋体" w:hAnsi="宋体" w:eastAsia="宋体"/>
                <w:b/>
                <w:color w:val="auto"/>
                <w:sz w:val="24"/>
              </w:rPr>
            </w:pPr>
            <w:r>
              <w:rPr>
                <w:rFonts w:hint="eastAsia" w:ascii="宋体" w:hAnsi="宋体" w:eastAsia="宋体"/>
                <w:b/>
                <w:color w:val="auto"/>
                <w:sz w:val="24"/>
              </w:rPr>
              <w:t>供应商名称</w:t>
            </w:r>
          </w:p>
        </w:tc>
        <w:tc>
          <w:tcPr>
            <w:tcW w:w="3557" w:type="pct"/>
            <w:tcBorders>
              <w:left w:val="single" w:color="auto" w:sz="4" w:space="0"/>
            </w:tcBorders>
          </w:tcPr>
          <w:p w14:paraId="34DCA7E0">
            <w:pPr>
              <w:spacing w:line="360" w:lineRule="auto"/>
              <w:rPr>
                <w:rFonts w:ascii="宋体" w:hAnsi="宋体" w:eastAsia="宋体"/>
                <w:b/>
                <w:color w:val="auto"/>
                <w:sz w:val="24"/>
              </w:rPr>
            </w:pPr>
          </w:p>
        </w:tc>
      </w:tr>
      <w:tr w14:paraId="65CB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32ED831">
            <w:pPr>
              <w:spacing w:line="360" w:lineRule="exact"/>
              <w:jc w:val="center"/>
              <w:rPr>
                <w:rFonts w:ascii="宋体" w:hAnsi="宋体" w:eastAsia="宋体"/>
                <w:b/>
                <w:color w:val="auto"/>
                <w:sz w:val="24"/>
              </w:rPr>
            </w:pPr>
            <w:r>
              <w:rPr>
                <w:rFonts w:hint="eastAsia" w:ascii="宋体" w:hAnsi="宋体" w:eastAsia="宋体"/>
                <w:b/>
                <w:bCs/>
                <w:color w:val="auto"/>
                <w:sz w:val="24"/>
                <w:szCs w:val="28"/>
              </w:rPr>
              <w:t>磋商</w:t>
            </w:r>
            <w:r>
              <w:rPr>
                <w:rFonts w:hint="eastAsia" w:ascii="宋体" w:hAnsi="宋体" w:eastAsia="宋体"/>
                <w:b/>
                <w:color w:val="auto"/>
                <w:sz w:val="24"/>
              </w:rPr>
              <w:t>范围</w:t>
            </w:r>
          </w:p>
        </w:tc>
        <w:tc>
          <w:tcPr>
            <w:tcW w:w="3557" w:type="pct"/>
            <w:tcBorders>
              <w:left w:val="single" w:color="auto" w:sz="4" w:space="0"/>
            </w:tcBorders>
            <w:vAlign w:val="center"/>
          </w:tcPr>
          <w:p w14:paraId="02C8B75C">
            <w:pPr>
              <w:widowControl/>
              <w:spacing w:line="360" w:lineRule="exact"/>
              <w:rPr>
                <w:rFonts w:ascii="宋体" w:hAnsi="宋体" w:eastAsia="宋体"/>
                <w:b/>
                <w:color w:val="auto"/>
                <w:sz w:val="24"/>
              </w:rPr>
            </w:pPr>
            <w:r>
              <w:rPr>
                <w:rFonts w:hint="eastAsia" w:asciiTheme="minorEastAsia" w:hAnsiTheme="minorEastAsia" w:eastAsiaTheme="minorEastAsia"/>
                <w:color w:val="auto"/>
                <w:sz w:val="24"/>
                <w:szCs w:val="28"/>
              </w:rPr>
              <w:t>全部</w:t>
            </w:r>
          </w:p>
        </w:tc>
      </w:tr>
      <w:tr w14:paraId="5CAA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D085EC3">
            <w:pPr>
              <w:spacing w:line="360" w:lineRule="auto"/>
              <w:jc w:val="center"/>
              <w:rPr>
                <w:rFonts w:ascii="宋体" w:hAnsi="宋体" w:eastAsia="宋体"/>
                <w:b/>
                <w:color w:val="auto"/>
                <w:sz w:val="24"/>
              </w:rPr>
            </w:pPr>
            <w:r>
              <w:rPr>
                <w:rFonts w:hint="eastAsia" w:ascii="宋体" w:hAnsi="宋体" w:eastAsia="宋体"/>
                <w:b/>
                <w:bCs/>
                <w:color w:val="auto"/>
                <w:sz w:val="24"/>
                <w:szCs w:val="28"/>
              </w:rPr>
              <w:t>最后报价</w:t>
            </w:r>
          </w:p>
          <w:p w14:paraId="6A23D7BD">
            <w:pPr>
              <w:spacing w:line="360" w:lineRule="auto"/>
              <w:jc w:val="center"/>
              <w:rPr>
                <w:rFonts w:ascii="宋体" w:hAnsi="宋体" w:eastAsia="宋体"/>
                <w:b/>
                <w:color w:val="auto"/>
                <w:sz w:val="24"/>
              </w:rPr>
            </w:pPr>
            <w:r>
              <w:rPr>
                <w:rFonts w:hint="eastAsia" w:ascii="宋体" w:hAnsi="宋体" w:eastAsia="宋体"/>
                <w:b/>
                <w:color w:val="auto"/>
                <w:sz w:val="24"/>
              </w:rPr>
              <w:t>（详见备注说明）</w:t>
            </w:r>
          </w:p>
        </w:tc>
        <w:tc>
          <w:tcPr>
            <w:tcW w:w="3557" w:type="pct"/>
            <w:vAlign w:val="center"/>
          </w:tcPr>
          <w:p w14:paraId="2177E73E">
            <w:pPr>
              <w:snapToGrid w:val="0"/>
              <w:spacing w:line="360" w:lineRule="auto"/>
              <w:rPr>
                <w:rFonts w:ascii="宋体" w:hAnsi="宋体" w:eastAsia="宋体"/>
                <w:color w:val="auto"/>
                <w:sz w:val="24"/>
                <w:szCs w:val="28"/>
              </w:rPr>
            </w:pPr>
          </w:p>
          <w:p w14:paraId="7287BB83">
            <w:pPr>
              <w:snapToGrid w:val="0"/>
              <w:spacing w:line="360" w:lineRule="auto"/>
              <w:jc w:val="left"/>
              <w:rPr>
                <w:rFonts w:ascii="宋体" w:hAnsi="宋体" w:eastAsia="宋体" w:cs="宋体"/>
                <w:bCs/>
                <w:color w:val="auto"/>
                <w:sz w:val="24"/>
                <w:szCs w:val="24"/>
                <w:u w:val="single"/>
              </w:rPr>
            </w:pPr>
            <w:r>
              <w:rPr>
                <w:rFonts w:hint="eastAsia" w:ascii="宋体" w:hAnsi="宋体" w:eastAsia="宋体" w:cs="宋体"/>
                <w:bCs/>
                <w:color w:val="auto"/>
                <w:sz w:val="24"/>
                <w:szCs w:val="24"/>
              </w:rPr>
              <w:t>人民币大写：</w:t>
            </w:r>
            <w:r>
              <w:rPr>
                <w:rFonts w:hint="eastAsia" w:ascii="宋体" w:hAnsi="宋体" w:eastAsia="宋体" w:cs="宋体"/>
                <w:bCs/>
                <w:color w:val="auto"/>
                <w:sz w:val="24"/>
                <w:szCs w:val="24"/>
                <w:u w:val="single"/>
              </w:rPr>
              <w:t xml:space="preserve">                     </w:t>
            </w:r>
          </w:p>
          <w:p w14:paraId="4F94AC01">
            <w:pPr>
              <w:spacing w:line="360" w:lineRule="auto"/>
              <w:ind w:right="-670"/>
              <w:rPr>
                <w:rFonts w:ascii="宋体" w:hAnsi="宋体" w:eastAsia="宋体"/>
                <w:b/>
                <w:color w:val="auto"/>
                <w:sz w:val="24"/>
              </w:rPr>
            </w:pPr>
            <w:r>
              <w:rPr>
                <w:rFonts w:hint="eastAsia" w:ascii="宋体" w:hAnsi="宋体" w:eastAsia="宋体" w:cs="宋体"/>
                <w:bCs/>
                <w:color w:val="auto"/>
                <w:sz w:val="24"/>
                <w:szCs w:val="24"/>
              </w:rPr>
              <w:t>人民币小写</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元）</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 xml:space="preserve">                     </w:t>
            </w:r>
          </w:p>
        </w:tc>
      </w:tr>
      <w:tr w14:paraId="1BFF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443" w:type="pct"/>
            <w:vAlign w:val="center"/>
          </w:tcPr>
          <w:p w14:paraId="798EF491">
            <w:pPr>
              <w:spacing w:line="360" w:lineRule="auto"/>
              <w:jc w:val="center"/>
              <w:rPr>
                <w:rFonts w:ascii="宋体" w:hAnsi="宋体" w:eastAsia="宋体"/>
                <w:b/>
                <w:color w:val="auto"/>
                <w:sz w:val="24"/>
              </w:rPr>
            </w:pPr>
            <w:r>
              <w:rPr>
                <w:rFonts w:hint="eastAsia" w:ascii="宋体" w:hAnsi="宋体" w:eastAsia="宋体"/>
                <w:b/>
                <w:color w:val="auto"/>
                <w:sz w:val="24"/>
              </w:rPr>
              <w:t>备注说明</w:t>
            </w:r>
          </w:p>
        </w:tc>
        <w:tc>
          <w:tcPr>
            <w:tcW w:w="3557" w:type="pct"/>
          </w:tcPr>
          <w:p w14:paraId="5A08B2CE">
            <w:pPr>
              <w:spacing w:line="360" w:lineRule="auto"/>
              <w:rPr>
                <w:rFonts w:ascii="宋体" w:hAnsi="宋体" w:eastAsia="宋体"/>
                <w:b/>
                <w:color w:val="auto"/>
                <w:sz w:val="24"/>
              </w:rPr>
            </w:pPr>
            <w:r>
              <w:rPr>
                <w:rFonts w:hint="eastAsia" w:ascii="宋体" w:hAnsi="宋体" w:eastAsia="宋体"/>
                <w:b/>
                <w:i/>
                <w:color w:val="auto"/>
                <w:sz w:val="24"/>
              </w:rPr>
              <w:t>（此处可补充磋商小组根据与供应商磋商情况变动的磋商文件的内容，包括采购需求中的技术、服务要求以及合同草案条款。）</w:t>
            </w:r>
          </w:p>
        </w:tc>
      </w:tr>
      <w:tr w14:paraId="5DF3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43" w:type="pct"/>
            <w:vAlign w:val="center"/>
          </w:tcPr>
          <w:p w14:paraId="65AC5194">
            <w:pPr>
              <w:spacing w:line="360" w:lineRule="auto"/>
              <w:jc w:val="center"/>
              <w:rPr>
                <w:rFonts w:ascii="宋体" w:hAnsi="宋体" w:eastAsia="宋体"/>
                <w:b/>
                <w:color w:val="auto"/>
                <w:sz w:val="24"/>
              </w:rPr>
            </w:pPr>
            <w:r>
              <w:rPr>
                <w:rFonts w:hint="eastAsia" w:ascii="宋体" w:hAnsi="宋体" w:eastAsia="宋体"/>
                <w:b/>
                <w:bCs/>
                <w:color w:val="auto"/>
                <w:sz w:val="24"/>
                <w:szCs w:val="28"/>
              </w:rPr>
              <w:t>磋商小组</w:t>
            </w:r>
            <w:r>
              <w:rPr>
                <w:rFonts w:ascii="宋体" w:hAnsi="宋体" w:eastAsia="宋体"/>
                <w:b/>
                <w:bCs/>
                <w:color w:val="auto"/>
                <w:sz w:val="24"/>
                <w:szCs w:val="28"/>
              </w:rPr>
              <w:t>签字</w:t>
            </w:r>
          </w:p>
        </w:tc>
        <w:tc>
          <w:tcPr>
            <w:tcW w:w="3557" w:type="pct"/>
          </w:tcPr>
          <w:p w14:paraId="270AA4FD">
            <w:pPr>
              <w:spacing w:line="360" w:lineRule="auto"/>
              <w:rPr>
                <w:rFonts w:ascii="宋体" w:hAnsi="宋体" w:eastAsia="宋体"/>
                <w:b/>
                <w:color w:val="auto"/>
                <w:sz w:val="24"/>
              </w:rPr>
            </w:pPr>
          </w:p>
        </w:tc>
      </w:tr>
    </w:tbl>
    <w:p w14:paraId="189F5F28">
      <w:pPr>
        <w:spacing w:line="360" w:lineRule="auto"/>
        <w:ind w:firstLine="3600" w:firstLineChars="1500"/>
        <w:jc w:val="left"/>
        <w:rPr>
          <w:rFonts w:ascii="宋体" w:hAnsi="宋体" w:eastAsia="宋体"/>
          <w:color w:val="auto"/>
          <w:sz w:val="24"/>
        </w:rPr>
      </w:pPr>
      <w:r>
        <w:rPr>
          <w:rFonts w:hint="eastAsia" w:ascii="宋体" w:hAnsi="宋体" w:eastAsia="宋体"/>
          <w:color w:val="auto"/>
          <w:sz w:val="24"/>
        </w:rPr>
        <w:t>供应商公章或授权代表签字：</w:t>
      </w:r>
      <w:r>
        <w:rPr>
          <w:rFonts w:hint="eastAsia" w:ascii="宋体" w:hAnsi="宋体" w:eastAsia="宋体"/>
          <w:color w:val="auto"/>
          <w:sz w:val="24"/>
          <w:u w:val="single"/>
        </w:rPr>
        <w:t xml:space="preserve">             </w:t>
      </w:r>
    </w:p>
    <w:p w14:paraId="6D4AD9DE">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日          期：</w:t>
      </w:r>
      <w:r>
        <w:rPr>
          <w:rFonts w:hint="eastAsia" w:ascii="宋体" w:hAnsi="宋体" w:eastAsia="宋体"/>
          <w:color w:val="auto"/>
          <w:sz w:val="24"/>
          <w:u w:val="single"/>
        </w:rPr>
        <w:t xml:space="preserve">             </w:t>
      </w:r>
    </w:p>
    <w:p w14:paraId="23AA96F2">
      <w:pPr>
        <w:adjustRightInd w:val="0"/>
        <w:snapToGrid w:val="0"/>
        <w:spacing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4CE376E8">
      <w:pPr>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1.本页《报价表》由供应商在接到报价通知后依据磋商情况填写,并在规定</w:t>
      </w:r>
      <w:r>
        <w:rPr>
          <w:rFonts w:hint="eastAsia" w:ascii="宋体" w:hAnsi="宋体" w:eastAsia="宋体" w:cs="宋体"/>
          <w:b/>
          <w:bCs/>
          <w:color w:val="auto"/>
          <w:sz w:val="24"/>
          <w:szCs w:val="24"/>
          <w:highlight w:val="none"/>
          <w:lang w:val="en-US" w:eastAsia="zh-CN"/>
        </w:rPr>
        <w:t>30分钟</w:t>
      </w:r>
      <w:r>
        <w:rPr>
          <w:rFonts w:hint="eastAsia" w:ascii="宋体" w:hAnsi="宋体" w:eastAsia="宋体" w:cs="宋体"/>
          <w:b/>
          <w:bCs/>
          <w:color w:val="auto"/>
          <w:sz w:val="24"/>
          <w:szCs w:val="24"/>
          <w:highlight w:val="none"/>
        </w:rPr>
        <w:t>内提交。</w:t>
      </w:r>
      <w:r>
        <w:rPr>
          <w:rFonts w:hint="eastAsia" w:ascii="宋体" w:hAnsi="宋体" w:eastAsia="宋体" w:cs="宋体"/>
          <w:color w:val="auto"/>
          <w:sz w:val="24"/>
          <w:szCs w:val="24"/>
          <w:highlight w:val="none"/>
        </w:rPr>
        <w:t>考虑磋商报价的方便，供应商在填写最后承诺报价后，（第一次报价-最后承诺报价）除以第一次报价后得出的优惠率视同为需求表中全部分项设备、</w:t>
      </w:r>
      <w:r>
        <w:rPr>
          <w:rFonts w:hint="eastAsia" w:ascii="宋体" w:hAnsi="宋体" w:eastAsia="宋体" w:cs="宋体"/>
          <w:color w:val="auto"/>
          <w:sz w:val="24"/>
          <w:szCs w:val="24"/>
          <w:highlight w:val="none"/>
          <w:lang w:val="en-US" w:eastAsia="zh-CN"/>
        </w:rPr>
        <w:t>工作量的</w:t>
      </w:r>
      <w:r>
        <w:rPr>
          <w:rFonts w:hint="eastAsia" w:ascii="宋体" w:hAnsi="宋体" w:eastAsia="宋体" w:cs="宋体"/>
          <w:color w:val="auto"/>
          <w:sz w:val="24"/>
          <w:szCs w:val="24"/>
          <w:highlight w:val="none"/>
        </w:rPr>
        <w:t>优惠浮动值（特定分项优惠除外），而不考虑措施项目清单和规费税金清单的金额改变。</w:t>
      </w:r>
      <w:r>
        <w:rPr>
          <w:rFonts w:hint="eastAsia" w:ascii="宋体" w:hAnsi="宋体" w:eastAsia="宋体" w:cs="宋体"/>
          <w:bCs/>
          <w:color w:val="auto"/>
          <w:sz w:val="24"/>
          <w:szCs w:val="24"/>
          <w:highlight w:val="none"/>
        </w:rPr>
        <w:t>此优惠率调整原则适用于合同内价格的计算及项目增减、变更时价格的计算。</w:t>
      </w:r>
    </w:p>
    <w:p w14:paraId="00170D94">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50766FB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00BB2A3A">
      <w:pPr>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4.供应商没有参与下一轮报价的，其上一轮报价视为下一轮报价。</w:t>
      </w:r>
    </w:p>
    <w:p w14:paraId="0B4AE306">
      <w:pPr>
        <w:rPr>
          <w:rFonts w:ascii="宋体" w:hAnsi="宋体" w:eastAsia="宋体"/>
          <w:bCs/>
          <w:color w:val="auto"/>
          <w:sz w:val="24"/>
        </w:rPr>
      </w:pPr>
      <w:r>
        <w:rPr>
          <w:rFonts w:ascii="宋体" w:hAnsi="宋体" w:eastAsia="宋体"/>
          <w:bCs/>
          <w:color w:val="auto"/>
          <w:sz w:val="24"/>
        </w:rPr>
        <w:br w:type="page"/>
      </w:r>
    </w:p>
    <w:p w14:paraId="6C2CFFDF">
      <w:pPr>
        <w:spacing w:line="360" w:lineRule="auto"/>
        <w:jc w:val="center"/>
        <w:outlineLvl w:val="1"/>
        <w:rPr>
          <w:rFonts w:asciiTheme="minorEastAsia" w:hAnsiTheme="minorEastAsia" w:eastAsiaTheme="minorEastAsia"/>
          <w:b/>
          <w:color w:val="auto"/>
          <w:sz w:val="24"/>
        </w:rPr>
      </w:pPr>
      <w:bookmarkStart w:id="235" w:name="_Toc11500"/>
      <w:bookmarkStart w:id="236" w:name="_Toc32385"/>
      <w:bookmarkStart w:id="237" w:name="_Toc520983591"/>
      <w:r>
        <w:rPr>
          <w:rFonts w:hint="eastAsia" w:asciiTheme="minorEastAsia" w:hAnsiTheme="minorEastAsia" w:eastAsiaTheme="minorEastAsia"/>
          <w:b/>
          <w:color w:val="auto"/>
          <w:sz w:val="24"/>
          <w:lang w:val="en-US" w:eastAsia="zh-CN"/>
        </w:rPr>
        <w:t>二</w:t>
      </w:r>
      <w:r>
        <w:rPr>
          <w:rFonts w:hint="eastAsia" w:asciiTheme="minorEastAsia" w:hAnsiTheme="minorEastAsia" w:eastAsiaTheme="minorEastAsia"/>
          <w:b/>
          <w:color w:val="auto"/>
          <w:sz w:val="24"/>
        </w:rPr>
        <w:t>、磋商响应函</w:t>
      </w:r>
      <w:bookmarkEnd w:id="235"/>
      <w:bookmarkEnd w:id="236"/>
      <w:bookmarkEnd w:id="237"/>
    </w:p>
    <w:p w14:paraId="23603386">
      <w:pPr>
        <w:pStyle w:val="13"/>
        <w:spacing w:line="360" w:lineRule="auto"/>
        <w:rPr>
          <w:rFonts w:ascii="宋体" w:hAnsi="宋体"/>
          <w:color w:val="auto"/>
          <w:sz w:val="24"/>
        </w:rPr>
      </w:pPr>
      <w:r>
        <w:rPr>
          <w:rFonts w:hint="eastAsia" w:ascii="宋体" w:hAnsi="宋体"/>
          <w:color w:val="auto"/>
          <w:sz w:val="24"/>
        </w:rPr>
        <w:t>致：采购人</w:t>
      </w:r>
    </w:p>
    <w:p w14:paraId="5EB058A0">
      <w:pPr>
        <w:spacing w:line="360" w:lineRule="auto"/>
        <w:ind w:firstLine="480" w:firstLineChars="200"/>
        <w:rPr>
          <w:rFonts w:ascii="宋体" w:hAnsi="宋体" w:eastAsia="宋体"/>
          <w:dstrike/>
          <w:color w:val="auto"/>
          <w:sz w:val="24"/>
          <w:highlight w:val="yellow"/>
        </w:rPr>
      </w:pPr>
      <w:r>
        <w:rPr>
          <w:rFonts w:hint="eastAsia" w:ascii="宋体" w:hAnsi="宋体" w:eastAsia="宋体"/>
          <w:color w:val="auto"/>
          <w:sz w:val="24"/>
        </w:rPr>
        <w:t>根据贵方的</w:t>
      </w:r>
      <w:bookmarkStart w:id="238" w:name="_Hlk44287543"/>
      <w:r>
        <w:rPr>
          <w:rFonts w:hint="eastAsia" w:ascii="宋体" w:hAnsi="宋体" w:eastAsia="宋体"/>
          <w:color w:val="auto"/>
          <w:sz w:val="24"/>
        </w:rPr>
        <w:t>竞争性磋商公告和磋商邀请</w:t>
      </w:r>
      <w:bookmarkEnd w:id="238"/>
      <w:r>
        <w:rPr>
          <w:rFonts w:hint="eastAsia" w:ascii="宋体" w:hAnsi="宋体" w:eastAsia="宋体"/>
          <w:color w:val="auto"/>
          <w:sz w:val="24"/>
        </w:rPr>
        <w:t>，我方兹宣布同意如下：</w:t>
      </w:r>
    </w:p>
    <w:p w14:paraId="3782B4A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宋体" w:hAnsi="宋体" w:eastAsia="宋体" w:cs="宋体"/>
          <w:color w:val="auto"/>
          <w:sz w:val="24"/>
          <w:szCs w:val="24"/>
        </w:rPr>
        <w:t>我方根据磋商文件的规定，严格履行合同的责任和义务,并保证于买方要求的日期内完成，并通过买方验收。</w:t>
      </w:r>
    </w:p>
    <w:p w14:paraId="17DF81E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2.我方已详细审核全部磋商文件，包括磋商文件附件及更正公告（如有），我方正式认可并遵守本次磋商文件，并对磋商文件各项条款、规定及要求均无异议。</w:t>
      </w:r>
    </w:p>
    <w:p w14:paraId="0FF3804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3.我方同意从磋商文件规定的磋商日期起遵循本磋商文件，并在磋商文件规定的磋商有效期之前均具有约束力。</w:t>
      </w:r>
    </w:p>
    <w:p w14:paraId="7FF20D7E">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10DE3BE3">
      <w:pPr>
        <w:spacing w:line="360" w:lineRule="auto"/>
        <w:ind w:firstLine="480" w:firstLineChars="200"/>
        <w:rPr>
          <w:rFonts w:ascii="宋体" w:hAnsi="宋体" w:eastAsia="宋体"/>
          <w:color w:val="auto"/>
          <w:sz w:val="24"/>
        </w:rPr>
      </w:pPr>
    </w:p>
    <w:p w14:paraId="6EE0407A">
      <w:pPr>
        <w:spacing w:line="360" w:lineRule="auto"/>
        <w:ind w:firstLine="4800" w:firstLineChars="2000"/>
        <w:rPr>
          <w:rFonts w:ascii="宋体" w:hAnsi="宋体" w:eastAsia="宋体"/>
          <w:color w:val="auto"/>
          <w:sz w:val="24"/>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p>
    <w:p w14:paraId="6B924975">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日          期：</w:t>
      </w:r>
      <w:r>
        <w:rPr>
          <w:rFonts w:hint="eastAsia" w:ascii="宋体" w:hAnsi="宋体" w:eastAsia="宋体"/>
          <w:color w:val="auto"/>
          <w:sz w:val="24"/>
          <w:u w:val="single"/>
        </w:rPr>
        <w:t xml:space="preserve">             </w:t>
      </w:r>
    </w:p>
    <w:p w14:paraId="05D05986">
      <w:pPr>
        <w:widowControl/>
        <w:jc w:val="left"/>
        <w:rPr>
          <w:rFonts w:ascii="宋体" w:hAnsi="宋体" w:eastAsia="宋体"/>
          <w:color w:val="auto"/>
          <w:sz w:val="24"/>
        </w:rPr>
      </w:pPr>
      <w:r>
        <w:rPr>
          <w:rFonts w:ascii="宋体" w:hAnsi="宋体" w:eastAsia="宋体"/>
          <w:color w:val="auto"/>
          <w:sz w:val="24"/>
        </w:rPr>
        <w:br w:type="page"/>
      </w:r>
    </w:p>
    <w:p w14:paraId="1BE12F69">
      <w:pPr>
        <w:spacing w:line="360" w:lineRule="auto"/>
        <w:jc w:val="center"/>
        <w:outlineLvl w:val="1"/>
        <w:rPr>
          <w:rFonts w:asciiTheme="minorEastAsia" w:hAnsiTheme="minorEastAsia" w:eastAsiaTheme="minorEastAsia"/>
          <w:b/>
          <w:color w:val="auto"/>
          <w:sz w:val="24"/>
        </w:rPr>
      </w:pPr>
      <w:bookmarkStart w:id="239" w:name="_Toc21328"/>
      <w:r>
        <w:rPr>
          <w:rFonts w:hint="eastAsia" w:asciiTheme="minorEastAsia" w:hAnsiTheme="minorEastAsia" w:eastAsiaTheme="minorEastAsia"/>
          <w:b/>
          <w:color w:val="auto"/>
          <w:sz w:val="24"/>
          <w:lang w:val="en-US" w:eastAsia="zh-CN"/>
        </w:rPr>
        <w:t>三</w:t>
      </w:r>
      <w:r>
        <w:rPr>
          <w:rFonts w:hint="eastAsia" w:asciiTheme="minorEastAsia" w:hAnsiTheme="minorEastAsia" w:eastAsiaTheme="minorEastAsia"/>
          <w:b/>
          <w:color w:val="auto"/>
          <w:sz w:val="24"/>
        </w:rPr>
        <w:t>、供应商资格声明书</w:t>
      </w:r>
      <w:bookmarkEnd w:id="239"/>
    </w:p>
    <w:p w14:paraId="758A2A9F">
      <w:pPr>
        <w:pStyle w:val="13"/>
        <w:spacing w:line="360" w:lineRule="auto"/>
        <w:rPr>
          <w:rFonts w:asciiTheme="minorEastAsia" w:hAnsiTheme="minorEastAsia" w:cstheme="minorEastAsia"/>
          <w:color w:val="auto"/>
          <w:sz w:val="24"/>
          <w:szCs w:val="24"/>
        </w:rPr>
      </w:pPr>
      <w:r>
        <w:rPr>
          <w:rFonts w:hint="eastAsia" w:ascii="宋体" w:hAnsi="宋体"/>
          <w:color w:val="auto"/>
          <w:sz w:val="24"/>
        </w:rPr>
        <w:t>致：采购人</w:t>
      </w:r>
    </w:p>
    <w:p w14:paraId="2F0BFEA5">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在参与本次项目磋商中，我单位承诺：</w:t>
      </w:r>
    </w:p>
    <w:p w14:paraId="271D9EFE">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（一）具有良好的商业信誉和健全的财务会计制度；</w:t>
      </w:r>
    </w:p>
    <w:p w14:paraId="057FF4DA">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（二）具有履行合同所必需的设备和专业技术能力；</w:t>
      </w:r>
    </w:p>
    <w:p w14:paraId="072B3B20">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（三）有依法缴纳税收和社会保障资金的良好记录；</w:t>
      </w:r>
    </w:p>
    <w:p w14:paraId="1E5D0505">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4B8201">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（五）我单位不存在为采购项目提供整体设计、规范编制或者项目管理、监理、检测等服务后，再参加该采购项目的其他采购活动的情形（单一来源采购项目除外）；</w:t>
      </w:r>
    </w:p>
    <w:p w14:paraId="6B403F2A">
      <w:pPr>
        <w:widowControl/>
        <w:spacing w:line="360" w:lineRule="auto"/>
        <w:ind w:firstLine="480" w:firstLineChars="200"/>
        <w:jc w:val="left"/>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2857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4" w:type="dxa"/>
          </w:tcPr>
          <w:p w14:paraId="55C92340">
            <w:pPr>
              <w:widowControl/>
              <w:spacing w:line="360" w:lineRule="auto"/>
              <w:jc w:val="center"/>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序号</w:t>
            </w:r>
          </w:p>
        </w:tc>
        <w:tc>
          <w:tcPr>
            <w:tcW w:w="4501" w:type="dxa"/>
          </w:tcPr>
          <w:p w14:paraId="64588C7F">
            <w:pPr>
              <w:pStyle w:val="8"/>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单位名称</w:t>
            </w:r>
          </w:p>
        </w:tc>
        <w:tc>
          <w:tcPr>
            <w:tcW w:w="2681" w:type="dxa"/>
          </w:tcPr>
          <w:p w14:paraId="139441A8">
            <w:pPr>
              <w:pStyle w:val="8"/>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相互关系</w:t>
            </w:r>
          </w:p>
        </w:tc>
      </w:tr>
      <w:tr w14:paraId="1510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FCBB312">
            <w:pPr>
              <w:pStyle w:val="8"/>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1</w:t>
            </w:r>
          </w:p>
        </w:tc>
        <w:tc>
          <w:tcPr>
            <w:tcW w:w="4501" w:type="dxa"/>
          </w:tcPr>
          <w:p w14:paraId="0DB81A22">
            <w:pPr>
              <w:pStyle w:val="8"/>
              <w:jc w:val="center"/>
              <w:rPr>
                <w:rFonts w:asciiTheme="minorEastAsia" w:hAnsiTheme="minorEastAsia" w:eastAsiaTheme="minorEastAsia" w:cstheme="minorEastAsia"/>
                <w:color w:val="auto"/>
                <w:kern w:val="0"/>
                <w:sz w:val="24"/>
                <w:lang w:val="en-US" w:bidi="ar"/>
              </w:rPr>
            </w:pPr>
          </w:p>
        </w:tc>
        <w:tc>
          <w:tcPr>
            <w:tcW w:w="2681" w:type="dxa"/>
          </w:tcPr>
          <w:p w14:paraId="5DE76A5F">
            <w:pPr>
              <w:pStyle w:val="8"/>
              <w:jc w:val="center"/>
              <w:rPr>
                <w:rFonts w:asciiTheme="minorEastAsia" w:hAnsiTheme="minorEastAsia" w:eastAsiaTheme="minorEastAsia" w:cstheme="minorEastAsia"/>
                <w:color w:val="auto"/>
                <w:kern w:val="0"/>
                <w:sz w:val="24"/>
                <w:lang w:val="en-US" w:bidi="ar"/>
              </w:rPr>
            </w:pPr>
          </w:p>
        </w:tc>
      </w:tr>
      <w:tr w14:paraId="7285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4ED08CB">
            <w:pPr>
              <w:pStyle w:val="8"/>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2</w:t>
            </w:r>
          </w:p>
        </w:tc>
        <w:tc>
          <w:tcPr>
            <w:tcW w:w="4501" w:type="dxa"/>
          </w:tcPr>
          <w:p w14:paraId="55848036">
            <w:pPr>
              <w:pStyle w:val="8"/>
              <w:jc w:val="center"/>
              <w:rPr>
                <w:rFonts w:asciiTheme="minorEastAsia" w:hAnsiTheme="minorEastAsia" w:eastAsiaTheme="minorEastAsia" w:cstheme="minorEastAsia"/>
                <w:color w:val="auto"/>
                <w:kern w:val="0"/>
                <w:sz w:val="24"/>
                <w:lang w:val="en-US" w:bidi="ar"/>
              </w:rPr>
            </w:pPr>
          </w:p>
        </w:tc>
        <w:tc>
          <w:tcPr>
            <w:tcW w:w="2681" w:type="dxa"/>
          </w:tcPr>
          <w:p w14:paraId="56CAD127">
            <w:pPr>
              <w:pStyle w:val="8"/>
              <w:jc w:val="center"/>
              <w:rPr>
                <w:rFonts w:asciiTheme="minorEastAsia" w:hAnsiTheme="minorEastAsia" w:eastAsiaTheme="minorEastAsia" w:cstheme="minorEastAsia"/>
                <w:color w:val="auto"/>
                <w:kern w:val="0"/>
                <w:sz w:val="24"/>
                <w:lang w:val="en-US" w:bidi="ar"/>
              </w:rPr>
            </w:pPr>
          </w:p>
        </w:tc>
      </w:tr>
    </w:tbl>
    <w:p w14:paraId="129B81A0">
      <w:pPr>
        <w:spacing w:line="360" w:lineRule="auto"/>
        <w:ind w:firstLine="435"/>
        <w:rPr>
          <w:rFonts w:ascii="宋体" w:hAnsi="宋体" w:eastAsia="宋体"/>
          <w:color w:val="auto"/>
          <w:sz w:val="24"/>
        </w:rPr>
      </w:pPr>
      <w:r>
        <w:rPr>
          <w:rFonts w:hint="eastAsia" w:ascii="宋体" w:hAnsi="宋体" w:eastAsia="宋体"/>
          <w:color w:val="auto"/>
          <w:sz w:val="24"/>
        </w:rPr>
        <w:t>本单位对</w:t>
      </w:r>
      <w:r>
        <w:rPr>
          <w:rFonts w:hint="eastAsia" w:asciiTheme="minorEastAsia" w:hAnsiTheme="minorEastAsia" w:eastAsiaTheme="minorEastAsia"/>
          <w:color w:val="auto"/>
          <w:sz w:val="24"/>
        </w:rPr>
        <w:t>上述</w:t>
      </w:r>
      <w:r>
        <w:rPr>
          <w:rFonts w:hint="eastAsia" w:ascii="宋体" w:hAnsi="宋体" w:eastAsia="宋体"/>
          <w:color w:val="auto"/>
          <w:sz w:val="24"/>
        </w:rPr>
        <w:t>声明的真实性负责。如有虚假，将依法承担相应责任。</w:t>
      </w:r>
    </w:p>
    <w:p w14:paraId="669C2E61">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4B49E750">
      <w:pPr>
        <w:tabs>
          <w:tab w:val="left" w:pos="630"/>
        </w:tabs>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 xml:space="preserve">日     </w:t>
      </w:r>
      <w:r>
        <w:rPr>
          <w:rFonts w:ascii="宋体" w:hAnsi="宋体" w:eastAsia="宋体"/>
          <w:color w:val="auto"/>
          <w:sz w:val="24"/>
        </w:rPr>
        <w:t xml:space="preserve">    </w:t>
      </w:r>
      <w:r>
        <w:rPr>
          <w:rFonts w:hint="eastAsia" w:ascii="宋体" w:hAnsi="宋体" w:eastAsia="宋体"/>
          <w:color w:val="auto"/>
          <w:sz w:val="24"/>
        </w:rPr>
        <w:t xml:space="preserve"> 期：</w:t>
      </w:r>
      <w:r>
        <w:rPr>
          <w:rFonts w:hint="eastAsia" w:ascii="宋体" w:hAnsi="宋体" w:eastAsia="宋体"/>
          <w:color w:val="auto"/>
          <w:sz w:val="24"/>
          <w:u w:val="single"/>
        </w:rPr>
        <w:t xml:space="preserve">             </w:t>
      </w:r>
    </w:p>
    <w:p w14:paraId="1CA5594D">
      <w:pPr>
        <w:spacing w:line="440" w:lineRule="exact"/>
        <w:ind w:firstLine="4800" w:firstLineChars="2000"/>
        <w:rPr>
          <w:rFonts w:ascii="宋体" w:hAnsi="宋体" w:eastAsia="宋体"/>
          <w:color w:val="auto"/>
          <w:sz w:val="24"/>
          <w:szCs w:val="24"/>
          <w:u w:val="single"/>
        </w:rPr>
      </w:pPr>
    </w:p>
    <w:p w14:paraId="6017F7C3">
      <w:pPr>
        <w:widowControl/>
        <w:jc w:val="left"/>
        <w:rPr>
          <w:rFonts w:ascii="宋体" w:hAnsi="宋体" w:eastAsia="宋体"/>
          <w:color w:val="auto"/>
          <w:sz w:val="24"/>
        </w:rPr>
      </w:pPr>
      <w:r>
        <w:rPr>
          <w:rFonts w:ascii="宋体" w:hAnsi="宋体" w:eastAsia="宋体"/>
          <w:color w:val="auto"/>
          <w:sz w:val="24"/>
        </w:rPr>
        <w:br w:type="page"/>
      </w:r>
    </w:p>
    <w:p w14:paraId="1D5E190C">
      <w:pPr>
        <w:spacing w:line="360" w:lineRule="auto"/>
        <w:jc w:val="center"/>
        <w:outlineLvl w:val="1"/>
        <w:rPr>
          <w:rFonts w:asciiTheme="minorEastAsia" w:hAnsiTheme="minorEastAsia" w:eastAsiaTheme="minorEastAsia"/>
          <w:b/>
          <w:color w:val="auto"/>
          <w:sz w:val="24"/>
        </w:rPr>
      </w:pPr>
      <w:bookmarkStart w:id="240" w:name="_Toc31518"/>
      <w:bookmarkStart w:id="241" w:name="_Toc516969106"/>
      <w:bookmarkStart w:id="242" w:name="_Toc121626298"/>
      <w:bookmarkStart w:id="243" w:name="_Toc520983594"/>
      <w:bookmarkStart w:id="244" w:name="_Toc26922"/>
      <w:bookmarkStart w:id="245" w:name="_Toc204594911"/>
      <w:r>
        <w:rPr>
          <w:rFonts w:hint="eastAsia" w:asciiTheme="minorEastAsia" w:hAnsiTheme="minorEastAsia" w:eastAsiaTheme="minorEastAsia"/>
          <w:b/>
          <w:color w:val="auto"/>
          <w:sz w:val="24"/>
          <w:lang w:val="en-US" w:eastAsia="zh-CN"/>
        </w:rPr>
        <w:t>四</w:t>
      </w:r>
      <w:r>
        <w:rPr>
          <w:rFonts w:hint="eastAsia" w:asciiTheme="minorEastAsia" w:hAnsiTheme="minorEastAsia" w:eastAsiaTheme="minorEastAsia"/>
          <w:b/>
          <w:color w:val="auto"/>
          <w:sz w:val="24"/>
        </w:rPr>
        <w:t>、授权书</w:t>
      </w:r>
      <w:bookmarkEnd w:id="240"/>
      <w:bookmarkEnd w:id="241"/>
      <w:bookmarkEnd w:id="242"/>
      <w:bookmarkEnd w:id="243"/>
      <w:bookmarkEnd w:id="244"/>
      <w:bookmarkEnd w:id="245"/>
    </w:p>
    <w:p w14:paraId="4CA593D9">
      <w:pPr>
        <w:spacing w:line="360" w:lineRule="auto"/>
        <w:jc w:val="center"/>
        <w:rPr>
          <w:rFonts w:asciiTheme="minorEastAsia" w:hAnsiTheme="minorEastAsia" w:eastAsiaTheme="minorEastAsia"/>
          <w:b/>
          <w:color w:val="auto"/>
          <w:sz w:val="24"/>
        </w:rPr>
      </w:pPr>
    </w:p>
    <w:p w14:paraId="5A2358E0">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6EE31C3A">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14:paraId="3202DAD7">
      <w:pPr>
        <w:pStyle w:val="12"/>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14:paraId="586BE512">
      <w:pPr>
        <w:pStyle w:val="12"/>
        <w:snapToGrid w:val="0"/>
        <w:spacing w:line="360" w:lineRule="auto"/>
        <w:ind w:firstLine="480" w:firstLineChars="200"/>
        <w:jc w:val="left"/>
        <w:rPr>
          <w:rFonts w:hAnsi="宋体" w:eastAsia="宋体"/>
          <w:color w:val="auto"/>
          <w:sz w:val="24"/>
        </w:rPr>
      </w:pPr>
    </w:p>
    <w:p w14:paraId="64FBE164">
      <w:pPr>
        <w:pStyle w:val="12"/>
        <w:snapToGrid w:val="0"/>
        <w:spacing w:line="360" w:lineRule="auto"/>
        <w:ind w:firstLine="480" w:firstLineChars="200"/>
        <w:jc w:val="left"/>
        <w:rPr>
          <w:rFonts w:hAnsi="宋体" w:eastAsia="宋体"/>
          <w:color w:val="auto"/>
          <w:sz w:val="24"/>
        </w:rPr>
      </w:pPr>
    </w:p>
    <w:p w14:paraId="16C75D15">
      <w:pPr>
        <w:pStyle w:val="12"/>
        <w:snapToGrid w:val="0"/>
        <w:spacing w:line="360" w:lineRule="auto"/>
        <w:ind w:firstLine="480" w:firstLineChars="200"/>
        <w:jc w:val="left"/>
        <w:rPr>
          <w:rFonts w:hAnsi="宋体" w:eastAsia="宋体"/>
          <w:color w:val="auto"/>
          <w:sz w:val="24"/>
        </w:rPr>
      </w:pPr>
    </w:p>
    <w:p w14:paraId="3793B547">
      <w:pPr>
        <w:pStyle w:val="12"/>
        <w:snapToGrid w:val="0"/>
        <w:spacing w:line="360" w:lineRule="auto"/>
        <w:ind w:firstLine="480" w:firstLineChars="200"/>
        <w:jc w:val="left"/>
        <w:rPr>
          <w:rFonts w:hAnsi="宋体" w:eastAsia="宋体"/>
          <w:color w:val="auto"/>
          <w:sz w:val="24"/>
        </w:rPr>
      </w:pPr>
    </w:p>
    <w:p w14:paraId="3DF6DE73">
      <w:pPr>
        <w:pStyle w:val="12"/>
        <w:snapToGrid w:val="0"/>
        <w:spacing w:line="360" w:lineRule="auto"/>
        <w:ind w:firstLine="480" w:firstLineChars="200"/>
        <w:jc w:val="left"/>
        <w:rPr>
          <w:rFonts w:hAnsi="宋体" w:eastAsia="宋体"/>
          <w:color w:val="auto"/>
          <w:sz w:val="24"/>
          <w:szCs w:val="28"/>
          <w:u w:val="single"/>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（请填写手机号码）</w:t>
      </w:r>
    </w:p>
    <w:p w14:paraId="6DC12FA0">
      <w:pPr>
        <w:pStyle w:val="12"/>
        <w:snapToGrid w:val="0"/>
        <w:spacing w:line="360" w:lineRule="auto"/>
        <w:ind w:firstLine="480" w:firstLineChars="200"/>
        <w:jc w:val="left"/>
        <w:rPr>
          <w:rFonts w:hAnsi="宋体" w:eastAsia="宋体"/>
          <w:color w:val="auto"/>
          <w:sz w:val="24"/>
          <w:szCs w:val="28"/>
        </w:rPr>
      </w:pPr>
    </w:p>
    <w:p w14:paraId="7273C6B1">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14:paraId="23BE71DE">
      <w:pPr>
        <w:spacing w:line="360" w:lineRule="auto"/>
        <w:rPr>
          <w:rFonts w:ascii="宋体" w:hAnsi="宋体" w:eastAsia="宋体"/>
          <w:color w:val="auto"/>
          <w:sz w:val="24"/>
          <w:szCs w:val="28"/>
        </w:rPr>
      </w:pPr>
    </w:p>
    <w:p w14:paraId="337DE15C">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5E2418B7">
      <w:pPr>
        <w:tabs>
          <w:tab w:val="left" w:pos="630"/>
        </w:tabs>
        <w:spacing w:line="360" w:lineRule="auto"/>
        <w:ind w:firstLine="4800" w:firstLineChars="2000"/>
        <w:rPr>
          <w:rFonts w:ascii="宋体" w:hAnsi="宋体" w:eastAsia="宋体"/>
          <w:color w:val="auto"/>
          <w:sz w:val="24"/>
          <w:szCs w:val="28"/>
        </w:rPr>
      </w:pPr>
      <w:r>
        <w:rPr>
          <w:rFonts w:hint="eastAsia" w:ascii="宋体" w:hAnsi="宋体" w:eastAsia="宋体"/>
          <w:color w:val="auto"/>
          <w:sz w:val="24"/>
        </w:rPr>
        <w:t xml:space="preserve">日     </w:t>
      </w:r>
      <w:r>
        <w:rPr>
          <w:rFonts w:ascii="宋体" w:hAnsi="宋体" w:eastAsia="宋体"/>
          <w:color w:val="auto"/>
          <w:sz w:val="24"/>
        </w:rPr>
        <w:t xml:space="preserve">    </w:t>
      </w:r>
      <w:r>
        <w:rPr>
          <w:rFonts w:hint="eastAsia" w:ascii="宋体" w:hAnsi="宋体" w:eastAsia="宋体"/>
          <w:color w:val="auto"/>
          <w:sz w:val="24"/>
        </w:rPr>
        <w:t xml:space="preserve"> 期：</w:t>
      </w:r>
      <w:r>
        <w:rPr>
          <w:rFonts w:hint="eastAsia" w:ascii="宋体" w:hAnsi="宋体" w:eastAsia="宋体"/>
          <w:color w:val="auto"/>
          <w:sz w:val="24"/>
          <w:u w:val="single"/>
        </w:rPr>
        <w:t xml:space="preserve">             </w:t>
      </w:r>
    </w:p>
    <w:p w14:paraId="6FD45EA1">
      <w:pPr>
        <w:spacing w:line="360" w:lineRule="auto"/>
        <w:rPr>
          <w:rFonts w:ascii="宋体" w:hAnsi="宋体" w:eastAsia="宋体"/>
          <w:color w:val="auto"/>
          <w:sz w:val="24"/>
          <w:szCs w:val="28"/>
        </w:rPr>
      </w:pPr>
    </w:p>
    <w:p w14:paraId="21344240">
      <w:pPr>
        <w:spacing w:line="360" w:lineRule="auto"/>
        <w:rPr>
          <w:rFonts w:ascii="宋体" w:hAnsi="宋体" w:eastAsia="宋体"/>
          <w:color w:val="auto"/>
          <w:sz w:val="24"/>
          <w:szCs w:val="28"/>
        </w:rPr>
      </w:pPr>
    </w:p>
    <w:p w14:paraId="55CB6A1B">
      <w:pPr>
        <w:pStyle w:val="12"/>
        <w:snapToGrid w:val="0"/>
        <w:spacing w:line="360" w:lineRule="auto"/>
        <w:jc w:val="left"/>
        <w:rPr>
          <w:rFonts w:hAnsi="宋体" w:eastAsia="宋体"/>
          <w:color w:val="auto"/>
          <w:sz w:val="24"/>
          <w:szCs w:val="28"/>
        </w:rPr>
      </w:pPr>
      <w:r>
        <w:rPr>
          <w:rFonts w:hint="eastAsia" w:hAnsi="宋体" w:eastAsia="宋体"/>
          <w:color w:val="auto"/>
          <w:sz w:val="24"/>
          <w:szCs w:val="28"/>
        </w:rPr>
        <w:t>注：</w:t>
      </w:r>
    </w:p>
    <w:p w14:paraId="0FA2B2BF">
      <w:pPr>
        <w:pStyle w:val="12"/>
        <w:snapToGrid w:val="0"/>
        <w:spacing w:line="360" w:lineRule="auto"/>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14:paraId="31A8F354">
      <w:pPr>
        <w:spacing w:line="360" w:lineRule="auto"/>
        <w:jc w:val="left"/>
        <w:rPr>
          <w:rFonts w:ascii="宋体" w:hAnsi="宋体" w:eastAsia="宋体"/>
          <w:color w:val="auto"/>
          <w:sz w:val="24"/>
        </w:rPr>
      </w:pPr>
      <w:r>
        <w:rPr>
          <w:rFonts w:hint="eastAsia" w:ascii="宋体" w:hAnsi="宋体" w:eastAsia="宋体"/>
          <w:color w:val="auto"/>
          <w:sz w:val="24"/>
        </w:rPr>
        <w:t>2.法定代表人参加磋商的无需提供授权书，仅提供身份证明扫描件。</w:t>
      </w:r>
    </w:p>
    <w:p w14:paraId="35B3349A">
      <w:pPr>
        <w:widowControl/>
        <w:jc w:val="left"/>
        <w:rPr>
          <w:rFonts w:ascii="宋体" w:hAnsi="宋体" w:eastAsia="宋体"/>
          <w:color w:val="auto"/>
          <w:sz w:val="24"/>
        </w:rPr>
      </w:pPr>
      <w:r>
        <w:rPr>
          <w:rFonts w:ascii="宋体" w:hAnsi="宋体" w:eastAsia="宋体"/>
          <w:color w:val="auto"/>
          <w:sz w:val="24"/>
        </w:rPr>
        <w:br w:type="page"/>
      </w:r>
    </w:p>
    <w:p w14:paraId="62AF586C">
      <w:pPr>
        <w:spacing w:line="360" w:lineRule="auto"/>
        <w:jc w:val="center"/>
        <w:outlineLvl w:val="1"/>
        <w:rPr>
          <w:rFonts w:asciiTheme="minorEastAsia" w:hAnsiTheme="minorEastAsia" w:eastAsiaTheme="minorEastAsia"/>
          <w:b/>
          <w:color w:val="auto"/>
          <w:sz w:val="24"/>
        </w:rPr>
      </w:pPr>
      <w:bookmarkStart w:id="246" w:name="_Toc22233"/>
      <w:bookmarkStart w:id="247" w:name="_Toc28033"/>
      <w:r>
        <w:rPr>
          <w:rFonts w:hint="eastAsia" w:asciiTheme="minorEastAsia" w:hAnsiTheme="minorEastAsia" w:eastAsiaTheme="minorEastAsia"/>
          <w:b/>
          <w:color w:val="auto"/>
          <w:sz w:val="24"/>
          <w:lang w:val="en-US" w:eastAsia="zh-CN"/>
        </w:rPr>
        <w:t>五</w:t>
      </w:r>
      <w:r>
        <w:rPr>
          <w:rFonts w:hint="eastAsia" w:asciiTheme="minorEastAsia" w:hAnsiTheme="minorEastAsia" w:eastAsiaTheme="minorEastAsia"/>
          <w:b/>
          <w:color w:val="auto"/>
          <w:sz w:val="24"/>
        </w:rPr>
        <w:t>、磋商响应表</w:t>
      </w:r>
      <w:bookmarkEnd w:id="246"/>
      <w:bookmarkEnd w:id="247"/>
    </w:p>
    <w:p w14:paraId="2703B4DB">
      <w:pPr>
        <w:spacing w:line="360" w:lineRule="auto"/>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6</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D70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1896106">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序号</w:t>
            </w:r>
          </w:p>
        </w:tc>
        <w:tc>
          <w:tcPr>
            <w:tcW w:w="1124" w:type="pct"/>
            <w:vAlign w:val="center"/>
          </w:tcPr>
          <w:p w14:paraId="0EAC97AE">
            <w:pPr>
              <w:pStyle w:val="12"/>
              <w:jc w:val="center"/>
              <w:rPr>
                <w:rFonts w:cs="Wingdings" w:asciiTheme="minorEastAsia" w:hAnsiTheme="minorEastAsia"/>
                <w:b/>
                <w:color w:val="auto"/>
                <w:sz w:val="24"/>
              </w:rPr>
            </w:pPr>
            <w:r>
              <w:rPr>
                <w:rFonts w:hint="eastAsia" w:asciiTheme="minorEastAsia" w:hAnsiTheme="minorEastAsia"/>
                <w:b/>
                <w:bCs/>
                <w:color w:val="auto"/>
                <w:sz w:val="24"/>
                <w:szCs w:val="24"/>
              </w:rPr>
              <w:t>商务条款</w:t>
            </w:r>
          </w:p>
        </w:tc>
        <w:tc>
          <w:tcPr>
            <w:tcW w:w="1465" w:type="pct"/>
            <w:vAlign w:val="center"/>
          </w:tcPr>
          <w:p w14:paraId="013CC689">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磋商文件要求</w:t>
            </w:r>
          </w:p>
        </w:tc>
        <w:tc>
          <w:tcPr>
            <w:tcW w:w="1510" w:type="pct"/>
            <w:vAlign w:val="center"/>
          </w:tcPr>
          <w:p w14:paraId="78DD93A4">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供应商承诺</w:t>
            </w:r>
          </w:p>
        </w:tc>
        <w:tc>
          <w:tcPr>
            <w:tcW w:w="475" w:type="pct"/>
            <w:vAlign w:val="center"/>
          </w:tcPr>
          <w:p w14:paraId="17977EAD">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偏离说明</w:t>
            </w:r>
          </w:p>
        </w:tc>
      </w:tr>
      <w:tr w14:paraId="68B9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B9A70C7">
            <w:pPr>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1124" w:type="pct"/>
            <w:vAlign w:val="center"/>
          </w:tcPr>
          <w:p w14:paraId="12E6E093">
            <w:pPr>
              <w:jc w:val="center"/>
              <w:rPr>
                <w:rFonts w:ascii="宋体" w:hAnsi="宋体" w:eastAsia="宋体"/>
                <w:color w:val="auto"/>
                <w:sz w:val="24"/>
              </w:rPr>
            </w:pPr>
            <w:r>
              <w:rPr>
                <w:rFonts w:asciiTheme="minorEastAsia" w:hAnsiTheme="minorEastAsia" w:eastAsiaTheme="minorEastAsia"/>
                <w:color w:val="auto"/>
                <w:sz w:val="24"/>
              </w:rPr>
              <w:t>付款方式</w:t>
            </w:r>
          </w:p>
        </w:tc>
        <w:tc>
          <w:tcPr>
            <w:tcW w:w="1465" w:type="pct"/>
            <w:vAlign w:val="center"/>
          </w:tcPr>
          <w:p w14:paraId="20F2A8A8">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满足磋商文件要求</w:t>
            </w:r>
          </w:p>
        </w:tc>
        <w:tc>
          <w:tcPr>
            <w:tcW w:w="1510" w:type="pct"/>
            <w:vAlign w:val="center"/>
          </w:tcPr>
          <w:p w14:paraId="3A9CEC5E">
            <w:pPr>
              <w:jc w:val="center"/>
              <w:rPr>
                <w:rFonts w:asciiTheme="minorEastAsia" w:hAnsiTheme="minorEastAsia" w:eastAsiaTheme="minorEastAsia"/>
                <w:color w:val="auto"/>
                <w:sz w:val="24"/>
              </w:rPr>
            </w:pPr>
          </w:p>
        </w:tc>
        <w:tc>
          <w:tcPr>
            <w:tcW w:w="475" w:type="pct"/>
            <w:vAlign w:val="center"/>
          </w:tcPr>
          <w:p w14:paraId="6C7335E0">
            <w:pPr>
              <w:jc w:val="center"/>
              <w:rPr>
                <w:rFonts w:asciiTheme="minorEastAsia" w:hAnsiTheme="minorEastAsia" w:eastAsiaTheme="minorEastAsia"/>
                <w:color w:val="auto"/>
                <w:sz w:val="24"/>
              </w:rPr>
            </w:pPr>
          </w:p>
        </w:tc>
      </w:tr>
      <w:tr w14:paraId="2EFD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4E712CD">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124" w:type="pct"/>
            <w:vAlign w:val="center"/>
          </w:tcPr>
          <w:p w14:paraId="262D9E9F">
            <w:pPr>
              <w:jc w:val="center"/>
              <w:rPr>
                <w:rFonts w:ascii="宋体" w:hAnsi="宋体" w:eastAsia="宋体"/>
                <w:color w:val="auto"/>
                <w:sz w:val="24"/>
              </w:rPr>
            </w:pPr>
            <w:r>
              <w:rPr>
                <w:rFonts w:hint="eastAsia" w:ascii="宋体" w:hAnsi="宋体" w:eastAsia="宋体"/>
                <w:color w:val="auto"/>
                <w:sz w:val="24"/>
              </w:rPr>
              <w:t>服务地点</w:t>
            </w:r>
          </w:p>
        </w:tc>
        <w:tc>
          <w:tcPr>
            <w:tcW w:w="1465" w:type="pct"/>
            <w:vAlign w:val="center"/>
          </w:tcPr>
          <w:p w14:paraId="373BEB32">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满足磋商文件要求</w:t>
            </w:r>
          </w:p>
        </w:tc>
        <w:tc>
          <w:tcPr>
            <w:tcW w:w="1510" w:type="pct"/>
            <w:vAlign w:val="center"/>
          </w:tcPr>
          <w:p w14:paraId="2EDA0C84">
            <w:pPr>
              <w:jc w:val="center"/>
              <w:rPr>
                <w:rFonts w:asciiTheme="minorEastAsia" w:hAnsiTheme="minorEastAsia" w:eastAsiaTheme="minorEastAsia"/>
                <w:color w:val="auto"/>
                <w:sz w:val="24"/>
              </w:rPr>
            </w:pPr>
          </w:p>
        </w:tc>
        <w:tc>
          <w:tcPr>
            <w:tcW w:w="475" w:type="pct"/>
            <w:vAlign w:val="center"/>
          </w:tcPr>
          <w:p w14:paraId="4AF3C89F">
            <w:pPr>
              <w:jc w:val="center"/>
              <w:rPr>
                <w:rFonts w:asciiTheme="minorEastAsia" w:hAnsiTheme="minorEastAsia" w:eastAsiaTheme="minorEastAsia"/>
                <w:color w:val="auto"/>
                <w:sz w:val="24"/>
              </w:rPr>
            </w:pPr>
          </w:p>
        </w:tc>
      </w:tr>
      <w:tr w14:paraId="159B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EC658DF">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124" w:type="pct"/>
            <w:vAlign w:val="center"/>
          </w:tcPr>
          <w:p w14:paraId="2BC5F5CD">
            <w:pPr>
              <w:jc w:val="center"/>
              <w:rPr>
                <w:rFonts w:ascii="宋体" w:hAnsi="宋体" w:eastAsia="宋体"/>
                <w:color w:val="auto"/>
                <w:sz w:val="24"/>
              </w:rPr>
            </w:pPr>
            <w:r>
              <w:rPr>
                <w:rFonts w:hint="eastAsia" w:ascii="宋体" w:hAnsi="宋体" w:eastAsia="宋体"/>
                <w:color w:val="auto"/>
                <w:sz w:val="24"/>
              </w:rPr>
              <w:t>服务期限</w:t>
            </w:r>
          </w:p>
        </w:tc>
        <w:tc>
          <w:tcPr>
            <w:tcW w:w="1465" w:type="pct"/>
            <w:vAlign w:val="center"/>
          </w:tcPr>
          <w:p w14:paraId="4E410ED5">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满足磋商文件要求</w:t>
            </w:r>
          </w:p>
        </w:tc>
        <w:tc>
          <w:tcPr>
            <w:tcW w:w="1510" w:type="pct"/>
            <w:vAlign w:val="center"/>
          </w:tcPr>
          <w:p w14:paraId="16DACC80">
            <w:pPr>
              <w:pStyle w:val="48"/>
              <w:jc w:val="center"/>
              <w:rPr>
                <w:rFonts w:asciiTheme="minorEastAsia" w:hAnsiTheme="minorEastAsia" w:eastAsiaTheme="minorEastAsia"/>
                <w:color w:val="auto"/>
              </w:rPr>
            </w:pPr>
          </w:p>
        </w:tc>
        <w:tc>
          <w:tcPr>
            <w:tcW w:w="475" w:type="pct"/>
            <w:vAlign w:val="center"/>
          </w:tcPr>
          <w:p w14:paraId="77A48A8E">
            <w:pPr>
              <w:jc w:val="center"/>
              <w:rPr>
                <w:rFonts w:asciiTheme="minorEastAsia" w:hAnsiTheme="minorEastAsia" w:eastAsiaTheme="minorEastAsia"/>
                <w:color w:val="auto"/>
                <w:sz w:val="24"/>
              </w:rPr>
            </w:pPr>
          </w:p>
        </w:tc>
      </w:tr>
    </w:tbl>
    <w:p w14:paraId="2C41E3F7">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23C58BD7">
      <w:pPr>
        <w:tabs>
          <w:tab w:val="left" w:pos="630"/>
        </w:tabs>
        <w:spacing w:line="360" w:lineRule="auto"/>
        <w:ind w:firstLine="4800" w:firstLineChars="2000"/>
        <w:rPr>
          <w:rFonts w:asciiTheme="minorEastAsia" w:hAnsiTheme="minorEastAsia" w:eastAsiaTheme="minorEastAsia"/>
          <w:color w:val="auto"/>
          <w:sz w:val="24"/>
        </w:rPr>
      </w:pPr>
      <w:r>
        <w:rPr>
          <w:rFonts w:hint="eastAsia" w:ascii="宋体" w:hAnsi="宋体" w:eastAsia="宋体"/>
          <w:color w:val="auto"/>
          <w:sz w:val="24"/>
        </w:rPr>
        <w:t xml:space="preserve">日     </w:t>
      </w:r>
      <w:r>
        <w:rPr>
          <w:rFonts w:ascii="宋体" w:hAnsi="宋体" w:eastAsia="宋体"/>
          <w:color w:val="auto"/>
          <w:sz w:val="24"/>
        </w:rPr>
        <w:t xml:space="preserve">    </w:t>
      </w:r>
      <w:r>
        <w:rPr>
          <w:rFonts w:hint="eastAsia" w:ascii="宋体" w:hAnsi="宋体" w:eastAsia="宋体"/>
          <w:color w:val="auto"/>
          <w:sz w:val="24"/>
        </w:rPr>
        <w:t xml:space="preserve"> 期：</w:t>
      </w:r>
      <w:r>
        <w:rPr>
          <w:rFonts w:hint="eastAsia" w:ascii="宋体" w:hAnsi="宋体" w:eastAsia="宋体"/>
          <w:color w:val="auto"/>
          <w:sz w:val="24"/>
          <w:u w:val="single"/>
        </w:rPr>
        <w:t xml:space="preserve">             </w:t>
      </w:r>
    </w:p>
    <w:p w14:paraId="136406C6">
      <w:pPr>
        <w:pStyle w:val="13"/>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351A28FD">
      <w:pPr>
        <w:spacing w:line="360" w:lineRule="auto"/>
        <w:jc w:val="center"/>
        <w:outlineLvl w:val="1"/>
        <w:rPr>
          <w:rFonts w:asciiTheme="minorEastAsia" w:hAnsiTheme="minorEastAsia" w:eastAsiaTheme="minorEastAsia"/>
          <w:b/>
          <w:color w:val="auto"/>
          <w:sz w:val="24"/>
        </w:rPr>
      </w:pPr>
      <w:bookmarkStart w:id="248" w:name="_Toc6445"/>
      <w:bookmarkStart w:id="249" w:name="_Toc17888"/>
      <w:bookmarkStart w:id="250" w:name="_Hlk60608597"/>
      <w:r>
        <w:rPr>
          <w:rFonts w:hint="eastAsia" w:asciiTheme="minorEastAsia" w:hAnsiTheme="minorEastAsia" w:eastAsiaTheme="minorEastAsia"/>
          <w:b/>
          <w:color w:val="auto"/>
          <w:sz w:val="24"/>
          <w:lang w:val="en-US" w:eastAsia="zh-CN"/>
        </w:rPr>
        <w:t>六</w:t>
      </w:r>
      <w:r>
        <w:rPr>
          <w:rFonts w:hint="eastAsia" w:asciiTheme="minorEastAsia" w:hAnsiTheme="minorEastAsia" w:eastAsiaTheme="minorEastAsia"/>
          <w:b/>
          <w:color w:val="auto"/>
          <w:sz w:val="24"/>
        </w:rPr>
        <w:t>、中小企业声明函</w:t>
      </w:r>
      <w:bookmarkEnd w:id="248"/>
      <w:bookmarkEnd w:id="249"/>
    </w:p>
    <w:p w14:paraId="51D506F0">
      <w:pPr>
        <w:pStyle w:val="8"/>
        <w:jc w:val="center"/>
        <w:rPr>
          <w:rFonts w:ascii="宋体" w:hAnsi="宋体" w:eastAsia="宋体"/>
          <w:i/>
          <w:color w:val="auto"/>
          <w:sz w:val="24"/>
          <w:lang w:val="en-US"/>
        </w:rPr>
      </w:pPr>
      <w:r>
        <w:rPr>
          <w:rFonts w:hint="eastAsia" w:ascii="宋体" w:hAnsi="宋体" w:eastAsia="宋体"/>
          <w:i/>
          <w:color w:val="auto"/>
          <w:sz w:val="24"/>
          <w:lang w:val="en-US"/>
        </w:rPr>
        <w:t>（</w:t>
      </w:r>
      <w:r>
        <w:rPr>
          <w:rFonts w:hint="eastAsia" w:ascii="宋体" w:hAnsi="宋体" w:eastAsia="宋体"/>
          <w:i/>
          <w:color w:val="auto"/>
          <w:sz w:val="24"/>
        </w:rPr>
        <w:t>非中小企业</w:t>
      </w:r>
      <w:r>
        <w:rPr>
          <w:rFonts w:hint="eastAsia" w:ascii="宋体" w:hAnsi="宋体" w:eastAsia="宋体"/>
          <w:i/>
          <w:color w:val="auto"/>
          <w:sz w:val="24"/>
          <w:lang w:val="en-US"/>
        </w:rPr>
        <w:t>磋商，不需此件，请删去“中小企业声明函”）</w:t>
      </w:r>
    </w:p>
    <w:p w14:paraId="1E0BD67A">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本公司（联合体）郑重声明，根据《政府采购促进中小企业发展管理办法》（财库﹝2020﹞46号）的规定，本公司（联合体）参加</w:t>
      </w:r>
      <w:r>
        <w:rPr>
          <w:rFonts w:hint="eastAsia" w:ascii="宋体" w:hAnsi="宋体" w:eastAsia="宋体"/>
          <w:b/>
          <w:bCs/>
          <w:color w:val="auto"/>
          <w:sz w:val="24"/>
          <w:szCs w:val="24"/>
          <w:u w:val="single"/>
        </w:rPr>
        <w:t>安徽省淮河河道管理局</w:t>
      </w:r>
      <w:r>
        <w:rPr>
          <w:rFonts w:hint="eastAsia" w:ascii="宋体" w:hAnsi="宋体" w:eastAsia="宋体"/>
          <w:color w:val="auto"/>
          <w:sz w:val="24"/>
          <w:szCs w:val="24"/>
          <w:lang w:val="zh-CN"/>
        </w:rPr>
        <w:t>的</w:t>
      </w:r>
      <w:r>
        <w:rPr>
          <w:rFonts w:hint="eastAsia" w:ascii="宋体" w:hAnsi="宋体" w:eastAsia="宋体"/>
          <w:b/>
          <w:bCs/>
          <w:color w:val="auto"/>
          <w:sz w:val="24"/>
          <w:szCs w:val="24"/>
          <w:u w:val="single"/>
          <w:lang w:val="zh-CN"/>
        </w:rPr>
        <w:t>省淮河局2025年部分水闸安全鉴定</w:t>
      </w:r>
      <w:r>
        <w:rPr>
          <w:rFonts w:hint="eastAsia" w:ascii="宋体" w:hAnsi="宋体" w:eastAsia="宋体"/>
          <w:color w:val="auto"/>
          <w:sz w:val="24"/>
          <w:szCs w:val="24"/>
          <w:lang w:val="zh-CN"/>
        </w:rPr>
        <w:t xml:space="preserve">采购活动，服务全部由符合政策要求的中小企业承接。相关企业（含联合体中的中小企业、签订分包意向协议的中小企业）的具体情况如下： </w:t>
      </w:r>
    </w:p>
    <w:p w14:paraId="210D6A8E">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1.</w:t>
      </w:r>
      <w:r>
        <w:rPr>
          <w:rFonts w:hint="eastAsia" w:ascii="宋体" w:hAnsi="宋体" w:eastAsia="宋体"/>
          <w:b/>
          <w:bCs/>
          <w:color w:val="auto"/>
          <w:sz w:val="24"/>
          <w:szCs w:val="24"/>
          <w:u w:val="single"/>
          <w:lang w:val="zh-CN"/>
        </w:rPr>
        <w:t xml:space="preserve"> 省淮河局2025年部分水闸安全鉴定</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，属于</w:t>
      </w:r>
      <w:r>
        <w:rPr>
          <w:rFonts w:hint="eastAsia" w:ascii="宋体" w:hAnsi="宋体" w:eastAsia="宋体"/>
          <w:b/>
          <w:bCs/>
          <w:color w:val="auto"/>
          <w:sz w:val="24"/>
          <w:szCs w:val="24"/>
          <w:u w:val="single"/>
        </w:rPr>
        <w:t>其他未列明</w:t>
      </w:r>
      <w:r>
        <w:rPr>
          <w:rFonts w:hint="eastAsia" w:ascii="宋体" w:hAnsi="宋体" w:eastAsia="宋体"/>
          <w:color w:val="auto"/>
          <w:sz w:val="24"/>
          <w:szCs w:val="24"/>
          <w:lang w:val="zh-CN"/>
        </w:rPr>
        <w:t>行业；承接企业为</w:t>
      </w:r>
      <w:r>
        <w:rPr>
          <w:rFonts w:hint="eastAsia" w:ascii="宋体" w:hAnsi="宋体" w:eastAsia="宋体"/>
          <w:color w:val="auto"/>
          <w:sz w:val="24"/>
          <w:szCs w:val="24"/>
          <w:u w:val="single"/>
          <w:lang w:val="zh-CN"/>
        </w:rPr>
        <w:t>（企业名称）</w:t>
      </w:r>
      <w:r>
        <w:rPr>
          <w:rFonts w:hint="eastAsia" w:ascii="宋体" w:hAnsi="宋体" w:eastAsia="宋体"/>
          <w:color w:val="auto"/>
          <w:sz w:val="24"/>
          <w:szCs w:val="24"/>
          <w:lang w:val="zh-CN"/>
        </w:rPr>
        <w:t>，从业人员</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人，营业收入为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万元，资产总额为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万元，属于</w:t>
      </w:r>
      <w:r>
        <w:rPr>
          <w:rFonts w:hint="eastAsia" w:ascii="宋体" w:hAnsi="宋体" w:eastAsia="宋体"/>
          <w:color w:val="auto"/>
          <w:sz w:val="24"/>
          <w:szCs w:val="24"/>
          <w:u w:val="single"/>
          <w:lang w:val="zh-CN"/>
        </w:rPr>
        <w:t>（中型企业、小型企业、微型企业）</w:t>
      </w:r>
      <w:r>
        <w:rPr>
          <w:rFonts w:hint="eastAsia" w:ascii="宋体" w:hAnsi="宋体" w:eastAsia="宋体"/>
          <w:color w:val="auto"/>
          <w:sz w:val="24"/>
          <w:szCs w:val="24"/>
          <w:lang w:val="zh-CN"/>
        </w:rPr>
        <w:t xml:space="preserve">； </w:t>
      </w:r>
    </w:p>
    <w:p w14:paraId="7CD5ADB9">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w:t>
      </w:r>
    </w:p>
    <w:p w14:paraId="4B945960">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以上企业，不属于大企业的分支机构，不存在控股股东为大企业的情形，也不存在与大企业的负责人为同一人的情形。</w:t>
      </w:r>
    </w:p>
    <w:p w14:paraId="387BE6A5">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 xml:space="preserve">本企业对上述声明内容的真实性负责。如有虚假，将依法承担相应责任。 </w:t>
      </w:r>
    </w:p>
    <w:p w14:paraId="07738B8B">
      <w:pPr>
        <w:spacing w:line="360" w:lineRule="auto"/>
        <w:ind w:firstLine="435"/>
        <w:rPr>
          <w:rFonts w:asciiTheme="minorEastAsia" w:hAnsiTheme="minorEastAsia" w:eastAsiaTheme="minorEastAsia"/>
          <w:color w:val="auto"/>
          <w:sz w:val="24"/>
          <w:szCs w:val="24"/>
        </w:rPr>
      </w:pPr>
    </w:p>
    <w:p w14:paraId="56827129">
      <w:pPr>
        <w:spacing w:line="360" w:lineRule="auto"/>
        <w:ind w:firstLine="435"/>
        <w:rPr>
          <w:rFonts w:asciiTheme="minorEastAsia" w:hAnsiTheme="minorEastAsia" w:eastAsiaTheme="minorEastAsia"/>
          <w:color w:val="auto"/>
          <w:sz w:val="24"/>
          <w:szCs w:val="24"/>
        </w:rPr>
      </w:pPr>
    </w:p>
    <w:p w14:paraId="07A46259">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19C0A653">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p w14:paraId="585B1E1E">
      <w:pPr>
        <w:tabs>
          <w:tab w:val="left" w:pos="4620"/>
        </w:tabs>
        <w:spacing w:line="360" w:lineRule="auto"/>
        <w:jc w:val="left"/>
        <w:rPr>
          <w:rFonts w:asciiTheme="minorEastAsia" w:hAnsiTheme="minorEastAsia" w:eastAsiaTheme="minorEastAsia"/>
          <w:color w:val="auto"/>
          <w:sz w:val="24"/>
          <w:szCs w:val="24"/>
        </w:rPr>
      </w:pPr>
    </w:p>
    <w:bookmarkEnd w:id="250"/>
    <w:p w14:paraId="2977C2A0">
      <w:pPr>
        <w:tabs>
          <w:tab w:val="left" w:pos="4620"/>
        </w:tabs>
        <w:spacing w:line="360" w:lineRule="auto"/>
        <w:jc w:val="left"/>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注：</w:t>
      </w:r>
    </w:p>
    <w:p w14:paraId="3EEA0CDC">
      <w:pPr>
        <w:tabs>
          <w:tab w:val="left" w:pos="4620"/>
        </w:tabs>
        <w:spacing w:line="360" w:lineRule="auto"/>
        <w:jc w:val="left"/>
        <w:rPr>
          <w:rFonts w:asciiTheme="minorEastAsia" w:hAnsiTheme="minorEastAsia" w:eastAsiaTheme="minorEastAsia"/>
          <w:color w:val="auto"/>
          <w:szCs w:val="24"/>
        </w:rPr>
      </w:pPr>
      <w:r>
        <w:rPr>
          <w:rFonts w:asciiTheme="minorEastAsia" w:hAnsiTheme="minorEastAsia" w:eastAsiaTheme="minorEastAsia"/>
          <w:color w:val="auto"/>
          <w:szCs w:val="24"/>
        </w:rPr>
        <w:t>1.从业人员、营业收入、资产总额填报上一年数据，无上一年数据的新成立企业可不填报。</w:t>
      </w:r>
    </w:p>
    <w:p w14:paraId="5FD1E7F4">
      <w:pPr>
        <w:tabs>
          <w:tab w:val="left" w:pos="4620"/>
        </w:tabs>
        <w:spacing w:line="360" w:lineRule="auto"/>
        <w:jc w:val="left"/>
        <w:rPr>
          <w:rFonts w:ascii="宋体" w:hAnsi="宋体" w:eastAsia="宋体" w:cs="宋体"/>
          <w:b/>
          <w:bCs/>
          <w:color w:val="auto"/>
          <w:szCs w:val="21"/>
        </w:rPr>
      </w:pPr>
      <w:r>
        <w:rPr>
          <w:rFonts w:hint="eastAsia" w:ascii="宋体" w:hAnsi="宋体" w:eastAsia="宋体" w:cs="宋体"/>
          <w:b/>
          <w:bCs/>
          <w:color w:val="auto"/>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lang w:val="zh-CN"/>
        </w:rPr>
        <w:t>如有虚假，将依法承担相应责任。</w:t>
      </w:r>
      <w:r>
        <w:rPr>
          <w:rFonts w:hint="eastAsia" w:ascii="宋体" w:hAnsi="宋体" w:eastAsia="宋体" w:cs="宋体"/>
          <w:b/>
          <w:bCs/>
          <w:color w:val="auto"/>
          <w:szCs w:val="21"/>
        </w:rPr>
        <w:t>供应商自行登录工业和信息化部官网进行中小企业规模类型自测（查询网址https://www.miit.gov.cn/）。</w:t>
      </w:r>
    </w:p>
    <w:p w14:paraId="77DA970D">
      <w:pPr>
        <w:tabs>
          <w:tab w:val="left" w:pos="4620"/>
        </w:tabs>
        <w:spacing w:line="360" w:lineRule="auto"/>
        <w:jc w:val="left"/>
        <w:rPr>
          <w:rFonts w:ascii="宋体" w:hAnsi="宋体" w:eastAsia="宋体" w:cs="宋体"/>
          <w:b/>
          <w:bCs/>
          <w:color w:val="auto"/>
          <w:szCs w:val="21"/>
        </w:rPr>
      </w:pPr>
      <w:r>
        <w:rPr>
          <w:rFonts w:hint="eastAsia" w:ascii="宋体" w:hAnsi="宋体" w:eastAsia="宋体" w:cs="宋体"/>
          <w:b/>
          <w:bCs/>
          <w:color w:val="auto"/>
          <w:szCs w:val="21"/>
        </w:rPr>
        <w:t>3.上述“</w:t>
      </w:r>
      <w:r>
        <w:rPr>
          <w:rFonts w:hint="eastAsia" w:ascii="宋体" w:hAnsi="宋体" w:eastAsia="宋体" w:cs="宋体"/>
          <w:b/>
          <w:bCs/>
          <w:color w:val="auto"/>
          <w:szCs w:val="21"/>
          <w:u w:val="single"/>
          <w:lang w:val="zh-CN"/>
        </w:rPr>
        <w:t>标的名称</w:t>
      </w:r>
      <w:r>
        <w:rPr>
          <w:rFonts w:hint="eastAsia" w:ascii="宋体" w:hAnsi="宋体" w:eastAsia="宋体" w:cs="宋体"/>
          <w:b/>
          <w:bCs/>
          <w:color w:val="auto"/>
          <w:szCs w:val="21"/>
        </w:rPr>
        <w:t>”，详见第三章采购需求前附表中明确的“标的名称”。</w:t>
      </w:r>
    </w:p>
    <w:p w14:paraId="748714F6">
      <w:pPr>
        <w:tabs>
          <w:tab w:val="left" w:pos="4620"/>
        </w:tabs>
        <w:spacing w:line="360" w:lineRule="auto"/>
        <w:jc w:val="left"/>
        <w:rPr>
          <w:rFonts w:ascii="宋体" w:hAnsi="宋体" w:eastAsia="宋体" w:cs="宋体"/>
          <w:b/>
          <w:bCs/>
          <w:color w:val="auto"/>
          <w:szCs w:val="21"/>
        </w:rPr>
      </w:pPr>
      <w:r>
        <w:rPr>
          <w:rFonts w:hint="eastAsia" w:ascii="宋体" w:hAnsi="宋体" w:eastAsia="宋体" w:cs="宋体"/>
          <w:b/>
          <w:bCs/>
          <w:color w:val="auto"/>
          <w:szCs w:val="21"/>
        </w:rPr>
        <w:t>4.上述“</w:t>
      </w:r>
      <w:r>
        <w:rPr>
          <w:rFonts w:hint="eastAsia" w:ascii="宋体" w:hAnsi="宋体" w:eastAsia="宋体" w:cs="宋体"/>
          <w:b/>
          <w:bCs/>
          <w:color w:val="auto"/>
          <w:szCs w:val="21"/>
          <w:u w:val="single"/>
        </w:rPr>
        <w:t>采购文件中明确的所属行业</w:t>
      </w:r>
      <w:r>
        <w:rPr>
          <w:rFonts w:hint="eastAsia" w:ascii="宋体" w:hAnsi="宋体" w:eastAsia="宋体" w:cs="宋体"/>
          <w:b/>
          <w:bCs/>
          <w:color w:val="auto"/>
          <w:szCs w:val="21"/>
        </w:rPr>
        <w:t>”，详见第三章采购需求前附表中明确的“所属行业”。</w:t>
      </w:r>
    </w:p>
    <w:p w14:paraId="6F5DD31D">
      <w:pPr>
        <w:tabs>
          <w:tab w:val="left" w:pos="4620"/>
        </w:tabs>
        <w:spacing w:line="360" w:lineRule="auto"/>
        <w:jc w:val="left"/>
        <w:rPr>
          <w:rFonts w:ascii="宋体" w:hAnsi="宋体" w:eastAsia="宋体" w:cs="宋体"/>
          <w:b/>
          <w:bCs/>
          <w:color w:val="auto"/>
          <w:szCs w:val="21"/>
        </w:rPr>
      </w:pPr>
      <w:r>
        <w:rPr>
          <w:rFonts w:hint="eastAsia" w:ascii="宋体" w:hAnsi="宋体" w:eastAsia="宋体" w:cs="宋体"/>
          <w:b/>
          <w:bCs/>
          <w:color w:val="auto"/>
          <w:szCs w:val="21"/>
        </w:rPr>
        <w:t>5．填写示例：</w:t>
      </w:r>
      <w:r>
        <w:rPr>
          <w:rFonts w:hint="eastAsia" w:ascii="宋体" w:hAnsi="宋体" w:eastAsia="宋体" w:cs="宋体"/>
          <w:b/>
          <w:bCs/>
          <w:color w:val="auto"/>
          <w:szCs w:val="21"/>
          <w:u w:val="single"/>
        </w:rPr>
        <w:t>某标的名称</w:t>
      </w:r>
      <w:r>
        <w:rPr>
          <w:rFonts w:hint="eastAsia" w:ascii="宋体" w:hAnsi="宋体" w:eastAsia="宋体" w:cs="宋体"/>
          <w:b/>
          <w:bCs/>
          <w:color w:val="auto"/>
          <w:szCs w:val="21"/>
        </w:rPr>
        <w:t>（</w:t>
      </w:r>
      <w:r>
        <w:rPr>
          <w:rFonts w:hint="eastAsia" w:ascii="宋体" w:hAnsi="宋体" w:eastAsia="宋体" w:cs="宋体"/>
          <w:b/>
          <w:bCs/>
          <w:color w:val="auto"/>
          <w:szCs w:val="21"/>
          <w:u w:val="single"/>
        </w:rPr>
        <w:t>填写第三章采购需求前附表中明确的“标的名称”</w:t>
      </w:r>
      <w:r>
        <w:rPr>
          <w:rFonts w:hint="eastAsia" w:ascii="宋体" w:hAnsi="宋体" w:eastAsia="宋体" w:cs="宋体"/>
          <w:b/>
          <w:bCs/>
          <w:color w:val="auto"/>
          <w:szCs w:val="21"/>
        </w:rPr>
        <w:t>），属于</w:t>
      </w:r>
      <w:r>
        <w:rPr>
          <w:rFonts w:hint="eastAsia" w:ascii="宋体" w:hAnsi="宋体" w:eastAsia="宋体" w:cs="宋体"/>
          <w:b/>
          <w:bCs/>
          <w:color w:val="auto"/>
          <w:szCs w:val="21"/>
          <w:u w:val="single"/>
        </w:rPr>
        <w:t>（填写第三章采购需求前附表中明确的“所属行业”，如软件和信息技术服务业）</w:t>
      </w:r>
      <w:r>
        <w:rPr>
          <w:rFonts w:hint="eastAsia" w:ascii="宋体" w:hAnsi="宋体" w:eastAsia="宋体" w:cs="宋体"/>
          <w:b/>
          <w:bCs/>
          <w:color w:val="auto"/>
          <w:szCs w:val="21"/>
        </w:rPr>
        <w:t>行业；承接企业为</w:t>
      </w:r>
      <w:r>
        <w:rPr>
          <w:rFonts w:hint="eastAsia" w:ascii="宋体" w:hAnsi="宋体" w:eastAsia="宋体" w:cs="宋体"/>
          <w:b/>
          <w:bCs/>
          <w:color w:val="auto"/>
          <w:szCs w:val="21"/>
          <w:u w:val="single"/>
          <w:lang w:val="zh-CN"/>
        </w:rPr>
        <w:t>某</w:t>
      </w:r>
      <w:r>
        <w:rPr>
          <w:rFonts w:hint="eastAsia" w:ascii="宋体" w:hAnsi="宋体" w:eastAsia="宋体" w:cs="宋体"/>
          <w:b/>
          <w:bCs/>
          <w:color w:val="auto"/>
          <w:szCs w:val="21"/>
          <w:u w:val="single"/>
        </w:rPr>
        <w:t>企业</w:t>
      </w:r>
      <w:r>
        <w:rPr>
          <w:rFonts w:hint="eastAsia" w:ascii="宋体" w:hAnsi="宋体" w:eastAsia="宋体" w:cs="宋体"/>
          <w:b/>
          <w:bCs/>
          <w:color w:val="auto"/>
          <w:szCs w:val="21"/>
        </w:rPr>
        <w:t>，</w:t>
      </w:r>
      <w:r>
        <w:rPr>
          <w:rFonts w:hint="eastAsia" w:ascii="宋体" w:hAnsi="宋体" w:eastAsia="宋体" w:cs="宋体"/>
          <w:b/>
          <w:bCs/>
          <w:color w:val="auto"/>
          <w:szCs w:val="21"/>
          <w:lang w:val="zh-CN"/>
        </w:rPr>
        <w:t>从业人员</w:t>
      </w:r>
      <w:r>
        <w:rPr>
          <w:rFonts w:hint="eastAsia" w:ascii="宋体" w:hAnsi="宋体" w:eastAsia="宋体" w:cs="宋体"/>
          <w:b/>
          <w:bCs/>
          <w:color w:val="auto"/>
          <w:szCs w:val="21"/>
          <w:u w:val="single"/>
        </w:rPr>
        <w:t>100</w:t>
      </w:r>
      <w:r>
        <w:rPr>
          <w:rFonts w:hint="eastAsia" w:ascii="宋体" w:hAnsi="宋体" w:eastAsia="宋体" w:cs="宋体"/>
          <w:b/>
          <w:bCs/>
          <w:color w:val="auto"/>
          <w:szCs w:val="21"/>
          <w:lang w:val="zh-CN"/>
        </w:rPr>
        <w:t>人</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营业收入为</w:t>
      </w:r>
      <w:r>
        <w:rPr>
          <w:rFonts w:hint="eastAsia" w:ascii="宋体" w:hAnsi="宋体" w:eastAsia="宋体" w:cs="宋体"/>
          <w:b/>
          <w:bCs/>
          <w:color w:val="auto"/>
          <w:szCs w:val="21"/>
          <w:u w:val="single"/>
        </w:rPr>
        <w:t>10000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资产总额为</w:t>
      </w:r>
      <w:r>
        <w:rPr>
          <w:rFonts w:hint="eastAsia" w:ascii="宋体" w:hAnsi="宋体" w:eastAsia="宋体" w:cs="宋体"/>
          <w:b/>
          <w:bCs/>
          <w:color w:val="auto"/>
          <w:szCs w:val="21"/>
          <w:u w:val="single"/>
        </w:rPr>
        <w:t>5000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属于</w:t>
      </w:r>
      <w:r>
        <w:rPr>
          <w:rFonts w:hint="eastAsia" w:ascii="宋体" w:hAnsi="宋体" w:eastAsia="宋体" w:cs="宋体"/>
          <w:b/>
          <w:bCs/>
          <w:color w:val="auto"/>
          <w:szCs w:val="21"/>
        </w:rPr>
        <w:t>中</w:t>
      </w:r>
      <w:r>
        <w:rPr>
          <w:rFonts w:hint="eastAsia" w:ascii="宋体" w:hAnsi="宋体" w:eastAsia="宋体" w:cs="宋体"/>
          <w:b/>
          <w:bCs/>
          <w:color w:val="auto"/>
          <w:szCs w:val="21"/>
          <w:u w:val="single"/>
          <w:lang w:val="zh-CN"/>
        </w:rPr>
        <w:t>型</w:t>
      </w:r>
      <w:r>
        <w:rPr>
          <w:rFonts w:hint="eastAsia" w:ascii="宋体" w:hAnsi="宋体" w:eastAsia="宋体" w:cs="宋体"/>
          <w:b/>
          <w:bCs/>
          <w:color w:val="auto"/>
          <w:szCs w:val="21"/>
          <w:lang w:val="zh-CN"/>
        </w:rPr>
        <w:t>企业</w:t>
      </w:r>
      <w:r>
        <w:rPr>
          <w:rFonts w:hint="eastAsia" w:ascii="宋体" w:hAnsi="宋体" w:eastAsia="宋体" w:cs="宋体"/>
          <w:b/>
          <w:bCs/>
          <w:color w:val="auto"/>
          <w:szCs w:val="21"/>
        </w:rPr>
        <w:t>[供应商自行登录工业和信息化部官网进行中小企业规模类型自测（查询网址https://www.miit.gov.cn/）]</w:t>
      </w:r>
      <w:r>
        <w:rPr>
          <w:rFonts w:hint="eastAsia" w:ascii="宋体" w:hAnsi="宋体" w:eastAsia="宋体" w:cs="宋体"/>
          <w:b/>
          <w:bCs/>
          <w:color w:val="auto"/>
          <w:szCs w:val="21"/>
          <w:lang w:val="zh-CN"/>
        </w:rPr>
        <w:t>。</w:t>
      </w:r>
    </w:p>
    <w:p w14:paraId="750C7100">
      <w:pPr>
        <w:tabs>
          <w:tab w:val="left" w:pos="4620"/>
        </w:tabs>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785B5A58">
      <w:pPr>
        <w:spacing w:line="360" w:lineRule="auto"/>
        <w:jc w:val="center"/>
        <w:outlineLvl w:val="1"/>
        <w:rPr>
          <w:rFonts w:asciiTheme="minorEastAsia" w:hAnsiTheme="minorEastAsia" w:eastAsiaTheme="minorEastAsia"/>
          <w:b/>
          <w:color w:val="auto"/>
          <w:sz w:val="24"/>
        </w:rPr>
      </w:pPr>
      <w:bookmarkStart w:id="251" w:name="_Toc17713"/>
      <w:bookmarkStart w:id="252" w:name="_Toc5908"/>
      <w:bookmarkStart w:id="253" w:name="_Hlk60608725"/>
      <w:r>
        <w:rPr>
          <w:rFonts w:hint="eastAsia" w:asciiTheme="minorEastAsia" w:hAnsiTheme="minorEastAsia" w:eastAsiaTheme="minorEastAsia"/>
          <w:b/>
          <w:color w:val="auto"/>
          <w:sz w:val="24"/>
          <w:lang w:val="en-US" w:eastAsia="zh-CN"/>
        </w:rPr>
        <w:t>七</w:t>
      </w:r>
      <w:r>
        <w:rPr>
          <w:rFonts w:hint="eastAsia" w:asciiTheme="minorEastAsia" w:hAnsiTheme="minorEastAsia" w:eastAsiaTheme="minorEastAsia"/>
          <w:b/>
          <w:color w:val="auto"/>
          <w:sz w:val="24"/>
        </w:rPr>
        <w:t>、残疾人福利性单位声明函</w:t>
      </w:r>
      <w:bookmarkEnd w:id="251"/>
      <w:bookmarkEnd w:id="252"/>
    </w:p>
    <w:p w14:paraId="19708C27">
      <w:pPr>
        <w:pStyle w:val="8"/>
        <w:jc w:val="center"/>
        <w:rPr>
          <w:rFonts w:asciiTheme="minorEastAsia" w:hAnsiTheme="minorEastAsia" w:eastAsiaTheme="minorEastAsia"/>
          <w:color w:val="auto"/>
          <w:spacing w:val="6"/>
          <w:sz w:val="24"/>
        </w:rPr>
      </w:pPr>
      <w:r>
        <w:rPr>
          <w:rFonts w:hint="eastAsia" w:ascii="宋体" w:hAnsi="宋体" w:eastAsia="宋体"/>
          <w:i/>
          <w:color w:val="auto"/>
          <w:sz w:val="24"/>
          <w:lang w:val="en-US"/>
        </w:rPr>
        <w:t>（非残疾人福利性单位磋商，请删去“残疾人福利性单位声明函”）</w:t>
      </w:r>
    </w:p>
    <w:p w14:paraId="2045C1FA">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w:t>
      </w:r>
      <w:r>
        <w:rPr>
          <w:rFonts w:hint="eastAsia" w:asciiTheme="minorEastAsia" w:hAnsiTheme="minorEastAsia" w:eastAsiaTheme="minorEastAsia"/>
          <w:color w:val="auto"/>
          <w:sz w:val="24"/>
        </w:rPr>
        <w:t>郑重</w:t>
      </w:r>
      <w:r>
        <w:rPr>
          <w:rFonts w:hint="eastAsia" w:asciiTheme="minorEastAsia" w:hAnsiTheme="minorEastAsia" w:eastAsiaTheme="minorEastAsia"/>
          <w:color w:val="auto"/>
          <w:spacing w:val="6"/>
          <w:sz w:val="24"/>
          <w:szCs w:val="24"/>
        </w:rPr>
        <w:t>声明，根据《财政部 民政部 中国残疾人联合会关于促进残疾人就业政府采购政策的通知》（财库</w:t>
      </w:r>
      <w:r>
        <w:rPr>
          <w:rFonts w:hint="eastAsia" w:asciiTheme="minorEastAsia" w:hAnsiTheme="minorEastAsia" w:eastAsiaTheme="minorEastAsia"/>
          <w:color w:val="auto"/>
          <w:sz w:val="24"/>
          <w:szCs w:val="24"/>
        </w:rPr>
        <w:t>〔2017〕141</w:t>
      </w:r>
      <w:r>
        <w:rPr>
          <w:rFonts w:hint="eastAsia" w:asciiTheme="minorEastAsia" w:hAnsiTheme="minorEastAsia" w:eastAsiaTheme="minorEastAsia"/>
          <w:color w:val="auto"/>
          <w:spacing w:val="6"/>
          <w:sz w:val="24"/>
          <w:szCs w:val="24"/>
        </w:rPr>
        <w:t>号）的规定，本单位为</w:t>
      </w:r>
      <w:r>
        <w:rPr>
          <w:rFonts w:hint="eastAsia" w:asciiTheme="minorEastAsia" w:hAnsiTheme="minorEastAsia" w:eastAsiaTheme="minorEastAsia"/>
          <w:bCs/>
          <w:color w:val="auto"/>
          <w:sz w:val="24"/>
          <w:szCs w:val="24"/>
        </w:rPr>
        <w:t>符合</w:t>
      </w:r>
      <w:r>
        <w:rPr>
          <w:rFonts w:hint="eastAsia" w:asciiTheme="minorEastAsia" w:hAnsiTheme="minorEastAsia" w:eastAsiaTheme="minorEastAsia"/>
          <w:color w:val="auto"/>
          <w:spacing w:val="6"/>
          <w:sz w:val="24"/>
          <w:szCs w:val="24"/>
        </w:rPr>
        <w:t>条件的残疾人福利性单位，且本单位参加</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单位的</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2AF469CE">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本单位对上述声明的真实性负责。如有虚假，将依法承担相应责任。</w:t>
      </w:r>
    </w:p>
    <w:p w14:paraId="44B54EF0">
      <w:pPr>
        <w:spacing w:line="360" w:lineRule="auto"/>
        <w:ind w:firstLine="4228" w:firstLineChars="1762"/>
        <w:rPr>
          <w:rFonts w:asciiTheme="minorEastAsia" w:hAnsiTheme="minorEastAsia" w:eastAsiaTheme="minorEastAsia"/>
          <w:color w:val="auto"/>
          <w:sz w:val="24"/>
          <w:szCs w:val="24"/>
        </w:rPr>
      </w:pPr>
    </w:p>
    <w:p w14:paraId="1BE73A23">
      <w:pPr>
        <w:spacing w:line="360" w:lineRule="auto"/>
        <w:ind w:firstLine="4228" w:firstLineChars="1762"/>
        <w:rPr>
          <w:rFonts w:asciiTheme="minorEastAsia" w:hAnsiTheme="minorEastAsia" w:eastAsiaTheme="minorEastAsia"/>
          <w:color w:val="auto"/>
          <w:sz w:val="24"/>
          <w:szCs w:val="24"/>
        </w:rPr>
      </w:pPr>
    </w:p>
    <w:p w14:paraId="6144D5A0">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5D2E0DD1">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bookmarkEnd w:id="253"/>
    <w:p w14:paraId="70C2647E">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01205E72">
      <w:pPr>
        <w:spacing w:line="360" w:lineRule="auto"/>
        <w:jc w:val="center"/>
        <w:outlineLvl w:val="1"/>
        <w:rPr>
          <w:rFonts w:asciiTheme="minorEastAsia" w:hAnsiTheme="minorEastAsia" w:eastAsiaTheme="minorEastAsia"/>
          <w:b/>
          <w:color w:val="auto"/>
          <w:sz w:val="24"/>
        </w:rPr>
      </w:pPr>
      <w:bookmarkStart w:id="254" w:name="_Toc2278"/>
      <w:bookmarkStart w:id="255" w:name="_Toc20592"/>
      <w:bookmarkStart w:id="256" w:name="_Hlk44283088"/>
      <w:r>
        <w:rPr>
          <w:rFonts w:hint="eastAsia" w:asciiTheme="minorEastAsia" w:hAnsiTheme="minorEastAsia" w:eastAsiaTheme="minorEastAsia"/>
          <w:b/>
          <w:color w:val="auto"/>
          <w:sz w:val="24"/>
          <w:lang w:val="en-US" w:eastAsia="zh-CN"/>
        </w:rPr>
        <w:t>八</w:t>
      </w:r>
      <w:r>
        <w:rPr>
          <w:rFonts w:hint="eastAsia" w:asciiTheme="minorEastAsia" w:hAnsiTheme="minorEastAsia" w:eastAsiaTheme="minorEastAsia"/>
          <w:b/>
          <w:color w:val="auto"/>
          <w:sz w:val="24"/>
        </w:rPr>
        <w:t>、诚信履约承诺函</w:t>
      </w:r>
      <w:bookmarkEnd w:id="254"/>
      <w:bookmarkEnd w:id="255"/>
    </w:p>
    <w:p w14:paraId="638F375A">
      <w:pPr>
        <w:spacing w:line="360" w:lineRule="auto"/>
        <w:rPr>
          <w:rFonts w:asciiTheme="minorEastAsia" w:hAnsiTheme="minorEastAsia" w:eastAsiaTheme="minorEastAsia"/>
          <w:b/>
          <w:bCs/>
          <w:color w:val="auto"/>
          <w:sz w:val="24"/>
        </w:rPr>
      </w:pPr>
    </w:p>
    <w:bookmarkEnd w:id="256"/>
    <w:p w14:paraId="51311CD9">
      <w:pPr>
        <w:spacing w:line="360" w:lineRule="auto"/>
        <w:rPr>
          <w:rFonts w:asciiTheme="minorEastAsia" w:hAnsiTheme="minorEastAsia" w:eastAsiaTheme="minorEastAsia"/>
          <w:b/>
          <w:bCs/>
          <w:color w:val="auto"/>
          <w:sz w:val="24"/>
          <w:u w:val="single"/>
        </w:rPr>
      </w:pPr>
      <w:bookmarkStart w:id="257" w:name="_Toc3826"/>
      <w:bookmarkStart w:id="258" w:name="_Toc7807"/>
      <w:r>
        <w:rPr>
          <w:rFonts w:hint="eastAsia" w:asciiTheme="minorEastAsia" w:hAnsiTheme="minorEastAsia" w:eastAsiaTheme="minorEastAsia"/>
          <w:b/>
          <w:bCs/>
          <w:color w:val="auto"/>
          <w:sz w:val="24"/>
          <w:u w:val="single"/>
        </w:rPr>
        <w:t>致：采购人</w:t>
      </w:r>
    </w:p>
    <w:p w14:paraId="747E05A6">
      <w:pPr>
        <w:spacing w:line="360" w:lineRule="auto"/>
        <w:ind w:firstLine="480" w:firstLineChars="2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若</w:t>
      </w:r>
      <w:r>
        <w:rPr>
          <w:rFonts w:hint="eastAsia" w:asciiTheme="minorEastAsia" w:hAnsiTheme="minorEastAsia" w:eastAsiaTheme="minorEastAsia"/>
          <w:bCs/>
          <w:color w:val="auto"/>
          <w:sz w:val="24"/>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lang w:val="en-US" w:eastAsia="zh-CN"/>
        </w:rPr>
        <w:t>的</w:t>
      </w:r>
      <w:r>
        <w:rPr>
          <w:rFonts w:hint="eastAsia" w:asciiTheme="minorEastAsia" w:hAnsiTheme="minorEastAsia" w:eastAsiaTheme="minorEastAsia"/>
          <w:bCs/>
          <w:color w:val="auto"/>
          <w:sz w:val="24"/>
        </w:rPr>
        <w:t>相关规定，</w:t>
      </w:r>
      <w:r>
        <w:rPr>
          <w:rFonts w:hint="eastAsia" w:asciiTheme="minorEastAsia" w:hAnsiTheme="minorEastAsia" w:eastAsiaTheme="minorEastAsia"/>
          <w:bCs/>
          <w:color w:val="auto"/>
          <w:sz w:val="24"/>
          <w:lang w:val="en-US" w:eastAsia="zh-CN"/>
        </w:rPr>
        <w:t>并郑重承诺如下</w:t>
      </w:r>
      <w:r>
        <w:rPr>
          <w:rFonts w:hint="eastAsia" w:asciiTheme="minorEastAsia" w:hAnsiTheme="minorEastAsia" w:eastAsiaTheme="minorEastAsia"/>
          <w:bCs/>
          <w:color w:val="auto"/>
          <w:sz w:val="24"/>
        </w:rPr>
        <w:t>：</w:t>
      </w:r>
    </w:p>
    <w:p w14:paraId="0454186A">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lang w:val="en-US" w:eastAsia="zh-CN" w:bidi="ar-SA"/>
        </w:rPr>
      </w:pPr>
      <w:r>
        <w:rPr>
          <w:rFonts w:hint="eastAsia" w:cs="@仿宋_GB2312" w:asciiTheme="minorEastAsia" w:hAnsiTheme="minorEastAsia" w:eastAsiaTheme="minorEastAsia"/>
          <w:bCs/>
          <w:color w:val="auto"/>
          <w:kern w:val="2"/>
          <w:sz w:val="24"/>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5BD7B11C">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按照响应文件提供自备机械设备、项目组成员，并为所有项目人员购买雇主责任险或团体意外险，进场作业前由甲方验证，若不能按时提供，无条件同意采购人取消</w:t>
      </w:r>
      <w:r>
        <w:rPr>
          <w:rFonts w:hint="eastAsia" w:cs="@仿宋_GB2312" w:asciiTheme="minorEastAsia" w:hAnsiTheme="minorEastAsia" w:eastAsiaTheme="minorEastAsia"/>
          <w:bCs/>
          <w:color w:val="auto"/>
          <w:kern w:val="2"/>
          <w:sz w:val="24"/>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53DBF8A4">
      <w:pPr>
        <w:numPr>
          <w:ilvl w:val="0"/>
          <w:numId w:val="0"/>
        </w:numPr>
        <w:spacing w:line="360" w:lineRule="auto"/>
        <w:ind w:left="0" w:leftChars="0" w:firstLine="480" w:firstLineChars="200"/>
        <w:rPr>
          <w:rFonts w:hint="eastAsia" w:asciiTheme="minorEastAsia" w:hAnsiTheme="minorEastAsia" w:eastAsiaTheme="minorEastAsia"/>
          <w:bCs/>
          <w:color w:val="auto"/>
          <w:sz w:val="24"/>
          <w:lang w:val="en-US" w:eastAsia="zh-CN"/>
        </w:rPr>
      </w:pPr>
      <w:r>
        <w:rPr>
          <w:rFonts w:hint="eastAsia" w:cs="@仿宋_GB2312" w:asciiTheme="minorEastAsia" w:hAnsiTheme="minorEastAsia" w:eastAsiaTheme="minorEastAsia"/>
          <w:bCs/>
          <w:color w:val="auto"/>
          <w:kern w:val="2"/>
          <w:sz w:val="24"/>
          <w:lang w:val="en-US" w:eastAsia="zh-CN" w:bidi="ar-SA"/>
        </w:rPr>
        <w:t>（3）</w:t>
      </w:r>
      <w:r>
        <w:rPr>
          <w:rFonts w:hint="eastAsia" w:asciiTheme="minorEastAsia" w:hAnsiTheme="minorEastAsia" w:eastAsiaTheme="minorEastAsia"/>
          <w:bCs/>
          <w:color w:val="auto"/>
          <w:sz w:val="24"/>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lang w:val="en-US" w:eastAsia="zh-CN" w:bidi="ar-SA"/>
        </w:rPr>
        <w:t>我单位</w:t>
      </w:r>
      <w:r>
        <w:rPr>
          <w:rFonts w:hint="eastAsia" w:asciiTheme="minorEastAsia" w:hAnsiTheme="minorEastAsia" w:eastAsiaTheme="minorEastAsia"/>
          <w:bCs/>
          <w:color w:val="auto"/>
          <w:sz w:val="24"/>
          <w:lang w:val="en-US" w:eastAsia="zh-CN"/>
        </w:rPr>
        <w:t>成交资格或合同甲方解除合同，并愿意承担因此造成的一切损失和处罚，包括但不限于信用惩戒、限制响应资格等。</w:t>
      </w:r>
    </w:p>
    <w:p w14:paraId="18FB088B">
      <w:pPr>
        <w:spacing w:line="360" w:lineRule="auto"/>
        <w:ind w:firstLine="480" w:firstLineChars="200"/>
        <w:rPr>
          <w:rFonts w:hint="eastAsia" w:asciiTheme="minorEastAsia" w:hAnsiTheme="minorEastAsia" w:eastAsiaTheme="minorEastAsia"/>
          <w:bCs/>
          <w:color w:val="auto"/>
          <w:sz w:val="24"/>
          <w:lang w:eastAsia="zh-CN"/>
        </w:rPr>
      </w:pP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lang w:eastAsia="zh-CN"/>
        </w:rPr>
        <w:t>）作业过程中如出现作业人员未有效佩戴现场安全防护必须的安全帽、安全绳、救生衣以及其他必须的作业防护等安全防护用品，发生不安全行为的，每出现一次，从</w:t>
      </w:r>
      <w:r>
        <w:rPr>
          <w:rFonts w:hint="eastAsia" w:asciiTheme="minorEastAsia" w:hAnsiTheme="minorEastAsia" w:eastAsiaTheme="minorEastAsia"/>
          <w:bCs/>
          <w:color w:val="auto"/>
          <w:sz w:val="24"/>
          <w:lang w:val="en-US" w:eastAsia="zh-CN"/>
        </w:rPr>
        <w:t>项目</w:t>
      </w:r>
      <w:r>
        <w:rPr>
          <w:rFonts w:hint="eastAsia" w:asciiTheme="minorEastAsia" w:hAnsiTheme="minorEastAsia" w:eastAsiaTheme="minorEastAsia"/>
          <w:bCs/>
          <w:color w:val="auto"/>
          <w:sz w:val="24"/>
          <w:lang w:eastAsia="zh-CN"/>
        </w:rPr>
        <w:t>结算价中自愿核减1000元，减完为止。</w:t>
      </w:r>
    </w:p>
    <w:p w14:paraId="30A34148">
      <w:pPr>
        <w:spacing w:line="360" w:lineRule="auto"/>
        <w:ind w:firstLine="480" w:firstLineChars="200"/>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rPr>
        <w:t>合同履约期间，</w:t>
      </w:r>
      <w:r>
        <w:rPr>
          <w:rFonts w:hint="eastAsia" w:asciiTheme="minorEastAsia" w:hAnsiTheme="minorEastAsia" w:eastAsiaTheme="minorEastAsia"/>
          <w:bCs/>
          <w:color w:val="auto"/>
          <w:sz w:val="24"/>
          <w:lang w:val="en-US" w:eastAsia="zh-CN"/>
        </w:rPr>
        <w:t>所有项目</w:t>
      </w:r>
      <w:r>
        <w:rPr>
          <w:rFonts w:hint="eastAsia" w:asciiTheme="minorEastAsia" w:hAnsiTheme="minorEastAsia" w:eastAsiaTheme="minorEastAsia"/>
          <w:bCs/>
          <w:color w:val="auto"/>
          <w:sz w:val="24"/>
        </w:rPr>
        <w:t>人员突发疾病、意外等造成的人员伤亡及财产损失均由</w:t>
      </w:r>
      <w:r>
        <w:rPr>
          <w:rFonts w:hint="eastAsia" w:asciiTheme="minorEastAsia" w:hAnsiTheme="minorEastAsia" w:eastAsiaTheme="minorEastAsia"/>
          <w:bCs/>
          <w:color w:val="auto"/>
          <w:sz w:val="24"/>
          <w:lang w:val="en-US" w:eastAsia="zh-CN"/>
        </w:rPr>
        <w:t>我单位</w:t>
      </w:r>
      <w:r>
        <w:rPr>
          <w:rFonts w:hint="eastAsia" w:asciiTheme="minorEastAsia" w:hAnsiTheme="minorEastAsia" w:eastAsiaTheme="minorEastAsia"/>
          <w:bCs/>
          <w:color w:val="auto"/>
          <w:sz w:val="24"/>
        </w:rPr>
        <w:t>负责</w:t>
      </w:r>
      <w:r>
        <w:rPr>
          <w:rFonts w:hint="eastAsia" w:asciiTheme="minorEastAsia" w:hAnsiTheme="minorEastAsia" w:eastAsiaTheme="minorEastAsia"/>
          <w:bCs/>
          <w:color w:val="auto"/>
          <w:sz w:val="24"/>
          <w:lang w:val="en-US" w:eastAsia="zh-CN"/>
        </w:rPr>
        <w:t>承担，并全额赔偿因此给采购人或第三方造成的损失。</w:t>
      </w:r>
    </w:p>
    <w:p w14:paraId="5EBB1507">
      <w:pPr>
        <w:spacing w:line="360" w:lineRule="auto"/>
        <w:ind w:firstLine="480" w:firstLineChars="2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lang w:val="en-US" w:eastAsia="zh-CN" w:bidi="ar-SA"/>
        </w:rPr>
        <w:t>我单位</w:t>
      </w:r>
      <w:r>
        <w:rPr>
          <w:rFonts w:hint="eastAsia" w:asciiTheme="minorEastAsia" w:hAnsiTheme="minorEastAsia" w:eastAsiaTheme="minorEastAsia"/>
          <w:bCs/>
          <w:color w:val="auto"/>
          <w:sz w:val="24"/>
        </w:rPr>
        <w:t>成交资格或</w:t>
      </w:r>
      <w:r>
        <w:rPr>
          <w:rFonts w:hint="eastAsia" w:asciiTheme="minorEastAsia" w:hAnsiTheme="minorEastAsia" w:eastAsiaTheme="minorEastAsia"/>
          <w:bCs/>
          <w:color w:val="auto"/>
          <w:sz w:val="24"/>
          <w:lang w:eastAsia="zh-CN"/>
        </w:rPr>
        <w:t>合同甲方解除合同</w:t>
      </w:r>
      <w:r>
        <w:rPr>
          <w:rFonts w:hint="eastAsia" w:asciiTheme="minorEastAsia" w:hAnsiTheme="minorEastAsia" w:eastAsiaTheme="minorEastAsia"/>
          <w:bCs/>
          <w:color w:val="auto"/>
          <w:sz w:val="24"/>
        </w:rPr>
        <w:t>，并愿意承担因此造成的一切损失和处罚，包括但不限于信用惩戒、限制响应资格等。</w:t>
      </w:r>
    </w:p>
    <w:p w14:paraId="0D46DC7C">
      <w:pPr>
        <w:spacing w:line="360" w:lineRule="auto"/>
        <w:rPr>
          <w:rFonts w:asciiTheme="minorEastAsia" w:hAnsiTheme="minorEastAsia" w:eastAsiaTheme="minorEastAsia"/>
          <w:bCs/>
          <w:color w:val="auto"/>
          <w:sz w:val="24"/>
        </w:rPr>
      </w:pPr>
    </w:p>
    <w:p w14:paraId="6B08FE94">
      <w:pPr>
        <w:spacing w:line="360" w:lineRule="auto"/>
        <w:ind w:firstLine="4320" w:firstLineChars="1800"/>
        <w:rPr>
          <w:rFonts w:asciiTheme="minorEastAsia" w:hAnsiTheme="minorEastAsia" w:eastAsiaTheme="minorEastAsia"/>
          <w:bCs/>
          <w:color w:val="auto"/>
          <w:sz w:val="24"/>
          <w:u w:val="single"/>
        </w:rPr>
      </w:pPr>
      <w:r>
        <w:rPr>
          <w:rFonts w:hint="eastAsia" w:asciiTheme="minorEastAsia" w:hAnsiTheme="minorEastAsia" w:eastAsiaTheme="minorEastAsia"/>
          <w:bCs/>
          <w:color w:val="auto"/>
          <w:sz w:val="24"/>
        </w:rPr>
        <w:t>供应商电子签章：</w:t>
      </w:r>
      <w:r>
        <w:rPr>
          <w:rFonts w:hint="eastAsia" w:asciiTheme="minorEastAsia" w:hAnsiTheme="minorEastAsia" w:eastAsiaTheme="minorEastAsia"/>
          <w:bCs/>
          <w:color w:val="auto"/>
          <w:sz w:val="24"/>
          <w:u w:val="single"/>
        </w:rPr>
        <w:t xml:space="preserve">     </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u w:val="single"/>
        </w:rPr>
        <w:t xml:space="preserve">    </w:t>
      </w:r>
    </w:p>
    <w:p w14:paraId="7E3D06CF">
      <w:pPr>
        <w:spacing w:line="360" w:lineRule="auto"/>
        <w:ind w:firstLine="4320" w:firstLineChars="1800"/>
        <w:rPr>
          <w:rFonts w:asciiTheme="minorEastAsia" w:hAnsiTheme="minorEastAsia" w:eastAsiaTheme="minorEastAsia"/>
          <w:b/>
          <w:color w:val="auto"/>
          <w:sz w:val="24"/>
        </w:rPr>
      </w:pPr>
      <w:r>
        <w:rPr>
          <w:rFonts w:hint="eastAsia" w:asciiTheme="minorEastAsia" w:hAnsiTheme="minorEastAsia" w:eastAsiaTheme="minorEastAsia"/>
          <w:bCs/>
          <w:color w:val="auto"/>
          <w:sz w:val="24"/>
        </w:rPr>
        <w:t>日          期：</w:t>
      </w:r>
      <w:r>
        <w:rPr>
          <w:rFonts w:hint="eastAsia" w:asciiTheme="minorEastAsia" w:hAnsiTheme="minorEastAsia" w:eastAsiaTheme="minorEastAsia"/>
          <w:bCs/>
          <w:color w:val="auto"/>
          <w:sz w:val="24"/>
          <w:u w:val="single"/>
        </w:rPr>
        <w:t xml:space="preserve">             </w:t>
      </w:r>
    </w:p>
    <w:p w14:paraId="6E99F2CB">
      <w:pPr>
        <w:widowControl/>
        <w:jc w:val="left"/>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p>
    <w:p w14:paraId="2A2E5D9F">
      <w:pPr>
        <w:spacing w:line="360" w:lineRule="auto"/>
        <w:jc w:val="center"/>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九</w:t>
      </w:r>
      <w:r>
        <w:rPr>
          <w:rFonts w:hint="eastAsia" w:asciiTheme="minorEastAsia" w:hAnsiTheme="minorEastAsia" w:eastAsiaTheme="minorEastAsia"/>
          <w:b/>
          <w:color w:val="auto"/>
          <w:sz w:val="24"/>
        </w:rPr>
        <w:t>、其他相关证明材料</w:t>
      </w:r>
      <w:bookmarkEnd w:id="257"/>
      <w:bookmarkEnd w:id="258"/>
    </w:p>
    <w:p w14:paraId="306A8300">
      <w:pPr>
        <w:tabs>
          <w:tab w:val="left" w:pos="4620"/>
        </w:tabs>
        <w:spacing w:line="360" w:lineRule="auto"/>
        <w:ind w:firstLine="480" w:firstLineChars="200"/>
        <w:rPr>
          <w:rFonts w:ascii="宋体" w:hAnsi="宋体" w:eastAsia="宋体"/>
          <w:color w:val="auto"/>
          <w:sz w:val="24"/>
        </w:rPr>
      </w:pPr>
      <w:r>
        <w:rPr>
          <w:rFonts w:hint="eastAsia" w:ascii="宋体" w:hAnsi="宋体" w:eastAsia="宋体"/>
          <w:color w:val="auto"/>
          <w:sz w:val="24"/>
        </w:rPr>
        <w:t>提供符合磋商邀请、采购需求及评审方法和标准规定的相关证明文件。</w:t>
      </w:r>
    </w:p>
    <w:p w14:paraId="4BD052B7">
      <w:pPr>
        <w:spacing w:line="360" w:lineRule="auto"/>
        <w:ind w:firstLine="435"/>
        <w:rPr>
          <w:rFonts w:asciiTheme="minorEastAsia" w:hAnsiTheme="minorEastAsia" w:eastAsiaTheme="minorEastAsia"/>
          <w:color w:val="auto"/>
          <w:sz w:val="24"/>
        </w:rPr>
      </w:pPr>
    </w:p>
    <w:p w14:paraId="09F30659">
      <w:pPr>
        <w:spacing w:line="360" w:lineRule="auto"/>
        <w:ind w:firstLine="480" w:firstLineChars="200"/>
        <w:rPr>
          <w:rFonts w:asciiTheme="minorEastAsia" w:hAnsiTheme="minorEastAsia" w:eastAsiaTheme="minorEastAsia"/>
          <w:color w:val="auto"/>
          <w:sz w:val="24"/>
        </w:rPr>
      </w:pPr>
    </w:p>
    <w:p w14:paraId="63FB5426">
      <w:pPr>
        <w:spacing w:line="360" w:lineRule="auto"/>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特别提示：</w:t>
      </w:r>
    </w:p>
    <w:p w14:paraId="080B3751">
      <w:pPr>
        <w:spacing w:line="360" w:lineRule="auto"/>
        <w:ind w:firstLine="435"/>
        <w:rPr>
          <w:rFonts w:asciiTheme="minorEastAsia" w:hAnsiTheme="minorEastAsia" w:eastAsiaTheme="minorEastAsia"/>
          <w:b/>
          <w:color w:val="auto"/>
          <w:sz w:val="24"/>
        </w:rPr>
      </w:pPr>
      <w:r>
        <w:rPr>
          <w:rFonts w:hint="eastAsia" w:asciiTheme="minorEastAsia" w:hAnsiTheme="minorEastAsia" w:eastAsiaTheme="minorEastAsia"/>
          <w:color w:val="auto"/>
          <w:sz w:val="24"/>
        </w:rPr>
        <w:t>供应商在响应文件制作时可在此栏内上传磋商文件要求上传的证明资料，如营业执照、证书等，应将上述证明材料制作成扫描件上传。</w:t>
      </w:r>
    </w:p>
    <w:p w14:paraId="5501129E">
      <w:pPr>
        <w:spacing w:line="360" w:lineRule="auto"/>
        <w:jc w:val="center"/>
        <w:rPr>
          <w:rFonts w:asciiTheme="minorEastAsia" w:hAnsiTheme="minorEastAsia" w:eastAsiaTheme="minorEastAsia"/>
          <w:b/>
          <w:color w:val="auto"/>
          <w:sz w:val="24"/>
        </w:rPr>
      </w:pPr>
    </w:p>
    <w:p w14:paraId="46FBC750">
      <w:pPr>
        <w:widowControl/>
        <w:jc w:val="left"/>
        <w:rPr>
          <w:rFonts w:ascii="宋体" w:hAnsi="宋体" w:eastAsia="宋体"/>
          <w:bCs/>
          <w:color w:val="auto"/>
          <w:sz w:val="24"/>
        </w:rPr>
      </w:pPr>
      <w:r>
        <w:rPr>
          <w:rFonts w:asciiTheme="minorEastAsia" w:hAnsiTheme="minorEastAsia" w:eastAsiaTheme="minorEastAsia"/>
          <w:color w:val="auto"/>
          <w:sz w:val="24"/>
        </w:rPr>
        <w:br w:type="page"/>
      </w:r>
    </w:p>
    <w:p w14:paraId="4E32AF81">
      <w:pPr>
        <w:spacing w:line="360" w:lineRule="auto"/>
        <w:jc w:val="center"/>
        <w:outlineLvl w:val="0"/>
        <w:rPr>
          <w:rFonts w:ascii="宋体" w:hAnsi="宋体" w:eastAsia="宋体"/>
          <w:b/>
          <w:bCs/>
          <w:color w:val="auto"/>
          <w:sz w:val="28"/>
        </w:rPr>
      </w:pPr>
      <w:bookmarkStart w:id="259" w:name="_Toc63440924"/>
      <w:bookmarkStart w:id="260" w:name="_Toc19418"/>
      <w:r>
        <w:rPr>
          <w:rFonts w:hint="eastAsia" w:ascii="宋体" w:hAnsi="宋体" w:eastAsia="宋体"/>
          <w:b/>
          <w:bCs/>
          <w:color w:val="auto"/>
          <w:sz w:val="28"/>
        </w:rPr>
        <w:t>第七章  政府采购</w:t>
      </w:r>
      <w:bookmarkEnd w:id="259"/>
      <w:r>
        <w:rPr>
          <w:rFonts w:hint="eastAsia" w:asciiTheme="minorEastAsia" w:hAnsiTheme="minorEastAsia" w:eastAsiaTheme="minorEastAsia"/>
          <w:b/>
          <w:color w:val="auto"/>
          <w:sz w:val="28"/>
        </w:rPr>
        <w:t>供应</w:t>
      </w:r>
      <w:r>
        <w:rPr>
          <w:rFonts w:hint="eastAsia" w:ascii="宋体" w:hAnsi="宋体" w:eastAsia="宋体"/>
          <w:b/>
          <w:bCs/>
          <w:color w:val="auto"/>
          <w:sz w:val="28"/>
        </w:rPr>
        <w:t>商询问函和质疑函范本</w:t>
      </w:r>
      <w:bookmarkEnd w:id="260"/>
    </w:p>
    <w:p w14:paraId="45C70845">
      <w:pPr>
        <w:spacing w:line="360" w:lineRule="auto"/>
        <w:jc w:val="center"/>
        <w:outlineLvl w:val="1"/>
        <w:rPr>
          <w:rFonts w:ascii="仿宋" w:hAnsi="仿宋" w:eastAsia="仿宋" w:cs="仿宋"/>
          <w:b/>
          <w:bCs/>
          <w:color w:val="auto"/>
          <w:sz w:val="32"/>
          <w:szCs w:val="44"/>
        </w:rPr>
      </w:pPr>
      <w:bookmarkStart w:id="261" w:name="_Toc8735"/>
      <w:bookmarkStart w:id="262" w:name="_Toc2142"/>
      <w:r>
        <w:rPr>
          <w:rFonts w:hint="eastAsia" w:ascii="仿宋" w:hAnsi="仿宋" w:eastAsia="仿宋" w:cs="仿宋"/>
          <w:b/>
          <w:bCs/>
          <w:color w:val="auto"/>
          <w:sz w:val="32"/>
          <w:szCs w:val="44"/>
        </w:rPr>
        <w:t>询问函范本</w:t>
      </w:r>
      <w:bookmarkEnd w:id="261"/>
      <w:bookmarkEnd w:id="262"/>
    </w:p>
    <w:p w14:paraId="2C424A76">
      <w:pPr>
        <w:adjustRightInd w:val="0"/>
        <w:snapToGrid w:val="0"/>
        <w:spacing w:line="360" w:lineRule="auto"/>
        <w:ind w:firstLine="480" w:firstLineChars="200"/>
        <w:jc w:val="center"/>
        <w:rPr>
          <w:rFonts w:ascii="仿宋" w:hAnsi="仿宋" w:eastAsia="仿宋" w:cs="仿宋"/>
          <w:b/>
          <w:bCs/>
          <w:color w:val="auto"/>
          <w:sz w:val="32"/>
          <w:szCs w:val="44"/>
        </w:rPr>
      </w:pPr>
      <w:r>
        <w:rPr>
          <w:rFonts w:hint="eastAsia" w:cs="仿宋" w:asciiTheme="minorEastAsia" w:hAnsiTheme="minorEastAsia" w:eastAsiaTheme="minorEastAsia"/>
          <w:i/>
          <w:iCs/>
          <w:color w:val="auto"/>
          <w:sz w:val="24"/>
          <w:szCs w:val="24"/>
        </w:rPr>
        <w:t>（如为对采购文件或采购程序的询问或疑问，请按询问函范本或电子交易系统中网上询问格式附件进行提交）</w:t>
      </w:r>
    </w:p>
    <w:p w14:paraId="0C9C1FAE">
      <w:pPr>
        <w:adjustRightInd w:val="0"/>
        <w:snapToGrid w:val="0"/>
        <w:spacing w:line="360" w:lineRule="auto"/>
        <w:rPr>
          <w:rFonts w:cs="仿宋" w:asciiTheme="minorEastAsia" w:hAnsiTheme="minorEastAsia" w:eastAsiaTheme="minorEastAsia"/>
          <w:b/>
          <w:bCs/>
          <w:color w:val="auto"/>
          <w:sz w:val="24"/>
          <w:szCs w:val="24"/>
        </w:rPr>
      </w:pPr>
      <w:r>
        <w:rPr>
          <w:rFonts w:hint="eastAsia" w:cs="仿宋" w:asciiTheme="minorEastAsia" w:hAnsiTheme="minorEastAsia" w:eastAsiaTheme="minorEastAsia"/>
          <w:b/>
          <w:bCs/>
          <w:color w:val="auto"/>
          <w:sz w:val="24"/>
          <w:szCs w:val="24"/>
        </w:rPr>
        <w:t>致：采购人</w:t>
      </w:r>
    </w:p>
    <w:p w14:paraId="48E0DA5B">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rPr>
        <w:t xml:space="preserve">             </w:t>
      </w:r>
      <w:r>
        <w:rPr>
          <w:rFonts w:hint="eastAsia" w:cs="仿宋" w:asciiTheme="minorEastAsia" w:hAnsiTheme="minorEastAsia" w:eastAsiaTheme="minorEastAsia"/>
          <w:i/>
          <w:iCs/>
          <w:color w:val="auto"/>
          <w:sz w:val="24"/>
          <w:szCs w:val="24"/>
        </w:rPr>
        <w:t>（项目名称、编号)</w:t>
      </w:r>
      <w:r>
        <w:rPr>
          <w:rFonts w:hint="eastAsia" w:cs="仿宋" w:asciiTheme="minorEastAsia" w:hAnsiTheme="minorEastAsia" w:eastAsiaTheme="minorEastAsia"/>
          <w:color w:val="auto"/>
          <w:sz w:val="24"/>
          <w:szCs w:val="24"/>
        </w:rPr>
        <w:t>的采购活动，现有以下内容(或条款)存在疑问(或无法理解)，特提出询问。</w:t>
      </w:r>
    </w:p>
    <w:p w14:paraId="7C14D6F6">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263" w:name="_Toc9092"/>
      <w:bookmarkStart w:id="264" w:name="_Toc26386"/>
      <w:r>
        <w:rPr>
          <w:rFonts w:hint="eastAsia" w:cs="仿宋" w:asciiTheme="minorEastAsia" w:hAnsiTheme="minorEastAsia" w:eastAsiaTheme="minorEastAsia"/>
          <w:color w:val="auto"/>
          <w:sz w:val="24"/>
          <w:szCs w:val="24"/>
        </w:rPr>
        <w:t>一、(事项一)</w:t>
      </w:r>
      <w:bookmarkEnd w:id="263"/>
      <w:bookmarkEnd w:id="264"/>
    </w:p>
    <w:p w14:paraId="6E577C52">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1、(内容或条款)</w:t>
      </w:r>
    </w:p>
    <w:p w14:paraId="069F4424">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2、(说明疑问或无法理解原因)</w:t>
      </w:r>
    </w:p>
    <w:p w14:paraId="548050D1">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3、(建议)</w:t>
      </w:r>
    </w:p>
    <w:p w14:paraId="71EA2D96">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265" w:name="_Toc9273"/>
      <w:bookmarkStart w:id="266" w:name="_Toc17582"/>
      <w:r>
        <w:rPr>
          <w:rFonts w:hint="eastAsia" w:cs="仿宋" w:asciiTheme="minorEastAsia" w:hAnsiTheme="minorEastAsia" w:eastAsiaTheme="minorEastAsia"/>
          <w:color w:val="auto"/>
          <w:sz w:val="24"/>
          <w:szCs w:val="24"/>
        </w:rPr>
        <w:t>二、(事项二)</w:t>
      </w:r>
      <w:bookmarkEnd w:id="265"/>
      <w:bookmarkEnd w:id="266"/>
    </w:p>
    <w:p w14:paraId="71141F7B">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15A090CC">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随附相关证明材料如下： </w:t>
      </w:r>
    </w:p>
    <w:p w14:paraId="727EC449">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 系 人：</w:t>
      </w:r>
      <w:r>
        <w:rPr>
          <w:rFonts w:hint="eastAsia" w:asciiTheme="minorEastAsia" w:hAnsiTheme="minorEastAsia" w:eastAsiaTheme="minorEastAsia"/>
          <w:color w:val="auto"/>
          <w:sz w:val="24"/>
          <w:u w:val="single"/>
        </w:rPr>
        <w:t xml:space="preserve">              </w:t>
      </w:r>
    </w:p>
    <w:p w14:paraId="32DB3127">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联系电话：</w:t>
      </w:r>
      <w:r>
        <w:rPr>
          <w:rFonts w:hint="eastAsia" w:asciiTheme="minorEastAsia" w:hAnsiTheme="minorEastAsia" w:eastAsiaTheme="minorEastAsia"/>
          <w:color w:val="auto"/>
          <w:sz w:val="24"/>
          <w:u w:val="single"/>
        </w:rPr>
        <w:t xml:space="preserve">              </w:t>
      </w:r>
    </w:p>
    <w:p w14:paraId="3B484A46">
      <w:pPr>
        <w:tabs>
          <w:tab w:val="left" w:pos="630"/>
        </w:tabs>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日    期：</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p>
    <w:p w14:paraId="271BBCF5">
      <w:pPr>
        <w:rPr>
          <w:rFonts w:asciiTheme="minorEastAsia" w:hAnsiTheme="minorEastAsia" w:eastAsiaTheme="minorEastAsia"/>
          <w:b/>
          <w:color w:val="auto"/>
          <w:sz w:val="52"/>
        </w:rPr>
      </w:pPr>
      <w:r>
        <w:rPr>
          <w:rFonts w:hint="eastAsia" w:ascii="仿宋" w:hAnsi="仿宋" w:eastAsia="仿宋" w:cs="仿宋"/>
          <w:b/>
          <w:bCs/>
          <w:color w:val="auto"/>
          <w:sz w:val="32"/>
          <w:szCs w:val="44"/>
        </w:rPr>
        <w:br w:type="page"/>
      </w:r>
    </w:p>
    <w:p w14:paraId="330E324D">
      <w:pPr>
        <w:jc w:val="center"/>
        <w:outlineLvl w:val="1"/>
        <w:rPr>
          <w:rFonts w:ascii="仿宋" w:hAnsi="仿宋" w:eastAsia="仿宋" w:cs="仿宋"/>
          <w:b/>
          <w:bCs/>
          <w:color w:val="auto"/>
          <w:sz w:val="32"/>
          <w:szCs w:val="44"/>
        </w:rPr>
      </w:pPr>
      <w:bookmarkStart w:id="267" w:name="_Toc26673"/>
      <w:bookmarkStart w:id="268" w:name="_Toc6990"/>
      <w:r>
        <w:rPr>
          <w:rFonts w:hint="eastAsia" w:ascii="仿宋" w:hAnsi="仿宋" w:eastAsia="仿宋" w:cs="仿宋"/>
          <w:b/>
          <w:bCs/>
          <w:color w:val="auto"/>
          <w:sz w:val="32"/>
          <w:szCs w:val="44"/>
        </w:rPr>
        <w:t>质疑函范本</w:t>
      </w:r>
      <w:bookmarkEnd w:id="267"/>
      <w:bookmarkEnd w:id="268"/>
    </w:p>
    <w:p w14:paraId="41984649">
      <w:pPr>
        <w:adjustRightInd w:val="0"/>
        <w:snapToGrid w:val="0"/>
        <w:spacing w:before="312" w:beforeLines="100" w:line="360" w:lineRule="auto"/>
        <w:outlineLvl w:val="1"/>
        <w:rPr>
          <w:rFonts w:cs="仿宋" w:asciiTheme="minorEastAsia" w:hAnsiTheme="minorEastAsia" w:eastAsiaTheme="minorEastAsia"/>
          <w:b/>
          <w:bCs/>
          <w:color w:val="auto"/>
          <w:sz w:val="24"/>
          <w:szCs w:val="24"/>
        </w:rPr>
      </w:pPr>
      <w:bookmarkStart w:id="269" w:name="_Toc29510"/>
      <w:bookmarkStart w:id="270" w:name="_Toc2994"/>
      <w:r>
        <w:rPr>
          <w:rFonts w:hint="eastAsia" w:cs="仿宋" w:asciiTheme="minorEastAsia" w:hAnsiTheme="minorEastAsia" w:eastAsiaTheme="minorEastAsia"/>
          <w:b/>
          <w:bCs/>
          <w:color w:val="auto"/>
          <w:sz w:val="24"/>
          <w:szCs w:val="24"/>
        </w:rPr>
        <w:t>一、质疑供应商基本信息</w:t>
      </w:r>
      <w:bookmarkEnd w:id="269"/>
      <w:bookmarkEnd w:id="270"/>
    </w:p>
    <w:p w14:paraId="2AE0CD2C">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质疑供应商：</w:t>
      </w:r>
      <w:r>
        <w:rPr>
          <w:rFonts w:hint="eastAsia" w:cs="仿宋" w:asciiTheme="minorEastAsia" w:hAnsiTheme="minorEastAsia" w:eastAsiaTheme="minorEastAsia"/>
          <w:color w:val="auto"/>
          <w:sz w:val="24"/>
          <w:szCs w:val="24"/>
          <w:u w:val="dotted"/>
        </w:rPr>
        <w:t xml:space="preserve">                                        </w:t>
      </w:r>
    </w:p>
    <w:p w14:paraId="03531E29">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670C8D90">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038F663D">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授权代表：</w:t>
      </w:r>
      <w:r>
        <w:rPr>
          <w:rFonts w:hint="eastAsia" w:cs="仿宋" w:asciiTheme="minorEastAsia" w:hAnsiTheme="minorEastAsia" w:eastAsiaTheme="minorEastAsia"/>
          <w:color w:val="auto"/>
          <w:sz w:val="24"/>
          <w:szCs w:val="24"/>
          <w:u w:val="dotted"/>
        </w:rPr>
        <w:t xml:space="preserve">                                          </w:t>
      </w:r>
    </w:p>
    <w:p w14:paraId="2C46D96C">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7CD43872">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cs="仿宋" w:asciiTheme="minorEastAsia" w:hAnsiTheme="minorEastAsia" w:eastAsiaTheme="minorEastAsia"/>
          <w:color w:val="auto"/>
          <w:sz w:val="24"/>
          <w:szCs w:val="24"/>
        </w:rPr>
        <w:t xml:space="preserve"> </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19B0013F">
      <w:pPr>
        <w:adjustRightInd w:val="0"/>
        <w:snapToGrid w:val="0"/>
        <w:spacing w:line="360" w:lineRule="auto"/>
        <w:outlineLvl w:val="1"/>
        <w:rPr>
          <w:rFonts w:cs="仿宋" w:asciiTheme="minorEastAsia" w:hAnsiTheme="minorEastAsia" w:eastAsiaTheme="minorEastAsia"/>
          <w:b/>
          <w:bCs/>
          <w:color w:val="auto"/>
          <w:sz w:val="24"/>
          <w:szCs w:val="24"/>
        </w:rPr>
      </w:pPr>
      <w:bookmarkStart w:id="271" w:name="_Toc31042"/>
      <w:bookmarkStart w:id="272" w:name="_Toc28130"/>
      <w:r>
        <w:rPr>
          <w:rFonts w:hint="eastAsia" w:cs="仿宋" w:asciiTheme="minorEastAsia" w:hAnsiTheme="minorEastAsia" w:eastAsiaTheme="minorEastAsia"/>
          <w:b/>
          <w:bCs/>
          <w:color w:val="auto"/>
          <w:sz w:val="24"/>
          <w:szCs w:val="24"/>
        </w:rPr>
        <w:t>二、质疑项目基本情况</w:t>
      </w:r>
      <w:bookmarkEnd w:id="271"/>
      <w:bookmarkEnd w:id="272"/>
    </w:p>
    <w:p w14:paraId="55FC76BC">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质疑项目的名称：</w:t>
      </w:r>
      <w:r>
        <w:rPr>
          <w:rFonts w:hint="eastAsia" w:cs="仿宋" w:asciiTheme="minorEastAsia" w:hAnsiTheme="minorEastAsia" w:eastAsiaTheme="minorEastAsia"/>
          <w:color w:val="auto"/>
          <w:sz w:val="24"/>
          <w:szCs w:val="24"/>
          <w:u w:val="dotted"/>
        </w:rPr>
        <w:t xml:space="preserve">                                    </w:t>
      </w:r>
    </w:p>
    <w:p w14:paraId="53B08209">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质疑项目的编号：</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包号：</w:t>
      </w:r>
      <w:r>
        <w:rPr>
          <w:rFonts w:hint="eastAsia" w:cs="仿宋" w:asciiTheme="minorEastAsia" w:hAnsiTheme="minorEastAsia" w:eastAsiaTheme="minorEastAsia"/>
          <w:color w:val="auto"/>
          <w:sz w:val="24"/>
          <w:szCs w:val="24"/>
          <w:u w:val="dotted"/>
        </w:rPr>
        <w:t xml:space="preserve">               </w:t>
      </w:r>
    </w:p>
    <w:p w14:paraId="2F65B23A">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采购人名称：</w:t>
      </w:r>
      <w:r>
        <w:rPr>
          <w:rFonts w:hint="eastAsia" w:cs="仿宋" w:asciiTheme="minorEastAsia" w:hAnsiTheme="minorEastAsia" w:eastAsiaTheme="minorEastAsia"/>
          <w:color w:val="auto"/>
          <w:sz w:val="24"/>
          <w:szCs w:val="24"/>
          <w:u w:val="dotted"/>
        </w:rPr>
        <w:t xml:space="preserve">                                        </w:t>
      </w:r>
    </w:p>
    <w:p w14:paraId="1D27D9FE">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采购文件获取日期：</w:t>
      </w:r>
      <w:r>
        <w:rPr>
          <w:rFonts w:hint="eastAsia" w:cs="仿宋" w:asciiTheme="minorEastAsia" w:hAnsiTheme="minorEastAsia" w:eastAsiaTheme="minorEastAsia"/>
          <w:color w:val="auto"/>
          <w:sz w:val="24"/>
          <w:szCs w:val="24"/>
          <w:u w:val="dotted"/>
        </w:rPr>
        <w:t xml:space="preserve">                                  </w:t>
      </w:r>
    </w:p>
    <w:p w14:paraId="783AFCA6">
      <w:pPr>
        <w:adjustRightInd w:val="0"/>
        <w:snapToGrid w:val="0"/>
        <w:spacing w:line="360" w:lineRule="auto"/>
        <w:outlineLvl w:val="1"/>
        <w:rPr>
          <w:rFonts w:cs="仿宋" w:asciiTheme="minorEastAsia" w:hAnsiTheme="minorEastAsia" w:eastAsiaTheme="minorEastAsia"/>
          <w:b/>
          <w:bCs/>
          <w:color w:val="auto"/>
          <w:sz w:val="24"/>
          <w:szCs w:val="24"/>
        </w:rPr>
      </w:pPr>
      <w:bookmarkStart w:id="273" w:name="_Toc6486"/>
      <w:bookmarkStart w:id="274" w:name="_Toc20587"/>
      <w:r>
        <w:rPr>
          <w:rFonts w:hint="eastAsia" w:cs="仿宋" w:asciiTheme="minorEastAsia" w:hAnsiTheme="minorEastAsia" w:eastAsiaTheme="minorEastAsia"/>
          <w:b/>
          <w:bCs/>
          <w:color w:val="auto"/>
          <w:sz w:val="24"/>
          <w:szCs w:val="24"/>
        </w:rPr>
        <w:t>三、质疑事项具体内容</w:t>
      </w:r>
      <w:bookmarkEnd w:id="273"/>
      <w:bookmarkEnd w:id="274"/>
    </w:p>
    <w:p w14:paraId="0D345DF3">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质疑事项1：</w:t>
      </w:r>
      <w:r>
        <w:rPr>
          <w:rFonts w:hint="eastAsia" w:cs="仿宋" w:asciiTheme="minorEastAsia" w:hAnsiTheme="minorEastAsia" w:eastAsiaTheme="minorEastAsia"/>
          <w:color w:val="auto"/>
          <w:sz w:val="24"/>
          <w:szCs w:val="24"/>
          <w:u w:val="dotted"/>
        </w:rPr>
        <w:t xml:space="preserve">                                         </w:t>
      </w:r>
    </w:p>
    <w:p w14:paraId="099B82AD">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事实依据：</w:t>
      </w:r>
      <w:r>
        <w:rPr>
          <w:rFonts w:hint="eastAsia" w:cs="仿宋" w:asciiTheme="minorEastAsia" w:hAnsiTheme="minorEastAsia" w:eastAsiaTheme="minorEastAsia"/>
          <w:color w:val="auto"/>
          <w:sz w:val="24"/>
          <w:szCs w:val="24"/>
          <w:u w:val="dotted"/>
        </w:rPr>
        <w:t xml:space="preserve">                                          </w:t>
      </w:r>
    </w:p>
    <w:p w14:paraId="69EF07DA">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u w:val="dotted"/>
        </w:rPr>
        <w:t xml:space="preserve">                                                    </w:t>
      </w:r>
    </w:p>
    <w:p w14:paraId="3460BCA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法律依据：</w:t>
      </w:r>
      <w:r>
        <w:rPr>
          <w:rFonts w:hint="eastAsia" w:cs="仿宋" w:asciiTheme="minorEastAsia" w:hAnsiTheme="minorEastAsia" w:eastAsiaTheme="minorEastAsia"/>
          <w:color w:val="auto"/>
          <w:sz w:val="24"/>
          <w:szCs w:val="24"/>
          <w:u w:val="dotted"/>
        </w:rPr>
        <w:t xml:space="preserve">                                          </w:t>
      </w:r>
    </w:p>
    <w:p w14:paraId="3668770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u w:val="dotted"/>
        </w:rPr>
        <w:t xml:space="preserve">                                                    </w:t>
      </w:r>
    </w:p>
    <w:p w14:paraId="2407E508">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质疑事项2</w:t>
      </w:r>
    </w:p>
    <w:p w14:paraId="56C55CB8">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39E1B2C4">
      <w:pPr>
        <w:adjustRightInd w:val="0"/>
        <w:snapToGrid w:val="0"/>
        <w:spacing w:line="360" w:lineRule="auto"/>
        <w:outlineLvl w:val="1"/>
        <w:rPr>
          <w:rFonts w:cs="仿宋" w:asciiTheme="minorEastAsia" w:hAnsiTheme="minorEastAsia" w:eastAsiaTheme="minorEastAsia"/>
          <w:b/>
          <w:bCs/>
          <w:color w:val="auto"/>
          <w:sz w:val="24"/>
          <w:szCs w:val="24"/>
        </w:rPr>
      </w:pPr>
      <w:bookmarkStart w:id="275" w:name="_Toc20470"/>
      <w:bookmarkStart w:id="276" w:name="_Toc32755"/>
      <w:r>
        <w:rPr>
          <w:rFonts w:hint="eastAsia" w:cs="仿宋" w:asciiTheme="minorEastAsia" w:hAnsiTheme="minorEastAsia" w:eastAsiaTheme="minorEastAsia"/>
          <w:b/>
          <w:bCs/>
          <w:color w:val="auto"/>
          <w:sz w:val="24"/>
          <w:szCs w:val="24"/>
        </w:rPr>
        <w:t>四、与质疑事项相关的质疑请求</w:t>
      </w:r>
      <w:bookmarkEnd w:id="275"/>
      <w:bookmarkEnd w:id="276"/>
    </w:p>
    <w:p w14:paraId="5542B9A8">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请求：</w:t>
      </w:r>
      <w:r>
        <w:rPr>
          <w:rFonts w:hint="eastAsia" w:cs="仿宋" w:asciiTheme="minorEastAsia" w:hAnsiTheme="minorEastAsia" w:eastAsiaTheme="minorEastAsia"/>
          <w:color w:val="auto"/>
          <w:sz w:val="24"/>
          <w:szCs w:val="24"/>
          <w:u w:val="dotted"/>
        </w:rPr>
        <w:t xml:space="preserve">                                              </w:t>
      </w:r>
    </w:p>
    <w:p w14:paraId="18F3AF45">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签字(签章)：                   公章：                      </w:t>
      </w:r>
    </w:p>
    <w:p w14:paraId="1B2CDDEF">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日期：    </w:t>
      </w:r>
    </w:p>
    <w:p w14:paraId="3C552977">
      <w:pPr>
        <w:widowControl/>
        <w:jc w:val="left"/>
        <w:rPr>
          <w:rFonts w:ascii="仿宋" w:hAnsi="仿宋" w:eastAsia="仿宋" w:cs="仿宋"/>
          <w:color w:val="auto"/>
          <w:sz w:val="32"/>
          <w:szCs w:val="32"/>
        </w:rPr>
      </w:pPr>
      <w:r>
        <w:rPr>
          <w:rFonts w:ascii="仿宋" w:hAnsi="仿宋" w:eastAsia="仿宋" w:cs="仿宋"/>
          <w:color w:val="auto"/>
          <w:sz w:val="32"/>
          <w:szCs w:val="32"/>
        </w:rPr>
        <w:br w:type="page"/>
      </w:r>
    </w:p>
    <w:p w14:paraId="33EA7737">
      <w:pPr>
        <w:outlineLvl w:val="0"/>
        <w:rPr>
          <w:rFonts w:asciiTheme="minorEastAsia" w:hAnsiTheme="minorEastAsia" w:eastAsiaTheme="minorEastAsia"/>
          <w:b/>
          <w:color w:val="auto"/>
          <w:sz w:val="28"/>
          <w:szCs w:val="32"/>
        </w:rPr>
      </w:pPr>
      <w:bookmarkStart w:id="277" w:name="_Toc8368"/>
      <w:bookmarkStart w:id="278" w:name="_Toc21667"/>
      <w:r>
        <w:rPr>
          <w:rFonts w:hint="eastAsia" w:asciiTheme="minorEastAsia" w:hAnsiTheme="minorEastAsia" w:eastAsiaTheme="minorEastAsia"/>
          <w:b/>
          <w:color w:val="auto"/>
          <w:sz w:val="28"/>
          <w:szCs w:val="32"/>
        </w:rPr>
        <w:t>质疑函制作说明：</w:t>
      </w:r>
      <w:bookmarkEnd w:id="277"/>
      <w:bookmarkEnd w:id="278"/>
    </w:p>
    <w:p w14:paraId="12B395B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1.供应商提出质疑时，应提交质疑函和必要的证明材料。</w:t>
      </w:r>
    </w:p>
    <w:p w14:paraId="702AFFE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C5130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3.质疑供应商若对项目的某一分包进行质疑，质疑函中应列明具体分包号。</w:t>
      </w:r>
    </w:p>
    <w:p w14:paraId="216E0E7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4.质疑函的质疑事项应具体、明确，并有必要的事实依据和法律依据。</w:t>
      </w:r>
    </w:p>
    <w:p w14:paraId="1B8BB70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5.质疑函的质疑请求应与质疑事项相关。</w:t>
      </w:r>
    </w:p>
    <w:p w14:paraId="7169E72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06E3">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8A23">
    <w:pPr>
      <w:pStyle w:val="15"/>
      <w:tabs>
        <w:tab w:val="clear" w:pos="4153"/>
      </w:tabs>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54BA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954BAA">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E59D">
    <w:pPr>
      <w:pStyle w:val="15"/>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D8E3B">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FD8E3B">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ACE9">
    <w:pPr>
      <w:pStyle w:val="16"/>
      <w:jc w:val="left"/>
    </w:pPr>
    <w:r>
      <w:rPr>
        <w:rFonts w:hint="eastAsia" w:asciiTheme="minorEastAsia" w:hAnsiTheme="minorEastAsia" w:eastAsiaTheme="minorEastAsia"/>
      </w:rPr>
      <w:t>省淮河局2025年部分水闸安全鉴定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CA8D">
    <w:pPr>
      <w:pStyle w:val="16"/>
      <w:jc w:val="left"/>
    </w:pPr>
    <w:r>
      <w:rPr>
        <w:rFonts w:hint="eastAsia" w:asciiTheme="minorEastAsia" w:hAnsiTheme="minorEastAsia" w:eastAsiaTheme="minorEastAsia"/>
      </w:rPr>
      <w:t>安徽省政府采购项目竞争性磋商文件示范文本（服务类）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35486"/>
    <w:multiLevelType w:val="singleLevel"/>
    <w:tmpl w:val="A5C35486"/>
    <w:lvl w:ilvl="0" w:tentative="0">
      <w:start w:val="7"/>
      <w:numFmt w:val="chineseCounting"/>
      <w:suff w:val="nothing"/>
      <w:lvlText w:val="%1、"/>
      <w:lvlJc w:val="left"/>
      <w:rPr>
        <w:rFonts w:hint="eastAsia"/>
      </w:rPr>
    </w:lvl>
  </w:abstractNum>
  <w:abstractNum w:abstractNumId="1">
    <w:nsid w:val="15E096DC"/>
    <w:multiLevelType w:val="singleLevel"/>
    <w:tmpl w:val="15E096D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 w:name="KSO_WPS_MARK_KEY" w:val="ad60c202-8af9-45f4-8044-d15b30f966cd"/>
  </w:docVars>
  <w:rsids>
    <w:rsidRoot w:val="00276BA1"/>
    <w:rsid w:val="0000043F"/>
    <w:rsid w:val="0000081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31"/>
    <w:rsid w:val="00056ECB"/>
    <w:rsid w:val="00057B40"/>
    <w:rsid w:val="000648D2"/>
    <w:rsid w:val="00070E0E"/>
    <w:rsid w:val="0007146E"/>
    <w:rsid w:val="00072E36"/>
    <w:rsid w:val="00076DB7"/>
    <w:rsid w:val="00080FEB"/>
    <w:rsid w:val="00094D41"/>
    <w:rsid w:val="00097CB9"/>
    <w:rsid w:val="000A0161"/>
    <w:rsid w:val="000A10A9"/>
    <w:rsid w:val="000A6693"/>
    <w:rsid w:val="000A7970"/>
    <w:rsid w:val="000A7D94"/>
    <w:rsid w:val="000B1511"/>
    <w:rsid w:val="000B6249"/>
    <w:rsid w:val="000C1DB1"/>
    <w:rsid w:val="000C3FD5"/>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5E1E"/>
    <w:rsid w:val="0011660B"/>
    <w:rsid w:val="0012143A"/>
    <w:rsid w:val="0012203E"/>
    <w:rsid w:val="00123B07"/>
    <w:rsid w:val="001258BA"/>
    <w:rsid w:val="00130601"/>
    <w:rsid w:val="00132F4D"/>
    <w:rsid w:val="00133EA0"/>
    <w:rsid w:val="00137249"/>
    <w:rsid w:val="00140687"/>
    <w:rsid w:val="00143255"/>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34E8"/>
    <w:rsid w:val="001940E2"/>
    <w:rsid w:val="001944B8"/>
    <w:rsid w:val="001959A9"/>
    <w:rsid w:val="001967D2"/>
    <w:rsid w:val="00196DA3"/>
    <w:rsid w:val="001970C3"/>
    <w:rsid w:val="001971E5"/>
    <w:rsid w:val="00197622"/>
    <w:rsid w:val="001A0C0F"/>
    <w:rsid w:val="001A68E5"/>
    <w:rsid w:val="001B2A54"/>
    <w:rsid w:val="001B2BA4"/>
    <w:rsid w:val="001B5014"/>
    <w:rsid w:val="001B7327"/>
    <w:rsid w:val="001C2A15"/>
    <w:rsid w:val="001D22EA"/>
    <w:rsid w:val="001D53B4"/>
    <w:rsid w:val="001E1835"/>
    <w:rsid w:val="001E281E"/>
    <w:rsid w:val="001F28D2"/>
    <w:rsid w:val="001F2F45"/>
    <w:rsid w:val="001F3023"/>
    <w:rsid w:val="001F35F6"/>
    <w:rsid w:val="001F4AAF"/>
    <w:rsid w:val="001F74CA"/>
    <w:rsid w:val="001F7590"/>
    <w:rsid w:val="002003B6"/>
    <w:rsid w:val="0020244A"/>
    <w:rsid w:val="002049B4"/>
    <w:rsid w:val="0020520B"/>
    <w:rsid w:val="002076AD"/>
    <w:rsid w:val="00213265"/>
    <w:rsid w:val="00213C55"/>
    <w:rsid w:val="00223CF4"/>
    <w:rsid w:val="00224B69"/>
    <w:rsid w:val="00224C4A"/>
    <w:rsid w:val="00231187"/>
    <w:rsid w:val="0023407E"/>
    <w:rsid w:val="00235AD7"/>
    <w:rsid w:val="00236143"/>
    <w:rsid w:val="00240B40"/>
    <w:rsid w:val="00244182"/>
    <w:rsid w:val="00246425"/>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152D8"/>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13D9"/>
    <w:rsid w:val="003826C2"/>
    <w:rsid w:val="00383728"/>
    <w:rsid w:val="00384E57"/>
    <w:rsid w:val="003903BB"/>
    <w:rsid w:val="0039195E"/>
    <w:rsid w:val="00392627"/>
    <w:rsid w:val="00394128"/>
    <w:rsid w:val="00394ADC"/>
    <w:rsid w:val="00395235"/>
    <w:rsid w:val="0039561A"/>
    <w:rsid w:val="00396667"/>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3738A"/>
    <w:rsid w:val="004427B7"/>
    <w:rsid w:val="0044349F"/>
    <w:rsid w:val="00445F1F"/>
    <w:rsid w:val="00447862"/>
    <w:rsid w:val="00451F60"/>
    <w:rsid w:val="00452BB2"/>
    <w:rsid w:val="00456054"/>
    <w:rsid w:val="0045656D"/>
    <w:rsid w:val="00462D98"/>
    <w:rsid w:val="00463E7D"/>
    <w:rsid w:val="00470F83"/>
    <w:rsid w:val="00472A44"/>
    <w:rsid w:val="00473A89"/>
    <w:rsid w:val="00475899"/>
    <w:rsid w:val="004817BA"/>
    <w:rsid w:val="00482C78"/>
    <w:rsid w:val="00483ABC"/>
    <w:rsid w:val="0048634A"/>
    <w:rsid w:val="004874AE"/>
    <w:rsid w:val="0049056F"/>
    <w:rsid w:val="00492217"/>
    <w:rsid w:val="00494D24"/>
    <w:rsid w:val="004951D1"/>
    <w:rsid w:val="004960BB"/>
    <w:rsid w:val="004A1BA3"/>
    <w:rsid w:val="004A27D0"/>
    <w:rsid w:val="004A4D67"/>
    <w:rsid w:val="004B3668"/>
    <w:rsid w:val="004B7E79"/>
    <w:rsid w:val="004C13CB"/>
    <w:rsid w:val="004C1AAB"/>
    <w:rsid w:val="004C5B90"/>
    <w:rsid w:val="004D3D4B"/>
    <w:rsid w:val="004D5498"/>
    <w:rsid w:val="004D66A5"/>
    <w:rsid w:val="004D6B00"/>
    <w:rsid w:val="004E1D50"/>
    <w:rsid w:val="004E3140"/>
    <w:rsid w:val="004E3266"/>
    <w:rsid w:val="004E38BA"/>
    <w:rsid w:val="004E50CA"/>
    <w:rsid w:val="004F27A0"/>
    <w:rsid w:val="004F3958"/>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5404"/>
    <w:rsid w:val="005470D4"/>
    <w:rsid w:val="0055705E"/>
    <w:rsid w:val="005616B5"/>
    <w:rsid w:val="00566690"/>
    <w:rsid w:val="005679A4"/>
    <w:rsid w:val="005732A4"/>
    <w:rsid w:val="00574CE6"/>
    <w:rsid w:val="0059223D"/>
    <w:rsid w:val="0059365B"/>
    <w:rsid w:val="00593ABC"/>
    <w:rsid w:val="00597B15"/>
    <w:rsid w:val="005A044C"/>
    <w:rsid w:val="005A149F"/>
    <w:rsid w:val="005A3A32"/>
    <w:rsid w:val="005A45D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29BA"/>
    <w:rsid w:val="0064389A"/>
    <w:rsid w:val="00645442"/>
    <w:rsid w:val="006525CD"/>
    <w:rsid w:val="00653F7F"/>
    <w:rsid w:val="00662DCD"/>
    <w:rsid w:val="00662EE8"/>
    <w:rsid w:val="00663813"/>
    <w:rsid w:val="00664AFD"/>
    <w:rsid w:val="00667567"/>
    <w:rsid w:val="0067198E"/>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4192"/>
    <w:rsid w:val="006C5716"/>
    <w:rsid w:val="006C64B2"/>
    <w:rsid w:val="006C74A9"/>
    <w:rsid w:val="006C7542"/>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5C49"/>
    <w:rsid w:val="00736013"/>
    <w:rsid w:val="00737BF8"/>
    <w:rsid w:val="0074339B"/>
    <w:rsid w:val="0074478E"/>
    <w:rsid w:val="00750B60"/>
    <w:rsid w:val="00756245"/>
    <w:rsid w:val="00761662"/>
    <w:rsid w:val="00764043"/>
    <w:rsid w:val="00766A36"/>
    <w:rsid w:val="00773D70"/>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2419"/>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11F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46BD"/>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85DDB"/>
    <w:rsid w:val="00991460"/>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9F4B04"/>
    <w:rsid w:val="00A008DA"/>
    <w:rsid w:val="00A00C93"/>
    <w:rsid w:val="00A0571E"/>
    <w:rsid w:val="00A13A27"/>
    <w:rsid w:val="00A1499B"/>
    <w:rsid w:val="00A170D8"/>
    <w:rsid w:val="00A30A1B"/>
    <w:rsid w:val="00A311AD"/>
    <w:rsid w:val="00A314C2"/>
    <w:rsid w:val="00A43949"/>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D508C"/>
    <w:rsid w:val="00AE2149"/>
    <w:rsid w:val="00AE2BF3"/>
    <w:rsid w:val="00AE33AE"/>
    <w:rsid w:val="00AE3986"/>
    <w:rsid w:val="00AE3F91"/>
    <w:rsid w:val="00AF5B63"/>
    <w:rsid w:val="00B0053D"/>
    <w:rsid w:val="00B01176"/>
    <w:rsid w:val="00B039E3"/>
    <w:rsid w:val="00B06D36"/>
    <w:rsid w:val="00B12BC4"/>
    <w:rsid w:val="00B20B3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1FB"/>
    <w:rsid w:val="00B806C3"/>
    <w:rsid w:val="00B80D6F"/>
    <w:rsid w:val="00B84FCA"/>
    <w:rsid w:val="00B9089F"/>
    <w:rsid w:val="00B91826"/>
    <w:rsid w:val="00B91AEE"/>
    <w:rsid w:val="00B95F5A"/>
    <w:rsid w:val="00B96EAD"/>
    <w:rsid w:val="00BA05C3"/>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6036"/>
    <w:rsid w:val="00BE782C"/>
    <w:rsid w:val="00BF376F"/>
    <w:rsid w:val="00BF46A6"/>
    <w:rsid w:val="00BF6CAD"/>
    <w:rsid w:val="00BF71FB"/>
    <w:rsid w:val="00C044E8"/>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2B28"/>
    <w:rsid w:val="00CB5625"/>
    <w:rsid w:val="00CB5797"/>
    <w:rsid w:val="00CB6160"/>
    <w:rsid w:val="00CC1C17"/>
    <w:rsid w:val="00CC4F7F"/>
    <w:rsid w:val="00CC5D70"/>
    <w:rsid w:val="00CD09E1"/>
    <w:rsid w:val="00CE1780"/>
    <w:rsid w:val="00CE4913"/>
    <w:rsid w:val="00CE66BD"/>
    <w:rsid w:val="00CF0671"/>
    <w:rsid w:val="00CF247A"/>
    <w:rsid w:val="00CF44AD"/>
    <w:rsid w:val="00CF45F2"/>
    <w:rsid w:val="00CF4D7C"/>
    <w:rsid w:val="00CF4FC0"/>
    <w:rsid w:val="00CF6BA5"/>
    <w:rsid w:val="00CF7486"/>
    <w:rsid w:val="00D00637"/>
    <w:rsid w:val="00D1072F"/>
    <w:rsid w:val="00D108A5"/>
    <w:rsid w:val="00D14585"/>
    <w:rsid w:val="00D153C8"/>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5AAE"/>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371B"/>
    <w:rsid w:val="00DF4367"/>
    <w:rsid w:val="00DF565E"/>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09D2"/>
    <w:rsid w:val="00EB38A0"/>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0AED"/>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1EA8"/>
    <w:rsid w:val="00FF2B09"/>
    <w:rsid w:val="00FF44E0"/>
    <w:rsid w:val="00FF6C72"/>
    <w:rsid w:val="00FF73F2"/>
    <w:rsid w:val="01722E9F"/>
    <w:rsid w:val="01915CC2"/>
    <w:rsid w:val="02EB0203"/>
    <w:rsid w:val="0396194E"/>
    <w:rsid w:val="06AE129F"/>
    <w:rsid w:val="06D53CC1"/>
    <w:rsid w:val="072D20A4"/>
    <w:rsid w:val="073B420D"/>
    <w:rsid w:val="09A909AA"/>
    <w:rsid w:val="0A3D35AB"/>
    <w:rsid w:val="0A542106"/>
    <w:rsid w:val="0A6C4667"/>
    <w:rsid w:val="0BB94CF0"/>
    <w:rsid w:val="0BBE711B"/>
    <w:rsid w:val="0BD47173"/>
    <w:rsid w:val="0C1B47F2"/>
    <w:rsid w:val="0C4264AA"/>
    <w:rsid w:val="0C6157E5"/>
    <w:rsid w:val="0DB63633"/>
    <w:rsid w:val="0FFC6E68"/>
    <w:rsid w:val="10607C4F"/>
    <w:rsid w:val="106E6418"/>
    <w:rsid w:val="107C2BF5"/>
    <w:rsid w:val="11323C4E"/>
    <w:rsid w:val="12D71D5F"/>
    <w:rsid w:val="13E133AD"/>
    <w:rsid w:val="151B7FB7"/>
    <w:rsid w:val="167B6427"/>
    <w:rsid w:val="16A000A1"/>
    <w:rsid w:val="16B27D38"/>
    <w:rsid w:val="17C23271"/>
    <w:rsid w:val="18486691"/>
    <w:rsid w:val="18D62949"/>
    <w:rsid w:val="1930691F"/>
    <w:rsid w:val="195F1B69"/>
    <w:rsid w:val="1A6528FE"/>
    <w:rsid w:val="1A835004"/>
    <w:rsid w:val="1BA61F6F"/>
    <w:rsid w:val="1C1F477D"/>
    <w:rsid w:val="1C63029E"/>
    <w:rsid w:val="1C715A71"/>
    <w:rsid w:val="1CC921E7"/>
    <w:rsid w:val="1D1C4205"/>
    <w:rsid w:val="1D444EB6"/>
    <w:rsid w:val="1DA840EB"/>
    <w:rsid w:val="206D26A6"/>
    <w:rsid w:val="20C16461"/>
    <w:rsid w:val="20FF5536"/>
    <w:rsid w:val="2146397C"/>
    <w:rsid w:val="21F42BC1"/>
    <w:rsid w:val="226F2197"/>
    <w:rsid w:val="23146520"/>
    <w:rsid w:val="23585502"/>
    <w:rsid w:val="23596C26"/>
    <w:rsid w:val="24577437"/>
    <w:rsid w:val="25800113"/>
    <w:rsid w:val="262D78EB"/>
    <w:rsid w:val="27CA60F4"/>
    <w:rsid w:val="27E85AF1"/>
    <w:rsid w:val="28C929C1"/>
    <w:rsid w:val="295220BC"/>
    <w:rsid w:val="29DA6B0B"/>
    <w:rsid w:val="2A093B18"/>
    <w:rsid w:val="2A8D7B4E"/>
    <w:rsid w:val="2ABD245A"/>
    <w:rsid w:val="2B412386"/>
    <w:rsid w:val="2BB34FD2"/>
    <w:rsid w:val="2BD62409"/>
    <w:rsid w:val="2C1C1853"/>
    <w:rsid w:val="2CEA687B"/>
    <w:rsid w:val="2D1633EB"/>
    <w:rsid w:val="2DD40FDF"/>
    <w:rsid w:val="2DE16C1F"/>
    <w:rsid w:val="2E1B2EA1"/>
    <w:rsid w:val="2E63511A"/>
    <w:rsid w:val="2EB35320"/>
    <w:rsid w:val="2F111D48"/>
    <w:rsid w:val="2F317872"/>
    <w:rsid w:val="2F3F0C54"/>
    <w:rsid w:val="2F4615DA"/>
    <w:rsid w:val="2F634EE2"/>
    <w:rsid w:val="2FEB270A"/>
    <w:rsid w:val="30ED2B9B"/>
    <w:rsid w:val="31197749"/>
    <w:rsid w:val="32691053"/>
    <w:rsid w:val="328B4E7C"/>
    <w:rsid w:val="32A538A5"/>
    <w:rsid w:val="330E360D"/>
    <w:rsid w:val="33B37D2E"/>
    <w:rsid w:val="34210B45"/>
    <w:rsid w:val="34D33CB2"/>
    <w:rsid w:val="352620DC"/>
    <w:rsid w:val="35E5310F"/>
    <w:rsid w:val="361B367C"/>
    <w:rsid w:val="3661430F"/>
    <w:rsid w:val="369D587E"/>
    <w:rsid w:val="36CF1D5D"/>
    <w:rsid w:val="370F3BF6"/>
    <w:rsid w:val="387D47BC"/>
    <w:rsid w:val="39293004"/>
    <w:rsid w:val="39882115"/>
    <w:rsid w:val="39E10D60"/>
    <w:rsid w:val="3A730CDD"/>
    <w:rsid w:val="3BFC5E74"/>
    <w:rsid w:val="3C0059BB"/>
    <w:rsid w:val="3C5F3E33"/>
    <w:rsid w:val="3F5E4365"/>
    <w:rsid w:val="3FB0492C"/>
    <w:rsid w:val="400A040D"/>
    <w:rsid w:val="409E2788"/>
    <w:rsid w:val="415470E2"/>
    <w:rsid w:val="41AF5742"/>
    <w:rsid w:val="41BB759E"/>
    <w:rsid w:val="42B740A7"/>
    <w:rsid w:val="4353477A"/>
    <w:rsid w:val="43C05511"/>
    <w:rsid w:val="446B6021"/>
    <w:rsid w:val="45D571E0"/>
    <w:rsid w:val="45FC7108"/>
    <w:rsid w:val="473A7BED"/>
    <w:rsid w:val="47863A67"/>
    <w:rsid w:val="478F71C4"/>
    <w:rsid w:val="48055C38"/>
    <w:rsid w:val="4821633F"/>
    <w:rsid w:val="4821786A"/>
    <w:rsid w:val="4825146D"/>
    <w:rsid w:val="4A6169D0"/>
    <w:rsid w:val="4B014864"/>
    <w:rsid w:val="4B5210DA"/>
    <w:rsid w:val="4B954E7C"/>
    <w:rsid w:val="4D805EFF"/>
    <w:rsid w:val="4E6B046C"/>
    <w:rsid w:val="4E707289"/>
    <w:rsid w:val="4E9E4717"/>
    <w:rsid w:val="4EEA3D40"/>
    <w:rsid w:val="4F00728A"/>
    <w:rsid w:val="4F3F6AB1"/>
    <w:rsid w:val="4F5D071B"/>
    <w:rsid w:val="4F9B688F"/>
    <w:rsid w:val="4FE10B2D"/>
    <w:rsid w:val="5105628E"/>
    <w:rsid w:val="52E958C6"/>
    <w:rsid w:val="54087D99"/>
    <w:rsid w:val="54212AF2"/>
    <w:rsid w:val="54A72003"/>
    <w:rsid w:val="550541C2"/>
    <w:rsid w:val="56023921"/>
    <w:rsid w:val="56C360E3"/>
    <w:rsid w:val="5809250B"/>
    <w:rsid w:val="592A069B"/>
    <w:rsid w:val="59797E22"/>
    <w:rsid w:val="5A3617D9"/>
    <w:rsid w:val="5A7F6B6C"/>
    <w:rsid w:val="5AFB613D"/>
    <w:rsid w:val="5B0D0447"/>
    <w:rsid w:val="5B884B20"/>
    <w:rsid w:val="5BC0556E"/>
    <w:rsid w:val="5BC81C40"/>
    <w:rsid w:val="5C014453"/>
    <w:rsid w:val="5C91675E"/>
    <w:rsid w:val="5DA327CA"/>
    <w:rsid w:val="5E5D2E35"/>
    <w:rsid w:val="5F1F0576"/>
    <w:rsid w:val="5FD74633"/>
    <w:rsid w:val="60E412C0"/>
    <w:rsid w:val="61E323AE"/>
    <w:rsid w:val="623331AC"/>
    <w:rsid w:val="625772C4"/>
    <w:rsid w:val="63307CBF"/>
    <w:rsid w:val="636F3034"/>
    <w:rsid w:val="63D73A13"/>
    <w:rsid w:val="64FE29DC"/>
    <w:rsid w:val="650516A8"/>
    <w:rsid w:val="65330581"/>
    <w:rsid w:val="65830E72"/>
    <w:rsid w:val="668665AF"/>
    <w:rsid w:val="66E81280"/>
    <w:rsid w:val="67063DDF"/>
    <w:rsid w:val="69110DD3"/>
    <w:rsid w:val="691D526F"/>
    <w:rsid w:val="69676D3F"/>
    <w:rsid w:val="6A2E3597"/>
    <w:rsid w:val="6C8D150C"/>
    <w:rsid w:val="6CE35249"/>
    <w:rsid w:val="6D9E2FAE"/>
    <w:rsid w:val="6E39711A"/>
    <w:rsid w:val="6E985310"/>
    <w:rsid w:val="6E997D6C"/>
    <w:rsid w:val="6EF616F6"/>
    <w:rsid w:val="6F5D575B"/>
    <w:rsid w:val="71467526"/>
    <w:rsid w:val="74FC2405"/>
    <w:rsid w:val="754058DD"/>
    <w:rsid w:val="76A41635"/>
    <w:rsid w:val="76DA50B6"/>
    <w:rsid w:val="771A04F8"/>
    <w:rsid w:val="78250F0A"/>
    <w:rsid w:val="784A4B73"/>
    <w:rsid w:val="786924FD"/>
    <w:rsid w:val="794D0150"/>
    <w:rsid w:val="799B26EC"/>
    <w:rsid w:val="7A5B3FA8"/>
    <w:rsid w:val="7B203504"/>
    <w:rsid w:val="7BA174E1"/>
    <w:rsid w:val="7BBB198C"/>
    <w:rsid w:val="7BC04FC3"/>
    <w:rsid w:val="7BE871A6"/>
    <w:rsid w:val="7CA72746"/>
    <w:rsid w:val="7D4937F0"/>
    <w:rsid w:val="7DC33C3F"/>
    <w:rsid w:val="7EA81A90"/>
    <w:rsid w:val="7F0C6D3F"/>
    <w:rsid w:val="7F2B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3"/>
    <w:qFormat/>
    <w:uiPriority w:val="0"/>
    <w:pPr>
      <w:keepNext/>
      <w:keepLines/>
      <w:spacing w:before="280" w:after="290" w:line="376" w:lineRule="auto"/>
      <w:outlineLvl w:val="3"/>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5"/>
    <w:qFormat/>
    <w:uiPriority w:val="0"/>
    <w:pPr>
      <w:jc w:val="left"/>
    </w:pPr>
    <w:rPr>
      <w:rFonts w:ascii="Arial" w:hAnsi="Arial" w:eastAsia="黑体" w:cs="Arial"/>
    </w:rPr>
  </w:style>
  <w:style w:type="paragraph" w:styleId="8">
    <w:name w:val="Body Text"/>
    <w:basedOn w:val="1"/>
    <w:link w:val="64"/>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qFormat/>
    <w:uiPriority w:val="99"/>
    <w:pPr>
      <w:spacing w:after="120"/>
      <w:ind w:left="420" w:leftChars="200"/>
    </w:pPr>
    <w:rPr>
      <w:rFonts w:ascii="Times New Roman" w:hAnsi="Times New Roman"/>
      <w:b/>
      <w:bCs/>
      <w:color w:val="FF0000"/>
      <w:sz w:val="48"/>
      <w:szCs w:val="24"/>
    </w:r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4"/>
    <w:qFormat/>
    <w:uiPriority w:val="99"/>
    <w:rPr>
      <w:rFonts w:ascii="宋体" w:hAnsi="Courier New" w:eastAsiaTheme="minorEastAsia" w:cstheme="minorBidi"/>
      <w:szCs w:val="22"/>
    </w:rPr>
  </w:style>
  <w:style w:type="paragraph" w:styleId="13">
    <w:name w:val="Date"/>
    <w:basedOn w:val="1"/>
    <w:next w:val="1"/>
    <w:link w:val="51"/>
    <w:qFormat/>
    <w:uiPriority w:val="0"/>
    <w:rPr>
      <w:rFonts w:ascii="Arial" w:hAnsi="Arial" w:eastAsia="宋体" w:cs="Arial"/>
      <w:b/>
      <w:sz w:val="28"/>
    </w:rPr>
  </w:style>
  <w:style w:type="paragraph" w:styleId="14">
    <w:name w:val="Balloon Text"/>
    <w:basedOn w:val="1"/>
    <w:link w:val="38"/>
    <w:semiHidden/>
    <w:unhideWhenUsed/>
    <w:qFormat/>
    <w:uiPriority w:val="99"/>
    <w:rPr>
      <w:sz w:val="18"/>
      <w:szCs w:val="18"/>
    </w:rPr>
  </w:style>
  <w:style w:type="paragraph" w:styleId="15">
    <w:name w:val="footer"/>
    <w:basedOn w:val="1"/>
    <w:link w:val="43"/>
    <w:unhideWhenUsed/>
    <w:qFormat/>
    <w:uiPriority w:val="99"/>
    <w:pPr>
      <w:tabs>
        <w:tab w:val="center" w:pos="4153"/>
        <w:tab w:val="right" w:pos="8306"/>
      </w:tabs>
      <w:snapToGrid w:val="0"/>
      <w:jc w:val="left"/>
    </w:pPr>
    <w:rPr>
      <w:sz w:val="18"/>
      <w:szCs w:val="18"/>
    </w:rPr>
  </w:style>
  <w:style w:type="paragraph" w:styleId="1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qFormat/>
    <w:uiPriority w:val="0"/>
    <w:pPr>
      <w:spacing w:before="100" w:beforeAutospacing="1" w:after="100" w:afterAutospacing="1"/>
      <w:jc w:val="left"/>
    </w:pPr>
    <w:rPr>
      <w:rFonts w:cs="Times New Roman"/>
      <w:kern w:val="0"/>
      <w:sz w:val="24"/>
    </w:rPr>
  </w:style>
  <w:style w:type="paragraph" w:styleId="20">
    <w:name w:val="index 1"/>
    <w:basedOn w:val="1"/>
    <w:next w:val="1"/>
    <w:qFormat/>
    <w:uiPriority w:val="0"/>
    <w:pPr>
      <w:jc w:val="center"/>
    </w:pPr>
    <w:rPr>
      <w:rFonts w:ascii="Arial" w:hAnsi="Arial" w:eastAsia="Arial" w:cs="Arial"/>
      <w:b/>
      <w:bCs/>
      <w:sz w:val="28"/>
    </w:rPr>
  </w:style>
  <w:style w:type="paragraph" w:styleId="21">
    <w:name w:val="Body Text First Indent"/>
    <w:basedOn w:val="8"/>
    <w:unhideWhenUsed/>
    <w:qFormat/>
    <w:uiPriority w:val="99"/>
    <w:pPr>
      <w:ind w:firstLine="420" w:firstLineChars="100"/>
    </w:pPr>
  </w:style>
  <w:style w:type="paragraph" w:styleId="22">
    <w:name w:val="Body Text First Indent 2"/>
    <w:basedOn w:val="9"/>
    <w:qFormat/>
    <w:uiPriority w:val="0"/>
    <w:pPr>
      <w:ind w:left="0" w:leftChars="0" w:firstLine="210"/>
    </w:pPr>
    <w:rPr>
      <w:rFonts w:ascii="宋体"/>
      <w:b w:val="0"/>
      <w:bCs w:val="0"/>
      <w:color w:val="auto"/>
      <w:sz w:val="24"/>
    </w:rPr>
  </w:style>
  <w:style w:type="table" w:styleId="24">
    <w:name w:val="Table Grid"/>
    <w:basedOn w:val="2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FollowedHyperlink"/>
    <w:basedOn w:val="25"/>
    <w:semiHidden/>
    <w:unhideWhenUsed/>
    <w:qFormat/>
    <w:uiPriority w:val="99"/>
    <w:rPr>
      <w:color w:val="800080"/>
      <w:u w:val="none"/>
    </w:rPr>
  </w:style>
  <w:style w:type="character" w:styleId="28">
    <w:name w:val="Emphasis"/>
    <w:basedOn w:val="25"/>
    <w:qFormat/>
    <w:uiPriority w:val="20"/>
    <w:rPr>
      <w:b/>
      <w:bCs/>
    </w:rPr>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hint="default" w:ascii="monospace" w:hAnsi="monospace" w:eastAsia="monospace" w:cs="monospace"/>
      <w:sz w:val="20"/>
    </w:rPr>
  </w:style>
  <w:style w:type="character" w:styleId="31">
    <w:name w:val="HTML Acronym"/>
    <w:basedOn w:val="25"/>
    <w:semiHidden/>
    <w:unhideWhenUsed/>
    <w:qFormat/>
    <w:uiPriority w:val="99"/>
  </w:style>
  <w:style w:type="character" w:styleId="32">
    <w:name w:val="HTML Variable"/>
    <w:basedOn w:val="25"/>
    <w:semiHidden/>
    <w:unhideWhenUsed/>
    <w:qFormat/>
    <w:uiPriority w:val="99"/>
  </w:style>
  <w:style w:type="character" w:styleId="33">
    <w:name w:val="Hyperlink"/>
    <w:basedOn w:val="25"/>
    <w:unhideWhenUsed/>
    <w:qFormat/>
    <w:uiPriority w:val="99"/>
    <w:rPr>
      <w:color w:val="0000FF" w:themeColor="hyperlink"/>
      <w:u w:val="single"/>
      <w14:textFill>
        <w14:solidFill>
          <w14:schemeClr w14:val="hlink"/>
        </w14:solidFill>
      </w14:textFill>
    </w:rPr>
  </w:style>
  <w:style w:type="character" w:styleId="34">
    <w:name w:val="HTML Code"/>
    <w:basedOn w:val="25"/>
    <w:semiHidden/>
    <w:unhideWhenUsed/>
    <w:qFormat/>
    <w:uiPriority w:val="99"/>
    <w:rPr>
      <w:rFonts w:ascii="monospace" w:hAnsi="monospace" w:eastAsia="monospace" w:cs="monospace"/>
      <w:sz w:val="20"/>
    </w:rPr>
  </w:style>
  <w:style w:type="character" w:styleId="35">
    <w:name w:val="HTML Cite"/>
    <w:basedOn w:val="25"/>
    <w:semiHidden/>
    <w:unhideWhenUsed/>
    <w:qFormat/>
    <w:uiPriority w:val="99"/>
  </w:style>
  <w:style w:type="character" w:styleId="36">
    <w:name w:val="HTML Keyboard"/>
    <w:basedOn w:val="25"/>
    <w:semiHidden/>
    <w:unhideWhenUsed/>
    <w:qFormat/>
    <w:uiPriority w:val="99"/>
    <w:rPr>
      <w:rFonts w:hint="default" w:ascii="monospace" w:hAnsi="monospace" w:eastAsia="monospace" w:cs="monospace"/>
      <w:sz w:val="20"/>
    </w:rPr>
  </w:style>
  <w:style w:type="character" w:styleId="37">
    <w:name w:val="HTML Sample"/>
    <w:basedOn w:val="25"/>
    <w:semiHidden/>
    <w:unhideWhenUsed/>
    <w:qFormat/>
    <w:uiPriority w:val="99"/>
    <w:rPr>
      <w:rFonts w:hint="default" w:ascii="monospace" w:hAnsi="monospace" w:eastAsia="monospace" w:cs="monospace"/>
    </w:rPr>
  </w:style>
  <w:style w:type="character" w:customStyle="1" w:styleId="38">
    <w:name w:val="批注框文本 字符"/>
    <w:basedOn w:val="25"/>
    <w:link w:val="14"/>
    <w:semiHidden/>
    <w:qFormat/>
    <w:uiPriority w:val="99"/>
    <w:rPr>
      <w:rFonts w:ascii="@仿宋_GB2312" w:hAnsi="@仿宋_GB2312" w:eastAsia="@仿宋_GB2312" w:cs="@仿宋_GB2312"/>
      <w:sz w:val="18"/>
      <w:szCs w:val="18"/>
    </w:rPr>
  </w:style>
  <w:style w:type="paragraph" w:customStyle="1" w:styleId="39">
    <w:name w:val="正文（缩进）"/>
    <w:basedOn w:val="1"/>
    <w:qFormat/>
    <w:uiPriority w:val="0"/>
    <w:pPr>
      <w:widowControl/>
      <w:spacing w:before="156" w:after="156"/>
      <w:ind w:firstLine="480" w:firstLineChars="200"/>
      <w:jc w:val="left"/>
    </w:pPr>
    <w:rPr>
      <w:kern w:val="0"/>
      <w:sz w:val="24"/>
      <w:szCs w:val="24"/>
    </w:rPr>
  </w:style>
  <w:style w:type="paragraph" w:customStyle="1" w:styleId="40">
    <w:name w:val="xl31"/>
    <w:basedOn w:val="1"/>
    <w:qFormat/>
    <w:uiPriority w:val="0"/>
    <w:pPr>
      <w:widowControl/>
      <w:spacing w:before="100" w:beforeAutospacing="1" w:after="100" w:afterAutospacing="1"/>
      <w:jc w:val="center"/>
    </w:pPr>
    <w:rPr>
      <w:b/>
      <w:bCs/>
      <w:kern w:val="0"/>
      <w:sz w:val="28"/>
      <w:szCs w:val="28"/>
    </w:rPr>
  </w:style>
  <w:style w:type="paragraph" w:customStyle="1" w:styleId="41">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2">
    <w:name w:val="页眉 字符"/>
    <w:basedOn w:val="25"/>
    <w:link w:val="16"/>
    <w:qFormat/>
    <w:uiPriority w:val="0"/>
    <w:rPr>
      <w:rFonts w:ascii="@仿宋_GB2312" w:hAnsi="@仿宋_GB2312" w:eastAsia="@仿宋_GB2312" w:cs="@仿宋_GB2312"/>
      <w:sz w:val="18"/>
      <w:szCs w:val="18"/>
    </w:rPr>
  </w:style>
  <w:style w:type="character" w:customStyle="1" w:styleId="43">
    <w:name w:val="页脚 字符"/>
    <w:basedOn w:val="25"/>
    <w:link w:val="15"/>
    <w:qFormat/>
    <w:uiPriority w:val="99"/>
    <w:rPr>
      <w:rFonts w:ascii="@仿宋_GB2312" w:hAnsi="@仿宋_GB2312" w:eastAsia="@仿宋_GB2312" w:cs="@仿宋_GB2312"/>
      <w:sz w:val="18"/>
      <w:szCs w:val="18"/>
    </w:rPr>
  </w:style>
  <w:style w:type="character" w:customStyle="1" w:styleId="44">
    <w:name w:val="纯文本 字符"/>
    <w:link w:val="12"/>
    <w:qFormat/>
    <w:uiPriority w:val="0"/>
    <w:rPr>
      <w:rFonts w:ascii="宋体" w:hAnsi="Courier New"/>
    </w:rPr>
  </w:style>
  <w:style w:type="character" w:customStyle="1" w:styleId="45">
    <w:name w:val="纯文本 字符1"/>
    <w:basedOn w:val="25"/>
    <w:semiHidden/>
    <w:qFormat/>
    <w:uiPriority w:val="99"/>
    <w:rPr>
      <w:rFonts w:hAnsi="Courier New" w:cs="Courier New" w:asciiTheme="minorEastAsia"/>
      <w:szCs w:val="20"/>
    </w:rPr>
  </w:style>
  <w:style w:type="character" w:customStyle="1" w:styleId="46">
    <w:name w:val="未处理的提及1"/>
    <w:basedOn w:val="25"/>
    <w:semiHidden/>
    <w:unhideWhenUsed/>
    <w:qFormat/>
    <w:uiPriority w:val="99"/>
    <w:rPr>
      <w:color w:val="605E5C"/>
      <w:shd w:val="clear" w:color="auto" w:fill="E1DFDD"/>
    </w:rPr>
  </w:style>
  <w:style w:type="paragraph" w:styleId="47">
    <w:name w:val="List Paragraph"/>
    <w:basedOn w:val="1"/>
    <w:qFormat/>
    <w:uiPriority w:val="34"/>
    <w:pPr>
      <w:ind w:firstLine="420" w:firstLineChars="200"/>
    </w:pPr>
  </w:style>
  <w:style w:type="paragraph" w:customStyle="1" w:styleId="48">
    <w:name w:val="Char Char Char Char Char Char Char1 Char"/>
    <w:basedOn w:val="1"/>
    <w:qFormat/>
    <w:uiPriority w:val="0"/>
    <w:rPr>
      <w:rFonts w:ascii="Arial" w:hAnsi="Arial" w:eastAsia="宋体" w:cs="Arial"/>
      <w:sz w:val="24"/>
    </w:rPr>
  </w:style>
  <w:style w:type="table" w:customStyle="1" w:styleId="49">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0">
    <w:name w:val="日期 字符"/>
    <w:basedOn w:val="25"/>
    <w:semiHidden/>
    <w:qFormat/>
    <w:uiPriority w:val="99"/>
    <w:rPr>
      <w:rFonts w:ascii="@仿宋_GB2312" w:hAnsi="@仿宋_GB2312" w:eastAsia="@仿宋_GB2312" w:cs="@仿宋_GB2312"/>
      <w:szCs w:val="20"/>
    </w:rPr>
  </w:style>
  <w:style w:type="character" w:customStyle="1" w:styleId="51">
    <w:name w:val="日期 字符1"/>
    <w:link w:val="13"/>
    <w:qFormat/>
    <w:uiPriority w:val="0"/>
    <w:rPr>
      <w:rFonts w:ascii="Arial" w:hAnsi="Arial" w:eastAsia="宋体" w:cs="Arial"/>
      <w:b/>
      <w:sz w:val="28"/>
      <w:szCs w:val="20"/>
    </w:rPr>
  </w:style>
  <w:style w:type="character" w:customStyle="1" w:styleId="52">
    <w:name w:val="纯文本 Char1"/>
    <w:link w:val="53"/>
    <w:qFormat/>
    <w:locked/>
    <w:uiPriority w:val="0"/>
    <w:rPr>
      <w:rFonts w:ascii="Arial" w:hAnsi="Arial" w:eastAsia="Arial"/>
      <w:kern w:val="2"/>
      <w:sz w:val="21"/>
      <w:lang w:val="en-US" w:eastAsia="zh-CN" w:bidi="ar-SA"/>
    </w:rPr>
  </w:style>
  <w:style w:type="paragraph" w:customStyle="1" w:styleId="53">
    <w:name w:val="纯文本1"/>
    <w:basedOn w:val="1"/>
    <w:link w:val="52"/>
    <w:qFormat/>
    <w:uiPriority w:val="0"/>
    <w:rPr>
      <w:rFonts w:ascii="Arial" w:hAnsi="Arial" w:eastAsia="Arial" w:cstheme="minorBidi"/>
    </w:rPr>
  </w:style>
  <w:style w:type="character" w:customStyle="1" w:styleId="54">
    <w:name w:val="批注文字 Char"/>
    <w:basedOn w:val="25"/>
    <w:semiHidden/>
    <w:qFormat/>
    <w:uiPriority w:val="99"/>
    <w:rPr>
      <w:rFonts w:ascii="@仿宋_GB2312" w:hAnsi="@仿宋_GB2312" w:eastAsia="@仿宋_GB2312" w:cs="@仿宋_GB2312"/>
      <w:szCs w:val="20"/>
    </w:rPr>
  </w:style>
  <w:style w:type="character" w:customStyle="1" w:styleId="55">
    <w:name w:val="批注文字 字符"/>
    <w:link w:val="7"/>
    <w:qFormat/>
    <w:uiPriority w:val="0"/>
    <w:rPr>
      <w:rFonts w:ascii="Arial" w:hAnsi="Arial" w:eastAsia="黑体" w:cs="Arial"/>
      <w:szCs w:val="20"/>
    </w:rPr>
  </w:style>
  <w:style w:type="character" w:customStyle="1" w:styleId="56">
    <w:name w:val="标题 1 字符"/>
    <w:basedOn w:val="25"/>
    <w:link w:val="2"/>
    <w:qFormat/>
    <w:uiPriority w:val="9"/>
    <w:rPr>
      <w:rFonts w:ascii="@仿宋_GB2312" w:hAnsi="@仿宋_GB2312" w:eastAsia="@仿宋_GB2312" w:cs="@仿宋_GB2312"/>
      <w:b/>
      <w:bCs/>
      <w:kern w:val="44"/>
      <w:sz w:val="44"/>
      <w:szCs w:val="44"/>
    </w:rPr>
  </w:style>
  <w:style w:type="paragraph" w:customStyle="1" w:styleId="5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标题 3 字符"/>
    <w:basedOn w:val="25"/>
    <w:link w:val="4"/>
    <w:semiHidden/>
    <w:qFormat/>
    <w:uiPriority w:val="9"/>
    <w:rPr>
      <w:rFonts w:ascii="@仿宋_GB2312" w:hAnsi="@仿宋_GB2312" w:eastAsia="@仿宋_GB2312" w:cs="@仿宋_GB2312"/>
      <w:b/>
      <w:bCs/>
      <w:sz w:val="32"/>
      <w:szCs w:val="32"/>
    </w:rPr>
  </w:style>
  <w:style w:type="character" w:customStyle="1" w:styleId="59">
    <w:name w:val="fontstyle01"/>
    <w:basedOn w:val="25"/>
    <w:qFormat/>
    <w:uiPriority w:val="0"/>
    <w:rPr>
      <w:rFonts w:hint="eastAsia" w:ascii="宋体" w:hAnsi="宋体" w:eastAsia="宋体"/>
      <w:color w:val="000000"/>
      <w:sz w:val="22"/>
      <w:szCs w:val="22"/>
    </w:rPr>
  </w:style>
  <w:style w:type="character" w:customStyle="1" w:styleId="60">
    <w:name w:val="fontstyle21"/>
    <w:basedOn w:val="25"/>
    <w:qFormat/>
    <w:uiPriority w:val="0"/>
    <w:rPr>
      <w:rFonts w:hint="default" w:ascii="TimesNewRomanPSMT" w:hAnsi="TimesNewRomanPSMT"/>
      <w:color w:val="000000"/>
      <w:sz w:val="22"/>
      <w:szCs w:val="22"/>
    </w:rPr>
  </w:style>
  <w:style w:type="character" w:customStyle="1" w:styleId="6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2">
    <w:name w:val="标题 4 字符"/>
    <w:basedOn w:val="25"/>
    <w:semiHidden/>
    <w:qFormat/>
    <w:uiPriority w:val="9"/>
    <w:rPr>
      <w:rFonts w:asciiTheme="majorHAnsi" w:hAnsiTheme="majorHAnsi" w:eastAsiaTheme="majorEastAsia" w:cstheme="majorBidi"/>
      <w:b/>
      <w:bCs/>
      <w:sz w:val="28"/>
      <w:szCs w:val="28"/>
    </w:rPr>
  </w:style>
  <w:style w:type="character" w:customStyle="1" w:styleId="63">
    <w:name w:val="标题 4 字符1"/>
    <w:link w:val="5"/>
    <w:qFormat/>
    <w:uiPriority w:val="0"/>
    <w:rPr>
      <w:rFonts w:ascii="@仿宋_GB2312" w:hAnsi="@仿宋_GB2312" w:eastAsia="@仿宋_GB2312" w:cs="@仿宋_GB2312"/>
      <w:b/>
      <w:bCs/>
      <w:sz w:val="28"/>
      <w:szCs w:val="28"/>
    </w:rPr>
  </w:style>
  <w:style w:type="character" w:customStyle="1" w:styleId="64">
    <w:name w:val="正文文本 字符"/>
    <w:basedOn w:val="25"/>
    <w:link w:val="8"/>
    <w:qFormat/>
    <w:uiPriority w:val="0"/>
    <w:rPr>
      <w:rFonts w:ascii="@微软简标宋" w:hAnsi="@微软简标宋" w:eastAsia="@微软简标宋" w:cs="@微软简标宋"/>
      <w:szCs w:val="24"/>
      <w:lang w:val="zh-CN" w:eastAsia="zh-CN"/>
    </w:rPr>
  </w:style>
  <w:style w:type="table" w:customStyle="1" w:styleId="65">
    <w:name w:val="网格型1"/>
    <w:basedOn w:val="2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Table Text"/>
    <w:basedOn w:val="1"/>
    <w:semiHidden/>
    <w:qFormat/>
    <w:uiPriority w:val="0"/>
    <w:rPr>
      <w:rFonts w:ascii="Arial" w:hAnsi="Arial" w:eastAsia="Arial" w:cs="Arial"/>
      <w:szCs w:val="21"/>
      <w:lang w:eastAsia="en-US"/>
    </w:rPr>
  </w:style>
  <w:style w:type="paragraph" w:customStyle="1" w:styleId="68">
    <w:name w:val="样式 样式 正文文本缩进正文文字缩进 + 首行缩进:  2 字符2 + 首行缩进:  2 字符"/>
    <w:basedOn w:val="1"/>
    <w:unhideWhenUsed/>
    <w:qFormat/>
    <w:uiPriority w:val="0"/>
    <w:pPr>
      <w:ind w:left="100" w:leftChars="100" w:right="100" w:rightChars="100" w:firstLine="200" w:firstLineChars="100"/>
    </w:pPr>
    <w:rPr>
      <w:rFonts w:hAnsi="Arial"/>
      <w:szCs w:val="22"/>
    </w:rPr>
  </w:style>
  <w:style w:type="paragraph" w:customStyle="1" w:styleId="69">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70">
    <w:name w:val="正文文本首行缩进1"/>
    <w:next w:val="71"/>
    <w:qFormat/>
    <w:uiPriority w:val="0"/>
    <w:pPr>
      <w:widowControl w:val="0"/>
      <w:spacing w:beforeLines="100" w:after="120" w:line="360" w:lineRule="auto"/>
      <w:ind w:firstLine="420" w:firstLineChars="100"/>
      <w:jc w:val="both"/>
    </w:pPr>
    <w:rPr>
      <w:rFonts w:ascii="@微软简标宋" w:hAnsi="宋体" w:eastAsia="@微软简标宋" w:cs="@微软简标宋"/>
      <w:bCs/>
      <w:color w:val="0000FF"/>
      <w:kern w:val="2"/>
      <w:sz w:val="21"/>
      <w:szCs w:val="24"/>
      <w:lang w:val="zh-CN" w:eastAsia="zh-CN" w:bidi="ar-SA"/>
    </w:rPr>
  </w:style>
  <w:style w:type="paragraph" w:customStyle="1" w:styleId="71">
    <w:name w:val="正文文本首行缩进 21"/>
    <w:next w:val="72"/>
    <w:qFormat/>
    <w:uiPriority w:val="99"/>
    <w:pPr>
      <w:widowControl w:val="0"/>
      <w:spacing w:after="120" w:line="180" w:lineRule="auto"/>
      <w:ind w:left="420" w:leftChars="200" w:firstLine="420"/>
      <w:jc w:val="both"/>
    </w:pPr>
    <w:rPr>
      <w:rFonts w:ascii="Times New Roman" w:hAnsi="Times New Roman" w:eastAsia="宋体" w:cstheme="minorBidi"/>
      <w:color w:val="FF0000"/>
      <w:kern w:val="2"/>
      <w:sz w:val="21"/>
      <w:szCs w:val="22"/>
      <w:lang w:val="en-US" w:eastAsia="zh-CN" w:bidi="ar-SA"/>
    </w:rPr>
  </w:style>
  <w:style w:type="paragraph" w:customStyle="1" w:styleId="72">
    <w:name w:val="正文文本缩进_0"/>
    <w:qFormat/>
    <w:uiPriority w:val="99"/>
    <w:pPr>
      <w:widowControl w:val="0"/>
      <w:ind w:firstLine="210"/>
      <w:jc w:val="both"/>
    </w:pPr>
    <w:rPr>
      <w:rFonts w:eastAsia="宋体" w:asciiTheme="minorHAnsi" w:hAnsiTheme="minorHAnsi" w:cstheme="minorBidi"/>
      <w:kern w:val="2"/>
      <w:sz w:val="21"/>
      <w:szCs w:val="24"/>
      <w:lang w:val="en-US" w:eastAsia="zh-CN" w:bidi="ar-SA"/>
    </w:rPr>
  </w:style>
  <w:style w:type="paragraph" w:customStyle="1" w:styleId="73">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351A8-48F5-4B18-AF42-26053916CB99}">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64</Pages>
  <Words>470</Words>
  <Characters>551</Characters>
  <Lines>250</Lines>
  <Paragraphs>70</Paragraphs>
  <TotalTime>19</TotalTime>
  <ScaleCrop>false</ScaleCrop>
  <LinksUpToDate>false</LinksUpToDate>
  <CharactersWithSpaces>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2025-02-14T09:00:00Z</dcterms:created>
  <dc:creator>Anakin</dc:creator>
  <cp:lastModifiedBy>薛</cp:lastModifiedBy>
  <cp:lastPrinted>2019-12-07T15:20:00Z</cp:lastPrinted>
  <dcterms:modified xsi:type="dcterms:W3CDTF">2025-03-13T12:01:47Z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99C6D87922754F29A3AEB904AEA5F644_13</vt:lpwstr>
  </property>
  <property fmtid="{D5CDD505-2E9C-101B-9397-08002B2CF9AE}" pid="4" name="KSOTemplateDocerSaveRecord">
    <vt:lpwstr>eyJoZGlkIjoiMzVlMjZkNGNhODI0MmM3NmVlZmJhYTVhZmQ5MGVlYTgiLCJ1c2VySWQiOiIxMjMyMDYzNDI1In0=</vt:lpwstr>
  </property>
</Properties>
</file>