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75072">
      <w:pPr>
        <w:tabs>
          <w:tab w:val="left" w:pos="315"/>
          <w:tab w:val="left" w:pos="8820"/>
        </w:tabs>
        <w:spacing w:before="240" w:beforeLines="100" w:after="120" w:afterLines="50" w:line="360" w:lineRule="auto"/>
        <w:ind w:right="254" w:rightChars="127"/>
        <w:jc w:val="center"/>
        <w:rPr>
          <w:rFonts w:hint="eastAsia"/>
          <w:b/>
          <w:bCs/>
          <w:color w:val="auto"/>
          <w:sz w:val="52"/>
          <w:szCs w:val="52"/>
          <w:highlight w:val="none"/>
          <w:lang w:eastAsia="zh-CN"/>
        </w:rPr>
      </w:pPr>
      <w:bookmarkStart w:id="0" w:name="_Hlk9544796"/>
    </w:p>
    <w:p w14:paraId="6AB0817C">
      <w:pPr>
        <w:tabs>
          <w:tab w:val="left" w:pos="315"/>
          <w:tab w:val="left" w:pos="8820"/>
        </w:tabs>
        <w:spacing w:before="240" w:beforeLines="100" w:after="120" w:afterLines="50" w:line="360" w:lineRule="auto"/>
        <w:ind w:right="254" w:rightChars="127"/>
        <w:jc w:val="center"/>
        <w:rPr>
          <w:rFonts w:hint="eastAsia" w:eastAsia="宋体"/>
          <w:b/>
          <w:bCs/>
          <w:color w:val="auto"/>
          <w:sz w:val="52"/>
          <w:szCs w:val="52"/>
          <w:highlight w:val="none"/>
          <w:lang w:eastAsia="zh-CN"/>
        </w:rPr>
      </w:pPr>
      <w:r>
        <w:rPr>
          <w:rFonts w:hint="eastAsia"/>
          <w:b/>
          <w:bCs/>
          <w:color w:val="auto"/>
          <w:sz w:val="52"/>
          <w:szCs w:val="52"/>
          <w:highlight w:val="none"/>
          <w:lang w:eastAsia="zh-CN"/>
        </w:rPr>
        <w:t>2025年省淮河局水闸监测设施等维修改造（第4包）</w:t>
      </w:r>
    </w:p>
    <w:p w14:paraId="11F34DE5">
      <w:pPr>
        <w:tabs>
          <w:tab w:val="left" w:pos="315"/>
          <w:tab w:val="left" w:pos="8820"/>
        </w:tabs>
        <w:spacing w:before="240" w:beforeLines="100" w:after="120" w:afterLines="50" w:line="500" w:lineRule="exact"/>
        <w:ind w:right="254" w:rightChars="127"/>
        <w:jc w:val="center"/>
        <w:rPr>
          <w:rFonts w:hint="eastAsia"/>
          <w:b/>
          <w:bCs/>
          <w:color w:val="auto"/>
          <w:sz w:val="52"/>
          <w:szCs w:val="52"/>
          <w:highlight w:val="none"/>
        </w:rPr>
      </w:pPr>
    </w:p>
    <w:p w14:paraId="4613B772">
      <w:pPr>
        <w:tabs>
          <w:tab w:val="left" w:pos="315"/>
          <w:tab w:val="left" w:pos="8820"/>
        </w:tabs>
        <w:spacing w:before="240" w:beforeLines="100" w:after="120" w:afterLines="50" w:line="500" w:lineRule="exact"/>
        <w:ind w:right="254" w:rightChars="127"/>
        <w:jc w:val="center"/>
        <w:rPr>
          <w:rFonts w:hint="eastAsia"/>
          <w:b/>
          <w:bCs/>
          <w:color w:val="auto"/>
          <w:sz w:val="52"/>
          <w:szCs w:val="52"/>
          <w:highlight w:val="none"/>
        </w:rPr>
      </w:pPr>
    </w:p>
    <w:p w14:paraId="77F6AE31">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w:t>
      </w:r>
    </w:p>
    <w:bookmarkEnd w:id="0"/>
    <w:p w14:paraId="632C5A87">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6535002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8A7281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EC25C64">
      <w:pPr>
        <w:tabs>
          <w:tab w:val="left" w:pos="315"/>
          <w:tab w:val="left" w:pos="8820"/>
        </w:tabs>
        <w:spacing w:before="240" w:beforeLines="100" w:after="120" w:afterLines="50" w:line="500" w:lineRule="exact"/>
        <w:ind w:right="254" w:rightChars="127"/>
        <w:jc w:val="both"/>
        <w:rPr>
          <w:b/>
          <w:bCs/>
          <w:color w:val="auto"/>
          <w:sz w:val="44"/>
          <w:szCs w:val="44"/>
          <w:highlight w:val="none"/>
        </w:rPr>
      </w:pPr>
    </w:p>
    <w:p w14:paraId="57F44455">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E641860">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lang w:eastAsia="zh-CN"/>
        </w:rPr>
        <w:t>2025年省淮河局水闸监测设施等维修改造（第4包）</w:t>
      </w:r>
    </w:p>
    <w:p w14:paraId="5FE9902A">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项目编号：</w:t>
      </w:r>
      <w:r>
        <w:rPr>
          <w:rFonts w:hint="eastAsia"/>
          <w:b/>
          <w:color w:val="auto"/>
          <w:spacing w:val="20"/>
          <w:sz w:val="32"/>
          <w:szCs w:val="32"/>
          <w:highlight w:val="none"/>
          <w:lang w:eastAsia="zh-CN"/>
        </w:rPr>
        <w:t>FSSD34000120251317号004</w:t>
      </w:r>
    </w:p>
    <w:p w14:paraId="034133A3">
      <w:pPr>
        <w:tabs>
          <w:tab w:val="left" w:pos="2410"/>
        </w:tabs>
        <w:autoSpaceDE w:val="0"/>
        <w:autoSpaceDN w:val="0"/>
        <w:adjustRightInd w:val="0"/>
        <w:snapToGrid w:val="0"/>
        <w:spacing w:line="360" w:lineRule="auto"/>
        <w:rPr>
          <w:rFonts w:hint="eastAsia"/>
          <w:b/>
          <w:color w:val="auto"/>
          <w:spacing w:val="20"/>
          <w:sz w:val="32"/>
          <w:szCs w:val="32"/>
          <w:highlight w:val="none"/>
          <w:u w:val="single"/>
          <w:lang w:val="en-US" w:eastAsia="zh-CN"/>
        </w:rPr>
      </w:pPr>
      <w:r>
        <w:rPr>
          <w:rFonts w:hint="eastAsia"/>
          <w:b/>
          <w:color w:val="auto"/>
          <w:spacing w:val="20"/>
          <w:sz w:val="32"/>
          <w:szCs w:val="32"/>
          <w:highlight w:val="none"/>
        </w:rPr>
        <w:t>采 购 人：</w:t>
      </w:r>
      <w:r>
        <w:rPr>
          <w:rFonts w:hint="eastAsia"/>
          <w:b/>
          <w:color w:val="auto"/>
          <w:spacing w:val="20"/>
          <w:sz w:val="32"/>
          <w:szCs w:val="32"/>
          <w:highlight w:val="none"/>
          <w:lang w:val="en-US" w:eastAsia="zh-CN"/>
        </w:rPr>
        <w:t>安徽省淮河河道管理局</w:t>
      </w:r>
    </w:p>
    <w:p w14:paraId="35D262B7">
      <w:pPr>
        <w:tabs>
          <w:tab w:val="left" w:pos="2410"/>
        </w:tabs>
        <w:autoSpaceDE w:val="0"/>
        <w:autoSpaceDN w:val="0"/>
        <w:adjustRightInd w:val="0"/>
        <w:snapToGrid w:val="0"/>
        <w:spacing w:line="360" w:lineRule="auto"/>
        <w:rPr>
          <w:rFonts w:hint="default"/>
          <w:b/>
          <w:color w:val="auto"/>
          <w:spacing w:val="20"/>
          <w:sz w:val="32"/>
          <w:szCs w:val="32"/>
          <w:highlight w:val="none"/>
          <w:lang w:val="en-US" w:eastAsia="zh-CN"/>
        </w:rPr>
      </w:pPr>
      <w:r>
        <w:rPr>
          <w:rFonts w:hint="eastAsia"/>
          <w:b/>
          <w:color w:val="auto"/>
          <w:spacing w:val="20"/>
          <w:sz w:val="32"/>
          <w:szCs w:val="32"/>
          <w:highlight w:val="none"/>
          <w:lang w:eastAsia="zh-CN"/>
        </w:rPr>
        <w:t>采购代理机构：</w:t>
      </w:r>
      <w:r>
        <w:rPr>
          <w:rFonts w:hint="eastAsia"/>
          <w:b/>
          <w:color w:val="auto"/>
          <w:spacing w:val="20"/>
          <w:sz w:val="32"/>
          <w:szCs w:val="32"/>
          <w:highlight w:val="none"/>
          <w:lang w:val="en-US" w:eastAsia="zh-CN"/>
        </w:rPr>
        <w:t>安徽安兆工程技术咨询服务有限公司</w:t>
      </w:r>
    </w:p>
    <w:p w14:paraId="56D4BB03">
      <w:pPr>
        <w:tabs>
          <w:tab w:val="left" w:pos="2410"/>
        </w:tabs>
        <w:autoSpaceDE w:val="0"/>
        <w:autoSpaceDN w:val="0"/>
        <w:adjustRightInd w:val="0"/>
        <w:snapToGrid w:val="0"/>
        <w:spacing w:line="360" w:lineRule="auto"/>
        <w:jc w:val="center"/>
        <w:rPr>
          <w:rFonts w:hint="eastAsia"/>
          <w:b/>
          <w:color w:val="auto"/>
          <w:sz w:val="36"/>
          <w:highlight w:val="none"/>
          <w:u w:val="none"/>
          <w:lang w:val="en-US" w:eastAsia="zh-CN"/>
        </w:rPr>
      </w:pPr>
    </w:p>
    <w:p w14:paraId="38D0E023">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none"/>
          <w:lang w:val="en-US" w:eastAsia="zh-CN"/>
        </w:rPr>
        <w:t>2025</w:t>
      </w:r>
      <w:r>
        <w:rPr>
          <w:rFonts w:hint="eastAsia"/>
          <w:b/>
          <w:color w:val="auto"/>
          <w:sz w:val="36"/>
          <w:highlight w:val="none"/>
          <w:u w:val="none"/>
        </w:rPr>
        <w:t>年</w:t>
      </w:r>
      <w:r>
        <w:rPr>
          <w:rFonts w:hint="eastAsia"/>
          <w:b/>
          <w:color w:val="auto"/>
          <w:sz w:val="36"/>
          <w:highlight w:val="none"/>
          <w:u w:val="none"/>
          <w:lang w:val="en-US" w:eastAsia="zh-CN"/>
        </w:rPr>
        <w:t>4</w:t>
      </w:r>
      <w:r>
        <w:rPr>
          <w:rFonts w:hint="eastAsia"/>
          <w:b/>
          <w:color w:val="auto"/>
          <w:sz w:val="36"/>
          <w:highlight w:val="none"/>
          <w:u w:val="none"/>
        </w:rPr>
        <w:t>月</w:t>
      </w:r>
      <w:r>
        <w:rPr>
          <w:b/>
          <w:color w:val="auto"/>
          <w:sz w:val="36"/>
          <w:highlight w:val="none"/>
        </w:rPr>
        <w:br w:type="page"/>
      </w:r>
    </w:p>
    <w:p w14:paraId="5D309B72">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B544B8B">
      <w:pPr>
        <w:tabs>
          <w:tab w:val="left" w:pos="2410"/>
        </w:tabs>
        <w:autoSpaceDE w:val="0"/>
        <w:autoSpaceDN w:val="0"/>
        <w:adjustRightInd w:val="0"/>
        <w:snapToGrid w:val="0"/>
        <w:spacing w:line="360" w:lineRule="auto"/>
        <w:jc w:val="center"/>
        <w:rPr>
          <w:b/>
          <w:color w:val="auto"/>
          <w:sz w:val="28"/>
          <w:highlight w:val="none"/>
        </w:rPr>
      </w:pPr>
    </w:p>
    <w:p w14:paraId="71EE7E06">
      <w:pPr>
        <w:pStyle w:val="36"/>
        <w:tabs>
          <w:tab w:val="right" w:leader="dot" w:pos="8279"/>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1</w:t>
      </w:r>
      <w:r>
        <w:rPr>
          <w:highlight w:val="none"/>
        </w:rPr>
        <w:fldChar w:fldCharType="end"/>
      </w:r>
      <w:r>
        <w:rPr>
          <w:rFonts w:asciiTheme="minorEastAsia" w:hAnsiTheme="minorEastAsia"/>
          <w:color w:val="auto"/>
          <w:szCs w:val="24"/>
          <w:highlight w:val="none"/>
        </w:rPr>
        <w:fldChar w:fldCharType="end"/>
      </w:r>
    </w:p>
    <w:p w14:paraId="6DC07615">
      <w:pPr>
        <w:pStyle w:val="36"/>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rFonts w:hint="eastAsia"/>
          <w:highlight w:val="none"/>
          <w:lang w:val="en-US" w:eastAsia="zh-CN"/>
        </w:rPr>
        <w:t>5</w:t>
      </w:r>
      <w:r>
        <w:rPr>
          <w:rFonts w:asciiTheme="minorEastAsia" w:hAnsiTheme="minorEastAsia"/>
          <w:color w:val="auto"/>
          <w:szCs w:val="24"/>
          <w:highlight w:val="none"/>
        </w:rPr>
        <w:fldChar w:fldCharType="end"/>
      </w:r>
    </w:p>
    <w:p w14:paraId="51869E9E">
      <w:pPr>
        <w:pStyle w:val="36"/>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20</w:t>
      </w:r>
      <w:r>
        <w:rPr>
          <w:highlight w:val="none"/>
        </w:rPr>
        <w:fldChar w:fldCharType="end"/>
      </w:r>
      <w:r>
        <w:rPr>
          <w:rFonts w:asciiTheme="minorEastAsia" w:hAnsiTheme="minorEastAsia"/>
          <w:color w:val="auto"/>
          <w:szCs w:val="24"/>
          <w:highlight w:val="none"/>
        </w:rPr>
        <w:fldChar w:fldCharType="end"/>
      </w:r>
    </w:p>
    <w:p w14:paraId="165991B4">
      <w:pPr>
        <w:pStyle w:val="36"/>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22</w:t>
      </w:r>
      <w:r>
        <w:rPr>
          <w:highlight w:val="none"/>
        </w:rPr>
        <w:fldChar w:fldCharType="end"/>
      </w:r>
      <w:r>
        <w:rPr>
          <w:rFonts w:asciiTheme="minorEastAsia" w:hAnsiTheme="minorEastAsia"/>
          <w:color w:val="auto"/>
          <w:szCs w:val="24"/>
          <w:highlight w:val="none"/>
        </w:rPr>
        <w:fldChar w:fldCharType="end"/>
      </w:r>
    </w:p>
    <w:p w14:paraId="19447D76">
      <w:pPr>
        <w:pStyle w:val="36"/>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41</w:t>
      </w:r>
      <w:r>
        <w:rPr>
          <w:highlight w:val="none"/>
        </w:rPr>
        <w:fldChar w:fldCharType="end"/>
      </w:r>
      <w:r>
        <w:rPr>
          <w:rFonts w:asciiTheme="minorEastAsia" w:hAnsiTheme="minorEastAsia"/>
          <w:color w:val="auto"/>
          <w:szCs w:val="24"/>
          <w:highlight w:val="none"/>
        </w:rPr>
        <w:fldChar w:fldCharType="end"/>
      </w:r>
    </w:p>
    <w:p w14:paraId="34305D2A">
      <w:pPr>
        <w:pStyle w:val="36"/>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85</w:t>
      </w:r>
      <w:r>
        <w:rPr>
          <w:highlight w:val="none"/>
        </w:rPr>
        <w:fldChar w:fldCharType="end"/>
      </w:r>
      <w:r>
        <w:rPr>
          <w:rFonts w:asciiTheme="minorEastAsia" w:hAnsiTheme="minorEastAsia"/>
          <w:color w:val="auto"/>
          <w:szCs w:val="24"/>
          <w:highlight w:val="none"/>
        </w:rPr>
        <w:fldChar w:fldCharType="end"/>
      </w:r>
    </w:p>
    <w:p w14:paraId="2CB37B33">
      <w:pPr>
        <w:pStyle w:val="36"/>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106</w:t>
      </w:r>
      <w:r>
        <w:rPr>
          <w:highlight w:val="none"/>
        </w:rPr>
        <w:fldChar w:fldCharType="end"/>
      </w:r>
      <w:r>
        <w:rPr>
          <w:rFonts w:asciiTheme="minorEastAsia" w:hAnsiTheme="minorEastAsia"/>
          <w:color w:val="auto"/>
          <w:szCs w:val="24"/>
          <w:highlight w:val="none"/>
        </w:rPr>
        <w:fldChar w:fldCharType="end"/>
      </w:r>
    </w:p>
    <w:p w14:paraId="362F9FA9">
      <w:pPr>
        <w:pStyle w:val="46"/>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16988DF8">
      <w:pPr>
        <w:pStyle w:val="6"/>
        <w:rPr>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25ACE51A">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2154447C">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6A02F243">
      <w:pPr>
        <w:spacing w:line="360" w:lineRule="auto"/>
        <w:ind w:firstLine="435"/>
        <w:rPr>
          <w:rFonts w:hint="eastAsia" w:asciiTheme="minorEastAsia" w:hAnsiTheme="minorEastAsia" w:eastAsiaTheme="minorEastAsia"/>
          <w:color w:val="auto"/>
          <w:sz w:val="24"/>
          <w:highlight w:val="none"/>
          <w:u w:val="single"/>
          <w:lang w:eastAsia="zh-CN"/>
        </w:rPr>
      </w:pPr>
      <w:bookmarkStart w:id="4" w:name="_Toc26628"/>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lang w:eastAsia="zh-CN"/>
        </w:rPr>
        <w:t>FSSD34000120251317号004</w:t>
      </w:r>
    </w:p>
    <w:p w14:paraId="76E92471">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2.项目名称：</w:t>
      </w:r>
      <w:bookmarkStart w:id="5" w:name="OLE_LINK2"/>
      <w:bookmarkStart w:id="6" w:name="OLE_LINK4"/>
      <w:r>
        <w:rPr>
          <w:rFonts w:hint="eastAsia" w:asciiTheme="minorEastAsia" w:hAnsiTheme="minorEastAsia" w:eastAsiaTheme="minorEastAsia"/>
          <w:color w:val="auto"/>
          <w:sz w:val="24"/>
          <w:highlight w:val="none"/>
          <w:u w:val="single"/>
          <w:lang w:eastAsia="zh-CN"/>
        </w:rPr>
        <w:t>2025年省淮河局水闸监测设施等维修改造（</w:t>
      </w:r>
      <w:bookmarkStart w:id="7" w:name="OLE_LINK3"/>
      <w:r>
        <w:rPr>
          <w:rFonts w:hint="eastAsia" w:asciiTheme="minorEastAsia" w:hAnsiTheme="minorEastAsia" w:eastAsiaTheme="minorEastAsia"/>
          <w:color w:val="auto"/>
          <w:sz w:val="24"/>
          <w:highlight w:val="none"/>
          <w:u w:val="single"/>
          <w:lang w:eastAsia="zh-CN"/>
        </w:rPr>
        <w:t>第4包</w:t>
      </w:r>
      <w:bookmarkEnd w:id="7"/>
      <w:r>
        <w:rPr>
          <w:rFonts w:hint="eastAsia" w:asciiTheme="minorEastAsia" w:hAnsiTheme="minorEastAsia" w:eastAsiaTheme="minorEastAsia"/>
          <w:color w:val="auto"/>
          <w:sz w:val="24"/>
          <w:highlight w:val="none"/>
          <w:u w:val="single"/>
          <w:lang w:eastAsia="zh-CN"/>
        </w:rPr>
        <w:t>）</w:t>
      </w:r>
      <w:bookmarkEnd w:id="5"/>
    </w:p>
    <w:bookmarkEnd w:id="6"/>
    <w:p w14:paraId="1F737797">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u w:val="single"/>
          <w:lang w:val="en-US" w:eastAsia="zh-CN"/>
        </w:rPr>
        <w:t>129万元（</w:t>
      </w:r>
      <w:r>
        <w:rPr>
          <w:rFonts w:hint="eastAsia" w:asciiTheme="minorEastAsia" w:hAnsiTheme="minorEastAsia" w:eastAsiaTheme="minorEastAsia"/>
          <w:color w:val="auto"/>
          <w:sz w:val="24"/>
          <w:highlight w:val="none"/>
          <w:u w:val="single"/>
        </w:rPr>
        <w:t>其中</w:t>
      </w:r>
      <w:r>
        <w:rPr>
          <w:rFonts w:hint="eastAsia"/>
          <w:b/>
          <w:bCs/>
          <w:color w:val="FF0000"/>
          <w:kern w:val="2"/>
          <w:sz w:val="24"/>
          <w:szCs w:val="24"/>
          <w:highlight w:val="none"/>
          <w:u w:val="single"/>
          <w:lang w:val="en-US" w:eastAsia="zh-CN"/>
        </w:rPr>
        <w:t>省淮河局86万元，</w:t>
      </w:r>
      <w:r>
        <w:rPr>
          <w:rFonts w:hint="eastAsia" w:ascii="宋体" w:hAnsi="宋体" w:eastAsia="宋体"/>
          <w:b/>
          <w:bCs/>
          <w:color w:val="FF0000"/>
          <w:kern w:val="2"/>
          <w:sz w:val="24"/>
          <w:szCs w:val="24"/>
          <w:highlight w:val="none"/>
          <w:u w:val="single"/>
          <w:lang w:val="en-US" w:eastAsia="zh-CN"/>
        </w:rPr>
        <w:t>东湖闸24</w:t>
      </w:r>
      <w:r>
        <w:rPr>
          <w:rFonts w:hint="eastAsia"/>
          <w:b/>
          <w:bCs/>
          <w:color w:val="FF0000"/>
          <w:kern w:val="2"/>
          <w:sz w:val="24"/>
          <w:szCs w:val="24"/>
          <w:highlight w:val="none"/>
          <w:u w:val="single"/>
          <w:lang w:val="en-US" w:eastAsia="zh-CN"/>
        </w:rPr>
        <w:t>万元，</w:t>
      </w:r>
      <w:r>
        <w:rPr>
          <w:rFonts w:hint="eastAsia" w:ascii="宋体" w:hAnsi="宋体" w:eastAsia="宋体"/>
          <w:b/>
          <w:bCs/>
          <w:color w:val="FF0000"/>
          <w:kern w:val="2"/>
          <w:sz w:val="24"/>
          <w:szCs w:val="24"/>
          <w:highlight w:val="none"/>
          <w:u w:val="single"/>
        </w:rPr>
        <w:t>曹台闸</w:t>
      </w:r>
      <w:r>
        <w:rPr>
          <w:rFonts w:hint="eastAsia" w:ascii="宋体" w:hAnsi="宋体" w:eastAsia="宋体"/>
          <w:b/>
          <w:bCs/>
          <w:color w:val="FF0000"/>
          <w:kern w:val="2"/>
          <w:sz w:val="24"/>
          <w:szCs w:val="24"/>
          <w:highlight w:val="none"/>
          <w:u w:val="single"/>
          <w:lang w:val="en-US" w:eastAsia="zh-CN"/>
        </w:rPr>
        <w:t>19万元</w:t>
      </w:r>
      <w:r>
        <w:rPr>
          <w:rFonts w:hint="eastAsia" w:asciiTheme="minorEastAsia" w:hAnsiTheme="minorEastAsia" w:eastAsiaTheme="minorEastAsia"/>
          <w:color w:val="auto"/>
          <w:sz w:val="24"/>
          <w:highlight w:val="none"/>
          <w:u w:val="single"/>
          <w:lang w:val="en-US" w:eastAsia="zh-CN"/>
        </w:rPr>
        <w:t>）</w:t>
      </w:r>
    </w:p>
    <w:p w14:paraId="4FA4DC60">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val="en-US" w:eastAsia="zh-CN"/>
        </w:rPr>
        <w:t>129万元（</w:t>
      </w:r>
      <w:r>
        <w:rPr>
          <w:rFonts w:hint="eastAsia" w:asciiTheme="minorEastAsia" w:hAnsiTheme="minorEastAsia" w:eastAsiaTheme="minorEastAsia"/>
          <w:color w:val="auto"/>
          <w:sz w:val="24"/>
          <w:highlight w:val="none"/>
          <w:u w:val="single"/>
        </w:rPr>
        <w:t>其中</w:t>
      </w:r>
      <w:r>
        <w:rPr>
          <w:rFonts w:hint="eastAsia"/>
          <w:b/>
          <w:bCs/>
          <w:color w:val="FF0000"/>
          <w:kern w:val="2"/>
          <w:sz w:val="24"/>
          <w:szCs w:val="24"/>
          <w:highlight w:val="none"/>
          <w:u w:val="single"/>
          <w:lang w:val="en-US" w:eastAsia="zh-CN"/>
        </w:rPr>
        <w:t>省淮河局86万元，</w:t>
      </w:r>
      <w:r>
        <w:rPr>
          <w:rFonts w:hint="eastAsia" w:ascii="宋体" w:hAnsi="宋体" w:eastAsia="宋体"/>
          <w:b/>
          <w:bCs/>
          <w:color w:val="FF0000"/>
          <w:kern w:val="2"/>
          <w:sz w:val="24"/>
          <w:szCs w:val="24"/>
          <w:highlight w:val="none"/>
          <w:u w:val="single"/>
          <w:lang w:val="en-US" w:eastAsia="zh-CN"/>
        </w:rPr>
        <w:t>东湖闸24</w:t>
      </w:r>
      <w:r>
        <w:rPr>
          <w:rFonts w:hint="eastAsia"/>
          <w:b/>
          <w:bCs/>
          <w:color w:val="FF0000"/>
          <w:kern w:val="2"/>
          <w:sz w:val="24"/>
          <w:szCs w:val="24"/>
          <w:highlight w:val="none"/>
          <w:u w:val="single"/>
          <w:lang w:val="en-US" w:eastAsia="zh-CN"/>
        </w:rPr>
        <w:t>万元，</w:t>
      </w:r>
      <w:r>
        <w:rPr>
          <w:rFonts w:hint="eastAsia" w:ascii="宋体" w:hAnsi="宋体" w:eastAsia="宋体"/>
          <w:b/>
          <w:bCs/>
          <w:color w:val="FF0000"/>
          <w:kern w:val="2"/>
          <w:sz w:val="24"/>
          <w:szCs w:val="24"/>
          <w:highlight w:val="none"/>
          <w:u w:val="single"/>
        </w:rPr>
        <w:t>曹台闸</w:t>
      </w:r>
      <w:r>
        <w:rPr>
          <w:rFonts w:hint="eastAsia" w:ascii="宋体" w:hAnsi="宋体" w:eastAsia="宋体"/>
          <w:b/>
          <w:bCs/>
          <w:color w:val="FF0000"/>
          <w:kern w:val="2"/>
          <w:sz w:val="24"/>
          <w:szCs w:val="24"/>
          <w:highlight w:val="none"/>
          <w:u w:val="single"/>
          <w:lang w:val="en-US" w:eastAsia="zh-CN"/>
        </w:rPr>
        <w:t>19万元</w:t>
      </w:r>
      <w:r>
        <w:rPr>
          <w:rFonts w:hint="eastAsia" w:asciiTheme="minorEastAsia" w:hAnsiTheme="minorEastAsia" w:eastAsiaTheme="minorEastAsia"/>
          <w:color w:val="auto"/>
          <w:sz w:val="24"/>
          <w:highlight w:val="none"/>
          <w:u w:val="single"/>
          <w:lang w:val="en-US" w:eastAsia="zh-CN"/>
        </w:rPr>
        <w:t>）</w:t>
      </w:r>
    </w:p>
    <w:p w14:paraId="4F462F7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imes New Roman" w:hAnsi="Times New Roman" w:eastAsia="宋体" w:cs="Times New Roman"/>
          <w:color w:val="auto"/>
          <w:sz w:val="24"/>
          <w:szCs w:val="20"/>
          <w:highlight w:val="none"/>
        </w:rPr>
        <w:t>对蚌埠闸、东湖闸、颍上闸、曹台闸和东淝闸开展水平位移监测设施安装，并进行</w:t>
      </w:r>
      <w:r>
        <w:rPr>
          <w:rFonts w:hint="eastAsia" w:ascii="Times New Roman" w:hAnsi="Times New Roman" w:cs="Times New Roman"/>
          <w:color w:val="auto"/>
          <w:sz w:val="24"/>
          <w:szCs w:val="20"/>
          <w:highlight w:val="none"/>
          <w:lang w:val="en-US" w:eastAsia="zh-CN"/>
        </w:rPr>
        <w:t>调试和数据采集等</w:t>
      </w:r>
      <w:r>
        <w:rPr>
          <w:rFonts w:hint="eastAsia" w:ascii="Times New Roman" w:hAnsi="Times New Roman" w:eastAsia="宋体" w:cs="Times New Roman"/>
          <w:color w:val="auto"/>
          <w:sz w:val="24"/>
          <w:szCs w:val="20"/>
          <w:highlight w:val="none"/>
        </w:rPr>
        <w:t>。</w:t>
      </w:r>
      <w:r>
        <w:rPr>
          <w:rFonts w:hint="eastAsia" w:ascii="Times New Roman" w:hAnsi="Times New Roman" w:eastAsia="宋体" w:cs="Times New Roman"/>
          <w:color w:val="auto"/>
          <w:sz w:val="24"/>
          <w:szCs w:val="20"/>
          <w:highlight w:val="none"/>
          <w:lang w:val="en-US" w:eastAsia="zh-CN"/>
        </w:rPr>
        <w:t>具体详见磋商文件。</w:t>
      </w:r>
    </w:p>
    <w:p w14:paraId="35CABD95">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u w:val="single"/>
          <w:lang w:val="en-US" w:eastAsia="zh-CN"/>
        </w:rPr>
        <w:t>本项目为</w:t>
      </w:r>
      <w:r>
        <w:rPr>
          <w:rFonts w:hint="eastAsia" w:asciiTheme="minorEastAsia" w:hAnsiTheme="minorEastAsia" w:eastAsiaTheme="minorEastAsia"/>
          <w:color w:val="auto"/>
          <w:sz w:val="24"/>
          <w:highlight w:val="none"/>
          <w:u w:val="single"/>
          <w:lang w:eastAsia="zh-CN"/>
        </w:rPr>
        <w:t>2025年省淮河局水闸监测设施等维修改造（第4包），由安徽省淮河河道管理局作为采购人统一组织采购，成交人成交后分别与</w:t>
      </w:r>
      <w:r>
        <w:rPr>
          <w:rFonts w:hint="eastAsia" w:ascii="Times New Roman" w:hAnsi="Times New Roman" w:eastAsia="宋体" w:cs="Times New Roman"/>
          <w:color w:val="auto"/>
          <w:sz w:val="24"/>
          <w:szCs w:val="20"/>
          <w:highlight w:val="none"/>
          <w:u w:val="single"/>
        </w:rPr>
        <w:t>东湖闸</w:t>
      </w:r>
      <w:r>
        <w:rPr>
          <w:rFonts w:hint="eastAsia" w:ascii="Times New Roman" w:hAnsi="Times New Roman" w:cs="Times New Roman"/>
          <w:color w:val="auto"/>
          <w:sz w:val="24"/>
          <w:szCs w:val="20"/>
          <w:highlight w:val="none"/>
          <w:u w:val="single"/>
          <w:lang w:val="en-US" w:eastAsia="zh-CN"/>
        </w:rPr>
        <w:t>管理处</w:t>
      </w:r>
      <w:r>
        <w:rPr>
          <w:rFonts w:hint="eastAsia" w:asciiTheme="minorEastAsia" w:hAnsiTheme="minorEastAsia" w:eastAsiaTheme="minorEastAsia"/>
          <w:color w:val="auto"/>
          <w:sz w:val="24"/>
          <w:highlight w:val="none"/>
          <w:u w:val="single"/>
          <w:lang w:eastAsia="zh-CN"/>
        </w:rPr>
        <w:t>、</w:t>
      </w:r>
      <w:r>
        <w:rPr>
          <w:rFonts w:hint="eastAsia" w:asciiTheme="minorEastAsia" w:hAnsiTheme="minorEastAsia" w:eastAsiaTheme="minorEastAsia"/>
          <w:color w:val="auto"/>
          <w:sz w:val="24"/>
          <w:highlight w:val="none"/>
          <w:u w:val="single"/>
          <w:lang w:val="en-US" w:eastAsia="zh-CN"/>
        </w:rPr>
        <w:t>曹台闸管理处</w:t>
      </w:r>
      <w:r>
        <w:rPr>
          <w:rFonts w:hint="eastAsia" w:asciiTheme="minorEastAsia" w:hAnsiTheme="minorEastAsia" w:eastAsiaTheme="minorEastAsia"/>
          <w:color w:val="auto"/>
          <w:sz w:val="24"/>
          <w:highlight w:val="none"/>
          <w:u w:val="single"/>
          <w:lang w:eastAsia="zh-CN"/>
        </w:rPr>
        <w:t>、安徽省淮河河道管理局</w:t>
      </w:r>
      <w:r>
        <w:rPr>
          <w:rFonts w:hint="eastAsia" w:asciiTheme="minorEastAsia" w:hAnsiTheme="minorEastAsia" w:eastAsiaTheme="minorEastAsia"/>
          <w:color w:val="auto"/>
          <w:sz w:val="24"/>
          <w:highlight w:val="none"/>
          <w:u w:val="single"/>
          <w:lang w:val="en-US" w:eastAsia="zh-CN"/>
        </w:rPr>
        <w:t>3</w:t>
      </w:r>
      <w:r>
        <w:rPr>
          <w:rFonts w:hint="eastAsia" w:asciiTheme="minorEastAsia" w:hAnsiTheme="minorEastAsia" w:eastAsiaTheme="minorEastAsia"/>
          <w:color w:val="auto"/>
          <w:sz w:val="24"/>
          <w:highlight w:val="none"/>
          <w:u w:val="single"/>
          <w:lang w:eastAsia="zh-CN"/>
        </w:rPr>
        <w:t>个单位签订合同。</w:t>
      </w:r>
    </w:p>
    <w:p w14:paraId="1A5DBA97">
      <w:pPr>
        <w:numPr>
          <w:ilvl w:val="0"/>
          <w:numId w:val="0"/>
        </w:num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highlight w:val="none"/>
          <w:lang w:val="en-US" w:eastAsia="zh-CN" w:bidi="ar-SA"/>
        </w:rPr>
        <w:t>6.</w:t>
      </w:r>
      <w:r>
        <w:rPr>
          <w:rFonts w:hint="eastAsia" w:asciiTheme="minorEastAsia" w:hAnsiTheme="minorEastAsia" w:eastAsiaTheme="minorEastAsia"/>
          <w:color w:val="auto"/>
          <w:sz w:val="24"/>
          <w:highlight w:val="none"/>
          <w:lang w:val="en-US" w:eastAsia="zh-CN"/>
        </w:rPr>
        <w:t>合同履行期限：合同签订之日起60日历天完成水平位移监测设施安装调试，2025年12月31日前完成数据采集等相关工作。</w:t>
      </w:r>
    </w:p>
    <w:p w14:paraId="2DE49DE9">
      <w:pPr>
        <w:numPr>
          <w:ilvl w:val="0"/>
          <w:numId w:val="0"/>
        </w:numPr>
        <w:spacing w:line="360" w:lineRule="auto"/>
        <w:ind w:firstLine="482" w:firstLineChars="200"/>
        <w:rPr>
          <w:rFonts w:hint="eastAsia" w:asciiTheme="minorEastAsia" w:hAnsiTheme="minorEastAsia" w:eastAsiaTheme="minorEastAsia"/>
          <w:b/>
          <w:bCs/>
          <w:color w:val="FF0000"/>
          <w:sz w:val="24"/>
          <w:highlight w:val="none"/>
          <w:lang w:val="en-US" w:eastAsia="zh-CN"/>
        </w:rPr>
      </w:pPr>
      <w:r>
        <w:rPr>
          <w:rFonts w:hint="eastAsia" w:asciiTheme="minorEastAsia" w:hAnsiTheme="minorEastAsia" w:eastAsiaTheme="minorEastAsia"/>
          <w:b/>
          <w:bCs/>
          <w:color w:val="FF0000"/>
          <w:sz w:val="24"/>
          <w:highlight w:val="none"/>
          <w:lang w:val="en-US" w:eastAsia="zh-CN"/>
        </w:rPr>
        <w:t>7.本项目（是）接受联合体。</w:t>
      </w:r>
    </w:p>
    <w:p w14:paraId="4E0B845B">
      <w:pPr>
        <w:spacing w:line="360" w:lineRule="auto"/>
        <w:ind w:firstLine="435"/>
        <w:outlineLvl w:val="1"/>
        <w:rPr>
          <w:rFonts w:hint="eastAsia" w:eastAsia="宋体"/>
          <w:b/>
          <w:bCs/>
          <w:color w:val="auto"/>
          <w:sz w:val="24"/>
          <w:szCs w:val="18"/>
          <w:highlight w:val="none"/>
          <w:lang w:val="en-US" w:eastAsia="zh-CN"/>
        </w:rPr>
      </w:pPr>
      <w:bookmarkStart w:id="8"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8"/>
    </w:p>
    <w:p w14:paraId="4D0F0EC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9"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358DEB1E">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4B0FE52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CBFA70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2.1.1☑本项目不专门面向中小企业预留采购份额。</w:t>
      </w:r>
    </w:p>
    <w:p w14:paraId="1F4DE528">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2.1.2□本项目专门面向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采购。</w:t>
      </w:r>
    </w:p>
    <w:p w14:paraId="382CB47E">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641872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530296E">
      <w:pPr>
        <w:numPr>
          <w:ilvl w:val="0"/>
          <w:numId w:val="2"/>
        </w:numPr>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bookmarkStart w:id="10" w:name="OLE_LINK18"/>
      <w:r>
        <w:rPr>
          <w:rFonts w:hint="eastAsia" w:asciiTheme="minorEastAsia" w:hAnsiTheme="minorEastAsia" w:eastAsiaTheme="minorEastAsia"/>
          <w:color w:val="auto"/>
          <w:sz w:val="24"/>
          <w:highlight w:val="none"/>
          <w:lang w:val="en-US" w:eastAsia="zh-CN"/>
        </w:rPr>
        <w:t>本项目的特定资格要求</w:t>
      </w:r>
      <w:bookmarkEnd w:id="10"/>
      <w:r>
        <w:rPr>
          <w:rFonts w:hint="eastAsia" w:asciiTheme="minorEastAsia" w:hAnsiTheme="minorEastAsia" w:eastAsiaTheme="minorEastAsia"/>
          <w:color w:val="auto"/>
          <w:sz w:val="24"/>
          <w:highlight w:val="none"/>
          <w:lang w:val="en-US" w:eastAsia="zh-CN"/>
        </w:rPr>
        <w:t>：</w:t>
      </w:r>
      <w:bookmarkStart w:id="11" w:name="_Toc2855"/>
    </w:p>
    <w:p w14:paraId="3E67FFD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12" w:name="OLE_LINK17"/>
      <w:r>
        <w:rPr>
          <w:rFonts w:hint="eastAsia" w:asciiTheme="minorEastAsia" w:hAnsiTheme="minorEastAsia" w:eastAsiaTheme="minorEastAsia"/>
          <w:color w:val="auto"/>
          <w:sz w:val="24"/>
          <w:highlight w:val="none"/>
          <w:lang w:val="en-US" w:eastAsia="zh-CN"/>
        </w:rPr>
        <w:t>（1）具有有效的</w:t>
      </w:r>
      <w:bookmarkStart w:id="13" w:name="OLE_LINK16"/>
      <w:r>
        <w:rPr>
          <w:rFonts w:hint="eastAsia" w:asciiTheme="minorEastAsia" w:hAnsiTheme="minorEastAsia" w:eastAsiaTheme="minorEastAsia"/>
          <w:color w:val="auto"/>
          <w:sz w:val="24"/>
          <w:highlight w:val="none"/>
          <w:lang w:val="en-US" w:eastAsia="zh-CN"/>
        </w:rPr>
        <w:t>水利工程质量检测</w:t>
      </w:r>
      <w:bookmarkEnd w:id="13"/>
      <w:r>
        <w:rPr>
          <w:rFonts w:hint="eastAsia" w:asciiTheme="minorEastAsia" w:hAnsiTheme="minorEastAsia" w:eastAsiaTheme="minorEastAsia"/>
          <w:color w:val="auto"/>
          <w:sz w:val="24"/>
          <w:highlight w:val="none"/>
          <w:lang w:val="en-US" w:eastAsia="zh-CN"/>
        </w:rPr>
        <w:t>量测类别甲级资质；</w:t>
      </w:r>
    </w:p>
    <w:p w14:paraId="7297178F">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（2）具有有效的检验检测机构资质认定证书（CMA）；</w:t>
      </w:r>
    </w:p>
    <w:bookmarkEnd w:id="12"/>
    <w:p w14:paraId="797775F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（3）具有有效的水利水电工程施工总承包三级及以上资质；</w:t>
      </w:r>
    </w:p>
    <w:p w14:paraId="29DA39B0">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（4）具有有效的安全生产许可证；</w:t>
      </w:r>
    </w:p>
    <w:p w14:paraId="43F11FC9">
      <w:pPr>
        <w:spacing w:line="360" w:lineRule="auto"/>
        <w:ind w:firstLine="435"/>
        <w:outlineLvl w:val="1"/>
        <w:rPr>
          <w:rFonts w:hint="eastAsia"/>
          <w:b/>
          <w:bCs/>
          <w:color w:val="auto"/>
          <w:sz w:val="24"/>
          <w:highlight w:val="none"/>
        </w:rPr>
      </w:pPr>
      <w:r>
        <w:rPr>
          <w:rFonts w:hint="eastAsia"/>
          <w:b/>
          <w:bCs/>
          <w:color w:val="auto"/>
          <w:sz w:val="24"/>
          <w:highlight w:val="none"/>
        </w:rPr>
        <w:t>三、</w:t>
      </w:r>
      <w:bookmarkEnd w:id="9"/>
      <w:r>
        <w:rPr>
          <w:rFonts w:hint="eastAsia"/>
          <w:b/>
          <w:bCs/>
          <w:color w:val="auto"/>
          <w:sz w:val="24"/>
          <w:highlight w:val="none"/>
        </w:rPr>
        <w:t>获取采购文件</w:t>
      </w:r>
      <w:bookmarkEnd w:id="11"/>
    </w:p>
    <w:p w14:paraId="4BD8AC2E">
      <w:pPr>
        <w:adjustRightInd w:val="0"/>
        <w:snapToGrid w:val="0"/>
        <w:spacing w:line="560" w:lineRule="exact"/>
        <w:ind w:firstLine="480" w:firstLineChars="200"/>
        <w:jc w:val="left"/>
        <w:rPr>
          <w:rFonts w:ascii="宋体" w:hAnsi="宋体" w:eastAsia="宋体" w:cs="宋体"/>
          <w:sz w:val="24"/>
          <w:szCs w:val="24"/>
          <w:highlight w:val="none"/>
        </w:rPr>
      </w:pPr>
      <w:bookmarkStart w:id="14" w:name="_Toc35393632"/>
      <w:bookmarkStart w:id="15" w:name="_Toc28359015"/>
      <w:bookmarkStart w:id="16" w:name="_Toc35393801"/>
      <w:bookmarkStart w:id="17" w:name="_Toc28359092"/>
      <w:bookmarkStart w:id="18" w:name="_Toc28080"/>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2025年</w:t>
      </w:r>
      <w:r>
        <w:rPr>
          <w:rFonts w:hint="eastAsia" w:cs="宋体"/>
          <w:sz w:val="24"/>
          <w:szCs w:val="24"/>
          <w:highlight w:val="none"/>
          <w:u w:val="single"/>
          <w:lang w:val="en-US" w:eastAsia="zh-CN"/>
        </w:rPr>
        <w:t>4</w:t>
      </w:r>
      <w:r>
        <w:rPr>
          <w:rFonts w:hint="eastAsia" w:ascii="宋体" w:hAnsi="宋体" w:eastAsia="宋体" w:cs="宋体"/>
          <w:sz w:val="24"/>
          <w:szCs w:val="24"/>
          <w:highlight w:val="none"/>
          <w:u w:val="single"/>
        </w:rPr>
        <w:t>月</w:t>
      </w:r>
      <w:r>
        <w:rPr>
          <w:rFonts w:hint="eastAsia" w:cs="宋体"/>
          <w:sz w:val="24"/>
          <w:szCs w:val="24"/>
          <w:highlight w:val="none"/>
          <w:u w:val="single"/>
          <w:lang w:val="en-US" w:eastAsia="zh-CN"/>
        </w:rPr>
        <w:t>24</w:t>
      </w:r>
      <w:r>
        <w:rPr>
          <w:rFonts w:hint="eastAsia" w:ascii="宋体" w:hAnsi="宋体" w:eastAsia="宋体" w:cs="宋体"/>
          <w:sz w:val="24"/>
          <w:szCs w:val="24"/>
          <w:highlight w:val="none"/>
          <w:u w:val="single"/>
        </w:rPr>
        <w:t>日至2025年</w:t>
      </w:r>
      <w:r>
        <w:rPr>
          <w:rFonts w:hint="eastAsia" w:cs="宋体"/>
          <w:sz w:val="24"/>
          <w:szCs w:val="24"/>
          <w:highlight w:val="none"/>
          <w:u w:val="single"/>
          <w:lang w:val="en-US" w:eastAsia="zh-CN"/>
        </w:rPr>
        <w:t>5</w:t>
      </w:r>
      <w:r>
        <w:rPr>
          <w:rFonts w:hint="eastAsia" w:ascii="宋体" w:hAnsi="宋体" w:eastAsia="宋体" w:cs="宋体"/>
          <w:sz w:val="24"/>
          <w:szCs w:val="24"/>
          <w:highlight w:val="none"/>
          <w:u w:val="single"/>
        </w:rPr>
        <w:t>月</w:t>
      </w:r>
      <w:r>
        <w:rPr>
          <w:rFonts w:hint="eastAsia" w:cs="宋体"/>
          <w:sz w:val="24"/>
          <w:szCs w:val="24"/>
          <w:highlight w:val="none"/>
          <w:u w:val="single"/>
          <w:lang w:val="en-US" w:eastAsia="zh-CN"/>
        </w:rPr>
        <w:t>7</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w:t>
      </w:r>
      <w:bookmarkStart w:id="19" w:name="_Toc5805"/>
      <w:r>
        <w:rPr>
          <w:rFonts w:hint="eastAsia" w:ascii="宋体" w:hAnsi="宋体" w:eastAsia="宋体" w:cs="宋体"/>
          <w:sz w:val="24"/>
          <w:szCs w:val="24"/>
          <w:highlight w:val="none"/>
        </w:rPr>
        <w:t>每天上午00:00至12:00，下午12:00至23:59（北京时间，法定节假日除外）</w:t>
      </w:r>
    </w:p>
    <w:p w14:paraId="24D21319">
      <w:pPr>
        <w:adjustRightInd w:val="0"/>
        <w:snapToGrid w:val="0"/>
        <w:spacing w:line="5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地点：“徽采云”电子交易系统 </w:t>
      </w:r>
    </w:p>
    <w:p w14:paraId="14097D15">
      <w:pPr>
        <w:adjustRightInd w:val="0"/>
        <w:snapToGrid w:val="0"/>
        <w:spacing w:line="5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方式：供应商登录“徽采云”电子交易系统在线获取采购文件</w:t>
      </w:r>
    </w:p>
    <w:p w14:paraId="1C4936E9">
      <w:pPr>
        <w:adjustRightInd w:val="0"/>
        <w:snapToGrid w:val="0"/>
        <w:spacing w:line="5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售价：0元</w:t>
      </w:r>
    </w:p>
    <w:p w14:paraId="7AEC961D">
      <w:pPr>
        <w:adjustRightInd w:val="0"/>
        <w:snapToGrid w:val="0"/>
        <w:spacing w:line="560" w:lineRule="exact"/>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bookmarkEnd w:id="14"/>
      <w:bookmarkEnd w:id="15"/>
      <w:bookmarkEnd w:id="16"/>
      <w:bookmarkEnd w:id="17"/>
      <w:bookmarkEnd w:id="19"/>
    </w:p>
    <w:p w14:paraId="510DBE06">
      <w:pPr>
        <w:adjustRightInd w:val="0"/>
        <w:snapToGrid w:val="0"/>
        <w:spacing w:line="560" w:lineRule="exact"/>
        <w:ind w:firstLine="480" w:firstLineChars="200"/>
        <w:jc w:val="left"/>
        <w:rPr>
          <w:rFonts w:ascii="宋体" w:hAnsi="宋体" w:eastAsia="宋体" w:cs="宋体"/>
          <w:sz w:val="24"/>
          <w:szCs w:val="24"/>
          <w:highlight w:val="none"/>
        </w:rPr>
      </w:pPr>
      <w:bookmarkStart w:id="20" w:name="_Toc32658"/>
      <w:bookmarkStart w:id="21" w:name="_Toc28359016"/>
      <w:bookmarkStart w:id="22" w:name="_Toc35393802"/>
      <w:bookmarkStart w:id="23" w:name="_Toc28359093"/>
      <w:bookmarkStart w:id="24" w:name="_Toc35393633"/>
      <w:r>
        <w:rPr>
          <w:rFonts w:hint="eastAsia" w:ascii="宋体" w:hAnsi="宋体" w:eastAsia="宋体" w:cs="宋体"/>
          <w:sz w:val="24"/>
          <w:szCs w:val="24"/>
          <w:highlight w:val="none"/>
        </w:rPr>
        <w:t>截止时间：</w:t>
      </w:r>
      <w:r>
        <w:rPr>
          <w:rFonts w:hint="eastAsia" w:ascii="宋体" w:hAnsi="宋体" w:eastAsia="宋体" w:cs="宋体"/>
          <w:sz w:val="24"/>
          <w:szCs w:val="24"/>
          <w:highlight w:val="none"/>
          <w:u w:val="single"/>
        </w:rPr>
        <w:t>2025年</w:t>
      </w:r>
      <w:r>
        <w:rPr>
          <w:rFonts w:hint="eastAsia" w:cs="宋体"/>
          <w:sz w:val="24"/>
          <w:szCs w:val="24"/>
          <w:highlight w:val="none"/>
          <w:u w:val="single"/>
          <w:lang w:val="en-US" w:eastAsia="zh-CN"/>
        </w:rPr>
        <w:t>5</w:t>
      </w:r>
      <w:r>
        <w:rPr>
          <w:rFonts w:hint="eastAsia" w:ascii="宋体" w:hAnsi="宋体" w:eastAsia="宋体" w:cs="宋体"/>
          <w:sz w:val="24"/>
          <w:szCs w:val="24"/>
          <w:highlight w:val="none"/>
          <w:u w:val="single"/>
        </w:rPr>
        <w:t>月</w:t>
      </w:r>
      <w:r>
        <w:rPr>
          <w:rFonts w:hint="eastAsia" w:cs="宋体"/>
          <w:sz w:val="24"/>
          <w:szCs w:val="24"/>
          <w:highlight w:val="none"/>
          <w:u w:val="single"/>
          <w:lang w:val="en-US" w:eastAsia="zh-CN"/>
        </w:rPr>
        <w:t>7</w:t>
      </w:r>
      <w:r>
        <w:rPr>
          <w:rFonts w:hint="eastAsia" w:ascii="宋体" w:hAnsi="宋体" w:eastAsia="宋体" w:cs="宋体"/>
          <w:sz w:val="24"/>
          <w:szCs w:val="24"/>
          <w:highlight w:val="none"/>
          <w:u w:val="single"/>
        </w:rPr>
        <w:t>日9点</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0分（北京时间）</w:t>
      </w:r>
    </w:p>
    <w:p w14:paraId="61ADBC57">
      <w:pPr>
        <w:adjustRightInd w:val="0"/>
        <w:snapToGrid w:val="0"/>
        <w:spacing w:before="0" w:after="0" w:line="560" w:lineRule="exact"/>
        <w:ind w:firstLine="480" w:firstLineChars="200"/>
        <w:jc w:val="left"/>
        <w:outlineLvl w:val="9"/>
        <w:rPr>
          <w:rFonts w:hint="eastAsia" w:ascii="宋体" w:hAnsi="宋体" w:eastAsia="宋体" w:cs="宋体"/>
          <w:sz w:val="24"/>
          <w:szCs w:val="24"/>
          <w:highlight w:val="none"/>
          <w:u w:val="none"/>
        </w:rPr>
      </w:pPr>
      <w:r>
        <w:rPr>
          <w:rFonts w:hint="eastAsia" w:ascii="宋体" w:hAnsi="宋体" w:eastAsia="宋体" w:cs="宋体"/>
          <w:b w:val="0"/>
          <w:bCs w:val="0"/>
          <w:kern w:val="0"/>
          <w:sz w:val="24"/>
          <w:szCs w:val="24"/>
          <w:highlight w:val="none"/>
          <w:lang w:val="en-US" w:eastAsia="zh-CN" w:bidi="ar-SA"/>
        </w:rPr>
        <w:t>地点：</w:t>
      </w:r>
      <w:r>
        <w:rPr>
          <w:rFonts w:hint="eastAsia" w:ascii="宋体" w:hAnsi="宋体" w:eastAsia="宋体" w:cs="宋体"/>
          <w:b w:val="0"/>
          <w:bCs w:val="0"/>
          <w:kern w:val="0"/>
          <w:sz w:val="24"/>
          <w:szCs w:val="24"/>
          <w:highlight w:val="none"/>
          <w:u w:val="none"/>
          <w:lang w:val="en-US" w:eastAsia="zh-CN" w:bidi="ar-SA"/>
        </w:rPr>
        <w:t>在提交截止时间前将加密的电子投标文件上传至电子交易系统，逾期提交的，电子交易系统将拒收。投标文件制作、加密及提交要求详见“安徽省政府采购网-徽采学院－电子交易系统学习专题－供应商－操作手册”。</w:t>
      </w:r>
    </w:p>
    <w:p w14:paraId="6C5E22BC">
      <w:pPr>
        <w:pStyle w:val="5"/>
        <w:adjustRightInd w:val="0"/>
        <w:snapToGrid w:val="0"/>
        <w:spacing w:before="0" w:after="0" w:line="560" w:lineRule="exact"/>
        <w:jc w:val="left"/>
        <w:rPr>
          <w:rFonts w:ascii="宋体" w:hAnsi="宋体" w:eastAsia="宋体" w:cs="宋体"/>
          <w:bCs w:val="0"/>
          <w:sz w:val="24"/>
          <w:szCs w:val="24"/>
          <w:highlight w:val="none"/>
        </w:rPr>
      </w:pPr>
      <w:r>
        <w:rPr>
          <w:rFonts w:hint="eastAsia" w:ascii="宋体" w:hAnsi="宋体" w:eastAsia="宋体" w:cs="宋体"/>
          <w:bCs w:val="0"/>
          <w:sz w:val="24"/>
          <w:szCs w:val="24"/>
          <w:highlight w:val="none"/>
        </w:rPr>
        <w:t>五、开启</w:t>
      </w:r>
      <w:bookmarkEnd w:id="20"/>
      <w:bookmarkEnd w:id="21"/>
      <w:bookmarkEnd w:id="22"/>
      <w:bookmarkEnd w:id="23"/>
      <w:bookmarkEnd w:id="24"/>
    </w:p>
    <w:p w14:paraId="3B55403E">
      <w:pPr>
        <w:adjustRightInd w:val="0"/>
        <w:snapToGrid w:val="0"/>
        <w:spacing w:line="56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2025年</w:t>
      </w:r>
      <w:r>
        <w:rPr>
          <w:rFonts w:hint="eastAsia" w:cs="宋体"/>
          <w:sz w:val="24"/>
          <w:szCs w:val="24"/>
          <w:highlight w:val="none"/>
          <w:u w:val="single"/>
          <w:lang w:val="en-US" w:eastAsia="zh-CN"/>
        </w:rPr>
        <w:t>5</w:t>
      </w:r>
      <w:r>
        <w:rPr>
          <w:rFonts w:hint="eastAsia" w:ascii="宋体" w:hAnsi="宋体" w:eastAsia="宋体" w:cs="宋体"/>
          <w:sz w:val="24"/>
          <w:szCs w:val="24"/>
          <w:highlight w:val="none"/>
          <w:u w:val="single"/>
        </w:rPr>
        <w:t>月</w:t>
      </w:r>
      <w:r>
        <w:rPr>
          <w:rFonts w:hint="eastAsia" w:cs="宋体"/>
          <w:sz w:val="24"/>
          <w:szCs w:val="24"/>
          <w:highlight w:val="none"/>
          <w:u w:val="single"/>
          <w:lang w:val="en-US" w:eastAsia="zh-CN"/>
        </w:rPr>
        <w:t>7</w:t>
      </w:r>
      <w:r>
        <w:rPr>
          <w:rFonts w:hint="eastAsia" w:ascii="宋体" w:hAnsi="宋体" w:eastAsia="宋体" w:cs="宋体"/>
          <w:sz w:val="24"/>
          <w:szCs w:val="24"/>
          <w:highlight w:val="none"/>
          <w:u w:val="single"/>
        </w:rPr>
        <w:t>日9点</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0分（北京时间）</w:t>
      </w:r>
    </w:p>
    <w:p w14:paraId="084E8F7B">
      <w:pPr>
        <w:adjustRightInd w:val="0"/>
        <w:snapToGrid w:val="0"/>
        <w:spacing w:line="560" w:lineRule="exact"/>
        <w:ind w:firstLine="480" w:firstLineChars="200"/>
        <w:jc w:val="left"/>
        <w:rPr>
          <w:rFonts w:ascii="宋体" w:hAnsi="宋体" w:eastAsia="宋体" w:cs="宋体"/>
          <w:bCs/>
          <w:sz w:val="24"/>
          <w:szCs w:val="24"/>
          <w:highlight w:val="none"/>
          <w:u w:val="single"/>
        </w:rPr>
      </w:pPr>
      <w:r>
        <w:rPr>
          <w:rFonts w:hint="eastAsia" w:ascii="宋体" w:hAnsi="宋体" w:eastAsia="宋体" w:cs="宋体"/>
          <w:sz w:val="24"/>
          <w:szCs w:val="24"/>
          <w:highlight w:val="none"/>
        </w:rPr>
        <w:t>地点：“徽采云”电子交易系统</w:t>
      </w:r>
    </w:p>
    <w:p w14:paraId="5ACFE47E">
      <w:pPr>
        <w:pStyle w:val="5"/>
        <w:adjustRightInd w:val="0"/>
        <w:snapToGrid w:val="0"/>
        <w:spacing w:before="0" w:after="0" w:line="560" w:lineRule="exact"/>
        <w:jc w:val="left"/>
        <w:rPr>
          <w:rFonts w:ascii="宋体" w:hAnsi="宋体" w:eastAsia="宋体" w:cs="宋体"/>
          <w:bCs w:val="0"/>
          <w:sz w:val="24"/>
          <w:szCs w:val="24"/>
          <w:highlight w:val="none"/>
        </w:rPr>
      </w:pPr>
      <w:bookmarkStart w:id="25" w:name="_Toc35393803"/>
      <w:bookmarkStart w:id="26" w:name="_Toc28359094"/>
      <w:bookmarkStart w:id="27" w:name="_Toc35393634"/>
      <w:bookmarkStart w:id="28" w:name="_Toc28359017"/>
      <w:bookmarkStart w:id="29" w:name="_Toc6935"/>
      <w:r>
        <w:rPr>
          <w:rFonts w:hint="eastAsia" w:ascii="宋体" w:hAnsi="宋体" w:eastAsia="宋体" w:cs="宋体"/>
          <w:bCs w:val="0"/>
          <w:sz w:val="24"/>
          <w:szCs w:val="24"/>
          <w:highlight w:val="none"/>
        </w:rPr>
        <w:t>六、公告期限</w:t>
      </w:r>
      <w:bookmarkEnd w:id="25"/>
      <w:bookmarkEnd w:id="26"/>
      <w:bookmarkEnd w:id="27"/>
      <w:bookmarkEnd w:id="28"/>
      <w:bookmarkEnd w:id="29"/>
    </w:p>
    <w:p w14:paraId="016F7CB4">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自本公告发布之日起3个工作日。</w:t>
      </w:r>
      <w:bookmarkStart w:id="30" w:name="_Toc35393635"/>
      <w:bookmarkStart w:id="31" w:name="_Toc23004"/>
      <w:bookmarkStart w:id="32" w:name="_Toc35393804"/>
    </w:p>
    <w:p w14:paraId="357375FF">
      <w:pPr>
        <w:numPr>
          <w:ilvl w:val="0"/>
          <w:numId w:val="0"/>
        </w:numPr>
        <w:adjustRightInd w:val="0"/>
        <w:snapToGrid w:val="0"/>
        <w:spacing w:line="560" w:lineRule="exact"/>
        <w:jc w:val="left"/>
        <w:outlineLvl w:val="1"/>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其他补充事宜</w:t>
      </w:r>
      <w:bookmarkEnd w:id="30"/>
      <w:bookmarkEnd w:id="31"/>
      <w:bookmarkEnd w:id="32"/>
      <w:bookmarkStart w:id="33" w:name="_Toc28359095"/>
      <w:bookmarkStart w:id="34" w:name="_Toc28099"/>
      <w:bookmarkStart w:id="35" w:name="_Toc35393636"/>
      <w:bookmarkStart w:id="36" w:name="_Toc35393805"/>
      <w:bookmarkStart w:id="37" w:name="_Toc28359018"/>
    </w:p>
    <w:p w14:paraId="5F3EA080">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项目采用全流程电子化采购方式，相关操作说明如下：</w:t>
      </w:r>
    </w:p>
    <w:p w14:paraId="47B83C27">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1.本项目落实节能环保、中小微型企业扶持等相关政府采购政策。</w:t>
      </w:r>
    </w:p>
    <w:p w14:paraId="339F14ED">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2.本次竞争性磋商公告同时在安徽省政府采购网、安徽省水利厅-安徽省淮河河道管理局网上发布。</w:t>
      </w:r>
    </w:p>
    <w:p w14:paraId="27952D05">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3.供应商应合理安排磋商文件获取时间，特别是网络速度慢的地区防止在系统关闭前网络拥堵无法操作。如果因计算机及网络故障造成无法完成磋商文件获取，责任自负。</w:t>
      </w:r>
    </w:p>
    <w:p w14:paraId="59D5B0D7">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4.响应文件的提交要求：</w:t>
      </w:r>
    </w:p>
    <w:p w14:paraId="1D966AB6">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供应商应当在响应文件提交截止时间前通过“徽采云”电子交易系统上传加密的电子响应文件，未在响应文件提交截止时间前完成上传的，视为逾期送达，拒绝接收。</w:t>
      </w:r>
    </w:p>
    <w:p w14:paraId="07D2D5D5">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5.电子招投标的说明</w:t>
      </w:r>
    </w:p>
    <w:p w14:paraId="36CBD3CE">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5.1电子招投标：本项目以数据电文形式，依托“徽采云”电子交易系统进行响应活动；</w:t>
      </w:r>
    </w:p>
    <w:p w14:paraId="357C4CC0">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5.2响应准备：注册账号--详情参见“徽采云”平台供应商注册与配置手册“ 第 2 章 入 驻 操 作 流 程 ” （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响应客户端----前往“安徽省政府采购网-下载专区-电子交易系统专区”进行下载并安装（http://www.ccgp-anhui.gov.cn/anhuiCategory15/anhuiCategory119/9396667.html）；</w:t>
      </w:r>
    </w:p>
    <w:p w14:paraId="44C4C8C1">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5.3招标文件的获取：使用 CA 登录“徽采云”电子交易系统；进入“项目采购”应用，在获取采购文件菜单中选择项目，获取招标文件；</w:t>
      </w:r>
    </w:p>
    <w:p w14:paraId="473AC6A6">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5.4响应文件的制作：在“徽采云响应客户端”中完成“填写基本信息”、 “制作和导入响应（响应）文件”、“标书关联”、“标书检查”、“电子签名”、 “生成电子标书”等操作；</w:t>
      </w:r>
    </w:p>
    <w:p w14:paraId="4A7FF10C">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5.5响应文件的上传：使用CA登录“徽采云”电子交易系统；进入“项目采购”应用，在响应文件上传菜单中选择项目，上传加密的响应文件（*.jmbs）；</w:t>
      </w:r>
    </w:p>
    <w:p w14:paraId="281A1192">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5.6响应文件的解密：响应人按照系统提示和招标文件规定，在规定时间内完成在线解密；</w:t>
      </w:r>
    </w:p>
    <w:p w14:paraId="45FB13F7">
      <w:pPr>
        <w:adjustRightInd w:val="0"/>
        <w:snapToGrid w:val="0"/>
        <w:spacing w:line="56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5.7“徽采云”电子交易系统具体操作指南：详见安徽省政府采购网-徽采学院-电子交易系统学习专题-供应商-操作手册。</w:t>
      </w:r>
    </w:p>
    <w:p w14:paraId="5697232D">
      <w:pPr>
        <w:adjustRightInd w:val="0"/>
        <w:snapToGrid w:val="0"/>
        <w:spacing w:line="5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5.8CA问题联系电话：安徽CA400-880-494.84629 ；翔晟CA0551-68105136。</w:t>
      </w:r>
    </w:p>
    <w:p w14:paraId="0FE13615">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outlineLvl w:val="9"/>
        <w:rPr>
          <w:rFonts w:hint="eastAsia" w:asciiTheme="minorEastAsia" w:hAnsiTheme="minorEastAsia" w:eastAsiaTheme="minorEastAsia"/>
          <w:b/>
          <w:bCs/>
          <w:color w:val="FF0000"/>
          <w:sz w:val="24"/>
          <w:highlight w:val="none"/>
          <w:lang w:val="en-US" w:eastAsia="zh-CN"/>
        </w:rPr>
      </w:pPr>
      <w:r>
        <w:rPr>
          <w:rFonts w:hint="eastAsia" w:asciiTheme="minorEastAsia" w:hAnsiTheme="minorEastAsia" w:eastAsiaTheme="minorEastAsia"/>
          <w:b/>
          <w:bCs/>
          <w:color w:val="FF0000"/>
          <w:sz w:val="24"/>
          <w:highlight w:val="none"/>
          <w:lang w:val="en-US" w:eastAsia="zh-CN"/>
        </w:rPr>
        <w:t>6.本次采购接受联合体磋商，如为联合体磋商：</w:t>
      </w:r>
    </w:p>
    <w:p w14:paraId="44AB4FEF">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outlineLvl w:val="9"/>
        <w:rPr>
          <w:rFonts w:hint="default" w:asciiTheme="minorEastAsia" w:hAnsiTheme="minorEastAsia" w:eastAsiaTheme="minorEastAsia"/>
          <w:b/>
          <w:bCs/>
          <w:color w:val="FF0000"/>
          <w:sz w:val="24"/>
          <w:highlight w:val="none"/>
          <w:lang w:val="en-US" w:eastAsia="zh-CN"/>
        </w:rPr>
      </w:pPr>
      <w:r>
        <w:rPr>
          <w:rFonts w:hint="eastAsia" w:asciiTheme="minorEastAsia" w:hAnsiTheme="minorEastAsia" w:eastAsiaTheme="minorEastAsia"/>
          <w:b/>
          <w:bCs/>
          <w:color w:val="FF0000"/>
          <w:sz w:val="24"/>
          <w:highlight w:val="none"/>
          <w:lang w:val="en-US" w:eastAsia="zh-CN"/>
        </w:rPr>
        <w:t>6.1联合体各方应共同签署联合体协议，明确各方承担的工作和责任；</w:t>
      </w:r>
    </w:p>
    <w:p w14:paraId="7C958D27">
      <w:pPr>
        <w:spacing w:line="360" w:lineRule="auto"/>
        <w:ind w:firstLine="435"/>
        <w:outlineLvl w:val="1"/>
        <w:rPr>
          <w:rFonts w:hint="default" w:asciiTheme="minorEastAsia" w:hAnsiTheme="minorEastAsia" w:eastAsiaTheme="minorEastAsia"/>
          <w:b/>
          <w:bCs/>
          <w:color w:val="FF0000"/>
          <w:sz w:val="24"/>
          <w:highlight w:val="none"/>
          <w:lang w:val="en-US" w:eastAsia="zh-CN"/>
        </w:rPr>
      </w:pPr>
      <w:r>
        <w:rPr>
          <w:rFonts w:hint="eastAsia" w:asciiTheme="minorEastAsia" w:hAnsiTheme="minorEastAsia" w:eastAsiaTheme="minorEastAsia"/>
          <w:b/>
          <w:bCs/>
          <w:color w:val="FF0000"/>
          <w:sz w:val="24"/>
          <w:highlight w:val="none"/>
          <w:lang w:val="en-US" w:eastAsia="zh-CN"/>
        </w:rPr>
        <w:t>6.2如为联合体磋商联合体应由2家企业组成，联合体牵头人应满足“</w:t>
      </w:r>
      <w:bookmarkStart w:id="38" w:name="OLE_LINK21"/>
      <w:r>
        <w:rPr>
          <w:rFonts w:hint="eastAsia" w:asciiTheme="minorEastAsia" w:hAnsiTheme="minorEastAsia" w:eastAsiaTheme="minorEastAsia"/>
          <w:b/>
          <w:bCs/>
          <w:color w:val="FF0000"/>
          <w:sz w:val="24"/>
          <w:highlight w:val="none"/>
          <w:lang w:val="en-US" w:eastAsia="zh-CN"/>
        </w:rPr>
        <w:t>磋商公告（邀请）中本项目的特定资格要求</w:t>
      </w:r>
      <w:bookmarkEnd w:id="38"/>
      <w:r>
        <w:rPr>
          <w:rFonts w:hint="eastAsia" w:asciiTheme="minorEastAsia" w:hAnsiTheme="minorEastAsia" w:eastAsiaTheme="minorEastAsia"/>
          <w:b/>
          <w:bCs/>
          <w:color w:val="FF0000"/>
          <w:sz w:val="24"/>
          <w:highlight w:val="none"/>
          <w:lang w:val="en-US" w:eastAsia="zh-CN"/>
        </w:rPr>
        <w:t>：第（1）项、</w:t>
      </w:r>
      <w:bookmarkStart w:id="39" w:name="OLE_LINK22"/>
      <w:r>
        <w:rPr>
          <w:rFonts w:hint="eastAsia" w:asciiTheme="minorEastAsia" w:hAnsiTheme="minorEastAsia" w:eastAsiaTheme="minorEastAsia"/>
          <w:b/>
          <w:bCs/>
          <w:color w:val="FF0000"/>
          <w:sz w:val="24"/>
          <w:highlight w:val="none"/>
          <w:lang w:val="en-US" w:eastAsia="zh-CN"/>
        </w:rPr>
        <w:t>第（2）项</w:t>
      </w:r>
      <w:bookmarkEnd w:id="39"/>
      <w:r>
        <w:rPr>
          <w:rFonts w:hint="eastAsia" w:asciiTheme="minorEastAsia" w:hAnsiTheme="minorEastAsia" w:eastAsiaTheme="minorEastAsia"/>
          <w:b/>
          <w:bCs/>
          <w:color w:val="FF0000"/>
          <w:sz w:val="24"/>
          <w:highlight w:val="none"/>
          <w:lang w:val="en-US" w:eastAsia="zh-CN"/>
        </w:rPr>
        <w:t>”要求；</w:t>
      </w:r>
    </w:p>
    <w:p w14:paraId="1DCE504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b/>
          <w:bCs/>
          <w:color w:val="FF0000"/>
          <w:sz w:val="24"/>
          <w:highlight w:val="none"/>
          <w:lang w:val="en-US" w:eastAsia="zh-CN"/>
        </w:rPr>
      </w:pPr>
      <w:r>
        <w:rPr>
          <w:rFonts w:hint="eastAsia" w:asciiTheme="minorEastAsia" w:hAnsiTheme="minorEastAsia" w:eastAsiaTheme="minorEastAsia"/>
          <w:b/>
          <w:bCs/>
          <w:color w:val="FF0000"/>
          <w:sz w:val="24"/>
          <w:highlight w:val="none"/>
          <w:lang w:val="en-US" w:eastAsia="zh-CN"/>
        </w:rPr>
        <w:t>6.3联合体另一方应满足“磋商公告（邀请）中本项目的特定资格要求：第（3）项、第（4）项”要求；</w:t>
      </w:r>
    </w:p>
    <w:p w14:paraId="2A66827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rPr>
      </w:pPr>
      <w:r>
        <w:rPr>
          <w:rFonts w:hint="eastAsia" w:asciiTheme="minorEastAsia" w:hAnsiTheme="minorEastAsia" w:eastAsiaTheme="minorEastAsia"/>
          <w:b/>
          <w:bCs/>
          <w:color w:val="FF0000"/>
          <w:sz w:val="24"/>
          <w:highlight w:val="none"/>
          <w:lang w:val="en-US" w:eastAsia="zh-CN"/>
        </w:rPr>
        <w:t>6.4联合体磋商的，项目经理、技术负责人应为联合体牵头人单位人员；其他人员，联合体各方提供的均予以认可。</w:t>
      </w:r>
    </w:p>
    <w:p w14:paraId="45F2BCAC">
      <w:pPr>
        <w:adjustRightInd w:val="0"/>
        <w:snapToGrid w:val="0"/>
        <w:spacing w:line="560" w:lineRule="exact"/>
        <w:ind w:firstLine="482" w:firstLineChars="200"/>
        <w:jc w:val="left"/>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八、凡对本</w:t>
      </w:r>
      <w:r>
        <w:rPr>
          <w:rFonts w:hint="eastAsia" w:ascii="宋体" w:hAnsi="宋体" w:eastAsia="宋体" w:cs="宋体"/>
          <w:b/>
          <w:sz w:val="24"/>
          <w:szCs w:val="24"/>
          <w:highlight w:val="none"/>
        </w:rPr>
        <w:t>次采购提出询问，请按以下方式联系。</w:t>
      </w:r>
      <w:bookmarkEnd w:id="33"/>
      <w:bookmarkEnd w:id="34"/>
      <w:bookmarkEnd w:id="35"/>
      <w:bookmarkEnd w:id="36"/>
      <w:bookmarkEnd w:id="37"/>
    </w:p>
    <w:p w14:paraId="21401C54">
      <w:pPr>
        <w:adjustRightInd w:val="0"/>
        <w:snapToGrid w:val="0"/>
        <w:spacing w:line="560" w:lineRule="exact"/>
        <w:ind w:firstLine="480" w:firstLineChars="200"/>
        <w:jc w:val="left"/>
        <w:rPr>
          <w:rFonts w:ascii="宋体" w:hAnsi="宋体" w:eastAsia="宋体" w:cs="宋体"/>
          <w:sz w:val="24"/>
          <w:szCs w:val="24"/>
          <w:highlight w:val="none"/>
        </w:rPr>
      </w:pPr>
      <w:bookmarkStart w:id="40" w:name="_Toc28359096"/>
      <w:bookmarkStart w:id="41" w:name="_Toc35393806"/>
      <w:bookmarkStart w:id="42" w:name="_Toc35393637"/>
      <w:bookmarkStart w:id="43" w:name="_Toc28359019"/>
      <w:bookmarkStart w:id="44" w:name="_Toc29915"/>
      <w:r>
        <w:rPr>
          <w:rFonts w:hint="eastAsia" w:ascii="宋体" w:hAnsi="宋体" w:eastAsia="宋体" w:cs="宋体"/>
          <w:sz w:val="24"/>
          <w:szCs w:val="24"/>
          <w:highlight w:val="none"/>
        </w:rPr>
        <w:t>1.采购人信息</w:t>
      </w:r>
      <w:bookmarkEnd w:id="40"/>
      <w:bookmarkEnd w:id="41"/>
      <w:bookmarkEnd w:id="42"/>
      <w:bookmarkEnd w:id="43"/>
      <w:bookmarkEnd w:id="44"/>
    </w:p>
    <w:p w14:paraId="0A721B65">
      <w:pPr>
        <w:adjustRightInd w:val="0"/>
        <w:snapToGrid w:val="0"/>
        <w:spacing w:line="560" w:lineRule="exact"/>
        <w:ind w:firstLine="480" w:firstLineChars="200"/>
        <w:jc w:val="left"/>
        <w:rPr>
          <w:rFonts w:ascii="宋体" w:hAnsi="宋体" w:eastAsia="宋体"/>
          <w:sz w:val="24"/>
          <w:szCs w:val="18"/>
          <w:highlight w:val="none"/>
        </w:rPr>
      </w:pPr>
      <w:bookmarkStart w:id="45" w:name="_Toc35393638"/>
      <w:bookmarkStart w:id="46" w:name="_Toc28359020"/>
      <w:bookmarkStart w:id="47" w:name="_Toc28359097"/>
      <w:bookmarkStart w:id="48" w:name="_Toc35393807"/>
      <w:r>
        <w:rPr>
          <w:rFonts w:hint="eastAsia" w:ascii="宋体" w:hAnsi="宋体" w:eastAsia="宋体" w:cs="宋体"/>
          <w:sz w:val="24"/>
          <w:szCs w:val="24"/>
          <w:highlight w:val="none"/>
        </w:rPr>
        <w:t>名  称</w:t>
      </w:r>
      <w:r>
        <w:rPr>
          <w:rFonts w:hint="eastAsia" w:ascii="宋体" w:hAnsi="宋体" w:eastAsia="宋体"/>
          <w:sz w:val="24"/>
          <w:szCs w:val="18"/>
          <w:highlight w:val="none"/>
        </w:rPr>
        <w:t>：安徽省淮河河道管理局</w:t>
      </w:r>
    </w:p>
    <w:p w14:paraId="72324766">
      <w:pPr>
        <w:adjustRightInd w:val="0"/>
        <w:snapToGrid w:val="0"/>
        <w:spacing w:line="560" w:lineRule="exact"/>
        <w:ind w:firstLine="480" w:firstLineChars="200"/>
        <w:jc w:val="left"/>
        <w:rPr>
          <w:rFonts w:ascii="宋体" w:hAnsi="宋体" w:eastAsia="宋体"/>
          <w:sz w:val="24"/>
          <w:szCs w:val="18"/>
          <w:highlight w:val="non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址：安徽省蚌埠市解放一路116号</w:t>
      </w:r>
    </w:p>
    <w:p w14:paraId="6CDE4883">
      <w:pPr>
        <w:adjustRightInd w:val="0"/>
        <w:snapToGrid w:val="0"/>
        <w:spacing w:line="560" w:lineRule="exact"/>
        <w:ind w:firstLine="480" w:firstLineChars="200"/>
        <w:jc w:val="left"/>
        <w:rPr>
          <w:rFonts w:ascii="宋体" w:hAnsi="宋体" w:eastAsia="宋体"/>
          <w:sz w:val="24"/>
          <w:szCs w:val="18"/>
          <w:highlight w:val="none"/>
        </w:rPr>
      </w:pPr>
      <w:r>
        <w:rPr>
          <w:rFonts w:hint="eastAsia" w:ascii="宋体" w:hAnsi="宋体" w:eastAsia="宋体"/>
          <w:sz w:val="24"/>
          <w:szCs w:val="18"/>
          <w:highlight w:val="none"/>
        </w:rPr>
        <w:t>联系人：</w:t>
      </w:r>
      <w:r>
        <w:rPr>
          <w:rFonts w:hint="eastAsia"/>
          <w:sz w:val="24"/>
          <w:szCs w:val="18"/>
          <w:highlight w:val="none"/>
          <w:lang w:val="en-US" w:eastAsia="zh-CN"/>
        </w:rPr>
        <w:t>李</w:t>
      </w:r>
      <w:r>
        <w:rPr>
          <w:rFonts w:hint="eastAsia" w:ascii="宋体" w:hAnsi="宋体" w:eastAsia="宋体"/>
          <w:sz w:val="24"/>
          <w:szCs w:val="18"/>
          <w:highlight w:val="none"/>
        </w:rPr>
        <w:t>工</w:t>
      </w:r>
    </w:p>
    <w:p w14:paraId="12C5C458">
      <w:pPr>
        <w:adjustRightInd w:val="0"/>
        <w:snapToGrid w:val="0"/>
        <w:spacing w:line="560" w:lineRule="exact"/>
        <w:ind w:firstLine="480" w:firstLineChars="200"/>
        <w:jc w:val="left"/>
        <w:rPr>
          <w:rFonts w:ascii="宋体" w:hAnsi="宋体" w:eastAsia="宋体"/>
          <w:sz w:val="24"/>
          <w:szCs w:val="18"/>
          <w:highlight w:val="none"/>
        </w:rPr>
      </w:pPr>
      <w:r>
        <w:rPr>
          <w:rFonts w:hint="eastAsia" w:ascii="宋体" w:hAnsi="宋体" w:eastAsia="宋体"/>
          <w:sz w:val="24"/>
          <w:szCs w:val="18"/>
          <w:highlight w:val="none"/>
        </w:rPr>
        <w:t>联系方式：0552-3918027</w:t>
      </w:r>
    </w:p>
    <w:p w14:paraId="496D973B">
      <w:pPr>
        <w:adjustRightInd w:val="0"/>
        <w:snapToGrid w:val="0"/>
        <w:spacing w:line="560" w:lineRule="exact"/>
        <w:ind w:firstLine="480" w:firstLineChars="200"/>
        <w:jc w:val="left"/>
        <w:rPr>
          <w:rFonts w:ascii="宋体" w:hAnsi="宋体" w:eastAsia="宋体" w:cs="宋体"/>
          <w:sz w:val="24"/>
          <w:szCs w:val="24"/>
          <w:highlight w:val="none"/>
        </w:rPr>
      </w:pPr>
      <w:bookmarkStart w:id="49" w:name="_Toc15577"/>
      <w:r>
        <w:rPr>
          <w:rFonts w:hint="eastAsia" w:ascii="宋体" w:hAnsi="宋体" w:eastAsia="宋体" w:cs="宋体"/>
          <w:sz w:val="24"/>
          <w:szCs w:val="24"/>
          <w:highlight w:val="none"/>
        </w:rPr>
        <w:t>2.采购代理机构信息</w:t>
      </w:r>
      <w:bookmarkEnd w:id="45"/>
      <w:bookmarkEnd w:id="46"/>
      <w:bookmarkEnd w:id="47"/>
      <w:bookmarkEnd w:id="48"/>
      <w:bookmarkEnd w:id="49"/>
    </w:p>
    <w:p w14:paraId="1A0A98E2">
      <w:pPr>
        <w:adjustRightInd w:val="0"/>
        <w:snapToGrid w:val="0"/>
        <w:spacing w:line="560" w:lineRule="exact"/>
        <w:ind w:firstLine="480" w:firstLineChars="200"/>
        <w:jc w:val="left"/>
        <w:rPr>
          <w:rFonts w:hint="eastAsia"/>
          <w:bCs/>
          <w:sz w:val="24"/>
          <w:szCs w:val="18"/>
          <w:highlight w:val="none"/>
          <w:lang w:val="en-US" w:eastAsia="zh-CN"/>
        </w:rPr>
      </w:pPr>
      <w:r>
        <w:rPr>
          <w:rFonts w:hint="eastAsia" w:ascii="宋体" w:hAnsi="宋体" w:eastAsia="宋体"/>
          <w:bCs/>
          <w:sz w:val="24"/>
          <w:szCs w:val="18"/>
          <w:highlight w:val="none"/>
        </w:rPr>
        <w:t>名  称：</w:t>
      </w:r>
      <w:r>
        <w:rPr>
          <w:rFonts w:hint="eastAsia"/>
          <w:bCs/>
          <w:sz w:val="24"/>
          <w:szCs w:val="18"/>
          <w:highlight w:val="none"/>
          <w:lang w:val="en-US" w:eastAsia="zh-CN"/>
        </w:rPr>
        <w:t>安徽安兆工程技术咨询服务有限公司</w:t>
      </w:r>
    </w:p>
    <w:p w14:paraId="4EB6B450">
      <w:pPr>
        <w:adjustRightInd w:val="0"/>
        <w:snapToGrid w:val="0"/>
        <w:spacing w:line="560" w:lineRule="exact"/>
        <w:ind w:firstLine="480" w:firstLineChars="200"/>
        <w:jc w:val="left"/>
        <w:rPr>
          <w:rFonts w:hint="default" w:ascii="宋体" w:hAnsi="宋体" w:eastAsia="宋体"/>
          <w:bCs/>
          <w:sz w:val="24"/>
          <w:szCs w:val="18"/>
          <w:highlight w:val="none"/>
          <w:lang w:val="en-US" w:eastAsia="zh-CN"/>
        </w:rPr>
      </w:pPr>
      <w:r>
        <w:rPr>
          <w:rFonts w:hint="eastAsia" w:ascii="宋体" w:hAnsi="宋体" w:eastAsia="宋体"/>
          <w:bCs/>
          <w:sz w:val="24"/>
          <w:szCs w:val="18"/>
          <w:highlight w:val="none"/>
        </w:rPr>
        <w:t>地  址：</w:t>
      </w:r>
      <w:r>
        <w:rPr>
          <w:rFonts w:hint="eastAsia"/>
          <w:bCs/>
          <w:sz w:val="24"/>
          <w:szCs w:val="18"/>
          <w:highlight w:val="none"/>
          <w:lang w:val="en-US" w:eastAsia="zh-CN"/>
        </w:rPr>
        <w:t>蚌埠市凤阳西路41号</w:t>
      </w:r>
    </w:p>
    <w:p w14:paraId="08522320">
      <w:pPr>
        <w:adjustRightInd w:val="0"/>
        <w:snapToGrid w:val="0"/>
        <w:spacing w:line="560" w:lineRule="exact"/>
        <w:ind w:firstLine="480" w:firstLineChars="200"/>
        <w:jc w:val="left"/>
        <w:rPr>
          <w:rFonts w:hint="default" w:ascii="宋体" w:hAnsi="宋体" w:eastAsia="宋体"/>
          <w:bCs/>
          <w:sz w:val="24"/>
          <w:szCs w:val="18"/>
          <w:highlight w:val="none"/>
          <w:lang w:val="en-US" w:eastAsia="zh-CN"/>
        </w:rPr>
      </w:pPr>
      <w:r>
        <w:rPr>
          <w:rFonts w:hint="eastAsia" w:ascii="宋体" w:hAnsi="宋体" w:eastAsia="宋体"/>
          <w:bCs/>
          <w:sz w:val="24"/>
          <w:szCs w:val="18"/>
          <w:highlight w:val="none"/>
        </w:rPr>
        <w:t>联系人：</w:t>
      </w:r>
      <w:r>
        <w:rPr>
          <w:rFonts w:hint="eastAsia"/>
          <w:bCs/>
          <w:sz w:val="24"/>
          <w:szCs w:val="18"/>
          <w:highlight w:val="none"/>
          <w:lang w:val="en-US" w:eastAsia="zh-CN"/>
        </w:rPr>
        <w:t>薛工</w:t>
      </w:r>
    </w:p>
    <w:p w14:paraId="4F0B553B">
      <w:pPr>
        <w:adjustRightInd w:val="0"/>
        <w:snapToGrid w:val="0"/>
        <w:spacing w:line="560" w:lineRule="exact"/>
        <w:ind w:firstLine="480" w:firstLineChars="200"/>
        <w:jc w:val="left"/>
        <w:rPr>
          <w:rFonts w:hint="default"/>
          <w:bCs/>
          <w:sz w:val="24"/>
          <w:szCs w:val="18"/>
          <w:highlight w:val="none"/>
          <w:lang w:val="en-US" w:eastAsia="zh-CN"/>
        </w:rPr>
      </w:pPr>
      <w:r>
        <w:rPr>
          <w:rFonts w:hint="eastAsia" w:ascii="宋体" w:hAnsi="宋体" w:eastAsia="宋体"/>
          <w:bCs/>
          <w:sz w:val="24"/>
          <w:szCs w:val="18"/>
          <w:highlight w:val="none"/>
        </w:rPr>
        <w:t>联系方式：</w:t>
      </w:r>
      <w:r>
        <w:rPr>
          <w:rFonts w:hint="eastAsia"/>
          <w:bCs/>
          <w:sz w:val="24"/>
          <w:szCs w:val="18"/>
          <w:highlight w:val="none"/>
          <w:lang w:val="en-US" w:eastAsia="zh-CN"/>
        </w:rPr>
        <w:t>0552-3092287</w:t>
      </w:r>
    </w:p>
    <w:p w14:paraId="5E15EDF9">
      <w:pPr>
        <w:adjustRightInd w:val="0"/>
        <w:snapToGrid w:val="0"/>
        <w:spacing w:line="560" w:lineRule="exact"/>
        <w:ind w:firstLine="480" w:firstLineChars="200"/>
        <w:jc w:val="left"/>
        <w:rPr>
          <w:rFonts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4729A9F5">
      <w:pPr>
        <w:adjustRightInd w:val="0"/>
        <w:snapToGrid w:val="0"/>
        <w:spacing w:line="560" w:lineRule="exact"/>
        <w:ind w:firstLine="480" w:firstLineChars="200"/>
        <w:jc w:val="left"/>
        <w:rPr>
          <w:rFonts w:ascii="宋体" w:hAnsi="宋体" w:eastAsia="宋体"/>
          <w:sz w:val="24"/>
          <w:szCs w:val="18"/>
          <w:highlight w:val="none"/>
        </w:rPr>
      </w:pPr>
      <w:r>
        <w:rPr>
          <w:rFonts w:hint="eastAsia" w:ascii="宋体" w:hAnsi="宋体" w:eastAsia="宋体"/>
          <w:sz w:val="24"/>
          <w:szCs w:val="18"/>
          <w:highlight w:val="none"/>
        </w:rPr>
        <w:t>名  称：安徽省财政厅</w:t>
      </w:r>
    </w:p>
    <w:p w14:paraId="4D216BFA">
      <w:pPr>
        <w:adjustRightInd w:val="0"/>
        <w:snapToGrid w:val="0"/>
        <w:spacing w:line="560" w:lineRule="exact"/>
        <w:ind w:firstLine="480" w:firstLineChars="200"/>
        <w:jc w:val="left"/>
        <w:rPr>
          <w:rFonts w:ascii="宋体" w:hAnsi="宋体" w:eastAsia="宋体"/>
          <w:sz w:val="24"/>
          <w:szCs w:val="18"/>
          <w:highlight w:val="none"/>
        </w:rPr>
      </w:pPr>
      <w:r>
        <w:rPr>
          <w:rFonts w:hint="eastAsia" w:ascii="宋体" w:hAnsi="宋体" w:eastAsia="宋体"/>
          <w:sz w:val="24"/>
          <w:szCs w:val="18"/>
          <w:highlight w:val="none"/>
        </w:rPr>
        <w:t>地  址：合肥市阜南西路238号</w:t>
      </w:r>
    </w:p>
    <w:p w14:paraId="327AD954">
      <w:pPr>
        <w:adjustRightInd w:val="0"/>
        <w:snapToGrid w:val="0"/>
        <w:spacing w:line="560" w:lineRule="exact"/>
        <w:ind w:firstLine="480" w:firstLineChars="200"/>
        <w:jc w:val="left"/>
        <w:rPr>
          <w:rFonts w:ascii="宋体" w:hAnsi="宋体" w:eastAsia="宋体"/>
          <w:sz w:val="24"/>
          <w:szCs w:val="18"/>
          <w:highlight w:val="none"/>
        </w:rPr>
      </w:pPr>
      <w:r>
        <w:rPr>
          <w:rFonts w:hint="eastAsia" w:ascii="宋体" w:hAnsi="宋体" w:eastAsia="宋体"/>
          <w:sz w:val="24"/>
          <w:szCs w:val="18"/>
          <w:highlight w:val="none"/>
        </w:rPr>
        <w:t>联系方式：0551-68150413</w:t>
      </w:r>
    </w:p>
    <w:p w14:paraId="19ADC4D7">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3060394D">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8"/>
    </w:p>
    <w:p w14:paraId="359B4A81">
      <w:pPr>
        <w:spacing w:line="360" w:lineRule="auto"/>
        <w:jc w:val="center"/>
        <w:outlineLvl w:val="1"/>
        <w:rPr>
          <w:rFonts w:asciiTheme="minorEastAsia" w:hAnsiTheme="minorEastAsia" w:eastAsiaTheme="minorEastAsia"/>
          <w:b/>
          <w:color w:val="auto"/>
          <w:sz w:val="24"/>
          <w:highlight w:val="none"/>
        </w:rPr>
      </w:pPr>
      <w:bookmarkStart w:id="50" w:name="_Toc18621"/>
      <w:bookmarkStart w:id="51"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0"/>
      <w:bookmarkEnd w:id="51"/>
    </w:p>
    <w:p w14:paraId="503E659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6"/>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888"/>
        <w:gridCol w:w="6874"/>
      </w:tblGrid>
      <w:tr w14:paraId="399F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8435AF2">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1F705173">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7" w:type="pct"/>
            <w:vAlign w:val="center"/>
          </w:tcPr>
          <w:p w14:paraId="773C7CF4">
            <w:pPr>
              <w:pStyle w:val="6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2772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B47B44D">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213CA76D">
            <w:pPr>
              <w:pStyle w:val="69"/>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7" w:type="pct"/>
            <w:vAlign w:val="center"/>
          </w:tcPr>
          <w:p w14:paraId="00D9A6A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9DC1B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D5A3FCA">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p>
          <w:p w14:paraId="6E7A7AF3">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035E46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00D449AE">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0701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1B566774">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3F7D062E">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7" w:type="pct"/>
            <w:vAlign w:val="center"/>
          </w:tcPr>
          <w:p w14:paraId="6A5A6A3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2025</w:t>
            </w:r>
            <w:r>
              <w:rPr>
                <w:b w:val="0"/>
                <w:color w:val="auto"/>
                <w:sz w:val="24"/>
                <w:highlight w:val="none"/>
              </w:rPr>
              <w:t>年</w:t>
            </w:r>
            <w:r>
              <w:rPr>
                <w:rFonts w:hint="eastAsia"/>
                <w:b w:val="0"/>
                <w:color w:val="auto"/>
                <w:sz w:val="24"/>
                <w:highlight w:val="none"/>
                <w:u w:val="single"/>
                <w:lang w:val="en-US" w:eastAsia="zh-CN"/>
              </w:rPr>
              <w:t>4</w:t>
            </w:r>
            <w:r>
              <w:rPr>
                <w:b w:val="0"/>
                <w:color w:val="auto"/>
                <w:sz w:val="24"/>
                <w:highlight w:val="none"/>
              </w:rPr>
              <w:t>月</w:t>
            </w:r>
            <w:r>
              <w:rPr>
                <w:rFonts w:hint="eastAsia"/>
                <w:b w:val="0"/>
                <w:color w:val="auto"/>
                <w:sz w:val="24"/>
                <w:highlight w:val="none"/>
                <w:u w:val="single"/>
                <w:lang w:val="en-US" w:eastAsia="zh-CN"/>
              </w:rPr>
              <w:t>26</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30</w:t>
            </w:r>
            <w:r>
              <w:rPr>
                <w:rFonts w:hint="eastAsia"/>
                <w:b w:val="0"/>
                <w:color w:val="auto"/>
                <w:sz w:val="24"/>
                <w:highlight w:val="none"/>
              </w:rPr>
              <w:t>分</w:t>
            </w:r>
          </w:p>
        </w:tc>
      </w:tr>
      <w:tr w14:paraId="7261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4" w:type="pct"/>
            <w:vAlign w:val="center"/>
          </w:tcPr>
          <w:p w14:paraId="6C003AB6">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0DBF9DDE">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7" w:type="pct"/>
            <w:vAlign w:val="center"/>
          </w:tcPr>
          <w:p w14:paraId="6F22B8D7">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theme="minorBidi"/>
                <w:b w:val="0"/>
                <w:bCs/>
                <w:color w:val="auto"/>
                <w:sz w:val="24"/>
                <w:szCs w:val="20"/>
                <w:highlight w:val="none"/>
                <w:lang w:val="en-US" w:eastAsia="zh-CN" w:bidi="ar-SA"/>
              </w:rPr>
            </w:pPr>
            <w:r>
              <w:rPr>
                <w:rFonts w:hint="eastAsia" w:ascii="宋体" w:hAnsi="宋体" w:eastAsia="宋体" w:cstheme="minorBidi"/>
                <w:b w:val="0"/>
                <w:bCs/>
                <w:color w:val="auto"/>
                <w:sz w:val="24"/>
                <w:szCs w:val="20"/>
                <w:highlight w:val="none"/>
                <w:lang w:val="en-US" w:eastAsia="zh-CN" w:bidi="ar-SA"/>
              </w:rPr>
              <w:sym w:font="Wingdings 2" w:char="00A3"/>
            </w:r>
            <w:r>
              <w:rPr>
                <w:rFonts w:hint="eastAsia" w:ascii="宋体" w:hAnsi="宋体" w:eastAsia="宋体" w:cstheme="minorBidi"/>
                <w:b w:val="0"/>
                <w:bCs/>
                <w:color w:val="auto"/>
                <w:sz w:val="24"/>
                <w:szCs w:val="20"/>
                <w:highlight w:val="none"/>
                <w:lang w:val="en-US" w:eastAsia="zh-CN" w:bidi="ar-SA"/>
              </w:rPr>
              <w:t xml:space="preserve">不分包     </w:t>
            </w:r>
            <w:r>
              <w:rPr>
                <w:rFonts w:hint="eastAsia" w:cstheme="minorBidi"/>
                <w:b w:val="0"/>
                <w:bCs/>
                <w:color w:val="auto"/>
                <w:sz w:val="24"/>
                <w:szCs w:val="20"/>
                <w:highlight w:val="none"/>
                <w:lang w:val="en-US" w:eastAsia="zh-CN" w:bidi="ar-SA"/>
              </w:rPr>
              <w:t>☑</w:t>
            </w:r>
            <w:r>
              <w:rPr>
                <w:rFonts w:hint="eastAsia" w:ascii="宋体" w:hAnsi="宋体" w:eastAsia="宋体" w:cstheme="minorBidi"/>
                <w:b w:val="0"/>
                <w:bCs/>
                <w:color w:val="auto"/>
                <w:sz w:val="24"/>
                <w:szCs w:val="20"/>
                <w:highlight w:val="none"/>
                <w:lang w:val="en-US" w:eastAsia="zh-CN" w:bidi="ar-SA"/>
              </w:rPr>
              <w:t>分为</w:t>
            </w:r>
            <w:r>
              <w:rPr>
                <w:rFonts w:hint="eastAsia" w:cstheme="minorBidi"/>
                <w:b w:val="0"/>
                <w:bCs/>
                <w:color w:val="auto"/>
                <w:sz w:val="24"/>
                <w:szCs w:val="20"/>
                <w:highlight w:val="none"/>
                <w:u w:val="single"/>
                <w:lang w:val="en-US" w:eastAsia="zh-CN" w:bidi="ar-SA"/>
              </w:rPr>
              <w:t xml:space="preserve"> 4 </w:t>
            </w:r>
            <w:r>
              <w:rPr>
                <w:rFonts w:hint="eastAsia" w:ascii="宋体" w:hAnsi="宋体" w:eastAsia="宋体" w:cstheme="minorBidi"/>
                <w:b w:val="0"/>
                <w:bCs/>
                <w:color w:val="auto"/>
                <w:sz w:val="24"/>
                <w:szCs w:val="20"/>
                <w:highlight w:val="none"/>
                <w:lang w:val="en-US" w:eastAsia="zh-CN" w:bidi="ar-SA"/>
              </w:rPr>
              <w:t>个包。</w:t>
            </w:r>
          </w:p>
          <w:p w14:paraId="10121189">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single"/>
                <w:lang w:eastAsia="zh-CN"/>
              </w:rPr>
              <w:t>2025年省淮河局水闸监测设施等维修改造</w:t>
            </w:r>
            <w:r>
              <w:rPr>
                <w:rFonts w:hint="eastAsia" w:asciiTheme="minorEastAsia" w:hAnsiTheme="minorEastAsia" w:eastAsiaTheme="minorEastAsia"/>
                <w:color w:val="auto"/>
                <w:sz w:val="24"/>
                <w:highlight w:val="none"/>
                <w:u w:val="single"/>
                <w:lang w:val="en-US" w:eastAsia="zh-CN"/>
              </w:rPr>
              <w:t>共分4个包别，本次</w:t>
            </w:r>
            <w:r>
              <w:rPr>
                <w:rFonts w:hint="eastAsia" w:asciiTheme="minorEastAsia" w:hAnsiTheme="minorEastAsia" w:eastAsiaTheme="minorEastAsia"/>
                <w:color w:val="auto"/>
                <w:sz w:val="24"/>
                <w:highlight w:val="none"/>
                <w:u w:val="single"/>
                <w:lang w:eastAsia="zh-CN"/>
              </w:rPr>
              <w:t>为第（</w:t>
            </w:r>
            <w:r>
              <w:rPr>
                <w:rFonts w:hint="eastAsia" w:asciiTheme="minorEastAsia" w:hAnsiTheme="minorEastAsia" w:eastAsiaTheme="minorEastAsia"/>
                <w:color w:val="auto"/>
                <w:sz w:val="24"/>
                <w:highlight w:val="none"/>
                <w:u w:val="single"/>
                <w:lang w:val="en-US" w:eastAsia="zh-CN"/>
              </w:rPr>
              <w:t>4</w:t>
            </w:r>
            <w:r>
              <w:rPr>
                <w:rFonts w:hint="eastAsia" w:asciiTheme="minorEastAsia" w:hAnsiTheme="minorEastAsia" w:eastAsiaTheme="minorEastAsia"/>
                <w:color w:val="auto"/>
                <w:sz w:val="24"/>
                <w:highlight w:val="none"/>
                <w:u w:val="single"/>
                <w:lang w:eastAsia="zh-CN"/>
              </w:rPr>
              <w:t>）包，供应商根据所投包号填写。</w:t>
            </w:r>
          </w:p>
          <w:p w14:paraId="09BC144B">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eastAsia="宋体"/>
                <w:b w:val="0"/>
                <w:color w:val="auto"/>
                <w:sz w:val="24"/>
                <w:highlight w:val="none"/>
                <w:lang w:val="en-US" w:eastAsia="zh-CN"/>
              </w:rPr>
            </w:pPr>
            <w:r>
              <w:rPr>
                <w:rFonts w:hint="eastAsia" w:ascii="宋体" w:hAnsi="宋体" w:eastAsia="宋体" w:cstheme="minorBidi"/>
                <w:b w:val="0"/>
                <w:bCs/>
                <w:color w:val="auto"/>
                <w:sz w:val="24"/>
                <w:szCs w:val="20"/>
                <w:highlight w:val="none"/>
                <w:lang w:val="en-US" w:eastAsia="zh-CN" w:bidi="ar-SA"/>
              </w:rPr>
              <w:t>供应商参加多个包磋商的成交包数规定：</w:t>
            </w:r>
            <w:r>
              <w:rPr>
                <w:rFonts w:hint="eastAsia" w:cstheme="minorBidi"/>
                <w:b w:val="0"/>
                <w:bCs/>
                <w:color w:val="auto"/>
                <w:sz w:val="24"/>
                <w:szCs w:val="20"/>
                <w:highlight w:val="none"/>
                <w:u w:val="single"/>
                <w:lang w:val="en-US" w:eastAsia="zh-CN" w:bidi="ar-SA"/>
              </w:rPr>
              <w:t>/</w:t>
            </w:r>
          </w:p>
        </w:tc>
      </w:tr>
      <w:tr w14:paraId="7435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4" w:type="pct"/>
            <w:vAlign w:val="center"/>
          </w:tcPr>
          <w:p w14:paraId="132D83D7">
            <w:pPr>
              <w:pStyle w:val="70"/>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9.2</w:t>
            </w:r>
          </w:p>
        </w:tc>
        <w:tc>
          <w:tcPr>
            <w:tcW w:w="977" w:type="pct"/>
            <w:vAlign w:val="center"/>
          </w:tcPr>
          <w:p w14:paraId="2BE2664C">
            <w:pPr>
              <w:pStyle w:val="69"/>
              <w:widowControl w:val="0"/>
              <w:spacing w:before="0" w:beforeAutospacing="0" w:after="0" w:afterAutospacing="0" w:line="360" w:lineRule="auto"/>
              <w:jc w:val="left"/>
              <w:rPr>
                <w:rFonts w:hint="eastAsia"/>
                <w:b w:val="0"/>
                <w:color w:val="auto"/>
                <w:sz w:val="24"/>
                <w:highlight w:val="none"/>
              </w:rPr>
            </w:pPr>
            <w:r>
              <w:rPr>
                <w:rFonts w:hint="eastAsia" w:ascii="宋体" w:hAnsi="宋体" w:eastAsia="宋体"/>
                <w:b w:val="0"/>
                <w:color w:val="000000" w:themeColor="text1"/>
                <w:sz w:val="24"/>
                <w:highlight w:val="none"/>
                <w14:textFill>
                  <w14:solidFill>
                    <w14:schemeClr w14:val="tx1"/>
                  </w14:solidFill>
                </w14:textFill>
              </w:rPr>
              <w:t>最高限价及分项限价</w:t>
            </w:r>
          </w:p>
        </w:tc>
        <w:tc>
          <w:tcPr>
            <w:tcW w:w="3557" w:type="pct"/>
            <w:vAlign w:val="center"/>
          </w:tcPr>
          <w:p w14:paraId="07112232">
            <w:pPr>
              <w:spacing w:line="360" w:lineRule="auto"/>
              <w:rPr>
                <w:rFonts w:hint="eastAsia"/>
                <w:b/>
                <w:bCs/>
                <w:color w:val="FF0000"/>
                <w:sz w:val="24"/>
                <w:szCs w:val="24"/>
                <w:highlight w:val="none"/>
                <w:lang w:eastAsia="zh-CN"/>
              </w:rPr>
            </w:pPr>
            <w:r>
              <w:rPr>
                <w:rFonts w:hint="eastAsia" w:ascii="宋体" w:hAnsi="宋体" w:eastAsia="宋体"/>
                <w:b/>
                <w:bCs/>
                <w:color w:val="FF0000"/>
                <w:sz w:val="24"/>
                <w:szCs w:val="24"/>
                <w:highlight w:val="none"/>
              </w:rPr>
              <w:t>本项目最高限价为</w:t>
            </w:r>
            <w:r>
              <w:rPr>
                <w:rFonts w:hint="eastAsia"/>
                <w:b/>
                <w:bCs/>
                <w:color w:val="FF0000"/>
                <w:sz w:val="24"/>
                <w:szCs w:val="24"/>
                <w:highlight w:val="none"/>
                <w:lang w:val="en-US" w:eastAsia="zh-CN"/>
              </w:rPr>
              <w:t>129万元</w:t>
            </w:r>
            <w:r>
              <w:rPr>
                <w:rFonts w:hint="eastAsia"/>
                <w:b/>
                <w:bCs/>
                <w:color w:val="FF0000"/>
                <w:sz w:val="24"/>
                <w:szCs w:val="24"/>
                <w:highlight w:val="none"/>
                <w:lang w:eastAsia="zh-CN"/>
              </w:rPr>
              <w:t>。</w:t>
            </w:r>
          </w:p>
          <w:p w14:paraId="4F548B6B">
            <w:pPr>
              <w:spacing w:line="360" w:lineRule="auto"/>
              <w:rPr>
                <w:rFonts w:hint="default"/>
                <w:b/>
                <w:bCs/>
                <w:color w:val="FF0000"/>
                <w:sz w:val="24"/>
                <w:szCs w:val="24"/>
                <w:highlight w:val="none"/>
                <w:lang w:val="en-US" w:eastAsia="zh-CN"/>
              </w:rPr>
            </w:pPr>
            <w:r>
              <w:rPr>
                <w:rFonts w:hint="eastAsia" w:ascii="宋体" w:hAnsi="宋体" w:eastAsia="宋体"/>
                <w:b/>
                <w:bCs/>
                <w:color w:val="FF0000"/>
                <w:kern w:val="2"/>
                <w:sz w:val="24"/>
                <w:szCs w:val="24"/>
                <w:highlight w:val="none"/>
                <w:lang w:val="en-US" w:eastAsia="zh-CN"/>
              </w:rPr>
              <w:t>分项限价：</w:t>
            </w:r>
            <w:r>
              <w:rPr>
                <w:rFonts w:hint="eastAsia"/>
                <w:b/>
                <w:bCs/>
                <w:color w:val="FF0000"/>
                <w:kern w:val="2"/>
                <w:sz w:val="24"/>
                <w:szCs w:val="24"/>
                <w:highlight w:val="none"/>
                <w:lang w:val="en-US" w:eastAsia="zh-CN"/>
              </w:rPr>
              <w:t>省淮河局86万元；</w:t>
            </w:r>
            <w:r>
              <w:rPr>
                <w:rFonts w:hint="eastAsia" w:ascii="宋体" w:hAnsi="宋体" w:eastAsia="宋体"/>
                <w:b/>
                <w:bCs/>
                <w:color w:val="FF0000"/>
                <w:kern w:val="2"/>
                <w:sz w:val="24"/>
                <w:szCs w:val="24"/>
                <w:highlight w:val="none"/>
                <w:lang w:val="en-US" w:eastAsia="zh-CN"/>
              </w:rPr>
              <w:t>东湖闸24</w:t>
            </w:r>
            <w:r>
              <w:rPr>
                <w:rFonts w:hint="eastAsia"/>
                <w:b/>
                <w:bCs/>
                <w:color w:val="FF0000"/>
                <w:kern w:val="2"/>
                <w:sz w:val="24"/>
                <w:szCs w:val="24"/>
                <w:highlight w:val="none"/>
                <w:lang w:val="en-US" w:eastAsia="zh-CN"/>
              </w:rPr>
              <w:t>万元</w:t>
            </w:r>
            <w:r>
              <w:rPr>
                <w:rFonts w:hint="eastAsia" w:ascii="宋体" w:hAnsi="宋体" w:eastAsia="宋体"/>
                <w:b/>
                <w:bCs/>
                <w:color w:val="FF0000"/>
                <w:kern w:val="2"/>
                <w:sz w:val="24"/>
                <w:szCs w:val="24"/>
                <w:highlight w:val="none"/>
                <w:lang w:val="en-US" w:eastAsia="zh-CN"/>
              </w:rPr>
              <w:t>；</w:t>
            </w:r>
            <w:r>
              <w:rPr>
                <w:rFonts w:hint="eastAsia" w:ascii="宋体" w:hAnsi="宋体" w:eastAsia="宋体"/>
                <w:b/>
                <w:bCs/>
                <w:color w:val="FF0000"/>
                <w:kern w:val="2"/>
                <w:sz w:val="24"/>
                <w:szCs w:val="24"/>
                <w:highlight w:val="none"/>
              </w:rPr>
              <w:t>曹台闸</w:t>
            </w:r>
            <w:r>
              <w:rPr>
                <w:rFonts w:hint="eastAsia" w:ascii="宋体" w:hAnsi="宋体" w:eastAsia="宋体"/>
                <w:b/>
                <w:bCs/>
                <w:color w:val="FF0000"/>
                <w:kern w:val="2"/>
                <w:sz w:val="24"/>
                <w:szCs w:val="24"/>
                <w:highlight w:val="none"/>
                <w:lang w:val="en-US" w:eastAsia="zh-CN"/>
              </w:rPr>
              <w:t>19万元</w:t>
            </w:r>
            <w:r>
              <w:rPr>
                <w:rFonts w:hint="eastAsia"/>
                <w:b/>
                <w:bCs/>
                <w:color w:val="FF0000"/>
                <w:kern w:val="2"/>
                <w:sz w:val="24"/>
                <w:szCs w:val="24"/>
                <w:highlight w:val="none"/>
                <w:lang w:val="en-US" w:eastAsia="zh-CN"/>
              </w:rPr>
              <w:t>。</w:t>
            </w:r>
          </w:p>
          <w:p w14:paraId="67D42C36">
            <w:pPr>
              <w:spacing w:line="360" w:lineRule="auto"/>
              <w:rPr>
                <w:rFonts w:hint="eastAsia" w:ascii="宋体" w:hAnsi="宋体" w:eastAsia="宋体"/>
                <w:b/>
                <w:bCs/>
                <w:color w:val="FF0000"/>
                <w:sz w:val="24"/>
                <w:szCs w:val="24"/>
                <w:highlight w:val="none"/>
                <w:lang w:eastAsia="zh-CN"/>
              </w:rPr>
            </w:pPr>
            <w:r>
              <w:rPr>
                <w:rFonts w:hint="eastAsia" w:ascii="宋体" w:hAnsi="宋体" w:eastAsia="宋体"/>
                <w:b/>
                <w:bCs/>
                <w:color w:val="FF0000"/>
                <w:kern w:val="2"/>
                <w:sz w:val="24"/>
                <w:szCs w:val="24"/>
                <w:highlight w:val="none"/>
              </w:rPr>
              <w:t>供应商的</w:t>
            </w:r>
            <w:r>
              <w:rPr>
                <w:rFonts w:hint="eastAsia" w:ascii="宋体" w:hAnsi="宋体" w:eastAsia="宋体"/>
                <w:b/>
                <w:bCs/>
                <w:color w:val="FF0000"/>
                <w:kern w:val="2"/>
                <w:sz w:val="24"/>
                <w:szCs w:val="24"/>
                <w:highlight w:val="none"/>
                <w:lang w:val="en-US" w:eastAsia="zh-CN"/>
              </w:rPr>
              <w:t>投标</w:t>
            </w:r>
            <w:r>
              <w:rPr>
                <w:rFonts w:hint="eastAsia" w:ascii="宋体" w:hAnsi="宋体" w:eastAsia="宋体"/>
                <w:b/>
                <w:bCs/>
                <w:color w:val="FF0000"/>
                <w:kern w:val="2"/>
                <w:sz w:val="24"/>
                <w:szCs w:val="24"/>
                <w:highlight w:val="none"/>
              </w:rPr>
              <w:t>报价不得高于该最高限价</w:t>
            </w:r>
            <w:r>
              <w:rPr>
                <w:rFonts w:hint="eastAsia"/>
                <w:b/>
                <w:bCs/>
                <w:color w:val="FF0000"/>
                <w:kern w:val="2"/>
                <w:sz w:val="24"/>
                <w:szCs w:val="24"/>
                <w:highlight w:val="none"/>
                <w:lang w:val="en-US" w:eastAsia="zh-CN"/>
              </w:rPr>
              <w:t>及分项限价</w:t>
            </w:r>
            <w:r>
              <w:rPr>
                <w:rFonts w:hint="eastAsia" w:ascii="宋体" w:hAnsi="宋体" w:eastAsia="宋体"/>
                <w:b/>
                <w:bCs/>
                <w:color w:val="FF0000"/>
                <w:kern w:val="2"/>
                <w:sz w:val="24"/>
                <w:szCs w:val="24"/>
                <w:highlight w:val="none"/>
              </w:rPr>
              <w:t>，否则作无效响应处理。</w:t>
            </w:r>
          </w:p>
        </w:tc>
      </w:tr>
      <w:tr w14:paraId="5119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4" w:type="pct"/>
            <w:vAlign w:val="center"/>
          </w:tcPr>
          <w:p w14:paraId="19E0135D">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08F1225E">
            <w:pPr>
              <w:pStyle w:val="6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7" w:type="pct"/>
            <w:vAlign w:val="center"/>
          </w:tcPr>
          <w:p w14:paraId="78A9C21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36B7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056CF31">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355FA43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7" w:type="pct"/>
            <w:vAlign w:val="center"/>
          </w:tcPr>
          <w:p w14:paraId="38AC00D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7150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6B442737">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3C232C5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7" w:type="pct"/>
            <w:vAlign w:val="center"/>
          </w:tcPr>
          <w:p w14:paraId="492704EB">
            <w:pPr>
              <w:pStyle w:val="6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2C53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3C029131">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553F2B7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7" w:type="pct"/>
            <w:vAlign w:val="center"/>
          </w:tcPr>
          <w:p w14:paraId="62847D3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5735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6A93402C">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38C69D3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tc>
        <w:tc>
          <w:tcPr>
            <w:tcW w:w="3557" w:type="pct"/>
            <w:vAlign w:val="center"/>
          </w:tcPr>
          <w:p w14:paraId="2DBD3AC6">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bCs w:val="0"/>
                <w:color w:val="auto"/>
                <w:sz w:val="24"/>
                <w:highlight w:val="none"/>
                <w:u w:val="single"/>
                <w:lang w:val="en-US" w:eastAsia="zh-CN"/>
              </w:rPr>
              <w:t>3%</w:t>
            </w:r>
            <w:r>
              <w:rPr>
                <w:rFonts w:hint="eastAsia" w:ascii="宋体" w:hAnsi="宋体" w:eastAsia="宋体"/>
                <w:b w:val="0"/>
                <w:color w:val="auto"/>
                <w:sz w:val="24"/>
                <w:highlight w:val="none"/>
              </w:rPr>
              <w:t>。</w:t>
            </w:r>
          </w:p>
          <w:p w14:paraId="6D8B7D9D">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85D2BC5">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E2DC29D">
            <w:pPr>
              <w:pStyle w:val="6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bCs w:val="0"/>
                <w:color w:val="auto"/>
                <w:sz w:val="24"/>
                <w:highlight w:val="none"/>
                <w:u w:val="single"/>
                <w:lang w:val="en-US" w:eastAsia="zh-CN"/>
              </w:rPr>
              <w:t>1%</w:t>
            </w:r>
            <w:r>
              <w:rPr>
                <w:rFonts w:hint="eastAsia" w:ascii="宋体" w:hAnsi="宋体" w:eastAsia="宋体"/>
                <w:b w:val="0"/>
                <w:color w:val="auto"/>
                <w:sz w:val="24"/>
                <w:highlight w:val="none"/>
              </w:rPr>
              <w:t>。</w:t>
            </w:r>
          </w:p>
          <w:p w14:paraId="7CBA3AD9">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tc>
      </w:tr>
      <w:tr w14:paraId="0B2D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Merge w:val="restart"/>
            <w:vAlign w:val="center"/>
          </w:tcPr>
          <w:p w14:paraId="1BCD439B">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0A4D7F35">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7" w:type="pct"/>
            <w:vAlign w:val="center"/>
          </w:tcPr>
          <w:p w14:paraId="119213D2">
            <w:pPr>
              <w:pStyle w:val="6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535F12B4">
            <w:pPr>
              <w:pStyle w:val="69"/>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7008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Merge w:val="continue"/>
            <w:vAlign w:val="center"/>
          </w:tcPr>
          <w:p w14:paraId="423A46D0">
            <w:pPr>
              <w:pStyle w:val="70"/>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335897E1">
            <w:pPr>
              <w:pStyle w:val="69"/>
              <w:widowControl w:val="0"/>
              <w:spacing w:before="0" w:beforeAutospacing="0" w:after="0" w:afterAutospacing="0" w:line="360" w:lineRule="auto"/>
              <w:jc w:val="both"/>
              <w:rPr>
                <w:b w:val="0"/>
                <w:color w:val="auto"/>
                <w:sz w:val="24"/>
                <w:highlight w:val="none"/>
              </w:rPr>
            </w:pPr>
          </w:p>
        </w:tc>
        <w:tc>
          <w:tcPr>
            <w:tcW w:w="3557" w:type="pct"/>
            <w:vAlign w:val="center"/>
          </w:tcPr>
          <w:p w14:paraId="7FC91F7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7DE67CA">
            <w:pPr>
              <w:pStyle w:val="69"/>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rPr>
              <w:sym w:font="Wingdings 2" w:char="0052"/>
            </w:r>
            <w:r>
              <w:rPr>
                <w:rFonts w:hint="eastAsia"/>
                <w:b w:val="0"/>
                <w:color w:val="auto"/>
                <w:sz w:val="24"/>
                <w:highlight w:val="none"/>
              </w:rPr>
              <w:t>采购人确定</w:t>
            </w:r>
          </w:p>
        </w:tc>
      </w:tr>
      <w:tr w14:paraId="4B02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08675FC1">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FBE7DEB">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7" w:type="pct"/>
            <w:vAlign w:val="center"/>
          </w:tcPr>
          <w:p w14:paraId="71AC3B6B">
            <w:pPr>
              <w:pStyle w:val="69"/>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F70EE42">
            <w:pPr>
              <w:pStyle w:val="69"/>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554FAD10">
            <w:pPr>
              <w:pStyle w:val="69"/>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43B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5C02ACF0">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6ADF8439">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7" w:type="pct"/>
            <w:vAlign w:val="center"/>
          </w:tcPr>
          <w:p w14:paraId="7C19890A">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1CB8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2E594EE">
            <w:pPr>
              <w:pStyle w:val="70"/>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72545E9C">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7" w:type="pct"/>
            <w:vAlign w:val="center"/>
          </w:tcPr>
          <w:p w14:paraId="6807B095">
            <w:pPr>
              <w:pStyle w:val="69"/>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7E185B25">
            <w:pPr>
              <w:pStyle w:val="69"/>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7CB9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0C7641ED">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74BD7F14">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7" w:type="pct"/>
          </w:tcPr>
          <w:p w14:paraId="3570DB89">
            <w:pPr>
              <w:spacing w:line="360" w:lineRule="auto"/>
              <w:rPr>
                <w:bCs/>
                <w:color w:val="auto"/>
                <w:sz w:val="24"/>
                <w:szCs w:val="24"/>
                <w:highlight w:val="none"/>
              </w:rPr>
            </w:pPr>
            <w:r>
              <w:rPr>
                <w:rFonts w:hint="eastAsia"/>
                <w:bCs/>
                <w:color w:val="auto"/>
                <w:sz w:val="24"/>
                <w:szCs w:val="24"/>
                <w:highlight w:val="none"/>
              </w:rPr>
              <w:t>（1）金额：合同价的</w:t>
            </w:r>
            <w:r>
              <w:rPr>
                <w:rFonts w:hint="eastAsia"/>
                <w:bCs/>
                <w:color w:val="auto"/>
                <w:sz w:val="24"/>
                <w:szCs w:val="24"/>
                <w:highlight w:val="none"/>
                <w:u w:val="single"/>
                <w:lang w:val="en-US" w:eastAsia="zh-CN"/>
              </w:rPr>
              <w:t>10</w:t>
            </w:r>
            <w:r>
              <w:rPr>
                <w:bCs/>
                <w:color w:val="auto"/>
                <w:sz w:val="24"/>
                <w:szCs w:val="24"/>
                <w:highlight w:val="none"/>
              </w:rPr>
              <w:t>%</w:t>
            </w:r>
          </w:p>
          <w:p w14:paraId="0C32DAC7">
            <w:pPr>
              <w:spacing w:line="360" w:lineRule="auto"/>
              <w:rPr>
                <w:bCs/>
                <w:color w:val="auto"/>
                <w:sz w:val="24"/>
                <w:szCs w:val="24"/>
                <w:highlight w:val="none"/>
              </w:rPr>
            </w:pPr>
            <w:r>
              <w:rPr>
                <w:rFonts w:hint="eastAsia"/>
                <w:bCs/>
                <w:color w:val="auto"/>
                <w:sz w:val="24"/>
                <w:szCs w:val="24"/>
                <w:highlight w:val="none"/>
              </w:rPr>
              <w:t>（2）支付方式：</w:t>
            </w:r>
          </w:p>
          <w:p w14:paraId="3D4FD055">
            <w:pPr>
              <w:spacing w:line="360" w:lineRule="auto"/>
              <w:rPr>
                <w:bCs/>
                <w:color w:val="auto"/>
                <w:sz w:val="24"/>
                <w:szCs w:val="24"/>
                <w:highlight w:val="none"/>
              </w:rPr>
            </w:pPr>
            <w:r>
              <w:rPr>
                <w:rFonts w:hint="eastAsia"/>
                <w:bCs/>
                <w:color w:val="auto"/>
                <w:sz w:val="24"/>
                <w:szCs w:val="24"/>
                <w:highlight w:val="none"/>
              </w:rPr>
              <w:sym w:font="Wingdings" w:char="00FE"/>
            </w:r>
            <w:r>
              <w:rPr>
                <w:bCs/>
                <w:color w:val="auto"/>
                <w:sz w:val="24"/>
                <w:szCs w:val="24"/>
                <w:highlight w:val="none"/>
              </w:rPr>
              <w:t>转账/电汇</w:t>
            </w:r>
            <w:r>
              <w:rPr>
                <w:rFonts w:hint="eastAsia"/>
                <w:bCs/>
                <w:color w:val="auto"/>
                <w:sz w:val="24"/>
                <w:szCs w:val="24"/>
                <w:highlight w:val="none"/>
              </w:rPr>
              <w:t xml:space="preserve"> </w:t>
            </w:r>
            <w:r>
              <w:rPr>
                <w:rFonts w:hint="eastAsia"/>
                <w:bCs/>
                <w:color w:val="auto"/>
                <w:sz w:val="24"/>
                <w:szCs w:val="24"/>
                <w:highlight w:val="none"/>
              </w:rPr>
              <w:sym w:font="Wingdings" w:char="00FE"/>
            </w:r>
            <w:r>
              <w:rPr>
                <w:bCs/>
                <w:color w:val="auto"/>
                <w:sz w:val="24"/>
                <w:szCs w:val="24"/>
                <w:highlight w:val="none"/>
              </w:rPr>
              <w:t xml:space="preserve">支票 </w:t>
            </w:r>
            <w:r>
              <w:rPr>
                <w:rFonts w:hint="eastAsia"/>
                <w:bCs/>
                <w:color w:val="auto"/>
                <w:sz w:val="24"/>
                <w:szCs w:val="24"/>
                <w:highlight w:val="none"/>
              </w:rPr>
              <w:sym w:font="Wingdings" w:char="00FE"/>
            </w:r>
            <w:r>
              <w:rPr>
                <w:bCs/>
                <w:color w:val="auto"/>
                <w:sz w:val="24"/>
                <w:szCs w:val="24"/>
                <w:highlight w:val="none"/>
              </w:rPr>
              <w:t>汇票</w:t>
            </w:r>
            <w:r>
              <w:rPr>
                <w:rFonts w:hint="eastAsia"/>
                <w:bCs/>
                <w:color w:val="auto"/>
                <w:sz w:val="24"/>
                <w:szCs w:val="24"/>
                <w:highlight w:val="none"/>
              </w:rPr>
              <w:t xml:space="preserve"> </w:t>
            </w:r>
            <w:r>
              <w:rPr>
                <w:rFonts w:hint="eastAsia"/>
                <w:bCs/>
                <w:color w:val="auto"/>
                <w:sz w:val="24"/>
                <w:szCs w:val="24"/>
                <w:highlight w:val="none"/>
              </w:rPr>
              <w:sym w:font="Wingdings" w:char="00FE"/>
            </w:r>
            <w:r>
              <w:rPr>
                <w:rFonts w:hint="eastAsia"/>
                <w:bCs/>
                <w:color w:val="auto"/>
                <w:sz w:val="24"/>
                <w:szCs w:val="24"/>
                <w:highlight w:val="none"/>
              </w:rPr>
              <w:t xml:space="preserve">本票 </w:t>
            </w:r>
            <w:r>
              <w:rPr>
                <w:rFonts w:hint="eastAsia"/>
                <w:bCs/>
                <w:color w:val="auto"/>
                <w:sz w:val="24"/>
                <w:szCs w:val="24"/>
                <w:highlight w:val="none"/>
              </w:rPr>
              <w:sym w:font="Wingdings" w:char="00FE"/>
            </w:r>
            <w:r>
              <w:rPr>
                <w:bCs/>
                <w:color w:val="auto"/>
                <w:sz w:val="24"/>
                <w:szCs w:val="24"/>
                <w:highlight w:val="none"/>
              </w:rPr>
              <w:t>保</w:t>
            </w:r>
            <w:r>
              <w:rPr>
                <w:rFonts w:hint="eastAsia"/>
                <w:bCs/>
                <w:color w:val="auto"/>
                <w:sz w:val="24"/>
                <w:szCs w:val="24"/>
                <w:highlight w:val="none"/>
              </w:rPr>
              <w:t xml:space="preserve">险 </w:t>
            </w:r>
            <w:r>
              <w:rPr>
                <w:rFonts w:hint="eastAsia"/>
                <w:bCs/>
                <w:color w:val="auto"/>
                <w:sz w:val="24"/>
                <w:szCs w:val="24"/>
                <w:highlight w:val="none"/>
              </w:rPr>
              <w:sym w:font="Wingdings" w:char="00FE"/>
            </w:r>
            <w:r>
              <w:rPr>
                <w:rFonts w:hint="eastAsia"/>
                <w:bCs/>
                <w:color w:val="auto"/>
                <w:sz w:val="24"/>
                <w:szCs w:val="24"/>
                <w:highlight w:val="none"/>
              </w:rPr>
              <w:t>保</w:t>
            </w:r>
            <w:r>
              <w:rPr>
                <w:bCs/>
                <w:color w:val="auto"/>
                <w:sz w:val="24"/>
                <w:szCs w:val="24"/>
                <w:highlight w:val="none"/>
              </w:rPr>
              <w:t>函</w:t>
            </w:r>
          </w:p>
          <w:p w14:paraId="6836F711">
            <w:pPr>
              <w:spacing w:line="360" w:lineRule="auto"/>
              <w:rPr>
                <w:rFonts w:hint="eastAsia" w:ascii="Times New Roman" w:hAnsi="Times New Roman" w:eastAsia="宋体" w:cs="Times New Roman"/>
                <w:sz w:val="24"/>
                <w:szCs w:val="24"/>
                <w:highlight w:val="none"/>
                <w:u w:val="single"/>
                <w:lang w:eastAsia="zh-CN"/>
              </w:rPr>
            </w:pPr>
            <w:r>
              <w:rPr>
                <w:rFonts w:hint="eastAsia" w:ascii="宋体" w:hAnsi="宋体" w:eastAsia="宋体"/>
                <w:bCs/>
                <w:kern w:val="0"/>
                <w:sz w:val="24"/>
                <w:szCs w:val="24"/>
                <w:highlight w:val="none"/>
              </w:rPr>
              <w:t>（3）收取单位：</w:t>
            </w:r>
            <w:r>
              <w:rPr>
                <w:rFonts w:hint="eastAsia" w:ascii="Times New Roman" w:hAnsi="Times New Roman" w:eastAsia="宋体" w:cs="Times New Roman"/>
                <w:sz w:val="24"/>
                <w:szCs w:val="24"/>
                <w:highlight w:val="none"/>
                <w:u w:val="single"/>
              </w:rPr>
              <w:t>本项目为统采分签项目，供应商成交后，履约保证金由各</w:t>
            </w:r>
            <w:r>
              <w:rPr>
                <w:rFonts w:hint="eastAsia" w:ascii="Times New Roman" w:hAnsi="Times New Roman" w:eastAsia="宋体" w:cs="Times New Roman"/>
                <w:sz w:val="24"/>
                <w:szCs w:val="24"/>
                <w:highlight w:val="none"/>
                <w:u w:val="single"/>
                <w:lang w:eastAsia="zh-CN"/>
              </w:rPr>
              <w:t>合同甲方</w:t>
            </w:r>
            <w:r>
              <w:rPr>
                <w:rFonts w:hint="eastAsia" w:ascii="Times New Roman" w:hAnsi="Times New Roman" w:eastAsia="宋体" w:cs="Times New Roman"/>
                <w:sz w:val="24"/>
                <w:szCs w:val="24"/>
                <w:highlight w:val="none"/>
                <w:u w:val="single"/>
              </w:rPr>
              <w:t>分别收取</w:t>
            </w:r>
            <w:r>
              <w:rPr>
                <w:rFonts w:hint="eastAsia" w:ascii="Times New Roman" w:hAnsi="Times New Roman" w:eastAsia="宋体" w:cs="Times New Roman"/>
                <w:sz w:val="24"/>
                <w:szCs w:val="24"/>
                <w:highlight w:val="none"/>
                <w:u w:val="single"/>
                <w:lang w:eastAsia="zh-CN"/>
              </w:rPr>
              <w:t>。</w:t>
            </w:r>
          </w:p>
          <w:p w14:paraId="22530ABA">
            <w:pPr>
              <w:spacing w:line="360" w:lineRule="auto"/>
              <w:rPr>
                <w:rFonts w:ascii="宋体" w:hAnsi="宋体" w:eastAsia="宋体"/>
                <w:bCs/>
                <w:kern w:val="0"/>
                <w:sz w:val="24"/>
                <w:szCs w:val="24"/>
                <w:highlight w:val="none"/>
              </w:rPr>
            </w:pPr>
            <w:r>
              <w:rPr>
                <w:rFonts w:hint="eastAsia" w:ascii="宋体" w:hAnsi="宋体" w:eastAsia="宋体"/>
                <w:bCs/>
                <w:kern w:val="0"/>
                <w:sz w:val="24"/>
                <w:szCs w:val="24"/>
                <w:highlight w:val="none"/>
              </w:rPr>
              <w:t>（4）收取账号：</w:t>
            </w:r>
            <w:r>
              <w:rPr>
                <w:rFonts w:hint="eastAsia" w:ascii="宋体" w:hAnsi="宋体" w:eastAsia="宋体"/>
                <w:bCs/>
                <w:kern w:val="0"/>
                <w:sz w:val="24"/>
                <w:szCs w:val="24"/>
                <w:highlight w:val="none"/>
                <w:u w:val="single"/>
              </w:rPr>
              <w:t>成交后提供</w:t>
            </w:r>
          </w:p>
          <w:p w14:paraId="1E634598">
            <w:pPr>
              <w:spacing w:line="360" w:lineRule="auto"/>
              <w:rPr>
                <w:rFonts w:hint="eastAsia" w:ascii="Times New Roman" w:hAnsi="Times New Roman" w:eastAsia="宋体" w:cs="Times New Roman"/>
                <w:sz w:val="24"/>
                <w:szCs w:val="24"/>
                <w:highlight w:val="none"/>
                <w:u w:val="single"/>
                <w:lang w:eastAsia="zh-CN"/>
              </w:rPr>
            </w:pPr>
            <w:r>
              <w:rPr>
                <w:rFonts w:hint="eastAsia" w:ascii="宋体" w:hAnsi="宋体" w:eastAsia="宋体"/>
                <w:bCs/>
                <w:kern w:val="0"/>
                <w:sz w:val="24"/>
                <w:szCs w:val="24"/>
                <w:highlight w:val="none"/>
              </w:rPr>
              <w:t>（5）</w:t>
            </w:r>
            <w:r>
              <w:rPr>
                <w:rFonts w:hint="eastAsia" w:ascii="宋体" w:hAnsi="宋体" w:eastAsia="宋体"/>
                <w:sz w:val="24"/>
                <w:szCs w:val="24"/>
                <w:highlight w:val="none"/>
              </w:rPr>
              <w:t>退还时间：</w:t>
            </w:r>
            <w:r>
              <w:rPr>
                <w:rFonts w:hint="eastAsia" w:ascii="Times New Roman" w:hAnsi="Times New Roman" w:cs="Times New Roman"/>
                <w:sz w:val="24"/>
                <w:szCs w:val="24"/>
                <w:highlight w:val="none"/>
                <w:u w:val="single"/>
                <w:lang w:eastAsia="zh-CN"/>
              </w:rPr>
              <w:t>履约保证金在合同生效之日起至项目验收合格前一直有效，验收</w:t>
            </w:r>
            <w:r>
              <w:rPr>
                <w:rFonts w:hint="eastAsia" w:ascii="Times New Roman" w:hAnsi="Times New Roman" w:cs="Times New Roman"/>
                <w:sz w:val="24"/>
                <w:szCs w:val="24"/>
                <w:highlight w:val="none"/>
                <w:u w:val="single"/>
                <w:lang w:val="en-US" w:eastAsia="zh-CN"/>
              </w:rPr>
              <w:t>合格</w:t>
            </w:r>
            <w:r>
              <w:rPr>
                <w:rFonts w:hint="eastAsia" w:ascii="Times New Roman" w:hAnsi="Times New Roman" w:cs="Times New Roman"/>
                <w:sz w:val="24"/>
                <w:szCs w:val="24"/>
                <w:highlight w:val="none"/>
                <w:u w:val="single"/>
                <w:lang w:eastAsia="zh-CN"/>
              </w:rPr>
              <w:t>后经乙方申请，合同甲方确认后按规定及时将履约保证金款项退还给乙方或者解除履约担保。</w:t>
            </w:r>
          </w:p>
          <w:p w14:paraId="56D38C74">
            <w:pPr>
              <w:spacing w:line="360" w:lineRule="auto"/>
              <w:rPr>
                <w:rFonts w:ascii="宋体" w:hAnsi="宋体" w:eastAsia="宋体"/>
                <w:sz w:val="24"/>
                <w:szCs w:val="24"/>
                <w:highlight w:val="none"/>
              </w:rPr>
            </w:pPr>
            <w:r>
              <w:rPr>
                <w:rFonts w:hint="eastAsia" w:ascii="宋体" w:hAnsi="宋体" w:eastAsia="宋体" w:cs="宋体"/>
                <w:b/>
                <w:sz w:val="24"/>
                <w:szCs w:val="24"/>
                <w:highlight w:val="none"/>
              </w:rPr>
              <w:t>如果</w:t>
            </w:r>
            <w:r>
              <w:rPr>
                <w:rFonts w:hint="eastAsia" w:cs="宋体"/>
                <w:b/>
                <w:sz w:val="24"/>
                <w:szCs w:val="24"/>
                <w:highlight w:val="none"/>
                <w:lang w:eastAsia="zh-CN"/>
              </w:rPr>
              <w:t>乙方</w:t>
            </w:r>
            <w:r>
              <w:rPr>
                <w:rFonts w:hint="eastAsia" w:ascii="宋体" w:hAnsi="宋体" w:eastAsia="宋体" w:cs="宋体"/>
                <w:b/>
                <w:sz w:val="24"/>
                <w:szCs w:val="24"/>
                <w:highlight w:val="none"/>
              </w:rPr>
              <w:t>不履行合同，履约保证金不予退还；如果</w:t>
            </w:r>
            <w:r>
              <w:rPr>
                <w:rFonts w:hint="eastAsia" w:cs="宋体"/>
                <w:b/>
                <w:sz w:val="24"/>
                <w:szCs w:val="24"/>
                <w:highlight w:val="none"/>
                <w:lang w:eastAsia="zh-CN"/>
              </w:rPr>
              <w:t>乙方</w:t>
            </w:r>
            <w:r>
              <w:rPr>
                <w:rFonts w:hint="eastAsia" w:ascii="宋体" w:hAnsi="宋体" w:eastAsia="宋体" w:cs="宋体"/>
                <w:b/>
                <w:sz w:val="24"/>
                <w:szCs w:val="24"/>
                <w:highlight w:val="none"/>
              </w:rPr>
              <w:t>未能按合同约定全面履行义务，</w:t>
            </w:r>
            <w:r>
              <w:rPr>
                <w:rFonts w:hint="eastAsia" w:cs="宋体"/>
                <w:b/>
                <w:sz w:val="24"/>
                <w:szCs w:val="24"/>
                <w:highlight w:val="none"/>
                <w:lang w:eastAsia="zh-CN"/>
              </w:rPr>
              <w:t>合同甲方</w:t>
            </w:r>
            <w:r>
              <w:rPr>
                <w:rFonts w:hint="eastAsia" w:ascii="宋体" w:hAnsi="宋体" w:eastAsia="宋体" w:cs="宋体"/>
                <w:b/>
                <w:sz w:val="24"/>
                <w:szCs w:val="24"/>
                <w:highlight w:val="none"/>
              </w:rPr>
              <w:t>有权从履约保证金中取得补偿或赔偿，同时不影响</w:t>
            </w:r>
            <w:r>
              <w:rPr>
                <w:rFonts w:hint="eastAsia" w:cs="宋体"/>
                <w:b/>
                <w:sz w:val="24"/>
                <w:szCs w:val="24"/>
                <w:highlight w:val="none"/>
                <w:lang w:eastAsia="zh-CN"/>
              </w:rPr>
              <w:t>合同甲方</w:t>
            </w:r>
            <w:r>
              <w:rPr>
                <w:rFonts w:hint="eastAsia" w:ascii="宋体" w:hAnsi="宋体" w:eastAsia="宋体" w:cs="宋体"/>
                <w:b/>
                <w:sz w:val="24"/>
                <w:szCs w:val="24"/>
                <w:highlight w:val="none"/>
              </w:rPr>
              <w:t>要求</w:t>
            </w:r>
            <w:r>
              <w:rPr>
                <w:rFonts w:hint="eastAsia" w:cs="宋体"/>
                <w:b/>
                <w:sz w:val="24"/>
                <w:szCs w:val="24"/>
                <w:highlight w:val="none"/>
                <w:lang w:eastAsia="zh-CN"/>
              </w:rPr>
              <w:t>乙方</w:t>
            </w:r>
            <w:r>
              <w:rPr>
                <w:rFonts w:hint="eastAsia" w:ascii="宋体" w:hAnsi="宋体" w:eastAsia="宋体" w:cs="宋体"/>
                <w:b/>
                <w:sz w:val="24"/>
                <w:szCs w:val="24"/>
                <w:highlight w:val="none"/>
              </w:rPr>
              <w:t>承担合同约定的超过履约保证金的违约责任的权利。</w:t>
            </w:r>
          </w:p>
          <w:p w14:paraId="67A56A6F">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45A14CF7">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169B7CA7">
            <w:pPr>
              <w:pStyle w:val="69"/>
              <w:widowControl w:val="0"/>
              <w:spacing w:before="0" w:beforeAutospacing="0" w:after="0" w:afterAutospacing="0" w:line="360" w:lineRule="auto"/>
              <w:jc w:val="both"/>
              <w:rPr>
                <w:color w:val="auto"/>
                <w:sz w:val="24"/>
                <w:highlight w:val="none"/>
              </w:rPr>
            </w:pPr>
            <w:r>
              <w:rPr>
                <w:rFonts w:hint="eastAsia" w:ascii="宋体" w:hAnsi="宋体" w:eastAsia="宋体"/>
                <w:bCs w:val="0"/>
                <w:sz w:val="24"/>
                <w:szCs w:val="24"/>
                <w:highlight w:val="none"/>
              </w:rPr>
              <w:t>（2）以担保函、保证保险形式缴纳履约保证金的，受益人和收取单位须为</w:t>
            </w:r>
            <w:r>
              <w:rPr>
                <w:rFonts w:hint="eastAsia"/>
                <w:bCs w:val="0"/>
                <w:sz w:val="24"/>
                <w:szCs w:val="24"/>
                <w:highlight w:val="none"/>
                <w:lang w:eastAsia="zh-CN"/>
              </w:rPr>
              <w:t>合同甲方</w:t>
            </w:r>
            <w:r>
              <w:rPr>
                <w:rFonts w:hint="eastAsia" w:ascii="宋体" w:hAnsi="宋体" w:eastAsia="宋体"/>
                <w:bCs w:val="0"/>
                <w:sz w:val="24"/>
                <w:szCs w:val="24"/>
                <w:highlight w:val="none"/>
              </w:rPr>
              <w:t>。</w:t>
            </w:r>
          </w:p>
        </w:tc>
      </w:tr>
      <w:tr w14:paraId="149F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35721C60">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118563BE">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7" w:type="pct"/>
            <w:vAlign w:val="center"/>
          </w:tcPr>
          <w:p w14:paraId="6673BEC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cs="宋体"/>
                <w:spacing w:val="14"/>
                <w:sz w:val="24"/>
                <w:szCs w:val="24"/>
                <w:highlight w:val="none"/>
                <w:lang w:val="en-US" w:eastAsia="zh-CN"/>
              </w:rPr>
              <w:t>成交供应商</w:t>
            </w:r>
          </w:p>
          <w:p w14:paraId="40C50224">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Times New Roman" w:hAnsi="Times New Roman" w:eastAsia="宋体" w:cs="Times New Roman"/>
                <w:kern w:val="0"/>
                <w:sz w:val="24"/>
                <w:szCs w:val="24"/>
                <w:highlight w:val="none"/>
              </w:rPr>
              <w:t>转账/电汇</w:t>
            </w:r>
          </w:p>
          <w:p w14:paraId="41660CA1">
            <w:pPr>
              <w:pStyle w:val="6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收费标准：代理费</w:t>
            </w:r>
            <w:r>
              <w:rPr>
                <w:rFonts w:hint="eastAsia" w:cs="@仿宋_GB2312"/>
                <w:b w:val="0"/>
                <w:bCs/>
                <w:color w:val="auto"/>
                <w:kern w:val="0"/>
                <w:sz w:val="24"/>
                <w:szCs w:val="28"/>
                <w:highlight w:val="none"/>
                <w:lang w:val="en-US" w:eastAsia="zh-CN" w:bidi="ar-SA"/>
              </w:rPr>
              <w:t>为壹万贰仟元整，</w:t>
            </w:r>
            <w:r>
              <w:rPr>
                <w:rFonts w:hint="eastAsia" w:ascii="Times New Roman" w:hAnsi="Times New Roman" w:eastAsia="宋体" w:cs="Times New Roman"/>
                <w:b w:val="0"/>
                <w:bCs w:val="0"/>
                <w:sz w:val="24"/>
                <w:szCs w:val="24"/>
                <w:highlight w:val="none"/>
              </w:rPr>
              <w:t>包含在</w:t>
            </w:r>
            <w:r>
              <w:rPr>
                <w:rFonts w:hint="eastAsia" w:ascii="Times New Roman" w:hAnsi="Times New Roman" w:eastAsia="宋体" w:cs="Times New Roman"/>
                <w:b w:val="0"/>
                <w:bCs w:val="0"/>
                <w:sz w:val="24"/>
                <w:szCs w:val="24"/>
                <w:highlight w:val="none"/>
                <w:lang w:val="en-US" w:eastAsia="zh-CN"/>
              </w:rPr>
              <w:t>投标</w:t>
            </w:r>
            <w:r>
              <w:rPr>
                <w:rFonts w:hint="eastAsia" w:ascii="Times New Roman" w:hAnsi="Times New Roman" w:eastAsia="宋体" w:cs="Times New Roman"/>
                <w:b w:val="0"/>
                <w:bCs w:val="0"/>
                <w:sz w:val="24"/>
                <w:szCs w:val="24"/>
                <w:highlight w:val="none"/>
              </w:rPr>
              <w:t>报价的单价与合价中，不单独列项。</w:t>
            </w:r>
          </w:p>
        </w:tc>
      </w:tr>
      <w:tr w14:paraId="5ED3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DE1B265">
            <w:pPr>
              <w:pStyle w:val="70"/>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6B8847CC">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7" w:type="pct"/>
            <w:vAlign w:val="center"/>
          </w:tcPr>
          <w:p w14:paraId="025C4FF8">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6691A1C6">
            <w:pPr>
              <w:pStyle w:val="6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642F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12E69C49">
            <w:pPr>
              <w:pStyle w:val="7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340F873D">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7" w:type="pct"/>
            <w:vAlign w:val="center"/>
          </w:tcPr>
          <w:p w14:paraId="56DF92DD">
            <w:pPr>
              <w:pStyle w:val="69"/>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递交方式：“徽采云”电子交易系统</w:t>
            </w:r>
          </w:p>
          <w:p w14:paraId="2ADA0EC6">
            <w:pPr>
              <w:pStyle w:val="69"/>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接收部门：安徽省淮河河道管理局</w:t>
            </w:r>
          </w:p>
          <w:p w14:paraId="5830400E">
            <w:pPr>
              <w:pStyle w:val="69"/>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t>联系电话：</w:t>
            </w:r>
            <w:r>
              <w:rPr>
                <w:rFonts w:hint="eastAsia" w:ascii="宋体" w:hAnsi="宋体" w:eastAsia="宋体"/>
                <w:b w:val="0"/>
                <w:sz w:val="24"/>
                <w:highlight w:val="none"/>
              </w:rPr>
              <w:t>0552-3918027</w:t>
            </w:r>
          </w:p>
          <w:p w14:paraId="00CB96D2">
            <w:pPr>
              <w:pStyle w:val="69"/>
              <w:widowControl w:val="0"/>
              <w:spacing w:before="0" w:beforeAutospacing="0" w:after="0" w:afterAutospacing="0" w:line="360" w:lineRule="auto"/>
              <w:jc w:val="both"/>
              <w:rPr>
                <w:b w:val="0"/>
                <w:color w:val="auto"/>
                <w:sz w:val="24"/>
                <w:highlight w:val="none"/>
              </w:rPr>
            </w:pPr>
            <w:r>
              <w:rPr>
                <w:rFonts w:hint="eastAsia" w:ascii="宋体" w:hAnsi="宋体" w:eastAsia="宋体"/>
                <w:b w:val="0"/>
                <w:sz w:val="24"/>
                <w:highlight w:val="none"/>
              </w:rPr>
              <w:t>通讯地址：安徽省蚌埠市解放一路116号</w:t>
            </w:r>
          </w:p>
        </w:tc>
      </w:tr>
      <w:tr w14:paraId="0D2E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64FACAA9">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2F006778">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7" w:type="pct"/>
            <w:vAlign w:val="center"/>
          </w:tcPr>
          <w:p w14:paraId="07747D88">
            <w:pPr>
              <w:pStyle w:val="69"/>
              <w:widowControl w:val="0"/>
              <w:spacing w:before="0" w:beforeAutospacing="0" w:after="0" w:afterAutospacing="0" w:line="360" w:lineRule="auto"/>
              <w:jc w:val="both"/>
              <w:rPr>
                <w:b w:val="0"/>
                <w:color w:val="auto"/>
                <w:sz w:val="24"/>
                <w:highlight w:val="none"/>
              </w:rPr>
            </w:pPr>
          </w:p>
        </w:tc>
      </w:tr>
      <w:tr w14:paraId="1C3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010476E7">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6382D0E4">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7" w:type="pct"/>
            <w:vAlign w:val="center"/>
          </w:tcPr>
          <w:p w14:paraId="36F10F87">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sym w:font="Wingdings 2" w:char="0052"/>
            </w:r>
            <w:r>
              <w:rPr>
                <w:rFonts w:hint="eastAsia"/>
                <w:b w:val="0"/>
                <w:color w:val="auto"/>
                <w:sz w:val="24"/>
                <w:highlight w:val="none"/>
              </w:rPr>
              <w:t xml:space="preserve">施工总承包  </w:t>
            </w:r>
            <w:r>
              <w:rPr>
                <w:rFonts w:hint="eastAsia"/>
                <w:b w:val="0"/>
                <w:color w:val="auto"/>
                <w:sz w:val="24"/>
                <w:highlight w:val="none"/>
              </w:rPr>
              <w:sym w:font="Wingdings 2" w:char="00A3"/>
            </w:r>
            <w:r>
              <w:rPr>
                <w:rFonts w:hint="eastAsia"/>
                <w:b w:val="0"/>
                <w:color w:val="auto"/>
                <w:sz w:val="24"/>
                <w:highlight w:val="none"/>
              </w:rPr>
              <w:t>专业承包</w:t>
            </w:r>
          </w:p>
        </w:tc>
      </w:tr>
      <w:tr w14:paraId="799C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76172B54">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462A36B">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7" w:type="pct"/>
            <w:vAlign w:val="center"/>
          </w:tcPr>
          <w:p w14:paraId="4BF3B9CE">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3855A17">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568A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0A97A1EA">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730BF190">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7" w:type="pct"/>
            <w:vAlign w:val="center"/>
          </w:tcPr>
          <w:p w14:paraId="577B1957">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asciiTheme="minorEastAsia" w:hAnsiTheme="minorEastAsia" w:eastAsiaTheme="minorEastAsia"/>
                <w:color w:val="auto"/>
                <w:sz w:val="24"/>
                <w:highlight w:val="none"/>
                <w:lang w:val="en-US" w:eastAsia="zh-CN"/>
              </w:rPr>
              <w:t>合同签订之日起60日历天完成水平位移监测设施安装调试，2025年12月31日前完成数据采集等相关工作。</w:t>
            </w:r>
          </w:p>
          <w:p w14:paraId="5E319C92">
            <w:pPr>
              <w:pStyle w:val="69"/>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w:t>
            </w:r>
            <w:r>
              <w:rPr>
                <w:rFonts w:hint="eastAsia"/>
                <w:b w:val="0"/>
                <w:color w:val="auto"/>
                <w:sz w:val="24"/>
                <w:highlight w:val="none"/>
              </w:rPr>
              <w:t>，</w:t>
            </w:r>
            <w:bookmarkStart w:id="52" w:name="EB2a2e1a22d449405a860670c095486ab8"/>
            <w:r>
              <w:rPr>
                <w:rFonts w:hint="eastAsia"/>
                <w:b w:val="0"/>
                <w:color w:val="auto"/>
                <w:sz w:val="24"/>
                <w:highlight w:val="none"/>
              </w:rPr>
              <w:t>具体开工时间以开工令为准。</w:t>
            </w:r>
            <w:bookmarkEnd w:id="52"/>
          </w:p>
        </w:tc>
      </w:tr>
      <w:tr w14:paraId="0A85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48D5475A">
            <w:pPr>
              <w:pStyle w:val="7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5A08F39B">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7" w:type="pct"/>
            <w:vAlign w:val="center"/>
          </w:tcPr>
          <w:p w14:paraId="2E5FE4B7">
            <w:pPr>
              <w:pStyle w:val="96"/>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0B35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012F0976">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7DC5EC05">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7" w:type="pct"/>
            <w:vAlign w:val="center"/>
          </w:tcPr>
          <w:p w14:paraId="6219C6EE">
            <w:pPr>
              <w:pStyle w:val="69"/>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0E69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1170B2C9">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2E13AF9F">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7" w:type="pct"/>
            <w:vAlign w:val="center"/>
          </w:tcPr>
          <w:p w14:paraId="65233A4E">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1E1E59F5">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5E458A6F">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20B78C4B">
            <w:pPr>
              <w:pStyle w:val="69"/>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rPr>
              <w:sym w:font="Wingdings 2" w:char="0052"/>
            </w:r>
            <w:r>
              <w:rPr>
                <w:rFonts w:hint="eastAsia" w:cs="Times New Roman"/>
                <w:b w:val="0"/>
                <w:bCs w:val="0"/>
                <w:color w:val="auto"/>
                <w:kern w:val="2"/>
                <w:sz w:val="24"/>
                <w:szCs w:val="22"/>
                <w:highlight w:val="none"/>
              </w:rPr>
              <w:t>不允许</w:t>
            </w:r>
          </w:p>
        </w:tc>
      </w:tr>
      <w:tr w14:paraId="021E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426D9026">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077794BC">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7" w:type="pct"/>
            <w:vAlign w:val="center"/>
          </w:tcPr>
          <w:p w14:paraId="20690F39">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62A3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30394F4B">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1089041F">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7" w:type="pct"/>
            <w:vAlign w:val="center"/>
          </w:tcPr>
          <w:p w14:paraId="2E2E2E39">
            <w:pPr>
              <w:adjustRightInd w:val="0"/>
              <w:snapToGrid w:val="0"/>
              <w:spacing w:line="360" w:lineRule="auto"/>
              <w:jc w:val="left"/>
              <w:rPr>
                <w:bCs/>
                <w:color w:val="auto"/>
                <w:sz w:val="24"/>
                <w:szCs w:val="28"/>
                <w:highlight w:val="none"/>
              </w:rPr>
            </w:pPr>
            <w:r>
              <w:rPr>
                <w:rFonts w:hint="eastAsia"/>
                <w:bCs/>
                <w:color w:val="auto"/>
                <w:sz w:val="24"/>
                <w:szCs w:val="28"/>
                <w:highlight w:val="none"/>
              </w:rPr>
              <w:sym w:font="Wingdings 2" w:char="0052"/>
            </w:r>
            <w:r>
              <w:rPr>
                <w:rFonts w:hint="eastAsia"/>
                <w:bCs/>
                <w:color w:val="auto"/>
                <w:sz w:val="24"/>
                <w:szCs w:val="28"/>
                <w:highlight w:val="none"/>
              </w:rPr>
              <w:t>磋商文件</w:t>
            </w:r>
          </w:p>
          <w:p w14:paraId="5EF11483">
            <w:pPr>
              <w:adjustRightInd w:val="0"/>
              <w:snapToGrid w:val="0"/>
              <w:spacing w:line="360" w:lineRule="auto"/>
              <w:jc w:val="left"/>
              <w:rPr>
                <w:bCs/>
                <w:color w:val="auto"/>
                <w:sz w:val="24"/>
                <w:szCs w:val="28"/>
                <w:highlight w:val="none"/>
              </w:rPr>
            </w:pPr>
            <w:r>
              <w:rPr>
                <w:rFonts w:hint="eastAsia"/>
                <w:bCs/>
                <w:color w:val="auto"/>
                <w:sz w:val="24"/>
                <w:szCs w:val="28"/>
                <w:highlight w:val="none"/>
              </w:rPr>
              <w:sym w:font="Wingdings 2" w:char="00A3"/>
            </w:r>
            <w:r>
              <w:rPr>
                <w:rFonts w:hint="eastAsia"/>
                <w:bCs/>
                <w:color w:val="auto"/>
                <w:sz w:val="24"/>
                <w:szCs w:val="28"/>
                <w:highlight w:val="none"/>
              </w:rPr>
              <w:t>工程量清单</w:t>
            </w:r>
          </w:p>
          <w:p w14:paraId="36AE9990">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74577213">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sym w:font="Wingdings 2" w:char="00A3"/>
            </w:r>
            <w:r>
              <w:rPr>
                <w:rFonts w:hint="eastAsia"/>
                <w:bCs/>
                <w:color w:val="auto"/>
                <w:sz w:val="24"/>
                <w:szCs w:val="28"/>
                <w:highlight w:val="none"/>
              </w:rPr>
              <w:t>电子版图纸</w:t>
            </w:r>
          </w:p>
          <w:p w14:paraId="5711E879">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49318685">
            <w:pPr>
              <w:pStyle w:val="69"/>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91B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0659D276">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262AAE3E">
            <w:pPr>
              <w:pStyle w:val="69"/>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7" w:type="pct"/>
            <w:vAlign w:val="center"/>
          </w:tcPr>
          <w:p w14:paraId="6300C624">
            <w:pPr>
              <w:pStyle w:val="6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Cs/>
                <w:color w:val="auto"/>
                <w:kern w:val="0"/>
                <w:sz w:val="24"/>
                <w:szCs w:val="28"/>
                <w:highlight w:val="none"/>
                <w:lang w:val="en-US" w:eastAsia="zh-CN"/>
              </w:rPr>
              <w:t>/</w:t>
            </w:r>
          </w:p>
        </w:tc>
      </w:tr>
      <w:tr w14:paraId="74F1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4" w:type="pct"/>
            <w:vAlign w:val="center"/>
          </w:tcPr>
          <w:p w14:paraId="215CD91D">
            <w:pPr>
              <w:pStyle w:val="70"/>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5D0F1A26">
            <w:pPr>
              <w:pStyle w:val="6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7" w:type="pct"/>
            <w:vAlign w:val="center"/>
          </w:tcPr>
          <w:p w14:paraId="12D43B5B">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2409D36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4069CD5E">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E46470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703BF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AE1E00A">
            <w:pPr>
              <w:pStyle w:val="69"/>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20DA1B68">
            <w:pPr>
              <w:pStyle w:val="69"/>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bl>
    <w:p w14:paraId="1F090968">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3" w:name="_Toc26858"/>
      <w:bookmarkStart w:id="54"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53"/>
      <w:bookmarkEnd w:id="54"/>
    </w:p>
    <w:p w14:paraId="68E336A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060209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DBB77E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250F5CF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1E49F0C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230CA5E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6F7B228E">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7D0037A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0D03E13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B14FF9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0A6F4C6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24D7A03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18765A2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3901677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29FB95D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14055C3">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CA1AB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465977A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9F59879">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51EFB0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395A1ADB">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w:t>
      </w:r>
      <w:r>
        <w:rPr>
          <w:rFonts w:hint="eastAsia"/>
          <w:color w:val="auto"/>
          <w:sz w:val="24"/>
          <w:highlight w:val="none"/>
          <w:lang w:eastAsia="zh-CN"/>
        </w:rPr>
        <w:t>》《</w:t>
      </w:r>
      <w:r>
        <w:rPr>
          <w:rFonts w:hint="eastAsia"/>
          <w:color w:val="auto"/>
          <w:sz w:val="24"/>
          <w:highlight w:val="none"/>
        </w:rPr>
        <w:t>中华人民共和国政府采购法实施条例》及本项目本级和上级财政部门、政府采购监督管理部门的政府采购有关规定的约束，其权利受到上述法律法规的保护。</w:t>
      </w:r>
    </w:p>
    <w:p w14:paraId="72E71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01D4B20">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A4B2AE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33D48C4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22D57F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1D407C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0F66C9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DEFE75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9587E9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DA21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247826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74C7A2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5F5AAE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260887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55" w:name="_Hlk16458572"/>
      <w:r>
        <w:rPr>
          <w:rFonts w:hint="eastAsia"/>
          <w:color w:val="auto"/>
          <w:sz w:val="24"/>
          <w:szCs w:val="18"/>
          <w:highlight w:val="none"/>
        </w:rPr>
        <w:t>安徽省政府采购网</w:t>
      </w:r>
      <w:bookmarkEnd w:id="55"/>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BD1E131">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0EA968AC">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B48CB6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F89C2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73CF4E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25588A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2119F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03EA48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757C704">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58C02755">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56" w:name="_Hlk11703583"/>
      <w:r>
        <w:rPr>
          <w:rFonts w:hint="eastAsia" w:asciiTheme="minorEastAsia" w:hAnsiTheme="minorEastAsia" w:eastAsiaTheme="minorEastAsia"/>
          <w:color w:val="auto"/>
          <w:sz w:val="24"/>
          <w:highlight w:val="none"/>
        </w:rPr>
        <w:t>。</w:t>
      </w:r>
      <w:bookmarkEnd w:id="56"/>
    </w:p>
    <w:p w14:paraId="779A43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219232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F4CEB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525CA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5C1DE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7C55B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6C37C9F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FB516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7FA5D1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7B0CE36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6DDB9E9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BAD3E9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453E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4A66878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C18926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16FF39AC">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5A288C77">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58865B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3DA934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15D472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09992C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CFDEAA4">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582E4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32EE40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34D4D6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2281BA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270532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5660325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1333259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C133E6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FDA08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33602B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2A49D1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6AE7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01D8E0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FF8EE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587200F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2E7793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38C4F5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386FE2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DA5B82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278E02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6D90E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4EE669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F8BA3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A77D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43E593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4B66059">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857784A">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55F4ACCF">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0592DC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50E4EC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A09F9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1FAC6D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AF95B8B">
      <w:pPr>
        <w:spacing w:line="360" w:lineRule="auto"/>
        <w:ind w:firstLine="435"/>
        <w:rPr>
          <w:rFonts w:asciiTheme="majorEastAsia" w:hAnsiTheme="majorEastAsia" w:eastAsiaTheme="majorEastAsia"/>
          <w:color w:val="auto"/>
          <w:sz w:val="24"/>
          <w:highlight w:val="none"/>
        </w:rPr>
      </w:pPr>
      <w:bookmarkStart w:id="57"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BE2FA58">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252952A6">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57"/>
    </w:p>
    <w:p w14:paraId="26C4460C">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45EDA49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3BE8C23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961D6A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0280BDC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4E16D03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1EC7724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122DF31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B1FFFE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6B5163E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9065A3">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633914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0364DC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8FBD17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EE26774">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5499DD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2BB997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7ECCA4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BD95D7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388FB92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5C2F24C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7918AB5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67BD73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E86A446">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24A438B3">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D8692">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35114AF4">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7444E01D">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652214AA">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380CA4EB">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6922C357">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19AC1EBC">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2528448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48BB447D">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0076A733">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0D10C2A2">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46E3BEF0">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1ACDA33">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42555B90">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61D9D2D4">
      <w:pPr>
        <w:spacing w:line="360" w:lineRule="auto"/>
        <w:ind w:firstLine="470" w:firstLineChars="196"/>
        <w:rPr>
          <w:color w:val="auto"/>
          <w:sz w:val="24"/>
          <w:highlight w:val="none"/>
        </w:rPr>
      </w:pPr>
      <w:bookmarkStart w:id="58"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58"/>
    </w:p>
    <w:p w14:paraId="12446C47">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207685C3">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1A01F75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1C7EFAA0">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6816AC4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678C359">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3E8F03B">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F66F068">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1B86D022">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13F4ECA3">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0F0E3D8">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C730318">
      <w:pPr>
        <w:spacing w:line="360" w:lineRule="auto"/>
        <w:jc w:val="center"/>
        <w:outlineLvl w:val="0"/>
        <w:rPr>
          <w:rFonts w:asciiTheme="minorEastAsia" w:hAnsiTheme="minorEastAsia" w:eastAsiaTheme="minorEastAsia"/>
          <w:b/>
          <w:color w:val="auto"/>
          <w:sz w:val="28"/>
          <w:highlight w:val="none"/>
        </w:rPr>
      </w:pPr>
      <w:bookmarkStart w:id="59" w:name="_Toc30873"/>
      <w:r>
        <w:rPr>
          <w:rFonts w:hint="eastAsia" w:asciiTheme="minorEastAsia" w:hAnsiTheme="minorEastAsia" w:eastAsiaTheme="minorEastAsia"/>
          <w:b/>
          <w:color w:val="auto"/>
          <w:sz w:val="28"/>
          <w:highlight w:val="none"/>
        </w:rPr>
        <w:t>第三章  采购需求</w:t>
      </w:r>
      <w:bookmarkEnd w:id="59"/>
    </w:p>
    <w:tbl>
      <w:tblPr>
        <w:tblStyle w:val="9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408"/>
        <w:gridCol w:w="6935"/>
      </w:tblGrid>
      <w:tr w14:paraId="50E6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7E636BC">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1A9F7380">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65299C1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70FB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4E5A9D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4E93192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6338894A">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（1）供应商一旦成交，</w:t>
            </w:r>
            <w:r>
              <w:rPr>
                <w:rFonts w:hint="eastAsia" w:ascii="宋体" w:hAnsi="宋体" w:eastAsia="宋体" w:cs="@仿宋_GB2312"/>
                <w:color w:val="FF0000"/>
                <w:kern w:val="2"/>
                <w:sz w:val="24"/>
                <w:szCs w:val="24"/>
                <w:highlight w:val="none"/>
              </w:rPr>
              <w:t>磋商时所报的本项目的项目经理</w:t>
            </w:r>
            <w:r>
              <w:rPr>
                <w:rFonts w:hint="eastAsia" w:cs="宋体"/>
                <w:bCs/>
                <w:color w:val="FF0000"/>
                <w:kern w:val="2"/>
                <w:sz w:val="24"/>
                <w:szCs w:val="24"/>
                <w:highlight w:val="none"/>
              </w:rPr>
              <w:t>每月在施工现场的时间：驻场时间每月不少于</w:t>
            </w:r>
            <w:r>
              <w:rPr>
                <w:rFonts w:hint="eastAsia" w:cs="宋体"/>
                <w:bCs/>
                <w:color w:val="FF0000"/>
                <w:kern w:val="2"/>
                <w:sz w:val="24"/>
                <w:szCs w:val="24"/>
                <w:highlight w:val="none"/>
                <w:u w:val="single"/>
              </w:rPr>
              <w:t xml:space="preserve"> </w:t>
            </w:r>
            <w:r>
              <w:rPr>
                <w:rFonts w:hint="eastAsia" w:cs="宋体"/>
                <w:bCs/>
                <w:color w:val="FF0000"/>
                <w:kern w:val="2"/>
                <w:sz w:val="24"/>
                <w:szCs w:val="24"/>
                <w:highlight w:val="none"/>
                <w:u w:val="single"/>
                <w:lang w:val="en-US" w:eastAsia="zh-CN"/>
              </w:rPr>
              <w:t>22</w:t>
            </w:r>
            <w:r>
              <w:rPr>
                <w:rFonts w:hint="eastAsia" w:cs="宋体"/>
                <w:bCs/>
                <w:color w:val="FF0000"/>
                <w:kern w:val="2"/>
                <w:sz w:val="24"/>
                <w:szCs w:val="24"/>
                <w:highlight w:val="none"/>
                <w:u w:val="single"/>
              </w:rPr>
              <w:t xml:space="preserve"> </w:t>
            </w:r>
            <w:r>
              <w:rPr>
                <w:rFonts w:hint="eastAsia" w:cs="宋体"/>
                <w:bCs/>
                <w:color w:val="FF0000"/>
                <w:kern w:val="2"/>
                <w:sz w:val="24"/>
                <w:szCs w:val="24"/>
                <w:highlight w:val="none"/>
              </w:rPr>
              <w:t>天，每天在岗工作时间不得少于</w:t>
            </w:r>
            <w:r>
              <w:rPr>
                <w:rFonts w:hint="eastAsia" w:cs="宋体"/>
                <w:bCs/>
                <w:color w:val="FF0000"/>
                <w:kern w:val="2"/>
                <w:sz w:val="24"/>
                <w:szCs w:val="24"/>
                <w:highlight w:val="none"/>
                <w:u w:val="single"/>
              </w:rPr>
              <w:t xml:space="preserve"> </w:t>
            </w:r>
            <w:r>
              <w:rPr>
                <w:rFonts w:hint="eastAsia" w:cs="宋体"/>
                <w:bCs/>
                <w:color w:val="FF0000"/>
                <w:kern w:val="2"/>
                <w:sz w:val="24"/>
                <w:szCs w:val="24"/>
                <w:highlight w:val="none"/>
                <w:u w:val="single"/>
                <w:lang w:val="en-US" w:eastAsia="zh-CN"/>
              </w:rPr>
              <w:t>8</w:t>
            </w:r>
            <w:r>
              <w:rPr>
                <w:rFonts w:hint="eastAsia" w:cs="宋体"/>
                <w:bCs/>
                <w:color w:val="FF0000"/>
                <w:kern w:val="2"/>
                <w:sz w:val="24"/>
                <w:szCs w:val="24"/>
                <w:highlight w:val="none"/>
                <w:u w:val="single"/>
              </w:rPr>
              <w:t xml:space="preserve"> </w:t>
            </w:r>
            <w:r>
              <w:rPr>
                <w:rFonts w:hint="eastAsia" w:cs="宋体"/>
                <w:bCs/>
                <w:color w:val="FF0000"/>
                <w:kern w:val="2"/>
                <w:sz w:val="24"/>
                <w:szCs w:val="24"/>
                <w:highlight w:val="none"/>
              </w:rPr>
              <w:t>小时</w:t>
            </w:r>
            <w:r>
              <w:rPr>
                <w:rFonts w:hint="eastAsia" w:ascii="宋体" w:hAnsi="宋体" w:eastAsia="宋体" w:cs="@仿宋_GB2312"/>
                <w:color w:val="FF0000"/>
                <w:kern w:val="2"/>
                <w:sz w:val="24"/>
                <w:szCs w:val="24"/>
                <w:highlight w:val="none"/>
              </w:rPr>
              <w:t>，否则采购人有权终止合同。由此造成的损失，</w:t>
            </w:r>
            <w:r>
              <w:rPr>
                <w:rFonts w:hint="eastAsia" w:ascii="宋体" w:hAnsi="宋体" w:eastAsia="宋体" w:cs="@仿宋_GB2312"/>
                <w:color w:val="auto"/>
                <w:kern w:val="2"/>
                <w:sz w:val="24"/>
                <w:szCs w:val="24"/>
                <w:highlight w:val="none"/>
              </w:rPr>
              <w:t>成交供应商自行承担并赔偿可能给采购人造成的损失。</w:t>
            </w:r>
          </w:p>
          <w:p w14:paraId="3FD32320">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190C8A3E">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auto"/>
                <w:kern w:val="2"/>
                <w:sz w:val="24"/>
                <w:szCs w:val="24"/>
                <w:highlight w:val="none"/>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auto"/>
                <w:kern w:val="2"/>
                <w:sz w:val="24"/>
                <w:szCs w:val="24"/>
                <w:highlight w:val="none"/>
                <w:lang w:eastAsia="zh-CN"/>
              </w:rPr>
              <w:t>乙方</w:t>
            </w:r>
            <w:r>
              <w:rPr>
                <w:rFonts w:hint="eastAsia" w:ascii="宋体" w:hAnsi="宋体" w:eastAsia="宋体" w:cs="@仿宋_GB2312"/>
                <w:color w:val="auto"/>
                <w:kern w:val="2"/>
                <w:sz w:val="24"/>
                <w:szCs w:val="24"/>
                <w:highlight w:val="none"/>
              </w:rPr>
              <w:t>。采购人还将停止支付工程款项，扣留任何未付的工程进度款项补偿建设单位的有关损失或工期延误的损失，并就此向</w:t>
            </w:r>
            <w:r>
              <w:rPr>
                <w:rFonts w:hint="eastAsia" w:cs="@仿宋_GB2312"/>
                <w:color w:val="auto"/>
                <w:kern w:val="2"/>
                <w:sz w:val="24"/>
                <w:szCs w:val="24"/>
                <w:highlight w:val="none"/>
                <w:lang w:val="en-US" w:eastAsia="zh-CN"/>
              </w:rPr>
              <w:t>供应商</w:t>
            </w:r>
            <w:r>
              <w:rPr>
                <w:rFonts w:hint="eastAsia" w:ascii="宋体" w:hAnsi="宋体" w:eastAsia="宋体" w:cs="@仿宋_GB2312"/>
                <w:color w:val="auto"/>
                <w:kern w:val="2"/>
                <w:sz w:val="24"/>
                <w:szCs w:val="24"/>
                <w:highlight w:val="none"/>
              </w:rPr>
              <w:t>索赔。</w:t>
            </w:r>
          </w:p>
        </w:tc>
      </w:tr>
      <w:tr w14:paraId="0945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8E2674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027254BA">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7CD5FC8A">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质量合格，满足国家和行业规范标准。</w:t>
            </w:r>
          </w:p>
          <w:p w14:paraId="6A75CAB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743C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8D4DCF6">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3</w:t>
            </w:r>
          </w:p>
        </w:tc>
        <w:tc>
          <w:tcPr>
            <w:tcW w:w="749" w:type="pct"/>
            <w:vAlign w:val="center"/>
          </w:tcPr>
          <w:p w14:paraId="08897D0A">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B5181DE">
            <w:pPr>
              <w:pStyle w:val="69"/>
              <w:keepNext w:val="0"/>
              <w:keepLines w:val="0"/>
              <w:widowControl w:val="0"/>
              <w:numPr>
                <w:ilvl w:val="0"/>
                <w:numId w:val="0"/>
              </w:numPr>
              <w:suppressLineNumbers w:val="0"/>
              <w:spacing w:before="0" w:beforeAutospacing="0" w:after="0" w:afterAutospacing="0" w:line="360" w:lineRule="auto"/>
              <w:ind w:right="0" w:rightChars="0"/>
              <w:jc w:val="both"/>
              <w:rPr>
                <w:rFonts w:hint="eastAsia" w:cs="@仿宋_GB2312" w:asciiTheme="minorEastAsia" w:hAnsiTheme="minorEastAsia" w:eastAsiaTheme="minorEastAsia"/>
                <w:color w:val="auto"/>
                <w:kern w:val="2"/>
                <w:sz w:val="24"/>
                <w:szCs w:val="22"/>
                <w:highlight w:val="none"/>
              </w:rPr>
            </w:pPr>
            <w:r>
              <w:rPr>
                <w:rFonts w:hint="eastAsia" w:ascii="宋体" w:hAnsi="宋体" w:eastAsia="宋体" w:cs="@仿宋_GB2312"/>
                <w:color w:val="auto"/>
                <w:kern w:val="2"/>
                <w:sz w:val="24"/>
                <w:szCs w:val="24"/>
                <w:highlight w:val="none"/>
              </w:rPr>
              <w:t>（</w:t>
            </w:r>
            <w:r>
              <w:rPr>
                <w:rFonts w:hint="eastAsia" w:cs="@仿宋_GB2312"/>
                <w:bCs/>
                <w:color w:val="auto"/>
                <w:kern w:val="2"/>
                <w:sz w:val="24"/>
                <w:szCs w:val="24"/>
                <w:highlight w:val="none"/>
                <w:lang w:val="en-US" w:eastAsia="zh-CN"/>
              </w:rPr>
              <w:t>1</w:t>
            </w:r>
            <w:r>
              <w:rPr>
                <w:rFonts w:hint="eastAsia" w:ascii="宋体" w:hAnsi="宋体" w:eastAsia="宋体" w:cs="@仿宋_GB2312"/>
                <w:bCs/>
                <w:color w:val="auto"/>
                <w:kern w:val="2"/>
                <w:sz w:val="24"/>
                <w:szCs w:val="24"/>
                <w:highlight w:val="none"/>
              </w:rPr>
              <w:t>）</w:t>
            </w:r>
            <w:r>
              <w:rPr>
                <w:rFonts w:cs="@仿宋_GB2312" w:asciiTheme="minorEastAsia" w:hAnsiTheme="minorEastAsia" w:eastAsiaTheme="minorEastAsia"/>
                <w:bCs/>
                <w:color w:val="auto"/>
                <w:kern w:val="2"/>
                <w:sz w:val="24"/>
                <w:szCs w:val="28"/>
                <w:highlight w:val="none"/>
              </w:rPr>
              <w:t>供应商最后报价均不得高于磋商文件（公告）列明的项目预算</w:t>
            </w:r>
            <w:r>
              <w:rPr>
                <w:rFonts w:hint="eastAsia" w:cs="@仿宋_GB2312" w:asciiTheme="minorEastAsia" w:hAnsiTheme="minorEastAsia" w:eastAsiaTheme="minorEastAsia"/>
                <w:bCs/>
                <w:color w:val="auto"/>
                <w:kern w:val="2"/>
                <w:sz w:val="24"/>
                <w:szCs w:val="28"/>
                <w:highlight w:val="none"/>
                <w:lang w:val="en-US" w:eastAsia="zh-CN"/>
              </w:rPr>
              <w:t>金额</w:t>
            </w:r>
            <w:r>
              <w:rPr>
                <w:rFonts w:hint="eastAsia" w:cs="@仿宋_GB2312" w:asciiTheme="minorEastAsia" w:hAnsiTheme="minorEastAsia" w:eastAsiaTheme="minorEastAsia"/>
                <w:bCs/>
                <w:color w:val="auto"/>
                <w:kern w:val="2"/>
                <w:sz w:val="24"/>
                <w:szCs w:val="28"/>
                <w:highlight w:val="none"/>
              </w:rPr>
              <w:t>、最高限价</w:t>
            </w:r>
            <w:r>
              <w:rPr>
                <w:rFonts w:hint="eastAsia" w:cs="宋体"/>
                <w:b/>
                <w:color w:val="auto"/>
                <w:kern w:val="2"/>
                <w:sz w:val="24"/>
                <w:szCs w:val="22"/>
                <w:highlight w:val="none"/>
                <w:lang w:eastAsia="zh-CN"/>
              </w:rPr>
              <w:t>，</w:t>
            </w:r>
            <w:r>
              <w:rPr>
                <w:rFonts w:cs="@仿宋_GB2312" w:asciiTheme="minorEastAsia" w:hAnsiTheme="minorEastAsia" w:eastAsiaTheme="minorEastAsia"/>
                <w:bCs/>
                <w:color w:val="auto"/>
                <w:kern w:val="2"/>
                <w:sz w:val="24"/>
                <w:szCs w:val="28"/>
                <w:highlight w:val="none"/>
              </w:rPr>
              <w:t>否则其响应文件将被认定为</w:t>
            </w:r>
            <w:r>
              <w:rPr>
                <w:rFonts w:cs="@仿宋_GB2312" w:asciiTheme="minorEastAsia" w:hAnsiTheme="minorEastAsia" w:eastAsiaTheme="minorEastAsia"/>
                <w:b/>
                <w:color w:val="auto"/>
                <w:kern w:val="2"/>
                <w:sz w:val="24"/>
                <w:szCs w:val="28"/>
                <w:highlight w:val="none"/>
              </w:rPr>
              <w:t>响应无效</w:t>
            </w:r>
            <w:r>
              <w:rPr>
                <w:rFonts w:hint="eastAsia" w:cs="@仿宋_GB2312" w:asciiTheme="minorEastAsia" w:hAnsiTheme="minorEastAsia" w:eastAsiaTheme="minorEastAsia"/>
                <w:color w:val="auto"/>
                <w:kern w:val="2"/>
                <w:sz w:val="24"/>
                <w:szCs w:val="22"/>
                <w:highlight w:val="none"/>
              </w:rPr>
              <w:t>。</w:t>
            </w:r>
          </w:p>
          <w:p w14:paraId="57E9AE51">
            <w:pPr>
              <w:pStyle w:val="69"/>
              <w:keepNext w:val="0"/>
              <w:keepLines w:val="0"/>
              <w:widowControl w:val="0"/>
              <w:numPr>
                <w:ilvl w:val="0"/>
                <w:numId w:val="0"/>
              </w:numPr>
              <w:suppressLineNumbers w:val="0"/>
              <w:spacing w:before="0" w:beforeAutospacing="0" w:after="0" w:afterAutospacing="0" w:line="360" w:lineRule="auto"/>
              <w:ind w:right="0" w:rightChars="0"/>
              <w:jc w:val="both"/>
              <w:rPr>
                <w:rFonts w:hint="eastAsia" w:cs="@仿宋_GB2312" w:asciiTheme="minorEastAsia" w:hAnsiTheme="minorEastAsia" w:eastAsiaTheme="minorEastAsia"/>
                <w:color w:val="auto"/>
                <w:kern w:val="2"/>
                <w:sz w:val="24"/>
                <w:szCs w:val="22"/>
                <w:highlight w:val="none"/>
              </w:rPr>
            </w:pPr>
            <w:bookmarkStart w:id="60" w:name="OLE_LINK5"/>
            <w:r>
              <w:rPr>
                <w:rFonts w:hint="eastAsia" w:ascii="宋体" w:hAnsi="宋体" w:eastAsia="宋体" w:cs="@仿宋_GB2312"/>
                <w:color w:val="auto"/>
                <w:kern w:val="2"/>
                <w:sz w:val="24"/>
                <w:szCs w:val="24"/>
                <w:highlight w:val="none"/>
              </w:rPr>
              <w:t>（</w:t>
            </w:r>
            <w:r>
              <w:rPr>
                <w:rFonts w:hint="eastAsia" w:ascii="宋体" w:hAnsi="宋体" w:eastAsia="宋体" w:cs="@仿宋_GB2312"/>
                <w:bCs/>
                <w:color w:val="auto"/>
                <w:kern w:val="2"/>
                <w:sz w:val="24"/>
                <w:szCs w:val="24"/>
                <w:highlight w:val="none"/>
              </w:rPr>
              <w:t>2）</w:t>
            </w:r>
            <w:bookmarkEnd w:id="60"/>
            <w:r>
              <w:rPr>
                <w:rFonts w:hint="eastAsia" w:ascii="宋体" w:hAnsi="宋体" w:eastAsia="宋体" w:cs="@仿宋_GB2312"/>
                <w:bCs/>
                <w:color w:val="auto"/>
                <w:kern w:val="2"/>
                <w:sz w:val="24"/>
                <w:szCs w:val="24"/>
                <w:highlight w:val="none"/>
              </w:rPr>
              <w:t>安全生产费用</w:t>
            </w:r>
            <w:r>
              <w:rPr>
                <w:rFonts w:hint="eastAsia" w:ascii="宋体" w:hAnsi="宋体" w:eastAsia="宋体" w:cs="@仿宋_GB2312"/>
                <w:bCs/>
                <w:color w:val="auto"/>
                <w:kern w:val="2"/>
                <w:sz w:val="24"/>
                <w:szCs w:val="24"/>
                <w:highlight w:val="none"/>
                <w:lang w:eastAsia="zh-CN"/>
              </w:rPr>
              <w:t>：</w:t>
            </w:r>
            <w:r>
              <w:rPr>
                <w:rFonts w:hint="eastAsia" w:ascii="宋体" w:hAnsi="宋体" w:eastAsia="宋体" w:cs="@仿宋_GB2312"/>
                <w:bCs/>
                <w:color w:val="FF0000"/>
                <w:kern w:val="2"/>
                <w:sz w:val="24"/>
                <w:szCs w:val="24"/>
                <w:highlight w:val="none"/>
                <w:lang w:eastAsia="zh-CN"/>
              </w:rPr>
              <w:t>不低于</w:t>
            </w:r>
            <w:r>
              <w:rPr>
                <w:rFonts w:hint="eastAsia" w:cs="@仿宋_GB2312"/>
                <w:bCs/>
                <w:color w:val="FF0000"/>
                <w:kern w:val="2"/>
                <w:sz w:val="24"/>
                <w:szCs w:val="24"/>
                <w:highlight w:val="none"/>
                <w:lang w:val="en-US" w:eastAsia="zh-CN"/>
              </w:rPr>
              <w:t>最高投标限价及各分项限价</w:t>
            </w:r>
            <w:r>
              <w:rPr>
                <w:rFonts w:hint="eastAsia" w:ascii="宋体" w:hAnsi="宋体" w:eastAsia="宋体" w:cs="@仿宋_GB2312"/>
                <w:bCs/>
                <w:color w:val="FF0000"/>
                <w:kern w:val="2"/>
                <w:sz w:val="24"/>
                <w:szCs w:val="24"/>
                <w:highlight w:val="none"/>
                <w:lang w:eastAsia="zh-CN"/>
              </w:rPr>
              <w:t>的2.5%，否则其响应文件将被认定为响应无效。专款专用，开工前</w:t>
            </w:r>
            <w:r>
              <w:rPr>
                <w:rFonts w:hint="eastAsia" w:cs="@仿宋_GB2312"/>
                <w:bCs/>
                <w:color w:val="FF0000"/>
                <w:kern w:val="2"/>
                <w:sz w:val="24"/>
                <w:szCs w:val="24"/>
                <w:highlight w:val="none"/>
                <w:lang w:val="en-US" w:eastAsia="zh-CN"/>
              </w:rPr>
              <w:t>报</w:t>
            </w:r>
            <w:r>
              <w:rPr>
                <w:rFonts w:hint="eastAsia" w:ascii="宋体" w:hAnsi="宋体" w:eastAsia="宋体" w:cs="@仿宋_GB2312"/>
                <w:bCs/>
                <w:color w:val="FF0000"/>
                <w:kern w:val="2"/>
                <w:sz w:val="24"/>
                <w:szCs w:val="24"/>
                <w:highlight w:val="none"/>
                <w:lang w:eastAsia="zh-CN"/>
              </w:rPr>
              <w:t>具体的措施方案，经合同甲方审核同意后实施，据实结算。</w:t>
            </w:r>
          </w:p>
          <w:p w14:paraId="0692298E">
            <w:pPr>
              <w:numPr>
                <w:ilvl w:val="0"/>
                <w:numId w:val="0"/>
              </w:numPr>
              <w:spacing w:line="360" w:lineRule="auto"/>
              <w:rPr>
                <w:rFonts w:hint="eastAsia" w:eastAsia="@微软简标宋"/>
                <w:kern w:val="2"/>
                <w:sz w:val="21"/>
                <w:szCs w:val="22"/>
                <w:highlight w:val="none"/>
                <w:lang w:eastAsia="zh-CN"/>
              </w:rPr>
            </w:pPr>
            <w:r>
              <w:rPr>
                <w:rFonts w:hint="eastAsia" w:cs="Times New Roman"/>
                <w:color w:val="auto"/>
                <w:kern w:val="2"/>
                <w:sz w:val="24"/>
                <w:szCs w:val="22"/>
                <w:highlight w:val="none"/>
                <w:lang w:eastAsia="zh-CN"/>
              </w:rPr>
              <w:t>（</w:t>
            </w:r>
            <w:r>
              <w:rPr>
                <w:rFonts w:hint="eastAsia" w:cs="Times New Roman"/>
                <w:color w:val="auto"/>
                <w:kern w:val="2"/>
                <w:sz w:val="24"/>
                <w:szCs w:val="22"/>
                <w:highlight w:val="none"/>
                <w:lang w:val="en-US" w:eastAsia="zh-CN"/>
              </w:rPr>
              <w:t>3）</w:t>
            </w:r>
            <w:r>
              <w:rPr>
                <w:rFonts w:hint="eastAsia" w:cs="Times New Roman"/>
                <w:color w:val="auto"/>
                <w:kern w:val="2"/>
                <w:sz w:val="24"/>
                <w:szCs w:val="22"/>
                <w:highlight w:val="none"/>
              </w:rPr>
              <w:t>除</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文件另有规定外,</w:t>
            </w:r>
            <w:r>
              <w:rPr>
                <w:rFonts w:hint="eastAsia" w:cs="Times New Roman"/>
                <w:color w:val="auto"/>
                <w:kern w:val="2"/>
                <w:sz w:val="24"/>
                <w:szCs w:val="22"/>
                <w:highlight w:val="none"/>
                <w:lang w:val="en-US" w:eastAsia="zh-CN"/>
              </w:rPr>
              <w:t>供应商</w:t>
            </w:r>
            <w:r>
              <w:rPr>
                <w:rFonts w:hint="eastAsia" w:cs="Times New Roman"/>
                <w:color w:val="auto"/>
                <w:kern w:val="2"/>
                <w:sz w:val="24"/>
                <w:szCs w:val="22"/>
                <w:highlight w:val="none"/>
              </w:rPr>
              <w:t>不得随意增加、删除或涂改</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文件工程量清单中的任何内容</w:t>
            </w:r>
            <w:r>
              <w:rPr>
                <w:rFonts w:hint="eastAsia" w:cs="宋体"/>
                <w:b/>
                <w:color w:val="auto"/>
                <w:kern w:val="2"/>
                <w:sz w:val="24"/>
                <w:szCs w:val="22"/>
                <w:highlight w:val="none"/>
                <w:lang w:eastAsia="zh-CN"/>
              </w:rPr>
              <w:t>，</w:t>
            </w:r>
            <w:r>
              <w:rPr>
                <w:rFonts w:cs="@仿宋_GB2312" w:asciiTheme="minorEastAsia" w:hAnsiTheme="minorEastAsia" w:eastAsiaTheme="minorEastAsia"/>
                <w:bCs/>
                <w:color w:val="auto"/>
                <w:kern w:val="2"/>
                <w:sz w:val="24"/>
                <w:szCs w:val="28"/>
                <w:highlight w:val="none"/>
              </w:rPr>
              <w:t>否则其响应文件将被认定为</w:t>
            </w:r>
            <w:r>
              <w:rPr>
                <w:rFonts w:cs="@仿宋_GB2312" w:asciiTheme="minorEastAsia" w:hAnsiTheme="minorEastAsia" w:eastAsiaTheme="minorEastAsia"/>
                <w:b/>
                <w:color w:val="auto"/>
                <w:kern w:val="2"/>
                <w:sz w:val="24"/>
                <w:szCs w:val="28"/>
                <w:highlight w:val="none"/>
              </w:rPr>
              <w:t>响应无效</w:t>
            </w:r>
            <w:r>
              <w:rPr>
                <w:rFonts w:hint="eastAsia" w:cs="@仿宋_GB2312" w:asciiTheme="minorEastAsia" w:hAnsiTheme="minorEastAsia" w:eastAsiaTheme="minorEastAsia"/>
                <w:color w:val="auto"/>
                <w:kern w:val="2"/>
                <w:sz w:val="24"/>
                <w:szCs w:val="22"/>
                <w:highlight w:val="none"/>
              </w:rPr>
              <w:t>。</w:t>
            </w:r>
          </w:p>
        </w:tc>
      </w:tr>
      <w:tr w14:paraId="0652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0C606D6">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4</w:t>
            </w:r>
          </w:p>
        </w:tc>
        <w:tc>
          <w:tcPr>
            <w:tcW w:w="749" w:type="pct"/>
            <w:vAlign w:val="center"/>
          </w:tcPr>
          <w:p w14:paraId="64319496">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项目经理</w:t>
            </w:r>
          </w:p>
        </w:tc>
        <w:tc>
          <w:tcPr>
            <w:tcW w:w="3688" w:type="pct"/>
            <w:vAlign w:val="center"/>
          </w:tcPr>
          <w:p w14:paraId="6043FC7B">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w:t>
            </w:r>
            <w:r>
              <w:rPr>
                <w:rFonts w:hint="eastAsia"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val="en-US" w:eastAsia="zh-CN"/>
              </w:rPr>
              <w:t>）项目经理社保：提供供应商为其缴纳的2024年9月至今任意一个月社保证明扫描件。</w:t>
            </w:r>
          </w:p>
          <w:p w14:paraId="2EFFF262">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w:t>
            </w:r>
            <w:r>
              <w:rPr>
                <w:rFonts w:hint="eastAsia"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val="en-US" w:eastAsia="zh-CN"/>
              </w:rPr>
              <w:t>）项目经理不得同时担任两个及以上建设工程施工项目负责人，以下情形除外：</w:t>
            </w:r>
          </w:p>
          <w:p w14:paraId="1A85B68A">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 xml:space="preserve">①法定情形； </w:t>
            </w:r>
          </w:p>
          <w:p w14:paraId="35EEB32F">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②虽在其他项目上担任项目经理岗位，但本项目成交后能够从该项目撤离，全面履约。</w:t>
            </w:r>
          </w:p>
          <w:p w14:paraId="10883B6C">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ascii="宋体" w:hAnsi="宋体" w:eastAsia="宋体" w:cs="@仿宋_GB2312"/>
                <w:color w:val="auto"/>
                <w:kern w:val="2"/>
                <w:sz w:val="24"/>
                <w:szCs w:val="24"/>
                <w:highlight w:val="none"/>
                <w:lang w:val="en-US" w:eastAsia="zh-CN"/>
              </w:rPr>
              <w:t>（4）成交后若项目经理在其他项目上担任项目经理岗位，导致该项目经理无法进场履约的，采购人可取消其成交资格。供应商因此原因被取消成交资格的，视为无正当理由放弃成交资格。</w:t>
            </w:r>
          </w:p>
        </w:tc>
      </w:tr>
      <w:tr w14:paraId="6F37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EAA11A1">
            <w:pPr>
              <w:spacing w:line="360" w:lineRule="auto"/>
              <w:jc w:val="center"/>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5</w:t>
            </w:r>
          </w:p>
        </w:tc>
        <w:tc>
          <w:tcPr>
            <w:tcW w:w="749" w:type="pct"/>
            <w:vAlign w:val="center"/>
          </w:tcPr>
          <w:p w14:paraId="10A86C1F">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500450EE">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（1）本项目的磋商文件、工程量清单、澄清、修改、补充等相关资料均通过电子服务系统发布，请供应商自行从网上下载，供应商应当及时查看有无相关澄清、修改、补充等内容。</w:t>
            </w:r>
          </w:p>
          <w:p w14:paraId="63F6179B">
            <w:pPr>
              <w:spacing w:line="360" w:lineRule="auto"/>
              <w:rPr>
                <w:rFonts w:hint="default" w:cs="@仿宋_GB2312" w:asciiTheme="minorEastAsia" w:hAnsiTheme="minorEastAsia" w:eastAsiaTheme="minorEastAsia"/>
                <w:color w:val="auto"/>
                <w:kern w:val="2"/>
                <w:sz w:val="24"/>
                <w:szCs w:val="22"/>
                <w:highlight w:val="none"/>
                <w:lang w:val="en-US"/>
              </w:rPr>
            </w:pPr>
            <w:r>
              <w:rPr>
                <w:rFonts w:ascii="宋体" w:hAnsi="宋体" w:eastAsia="宋体" w:cs="宋体"/>
                <w:kern w:val="2"/>
                <w:sz w:val="24"/>
                <w:szCs w:val="24"/>
                <w:highlight w:val="none"/>
              </w:rPr>
              <w:t>（</w:t>
            </w:r>
            <w:r>
              <w:rPr>
                <w:rFonts w:hint="eastAsia" w:cs="宋体"/>
                <w:kern w:val="2"/>
                <w:sz w:val="24"/>
                <w:szCs w:val="24"/>
                <w:highlight w:val="none"/>
                <w:lang w:val="en-US" w:eastAsia="zh-CN"/>
              </w:rPr>
              <w:t>2</w:t>
            </w:r>
            <w:r>
              <w:rPr>
                <w:rFonts w:ascii="宋体" w:hAnsi="宋体" w:eastAsia="宋体" w:cs="宋体"/>
                <w:kern w:val="2"/>
                <w:sz w:val="24"/>
                <w:szCs w:val="24"/>
                <w:highlight w:val="none"/>
              </w:rPr>
              <w:t>）供应商在工程实施过程中用工行为，必须严格执行国家及地方政府的有关规定，依法签订劳动合同，并按规定及时足额支付工资；合同履约期间，作业人员突发疾病、意外等造成的人员伤亡及财产损失均由供应商负责。</w:t>
            </w:r>
          </w:p>
        </w:tc>
      </w:tr>
      <w:tr w14:paraId="62F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pct"/>
            <w:vAlign w:val="center"/>
          </w:tcPr>
          <w:p w14:paraId="7DC0B531">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6</w:t>
            </w:r>
          </w:p>
        </w:tc>
        <w:tc>
          <w:tcPr>
            <w:tcW w:w="749" w:type="pct"/>
            <w:vAlign w:val="center"/>
          </w:tcPr>
          <w:p w14:paraId="5E4076BF">
            <w:pPr>
              <w:pStyle w:val="69"/>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0CF62524">
            <w:pPr>
              <w:spacing w:line="360" w:lineRule="auto"/>
              <w:jc w:val="left"/>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2025年省淮河局水闸监测设施等维修改造（第4包）</w:t>
            </w:r>
          </w:p>
          <w:p w14:paraId="557F5F75">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lang w:val="en-US" w:eastAsia="zh-CN"/>
              </w:rPr>
              <w:t>建筑业</w:t>
            </w:r>
          </w:p>
        </w:tc>
      </w:tr>
      <w:tr w14:paraId="4484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562" w:type="pct"/>
            <w:vAlign w:val="center"/>
          </w:tcPr>
          <w:p w14:paraId="4D003BC7">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5DD3AA8B">
            <w:pPr>
              <w:keepNext w:val="0"/>
              <w:keepLines w:val="0"/>
              <w:widowControl/>
              <w:suppressLineNumbers w:val="0"/>
              <w:jc w:val="left"/>
              <w:rPr>
                <w:rFonts w:hint="eastAsia" w:asciiTheme="minorHAnsi" w:hAnsiTheme="minorHAnsi" w:eastAsiaTheme="minorEastAsia"/>
                <w:b w:val="0"/>
                <w:color w:val="auto"/>
                <w:kern w:val="2"/>
                <w:sz w:val="24"/>
                <w:szCs w:val="22"/>
                <w:highlight w:val="none"/>
              </w:rPr>
            </w:pPr>
            <w:r>
              <w:rPr>
                <w:rFonts w:hint="eastAsia" w:ascii="宋体" w:hAnsi="宋体" w:eastAsia="宋体" w:cs="宋体"/>
                <w:color w:val="000000"/>
                <w:kern w:val="0"/>
                <w:sz w:val="24"/>
                <w:szCs w:val="24"/>
                <w:highlight w:val="none"/>
                <w:lang w:val="en-US" w:eastAsia="zh-CN" w:bidi="ar"/>
              </w:rPr>
              <w:t>社保证明材料（如有）</w:t>
            </w:r>
          </w:p>
        </w:tc>
        <w:tc>
          <w:tcPr>
            <w:tcW w:w="3688" w:type="pct"/>
            <w:vAlign w:val="center"/>
          </w:tcPr>
          <w:p w14:paraId="19CA387C">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本项目采购文件中要求提供的社保证明材料为下述形式之一：</w:t>
            </w:r>
          </w:p>
          <w:p w14:paraId="791A3BC6">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 xml:space="preserve">（1）社保局官方网站查询的缴费记录截图； </w:t>
            </w:r>
          </w:p>
          <w:p w14:paraId="4117E9E2">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 xml:space="preserve">（2）社保局的书面证明材料； </w:t>
            </w:r>
          </w:p>
          <w:p w14:paraId="5EC59802">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 xml:space="preserve">（3）经供应商委托的第三方人力资源服务机构或与供应商有直接隶属关系的机构可以代缴社保，但须提供有关证明材料并经磋商小组确认。 </w:t>
            </w:r>
          </w:p>
          <w:p w14:paraId="10F41B02">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（4）参与投标的院校，社保证明可以用以下任意一种：</w:t>
            </w:r>
          </w:p>
          <w:p w14:paraId="7C79A3B5">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①加盖供应商公章的教师证（须为本单位人员）；</w:t>
            </w:r>
          </w:p>
          <w:p w14:paraId="757EF37A">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②医保证明材料。</w:t>
            </w:r>
          </w:p>
          <w:p w14:paraId="4997C9A7">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（5）其他经磋商小组认可的证明材料。</w:t>
            </w:r>
          </w:p>
          <w:p w14:paraId="5BCFADFC">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 xml:space="preserve">（6）法定代表人参与项目的，无需提供社保证明材料，提 </w:t>
            </w:r>
          </w:p>
          <w:p w14:paraId="7995B5B8">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供身份证明材料即可。</w:t>
            </w:r>
          </w:p>
        </w:tc>
      </w:tr>
      <w:tr w14:paraId="259C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62" w:type="pct"/>
            <w:vAlign w:val="center"/>
          </w:tcPr>
          <w:p w14:paraId="779B6CED">
            <w:pPr>
              <w:spacing w:line="360" w:lineRule="auto"/>
              <w:jc w:val="center"/>
              <w:rPr>
                <w:rFonts w:hint="default" w:cs="@仿宋_GB2312" w:asciiTheme="minorEastAsia" w:hAnsiTheme="minorEastAsia" w:eastAsiaTheme="minorEastAsia"/>
                <w:b/>
                <w:bCs/>
                <w:color w:val="FF0000"/>
                <w:kern w:val="2"/>
                <w:sz w:val="24"/>
                <w:szCs w:val="22"/>
                <w:highlight w:val="none"/>
                <w:lang w:val="en-US" w:eastAsia="zh-CN"/>
              </w:rPr>
            </w:pPr>
            <w:r>
              <w:rPr>
                <w:rFonts w:hint="eastAsia" w:cs="@仿宋_GB2312" w:asciiTheme="minorEastAsia" w:hAnsiTheme="minorEastAsia" w:eastAsiaTheme="minorEastAsia"/>
                <w:b/>
                <w:bCs/>
                <w:color w:val="FF0000"/>
                <w:kern w:val="2"/>
                <w:sz w:val="24"/>
                <w:szCs w:val="22"/>
                <w:highlight w:val="none"/>
                <w:lang w:val="en-US" w:eastAsia="zh-CN"/>
              </w:rPr>
              <w:t>8</w:t>
            </w:r>
          </w:p>
        </w:tc>
        <w:tc>
          <w:tcPr>
            <w:tcW w:w="749" w:type="pct"/>
            <w:vAlign w:val="center"/>
          </w:tcPr>
          <w:p w14:paraId="675E20CF">
            <w:pPr>
              <w:keepNext w:val="0"/>
              <w:keepLines w:val="0"/>
              <w:widowControl/>
              <w:suppressLineNumbers w:val="0"/>
              <w:jc w:val="left"/>
              <w:rPr>
                <w:rFonts w:hint="default" w:ascii="宋体" w:hAnsi="宋体" w:eastAsia="宋体" w:cs="宋体"/>
                <w:b/>
                <w:bCs/>
                <w:color w:val="FF0000"/>
                <w:kern w:val="0"/>
                <w:sz w:val="24"/>
                <w:szCs w:val="24"/>
                <w:highlight w:val="none"/>
                <w:lang w:val="en-US" w:eastAsia="zh-CN" w:bidi="ar"/>
              </w:rPr>
            </w:pPr>
            <w:r>
              <w:rPr>
                <w:rFonts w:hint="eastAsia" w:cs="宋体"/>
                <w:b/>
                <w:bCs/>
                <w:color w:val="FF0000"/>
                <w:kern w:val="0"/>
                <w:sz w:val="24"/>
                <w:szCs w:val="24"/>
                <w:highlight w:val="none"/>
                <w:lang w:val="en-US" w:eastAsia="zh-CN" w:bidi="ar"/>
              </w:rPr>
              <w:t>重要事项</w:t>
            </w:r>
          </w:p>
        </w:tc>
        <w:tc>
          <w:tcPr>
            <w:tcW w:w="3688" w:type="pct"/>
            <w:vAlign w:val="center"/>
          </w:tcPr>
          <w:p w14:paraId="5C13B595">
            <w:pPr>
              <w:numPr>
                <w:ilvl w:val="0"/>
                <w:numId w:val="0"/>
              </w:numPr>
              <w:autoSpaceDE w:val="0"/>
              <w:autoSpaceDN w:val="0"/>
              <w:adjustRightInd w:val="0"/>
              <w:spacing w:line="480" w:lineRule="exact"/>
              <w:jc w:val="both"/>
              <w:outlineLvl w:val="1"/>
              <w:rPr>
                <w:rFonts w:hint="eastAsia" w:cs="@仿宋_GB2312" w:asciiTheme="minorEastAsia" w:hAnsiTheme="minorEastAsia" w:eastAsiaTheme="minorEastAsia"/>
                <w:color w:val="FF0000"/>
                <w:kern w:val="2"/>
                <w:sz w:val="24"/>
                <w:szCs w:val="22"/>
                <w:highlight w:val="none"/>
                <w:lang w:val="en-US" w:eastAsia="zh-CN"/>
              </w:rPr>
            </w:pPr>
            <w:r>
              <w:rPr>
                <w:rFonts w:ascii="宋体" w:hAnsi="宋体" w:eastAsia="宋体" w:cs="宋体"/>
                <w:b/>
                <w:bCs/>
                <w:color w:val="FF0000"/>
                <w:kern w:val="2"/>
                <w:sz w:val="24"/>
                <w:szCs w:val="24"/>
                <w:highlight w:val="none"/>
              </w:rPr>
              <w:t>项目开工前需进一步细化方案包括不限于效果图、线路路径、材料参数及有关性能，经管理单位审核同意后方可进场施工。</w:t>
            </w:r>
          </w:p>
        </w:tc>
      </w:tr>
    </w:tbl>
    <w:p w14:paraId="57B2832B">
      <w:pPr>
        <w:numPr>
          <w:ilvl w:val="0"/>
          <w:numId w:val="0"/>
        </w:numPr>
        <w:autoSpaceDE w:val="0"/>
        <w:autoSpaceDN w:val="0"/>
        <w:adjustRightInd w:val="0"/>
        <w:spacing w:line="480" w:lineRule="exact"/>
        <w:jc w:val="left"/>
        <w:outlineLvl w:val="1"/>
        <w:rPr>
          <w:rFonts w:hint="default" w:ascii="Times New Roman" w:hAnsi="Times New Roman" w:cs="Times New Roman"/>
          <w:b/>
          <w:bCs/>
          <w:sz w:val="24"/>
          <w:szCs w:val="24"/>
          <w:highlight w:val="none"/>
        </w:rPr>
      </w:pPr>
      <w:bookmarkStart w:id="61" w:name="_Toc11353"/>
      <w:r>
        <w:rPr>
          <w:rFonts w:hint="eastAsia" w:ascii="宋体" w:hAnsi="宋体" w:eastAsia="宋体" w:cs="宋体"/>
          <w:b/>
          <w:bCs/>
          <w:color w:val="auto"/>
          <w:sz w:val="24"/>
          <w:szCs w:val="24"/>
          <w:highlight w:val="none"/>
          <w:lang w:val="en-US" w:eastAsia="zh-CN" w:bidi="ar-SA"/>
        </w:rPr>
        <w:t>一、</w:t>
      </w:r>
      <w:r>
        <w:rPr>
          <w:rFonts w:hint="eastAsia" w:ascii="宋体" w:hAnsi="宋体" w:eastAsia="宋体"/>
          <w:b/>
          <w:bCs/>
          <w:color w:val="auto"/>
          <w:sz w:val="24"/>
          <w:szCs w:val="24"/>
          <w:highlight w:val="none"/>
          <w:lang w:val="en-US" w:eastAsia="zh-CN"/>
        </w:rPr>
        <w:t>工程量清单</w:t>
      </w:r>
    </w:p>
    <w:p w14:paraId="0F4ADA0E">
      <w:pPr>
        <w:jc w:val="both"/>
        <w:textAlignment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1.工程量清单说明</w:t>
      </w:r>
    </w:p>
    <w:p w14:paraId="3A213842">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（1）本工程量清单是根据磋商文件中包括的、有合同约束力的技术条款以及有关工程量清单的国家标准、行业标准、合同条款中约定的工程量计算规则编制。</w:t>
      </w:r>
    </w:p>
    <w:p w14:paraId="7B018293">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（2）本工程量清单应与磋商文件中的</w:t>
      </w:r>
      <w:r>
        <w:rPr>
          <w:rFonts w:hint="default" w:ascii="Times New Roman" w:hAnsi="Times New Roman" w:cs="Times New Roman"/>
          <w:sz w:val="24"/>
          <w:szCs w:val="24"/>
          <w:highlight w:val="none"/>
          <w:lang w:val="en-US" w:eastAsia="zh-CN"/>
        </w:rPr>
        <w:t>磋商</w:t>
      </w:r>
      <w:r>
        <w:rPr>
          <w:rFonts w:hint="default" w:ascii="Times New Roman" w:hAnsi="Times New Roman" w:cs="Times New Roman"/>
          <w:sz w:val="24"/>
          <w:szCs w:val="24"/>
          <w:highlight w:val="none"/>
        </w:rPr>
        <w:t>须知、合同条款及图纸等一起阅读和理解。</w:t>
      </w:r>
    </w:p>
    <w:p w14:paraId="66544851">
      <w:pPr>
        <w:autoSpaceDE w:val="0"/>
        <w:autoSpaceDN w:val="0"/>
        <w:adjustRightInd w:val="0"/>
        <w:spacing w:line="480" w:lineRule="exact"/>
        <w:jc w:val="left"/>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2.投标报价说明</w:t>
      </w:r>
    </w:p>
    <w:p w14:paraId="48027EFC">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（1）工程量清单中的每一子目须填入单价或价格，且只允许有一个报价。</w:t>
      </w:r>
    </w:p>
    <w:p w14:paraId="699A8020">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工程量清单中标价的单价或金额，应包括所需人工费、施工机械使用费、材料费、其他（运杂费、质检费、安装费、缺陷修复费、保险费，以及合同明示或暗示的风险、责任和义务等），以及管理费、利润等。</w:t>
      </w:r>
    </w:p>
    <w:p w14:paraId="69F2795C">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（3）工程量清单中供应商没有填入单价或价格的子目，其费用视为已分摊在工程量清单中其他相关子目的单价或价格之中。</w:t>
      </w:r>
    </w:p>
    <w:p w14:paraId="68B61E58">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rPr>
        <w:t>）投标总价应按工程报价汇总表合计金额填写，</w:t>
      </w:r>
      <w:r>
        <w:rPr>
          <w:rFonts w:hint="default" w:ascii="Times New Roman" w:hAnsi="Times New Roman" w:cs="Times New Roman"/>
          <w:sz w:val="24"/>
          <w:szCs w:val="24"/>
          <w:highlight w:val="none"/>
          <w:lang w:eastAsia="zh-CN"/>
        </w:rPr>
        <w:t>供应商</w:t>
      </w:r>
      <w:r>
        <w:rPr>
          <w:rFonts w:hint="default" w:ascii="Times New Roman" w:hAnsi="Times New Roman" w:cs="Times New Roman"/>
          <w:sz w:val="24"/>
          <w:szCs w:val="24"/>
          <w:highlight w:val="none"/>
        </w:rPr>
        <w:t>对投标报价的任何优惠均应反映在相应清单项目的综合单价中。</w:t>
      </w:r>
    </w:p>
    <w:p w14:paraId="1B27F322">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）金额（价格）均应以人民币表示；如果投标报价汇总表的投标总价与报价函填报的投标总价不一致，应当以报价函中填写的大写金额为准。</w:t>
      </w:r>
    </w:p>
    <w:p w14:paraId="35F207FC">
      <w:pPr>
        <w:autoSpaceDE w:val="0"/>
        <w:autoSpaceDN w:val="0"/>
        <w:adjustRightInd w:val="0"/>
        <w:spacing w:line="480" w:lineRule="exact"/>
        <w:jc w:val="left"/>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3.其他说明</w:t>
      </w:r>
    </w:p>
    <w:p w14:paraId="737A8BC5">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eastAsia="zh-CN"/>
        </w:rPr>
        <w:t>供应商</w:t>
      </w:r>
      <w:r>
        <w:rPr>
          <w:rFonts w:hint="default" w:ascii="Times New Roman" w:hAnsi="Times New Roman" w:cs="Times New Roman"/>
          <w:sz w:val="24"/>
          <w:szCs w:val="24"/>
          <w:highlight w:val="none"/>
        </w:rPr>
        <w:t>可先到工地踏勘以充分了解工地位置、情况、道路、储存空间、装卸限制及任何其他足以影响承包价的情况，任何因忽视或误解工地情况而导致的索赔或工期延长申请将不被批准。</w:t>
      </w:r>
    </w:p>
    <w:p w14:paraId="74E7FD45">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rPr>
        <w:t>（2）因市场变化及法律、法规、规章和政策发</w:t>
      </w:r>
      <w:r>
        <w:rPr>
          <w:rFonts w:hint="default" w:ascii="Times New Roman" w:hAnsi="Times New Roman" w:eastAsia="宋体" w:cs="Times New Roman"/>
          <w:sz w:val="24"/>
          <w:szCs w:val="24"/>
          <w:highlight w:val="none"/>
        </w:rPr>
        <w:t>生变化等一切可能影响工程造价的因素及其经济风险均已包含在综合单价中，</w:t>
      </w:r>
      <w:r>
        <w:rPr>
          <w:rFonts w:hint="eastAsia" w:ascii="Times New Roman" w:hAnsi="Times New Roman" w:eastAsia="宋体" w:cs="Times New Roman"/>
          <w:sz w:val="24"/>
          <w:szCs w:val="24"/>
          <w:highlight w:val="none"/>
          <w:lang w:val="en-US" w:eastAsia="zh-CN"/>
        </w:rPr>
        <w:t>除合同约定外</w:t>
      </w:r>
      <w:r>
        <w:rPr>
          <w:rFonts w:hint="default" w:ascii="Times New Roman" w:hAnsi="Times New Roman" w:eastAsia="宋体" w:cs="Times New Roman"/>
          <w:sz w:val="24"/>
          <w:szCs w:val="24"/>
          <w:highlight w:val="none"/>
        </w:rPr>
        <w:t>合同综合单价不予调整。</w:t>
      </w:r>
    </w:p>
    <w:p w14:paraId="7C7036F3">
      <w:pPr>
        <w:spacing w:line="360" w:lineRule="auto"/>
        <w:ind w:firstLine="480" w:firstLineChars="200"/>
        <w:rPr>
          <w:rFonts w:hint="eastAsia" w:ascii="Times New Roman" w:hAnsi="Times New Roman" w:cs="Times New Roman"/>
          <w:sz w:val="24"/>
          <w:szCs w:val="24"/>
          <w:highlight w:val="none"/>
          <w:lang w:eastAsia="zh-CN"/>
        </w:rPr>
      </w:pPr>
      <w:r>
        <w:rPr>
          <w:rFonts w:hint="default" w:ascii="Times New Roman" w:hAnsi="Times New Roman" w:cs="Times New Roman"/>
          <w:sz w:val="24"/>
          <w:szCs w:val="24"/>
          <w:highlight w:val="none"/>
        </w:rPr>
        <w:t>（3）与其他工程施工单位发生交叉作业而增加的费用包含在报价内</w:t>
      </w:r>
      <w:r>
        <w:rPr>
          <w:rFonts w:hint="eastAsia" w:ascii="Times New Roman" w:hAnsi="Times New Roman" w:cs="Times New Roman"/>
          <w:sz w:val="24"/>
          <w:szCs w:val="24"/>
          <w:highlight w:val="none"/>
          <w:lang w:eastAsia="zh-CN"/>
        </w:rPr>
        <w:t>。</w:t>
      </w:r>
    </w:p>
    <w:p w14:paraId="28013ED2">
      <w:pPr>
        <w:spacing w:line="360" w:lineRule="auto"/>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（4）由于前期不可预见，而新增加的施工内容，经相关部门出具设计变更及处理方案后，方可调整相应费用。</w:t>
      </w:r>
    </w:p>
    <w:p w14:paraId="167A3202">
      <w:pPr>
        <w:spacing w:line="360" w:lineRule="auto"/>
        <w:ind w:firstLine="480" w:firstLineChars="200"/>
        <w:rPr>
          <w:rFonts w:hint="eastAsia" w:ascii="Times New Roman" w:hAnsi="Times New Roman" w:eastAsia="宋体" w:cs="Times New Roman"/>
          <w:b/>
          <w:bCs/>
          <w:sz w:val="24"/>
          <w:szCs w:val="24"/>
          <w:highlight w:val="none"/>
          <w:lang w:val="en-US" w:eastAsia="zh-CN"/>
        </w:rPr>
      </w:pPr>
      <w:r>
        <w:rPr>
          <w:rFonts w:hint="default" w:ascii="Times New Roman" w:hAnsi="Times New Roman" w:cs="Times New Roman"/>
          <w:sz w:val="24"/>
          <w:szCs w:val="24"/>
          <w:highlight w:val="none"/>
        </w:rPr>
        <w:t>（5）因天气、地形、施工环境等条件发生变化，采取临时措施工程增加的费用或场地内可见障碍物清除的费用包含在报价内。</w:t>
      </w:r>
    </w:p>
    <w:p w14:paraId="519AB7C3">
      <w:pPr>
        <w:rPr>
          <w:rFonts w:ascii="Times New Roman" w:hAnsi="Times New Roman"/>
          <w:b/>
          <w:bCs/>
          <w:color w:val="auto"/>
          <w:sz w:val="32"/>
          <w:szCs w:val="40"/>
          <w:highlight w:val="none"/>
          <w:lang w:bidi="ar"/>
        </w:rPr>
      </w:pPr>
    </w:p>
    <w:p w14:paraId="07E257B2">
      <w:pPr>
        <w:rPr>
          <w:rFonts w:ascii="Times New Roman" w:hAnsi="Times New Roman"/>
          <w:b/>
          <w:bCs/>
          <w:color w:val="auto"/>
          <w:sz w:val="32"/>
          <w:szCs w:val="40"/>
          <w:highlight w:val="none"/>
          <w:lang w:bidi="ar"/>
        </w:rPr>
      </w:pPr>
      <w:r>
        <w:rPr>
          <w:rFonts w:ascii="Times New Roman" w:hAnsi="Times New Roman"/>
          <w:b/>
          <w:bCs/>
          <w:color w:val="auto"/>
          <w:sz w:val="32"/>
          <w:szCs w:val="40"/>
          <w:highlight w:val="none"/>
          <w:lang w:bidi="ar"/>
        </w:rPr>
        <w:br w:type="page"/>
      </w:r>
    </w:p>
    <w:p w14:paraId="23A44A17">
      <w:pPr>
        <w:rPr>
          <w:rFonts w:hint="eastAsia" w:ascii="Times New Roman" w:hAnsi="Times New Roman"/>
          <w:b w:val="0"/>
          <w:bCs/>
          <w:color w:val="auto"/>
          <w:szCs w:val="32"/>
          <w:highlight w:val="none"/>
        </w:rPr>
      </w:pPr>
    </w:p>
    <w:tbl>
      <w:tblPr>
        <w:tblStyle w:val="56"/>
        <w:tblW w:w="9763" w:type="dxa"/>
        <w:jc w:val="center"/>
        <w:tblLayout w:type="fixed"/>
        <w:tblCellMar>
          <w:top w:w="0" w:type="dxa"/>
          <w:left w:w="108" w:type="dxa"/>
          <w:bottom w:w="0" w:type="dxa"/>
          <w:right w:w="108" w:type="dxa"/>
        </w:tblCellMar>
      </w:tblPr>
      <w:tblGrid>
        <w:gridCol w:w="714"/>
        <w:gridCol w:w="2676"/>
        <w:gridCol w:w="1143"/>
        <w:gridCol w:w="1144"/>
        <w:gridCol w:w="1027"/>
        <w:gridCol w:w="967"/>
        <w:gridCol w:w="2092"/>
      </w:tblGrid>
      <w:tr w14:paraId="6C0CEB59">
        <w:tblPrEx>
          <w:tblCellMar>
            <w:top w:w="0" w:type="dxa"/>
            <w:left w:w="108" w:type="dxa"/>
            <w:bottom w:w="0" w:type="dxa"/>
            <w:right w:w="108" w:type="dxa"/>
          </w:tblCellMar>
        </w:tblPrEx>
        <w:trPr>
          <w:trHeight w:val="458" w:hRule="atLeast"/>
          <w:jc w:val="center"/>
        </w:trPr>
        <w:tc>
          <w:tcPr>
            <w:tcW w:w="9763" w:type="dxa"/>
            <w:gridSpan w:val="7"/>
            <w:tcBorders>
              <w:top w:val="nil"/>
              <w:left w:val="nil"/>
              <w:bottom w:val="nil"/>
            </w:tcBorders>
            <w:shd w:val="clear" w:color="auto" w:fill="auto"/>
            <w:vAlign w:val="center"/>
          </w:tcPr>
          <w:p w14:paraId="2F9CF725">
            <w:pPr>
              <w:jc w:val="center"/>
              <w:textAlignment w:val="center"/>
              <w:rPr>
                <w:rFonts w:ascii="Times New Roman" w:hAnsi="Times New Roman"/>
                <w:b/>
                <w:bCs/>
                <w:color w:val="auto"/>
                <w:sz w:val="32"/>
                <w:szCs w:val="40"/>
                <w:highlight w:val="none"/>
                <w:lang w:bidi="ar"/>
              </w:rPr>
            </w:pPr>
            <w:r>
              <w:rPr>
                <w:rFonts w:hint="eastAsia" w:ascii="Times New Roman" w:hAnsi="Times New Roman"/>
                <w:b/>
                <w:bCs/>
                <w:color w:val="auto"/>
                <w:sz w:val="32"/>
                <w:szCs w:val="40"/>
                <w:highlight w:val="none"/>
                <w:lang w:val="en-US" w:eastAsia="zh-CN" w:bidi="ar"/>
              </w:rPr>
              <w:t>城</w:t>
            </w:r>
            <w:r>
              <w:rPr>
                <w:rFonts w:hint="eastAsia" w:ascii="Times New Roman" w:hAnsi="Times New Roman"/>
                <w:b/>
                <w:bCs/>
                <w:color w:val="auto"/>
                <w:sz w:val="32"/>
                <w:szCs w:val="40"/>
                <w:highlight w:val="none"/>
                <w:lang w:bidi="ar"/>
              </w:rPr>
              <w:t>东湖</w:t>
            </w:r>
            <w:r>
              <w:rPr>
                <w:rFonts w:ascii="Times New Roman" w:hAnsi="Times New Roman"/>
                <w:b/>
                <w:bCs/>
                <w:color w:val="auto"/>
                <w:sz w:val="32"/>
                <w:szCs w:val="40"/>
                <w:highlight w:val="none"/>
                <w:lang w:bidi="ar"/>
              </w:rPr>
              <w:t>闸水平位移观测设施安装工程项目清单</w:t>
            </w:r>
          </w:p>
        </w:tc>
      </w:tr>
      <w:tr w14:paraId="35F936A2">
        <w:tblPrEx>
          <w:tblCellMar>
            <w:top w:w="0" w:type="dxa"/>
            <w:left w:w="108" w:type="dxa"/>
            <w:bottom w:w="0" w:type="dxa"/>
            <w:right w:w="108" w:type="dxa"/>
          </w:tblCellMar>
        </w:tblPrEx>
        <w:trPr>
          <w:trHeight w:val="66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B852">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序 号</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B250">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项目名称</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178">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单位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97D4">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工程量</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46D8">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rPr>
              <w:t>单价（元）</w:t>
            </w:r>
          </w:p>
        </w:tc>
        <w:tc>
          <w:tcPr>
            <w:tcW w:w="967" w:type="dxa"/>
            <w:tcBorders>
              <w:top w:val="single" w:color="000000" w:sz="4" w:space="0"/>
              <w:left w:val="single" w:color="000000" w:sz="4" w:space="0"/>
              <w:right w:val="single" w:color="000000" w:sz="4" w:space="0"/>
            </w:tcBorders>
            <w:vAlign w:val="center"/>
          </w:tcPr>
          <w:p w14:paraId="78A318E3">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总价（元）</w:t>
            </w:r>
          </w:p>
        </w:tc>
        <w:tc>
          <w:tcPr>
            <w:tcW w:w="2092" w:type="dxa"/>
            <w:tcBorders>
              <w:top w:val="single" w:color="000000" w:sz="4" w:space="0"/>
              <w:left w:val="single" w:color="000000" w:sz="4" w:space="0"/>
              <w:right w:val="single" w:color="000000" w:sz="4" w:space="0"/>
            </w:tcBorders>
            <w:vAlign w:val="center"/>
          </w:tcPr>
          <w:p w14:paraId="696DC2C0">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备注</w:t>
            </w:r>
          </w:p>
        </w:tc>
      </w:tr>
      <w:tr w14:paraId="52D1C5AA">
        <w:tblPrEx>
          <w:tblCellMar>
            <w:top w:w="0" w:type="dxa"/>
            <w:left w:w="108" w:type="dxa"/>
            <w:bottom w:w="0" w:type="dxa"/>
            <w:right w:w="108" w:type="dxa"/>
          </w:tblCellMar>
        </w:tblPrEx>
        <w:trPr>
          <w:trHeight w:val="40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3C3B">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1</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7801">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水平位移观测点埋设</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5333">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B48">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19</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5706">
            <w:pPr>
              <w:jc w:val="center"/>
              <w:rPr>
                <w:rFonts w:ascii="Times New Roman" w:hAnsi="Times New Roman"/>
                <w:color w:val="auto"/>
                <w:sz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EDA79E4">
            <w:pPr>
              <w:jc w:val="center"/>
              <w:rPr>
                <w:rFonts w:ascii="Times New Roman" w:hAnsi="Times New Roman"/>
                <w:color w:val="auto"/>
                <w:sz w:val="22"/>
                <w:highlight w:val="none"/>
              </w:rPr>
            </w:pPr>
          </w:p>
        </w:tc>
        <w:tc>
          <w:tcPr>
            <w:tcW w:w="2092" w:type="dxa"/>
            <w:tcBorders>
              <w:top w:val="single" w:color="000000" w:sz="4" w:space="0"/>
              <w:left w:val="single" w:color="000000" w:sz="4" w:space="0"/>
              <w:bottom w:val="single" w:color="000000" w:sz="4" w:space="0"/>
              <w:right w:val="single" w:color="000000" w:sz="4" w:space="0"/>
            </w:tcBorders>
            <w:vAlign w:val="center"/>
          </w:tcPr>
          <w:p w14:paraId="07EBC10D">
            <w:pPr>
              <w:rPr>
                <w:rFonts w:ascii="Times New Roman" w:hAnsi="Times New Roman"/>
                <w:color w:val="auto"/>
                <w:sz w:val="22"/>
                <w:highlight w:val="none"/>
              </w:rPr>
            </w:pPr>
          </w:p>
        </w:tc>
      </w:tr>
      <w:tr w14:paraId="48B4DBA4">
        <w:tblPrEx>
          <w:tblCellMar>
            <w:top w:w="0" w:type="dxa"/>
            <w:left w:w="108" w:type="dxa"/>
            <w:bottom w:w="0" w:type="dxa"/>
            <w:right w:w="108" w:type="dxa"/>
          </w:tblCellMar>
        </w:tblPrEx>
        <w:trPr>
          <w:trHeight w:val="479"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28E1">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2</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862B">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工作基点埋设</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BE66">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A1FB">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6</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DF56">
            <w:pPr>
              <w:jc w:val="center"/>
              <w:rPr>
                <w:rFonts w:ascii="Times New Roman" w:hAnsi="Times New Roman"/>
                <w:color w:val="auto"/>
                <w:sz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3782CB2D">
            <w:pPr>
              <w:jc w:val="center"/>
              <w:rPr>
                <w:rFonts w:ascii="Times New Roman" w:hAnsi="Times New Roman"/>
                <w:color w:val="auto"/>
                <w:sz w:val="22"/>
                <w:highlight w:val="none"/>
              </w:rPr>
            </w:pPr>
          </w:p>
        </w:tc>
        <w:tc>
          <w:tcPr>
            <w:tcW w:w="2092" w:type="dxa"/>
            <w:tcBorders>
              <w:top w:val="single" w:color="000000" w:sz="4" w:space="0"/>
              <w:left w:val="single" w:color="000000" w:sz="4" w:space="0"/>
              <w:bottom w:val="single" w:color="000000" w:sz="4" w:space="0"/>
              <w:right w:val="single" w:color="000000" w:sz="4" w:space="0"/>
            </w:tcBorders>
            <w:vAlign w:val="center"/>
          </w:tcPr>
          <w:p w14:paraId="5E44F2F8">
            <w:pPr>
              <w:rPr>
                <w:rFonts w:ascii="Times New Roman" w:hAnsi="Times New Roman"/>
                <w:color w:val="auto"/>
                <w:sz w:val="22"/>
                <w:highlight w:val="none"/>
              </w:rPr>
            </w:pPr>
          </w:p>
        </w:tc>
      </w:tr>
      <w:tr w14:paraId="671501E7">
        <w:tblPrEx>
          <w:tblCellMar>
            <w:top w:w="0" w:type="dxa"/>
            <w:left w:w="108" w:type="dxa"/>
            <w:bottom w:w="0" w:type="dxa"/>
            <w:right w:w="108" w:type="dxa"/>
          </w:tblCellMar>
        </w:tblPrEx>
        <w:trPr>
          <w:trHeight w:val="44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5BC">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3</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9D0E">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校核基点埋设</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D8FA">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257A">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6</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B3F">
            <w:pPr>
              <w:jc w:val="center"/>
              <w:rPr>
                <w:rFonts w:ascii="Times New Roman" w:hAnsi="Times New Roman"/>
                <w:color w:val="auto"/>
                <w:sz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09B91237">
            <w:pPr>
              <w:jc w:val="center"/>
              <w:rPr>
                <w:rFonts w:ascii="Times New Roman" w:hAnsi="Times New Roman"/>
                <w:color w:val="auto"/>
                <w:sz w:val="22"/>
                <w:highlight w:val="none"/>
              </w:rPr>
            </w:pPr>
          </w:p>
        </w:tc>
        <w:tc>
          <w:tcPr>
            <w:tcW w:w="2092" w:type="dxa"/>
            <w:tcBorders>
              <w:top w:val="single" w:color="000000" w:sz="4" w:space="0"/>
              <w:left w:val="single" w:color="000000" w:sz="4" w:space="0"/>
              <w:bottom w:val="single" w:color="000000" w:sz="4" w:space="0"/>
              <w:right w:val="single" w:color="000000" w:sz="4" w:space="0"/>
            </w:tcBorders>
            <w:vAlign w:val="center"/>
          </w:tcPr>
          <w:p w14:paraId="171EA099">
            <w:pPr>
              <w:rPr>
                <w:rFonts w:ascii="Times New Roman" w:hAnsi="Times New Roman"/>
                <w:color w:val="auto"/>
                <w:sz w:val="22"/>
                <w:highlight w:val="none"/>
              </w:rPr>
            </w:pPr>
          </w:p>
        </w:tc>
      </w:tr>
      <w:tr w14:paraId="288714CA">
        <w:tblPrEx>
          <w:tblCellMar>
            <w:top w:w="0" w:type="dxa"/>
            <w:left w:w="108" w:type="dxa"/>
            <w:bottom w:w="0" w:type="dxa"/>
            <w:right w:w="108" w:type="dxa"/>
          </w:tblCellMar>
        </w:tblPrEx>
        <w:trPr>
          <w:trHeight w:val="44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F52A">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9298">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调试费用</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43FE">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项</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DDD">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B987">
            <w:pPr>
              <w:jc w:val="center"/>
              <w:rPr>
                <w:rFonts w:ascii="Times New Roman" w:hAnsi="Times New Roman"/>
                <w:color w:val="auto"/>
                <w:sz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663F5662">
            <w:pPr>
              <w:jc w:val="center"/>
              <w:rPr>
                <w:rFonts w:ascii="Times New Roman" w:hAnsi="Times New Roman"/>
                <w:color w:val="auto"/>
                <w:sz w:val="22"/>
                <w:highlight w:val="none"/>
              </w:rPr>
            </w:pPr>
          </w:p>
        </w:tc>
        <w:tc>
          <w:tcPr>
            <w:tcW w:w="2092" w:type="dxa"/>
            <w:tcBorders>
              <w:top w:val="single" w:color="000000" w:sz="4" w:space="0"/>
              <w:left w:val="single" w:color="000000" w:sz="4" w:space="0"/>
              <w:bottom w:val="single" w:color="000000" w:sz="4" w:space="0"/>
              <w:right w:val="single" w:color="000000" w:sz="4" w:space="0"/>
            </w:tcBorders>
            <w:vAlign w:val="center"/>
          </w:tcPr>
          <w:p w14:paraId="7821D09C">
            <w:pPr>
              <w:rPr>
                <w:rFonts w:ascii="Times New Roman" w:hAnsi="Times New Roman"/>
                <w:color w:val="auto"/>
                <w:sz w:val="22"/>
                <w:highlight w:val="none"/>
              </w:rPr>
            </w:pPr>
          </w:p>
        </w:tc>
      </w:tr>
      <w:tr w14:paraId="2EC54DC6">
        <w:tblPrEx>
          <w:tblCellMar>
            <w:top w:w="0" w:type="dxa"/>
            <w:left w:w="108" w:type="dxa"/>
            <w:bottom w:w="0" w:type="dxa"/>
            <w:right w:w="108" w:type="dxa"/>
          </w:tblCellMar>
        </w:tblPrEx>
        <w:trPr>
          <w:trHeight w:val="44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F4BE">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5</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84D">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数据采集费用</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F636">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1E08">
            <w:pPr>
              <w:jc w:val="center"/>
              <w:textAlignment w:val="center"/>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val="en-US" w:eastAsia="zh-CN" w:bidi="ar"/>
              </w:rPr>
              <w:t>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2222">
            <w:pPr>
              <w:jc w:val="center"/>
              <w:textAlignment w:val="center"/>
              <w:rPr>
                <w:rFonts w:ascii="Times New Roman" w:hAnsi="Times New Roman"/>
                <w:color w:val="auto"/>
                <w:sz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80879F1">
            <w:pPr>
              <w:jc w:val="center"/>
              <w:textAlignment w:val="center"/>
              <w:rPr>
                <w:rFonts w:ascii="Times New Roman" w:hAnsi="Times New Roman"/>
                <w:color w:val="auto"/>
                <w:sz w:val="22"/>
                <w:highlight w:val="none"/>
                <w:lang w:bidi="ar"/>
              </w:rPr>
            </w:pPr>
          </w:p>
        </w:tc>
        <w:tc>
          <w:tcPr>
            <w:tcW w:w="2092" w:type="dxa"/>
            <w:tcBorders>
              <w:top w:val="single" w:color="000000" w:sz="4" w:space="0"/>
              <w:left w:val="single" w:color="000000" w:sz="4" w:space="0"/>
              <w:bottom w:val="single" w:color="000000" w:sz="4" w:space="0"/>
              <w:right w:val="single" w:color="000000" w:sz="4" w:space="0"/>
            </w:tcBorders>
            <w:vAlign w:val="center"/>
          </w:tcPr>
          <w:p w14:paraId="018F5D11">
            <w:pPr>
              <w:textAlignment w:val="center"/>
              <w:rPr>
                <w:rFonts w:ascii="Times New Roman" w:hAnsi="Times New Roman"/>
                <w:color w:val="auto"/>
                <w:sz w:val="22"/>
                <w:highlight w:val="none"/>
              </w:rPr>
            </w:pPr>
          </w:p>
        </w:tc>
      </w:tr>
      <w:tr w14:paraId="25E1F55D">
        <w:tblPrEx>
          <w:tblCellMar>
            <w:top w:w="0" w:type="dxa"/>
            <w:left w:w="108" w:type="dxa"/>
            <w:bottom w:w="0" w:type="dxa"/>
            <w:right w:w="108" w:type="dxa"/>
          </w:tblCellMar>
        </w:tblPrEx>
        <w:trPr>
          <w:trHeight w:val="44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5D88">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6</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B93F">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观测设备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C94C">
            <w:pPr>
              <w:jc w:val="center"/>
              <w:textAlignment w:val="center"/>
              <w:rPr>
                <w:rFonts w:hint="default" w:ascii="Times New Roman" w:hAnsi="Times New Roman" w:eastAsia="宋体"/>
                <w:color w:val="auto"/>
                <w:sz w:val="24"/>
                <w:szCs w:val="24"/>
                <w:highlight w:val="none"/>
                <w:lang w:val="en-US" w:eastAsia="zh-CN" w:bidi="ar"/>
              </w:rPr>
            </w:pPr>
            <w:r>
              <w:rPr>
                <w:rFonts w:hint="eastAsia" w:ascii="Times New Roman" w:hAnsi="Times New Roman"/>
                <w:color w:val="auto"/>
                <w:sz w:val="24"/>
                <w:szCs w:val="24"/>
                <w:highlight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EB82">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50FD">
            <w:pPr>
              <w:jc w:val="center"/>
              <w:textAlignment w:val="center"/>
              <w:rPr>
                <w:rFonts w:ascii="Times New Roman" w:hAnsi="Times New Roman"/>
                <w:color w:val="auto"/>
                <w:sz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68095C35">
            <w:pPr>
              <w:jc w:val="center"/>
              <w:textAlignment w:val="center"/>
              <w:rPr>
                <w:rFonts w:ascii="Times New Roman" w:hAnsi="Times New Roman"/>
                <w:color w:val="auto"/>
                <w:sz w:val="22"/>
                <w:highlight w:val="none"/>
                <w:lang w:bidi="ar"/>
              </w:rPr>
            </w:pPr>
          </w:p>
        </w:tc>
        <w:tc>
          <w:tcPr>
            <w:tcW w:w="2092" w:type="dxa"/>
            <w:tcBorders>
              <w:top w:val="single" w:color="000000" w:sz="4" w:space="0"/>
              <w:left w:val="single" w:color="000000" w:sz="4" w:space="0"/>
              <w:bottom w:val="single" w:color="000000" w:sz="4" w:space="0"/>
              <w:right w:val="single" w:color="000000" w:sz="4" w:space="0"/>
            </w:tcBorders>
            <w:vAlign w:val="center"/>
          </w:tcPr>
          <w:p w14:paraId="1A16C324">
            <w:pPr>
              <w:textAlignment w:val="center"/>
              <w:rPr>
                <w:rFonts w:ascii="Times New Roman" w:hAnsi="Times New Roman"/>
                <w:color w:val="auto"/>
                <w:sz w:val="22"/>
                <w:highlight w:val="none"/>
                <w:lang w:bidi="ar"/>
              </w:rPr>
            </w:pPr>
          </w:p>
        </w:tc>
      </w:tr>
      <w:tr w14:paraId="125242DB">
        <w:tblPrEx>
          <w:tblCellMar>
            <w:top w:w="0" w:type="dxa"/>
            <w:left w:w="108" w:type="dxa"/>
            <w:bottom w:w="0" w:type="dxa"/>
            <w:right w:w="108" w:type="dxa"/>
          </w:tblCellMar>
        </w:tblPrEx>
        <w:trPr>
          <w:trHeight w:val="44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6B40">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7</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D59B">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方案优化费用</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440E">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项</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E8D1">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C389">
            <w:pPr>
              <w:jc w:val="center"/>
              <w:textAlignment w:val="center"/>
              <w:rPr>
                <w:rFonts w:ascii="Times New Roman" w:hAnsi="Times New Roman"/>
                <w:color w:val="auto"/>
                <w:sz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4117973D">
            <w:pPr>
              <w:jc w:val="center"/>
              <w:textAlignment w:val="center"/>
              <w:rPr>
                <w:rFonts w:ascii="Times New Roman" w:hAnsi="Times New Roman"/>
                <w:color w:val="auto"/>
                <w:sz w:val="22"/>
                <w:highlight w:val="none"/>
                <w:lang w:bidi="ar"/>
              </w:rPr>
            </w:pPr>
          </w:p>
        </w:tc>
        <w:tc>
          <w:tcPr>
            <w:tcW w:w="2092" w:type="dxa"/>
            <w:tcBorders>
              <w:top w:val="single" w:color="000000" w:sz="4" w:space="0"/>
              <w:left w:val="single" w:color="000000" w:sz="4" w:space="0"/>
              <w:bottom w:val="single" w:color="000000" w:sz="4" w:space="0"/>
              <w:right w:val="single" w:color="000000" w:sz="4" w:space="0"/>
            </w:tcBorders>
            <w:vAlign w:val="center"/>
          </w:tcPr>
          <w:p w14:paraId="24DEFD09">
            <w:pPr>
              <w:textAlignment w:val="center"/>
              <w:rPr>
                <w:rFonts w:ascii="Times New Roman" w:hAnsi="Times New Roman"/>
                <w:color w:val="auto"/>
                <w:sz w:val="22"/>
                <w:highlight w:val="none"/>
                <w:lang w:bidi="ar"/>
              </w:rPr>
            </w:pPr>
          </w:p>
        </w:tc>
      </w:tr>
      <w:tr w14:paraId="4D835FFE">
        <w:tblPrEx>
          <w:tblCellMar>
            <w:top w:w="0" w:type="dxa"/>
            <w:left w:w="108" w:type="dxa"/>
            <w:bottom w:w="0" w:type="dxa"/>
            <w:right w:w="108" w:type="dxa"/>
          </w:tblCellMar>
        </w:tblPrEx>
        <w:trPr>
          <w:trHeight w:val="448"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2F9D">
            <w:pPr>
              <w:jc w:val="center"/>
              <w:textAlignment w:val="center"/>
              <w:rPr>
                <w:rFonts w:hint="eastAsia" w:ascii="Times New Roman" w:hAnsi="Times New Roman" w:eastAsia="宋体"/>
                <w:b/>
                <w:bCs/>
                <w:color w:val="auto"/>
                <w:sz w:val="24"/>
                <w:szCs w:val="24"/>
                <w:highlight w:val="none"/>
                <w:lang w:eastAsia="zh-CN" w:bidi="ar"/>
              </w:rPr>
            </w:pPr>
            <w:r>
              <w:rPr>
                <w:rFonts w:hint="eastAsia" w:ascii="Times New Roman" w:hAnsi="Times New Roman"/>
                <w:b/>
                <w:bCs/>
                <w:color w:val="auto"/>
                <w:sz w:val="24"/>
                <w:szCs w:val="24"/>
                <w:highlight w:val="none"/>
                <w:lang w:val="en-US" w:eastAsia="zh-CN" w:bidi="ar"/>
              </w:rPr>
              <w:t>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AEDC">
            <w:pPr>
              <w:jc w:val="center"/>
              <w:textAlignment w:val="center"/>
              <w:rPr>
                <w:rFonts w:hint="default" w:ascii="Times New Roman" w:hAnsi="Times New Roman" w:eastAsia="宋体"/>
                <w:b/>
                <w:bCs/>
                <w:color w:val="auto"/>
                <w:sz w:val="24"/>
                <w:szCs w:val="24"/>
                <w:highlight w:val="none"/>
                <w:lang w:val="en-US" w:eastAsia="zh-CN" w:bidi="ar"/>
              </w:rPr>
            </w:pPr>
            <w:r>
              <w:rPr>
                <w:rFonts w:hint="eastAsia" w:ascii="Times New Roman" w:hAnsi="Times New Roman"/>
                <w:b/>
                <w:bCs/>
                <w:color w:val="auto"/>
                <w:sz w:val="24"/>
                <w:szCs w:val="24"/>
                <w:highlight w:val="none"/>
                <w:lang w:val="en-US" w:eastAsia="zh-CN" w:bidi="ar"/>
              </w:rPr>
              <w:t>安全生产费</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2EEC">
            <w:pPr>
              <w:jc w:val="center"/>
              <w:textAlignment w:val="center"/>
              <w:rPr>
                <w:rFonts w:ascii="Times New Roman" w:hAnsi="Times New Roman"/>
                <w:b/>
                <w:bCs/>
                <w:color w:val="auto"/>
                <w:sz w:val="24"/>
                <w:szCs w:val="24"/>
                <w:highlight w:val="none"/>
                <w:lang w:bidi="ar"/>
              </w:rPr>
            </w:pPr>
            <w:r>
              <w:rPr>
                <w:rFonts w:ascii="Times New Roman" w:hAnsi="Times New Roman"/>
                <w:b/>
                <w:bCs/>
                <w:color w:val="auto"/>
                <w:sz w:val="24"/>
                <w:szCs w:val="24"/>
                <w:highlight w:val="none"/>
                <w:lang w:bidi="ar"/>
              </w:rPr>
              <w:t>项</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EC1A">
            <w:pPr>
              <w:jc w:val="center"/>
              <w:textAlignment w:val="center"/>
              <w:rPr>
                <w:rFonts w:ascii="Times New Roman" w:hAnsi="Times New Roman"/>
                <w:b/>
                <w:bCs/>
                <w:color w:val="auto"/>
                <w:sz w:val="24"/>
                <w:szCs w:val="24"/>
                <w:highlight w:val="none"/>
                <w:lang w:bidi="ar"/>
              </w:rPr>
            </w:pPr>
            <w:r>
              <w:rPr>
                <w:rFonts w:hint="eastAsia" w:ascii="Times New Roman" w:hAnsi="Times New Roman"/>
                <w:b/>
                <w:bCs/>
                <w:color w:val="auto"/>
                <w:sz w:val="24"/>
                <w:szCs w:val="24"/>
                <w:highlight w:val="none"/>
                <w:lang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7795">
            <w:pPr>
              <w:jc w:val="center"/>
              <w:textAlignment w:val="center"/>
              <w:rPr>
                <w:rFonts w:ascii="Times New Roman" w:hAnsi="Times New Roman"/>
                <w:b/>
                <w:bCs/>
                <w:color w:val="auto"/>
                <w:sz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4C3640A4">
            <w:pPr>
              <w:textAlignment w:val="center"/>
              <w:rPr>
                <w:rFonts w:hint="eastAsia" w:ascii="Times New Roman" w:hAnsi="Times New Roman"/>
                <w:b/>
                <w:bCs/>
                <w:color w:val="auto"/>
                <w:sz w:val="22"/>
                <w:highlight w:val="none"/>
                <w:lang w:bidi="ar"/>
              </w:rPr>
            </w:pPr>
          </w:p>
        </w:tc>
        <w:tc>
          <w:tcPr>
            <w:tcW w:w="2092" w:type="dxa"/>
            <w:tcBorders>
              <w:top w:val="single" w:color="000000" w:sz="4" w:space="0"/>
              <w:left w:val="single" w:color="000000" w:sz="4" w:space="0"/>
              <w:bottom w:val="single" w:color="000000" w:sz="4" w:space="0"/>
              <w:right w:val="single" w:color="000000" w:sz="4" w:space="0"/>
            </w:tcBorders>
            <w:vAlign w:val="center"/>
          </w:tcPr>
          <w:p w14:paraId="08538DAC">
            <w:pPr>
              <w:textAlignment w:val="center"/>
              <w:rPr>
                <w:rFonts w:hint="default" w:ascii="Times New Roman" w:hAnsi="Times New Roman"/>
                <w:b/>
                <w:bCs/>
                <w:color w:val="auto"/>
                <w:sz w:val="22"/>
                <w:highlight w:val="none"/>
                <w:lang w:val="en-US" w:eastAsia="zh-CN" w:bidi="ar"/>
              </w:rPr>
            </w:pPr>
            <w:r>
              <w:rPr>
                <w:rFonts w:hint="eastAsia" w:ascii="Times New Roman" w:hAnsi="Times New Roman"/>
                <w:b/>
                <w:bCs/>
                <w:color w:val="auto"/>
                <w:sz w:val="22"/>
                <w:highlight w:val="none"/>
                <w:lang w:val="en-US" w:eastAsia="zh-CN" w:bidi="ar"/>
              </w:rPr>
              <w:t>不低于</w:t>
            </w:r>
            <w:r>
              <w:rPr>
                <w:rFonts w:hint="eastAsia" w:ascii="Times New Roman" w:hAnsi="Times New Roman"/>
                <w:b/>
                <w:bCs/>
                <w:color w:val="auto"/>
                <w:sz w:val="22"/>
                <w:highlight w:val="none"/>
                <w:lang w:bidi="ar"/>
              </w:rPr>
              <w:t>东湖闸</w:t>
            </w:r>
            <w:r>
              <w:rPr>
                <w:rFonts w:hint="eastAsia" w:ascii="Times New Roman" w:hAnsi="Times New Roman"/>
                <w:b/>
                <w:bCs/>
                <w:color w:val="auto"/>
                <w:sz w:val="22"/>
                <w:highlight w:val="none"/>
                <w:lang w:val="en-US" w:eastAsia="zh-CN" w:bidi="ar"/>
              </w:rPr>
              <w:t>分项限价的2.5%</w:t>
            </w:r>
          </w:p>
        </w:tc>
      </w:tr>
      <w:tr w14:paraId="7B74F098">
        <w:tblPrEx>
          <w:tblCellMar>
            <w:top w:w="0" w:type="dxa"/>
            <w:left w:w="108" w:type="dxa"/>
            <w:bottom w:w="0" w:type="dxa"/>
            <w:right w:w="108" w:type="dxa"/>
          </w:tblCellMar>
        </w:tblPrEx>
        <w:trPr>
          <w:trHeight w:val="630" w:hRule="atLeast"/>
          <w:jc w:val="center"/>
        </w:trPr>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11D9">
            <w:pPr>
              <w:jc w:val="center"/>
              <w:textAlignment w:val="center"/>
              <w:rPr>
                <w:rFonts w:ascii="Times New Roman" w:hAnsi="Times New Roman"/>
                <w:color w:val="auto"/>
                <w:sz w:val="22"/>
                <w:highlight w:val="none"/>
              </w:rPr>
            </w:pPr>
            <w:r>
              <w:rPr>
                <w:rFonts w:ascii="Times New Roman" w:hAnsi="Times New Roman"/>
                <w:color w:val="auto"/>
                <w:sz w:val="22"/>
                <w:highlight w:val="none"/>
                <w:lang w:bidi="ar"/>
              </w:rPr>
              <w:t>合计（</w:t>
            </w:r>
            <w:r>
              <w:rPr>
                <w:rFonts w:hint="eastAsia" w:ascii="Times New Roman" w:hAnsi="Times New Roman"/>
                <w:color w:val="auto"/>
                <w:sz w:val="22"/>
                <w:highlight w:val="none"/>
                <w:lang w:val="en-US" w:eastAsia="zh-CN" w:bidi="ar"/>
              </w:rPr>
              <w:t>元</w:t>
            </w:r>
            <w:r>
              <w:rPr>
                <w:rFonts w:ascii="Times New Roman" w:hAnsi="Times New Roman"/>
                <w:color w:val="auto"/>
                <w:sz w:val="22"/>
                <w:highlight w:val="none"/>
                <w:lang w:bidi="ar"/>
              </w:rPr>
              <w:t>）：</w:t>
            </w:r>
          </w:p>
        </w:tc>
        <w:tc>
          <w:tcPr>
            <w:tcW w:w="63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7721">
            <w:pPr>
              <w:jc w:val="center"/>
              <w:rPr>
                <w:rFonts w:ascii="Times New Roman" w:hAnsi="Times New Roman"/>
                <w:color w:val="auto"/>
                <w:sz w:val="22"/>
                <w:highlight w:val="none"/>
              </w:rPr>
            </w:pPr>
          </w:p>
        </w:tc>
      </w:tr>
      <w:tr w14:paraId="75E333C3">
        <w:tblPrEx>
          <w:tblCellMar>
            <w:top w:w="0" w:type="dxa"/>
            <w:left w:w="108" w:type="dxa"/>
            <w:bottom w:w="0" w:type="dxa"/>
            <w:right w:w="108" w:type="dxa"/>
          </w:tblCellMar>
        </w:tblPrEx>
        <w:trPr>
          <w:trHeight w:val="630" w:hRule="atLeast"/>
          <w:jc w:val="center"/>
        </w:trPr>
        <w:tc>
          <w:tcPr>
            <w:tcW w:w="97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BB96">
            <w:pPr>
              <w:jc w:val="left"/>
              <w:rPr>
                <w:rFonts w:hint="eastAsia" w:ascii="Times New Roman" w:hAnsi="Times New Roman" w:eastAsia="宋体"/>
                <w:color w:val="auto"/>
                <w:sz w:val="22"/>
                <w:highlight w:val="none"/>
                <w:lang w:val="en-US" w:eastAsia="zh-CN"/>
              </w:rPr>
            </w:pPr>
            <w:r>
              <w:rPr>
                <w:rFonts w:hint="eastAsia" w:ascii="Times New Roman" w:hAnsi="Times New Roman"/>
                <w:b/>
                <w:bCs/>
                <w:color w:val="auto"/>
                <w:sz w:val="22"/>
                <w:highlight w:val="none"/>
                <w:lang w:val="en-US" w:eastAsia="zh-CN"/>
              </w:rPr>
              <w:t>注：</w:t>
            </w:r>
            <w:r>
              <w:rPr>
                <w:rFonts w:hint="eastAsia" w:ascii="Times New Roman" w:hAnsi="Times New Roman"/>
                <w:b/>
                <w:bCs/>
                <w:color w:val="auto"/>
                <w:sz w:val="22"/>
                <w:highlight w:val="none"/>
              </w:rPr>
              <w:t>完成本工程所需要的全部临时</w:t>
            </w:r>
            <w:r>
              <w:rPr>
                <w:rFonts w:hint="eastAsia" w:ascii="Times New Roman" w:hAnsi="Times New Roman"/>
                <w:b/>
                <w:bCs/>
                <w:color w:val="auto"/>
                <w:sz w:val="22"/>
                <w:highlight w:val="none"/>
                <w:lang w:val="en-US" w:eastAsia="zh-CN"/>
              </w:rPr>
              <w:t>工程包含在单价内</w:t>
            </w:r>
            <w:r>
              <w:rPr>
                <w:rFonts w:hint="eastAsia" w:ascii="Times New Roman" w:hAnsi="Times New Roman"/>
                <w:b/>
                <w:bCs/>
                <w:color w:val="auto"/>
                <w:sz w:val="22"/>
                <w:highlight w:val="none"/>
              </w:rPr>
              <w:t>，包括但不限于临时房屋、施工水电、施工期环水保等全部</w:t>
            </w:r>
            <w:r>
              <w:rPr>
                <w:rFonts w:hint="eastAsia" w:ascii="Times New Roman" w:hAnsi="Times New Roman"/>
                <w:b/>
                <w:bCs/>
                <w:color w:val="auto"/>
                <w:sz w:val="22"/>
                <w:highlight w:val="none"/>
                <w:lang w:val="en-US" w:eastAsia="zh-CN"/>
              </w:rPr>
              <w:t>实施</w:t>
            </w:r>
            <w:r>
              <w:rPr>
                <w:rFonts w:hint="eastAsia" w:ascii="Times New Roman" w:hAnsi="Times New Roman"/>
                <w:b/>
                <w:bCs/>
                <w:color w:val="auto"/>
                <w:sz w:val="22"/>
                <w:highlight w:val="none"/>
              </w:rPr>
              <w:t>内容</w:t>
            </w:r>
            <w:r>
              <w:rPr>
                <w:rFonts w:hint="eastAsia" w:ascii="Times New Roman" w:hAnsi="Times New Roman"/>
                <w:b/>
                <w:bCs/>
                <w:color w:val="auto"/>
                <w:sz w:val="22"/>
                <w:highlight w:val="none"/>
                <w:lang w:eastAsia="zh-CN"/>
              </w:rPr>
              <w:t>。</w:t>
            </w:r>
          </w:p>
        </w:tc>
      </w:tr>
    </w:tbl>
    <w:p w14:paraId="3D1C2491">
      <w:pPr>
        <w:jc w:val="both"/>
        <w:textAlignment w:val="center"/>
        <w:rPr>
          <w:rFonts w:hint="eastAsia" w:ascii="Times New Roman" w:hAnsi="Times New Roman"/>
          <w:b/>
          <w:bCs/>
          <w:color w:val="auto"/>
          <w:sz w:val="32"/>
          <w:szCs w:val="40"/>
          <w:highlight w:val="none"/>
          <w:lang w:bidi="ar"/>
        </w:rPr>
      </w:pPr>
      <w:r>
        <w:rPr>
          <w:rFonts w:hint="eastAsia" w:ascii="Times New Roman" w:hAnsi="Times New Roman"/>
          <w:b/>
          <w:bCs/>
          <w:color w:val="auto"/>
          <w:sz w:val="32"/>
          <w:szCs w:val="40"/>
          <w:highlight w:val="none"/>
          <w:lang w:bidi="ar"/>
        </w:rPr>
        <w:br w:type="page"/>
      </w:r>
    </w:p>
    <w:tbl>
      <w:tblPr>
        <w:tblStyle w:val="56"/>
        <w:tblW w:w="9685" w:type="dxa"/>
        <w:jc w:val="center"/>
        <w:tblLayout w:type="fixed"/>
        <w:tblCellMar>
          <w:top w:w="0" w:type="dxa"/>
          <w:left w:w="108" w:type="dxa"/>
          <w:bottom w:w="0" w:type="dxa"/>
          <w:right w:w="108" w:type="dxa"/>
        </w:tblCellMar>
      </w:tblPr>
      <w:tblGrid>
        <w:gridCol w:w="709"/>
        <w:gridCol w:w="2654"/>
        <w:gridCol w:w="1134"/>
        <w:gridCol w:w="1135"/>
        <w:gridCol w:w="1296"/>
        <w:gridCol w:w="1296"/>
        <w:gridCol w:w="1461"/>
      </w:tblGrid>
      <w:tr w14:paraId="56738ED5">
        <w:tblPrEx>
          <w:tblCellMar>
            <w:top w:w="0" w:type="dxa"/>
            <w:left w:w="108" w:type="dxa"/>
            <w:bottom w:w="0" w:type="dxa"/>
            <w:right w:w="108" w:type="dxa"/>
          </w:tblCellMar>
        </w:tblPrEx>
        <w:trPr>
          <w:trHeight w:val="520" w:hRule="atLeast"/>
          <w:jc w:val="center"/>
        </w:trPr>
        <w:tc>
          <w:tcPr>
            <w:tcW w:w="9685" w:type="dxa"/>
            <w:gridSpan w:val="7"/>
            <w:tcBorders>
              <w:top w:val="nil"/>
              <w:left w:val="nil"/>
              <w:bottom w:val="nil"/>
            </w:tcBorders>
            <w:shd w:val="clear" w:color="auto" w:fill="auto"/>
            <w:vAlign w:val="center"/>
          </w:tcPr>
          <w:p w14:paraId="3559DC61">
            <w:pPr>
              <w:jc w:val="center"/>
              <w:textAlignment w:val="center"/>
              <w:rPr>
                <w:rFonts w:ascii="Times New Roman" w:hAnsi="Times New Roman"/>
                <w:b/>
                <w:bCs/>
                <w:color w:val="auto"/>
                <w:sz w:val="32"/>
                <w:szCs w:val="40"/>
                <w:highlight w:val="none"/>
                <w:lang w:bidi="ar"/>
              </w:rPr>
            </w:pPr>
            <w:r>
              <w:rPr>
                <w:rFonts w:hint="eastAsia" w:ascii="Times New Roman" w:hAnsi="Times New Roman"/>
                <w:b/>
                <w:bCs/>
                <w:color w:val="auto"/>
                <w:sz w:val="32"/>
                <w:szCs w:val="40"/>
                <w:highlight w:val="none"/>
                <w:lang w:bidi="ar"/>
              </w:rPr>
              <w:t>曹台</w:t>
            </w:r>
            <w:r>
              <w:rPr>
                <w:rFonts w:ascii="Times New Roman" w:hAnsi="Times New Roman"/>
                <w:b/>
                <w:bCs/>
                <w:color w:val="auto"/>
                <w:sz w:val="32"/>
                <w:szCs w:val="40"/>
                <w:highlight w:val="none"/>
                <w:lang w:bidi="ar"/>
              </w:rPr>
              <w:t>闸水平位移观测设施安装工程项目清单</w:t>
            </w:r>
          </w:p>
        </w:tc>
      </w:tr>
      <w:tr w14:paraId="2D136804">
        <w:tblPrEx>
          <w:tblCellMar>
            <w:top w:w="0" w:type="dxa"/>
            <w:left w:w="108" w:type="dxa"/>
            <w:bottom w:w="0" w:type="dxa"/>
            <w:right w:w="108" w:type="dxa"/>
          </w:tblCellMar>
        </w:tblPrEx>
        <w:trPr>
          <w:trHeight w:val="109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04AD">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序 号</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8E17">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项目名称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0400">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单位</w:t>
            </w:r>
          </w:p>
        </w:tc>
        <w:tc>
          <w:tcPr>
            <w:tcW w:w="1135" w:type="dxa"/>
            <w:tcBorders>
              <w:top w:val="single" w:color="000000" w:sz="4" w:space="0"/>
              <w:left w:val="single" w:color="000000" w:sz="4" w:space="0"/>
              <w:bottom w:val="single" w:color="000000" w:sz="4" w:space="0"/>
              <w:right w:val="single" w:color="auto" w:sz="4" w:space="0"/>
            </w:tcBorders>
            <w:shd w:val="clear" w:color="auto" w:fill="auto"/>
            <w:vAlign w:val="center"/>
          </w:tcPr>
          <w:p w14:paraId="564F909E">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工程量</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AB6C5">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rPr>
              <w:t>单价（元）</w:t>
            </w:r>
          </w:p>
        </w:tc>
        <w:tc>
          <w:tcPr>
            <w:tcW w:w="1296" w:type="dxa"/>
            <w:tcBorders>
              <w:top w:val="single" w:color="auto" w:sz="4" w:space="0"/>
              <w:left w:val="single" w:color="auto" w:sz="4" w:space="0"/>
              <w:bottom w:val="single" w:color="auto" w:sz="4" w:space="0"/>
              <w:right w:val="single" w:color="auto" w:sz="4" w:space="0"/>
            </w:tcBorders>
            <w:vAlign w:val="center"/>
          </w:tcPr>
          <w:p w14:paraId="6AC2BEB5">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总价（元）</w:t>
            </w:r>
          </w:p>
        </w:tc>
        <w:tc>
          <w:tcPr>
            <w:tcW w:w="1461" w:type="dxa"/>
            <w:tcBorders>
              <w:top w:val="single" w:color="auto" w:sz="4" w:space="0"/>
              <w:left w:val="single" w:color="auto" w:sz="4" w:space="0"/>
              <w:bottom w:val="single" w:color="auto" w:sz="4" w:space="0"/>
              <w:right w:val="single" w:color="auto" w:sz="4" w:space="0"/>
            </w:tcBorders>
            <w:vAlign w:val="center"/>
          </w:tcPr>
          <w:p w14:paraId="4EB6040C">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备注</w:t>
            </w:r>
          </w:p>
        </w:tc>
      </w:tr>
      <w:tr w14:paraId="2F3AD91D">
        <w:tblPrEx>
          <w:tblCellMar>
            <w:top w:w="0" w:type="dxa"/>
            <w:left w:w="108" w:type="dxa"/>
            <w:bottom w:w="0" w:type="dxa"/>
            <w:right w:w="108" w:type="dxa"/>
          </w:tblCellMar>
        </w:tblPrEx>
        <w:trPr>
          <w:trHeight w:val="46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3B79">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1</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1C2F">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水平位移观测点埋设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47C7">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个</w:t>
            </w:r>
          </w:p>
        </w:tc>
        <w:tc>
          <w:tcPr>
            <w:tcW w:w="1135" w:type="dxa"/>
            <w:tcBorders>
              <w:top w:val="single" w:color="000000" w:sz="4" w:space="0"/>
              <w:left w:val="single" w:color="000000" w:sz="4" w:space="0"/>
              <w:bottom w:val="single" w:color="000000" w:sz="4" w:space="0"/>
              <w:right w:val="single" w:color="auto" w:sz="4" w:space="0"/>
            </w:tcBorders>
            <w:shd w:val="clear" w:color="auto" w:fill="auto"/>
            <w:vAlign w:val="center"/>
          </w:tcPr>
          <w:p w14:paraId="5B4C1911">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18</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A0F49">
            <w:pPr>
              <w:jc w:val="center"/>
              <w:rPr>
                <w:rFonts w:ascii="Times New Roman" w:hAnsi="Times New Roman"/>
                <w:color w:val="auto"/>
                <w:sz w:val="22"/>
                <w:highlight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16A16B49">
            <w:pPr>
              <w:widowControl/>
              <w:jc w:val="center"/>
              <w:rPr>
                <w:rFonts w:ascii="Times New Roman" w:hAnsi="Times New Roman" w:eastAsia="等线" w:cs="Times New Roman"/>
                <w:color w:val="auto"/>
                <w:sz w:val="22"/>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328D1C83">
            <w:pPr>
              <w:rPr>
                <w:rFonts w:ascii="Times New Roman" w:hAnsi="Times New Roman"/>
                <w:color w:val="auto"/>
                <w:sz w:val="22"/>
                <w:highlight w:val="none"/>
              </w:rPr>
            </w:pPr>
          </w:p>
        </w:tc>
      </w:tr>
      <w:tr w14:paraId="701946B7">
        <w:tblPrEx>
          <w:tblCellMar>
            <w:top w:w="0" w:type="dxa"/>
            <w:left w:w="108" w:type="dxa"/>
            <w:bottom w:w="0" w:type="dxa"/>
            <w:right w:w="108" w:type="dxa"/>
          </w:tblCellMar>
        </w:tblPrEx>
        <w:trPr>
          <w:trHeight w:val="543"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ED60">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2</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23AA">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工作基点埋设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C831">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个</w:t>
            </w:r>
          </w:p>
        </w:tc>
        <w:tc>
          <w:tcPr>
            <w:tcW w:w="1135" w:type="dxa"/>
            <w:tcBorders>
              <w:top w:val="single" w:color="000000" w:sz="4" w:space="0"/>
              <w:left w:val="single" w:color="000000" w:sz="4" w:space="0"/>
              <w:bottom w:val="single" w:color="000000" w:sz="4" w:space="0"/>
              <w:right w:val="single" w:color="auto" w:sz="4" w:space="0"/>
            </w:tcBorders>
            <w:shd w:val="clear" w:color="auto" w:fill="auto"/>
            <w:vAlign w:val="center"/>
          </w:tcPr>
          <w:p w14:paraId="10CB75CF">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B601D">
            <w:pPr>
              <w:jc w:val="center"/>
              <w:rPr>
                <w:rFonts w:ascii="Times New Roman" w:hAnsi="Times New Roman"/>
                <w:color w:val="auto"/>
                <w:sz w:val="22"/>
                <w:highlight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107BEC7D">
            <w:pPr>
              <w:jc w:val="center"/>
              <w:rPr>
                <w:rFonts w:ascii="Times New Roman" w:hAnsi="Times New Roman" w:eastAsia="等线" w:cs="Times New Roman"/>
                <w:color w:val="auto"/>
                <w:sz w:val="22"/>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7C886CB1">
            <w:pPr>
              <w:rPr>
                <w:rFonts w:ascii="Times New Roman" w:hAnsi="Times New Roman"/>
                <w:color w:val="auto"/>
                <w:sz w:val="22"/>
                <w:highlight w:val="none"/>
              </w:rPr>
            </w:pPr>
          </w:p>
        </w:tc>
      </w:tr>
      <w:tr w14:paraId="6281F187">
        <w:tblPrEx>
          <w:tblCellMar>
            <w:top w:w="0" w:type="dxa"/>
            <w:left w:w="108" w:type="dxa"/>
            <w:bottom w:w="0" w:type="dxa"/>
            <w:right w:w="108" w:type="dxa"/>
          </w:tblCellMar>
        </w:tblPrEx>
        <w:trPr>
          <w:trHeight w:val="50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960D">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3</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B7C9">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校核基点埋设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F6BE">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个</w:t>
            </w:r>
          </w:p>
        </w:tc>
        <w:tc>
          <w:tcPr>
            <w:tcW w:w="1135" w:type="dxa"/>
            <w:tcBorders>
              <w:top w:val="single" w:color="000000" w:sz="4" w:space="0"/>
              <w:left w:val="single" w:color="000000" w:sz="4" w:space="0"/>
              <w:bottom w:val="single" w:color="000000" w:sz="4" w:space="0"/>
              <w:right w:val="single" w:color="auto" w:sz="4" w:space="0"/>
            </w:tcBorders>
            <w:shd w:val="clear" w:color="auto" w:fill="auto"/>
            <w:vAlign w:val="center"/>
          </w:tcPr>
          <w:p w14:paraId="11D4E60C">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22805">
            <w:pPr>
              <w:jc w:val="center"/>
              <w:rPr>
                <w:rFonts w:ascii="Times New Roman" w:hAnsi="Times New Roman"/>
                <w:color w:val="auto"/>
                <w:sz w:val="22"/>
                <w:highlight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01472061">
            <w:pPr>
              <w:jc w:val="center"/>
              <w:rPr>
                <w:rFonts w:ascii="Times New Roman" w:hAnsi="Times New Roman" w:eastAsia="等线" w:cs="Times New Roman"/>
                <w:color w:val="auto"/>
                <w:sz w:val="22"/>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66C4089D">
            <w:pPr>
              <w:rPr>
                <w:rFonts w:ascii="Times New Roman" w:hAnsi="Times New Roman"/>
                <w:color w:val="auto"/>
                <w:sz w:val="22"/>
                <w:highlight w:val="none"/>
              </w:rPr>
            </w:pPr>
          </w:p>
        </w:tc>
      </w:tr>
      <w:tr w14:paraId="10B05D90">
        <w:tblPrEx>
          <w:tblCellMar>
            <w:top w:w="0" w:type="dxa"/>
            <w:left w:w="108" w:type="dxa"/>
            <w:bottom w:w="0" w:type="dxa"/>
            <w:right w:w="108" w:type="dxa"/>
          </w:tblCellMar>
        </w:tblPrEx>
        <w:trPr>
          <w:trHeight w:val="50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D160">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4</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F71E">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调试费用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8CA3">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项</w:t>
            </w:r>
          </w:p>
        </w:tc>
        <w:tc>
          <w:tcPr>
            <w:tcW w:w="1135" w:type="dxa"/>
            <w:tcBorders>
              <w:top w:val="single" w:color="000000" w:sz="4" w:space="0"/>
              <w:left w:val="single" w:color="000000" w:sz="4" w:space="0"/>
              <w:bottom w:val="single" w:color="000000" w:sz="4" w:space="0"/>
              <w:right w:val="single" w:color="auto" w:sz="4" w:space="0"/>
            </w:tcBorders>
            <w:shd w:val="clear" w:color="auto" w:fill="auto"/>
            <w:vAlign w:val="center"/>
          </w:tcPr>
          <w:p w14:paraId="64EB742B">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450E1">
            <w:pPr>
              <w:jc w:val="center"/>
              <w:rPr>
                <w:rFonts w:ascii="Times New Roman" w:hAnsi="Times New Roman"/>
                <w:color w:val="auto"/>
                <w:sz w:val="22"/>
                <w:highlight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4CDB50B8">
            <w:pPr>
              <w:jc w:val="center"/>
              <w:rPr>
                <w:rFonts w:ascii="Times New Roman" w:hAnsi="Times New Roman" w:eastAsia="等线" w:cs="Times New Roman"/>
                <w:color w:val="auto"/>
                <w:sz w:val="22"/>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39B31629">
            <w:pPr>
              <w:rPr>
                <w:rFonts w:ascii="Times New Roman" w:hAnsi="Times New Roman"/>
                <w:color w:val="auto"/>
                <w:sz w:val="22"/>
                <w:highlight w:val="none"/>
              </w:rPr>
            </w:pPr>
          </w:p>
        </w:tc>
      </w:tr>
      <w:tr w14:paraId="2EF90727">
        <w:tblPrEx>
          <w:tblCellMar>
            <w:top w:w="0" w:type="dxa"/>
            <w:left w:w="108" w:type="dxa"/>
            <w:bottom w:w="0" w:type="dxa"/>
            <w:right w:w="108" w:type="dxa"/>
          </w:tblCellMar>
        </w:tblPrEx>
        <w:trPr>
          <w:trHeight w:val="50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64C9">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5</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780E">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数据采集费用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7C7">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次</w:t>
            </w:r>
          </w:p>
        </w:tc>
        <w:tc>
          <w:tcPr>
            <w:tcW w:w="1135" w:type="dxa"/>
            <w:tcBorders>
              <w:top w:val="single" w:color="000000" w:sz="4" w:space="0"/>
              <w:left w:val="single" w:color="000000" w:sz="4" w:space="0"/>
              <w:bottom w:val="single" w:color="000000" w:sz="4" w:space="0"/>
              <w:right w:val="single" w:color="auto" w:sz="4" w:space="0"/>
            </w:tcBorders>
            <w:shd w:val="clear" w:color="auto" w:fill="auto"/>
            <w:vAlign w:val="center"/>
          </w:tcPr>
          <w:p w14:paraId="5BD8F898">
            <w:pPr>
              <w:jc w:val="center"/>
              <w:textAlignment w:val="center"/>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val="en-US" w:eastAsia="zh-CN" w:bidi="ar"/>
              </w:rPr>
              <w:t>4</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413D1EA0">
            <w:pPr>
              <w:jc w:val="center"/>
              <w:textAlignment w:val="center"/>
              <w:rPr>
                <w:rFonts w:ascii="Times New Roman" w:hAnsi="Times New Roman"/>
                <w:color w:val="auto"/>
                <w:sz w:val="22"/>
                <w:highlight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46A35378">
            <w:pPr>
              <w:jc w:val="center"/>
              <w:rPr>
                <w:rFonts w:ascii="Times New Roman" w:hAnsi="Times New Roman" w:eastAsia="等线" w:cs="Times New Roman"/>
                <w:color w:val="auto"/>
                <w:sz w:val="22"/>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2B9C17CF">
            <w:pPr>
              <w:textAlignment w:val="center"/>
              <w:rPr>
                <w:rFonts w:ascii="Times New Roman" w:hAnsi="Times New Roman"/>
                <w:color w:val="auto"/>
                <w:sz w:val="22"/>
                <w:highlight w:val="none"/>
              </w:rPr>
            </w:pPr>
          </w:p>
        </w:tc>
      </w:tr>
      <w:tr w14:paraId="21971BD7">
        <w:tblPrEx>
          <w:tblCellMar>
            <w:top w:w="0" w:type="dxa"/>
            <w:left w:w="108" w:type="dxa"/>
            <w:bottom w:w="0" w:type="dxa"/>
            <w:right w:w="108" w:type="dxa"/>
          </w:tblCellMar>
        </w:tblPrEx>
        <w:trPr>
          <w:trHeight w:val="50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849">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6</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1A6F">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方案优化费用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1A0E">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项</w:t>
            </w:r>
          </w:p>
        </w:tc>
        <w:tc>
          <w:tcPr>
            <w:tcW w:w="1135" w:type="dxa"/>
            <w:tcBorders>
              <w:top w:val="single" w:color="000000" w:sz="4" w:space="0"/>
              <w:left w:val="single" w:color="000000" w:sz="4" w:space="0"/>
              <w:bottom w:val="single" w:color="000000" w:sz="4" w:space="0"/>
              <w:right w:val="single" w:color="auto" w:sz="4" w:space="0"/>
            </w:tcBorders>
            <w:shd w:val="clear" w:color="auto" w:fill="auto"/>
            <w:vAlign w:val="center"/>
          </w:tcPr>
          <w:p w14:paraId="2E27D36A">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1</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2F34AC17">
            <w:pPr>
              <w:jc w:val="center"/>
              <w:textAlignment w:val="center"/>
              <w:rPr>
                <w:rFonts w:ascii="Times New Roman" w:hAnsi="Times New Roman"/>
                <w:color w:val="auto"/>
                <w:sz w:val="22"/>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F1DBF5A">
            <w:pPr>
              <w:jc w:val="center"/>
              <w:textAlignment w:val="center"/>
              <w:rPr>
                <w:rFonts w:ascii="Times New Roman" w:hAnsi="Times New Roman"/>
                <w:color w:val="auto"/>
                <w:sz w:val="22"/>
                <w:highlight w:val="none"/>
                <w:lang w:bidi="ar"/>
              </w:rPr>
            </w:pPr>
          </w:p>
        </w:tc>
        <w:tc>
          <w:tcPr>
            <w:tcW w:w="1461" w:type="dxa"/>
            <w:tcBorders>
              <w:top w:val="single" w:color="auto" w:sz="4" w:space="0"/>
              <w:left w:val="single" w:color="auto" w:sz="4" w:space="0"/>
              <w:bottom w:val="single" w:color="auto" w:sz="4" w:space="0"/>
              <w:right w:val="single" w:color="auto" w:sz="4" w:space="0"/>
            </w:tcBorders>
            <w:vAlign w:val="center"/>
          </w:tcPr>
          <w:p w14:paraId="0F369384">
            <w:pPr>
              <w:textAlignment w:val="center"/>
              <w:rPr>
                <w:rFonts w:ascii="Times New Roman" w:hAnsi="Times New Roman"/>
                <w:color w:val="auto"/>
                <w:sz w:val="22"/>
                <w:highlight w:val="none"/>
                <w:lang w:bidi="ar"/>
              </w:rPr>
            </w:pPr>
          </w:p>
        </w:tc>
      </w:tr>
      <w:tr w14:paraId="3A922271">
        <w:tblPrEx>
          <w:tblCellMar>
            <w:top w:w="0" w:type="dxa"/>
            <w:left w:w="108" w:type="dxa"/>
            <w:bottom w:w="0" w:type="dxa"/>
            <w:right w:w="108" w:type="dxa"/>
          </w:tblCellMar>
        </w:tblPrEx>
        <w:trPr>
          <w:trHeight w:val="50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E63C">
            <w:pPr>
              <w:jc w:val="center"/>
              <w:textAlignment w:val="center"/>
              <w:rPr>
                <w:rFonts w:hint="eastAsia" w:ascii="Times New Roman" w:hAnsi="Times New Roman" w:eastAsia="宋体"/>
                <w:color w:val="auto"/>
                <w:sz w:val="24"/>
                <w:szCs w:val="24"/>
                <w:highlight w:val="none"/>
                <w:lang w:eastAsia="zh-CN" w:bidi="ar"/>
              </w:rPr>
            </w:pPr>
            <w:r>
              <w:rPr>
                <w:rFonts w:hint="eastAsia" w:ascii="Times New Roman" w:hAnsi="Times New Roman"/>
                <w:color w:val="auto"/>
                <w:sz w:val="24"/>
                <w:szCs w:val="24"/>
                <w:highlight w:val="none"/>
                <w:lang w:val="en-US" w:eastAsia="zh-CN" w:bidi="ar"/>
              </w:rPr>
              <w:t>7</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3AE6">
            <w:pPr>
              <w:jc w:val="center"/>
              <w:textAlignment w:val="center"/>
              <w:rPr>
                <w:rFonts w:ascii="Times New Roman" w:hAnsi="Times New Roman"/>
                <w:color w:val="auto"/>
                <w:sz w:val="24"/>
                <w:szCs w:val="24"/>
                <w:highlight w:val="none"/>
                <w:lang w:bidi="ar"/>
              </w:rPr>
            </w:pPr>
            <w:r>
              <w:rPr>
                <w:rFonts w:hint="eastAsia" w:ascii="Times New Roman" w:hAnsi="Times New Roman"/>
                <w:b/>
                <w:bCs/>
                <w:color w:val="auto"/>
                <w:sz w:val="24"/>
                <w:szCs w:val="24"/>
                <w:highlight w:val="none"/>
                <w:lang w:val="en-US" w:eastAsia="zh-CN" w:bidi="ar"/>
              </w:rPr>
              <w:t>安全生产费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1075">
            <w:pPr>
              <w:jc w:val="center"/>
              <w:textAlignment w:val="center"/>
              <w:rPr>
                <w:rFonts w:ascii="Times New Roman" w:hAnsi="Times New Roman"/>
                <w:color w:val="auto"/>
                <w:sz w:val="24"/>
                <w:szCs w:val="24"/>
                <w:highlight w:val="none"/>
                <w:lang w:bidi="ar"/>
              </w:rPr>
            </w:pPr>
            <w:r>
              <w:rPr>
                <w:rFonts w:ascii="Times New Roman" w:hAnsi="Times New Roman"/>
                <w:b/>
                <w:bCs/>
                <w:color w:val="auto"/>
                <w:sz w:val="24"/>
                <w:szCs w:val="24"/>
                <w:highlight w:val="none"/>
                <w:lang w:bidi="ar"/>
              </w:rPr>
              <w:t>项</w:t>
            </w:r>
          </w:p>
        </w:tc>
        <w:tc>
          <w:tcPr>
            <w:tcW w:w="1135" w:type="dxa"/>
            <w:tcBorders>
              <w:top w:val="single" w:color="000000" w:sz="4" w:space="0"/>
              <w:left w:val="single" w:color="000000" w:sz="4" w:space="0"/>
              <w:bottom w:val="single" w:color="000000" w:sz="4" w:space="0"/>
              <w:right w:val="single" w:color="auto" w:sz="4" w:space="0"/>
            </w:tcBorders>
            <w:shd w:val="clear" w:color="auto" w:fill="auto"/>
            <w:vAlign w:val="center"/>
          </w:tcPr>
          <w:p w14:paraId="0549796F">
            <w:pPr>
              <w:jc w:val="center"/>
              <w:textAlignment w:val="center"/>
              <w:rPr>
                <w:rFonts w:ascii="Times New Roman" w:hAnsi="Times New Roman"/>
                <w:color w:val="auto"/>
                <w:sz w:val="24"/>
                <w:szCs w:val="24"/>
                <w:highlight w:val="none"/>
                <w:lang w:bidi="ar"/>
              </w:rPr>
            </w:pPr>
            <w:r>
              <w:rPr>
                <w:rFonts w:hint="eastAsia" w:ascii="Times New Roman" w:hAnsi="Times New Roman"/>
                <w:b/>
                <w:bCs/>
                <w:color w:val="auto"/>
                <w:sz w:val="24"/>
                <w:szCs w:val="24"/>
                <w:highlight w:val="none"/>
                <w:lang w:bidi="ar"/>
              </w:rPr>
              <w:t>1</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3FA913CD">
            <w:pPr>
              <w:jc w:val="center"/>
              <w:textAlignment w:val="center"/>
              <w:rPr>
                <w:rFonts w:ascii="Times New Roman" w:hAnsi="Times New Roman"/>
                <w:color w:val="auto"/>
                <w:sz w:val="22"/>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51353088">
            <w:pPr>
              <w:textAlignment w:val="center"/>
              <w:rPr>
                <w:rFonts w:ascii="Times New Roman" w:hAnsi="Times New Roman"/>
                <w:color w:val="auto"/>
                <w:sz w:val="22"/>
                <w:highlight w:val="none"/>
                <w:lang w:bidi="ar"/>
              </w:rPr>
            </w:pPr>
          </w:p>
        </w:tc>
        <w:tc>
          <w:tcPr>
            <w:tcW w:w="1461" w:type="dxa"/>
            <w:tcBorders>
              <w:top w:val="single" w:color="auto" w:sz="4" w:space="0"/>
              <w:left w:val="single" w:color="auto" w:sz="4" w:space="0"/>
              <w:bottom w:val="single" w:color="auto" w:sz="4" w:space="0"/>
              <w:right w:val="single" w:color="auto" w:sz="4" w:space="0"/>
            </w:tcBorders>
            <w:vAlign w:val="center"/>
          </w:tcPr>
          <w:p w14:paraId="0443BBF6">
            <w:pPr>
              <w:textAlignment w:val="center"/>
              <w:rPr>
                <w:rFonts w:ascii="Times New Roman" w:hAnsi="Times New Roman"/>
                <w:color w:val="auto"/>
                <w:sz w:val="22"/>
                <w:highlight w:val="none"/>
                <w:lang w:bidi="ar"/>
              </w:rPr>
            </w:pPr>
            <w:r>
              <w:rPr>
                <w:rFonts w:hint="eastAsia" w:ascii="Times New Roman" w:hAnsi="Times New Roman"/>
                <w:b/>
                <w:bCs/>
                <w:color w:val="auto"/>
                <w:sz w:val="22"/>
                <w:highlight w:val="none"/>
                <w:lang w:val="en-US" w:eastAsia="zh-CN" w:bidi="ar"/>
              </w:rPr>
              <w:t>不低于曹台闸分项限价的2.5%</w:t>
            </w:r>
          </w:p>
        </w:tc>
      </w:tr>
      <w:tr w14:paraId="31338C05">
        <w:tblPrEx>
          <w:tblCellMar>
            <w:top w:w="0" w:type="dxa"/>
            <w:left w:w="108" w:type="dxa"/>
            <w:bottom w:w="0" w:type="dxa"/>
            <w:right w:w="108" w:type="dxa"/>
          </w:tblCellMar>
        </w:tblPrEx>
        <w:trPr>
          <w:trHeight w:val="715" w:hRule="atLeast"/>
          <w:jc w:val="center"/>
        </w:trPr>
        <w:tc>
          <w:tcPr>
            <w:tcW w:w="3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312E">
            <w:pPr>
              <w:jc w:val="center"/>
              <w:textAlignment w:val="center"/>
              <w:rPr>
                <w:rFonts w:ascii="Times New Roman" w:hAnsi="Times New Roman"/>
                <w:color w:val="auto"/>
                <w:sz w:val="22"/>
                <w:highlight w:val="none"/>
              </w:rPr>
            </w:pPr>
            <w:r>
              <w:rPr>
                <w:rFonts w:ascii="Times New Roman" w:hAnsi="Times New Roman"/>
                <w:color w:val="auto"/>
                <w:sz w:val="22"/>
                <w:highlight w:val="none"/>
                <w:lang w:bidi="ar"/>
              </w:rPr>
              <w:t>合计（</w:t>
            </w:r>
            <w:r>
              <w:rPr>
                <w:rFonts w:hint="eastAsia" w:ascii="Times New Roman" w:hAnsi="Times New Roman"/>
                <w:color w:val="auto"/>
                <w:sz w:val="22"/>
                <w:highlight w:val="none"/>
                <w:lang w:val="en-US" w:eastAsia="zh-CN" w:bidi="ar"/>
              </w:rPr>
              <w:t>元</w:t>
            </w:r>
            <w:r>
              <w:rPr>
                <w:rFonts w:ascii="Times New Roman" w:hAnsi="Times New Roman"/>
                <w:color w:val="auto"/>
                <w:sz w:val="22"/>
                <w:highlight w:val="none"/>
                <w:lang w:bidi="ar"/>
              </w:rPr>
              <w:t>）：</w:t>
            </w:r>
          </w:p>
        </w:tc>
        <w:tc>
          <w:tcPr>
            <w:tcW w:w="63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C8F3">
            <w:pPr>
              <w:jc w:val="center"/>
              <w:rPr>
                <w:rFonts w:ascii="Times New Roman" w:hAnsi="Times New Roman"/>
                <w:color w:val="auto"/>
                <w:sz w:val="22"/>
                <w:highlight w:val="none"/>
              </w:rPr>
            </w:pPr>
          </w:p>
        </w:tc>
      </w:tr>
      <w:tr w14:paraId="1E09A151">
        <w:tblPrEx>
          <w:tblCellMar>
            <w:top w:w="0" w:type="dxa"/>
            <w:left w:w="108" w:type="dxa"/>
            <w:bottom w:w="0" w:type="dxa"/>
            <w:right w:w="108" w:type="dxa"/>
          </w:tblCellMar>
        </w:tblPrEx>
        <w:trPr>
          <w:trHeight w:val="715" w:hRule="atLeast"/>
          <w:jc w:val="center"/>
        </w:trPr>
        <w:tc>
          <w:tcPr>
            <w:tcW w:w="968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8CE3">
            <w:pPr>
              <w:jc w:val="left"/>
              <w:rPr>
                <w:rFonts w:ascii="Times New Roman" w:hAnsi="Times New Roman"/>
                <w:color w:val="auto"/>
                <w:sz w:val="22"/>
                <w:highlight w:val="none"/>
              </w:rPr>
            </w:pPr>
            <w:r>
              <w:rPr>
                <w:rFonts w:hint="eastAsia" w:ascii="Times New Roman" w:hAnsi="Times New Roman"/>
                <w:b/>
                <w:bCs/>
                <w:color w:val="auto"/>
                <w:sz w:val="22"/>
                <w:highlight w:val="none"/>
                <w:lang w:val="en-US" w:eastAsia="zh-CN"/>
              </w:rPr>
              <w:t>注：</w:t>
            </w:r>
            <w:r>
              <w:rPr>
                <w:rFonts w:hint="eastAsia" w:ascii="Times New Roman" w:hAnsi="Times New Roman"/>
                <w:b/>
                <w:bCs/>
                <w:color w:val="auto"/>
                <w:sz w:val="22"/>
                <w:highlight w:val="none"/>
              </w:rPr>
              <w:t>完成本工程所需要的全部临时</w:t>
            </w:r>
            <w:r>
              <w:rPr>
                <w:rFonts w:hint="eastAsia" w:ascii="Times New Roman" w:hAnsi="Times New Roman"/>
                <w:b/>
                <w:bCs/>
                <w:color w:val="auto"/>
                <w:sz w:val="22"/>
                <w:highlight w:val="none"/>
                <w:lang w:val="en-US" w:eastAsia="zh-CN"/>
              </w:rPr>
              <w:t>工程包含在单价内</w:t>
            </w:r>
            <w:r>
              <w:rPr>
                <w:rFonts w:hint="eastAsia" w:ascii="Times New Roman" w:hAnsi="Times New Roman"/>
                <w:b/>
                <w:bCs/>
                <w:color w:val="auto"/>
                <w:sz w:val="22"/>
                <w:highlight w:val="none"/>
              </w:rPr>
              <w:t>，包括但不限于临时房屋、施工水电、施工期环水保等全部</w:t>
            </w:r>
            <w:r>
              <w:rPr>
                <w:rFonts w:hint="eastAsia" w:ascii="Times New Roman" w:hAnsi="Times New Roman"/>
                <w:b/>
                <w:bCs/>
                <w:color w:val="auto"/>
                <w:sz w:val="22"/>
                <w:highlight w:val="none"/>
                <w:lang w:val="en-US" w:eastAsia="zh-CN"/>
              </w:rPr>
              <w:t>实施</w:t>
            </w:r>
            <w:r>
              <w:rPr>
                <w:rFonts w:hint="eastAsia" w:ascii="Times New Roman" w:hAnsi="Times New Roman"/>
                <w:b/>
                <w:bCs/>
                <w:color w:val="auto"/>
                <w:sz w:val="22"/>
                <w:highlight w:val="none"/>
              </w:rPr>
              <w:t>内容</w:t>
            </w:r>
            <w:r>
              <w:rPr>
                <w:rFonts w:hint="eastAsia" w:ascii="Times New Roman" w:hAnsi="Times New Roman"/>
                <w:b/>
                <w:bCs/>
                <w:color w:val="auto"/>
                <w:sz w:val="22"/>
                <w:highlight w:val="none"/>
                <w:lang w:eastAsia="zh-CN"/>
              </w:rPr>
              <w:t>。</w:t>
            </w:r>
          </w:p>
        </w:tc>
      </w:tr>
    </w:tbl>
    <w:p w14:paraId="73CA8EB6">
      <w:pPr>
        <w:jc w:val="both"/>
        <w:textAlignment w:val="center"/>
        <w:rPr>
          <w:rFonts w:hint="eastAsia" w:ascii="Times New Roman" w:hAnsi="Times New Roman"/>
          <w:b/>
          <w:bCs/>
          <w:color w:val="auto"/>
          <w:sz w:val="32"/>
          <w:szCs w:val="40"/>
          <w:highlight w:val="none"/>
          <w:lang w:bidi="ar"/>
        </w:rPr>
      </w:pPr>
      <w:r>
        <w:rPr>
          <w:rFonts w:hint="eastAsia" w:ascii="Times New Roman" w:hAnsi="Times New Roman"/>
          <w:b/>
          <w:bCs/>
          <w:color w:val="auto"/>
          <w:sz w:val="32"/>
          <w:szCs w:val="40"/>
          <w:highlight w:val="none"/>
          <w:lang w:bidi="ar"/>
        </w:rPr>
        <w:br w:type="page"/>
      </w:r>
    </w:p>
    <w:tbl>
      <w:tblPr>
        <w:tblStyle w:val="56"/>
        <w:tblW w:w="9751" w:type="dxa"/>
        <w:jc w:val="center"/>
        <w:tblLayout w:type="fixed"/>
        <w:tblCellMar>
          <w:top w:w="0" w:type="dxa"/>
          <w:left w:w="108" w:type="dxa"/>
          <w:bottom w:w="0" w:type="dxa"/>
          <w:right w:w="108" w:type="dxa"/>
        </w:tblCellMar>
      </w:tblPr>
      <w:tblGrid>
        <w:gridCol w:w="995"/>
        <w:gridCol w:w="2003"/>
        <w:gridCol w:w="1045"/>
        <w:gridCol w:w="1266"/>
        <w:gridCol w:w="1067"/>
        <w:gridCol w:w="978"/>
        <w:gridCol w:w="2397"/>
      </w:tblGrid>
      <w:tr w14:paraId="3AB2B10D">
        <w:tblPrEx>
          <w:tblCellMar>
            <w:top w:w="0" w:type="dxa"/>
            <w:left w:w="108" w:type="dxa"/>
            <w:bottom w:w="0" w:type="dxa"/>
            <w:right w:w="108" w:type="dxa"/>
          </w:tblCellMar>
        </w:tblPrEx>
        <w:trPr>
          <w:trHeight w:val="721" w:hRule="atLeast"/>
          <w:jc w:val="center"/>
        </w:trPr>
        <w:tc>
          <w:tcPr>
            <w:tcW w:w="9751" w:type="dxa"/>
            <w:gridSpan w:val="7"/>
            <w:tcBorders>
              <w:top w:val="nil"/>
              <w:left w:val="nil"/>
              <w:bottom w:val="nil"/>
            </w:tcBorders>
            <w:shd w:val="clear" w:color="auto" w:fill="auto"/>
            <w:vAlign w:val="center"/>
          </w:tcPr>
          <w:p w14:paraId="2E37514C">
            <w:pPr>
              <w:jc w:val="center"/>
              <w:textAlignment w:val="center"/>
              <w:rPr>
                <w:rFonts w:ascii="Times New Roman" w:hAnsi="Times New Roman"/>
                <w:b/>
                <w:bCs/>
                <w:color w:val="auto"/>
                <w:sz w:val="32"/>
                <w:szCs w:val="40"/>
                <w:highlight w:val="none"/>
                <w:lang w:bidi="ar"/>
              </w:rPr>
            </w:pPr>
            <w:bookmarkStart w:id="62" w:name="OLE_LINK20"/>
            <w:bookmarkStart w:id="63" w:name="OLE_LINK19"/>
            <w:r>
              <w:rPr>
                <w:rFonts w:hint="eastAsia" w:ascii="Times New Roman" w:hAnsi="Times New Roman"/>
                <w:b/>
                <w:bCs/>
                <w:color w:val="auto"/>
                <w:sz w:val="32"/>
                <w:szCs w:val="40"/>
                <w:highlight w:val="none"/>
                <w:lang w:val="en-US" w:eastAsia="zh-CN" w:bidi="ar"/>
              </w:rPr>
              <w:t>省淮河局</w:t>
            </w:r>
            <w:r>
              <w:rPr>
                <w:rFonts w:ascii="Times New Roman" w:hAnsi="Times New Roman"/>
                <w:b/>
                <w:bCs/>
                <w:color w:val="auto"/>
                <w:sz w:val="32"/>
                <w:szCs w:val="40"/>
                <w:highlight w:val="none"/>
                <w:lang w:bidi="ar"/>
              </w:rPr>
              <w:t>水平位移观测设施安装工程</w:t>
            </w:r>
            <w:bookmarkEnd w:id="62"/>
            <w:bookmarkEnd w:id="63"/>
            <w:r>
              <w:rPr>
                <w:rFonts w:ascii="Times New Roman" w:hAnsi="Times New Roman"/>
                <w:b/>
                <w:bCs/>
                <w:color w:val="auto"/>
                <w:sz w:val="32"/>
                <w:szCs w:val="40"/>
                <w:highlight w:val="none"/>
                <w:lang w:bidi="ar"/>
              </w:rPr>
              <w:t>项目清单</w:t>
            </w:r>
          </w:p>
        </w:tc>
      </w:tr>
      <w:tr w14:paraId="12941598">
        <w:tblPrEx>
          <w:tblCellMar>
            <w:top w:w="0" w:type="dxa"/>
            <w:left w:w="108" w:type="dxa"/>
            <w:bottom w:w="0" w:type="dxa"/>
            <w:right w:w="108" w:type="dxa"/>
          </w:tblCellMar>
        </w:tblPrEx>
        <w:trPr>
          <w:trHeight w:val="1021"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D922">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序 号</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C01D">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项目名称</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759D">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单位</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3CE4">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工程量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0E81">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rPr>
              <w:t>单价（元）</w:t>
            </w:r>
          </w:p>
        </w:tc>
        <w:tc>
          <w:tcPr>
            <w:tcW w:w="978" w:type="dxa"/>
            <w:tcBorders>
              <w:top w:val="single" w:color="000000" w:sz="4" w:space="0"/>
              <w:left w:val="single" w:color="000000" w:sz="4" w:space="0"/>
              <w:right w:val="single" w:color="000000" w:sz="4" w:space="0"/>
            </w:tcBorders>
            <w:vAlign w:val="center"/>
          </w:tcPr>
          <w:p w14:paraId="5157889F">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总价（元）</w:t>
            </w:r>
          </w:p>
        </w:tc>
        <w:tc>
          <w:tcPr>
            <w:tcW w:w="2397" w:type="dxa"/>
            <w:tcBorders>
              <w:top w:val="single" w:color="000000" w:sz="4" w:space="0"/>
              <w:left w:val="single" w:color="000000" w:sz="4" w:space="0"/>
              <w:right w:val="single" w:color="000000" w:sz="4" w:space="0"/>
            </w:tcBorders>
            <w:vAlign w:val="center"/>
          </w:tcPr>
          <w:p w14:paraId="5D4F46A3">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备注</w:t>
            </w:r>
          </w:p>
        </w:tc>
      </w:tr>
      <w:tr w14:paraId="176F1DF3">
        <w:tblPrEx>
          <w:tblCellMar>
            <w:top w:w="0" w:type="dxa"/>
            <w:left w:w="108" w:type="dxa"/>
            <w:bottom w:w="0" w:type="dxa"/>
            <w:right w:w="108" w:type="dxa"/>
          </w:tblCellMar>
        </w:tblPrEx>
        <w:trPr>
          <w:trHeight w:val="59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07A2">
            <w:pPr>
              <w:jc w:val="center"/>
              <w:textAlignment w:val="center"/>
              <w:rPr>
                <w:rFonts w:hint="default" w:ascii="Times New Roman" w:hAnsi="Times New Roman"/>
                <w:b/>
                <w:bCs/>
                <w:color w:val="auto"/>
                <w:sz w:val="24"/>
                <w:szCs w:val="24"/>
                <w:highlight w:val="none"/>
                <w:lang w:val="en-US" w:eastAsia="zh-CN" w:bidi="ar"/>
              </w:rPr>
            </w:pPr>
            <w:r>
              <w:rPr>
                <w:rFonts w:hint="eastAsia" w:ascii="Times New Roman" w:hAnsi="Times New Roman"/>
                <w:b/>
                <w:bCs/>
                <w:color w:val="auto"/>
                <w:sz w:val="24"/>
                <w:szCs w:val="24"/>
                <w:highlight w:val="none"/>
                <w:lang w:eastAsia="zh-CN" w:bidi="ar"/>
              </w:rPr>
              <w:t>（</w:t>
            </w:r>
            <w:r>
              <w:rPr>
                <w:rFonts w:hint="eastAsia" w:ascii="Times New Roman" w:hAnsi="Times New Roman"/>
                <w:b/>
                <w:bCs/>
                <w:color w:val="auto"/>
                <w:sz w:val="24"/>
                <w:szCs w:val="24"/>
                <w:highlight w:val="none"/>
                <w:lang w:val="en-US" w:eastAsia="zh-CN" w:bidi="ar"/>
              </w:rPr>
              <w:t>一）</w:t>
            </w:r>
          </w:p>
        </w:tc>
        <w:tc>
          <w:tcPr>
            <w:tcW w:w="6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35B1A">
            <w:pPr>
              <w:jc w:val="both"/>
              <w:textAlignment w:val="center"/>
              <w:rPr>
                <w:rFonts w:ascii="Times New Roman" w:hAnsi="Times New Roman"/>
                <w:b/>
                <w:bCs/>
                <w:color w:val="auto"/>
                <w:sz w:val="24"/>
                <w:szCs w:val="24"/>
                <w:highlight w:val="none"/>
                <w:lang w:bidi="ar"/>
              </w:rPr>
            </w:pPr>
            <w:r>
              <w:rPr>
                <w:rFonts w:hint="eastAsia" w:ascii="Times New Roman" w:hAnsi="Times New Roman"/>
                <w:b/>
                <w:bCs/>
                <w:color w:val="auto"/>
                <w:sz w:val="24"/>
                <w:szCs w:val="24"/>
                <w:highlight w:val="none"/>
                <w:lang w:bidi="ar"/>
              </w:rPr>
              <w:t>东淝</w:t>
            </w:r>
            <w:r>
              <w:rPr>
                <w:rFonts w:ascii="Times New Roman" w:hAnsi="Times New Roman"/>
                <w:b/>
                <w:bCs/>
                <w:color w:val="auto"/>
                <w:sz w:val="24"/>
                <w:szCs w:val="24"/>
                <w:highlight w:val="none"/>
                <w:lang w:bidi="ar"/>
              </w:rPr>
              <w:t>闸水平位移观测设施安装工程</w:t>
            </w:r>
          </w:p>
        </w:tc>
        <w:tc>
          <w:tcPr>
            <w:tcW w:w="2397" w:type="dxa"/>
            <w:tcBorders>
              <w:top w:val="single" w:color="000000" w:sz="4" w:space="0"/>
              <w:left w:val="single" w:color="000000" w:sz="4" w:space="0"/>
              <w:right w:val="single" w:color="000000" w:sz="4" w:space="0"/>
            </w:tcBorders>
            <w:vAlign w:val="center"/>
          </w:tcPr>
          <w:p w14:paraId="244BA7DF">
            <w:pPr>
              <w:jc w:val="center"/>
              <w:textAlignment w:val="center"/>
              <w:rPr>
                <w:rFonts w:ascii="Times New Roman" w:hAnsi="Times New Roman"/>
                <w:color w:val="auto"/>
                <w:sz w:val="24"/>
                <w:szCs w:val="24"/>
                <w:highlight w:val="none"/>
                <w:lang w:bidi="ar"/>
              </w:rPr>
            </w:pPr>
          </w:p>
        </w:tc>
      </w:tr>
      <w:tr w14:paraId="573D521E">
        <w:tblPrEx>
          <w:tblCellMar>
            <w:top w:w="0" w:type="dxa"/>
            <w:left w:w="108" w:type="dxa"/>
            <w:bottom w:w="0" w:type="dxa"/>
            <w:right w:w="108" w:type="dxa"/>
          </w:tblCellMar>
        </w:tblPrEx>
        <w:trPr>
          <w:trHeight w:val="431"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53C6">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7631">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水平位移观测点埋设</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6EC1">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个</w:t>
            </w:r>
          </w:p>
        </w:tc>
        <w:tc>
          <w:tcPr>
            <w:tcW w:w="126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EDBB0F">
            <w:pPr>
              <w:jc w:val="center"/>
              <w:textAlignment w:val="center"/>
              <w:rPr>
                <w:rFonts w:hint="eastAsia"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lang w:bidi="ar"/>
              </w:rPr>
              <w:t>16</w:t>
            </w:r>
          </w:p>
        </w:tc>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7A82A">
            <w:pPr>
              <w:jc w:val="center"/>
              <w:rPr>
                <w:rFonts w:ascii="Times New Roman" w:hAnsi="Times New Roman"/>
                <w:color w:val="auto"/>
                <w:sz w:val="22"/>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2DD8213F">
            <w:pPr>
              <w:widowControl/>
              <w:jc w:val="center"/>
              <w:rPr>
                <w:rFonts w:ascii="Times New Roman" w:hAnsi="Times New Roman" w:eastAsia="等线" w:cs="Times New Roman"/>
                <w:color w:val="auto"/>
                <w:sz w:val="22"/>
                <w:highlight w:val="none"/>
              </w:rPr>
            </w:pPr>
          </w:p>
        </w:tc>
        <w:tc>
          <w:tcPr>
            <w:tcW w:w="2397" w:type="dxa"/>
            <w:tcBorders>
              <w:top w:val="single" w:color="000000" w:sz="4" w:space="0"/>
              <w:left w:val="single" w:color="auto" w:sz="4" w:space="0"/>
              <w:bottom w:val="single" w:color="000000" w:sz="4" w:space="0"/>
              <w:right w:val="single" w:color="000000" w:sz="4" w:space="0"/>
            </w:tcBorders>
            <w:vAlign w:val="center"/>
          </w:tcPr>
          <w:p w14:paraId="3B816924">
            <w:pPr>
              <w:rPr>
                <w:rFonts w:ascii="Times New Roman" w:hAnsi="Times New Roman"/>
                <w:color w:val="auto"/>
                <w:sz w:val="22"/>
                <w:highlight w:val="none"/>
              </w:rPr>
            </w:pPr>
          </w:p>
        </w:tc>
      </w:tr>
      <w:tr w14:paraId="300685FB">
        <w:tblPrEx>
          <w:tblCellMar>
            <w:top w:w="0" w:type="dxa"/>
            <w:left w:w="108" w:type="dxa"/>
            <w:bottom w:w="0" w:type="dxa"/>
            <w:right w:w="108" w:type="dxa"/>
          </w:tblCellMar>
        </w:tblPrEx>
        <w:trPr>
          <w:trHeight w:val="506"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0C0E">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702E">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工作基点埋设</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D4F">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个</w:t>
            </w:r>
          </w:p>
        </w:tc>
        <w:tc>
          <w:tcPr>
            <w:tcW w:w="12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3D7E8E5">
            <w:pPr>
              <w:jc w:val="center"/>
              <w:textAlignment w:val="center"/>
              <w:rPr>
                <w:rFonts w:hint="eastAsia"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lang w:bidi="ar"/>
              </w:rPr>
              <w:t>12</w:t>
            </w:r>
          </w:p>
        </w:tc>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2850A">
            <w:pPr>
              <w:jc w:val="center"/>
              <w:rPr>
                <w:rFonts w:ascii="Times New Roman" w:hAnsi="Times New Roman"/>
                <w:color w:val="auto"/>
                <w:sz w:val="22"/>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14678DAC">
            <w:pPr>
              <w:jc w:val="center"/>
              <w:rPr>
                <w:rFonts w:ascii="Times New Roman" w:hAnsi="Times New Roman" w:eastAsia="等线" w:cs="Times New Roman"/>
                <w:color w:val="auto"/>
                <w:sz w:val="22"/>
                <w:highlight w:val="none"/>
              </w:rPr>
            </w:pPr>
          </w:p>
        </w:tc>
        <w:tc>
          <w:tcPr>
            <w:tcW w:w="2397" w:type="dxa"/>
            <w:tcBorders>
              <w:top w:val="single" w:color="000000" w:sz="4" w:space="0"/>
              <w:left w:val="single" w:color="auto" w:sz="4" w:space="0"/>
              <w:bottom w:val="single" w:color="000000" w:sz="4" w:space="0"/>
              <w:right w:val="single" w:color="000000" w:sz="4" w:space="0"/>
            </w:tcBorders>
            <w:vAlign w:val="center"/>
          </w:tcPr>
          <w:p w14:paraId="2582120F">
            <w:pPr>
              <w:rPr>
                <w:rFonts w:ascii="Times New Roman" w:hAnsi="Times New Roman"/>
                <w:color w:val="auto"/>
                <w:sz w:val="22"/>
                <w:highlight w:val="none"/>
              </w:rPr>
            </w:pPr>
          </w:p>
        </w:tc>
      </w:tr>
      <w:tr w14:paraId="3BA95161">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DE2B">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AF86">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校核基点埋设</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DD3D">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个</w:t>
            </w:r>
          </w:p>
        </w:tc>
        <w:tc>
          <w:tcPr>
            <w:tcW w:w="1266" w:type="dxa"/>
            <w:tcBorders>
              <w:top w:val="single" w:color="000000" w:sz="4" w:space="0"/>
              <w:left w:val="single" w:color="000000" w:sz="4" w:space="0"/>
              <w:bottom w:val="single" w:color="000000" w:sz="4" w:space="0"/>
              <w:right w:val="single" w:color="auto" w:sz="4" w:space="0"/>
            </w:tcBorders>
            <w:shd w:val="clear" w:color="auto" w:fill="auto"/>
            <w:vAlign w:val="center"/>
          </w:tcPr>
          <w:p w14:paraId="7C494E15">
            <w:pPr>
              <w:jc w:val="center"/>
              <w:textAlignment w:val="center"/>
              <w:rPr>
                <w:rFonts w:hint="eastAsia"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lang w:bidi="ar"/>
              </w:rPr>
              <w:t>12</w:t>
            </w:r>
          </w:p>
        </w:tc>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ABE10">
            <w:pPr>
              <w:jc w:val="center"/>
              <w:rPr>
                <w:rFonts w:ascii="Times New Roman" w:hAnsi="Times New Roman"/>
                <w:color w:val="auto"/>
                <w:sz w:val="22"/>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32863B53">
            <w:pPr>
              <w:jc w:val="center"/>
              <w:rPr>
                <w:rFonts w:ascii="Times New Roman" w:hAnsi="Times New Roman" w:eastAsia="等线" w:cs="Times New Roman"/>
                <w:color w:val="auto"/>
                <w:sz w:val="22"/>
                <w:highlight w:val="none"/>
              </w:rPr>
            </w:pPr>
          </w:p>
        </w:tc>
        <w:tc>
          <w:tcPr>
            <w:tcW w:w="2397" w:type="dxa"/>
            <w:tcBorders>
              <w:top w:val="single" w:color="000000" w:sz="4" w:space="0"/>
              <w:left w:val="single" w:color="auto" w:sz="4" w:space="0"/>
              <w:bottom w:val="single" w:color="000000" w:sz="4" w:space="0"/>
              <w:right w:val="single" w:color="000000" w:sz="4" w:space="0"/>
            </w:tcBorders>
            <w:vAlign w:val="center"/>
          </w:tcPr>
          <w:p w14:paraId="3875FCB6">
            <w:pPr>
              <w:rPr>
                <w:rFonts w:ascii="Times New Roman" w:hAnsi="Times New Roman"/>
                <w:color w:val="auto"/>
                <w:sz w:val="22"/>
                <w:highlight w:val="none"/>
              </w:rPr>
            </w:pPr>
          </w:p>
        </w:tc>
      </w:tr>
      <w:tr w14:paraId="538A3101">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2355">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CC8D">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调试费用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7680">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项</w:t>
            </w:r>
          </w:p>
        </w:tc>
        <w:tc>
          <w:tcPr>
            <w:tcW w:w="12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7E035F0">
            <w:pPr>
              <w:jc w:val="center"/>
              <w:textAlignment w:val="center"/>
              <w:rPr>
                <w:rFonts w:hint="eastAsia"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lang w:bidi="ar"/>
              </w:rPr>
              <w:t>1</w:t>
            </w:r>
          </w:p>
        </w:tc>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CE844">
            <w:pPr>
              <w:jc w:val="center"/>
              <w:rPr>
                <w:rFonts w:ascii="Times New Roman" w:hAnsi="Times New Roman"/>
                <w:color w:val="auto"/>
                <w:sz w:val="22"/>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736B6C76">
            <w:pPr>
              <w:jc w:val="center"/>
              <w:rPr>
                <w:rFonts w:ascii="Times New Roman" w:hAnsi="Times New Roman" w:eastAsia="等线" w:cs="Times New Roman"/>
                <w:color w:val="auto"/>
                <w:sz w:val="22"/>
                <w:highlight w:val="none"/>
              </w:rPr>
            </w:pPr>
          </w:p>
        </w:tc>
        <w:tc>
          <w:tcPr>
            <w:tcW w:w="2397" w:type="dxa"/>
            <w:tcBorders>
              <w:top w:val="single" w:color="000000" w:sz="4" w:space="0"/>
              <w:left w:val="single" w:color="auto" w:sz="4" w:space="0"/>
              <w:bottom w:val="single" w:color="000000" w:sz="4" w:space="0"/>
              <w:right w:val="single" w:color="000000" w:sz="4" w:space="0"/>
            </w:tcBorders>
            <w:vAlign w:val="center"/>
          </w:tcPr>
          <w:p w14:paraId="4621E5A6">
            <w:pPr>
              <w:rPr>
                <w:rFonts w:ascii="Times New Roman" w:hAnsi="Times New Roman"/>
                <w:color w:val="auto"/>
                <w:sz w:val="22"/>
                <w:highlight w:val="none"/>
              </w:rPr>
            </w:pPr>
          </w:p>
        </w:tc>
      </w:tr>
      <w:tr w14:paraId="25EDF9A4">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4224">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F16B">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数据采集费用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F5C6">
            <w:pPr>
              <w:jc w:val="center"/>
              <w:textAlignment w:val="center"/>
              <w:rPr>
                <w:rFonts w:ascii="Times New Roman" w:hAnsi="Times New Roman"/>
                <w:color w:val="auto"/>
                <w:sz w:val="24"/>
                <w:szCs w:val="24"/>
                <w:highlight w:val="none"/>
              </w:rPr>
            </w:pPr>
            <w:r>
              <w:rPr>
                <w:rFonts w:ascii="Times New Roman" w:hAnsi="Times New Roman"/>
                <w:color w:val="auto"/>
                <w:sz w:val="24"/>
                <w:szCs w:val="24"/>
                <w:highlight w:val="none"/>
                <w:lang w:bidi="ar"/>
              </w:rPr>
              <w:t>次</w:t>
            </w:r>
          </w:p>
        </w:tc>
        <w:tc>
          <w:tcPr>
            <w:tcW w:w="1266" w:type="dxa"/>
            <w:tcBorders>
              <w:top w:val="single" w:color="000000" w:sz="4" w:space="0"/>
              <w:left w:val="single" w:color="000000" w:sz="4" w:space="0"/>
              <w:bottom w:val="single" w:color="000000" w:sz="4" w:space="0"/>
              <w:right w:val="single" w:color="auto" w:sz="4" w:space="0"/>
            </w:tcBorders>
            <w:shd w:val="clear" w:color="auto" w:fill="auto"/>
            <w:vAlign w:val="center"/>
          </w:tcPr>
          <w:p w14:paraId="2ACD2BD0">
            <w:pPr>
              <w:jc w:val="center"/>
              <w:textAlignment w:val="center"/>
              <w:rPr>
                <w:rFonts w:hint="eastAsia" w:ascii="Times New Roman" w:hAnsi="Times New Roman" w:eastAsia="宋体"/>
                <w:color w:val="auto"/>
                <w:sz w:val="24"/>
                <w:szCs w:val="24"/>
                <w:highlight w:val="none"/>
                <w:vertAlign w:val="subscript"/>
                <w:lang w:val="en-US" w:eastAsia="zh-CN"/>
              </w:rPr>
            </w:pPr>
            <w:r>
              <w:rPr>
                <w:rFonts w:hint="eastAsia" w:ascii="Times New Roman" w:hAnsi="Times New Roman"/>
                <w:color w:val="auto"/>
                <w:sz w:val="24"/>
                <w:szCs w:val="24"/>
                <w:highlight w:val="none"/>
                <w:lang w:val="en-US" w:eastAsia="zh-CN" w:bidi="ar"/>
              </w:rPr>
              <w:t>4</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76E3440B">
            <w:pPr>
              <w:jc w:val="center"/>
              <w:textAlignment w:val="center"/>
              <w:rPr>
                <w:rFonts w:ascii="Times New Roman" w:hAnsi="Times New Roman"/>
                <w:color w:val="auto"/>
                <w:sz w:val="22"/>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308D3902">
            <w:pPr>
              <w:jc w:val="center"/>
              <w:rPr>
                <w:rFonts w:ascii="Times New Roman" w:hAnsi="Times New Roman" w:eastAsia="等线" w:cs="Times New Roman"/>
                <w:color w:val="auto"/>
                <w:sz w:val="22"/>
                <w:highlight w:val="none"/>
              </w:rPr>
            </w:pPr>
          </w:p>
        </w:tc>
        <w:tc>
          <w:tcPr>
            <w:tcW w:w="2397" w:type="dxa"/>
            <w:tcBorders>
              <w:top w:val="single" w:color="000000" w:sz="4" w:space="0"/>
              <w:left w:val="single" w:color="auto" w:sz="4" w:space="0"/>
              <w:bottom w:val="single" w:color="000000" w:sz="4" w:space="0"/>
              <w:right w:val="single" w:color="000000" w:sz="4" w:space="0"/>
            </w:tcBorders>
            <w:vAlign w:val="center"/>
          </w:tcPr>
          <w:p w14:paraId="2C0F91CD">
            <w:pPr>
              <w:textAlignment w:val="center"/>
              <w:rPr>
                <w:rFonts w:ascii="Times New Roman" w:hAnsi="Times New Roman"/>
                <w:color w:val="auto"/>
                <w:sz w:val="22"/>
                <w:highlight w:val="none"/>
              </w:rPr>
            </w:pPr>
          </w:p>
        </w:tc>
      </w:tr>
      <w:tr w14:paraId="3EB71D9C">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97E1">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FC89">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val="en-US" w:eastAsia="zh-CN" w:bidi="ar"/>
              </w:rPr>
              <w:t>外观</w:t>
            </w:r>
            <w:r>
              <w:rPr>
                <w:rFonts w:hint="eastAsia" w:ascii="Times New Roman" w:hAnsi="Times New Roman"/>
                <w:color w:val="auto"/>
                <w:sz w:val="24"/>
                <w:szCs w:val="24"/>
                <w:highlight w:val="none"/>
                <w:lang w:bidi="ar"/>
              </w:rPr>
              <w:t>方案费用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F03D">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项</w:t>
            </w:r>
          </w:p>
        </w:tc>
        <w:tc>
          <w:tcPr>
            <w:tcW w:w="1266" w:type="dxa"/>
            <w:tcBorders>
              <w:top w:val="single" w:color="000000" w:sz="4" w:space="0"/>
              <w:left w:val="single" w:color="000000" w:sz="4" w:space="0"/>
              <w:bottom w:val="single" w:color="000000" w:sz="4" w:space="0"/>
              <w:right w:val="single" w:color="auto" w:sz="4" w:space="0"/>
            </w:tcBorders>
            <w:shd w:val="clear" w:color="auto" w:fill="auto"/>
            <w:vAlign w:val="center"/>
          </w:tcPr>
          <w:p w14:paraId="07D39CD5">
            <w:pPr>
              <w:jc w:val="center"/>
              <w:textAlignment w:val="center"/>
              <w:rPr>
                <w:rFonts w:hint="eastAsia" w:ascii="Times New Roman" w:hAnsi="Times New Roman" w:eastAsia="宋体"/>
                <w:color w:val="auto"/>
                <w:sz w:val="24"/>
                <w:szCs w:val="24"/>
                <w:highlight w:val="none"/>
                <w:lang w:val="en-US" w:eastAsia="zh-CN" w:bidi="ar"/>
              </w:rPr>
            </w:pPr>
            <w:r>
              <w:rPr>
                <w:rFonts w:hint="eastAsia" w:ascii="Times New Roman" w:hAnsi="Times New Roman"/>
                <w:color w:val="auto"/>
                <w:sz w:val="24"/>
                <w:szCs w:val="24"/>
                <w:highlight w:val="none"/>
                <w:lang w:bidi="ar"/>
              </w:rPr>
              <w:t>1</w:t>
            </w: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13BA16B7">
            <w:pPr>
              <w:jc w:val="center"/>
              <w:textAlignment w:val="center"/>
              <w:rPr>
                <w:rFonts w:ascii="Times New Roman" w:hAnsi="Times New Roman"/>
                <w:color w:val="auto"/>
                <w:sz w:val="22"/>
                <w:highlight w:val="none"/>
              </w:rPr>
            </w:pPr>
          </w:p>
        </w:tc>
        <w:tc>
          <w:tcPr>
            <w:tcW w:w="978" w:type="dxa"/>
            <w:tcBorders>
              <w:top w:val="single" w:color="auto" w:sz="4" w:space="0"/>
              <w:left w:val="single" w:color="auto" w:sz="4" w:space="0"/>
              <w:bottom w:val="single" w:color="auto" w:sz="4" w:space="0"/>
              <w:right w:val="single" w:color="auto" w:sz="4" w:space="0"/>
            </w:tcBorders>
            <w:vAlign w:val="center"/>
          </w:tcPr>
          <w:p w14:paraId="422ED876">
            <w:pPr>
              <w:jc w:val="center"/>
              <w:textAlignment w:val="center"/>
              <w:rPr>
                <w:rFonts w:ascii="Times New Roman" w:hAnsi="Times New Roman"/>
                <w:color w:val="auto"/>
                <w:sz w:val="22"/>
                <w:highlight w:val="none"/>
                <w:lang w:bidi="ar"/>
              </w:rPr>
            </w:pPr>
          </w:p>
        </w:tc>
        <w:tc>
          <w:tcPr>
            <w:tcW w:w="2397" w:type="dxa"/>
            <w:tcBorders>
              <w:top w:val="single" w:color="000000" w:sz="4" w:space="0"/>
              <w:left w:val="single" w:color="auto" w:sz="4" w:space="0"/>
              <w:bottom w:val="single" w:color="000000" w:sz="4" w:space="0"/>
              <w:right w:val="single" w:color="000000" w:sz="4" w:space="0"/>
            </w:tcBorders>
            <w:vAlign w:val="center"/>
          </w:tcPr>
          <w:p w14:paraId="0DEEFC03">
            <w:pPr>
              <w:textAlignment w:val="center"/>
              <w:rPr>
                <w:rFonts w:ascii="Times New Roman" w:hAnsi="Times New Roman"/>
                <w:color w:val="auto"/>
                <w:sz w:val="22"/>
                <w:highlight w:val="none"/>
                <w:lang w:bidi="ar"/>
              </w:rPr>
            </w:pPr>
          </w:p>
        </w:tc>
      </w:tr>
      <w:tr w14:paraId="0734746E">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616">
            <w:pPr>
              <w:jc w:val="center"/>
              <w:textAlignment w:val="center"/>
              <w:rPr>
                <w:rFonts w:hint="default" w:ascii="Times New Roman" w:hAnsi="Times New Roman" w:eastAsia="宋体"/>
                <w:color w:val="auto"/>
                <w:sz w:val="24"/>
                <w:szCs w:val="24"/>
                <w:highlight w:val="none"/>
                <w:lang w:val="en-US" w:eastAsia="zh-CN" w:bidi="ar"/>
              </w:rPr>
            </w:pPr>
            <w:r>
              <w:rPr>
                <w:rFonts w:hint="eastAsia" w:ascii="Times New Roman" w:hAnsi="Times New Roman"/>
                <w:color w:val="auto"/>
                <w:sz w:val="24"/>
                <w:szCs w:val="24"/>
                <w:highlight w:val="none"/>
                <w:lang w:eastAsia="zh-CN" w:bidi="ar"/>
              </w:rPr>
              <w:t>（</w:t>
            </w:r>
            <w:r>
              <w:rPr>
                <w:rFonts w:hint="eastAsia" w:ascii="Times New Roman" w:hAnsi="Times New Roman"/>
                <w:color w:val="auto"/>
                <w:sz w:val="24"/>
                <w:szCs w:val="24"/>
                <w:highlight w:val="none"/>
                <w:lang w:val="en-US" w:eastAsia="zh-CN" w:bidi="ar"/>
              </w:rPr>
              <w:t>二）</w:t>
            </w:r>
          </w:p>
        </w:tc>
        <w:tc>
          <w:tcPr>
            <w:tcW w:w="6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A8B10">
            <w:pPr>
              <w:jc w:val="both"/>
              <w:textAlignment w:val="center"/>
              <w:rPr>
                <w:rFonts w:ascii="Times New Roman" w:hAnsi="Times New Roman"/>
                <w:color w:val="auto"/>
                <w:sz w:val="22"/>
                <w:highlight w:val="none"/>
                <w:lang w:bidi="ar"/>
              </w:rPr>
            </w:pPr>
            <w:r>
              <w:rPr>
                <w:rFonts w:hint="eastAsia" w:ascii="Times New Roman" w:hAnsi="Times New Roman"/>
                <w:b/>
                <w:bCs/>
                <w:color w:val="auto"/>
                <w:sz w:val="24"/>
                <w:szCs w:val="24"/>
                <w:highlight w:val="none"/>
                <w:lang w:bidi="ar"/>
              </w:rPr>
              <w:t>颍上</w:t>
            </w:r>
            <w:r>
              <w:rPr>
                <w:rFonts w:ascii="Times New Roman" w:hAnsi="Times New Roman"/>
                <w:b/>
                <w:bCs/>
                <w:color w:val="auto"/>
                <w:sz w:val="24"/>
                <w:szCs w:val="24"/>
                <w:highlight w:val="none"/>
                <w:lang w:bidi="ar"/>
              </w:rPr>
              <w:t>闸水平位移观测设施安装工程</w:t>
            </w:r>
          </w:p>
        </w:tc>
        <w:tc>
          <w:tcPr>
            <w:tcW w:w="2397" w:type="dxa"/>
            <w:tcBorders>
              <w:top w:val="single" w:color="000000" w:sz="4" w:space="0"/>
              <w:left w:val="single" w:color="000000" w:sz="4" w:space="0"/>
              <w:bottom w:val="single" w:color="000000" w:sz="4" w:space="0"/>
              <w:right w:val="single" w:color="000000" w:sz="4" w:space="0"/>
            </w:tcBorders>
            <w:vAlign w:val="center"/>
          </w:tcPr>
          <w:p w14:paraId="32DDF18E">
            <w:pPr>
              <w:textAlignment w:val="center"/>
              <w:rPr>
                <w:rFonts w:ascii="Times New Roman" w:hAnsi="Times New Roman"/>
                <w:color w:val="auto"/>
                <w:sz w:val="22"/>
                <w:highlight w:val="none"/>
                <w:lang w:bidi="ar"/>
              </w:rPr>
            </w:pPr>
          </w:p>
        </w:tc>
      </w:tr>
      <w:tr w14:paraId="52E912BA">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854C">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2BBE">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水平位移观测点埋设</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DAFD">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个</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710D">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6041">
            <w:pPr>
              <w:jc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6638CB64">
            <w:pPr>
              <w:widowControl/>
              <w:jc w:val="center"/>
              <w:rPr>
                <w:rFonts w:ascii="Times New Roman" w:hAnsi="Times New Roman"/>
                <w:color w:val="auto"/>
                <w:sz w:val="22"/>
                <w:highlight w:val="none"/>
                <w:lang w:bidi="ar"/>
              </w:rPr>
            </w:pPr>
          </w:p>
        </w:tc>
        <w:tc>
          <w:tcPr>
            <w:tcW w:w="2397" w:type="dxa"/>
            <w:tcBorders>
              <w:top w:val="single" w:color="000000" w:sz="4" w:space="0"/>
              <w:left w:val="single" w:color="000000" w:sz="4" w:space="0"/>
              <w:bottom w:val="single" w:color="000000" w:sz="4" w:space="0"/>
              <w:right w:val="single" w:color="000000" w:sz="4" w:space="0"/>
            </w:tcBorders>
            <w:vAlign w:val="center"/>
          </w:tcPr>
          <w:p w14:paraId="21F39888">
            <w:pPr>
              <w:rPr>
                <w:rFonts w:ascii="Times New Roman" w:hAnsi="Times New Roman"/>
                <w:color w:val="auto"/>
                <w:sz w:val="22"/>
                <w:highlight w:val="none"/>
                <w:lang w:bidi="ar"/>
              </w:rPr>
            </w:pPr>
          </w:p>
        </w:tc>
      </w:tr>
      <w:tr w14:paraId="475B694F">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9F9">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6E75">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工作基点埋设</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5027">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个</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2F1C">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05FF">
            <w:pPr>
              <w:jc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5AFDE56C">
            <w:pPr>
              <w:jc w:val="center"/>
              <w:rPr>
                <w:rFonts w:ascii="Times New Roman" w:hAnsi="Times New Roman"/>
                <w:color w:val="auto"/>
                <w:sz w:val="22"/>
                <w:highlight w:val="none"/>
                <w:lang w:bidi="ar"/>
              </w:rPr>
            </w:pPr>
          </w:p>
        </w:tc>
        <w:tc>
          <w:tcPr>
            <w:tcW w:w="2397" w:type="dxa"/>
            <w:tcBorders>
              <w:top w:val="single" w:color="000000" w:sz="4" w:space="0"/>
              <w:left w:val="single" w:color="000000" w:sz="4" w:space="0"/>
              <w:bottom w:val="single" w:color="000000" w:sz="4" w:space="0"/>
              <w:right w:val="single" w:color="000000" w:sz="4" w:space="0"/>
            </w:tcBorders>
            <w:vAlign w:val="center"/>
          </w:tcPr>
          <w:p w14:paraId="46C434E3">
            <w:pPr>
              <w:rPr>
                <w:rFonts w:ascii="Times New Roman" w:hAnsi="Times New Roman"/>
                <w:color w:val="auto"/>
                <w:sz w:val="22"/>
                <w:highlight w:val="none"/>
                <w:lang w:bidi="ar"/>
              </w:rPr>
            </w:pPr>
          </w:p>
        </w:tc>
      </w:tr>
      <w:tr w14:paraId="4753B801">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C178">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BC17">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校核基点埋设</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ED1B">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个</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F590">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C6B1">
            <w:pPr>
              <w:jc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17585C77">
            <w:pPr>
              <w:jc w:val="center"/>
              <w:rPr>
                <w:rFonts w:ascii="Times New Roman" w:hAnsi="Times New Roman"/>
                <w:color w:val="auto"/>
                <w:sz w:val="22"/>
                <w:highlight w:val="none"/>
                <w:lang w:bidi="ar"/>
              </w:rPr>
            </w:pPr>
          </w:p>
        </w:tc>
        <w:tc>
          <w:tcPr>
            <w:tcW w:w="2397" w:type="dxa"/>
            <w:tcBorders>
              <w:top w:val="single" w:color="000000" w:sz="4" w:space="0"/>
              <w:left w:val="single" w:color="000000" w:sz="4" w:space="0"/>
              <w:bottom w:val="single" w:color="000000" w:sz="4" w:space="0"/>
              <w:right w:val="single" w:color="000000" w:sz="4" w:space="0"/>
            </w:tcBorders>
            <w:vAlign w:val="center"/>
          </w:tcPr>
          <w:p w14:paraId="02D59ABF">
            <w:pPr>
              <w:rPr>
                <w:rFonts w:ascii="Times New Roman" w:hAnsi="Times New Roman"/>
                <w:color w:val="auto"/>
                <w:sz w:val="22"/>
                <w:highlight w:val="none"/>
                <w:lang w:bidi="ar"/>
              </w:rPr>
            </w:pPr>
          </w:p>
        </w:tc>
      </w:tr>
      <w:tr w14:paraId="7CE45E71">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D4D8">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DCF4">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调试费用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DECA">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项</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EAA8">
            <w:pPr>
              <w:jc w:val="center"/>
              <w:textAlignment w:val="center"/>
              <w:rPr>
                <w:rFonts w:hint="eastAsia" w:ascii="Times New Roman" w:hAnsi="Times New Roman"/>
                <w:color w:val="auto"/>
                <w:sz w:val="24"/>
                <w:szCs w:val="24"/>
                <w:highlight w:val="none"/>
                <w:lang w:bidi="ar"/>
              </w:rPr>
            </w:pPr>
            <w:r>
              <w:rPr>
                <w:rFonts w:ascii="Times New Roman" w:hAnsi="Times New Roman"/>
                <w:color w:val="auto"/>
                <w:sz w:val="24"/>
                <w:szCs w:val="24"/>
                <w:highlight w:val="none"/>
                <w:lang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0A4">
            <w:pPr>
              <w:jc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4B464618">
            <w:pPr>
              <w:jc w:val="center"/>
              <w:rPr>
                <w:rFonts w:ascii="Times New Roman" w:hAnsi="Times New Roman"/>
                <w:color w:val="auto"/>
                <w:sz w:val="22"/>
                <w:highlight w:val="none"/>
                <w:lang w:bidi="ar"/>
              </w:rPr>
            </w:pPr>
          </w:p>
        </w:tc>
        <w:tc>
          <w:tcPr>
            <w:tcW w:w="2397" w:type="dxa"/>
            <w:tcBorders>
              <w:top w:val="single" w:color="000000" w:sz="4" w:space="0"/>
              <w:left w:val="single" w:color="000000" w:sz="4" w:space="0"/>
              <w:bottom w:val="single" w:color="000000" w:sz="4" w:space="0"/>
              <w:right w:val="single" w:color="000000" w:sz="4" w:space="0"/>
            </w:tcBorders>
            <w:vAlign w:val="center"/>
          </w:tcPr>
          <w:p w14:paraId="45C342E2">
            <w:pPr>
              <w:rPr>
                <w:rFonts w:ascii="Times New Roman" w:hAnsi="Times New Roman"/>
                <w:color w:val="auto"/>
                <w:sz w:val="22"/>
                <w:highlight w:val="none"/>
                <w:lang w:bidi="ar"/>
              </w:rPr>
            </w:pPr>
          </w:p>
        </w:tc>
      </w:tr>
      <w:tr w14:paraId="3F36EF58">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9F52">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3ECC">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数据采集费用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5DC7">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次</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9F44">
            <w:pPr>
              <w:jc w:val="center"/>
              <w:textAlignment w:val="center"/>
              <w:rPr>
                <w:rFonts w:hint="eastAsia" w:ascii="Times New Roman" w:hAnsi="Times New Roman" w:eastAsia="宋体"/>
                <w:color w:val="auto"/>
                <w:sz w:val="24"/>
                <w:szCs w:val="24"/>
                <w:highlight w:val="none"/>
                <w:lang w:eastAsia="zh-CN" w:bidi="ar"/>
              </w:rPr>
            </w:pPr>
            <w:r>
              <w:rPr>
                <w:rFonts w:hint="eastAsia" w:ascii="Times New Roman" w:hAnsi="Times New Roman"/>
                <w:color w:val="auto"/>
                <w:sz w:val="24"/>
                <w:szCs w:val="24"/>
                <w:highlight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63ED">
            <w:pPr>
              <w:jc w:val="center"/>
              <w:textAlignment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2936A904">
            <w:pPr>
              <w:jc w:val="center"/>
              <w:rPr>
                <w:rFonts w:ascii="Times New Roman" w:hAnsi="Times New Roman"/>
                <w:color w:val="auto"/>
                <w:sz w:val="22"/>
                <w:highlight w:val="none"/>
                <w:lang w:bidi="ar"/>
              </w:rPr>
            </w:pPr>
          </w:p>
        </w:tc>
        <w:tc>
          <w:tcPr>
            <w:tcW w:w="2397" w:type="dxa"/>
            <w:tcBorders>
              <w:top w:val="single" w:color="000000" w:sz="4" w:space="0"/>
              <w:left w:val="single" w:color="000000" w:sz="4" w:space="0"/>
              <w:bottom w:val="single" w:color="000000" w:sz="4" w:space="0"/>
              <w:right w:val="single" w:color="000000" w:sz="4" w:space="0"/>
            </w:tcBorders>
            <w:vAlign w:val="center"/>
          </w:tcPr>
          <w:p w14:paraId="478AB89B">
            <w:pPr>
              <w:textAlignment w:val="center"/>
              <w:rPr>
                <w:rFonts w:ascii="Times New Roman" w:hAnsi="Times New Roman"/>
                <w:color w:val="auto"/>
                <w:sz w:val="22"/>
                <w:highlight w:val="none"/>
                <w:lang w:bidi="ar"/>
              </w:rPr>
            </w:pPr>
          </w:p>
        </w:tc>
      </w:tr>
      <w:tr w14:paraId="62A44F33">
        <w:tblPrEx>
          <w:tblCellMar>
            <w:top w:w="0" w:type="dxa"/>
            <w:left w:w="108" w:type="dxa"/>
            <w:bottom w:w="0" w:type="dxa"/>
            <w:right w:w="108" w:type="dxa"/>
          </w:tblCellMar>
        </w:tblPrEx>
        <w:trPr>
          <w:trHeight w:val="474"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991E">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A7F0">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方案优化费用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F0D6">
            <w:pPr>
              <w:jc w:val="center"/>
              <w:textAlignment w:val="center"/>
              <w:rPr>
                <w:rFonts w:ascii="Times New Roman" w:hAnsi="Times New Roman"/>
                <w:color w:val="auto"/>
                <w:sz w:val="24"/>
                <w:szCs w:val="24"/>
                <w:highlight w:val="none"/>
                <w:lang w:bidi="ar"/>
              </w:rPr>
            </w:pPr>
            <w:r>
              <w:rPr>
                <w:rFonts w:ascii="Times New Roman" w:hAnsi="Times New Roman"/>
                <w:color w:val="auto"/>
                <w:sz w:val="24"/>
                <w:szCs w:val="24"/>
                <w:highlight w:val="none"/>
                <w:lang w:bidi="ar"/>
              </w:rPr>
              <w:t>项</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E499">
            <w:pPr>
              <w:jc w:val="center"/>
              <w:textAlignment w:val="center"/>
              <w:rPr>
                <w:rFonts w:ascii="Times New Roman" w:hAnsi="Times New Roman"/>
                <w:color w:val="auto"/>
                <w:sz w:val="24"/>
                <w:szCs w:val="24"/>
                <w:highlight w:val="none"/>
                <w:lang w:bidi="ar"/>
              </w:rPr>
            </w:pPr>
            <w:r>
              <w:rPr>
                <w:rFonts w:hint="eastAsia" w:ascii="Times New Roman" w:hAnsi="Times New Roman"/>
                <w:color w:val="auto"/>
                <w:sz w:val="24"/>
                <w:szCs w:val="24"/>
                <w:highlight w:val="none"/>
                <w:lang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640A">
            <w:pPr>
              <w:jc w:val="center"/>
              <w:textAlignment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4F09CB05">
            <w:pPr>
              <w:jc w:val="center"/>
              <w:rPr>
                <w:rFonts w:ascii="Times New Roman" w:hAnsi="Times New Roman"/>
                <w:color w:val="auto"/>
                <w:sz w:val="22"/>
                <w:highlight w:val="none"/>
                <w:lang w:bidi="ar"/>
              </w:rPr>
            </w:pPr>
          </w:p>
        </w:tc>
        <w:tc>
          <w:tcPr>
            <w:tcW w:w="2397" w:type="dxa"/>
            <w:tcBorders>
              <w:top w:val="single" w:color="000000" w:sz="4" w:space="0"/>
              <w:left w:val="single" w:color="000000" w:sz="4" w:space="0"/>
              <w:bottom w:val="single" w:color="000000" w:sz="4" w:space="0"/>
              <w:right w:val="single" w:color="000000" w:sz="4" w:space="0"/>
            </w:tcBorders>
            <w:vAlign w:val="center"/>
          </w:tcPr>
          <w:p w14:paraId="35EC6591">
            <w:pPr>
              <w:textAlignment w:val="center"/>
              <w:rPr>
                <w:rFonts w:ascii="Times New Roman" w:hAnsi="Times New Roman"/>
                <w:color w:val="auto"/>
                <w:sz w:val="22"/>
                <w:highlight w:val="none"/>
                <w:lang w:bidi="ar"/>
              </w:rPr>
            </w:pPr>
          </w:p>
        </w:tc>
      </w:tr>
      <w:tr w14:paraId="0378F5B0">
        <w:tblPrEx>
          <w:tblCellMar>
            <w:top w:w="0" w:type="dxa"/>
            <w:left w:w="108" w:type="dxa"/>
            <w:bottom w:w="0" w:type="dxa"/>
            <w:right w:w="108" w:type="dxa"/>
          </w:tblCellMar>
        </w:tblPrEx>
        <w:trPr>
          <w:trHeight w:val="667"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B09A">
            <w:pPr>
              <w:jc w:val="center"/>
              <w:rPr>
                <w:rFonts w:hint="default" w:ascii="Times New Roman" w:hAnsi="Times New Roman" w:eastAsia="宋体"/>
                <w:color w:val="auto"/>
                <w:sz w:val="22"/>
                <w:highlight w:val="none"/>
                <w:lang w:val="en-US" w:eastAsia="zh-CN"/>
              </w:rPr>
            </w:pPr>
            <w:r>
              <w:rPr>
                <w:rFonts w:hint="eastAsia" w:ascii="Times New Roman" w:hAnsi="Times New Roman"/>
                <w:color w:val="auto"/>
                <w:sz w:val="22"/>
                <w:highlight w:val="none"/>
                <w:lang w:eastAsia="zh-CN"/>
              </w:rPr>
              <w:t>（</w:t>
            </w:r>
            <w:r>
              <w:rPr>
                <w:rFonts w:hint="eastAsia" w:ascii="Times New Roman" w:hAnsi="Times New Roman"/>
                <w:color w:val="auto"/>
                <w:sz w:val="22"/>
                <w:highlight w:val="none"/>
                <w:lang w:val="en-US" w:eastAsia="zh-CN"/>
              </w:rPr>
              <w:t>三）</w:t>
            </w:r>
          </w:p>
        </w:tc>
        <w:tc>
          <w:tcPr>
            <w:tcW w:w="87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AB7A">
            <w:pPr>
              <w:jc w:val="both"/>
              <w:rPr>
                <w:rFonts w:hint="eastAsia" w:ascii="Times New Roman" w:hAnsi="Times New Roman"/>
                <w:b/>
                <w:bCs/>
                <w:color w:val="auto"/>
                <w:sz w:val="24"/>
                <w:szCs w:val="24"/>
                <w:highlight w:val="none"/>
                <w:lang w:bidi="ar"/>
              </w:rPr>
            </w:pPr>
            <w:r>
              <w:rPr>
                <w:rFonts w:hint="eastAsia" w:ascii="Times New Roman" w:hAnsi="Times New Roman"/>
                <w:b/>
                <w:bCs/>
                <w:color w:val="auto"/>
                <w:sz w:val="24"/>
                <w:szCs w:val="24"/>
                <w:highlight w:val="none"/>
                <w:lang w:bidi="ar"/>
              </w:rPr>
              <w:t>蚌埠</w:t>
            </w:r>
            <w:r>
              <w:rPr>
                <w:rFonts w:ascii="Times New Roman" w:hAnsi="Times New Roman"/>
                <w:b/>
                <w:bCs/>
                <w:color w:val="auto"/>
                <w:sz w:val="24"/>
                <w:szCs w:val="24"/>
                <w:highlight w:val="none"/>
                <w:lang w:bidi="ar"/>
              </w:rPr>
              <w:t>闸水平位移观测设施安装工程</w:t>
            </w:r>
          </w:p>
        </w:tc>
      </w:tr>
      <w:tr w14:paraId="6E98D7E2">
        <w:tblPrEx>
          <w:tblCellMar>
            <w:top w:w="0" w:type="dxa"/>
            <w:left w:w="108" w:type="dxa"/>
            <w:bottom w:w="0" w:type="dxa"/>
            <w:right w:w="108" w:type="dxa"/>
          </w:tblCellMar>
        </w:tblPrEx>
        <w:trPr>
          <w:trHeight w:val="667"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4A14">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1</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65E2">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水平位移观测点埋设</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DA88">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个</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4E72">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48</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6DF6">
            <w:pPr>
              <w:jc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FC34">
            <w:pPr>
              <w:widowControl/>
              <w:jc w:val="center"/>
              <w:rPr>
                <w:rFonts w:ascii="Times New Roman" w:hAnsi="Times New Roman"/>
                <w:color w:val="auto"/>
                <w:sz w:val="22"/>
                <w:highlight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7D4D">
            <w:pPr>
              <w:rPr>
                <w:rFonts w:ascii="Times New Roman" w:hAnsi="Times New Roman"/>
                <w:color w:val="auto"/>
                <w:sz w:val="22"/>
                <w:highlight w:val="none"/>
              </w:rPr>
            </w:pPr>
          </w:p>
        </w:tc>
      </w:tr>
      <w:tr w14:paraId="503A9AE7">
        <w:trPr>
          <w:trHeight w:val="667"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82FF">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2</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F72E">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工作基点埋设</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0EAE">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个</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0EA5">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A727">
            <w:pPr>
              <w:jc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A33D">
            <w:pPr>
              <w:jc w:val="center"/>
              <w:rPr>
                <w:rFonts w:ascii="Times New Roman" w:hAnsi="Times New Roman"/>
                <w:color w:val="auto"/>
                <w:sz w:val="22"/>
                <w:highlight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69F8">
            <w:pPr>
              <w:rPr>
                <w:rFonts w:ascii="Times New Roman" w:hAnsi="Times New Roman"/>
                <w:color w:val="auto"/>
                <w:sz w:val="22"/>
                <w:highlight w:val="none"/>
              </w:rPr>
            </w:pPr>
          </w:p>
        </w:tc>
      </w:tr>
      <w:tr w14:paraId="208C0B6F">
        <w:tblPrEx>
          <w:tblCellMar>
            <w:top w:w="0" w:type="dxa"/>
            <w:left w:w="108" w:type="dxa"/>
            <w:bottom w:w="0" w:type="dxa"/>
            <w:right w:w="108" w:type="dxa"/>
          </w:tblCellMar>
        </w:tblPrEx>
        <w:trPr>
          <w:trHeight w:val="667"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6A9F">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3</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B1B3">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校核基点埋设</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320D">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个</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BA21">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B060">
            <w:pPr>
              <w:jc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EE2C">
            <w:pPr>
              <w:jc w:val="center"/>
              <w:rPr>
                <w:rFonts w:ascii="Times New Roman" w:hAnsi="Times New Roman"/>
                <w:color w:val="auto"/>
                <w:sz w:val="22"/>
                <w:highlight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6964">
            <w:pPr>
              <w:rPr>
                <w:rFonts w:ascii="Times New Roman" w:hAnsi="Times New Roman"/>
                <w:color w:val="auto"/>
                <w:sz w:val="22"/>
                <w:highlight w:val="none"/>
              </w:rPr>
            </w:pPr>
          </w:p>
        </w:tc>
      </w:tr>
      <w:tr w14:paraId="1F12CD32">
        <w:tblPrEx>
          <w:tblCellMar>
            <w:top w:w="0" w:type="dxa"/>
            <w:left w:w="108" w:type="dxa"/>
            <w:bottom w:w="0" w:type="dxa"/>
            <w:right w:w="108" w:type="dxa"/>
          </w:tblCellMar>
        </w:tblPrEx>
        <w:trPr>
          <w:trHeight w:val="667"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54A0">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4</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CC69">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调试费用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A8F">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5C2D">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80AD">
            <w:pPr>
              <w:jc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0022">
            <w:pPr>
              <w:jc w:val="center"/>
              <w:rPr>
                <w:rFonts w:ascii="Times New Roman" w:hAnsi="Times New Roman"/>
                <w:color w:val="auto"/>
                <w:sz w:val="22"/>
                <w:highlight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EF0C">
            <w:pPr>
              <w:rPr>
                <w:rFonts w:ascii="Times New Roman" w:hAnsi="Times New Roman"/>
                <w:color w:val="auto"/>
                <w:sz w:val="22"/>
                <w:highlight w:val="none"/>
              </w:rPr>
            </w:pPr>
          </w:p>
        </w:tc>
      </w:tr>
      <w:tr w14:paraId="2DE6E8CD">
        <w:tblPrEx>
          <w:tblCellMar>
            <w:top w:w="0" w:type="dxa"/>
            <w:left w:w="108" w:type="dxa"/>
            <w:bottom w:w="0" w:type="dxa"/>
            <w:right w:w="108" w:type="dxa"/>
          </w:tblCellMar>
        </w:tblPrEx>
        <w:trPr>
          <w:trHeight w:val="667"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0E4F">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5</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B9E8">
            <w:pPr>
              <w:jc w:val="center"/>
              <w:textAlignment w:val="center"/>
              <w:rPr>
                <w:rFonts w:ascii="Times New Roman" w:hAnsi="Times New Roman"/>
                <w:color w:val="auto"/>
                <w:sz w:val="22"/>
                <w:highlight w:val="none"/>
                <w:lang w:bidi="ar"/>
              </w:rPr>
            </w:pPr>
            <w:r>
              <w:rPr>
                <w:rFonts w:ascii="Times New Roman" w:hAnsi="Times New Roman"/>
                <w:color w:val="auto"/>
                <w:sz w:val="24"/>
                <w:szCs w:val="24"/>
                <w:highlight w:val="none"/>
                <w:lang w:bidi="ar"/>
              </w:rPr>
              <w:t>数据采集费用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CB52">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A96C">
            <w:pPr>
              <w:jc w:val="center"/>
              <w:textAlignment w:val="center"/>
              <w:rPr>
                <w:rFonts w:hint="eastAsia" w:ascii="Times New Roman" w:hAnsi="Times New Roman" w:eastAsia="宋体"/>
                <w:color w:val="auto"/>
                <w:sz w:val="22"/>
                <w:highlight w:val="none"/>
                <w:lang w:eastAsia="zh-CN"/>
              </w:rPr>
            </w:pPr>
            <w:r>
              <w:rPr>
                <w:rFonts w:hint="eastAsia" w:ascii="Times New Roman" w:hAnsi="Times New Roman"/>
                <w:color w:val="auto"/>
                <w:sz w:val="24"/>
                <w:szCs w:val="24"/>
                <w:highlight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01C0">
            <w:pPr>
              <w:jc w:val="center"/>
              <w:textAlignment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63BD">
            <w:pPr>
              <w:jc w:val="center"/>
              <w:rPr>
                <w:rFonts w:ascii="Times New Roman" w:hAnsi="Times New Roman"/>
                <w:color w:val="auto"/>
                <w:sz w:val="22"/>
                <w:highlight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F1C4">
            <w:pPr>
              <w:textAlignment w:val="center"/>
              <w:rPr>
                <w:rFonts w:ascii="Times New Roman" w:hAnsi="Times New Roman"/>
                <w:color w:val="auto"/>
                <w:sz w:val="22"/>
                <w:highlight w:val="none"/>
              </w:rPr>
            </w:pPr>
          </w:p>
        </w:tc>
      </w:tr>
      <w:tr w14:paraId="0606C99E">
        <w:tblPrEx>
          <w:tblCellMar>
            <w:top w:w="0" w:type="dxa"/>
            <w:left w:w="108" w:type="dxa"/>
            <w:bottom w:w="0" w:type="dxa"/>
            <w:right w:w="108" w:type="dxa"/>
          </w:tblCellMar>
        </w:tblPrEx>
        <w:trPr>
          <w:trHeight w:val="667"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6806">
            <w:pPr>
              <w:jc w:val="center"/>
              <w:textAlignment w:val="center"/>
              <w:rPr>
                <w:rFonts w:ascii="Times New Roman" w:hAnsi="Times New Roman"/>
                <w:color w:val="auto"/>
                <w:sz w:val="22"/>
                <w:highlight w:val="none"/>
                <w:lang w:bidi="ar"/>
              </w:rPr>
            </w:pPr>
            <w:r>
              <w:rPr>
                <w:rFonts w:hint="eastAsia" w:ascii="Times New Roman" w:hAnsi="Times New Roman"/>
                <w:color w:val="auto"/>
                <w:sz w:val="24"/>
                <w:szCs w:val="24"/>
                <w:highlight w:val="none"/>
                <w:lang w:bidi="ar"/>
              </w:rPr>
              <w:t>6</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523E">
            <w:pPr>
              <w:jc w:val="center"/>
              <w:textAlignment w:val="center"/>
              <w:rPr>
                <w:rFonts w:ascii="Times New Roman" w:hAnsi="Times New Roman"/>
                <w:color w:val="auto"/>
                <w:sz w:val="22"/>
                <w:highlight w:val="none"/>
                <w:lang w:bidi="ar"/>
              </w:rPr>
            </w:pPr>
            <w:r>
              <w:rPr>
                <w:rFonts w:hint="eastAsia" w:ascii="Times New Roman" w:hAnsi="Times New Roman"/>
                <w:color w:val="auto"/>
                <w:sz w:val="24"/>
                <w:szCs w:val="24"/>
                <w:highlight w:val="none"/>
                <w:lang w:bidi="ar"/>
              </w:rPr>
              <w:t>方案优化费用</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D986">
            <w:pPr>
              <w:jc w:val="center"/>
              <w:textAlignment w:val="center"/>
              <w:rPr>
                <w:rFonts w:ascii="Times New Roman" w:hAnsi="Times New Roman"/>
                <w:color w:val="auto"/>
                <w:sz w:val="22"/>
                <w:highlight w:val="none"/>
              </w:rPr>
            </w:pPr>
            <w:r>
              <w:rPr>
                <w:rFonts w:ascii="Times New Roman" w:hAnsi="Times New Roman"/>
                <w:color w:val="auto"/>
                <w:sz w:val="24"/>
                <w:szCs w:val="24"/>
                <w:highlight w:val="none"/>
                <w:lang w:bidi="ar"/>
              </w:rPr>
              <w:t>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554C">
            <w:pPr>
              <w:jc w:val="center"/>
              <w:textAlignment w:val="center"/>
              <w:rPr>
                <w:rFonts w:ascii="Times New Roman" w:hAnsi="Times New Roman"/>
                <w:color w:val="auto"/>
                <w:sz w:val="22"/>
                <w:highlight w:val="none"/>
              </w:rPr>
            </w:pPr>
            <w:r>
              <w:rPr>
                <w:rFonts w:hint="eastAsia" w:ascii="Times New Roman" w:hAnsi="Times New Roman"/>
                <w:color w:val="auto"/>
                <w:sz w:val="24"/>
                <w:szCs w:val="24"/>
                <w:highlight w:val="none"/>
                <w:lang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A731">
            <w:pPr>
              <w:jc w:val="center"/>
              <w:textAlignment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CE07">
            <w:pPr>
              <w:jc w:val="center"/>
              <w:rPr>
                <w:rFonts w:ascii="Times New Roman" w:hAnsi="Times New Roman"/>
                <w:color w:val="auto"/>
                <w:sz w:val="22"/>
                <w:highlight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5D3A">
            <w:pPr>
              <w:textAlignment w:val="center"/>
              <w:rPr>
                <w:rFonts w:ascii="Times New Roman" w:hAnsi="Times New Roman"/>
                <w:color w:val="auto"/>
                <w:sz w:val="22"/>
                <w:highlight w:val="none"/>
              </w:rPr>
            </w:pPr>
          </w:p>
        </w:tc>
      </w:tr>
      <w:tr w14:paraId="6A4B53CD">
        <w:tblPrEx>
          <w:tblCellMar>
            <w:top w:w="0" w:type="dxa"/>
            <w:left w:w="108" w:type="dxa"/>
            <w:bottom w:w="0" w:type="dxa"/>
            <w:right w:w="108" w:type="dxa"/>
          </w:tblCellMar>
        </w:tblPrEx>
        <w:trPr>
          <w:trHeight w:val="667"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3E67">
            <w:pPr>
              <w:jc w:val="center"/>
              <w:textAlignment w:val="center"/>
              <w:rPr>
                <w:rFonts w:hint="eastAsia" w:ascii="Times New Roman" w:hAnsi="Times New Roman" w:eastAsia="宋体"/>
                <w:color w:val="auto"/>
                <w:sz w:val="24"/>
                <w:szCs w:val="24"/>
                <w:highlight w:val="none"/>
                <w:lang w:eastAsia="zh-CN" w:bidi="ar"/>
              </w:rPr>
            </w:pPr>
            <w:r>
              <w:rPr>
                <w:rFonts w:hint="eastAsia" w:ascii="Times New Roman" w:hAnsi="Times New Roman"/>
                <w:color w:val="auto"/>
                <w:sz w:val="24"/>
                <w:szCs w:val="24"/>
                <w:highlight w:val="none"/>
                <w:lang w:eastAsia="zh-CN" w:bidi="ar"/>
              </w:rPr>
              <w:t>（</w:t>
            </w:r>
            <w:r>
              <w:rPr>
                <w:rFonts w:hint="eastAsia" w:ascii="Times New Roman" w:hAnsi="Times New Roman"/>
                <w:color w:val="auto"/>
                <w:sz w:val="24"/>
                <w:szCs w:val="24"/>
                <w:highlight w:val="none"/>
                <w:lang w:val="en-US" w:eastAsia="zh-CN" w:bidi="ar"/>
              </w:rPr>
              <w:t>四</w:t>
            </w:r>
            <w:r>
              <w:rPr>
                <w:rFonts w:hint="eastAsia" w:ascii="Times New Roman" w:hAnsi="Times New Roman"/>
                <w:color w:val="auto"/>
                <w:sz w:val="24"/>
                <w:szCs w:val="24"/>
                <w:highlight w:val="none"/>
                <w:lang w:eastAsia="zh-CN" w:bidi="ar"/>
              </w:rPr>
              <w:t>）</w:t>
            </w:r>
          </w:p>
        </w:tc>
        <w:tc>
          <w:tcPr>
            <w:tcW w:w="87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F0AF">
            <w:pPr>
              <w:textAlignment w:val="center"/>
              <w:rPr>
                <w:rFonts w:hint="eastAsia" w:ascii="Times New Roman" w:hAnsi="Times New Roman"/>
                <w:b/>
                <w:bCs/>
                <w:color w:val="auto"/>
                <w:sz w:val="22"/>
                <w:highlight w:val="none"/>
                <w:lang w:val="en-US" w:eastAsia="zh-CN" w:bidi="ar"/>
              </w:rPr>
            </w:pPr>
            <w:r>
              <w:rPr>
                <w:rFonts w:hint="eastAsia" w:ascii="Times New Roman" w:hAnsi="Times New Roman"/>
                <w:b/>
                <w:bCs/>
                <w:color w:val="auto"/>
                <w:sz w:val="24"/>
                <w:szCs w:val="24"/>
                <w:highlight w:val="none"/>
                <w:lang w:val="en-US" w:eastAsia="zh-CN" w:bidi="ar"/>
              </w:rPr>
              <w:t>安全生产费</w:t>
            </w:r>
          </w:p>
        </w:tc>
      </w:tr>
      <w:tr w14:paraId="2D2E5604">
        <w:tblPrEx>
          <w:tblCellMar>
            <w:top w:w="0" w:type="dxa"/>
            <w:left w:w="108" w:type="dxa"/>
            <w:bottom w:w="0" w:type="dxa"/>
            <w:right w:w="108" w:type="dxa"/>
          </w:tblCellMar>
        </w:tblPrEx>
        <w:trPr>
          <w:trHeight w:val="667"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77C1">
            <w:pPr>
              <w:jc w:val="center"/>
              <w:textAlignment w:val="center"/>
              <w:rPr>
                <w:rFonts w:hint="eastAsia" w:ascii="Times New Roman" w:hAnsi="Times New Roman" w:eastAsia="宋体"/>
                <w:color w:val="auto"/>
                <w:sz w:val="22"/>
                <w:highlight w:val="none"/>
                <w:lang w:eastAsia="zh-CN" w:bidi="ar"/>
              </w:rPr>
            </w:pPr>
            <w:r>
              <w:rPr>
                <w:rFonts w:hint="eastAsia" w:ascii="Times New Roman" w:hAnsi="Times New Roman"/>
                <w:color w:val="auto"/>
                <w:sz w:val="24"/>
                <w:szCs w:val="24"/>
                <w:highlight w:val="none"/>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8801">
            <w:pPr>
              <w:jc w:val="center"/>
              <w:textAlignment w:val="center"/>
              <w:rPr>
                <w:rFonts w:ascii="Times New Roman" w:hAnsi="Times New Roman"/>
                <w:color w:val="auto"/>
                <w:sz w:val="22"/>
                <w:highlight w:val="none"/>
                <w:lang w:bidi="ar"/>
              </w:rPr>
            </w:pPr>
            <w:r>
              <w:rPr>
                <w:rFonts w:hint="eastAsia" w:ascii="Times New Roman" w:hAnsi="Times New Roman"/>
                <w:b/>
                <w:bCs/>
                <w:color w:val="auto"/>
                <w:sz w:val="24"/>
                <w:szCs w:val="24"/>
                <w:highlight w:val="none"/>
                <w:lang w:val="en-US" w:eastAsia="zh-CN" w:bidi="ar"/>
              </w:rPr>
              <w:t>安全生产费</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08B3">
            <w:pPr>
              <w:jc w:val="center"/>
              <w:textAlignment w:val="center"/>
              <w:rPr>
                <w:rFonts w:ascii="Times New Roman" w:hAnsi="Times New Roman"/>
                <w:color w:val="auto"/>
                <w:sz w:val="22"/>
                <w:highlight w:val="none"/>
              </w:rPr>
            </w:pPr>
            <w:r>
              <w:rPr>
                <w:rFonts w:ascii="Times New Roman" w:hAnsi="Times New Roman"/>
                <w:b/>
                <w:bCs/>
                <w:color w:val="auto"/>
                <w:sz w:val="24"/>
                <w:szCs w:val="24"/>
                <w:highlight w:val="none"/>
                <w:lang w:bidi="ar"/>
              </w:rPr>
              <w:t>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4DDE">
            <w:pPr>
              <w:jc w:val="center"/>
              <w:textAlignment w:val="center"/>
              <w:rPr>
                <w:rFonts w:ascii="Times New Roman" w:hAnsi="Times New Roman"/>
                <w:color w:val="auto"/>
                <w:sz w:val="22"/>
                <w:highlight w:val="none"/>
              </w:rPr>
            </w:pPr>
            <w:r>
              <w:rPr>
                <w:rFonts w:hint="eastAsia" w:ascii="Times New Roman" w:hAnsi="Times New Roman"/>
                <w:b/>
                <w:bCs/>
                <w:color w:val="auto"/>
                <w:sz w:val="24"/>
                <w:szCs w:val="24"/>
                <w:highlight w:val="none"/>
                <w:lang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A5E2">
            <w:pPr>
              <w:jc w:val="center"/>
              <w:textAlignment w:val="center"/>
              <w:rPr>
                <w:rFonts w:ascii="Times New Roman" w:hAnsi="Times New Roman"/>
                <w:color w:val="auto"/>
                <w:sz w:val="22"/>
                <w:highlight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4EB3">
            <w:pPr>
              <w:textAlignment w:val="center"/>
              <w:rPr>
                <w:rFonts w:ascii="Times New Roman" w:hAnsi="Times New Roman"/>
                <w:color w:val="auto"/>
                <w:sz w:val="22"/>
                <w:highlight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1652">
            <w:pPr>
              <w:textAlignment w:val="center"/>
              <w:rPr>
                <w:rFonts w:ascii="Times New Roman" w:hAnsi="Times New Roman"/>
                <w:color w:val="auto"/>
                <w:sz w:val="22"/>
                <w:highlight w:val="none"/>
              </w:rPr>
            </w:pPr>
            <w:r>
              <w:rPr>
                <w:rFonts w:hint="eastAsia" w:ascii="Times New Roman" w:hAnsi="Times New Roman"/>
                <w:b/>
                <w:bCs/>
                <w:color w:val="auto"/>
                <w:sz w:val="22"/>
                <w:highlight w:val="none"/>
                <w:lang w:val="en-US" w:eastAsia="zh-CN" w:bidi="ar"/>
              </w:rPr>
              <w:t>不低于省淮河局分项限价的2.5%</w:t>
            </w:r>
          </w:p>
        </w:tc>
      </w:tr>
      <w:tr w14:paraId="39D7D275">
        <w:tblPrEx>
          <w:tblCellMar>
            <w:top w:w="0" w:type="dxa"/>
            <w:left w:w="108" w:type="dxa"/>
            <w:bottom w:w="0" w:type="dxa"/>
            <w:right w:w="108" w:type="dxa"/>
          </w:tblCellMar>
        </w:tblPrEx>
        <w:trPr>
          <w:trHeight w:val="667" w:hRule="atLeast"/>
          <w:jc w:val="center"/>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84CC">
            <w:pPr>
              <w:jc w:val="center"/>
              <w:textAlignment w:val="center"/>
              <w:rPr>
                <w:rFonts w:hint="eastAsia" w:ascii="Times New Roman" w:hAnsi="Times New Roman"/>
                <w:b/>
                <w:bCs/>
                <w:color w:val="auto"/>
                <w:sz w:val="24"/>
                <w:szCs w:val="24"/>
                <w:highlight w:val="none"/>
                <w:lang w:val="en-US" w:eastAsia="zh-CN" w:bidi="ar"/>
              </w:rPr>
            </w:pPr>
            <w:r>
              <w:rPr>
                <w:rFonts w:ascii="Times New Roman" w:hAnsi="Times New Roman"/>
                <w:color w:val="auto"/>
                <w:sz w:val="22"/>
                <w:highlight w:val="none"/>
                <w:lang w:bidi="ar"/>
              </w:rPr>
              <w:t>合计（</w:t>
            </w:r>
            <w:r>
              <w:rPr>
                <w:rFonts w:hint="eastAsia" w:ascii="Times New Roman" w:hAnsi="Times New Roman"/>
                <w:color w:val="auto"/>
                <w:sz w:val="22"/>
                <w:highlight w:val="none"/>
                <w:lang w:val="en-US" w:eastAsia="zh-CN" w:bidi="ar"/>
              </w:rPr>
              <w:t>元</w:t>
            </w:r>
            <w:r>
              <w:rPr>
                <w:rFonts w:ascii="Times New Roman" w:hAnsi="Times New Roman"/>
                <w:color w:val="auto"/>
                <w:sz w:val="22"/>
                <w:highlight w:val="none"/>
                <w:lang w:bidi="ar"/>
              </w:rPr>
              <w:t>）：</w:t>
            </w:r>
          </w:p>
        </w:tc>
        <w:tc>
          <w:tcPr>
            <w:tcW w:w="67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EEFA">
            <w:pPr>
              <w:textAlignment w:val="center"/>
              <w:rPr>
                <w:rFonts w:hint="eastAsia" w:ascii="Times New Roman" w:hAnsi="Times New Roman"/>
                <w:b/>
                <w:bCs/>
                <w:color w:val="auto"/>
                <w:sz w:val="22"/>
                <w:highlight w:val="none"/>
                <w:lang w:val="en-US" w:eastAsia="zh-CN" w:bidi="ar"/>
              </w:rPr>
            </w:pPr>
          </w:p>
        </w:tc>
      </w:tr>
      <w:tr w14:paraId="3EE20DC3">
        <w:tblPrEx>
          <w:tblCellMar>
            <w:top w:w="0" w:type="dxa"/>
            <w:left w:w="108" w:type="dxa"/>
            <w:bottom w:w="0" w:type="dxa"/>
            <w:right w:w="108" w:type="dxa"/>
          </w:tblCellMar>
        </w:tblPrEx>
        <w:trPr>
          <w:trHeight w:val="667" w:hRule="atLeast"/>
          <w:jc w:val="center"/>
        </w:trPr>
        <w:tc>
          <w:tcPr>
            <w:tcW w:w="97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8A52">
            <w:pPr>
              <w:textAlignment w:val="center"/>
              <w:rPr>
                <w:rFonts w:hint="eastAsia" w:ascii="Times New Roman" w:hAnsi="Times New Roman"/>
                <w:b/>
                <w:bCs/>
                <w:color w:val="auto"/>
                <w:sz w:val="22"/>
                <w:highlight w:val="none"/>
                <w:lang w:val="en-US" w:eastAsia="zh-CN" w:bidi="ar"/>
              </w:rPr>
            </w:pPr>
            <w:r>
              <w:rPr>
                <w:rFonts w:hint="eastAsia" w:ascii="Times New Roman" w:hAnsi="Times New Roman"/>
                <w:b/>
                <w:bCs/>
                <w:color w:val="auto"/>
                <w:sz w:val="22"/>
                <w:highlight w:val="none"/>
                <w:lang w:val="en-US" w:eastAsia="zh-CN"/>
              </w:rPr>
              <w:t>注：</w:t>
            </w:r>
            <w:r>
              <w:rPr>
                <w:rFonts w:hint="eastAsia" w:ascii="Times New Roman" w:hAnsi="Times New Roman"/>
                <w:b/>
                <w:bCs/>
                <w:color w:val="auto"/>
                <w:sz w:val="22"/>
                <w:highlight w:val="none"/>
              </w:rPr>
              <w:t>完成本工程所需要的全部临时</w:t>
            </w:r>
            <w:r>
              <w:rPr>
                <w:rFonts w:hint="eastAsia" w:ascii="Times New Roman" w:hAnsi="Times New Roman"/>
                <w:b/>
                <w:bCs/>
                <w:color w:val="auto"/>
                <w:sz w:val="22"/>
                <w:highlight w:val="none"/>
                <w:lang w:val="en-US" w:eastAsia="zh-CN"/>
              </w:rPr>
              <w:t>工程包含在单价内</w:t>
            </w:r>
            <w:r>
              <w:rPr>
                <w:rFonts w:hint="eastAsia" w:ascii="Times New Roman" w:hAnsi="Times New Roman"/>
                <w:b/>
                <w:bCs/>
                <w:color w:val="auto"/>
                <w:sz w:val="22"/>
                <w:highlight w:val="none"/>
              </w:rPr>
              <w:t>，包括但不限于临时房屋、施工水电、施工期环水保等全部</w:t>
            </w:r>
            <w:r>
              <w:rPr>
                <w:rFonts w:hint="eastAsia" w:ascii="Times New Roman" w:hAnsi="Times New Roman"/>
                <w:b/>
                <w:bCs/>
                <w:color w:val="auto"/>
                <w:sz w:val="22"/>
                <w:highlight w:val="none"/>
                <w:lang w:val="en-US" w:eastAsia="zh-CN"/>
              </w:rPr>
              <w:t>实施</w:t>
            </w:r>
            <w:r>
              <w:rPr>
                <w:rFonts w:hint="eastAsia" w:ascii="Times New Roman" w:hAnsi="Times New Roman"/>
                <w:b/>
                <w:bCs/>
                <w:color w:val="auto"/>
                <w:sz w:val="22"/>
                <w:highlight w:val="none"/>
              </w:rPr>
              <w:t>内容</w:t>
            </w:r>
            <w:r>
              <w:rPr>
                <w:rFonts w:hint="eastAsia" w:ascii="Times New Roman" w:hAnsi="Times New Roman"/>
                <w:b/>
                <w:bCs/>
                <w:color w:val="auto"/>
                <w:sz w:val="22"/>
                <w:highlight w:val="none"/>
                <w:lang w:eastAsia="zh-CN"/>
              </w:rPr>
              <w:t>。</w:t>
            </w:r>
          </w:p>
        </w:tc>
      </w:tr>
    </w:tbl>
    <w:p w14:paraId="2A4A8783">
      <w:pPr>
        <w:jc w:val="both"/>
        <w:textAlignment w:val="center"/>
        <w:rPr>
          <w:rFonts w:hint="default" w:ascii="Times New Roman" w:hAnsi="Times New Roman" w:cs="Times New Roman"/>
          <w:b/>
          <w:bCs/>
          <w:sz w:val="24"/>
          <w:szCs w:val="24"/>
          <w:highlight w:val="none"/>
        </w:rPr>
      </w:pPr>
    </w:p>
    <w:p w14:paraId="7B1EB178">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DDE9CF0">
      <w:pPr>
        <w:keepNext/>
        <w:keepLines/>
        <w:widowControl w:val="0"/>
        <w:adjustRightInd w:val="0"/>
        <w:snapToGrid w:val="0"/>
        <w:spacing w:before="156" w:beforeLines="50" w:line="360" w:lineRule="auto"/>
        <w:jc w:val="both"/>
        <w:outlineLvl w:val="1"/>
        <w:rPr>
          <w:rFonts w:hint="default" w:ascii="Times New Roman" w:hAnsi="Times New Roman" w:eastAsia="黑体" w:cs="Times New Roman"/>
          <w:b w:val="0"/>
          <w:bCs/>
          <w:color w:val="auto"/>
          <w:kern w:val="44"/>
          <w:sz w:val="32"/>
          <w:szCs w:val="32"/>
          <w:highlight w:val="none"/>
          <w:lang w:val="en-US" w:eastAsia="zh-CN" w:bidi="ar-SA"/>
        </w:rPr>
      </w:pPr>
      <w:bookmarkStart w:id="64" w:name="_Toc25504"/>
      <w:r>
        <w:rPr>
          <w:rFonts w:hint="eastAsia" w:ascii="Times New Roman" w:hAnsi="Times New Roman" w:eastAsia="黑体" w:cs="Times New Roman"/>
          <w:b w:val="0"/>
          <w:bCs/>
          <w:color w:val="auto"/>
          <w:kern w:val="44"/>
          <w:sz w:val="32"/>
          <w:szCs w:val="32"/>
          <w:highlight w:val="none"/>
          <w:lang w:val="en-US" w:eastAsia="zh-CN" w:bidi="ar-SA"/>
        </w:rPr>
        <w:t>二、技术要求</w:t>
      </w:r>
    </w:p>
    <w:bookmarkEnd w:id="64"/>
    <w:p w14:paraId="0BFA82C9">
      <w:pPr>
        <w:keepNext/>
        <w:keepLines/>
        <w:widowControl w:val="0"/>
        <w:adjustRightInd w:val="0"/>
        <w:snapToGrid w:val="0"/>
        <w:spacing w:before="156" w:beforeLines="50" w:line="360" w:lineRule="auto"/>
        <w:jc w:val="both"/>
        <w:outlineLvl w:val="0"/>
        <w:rPr>
          <w:rFonts w:ascii="Times New Roman" w:hAnsi="Times New Roman" w:eastAsia="黑体" w:cs="Times New Roman"/>
          <w:b w:val="0"/>
          <w:bCs/>
          <w:kern w:val="44"/>
          <w:sz w:val="32"/>
          <w:szCs w:val="32"/>
          <w:highlight w:val="none"/>
          <w:lang w:val="en-US" w:eastAsia="zh-CN" w:bidi="ar-SA"/>
        </w:rPr>
      </w:pPr>
      <w:bookmarkStart w:id="65" w:name="_Toc436419200"/>
      <w:bookmarkStart w:id="66" w:name="_Toc142750052"/>
      <w:r>
        <w:rPr>
          <w:rFonts w:ascii="Times New Roman" w:hAnsi="Times New Roman" w:eastAsia="黑体" w:cs="Times New Roman"/>
          <w:b w:val="0"/>
          <w:bCs/>
          <w:kern w:val="44"/>
          <w:sz w:val="32"/>
          <w:szCs w:val="32"/>
          <w:highlight w:val="none"/>
          <w:lang w:val="en-US" w:eastAsia="zh-CN" w:bidi="ar-SA"/>
        </w:rPr>
        <w:t xml:space="preserve">1 </w:t>
      </w:r>
      <w:bookmarkEnd w:id="65"/>
      <w:bookmarkEnd w:id="66"/>
      <w:r>
        <w:rPr>
          <w:rFonts w:hint="eastAsia" w:ascii="Times New Roman" w:hAnsi="Times New Roman" w:eastAsia="黑体" w:cs="Times New Roman"/>
          <w:b w:val="0"/>
          <w:bCs/>
          <w:kern w:val="44"/>
          <w:sz w:val="32"/>
          <w:szCs w:val="32"/>
          <w:highlight w:val="none"/>
          <w:lang w:val="en-US" w:eastAsia="zh-CN" w:bidi="ar-SA"/>
        </w:rPr>
        <w:t>工程概况</w:t>
      </w:r>
    </w:p>
    <w:p w14:paraId="028197E1">
      <w:pPr>
        <w:keepNext/>
        <w:keepLines/>
        <w:outlineLvl w:val="1"/>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1.1 </w:t>
      </w:r>
      <w:r>
        <w:rPr>
          <w:rFonts w:hint="eastAsia" w:ascii="Times New Roman" w:hAnsi="Times New Roman" w:eastAsia="仿宋" w:cs="Times New Roman"/>
          <w:b/>
          <w:bCs/>
          <w:kern w:val="2"/>
          <w:sz w:val="28"/>
          <w:szCs w:val="32"/>
          <w:highlight w:val="none"/>
        </w:rPr>
        <w:t>城东湖闸</w:t>
      </w:r>
    </w:p>
    <w:p w14:paraId="43BC8149">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城东湖闸共10孔，分扩建新闸及原有老闸。扩建新闸为5孔，其中中孔为通航孔，两侧墩墙厚1.2m，底板厚1.4m，净宽12m，底板高程15.0m（85高程，以下高程均为85高程），墩顶高程29.2</w:t>
      </w:r>
      <w:r>
        <w:rPr>
          <w:rFonts w:ascii="Times New Roman" w:hAnsi="Times New Roman" w:eastAsia="宋体" w:cs="Times New Roman"/>
          <w:kern w:val="2"/>
          <w:sz w:val="24"/>
          <w:szCs w:val="20"/>
          <w:highlight w:val="none"/>
        </w:rPr>
        <w:t>0</w:t>
      </w:r>
      <w:r>
        <w:rPr>
          <w:rFonts w:hint="eastAsia" w:ascii="Times New Roman" w:hAnsi="Times New Roman" w:eastAsia="宋体" w:cs="Times New Roman"/>
          <w:kern w:val="2"/>
          <w:sz w:val="24"/>
          <w:szCs w:val="20"/>
          <w:highlight w:val="none"/>
        </w:rPr>
        <w:t>m，开敞式闸门，采用双扉门结构；两侧非通航孔各2孔，2边孔为一联结构，单孔净宽8.0m，中墩厚1.4m，边墩厚1.0m，底板厚1.2m，底板高程17.04m，闸墩顶及桥面高程与通航孔一致。非通航孔设胸墙，孔口尺寸为8</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0m</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6.0m（宽</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高），在距闸门2.05m处设检修门槽，门槽底高程17.04m，顶高程29.2m，门槽宽0.3m，深0.3m；岸墙为空箱结构，闸室总净宽44.0m。老闸共5孔，单孔净宽8.0m，底板顶高程17</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04m。各孔均设有胸墙，孔口尺寸为8</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0m</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6.0m（宽</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高）；岸墙为扶垛式结构，闸室总净宽40m。新、老闸之间设分流岛，宽28m。通航孔设上下闸首，闸室长60m，宽12</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0m，底板顶高程15</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0m。闸门止水采用橡胶止水。</w:t>
      </w:r>
    </w:p>
    <w:p w14:paraId="517785B1">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非通航孔工作闸门共9扇，均为潜孔式平面定轮钢闸门，闸门尺寸8</w:t>
      </w:r>
      <w:r>
        <w:rPr>
          <w:rFonts w:ascii="Times New Roman" w:hAnsi="Times New Roman" w:eastAsia="宋体" w:cs="Times New Roman"/>
          <w:kern w:val="2"/>
          <w:sz w:val="24"/>
          <w:szCs w:val="20"/>
          <w:highlight w:val="none"/>
        </w:rPr>
        <w:t>.3</w:t>
      </w:r>
      <w:r>
        <w:rPr>
          <w:rFonts w:hint="eastAsia" w:ascii="Times New Roman" w:hAnsi="Times New Roman" w:eastAsia="宋体" w:cs="Times New Roman"/>
          <w:kern w:val="2"/>
          <w:sz w:val="24"/>
          <w:szCs w:val="20"/>
          <w:highlight w:val="none"/>
        </w:rPr>
        <w:t>6m</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6.2m（宽</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高），重26.3t，启闭机型号为2</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400kN</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13m固定式卷扬启闭机，检修门尺寸为8.44m</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0.81m（长</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宽），厚0.47m。通航孔分上下闸首，上闸首采用直升式双扉平面定轮钢闸门，上扉门尺寸12</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62m</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6.46m（宽</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高），重34.1t，启闭机型号为2</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400kN-10m固定式卷扬启闭机；下扉门尺寸12.638m</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6</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685m（宽</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高），重48.7t，启闭机型号为2</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800kN</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15m固定式卷扬启闭机；下闸首采用露顶式平面定轮钢闸门，闸门尺寸12</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638m</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8.78m，重52.2t，启闭机型号为2</w:t>
      </w:r>
      <w:r>
        <w:rPr>
          <w:rFonts w:hint="eastAsia" w:ascii="宋体" w:hAnsi="宋体" w:eastAsia="宋体" w:cs="Times New Roman"/>
          <w:kern w:val="2"/>
          <w:sz w:val="24"/>
          <w:szCs w:val="20"/>
          <w:highlight w:val="none"/>
        </w:rPr>
        <w:t>×</w:t>
      </w:r>
      <w:r>
        <w:rPr>
          <w:rFonts w:hint="eastAsia" w:ascii="Times New Roman" w:hAnsi="Times New Roman" w:eastAsia="宋体" w:cs="Times New Roman"/>
          <w:kern w:val="2"/>
          <w:sz w:val="24"/>
          <w:szCs w:val="20"/>
          <w:highlight w:val="none"/>
        </w:rPr>
        <w:t>630kN-14m固定式卷扬启闭机。新、老闸非通航孔每台卷扬启闭机配1台26kW电动机，通航孔上扉门卷扬启闭机配2台13kW电动机，下扉门卷扬启闭机配2台22kW电动机，下闸首卷扬启闭机配2台18</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5kW电动机。</w:t>
      </w:r>
    </w:p>
    <w:p w14:paraId="54781E98">
      <w:pPr>
        <w:keepNext/>
        <w:keepLines/>
        <w:outlineLvl w:val="1"/>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1.2 </w:t>
      </w:r>
      <w:r>
        <w:rPr>
          <w:rFonts w:hint="eastAsia" w:ascii="Times New Roman" w:hAnsi="Times New Roman" w:eastAsia="仿宋" w:cs="Times New Roman"/>
          <w:b/>
          <w:bCs/>
          <w:kern w:val="2"/>
          <w:sz w:val="28"/>
          <w:szCs w:val="32"/>
          <w:highlight w:val="none"/>
        </w:rPr>
        <w:t>东淝闸</w:t>
      </w:r>
    </w:p>
    <w:p w14:paraId="1C804135">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东淝闸位于淮南市寿县境内的瓦埠湖出口段东淝河上，距入淮口2.5km，是瓦埠湖蓄洪区控制工程。东淝闸为Ⅱ等大（2）型工程，有老闸（五孔）和新闸（五孔）共十孔组成，老闸建成于1952年7月，2004年4月~2007年4月进行除险加固，并在老闸的顺水流方向左侧横隔</w:t>
      </w:r>
      <w:r>
        <w:rPr>
          <w:rFonts w:hint="eastAsia" w:ascii="Times New Roman" w:hAnsi="Times New Roman" w:cs="Times New Roman"/>
          <w:kern w:val="2"/>
          <w:sz w:val="24"/>
          <w:szCs w:val="20"/>
          <w:highlight w:val="none"/>
          <w:lang w:eastAsia="zh-CN"/>
        </w:rPr>
        <w:t>堤上</w:t>
      </w:r>
      <w:r>
        <w:rPr>
          <w:rFonts w:hint="eastAsia" w:ascii="Times New Roman" w:hAnsi="Times New Roman" w:eastAsia="宋体" w:cs="Times New Roman"/>
          <w:kern w:val="2"/>
          <w:sz w:val="24"/>
          <w:szCs w:val="20"/>
          <w:highlight w:val="none"/>
        </w:rPr>
        <w:t>扩建了新闸（五孔），以增加东淝闸的过流能力。</w:t>
      </w:r>
    </w:p>
    <w:p w14:paraId="1029CE85">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东淝闸新、老闸均为胸墙式钢筋混凝土结构、门型采用潜孔式平面定轮钢闸门，双面止水。老闸五孔，单孔净宽7.5m，闸门尺寸（宽*高）8.14m*6.33m，闸底板顶高程14.0m（废黄高程，下同），胸墙底高程20.0m，2*250kN手电两用卷扬式启闭机。新闸五孔，单孔净宽5.0m，闸门尺寸（宽*高）5.64m*6.2m，闸底板顶高程15.0m，胸墙底高程21.0m，320kN手电两用卷扬式启闭机。新老闸上下游两侧均布置了消能防冲设施。</w:t>
      </w:r>
    </w:p>
    <w:p w14:paraId="64D7C967">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东淝闸大水年份分洪，可削减淮河洪峰500-1500m</w:t>
      </w:r>
      <w:r>
        <w:rPr>
          <w:rFonts w:hint="eastAsia" w:ascii="Times New Roman" w:hAnsi="Times New Roman" w:eastAsia="宋体" w:cs="Times New Roman"/>
          <w:kern w:val="2"/>
          <w:sz w:val="24"/>
          <w:szCs w:val="20"/>
          <w:highlight w:val="none"/>
          <w:vertAlign w:val="superscript"/>
        </w:rPr>
        <w:t>3</w:t>
      </w:r>
      <w:r>
        <w:rPr>
          <w:rFonts w:hint="eastAsia" w:ascii="Times New Roman" w:hAnsi="Times New Roman" w:eastAsia="宋体" w:cs="Times New Roman"/>
          <w:kern w:val="2"/>
          <w:sz w:val="24"/>
          <w:szCs w:val="20"/>
          <w:highlight w:val="none"/>
        </w:rPr>
        <w:t>/s，平常年份防止淮水倒灌，关闸挡洪，保障瓦埠湖周边地区免受洪灾，干旱年份关闸蓄水抗旱，灌溉面积40余万亩，并为淮南、长丰、寿县40余万居民提供工业和生活用水，是淮河中游重要水利工程之一。</w:t>
      </w:r>
    </w:p>
    <w:p w14:paraId="6A9D8BFF">
      <w:pPr>
        <w:keepNext/>
        <w:keepLines/>
        <w:outlineLvl w:val="1"/>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1.3 </w:t>
      </w:r>
      <w:r>
        <w:rPr>
          <w:rFonts w:hint="eastAsia" w:ascii="Times New Roman" w:hAnsi="Times New Roman" w:eastAsia="仿宋" w:cs="Times New Roman"/>
          <w:b/>
          <w:bCs/>
          <w:kern w:val="2"/>
          <w:sz w:val="28"/>
          <w:szCs w:val="32"/>
          <w:highlight w:val="none"/>
        </w:rPr>
        <w:t>曹台闸</w:t>
      </w:r>
    </w:p>
    <w:p w14:paraId="6B8A76AD">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曹台闸位于淮河干流左岸，蒙洼蓄洪区的最下游，地处阜南县郜台乡曹台村境内。与蒙洼圈堤、曹台闸及老观、上堵口、姑嫂庙、曹台等排涝站共同组成蒙洼蓄洪区控制工程。曹台闸始建于1972底，1976年3月竣工，2004年1月至2005年5月进行除险加固。该闸共28孔，配有手电两用卷扬式启闭机QPQ-1</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250kN 28台，平板钢制闸门，门顶高程29.00m（高程系为废黄河高程，下同），每孔净宽5.00m，其中13#、14＃为深孔，深孔底板高程为19.00m，浅孔底板高程为20.00m，公路桥高程30.85m。设计泄洪流量2000m³/s，校核泄洪流量2800 m³/s，属Ⅱ等大（2）型水闸。主要建筑物为2级，次级建筑物为3级。设计泄洪水位蒙洼侧28.42m，淮河侧28.27m；校核泄洪水位蒙洼侧28.42m，淮河侧 28.15m；设计防洪水位淮河侧28.40m，蒙洼侧20.00m。设计最大反向排水位差0.80m，即蒙洼侧28.50m，淮河侧27.70m。</w:t>
      </w:r>
    </w:p>
    <w:p w14:paraId="189AFF82">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曹台闸主要功能为蒙洼蓄洪区未蓄洪时排涝和防洪，蓄洪区蓄洪后作为洪水退水通道。直接保护着蒙洼蓄洪区内19.8万亩土地和19.5万人的生命财产及安全。自建成以来，蒙洼蓄洪区先后七个年份（1975年、1982年、1983年、1991年、2003年、2007年、2020年）蓄洪，多次开闸泄洪，排涝数百次，为淮河防汛及蒙洼蓄洪区人民减灾增收发挥了重大作用。</w:t>
      </w:r>
    </w:p>
    <w:p w14:paraId="71430AA5">
      <w:pPr>
        <w:keepNext/>
        <w:keepLines/>
        <w:outlineLvl w:val="1"/>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1.4 </w:t>
      </w:r>
      <w:r>
        <w:rPr>
          <w:rFonts w:hint="eastAsia" w:ascii="Times New Roman" w:hAnsi="Times New Roman" w:eastAsia="仿宋" w:cs="Times New Roman"/>
          <w:b/>
          <w:bCs/>
          <w:kern w:val="2"/>
          <w:sz w:val="28"/>
          <w:szCs w:val="32"/>
          <w:highlight w:val="none"/>
        </w:rPr>
        <w:t>颍上闸</w:t>
      </w:r>
    </w:p>
    <w:p w14:paraId="3C4C0913">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颍上闸距颍河入淮口38.5千米，控制流域面积5360km</w:t>
      </w:r>
      <w:r>
        <w:rPr>
          <w:rFonts w:ascii="Times New Roman" w:hAnsi="Times New Roman" w:eastAsia="宋体" w:cs="Times New Roman"/>
          <w:kern w:val="2"/>
          <w:sz w:val="24"/>
          <w:szCs w:val="20"/>
          <w:highlight w:val="none"/>
          <w:vertAlign w:val="superscript"/>
        </w:rPr>
        <w:t>2</w:t>
      </w:r>
      <w:r>
        <w:rPr>
          <w:rFonts w:hint="eastAsia" w:ascii="Times New Roman" w:hAnsi="Times New Roman" w:eastAsia="宋体" w:cs="Times New Roman"/>
          <w:kern w:val="2"/>
          <w:sz w:val="24"/>
          <w:szCs w:val="20"/>
          <w:highlight w:val="none"/>
        </w:rPr>
        <w:t>，主要担负防洪、排涝、防污、灌溉、交通等任务。工程始建于1959年，后因国家财政困难于1962年停建，1978年续建，1981年7月28日竣工。设计标准为50年一遇。设防水位24.8m（废黄河高程系，下同），警戒水位26.5m，保证水位28.45m。</w:t>
      </w:r>
    </w:p>
    <w:p w14:paraId="56D1EAAC">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颍上闸共24孔，平板钢闸门，单孔净宽5.0m，门高6.0m，卷扬式启闭机。闸室为开敞式结构，闸室长17m，底板高程19.0m，堤顶高程31.</w:t>
      </w:r>
      <w:r>
        <w:rPr>
          <w:rFonts w:ascii="Times New Roman" w:hAnsi="Times New Roman" w:eastAsia="宋体" w:cs="Times New Roman"/>
          <w:kern w:val="2"/>
          <w:sz w:val="24"/>
          <w:szCs w:val="20"/>
          <w:highlight w:val="none"/>
        </w:rPr>
        <w:t>64</w:t>
      </w:r>
      <w:r>
        <w:rPr>
          <w:rFonts w:hint="eastAsia" w:ascii="Times New Roman" w:hAnsi="Times New Roman" w:eastAsia="宋体" w:cs="Times New Roman"/>
          <w:kern w:val="2"/>
          <w:sz w:val="24"/>
          <w:szCs w:val="20"/>
          <w:highlight w:val="none"/>
        </w:rPr>
        <w:t>m，消力池结构形式为综合式，消力池长19.55m，池底高程17.5m。正常蓄水位24.50m，最高蓄水位25.0m，最大库容为8</w:t>
      </w:r>
      <w:r>
        <w:rPr>
          <w:rFonts w:ascii="Times New Roman" w:hAnsi="Times New Roman" w:eastAsia="宋体" w:cs="Times New Roman"/>
          <w:kern w:val="2"/>
          <w:sz w:val="24"/>
          <w:szCs w:val="20"/>
          <w:highlight w:val="none"/>
        </w:rPr>
        <w:t>4</w:t>
      </w:r>
      <w:r>
        <w:rPr>
          <w:rFonts w:hint="eastAsia" w:ascii="Times New Roman" w:hAnsi="Times New Roman" w:eastAsia="宋体" w:cs="Times New Roman"/>
          <w:kern w:val="2"/>
          <w:sz w:val="24"/>
          <w:szCs w:val="20"/>
          <w:highlight w:val="none"/>
        </w:rPr>
        <w:t>00万m</w:t>
      </w:r>
      <w:r>
        <w:rPr>
          <w:rFonts w:ascii="Times New Roman" w:hAnsi="Times New Roman" w:eastAsia="宋体" w:cs="Times New Roman"/>
          <w:kern w:val="2"/>
          <w:sz w:val="24"/>
          <w:szCs w:val="20"/>
          <w:highlight w:val="none"/>
          <w:vertAlign w:val="superscript"/>
        </w:rPr>
        <w:t>3</w:t>
      </w:r>
      <w:r>
        <w:rPr>
          <w:rFonts w:hint="eastAsia" w:ascii="Times New Roman" w:hAnsi="Times New Roman" w:eastAsia="宋体" w:cs="Times New Roman"/>
          <w:kern w:val="2"/>
          <w:sz w:val="24"/>
          <w:szCs w:val="20"/>
          <w:highlight w:val="none"/>
        </w:rPr>
        <w:t>，设计灌溉面积为35万亩。</w:t>
      </w:r>
    </w:p>
    <w:p w14:paraId="0D2A2D02">
      <w:pPr>
        <w:keepNext/>
        <w:keepLines/>
        <w:outlineLvl w:val="1"/>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1.5 </w:t>
      </w:r>
      <w:r>
        <w:rPr>
          <w:rFonts w:hint="eastAsia" w:ascii="Times New Roman" w:hAnsi="Times New Roman" w:eastAsia="仿宋" w:cs="Times New Roman"/>
          <w:b/>
          <w:bCs/>
          <w:kern w:val="2"/>
          <w:sz w:val="28"/>
          <w:szCs w:val="32"/>
          <w:highlight w:val="none"/>
        </w:rPr>
        <w:t>蚌埠闸</w:t>
      </w:r>
    </w:p>
    <w:p w14:paraId="39BC866F">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蚌埠闸工程位于淮河中游，横跨蚌埠市淮上和禹会两区，距中上游淮河临淮岗洪水控制工程约230km，下游离洪泽湖2</w:t>
      </w:r>
      <w:r>
        <w:rPr>
          <w:rFonts w:ascii="Times New Roman" w:hAnsi="Times New Roman" w:eastAsia="宋体" w:cs="Times New Roman"/>
          <w:kern w:val="2"/>
          <w:sz w:val="24"/>
          <w:szCs w:val="20"/>
          <w:highlight w:val="none"/>
        </w:rPr>
        <w:t>50</w:t>
      </w:r>
      <w:r>
        <w:rPr>
          <w:rFonts w:hint="eastAsia" w:ascii="Times New Roman" w:hAnsi="Times New Roman" w:eastAsia="宋体" w:cs="Times New Roman"/>
          <w:kern w:val="2"/>
          <w:sz w:val="24"/>
          <w:szCs w:val="20"/>
          <w:highlight w:val="none"/>
        </w:rPr>
        <w:t>km。闸上流域面积1</w:t>
      </w:r>
      <w:r>
        <w:rPr>
          <w:rFonts w:ascii="Times New Roman" w:hAnsi="Times New Roman" w:eastAsia="宋体" w:cs="Times New Roman"/>
          <w:kern w:val="2"/>
          <w:sz w:val="24"/>
          <w:szCs w:val="20"/>
          <w:highlight w:val="none"/>
        </w:rPr>
        <w:t>2.1</w:t>
      </w:r>
      <w:r>
        <w:rPr>
          <w:rFonts w:hint="eastAsia" w:ascii="Times New Roman" w:hAnsi="Times New Roman" w:eastAsia="宋体" w:cs="Times New Roman"/>
          <w:kern w:val="2"/>
          <w:sz w:val="24"/>
          <w:szCs w:val="20"/>
          <w:highlight w:val="none"/>
        </w:rPr>
        <w:t>万平方公里。整个工程由28孔节制闸、12孔节制闸、双线船闸、水力发电站、分洪道等部分组成，是一座大型水利枢纽工程。枢纽具有防洪、蓄水、灌溉、航运、发电、城市供水、交通等多种功能。</w:t>
      </w:r>
    </w:p>
    <w:p w14:paraId="24C32836">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28孔节制闸位于淮河主河道上，1958年10月开工，1960年5月竣工。闸室为开敞式结构，共28孔，每孔净宽10</w:t>
      </w:r>
      <w:r>
        <w:rPr>
          <w:rFonts w:ascii="Times New Roman" w:hAnsi="Times New Roman" w:eastAsia="宋体" w:cs="Times New Roman"/>
          <w:kern w:val="2"/>
          <w:sz w:val="24"/>
          <w:szCs w:val="20"/>
          <w:highlight w:val="none"/>
        </w:rPr>
        <w:t>.00</w:t>
      </w:r>
      <w:r>
        <w:rPr>
          <w:rFonts w:hint="eastAsia" w:ascii="Times New Roman" w:hAnsi="Times New Roman" w:eastAsia="宋体" w:cs="Times New Roman"/>
          <w:kern w:val="2"/>
          <w:sz w:val="24"/>
          <w:szCs w:val="20"/>
          <w:highlight w:val="none"/>
        </w:rPr>
        <w:t>m，总宽336</w:t>
      </w:r>
      <w:r>
        <w:rPr>
          <w:rFonts w:ascii="Times New Roman" w:hAnsi="Times New Roman" w:eastAsia="宋体" w:cs="Times New Roman"/>
          <w:kern w:val="2"/>
          <w:sz w:val="24"/>
          <w:szCs w:val="20"/>
          <w:highlight w:val="none"/>
        </w:rPr>
        <w:t>.00</w:t>
      </w:r>
      <w:r>
        <w:rPr>
          <w:rFonts w:hint="eastAsia" w:ascii="Times New Roman" w:hAnsi="Times New Roman" w:eastAsia="宋体" w:cs="Times New Roman"/>
          <w:kern w:val="2"/>
          <w:sz w:val="24"/>
          <w:szCs w:val="20"/>
          <w:highlight w:val="none"/>
        </w:rPr>
        <w:t>m，底板高程10.0</w:t>
      </w:r>
      <w:r>
        <w:rPr>
          <w:rFonts w:ascii="Times New Roman" w:hAnsi="Times New Roman" w:eastAsia="宋体" w:cs="Times New Roman"/>
          <w:kern w:val="2"/>
          <w:sz w:val="24"/>
          <w:szCs w:val="20"/>
          <w:highlight w:val="none"/>
        </w:rPr>
        <w:t>0</w:t>
      </w:r>
      <w:r>
        <w:rPr>
          <w:rFonts w:hint="eastAsia" w:ascii="Times New Roman" w:hAnsi="Times New Roman" w:eastAsia="宋体" w:cs="Times New Roman"/>
          <w:kern w:val="2"/>
          <w:sz w:val="24"/>
          <w:szCs w:val="20"/>
          <w:highlight w:val="none"/>
        </w:rPr>
        <w:t>m，堰顶高程12.0</w:t>
      </w:r>
      <w:r>
        <w:rPr>
          <w:rFonts w:ascii="Times New Roman" w:hAnsi="Times New Roman" w:eastAsia="宋体" w:cs="Times New Roman"/>
          <w:kern w:val="2"/>
          <w:sz w:val="24"/>
          <w:szCs w:val="20"/>
          <w:highlight w:val="none"/>
        </w:rPr>
        <w:t>0</w:t>
      </w:r>
      <w:r>
        <w:rPr>
          <w:rFonts w:hint="eastAsia" w:ascii="Times New Roman" w:hAnsi="Times New Roman" w:eastAsia="宋体" w:cs="Times New Roman"/>
          <w:kern w:val="2"/>
          <w:sz w:val="24"/>
          <w:szCs w:val="20"/>
          <w:highlight w:val="none"/>
        </w:rPr>
        <w:t>m，配弧形钢闸门控制蓄水、泄洪。闸门在199</w:t>
      </w:r>
      <w:r>
        <w:rPr>
          <w:rFonts w:ascii="Times New Roman" w:hAnsi="Times New Roman" w:eastAsia="宋体" w:cs="Times New Roman"/>
          <w:kern w:val="2"/>
          <w:sz w:val="24"/>
          <w:szCs w:val="20"/>
          <w:highlight w:val="none"/>
        </w:rPr>
        <w:t>6</w:t>
      </w:r>
      <w:r>
        <w:rPr>
          <w:rFonts w:hint="eastAsia" w:ascii="Times New Roman" w:hAnsi="Times New Roman" w:eastAsia="宋体" w:cs="Times New Roman"/>
          <w:kern w:val="2"/>
          <w:sz w:val="24"/>
          <w:szCs w:val="20"/>
          <w:highlight w:val="none"/>
        </w:rPr>
        <w:t>年~200</w:t>
      </w:r>
      <w:r>
        <w:rPr>
          <w:rFonts w:ascii="Times New Roman" w:hAnsi="Times New Roman" w:eastAsia="宋体" w:cs="Times New Roman"/>
          <w:kern w:val="2"/>
          <w:sz w:val="24"/>
          <w:szCs w:val="20"/>
          <w:highlight w:val="none"/>
        </w:rPr>
        <w:t>2</w:t>
      </w:r>
      <w:r>
        <w:rPr>
          <w:rFonts w:hint="eastAsia" w:ascii="Times New Roman" w:hAnsi="Times New Roman" w:eastAsia="宋体" w:cs="Times New Roman"/>
          <w:kern w:val="2"/>
          <w:sz w:val="24"/>
          <w:szCs w:val="20"/>
          <w:highlight w:val="none"/>
        </w:rPr>
        <w:t>年分批更换。2003年</w:t>
      </w:r>
      <w:r>
        <w:rPr>
          <w:rFonts w:ascii="Times New Roman" w:hAnsi="Times New Roman" w:eastAsia="宋体" w:cs="Times New Roman"/>
          <w:kern w:val="2"/>
          <w:sz w:val="24"/>
          <w:szCs w:val="20"/>
          <w:highlight w:val="none"/>
        </w:rPr>
        <w:t>11</w:t>
      </w:r>
      <w:r>
        <w:rPr>
          <w:rFonts w:hint="eastAsia" w:ascii="Times New Roman" w:hAnsi="Times New Roman" w:eastAsia="宋体" w:cs="Times New Roman"/>
          <w:kern w:val="2"/>
          <w:sz w:val="24"/>
          <w:szCs w:val="20"/>
          <w:highlight w:val="none"/>
        </w:rPr>
        <w:t>月~2008年</w:t>
      </w:r>
      <w:r>
        <w:rPr>
          <w:rFonts w:ascii="Times New Roman" w:hAnsi="Times New Roman" w:eastAsia="宋体" w:cs="Times New Roman"/>
          <w:kern w:val="2"/>
          <w:sz w:val="24"/>
          <w:szCs w:val="20"/>
          <w:highlight w:val="none"/>
        </w:rPr>
        <w:t>6</w:t>
      </w:r>
      <w:r>
        <w:rPr>
          <w:rFonts w:hint="eastAsia" w:ascii="Times New Roman" w:hAnsi="Times New Roman" w:eastAsia="宋体" w:cs="Times New Roman"/>
          <w:kern w:val="2"/>
          <w:sz w:val="24"/>
          <w:szCs w:val="20"/>
          <w:highlight w:val="none"/>
        </w:rPr>
        <w:t>月，28孔节制闸进行除险加固，主要内容为：拆除重建公路桥、工作桥、检修便桥，新建启闭机房、桥头堡，闸室底板加固，更换铰链铰座、侧导板，增加底坎埋件，更新启闭机，实现闸门自动监控系统。</w:t>
      </w:r>
    </w:p>
    <w:p w14:paraId="29DA8C55">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12孔节制闸位于28孔节制闸北端与淮北大堤之间的滩地上，2000年8月开工，2003年5月建成并交付使用，2003年11月竣工验收。新老闸轴线一致，中心距396.8</w:t>
      </w:r>
      <w:r>
        <w:rPr>
          <w:rFonts w:ascii="Times New Roman" w:hAnsi="Times New Roman" w:eastAsia="宋体" w:cs="Times New Roman"/>
          <w:kern w:val="2"/>
          <w:sz w:val="24"/>
          <w:szCs w:val="20"/>
          <w:highlight w:val="none"/>
        </w:rPr>
        <w:t>0</w:t>
      </w:r>
      <w:r>
        <w:rPr>
          <w:rFonts w:hint="eastAsia" w:ascii="Times New Roman" w:hAnsi="Times New Roman" w:eastAsia="宋体" w:cs="Times New Roman"/>
          <w:kern w:val="2"/>
          <w:sz w:val="24"/>
          <w:szCs w:val="20"/>
          <w:highlight w:val="none"/>
        </w:rPr>
        <w:t>m，共12孔，每孔净宽10</w:t>
      </w:r>
      <w:r>
        <w:rPr>
          <w:rFonts w:ascii="Times New Roman" w:hAnsi="Times New Roman" w:eastAsia="宋体" w:cs="Times New Roman"/>
          <w:kern w:val="2"/>
          <w:sz w:val="24"/>
          <w:szCs w:val="20"/>
          <w:highlight w:val="none"/>
        </w:rPr>
        <w:t>.00</w:t>
      </w:r>
      <w:r>
        <w:rPr>
          <w:rFonts w:hint="eastAsia" w:ascii="Times New Roman" w:hAnsi="Times New Roman" w:eastAsia="宋体" w:cs="Times New Roman"/>
          <w:kern w:val="2"/>
          <w:sz w:val="24"/>
          <w:szCs w:val="20"/>
          <w:highlight w:val="none"/>
        </w:rPr>
        <w:t>m，总宽141.7</w:t>
      </w:r>
      <w:r>
        <w:rPr>
          <w:rFonts w:ascii="Times New Roman" w:hAnsi="Times New Roman" w:eastAsia="宋体" w:cs="Times New Roman"/>
          <w:kern w:val="2"/>
          <w:sz w:val="24"/>
          <w:szCs w:val="20"/>
          <w:highlight w:val="none"/>
        </w:rPr>
        <w:t>0</w:t>
      </w:r>
      <w:r>
        <w:rPr>
          <w:rFonts w:hint="eastAsia" w:ascii="Times New Roman" w:hAnsi="Times New Roman" w:eastAsia="宋体" w:cs="Times New Roman"/>
          <w:kern w:val="2"/>
          <w:sz w:val="24"/>
          <w:szCs w:val="20"/>
          <w:highlight w:val="none"/>
        </w:rPr>
        <w:t>m，开敞式结构，底板高程9.13</w:t>
      </w:r>
      <w:r>
        <w:rPr>
          <w:rFonts w:ascii="Times New Roman" w:hAnsi="Times New Roman" w:eastAsia="宋体" w:cs="Times New Roman"/>
          <w:kern w:val="2"/>
          <w:sz w:val="24"/>
          <w:szCs w:val="20"/>
          <w:highlight w:val="none"/>
        </w:rPr>
        <w:t>2</w:t>
      </w:r>
      <w:r>
        <w:rPr>
          <w:rFonts w:hint="eastAsia" w:ascii="Times New Roman" w:hAnsi="Times New Roman" w:eastAsia="宋体" w:cs="Times New Roman"/>
          <w:kern w:val="2"/>
          <w:sz w:val="24"/>
          <w:szCs w:val="20"/>
          <w:highlight w:val="none"/>
        </w:rPr>
        <w:t>m，闸室长度25</w:t>
      </w:r>
      <w:r>
        <w:rPr>
          <w:rFonts w:ascii="Times New Roman" w:hAnsi="Times New Roman" w:eastAsia="宋体" w:cs="Times New Roman"/>
          <w:kern w:val="2"/>
          <w:sz w:val="24"/>
          <w:szCs w:val="20"/>
          <w:highlight w:val="none"/>
        </w:rPr>
        <w:t>.00</w:t>
      </w:r>
      <w:r>
        <w:rPr>
          <w:rFonts w:hint="eastAsia" w:ascii="Times New Roman" w:hAnsi="Times New Roman" w:eastAsia="宋体" w:cs="Times New Roman"/>
          <w:kern w:val="2"/>
          <w:sz w:val="24"/>
          <w:szCs w:val="20"/>
          <w:highlight w:val="none"/>
        </w:rPr>
        <w:t>m，配弧形钢闸门控制蓄水、泄洪。</w:t>
      </w:r>
    </w:p>
    <w:p w14:paraId="04460419">
      <w:pPr>
        <w:keepNext/>
        <w:keepLines/>
        <w:widowControl w:val="0"/>
        <w:adjustRightInd w:val="0"/>
        <w:snapToGrid w:val="0"/>
        <w:spacing w:before="156" w:beforeLines="50" w:line="360" w:lineRule="auto"/>
        <w:jc w:val="both"/>
        <w:outlineLvl w:val="0"/>
        <w:rPr>
          <w:rFonts w:ascii="Times New Roman" w:hAnsi="Times New Roman" w:eastAsia="黑体" w:cs="Times New Roman"/>
          <w:b w:val="0"/>
          <w:bCs/>
          <w:kern w:val="44"/>
          <w:sz w:val="32"/>
          <w:szCs w:val="32"/>
          <w:highlight w:val="none"/>
          <w:lang w:val="en-US" w:eastAsia="zh-CN" w:bidi="ar-SA"/>
        </w:rPr>
      </w:pPr>
      <w:r>
        <w:rPr>
          <w:rFonts w:ascii="Times New Roman" w:hAnsi="Times New Roman" w:eastAsia="黑体" w:cs="Times New Roman"/>
          <w:b w:val="0"/>
          <w:bCs/>
          <w:kern w:val="44"/>
          <w:sz w:val="32"/>
          <w:szCs w:val="32"/>
          <w:highlight w:val="none"/>
          <w:lang w:val="en-US" w:eastAsia="zh-CN" w:bidi="ar-SA"/>
        </w:rPr>
        <w:t xml:space="preserve">2 </w:t>
      </w:r>
      <w:r>
        <w:rPr>
          <w:rFonts w:hint="eastAsia" w:ascii="Times New Roman" w:hAnsi="Times New Roman" w:eastAsia="黑体" w:cs="Times New Roman"/>
          <w:b w:val="0"/>
          <w:bCs/>
          <w:kern w:val="44"/>
          <w:sz w:val="32"/>
          <w:szCs w:val="32"/>
          <w:highlight w:val="none"/>
          <w:lang w:val="en-US" w:eastAsia="zh-CN" w:bidi="ar-SA"/>
        </w:rPr>
        <w:t>布设水平位移的必要性</w:t>
      </w:r>
    </w:p>
    <w:p w14:paraId="6C7959CC">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根据《水闸安全监测技术规范》（</w:t>
      </w:r>
      <w:r>
        <w:rPr>
          <w:rFonts w:ascii="Times New Roman" w:hAnsi="Times New Roman" w:eastAsia="宋体" w:cs="Times New Roman"/>
          <w:kern w:val="2"/>
          <w:sz w:val="24"/>
          <w:szCs w:val="20"/>
          <w:highlight w:val="none"/>
        </w:rPr>
        <w:t>SL 768-2018</w:t>
      </w:r>
      <w:r>
        <w:rPr>
          <w:rFonts w:hint="eastAsia" w:ascii="Times New Roman" w:hAnsi="Times New Roman" w:eastAsia="宋体" w:cs="Times New Roman"/>
          <w:kern w:val="2"/>
          <w:sz w:val="24"/>
          <w:szCs w:val="20"/>
          <w:highlight w:val="none"/>
        </w:rPr>
        <w:t>）中附录A</w:t>
      </w:r>
      <w:r>
        <w:rPr>
          <w:rFonts w:ascii="Times New Roman" w:hAnsi="Times New Roman" w:eastAsia="宋体" w:cs="Times New Roman"/>
          <w:kern w:val="2"/>
          <w:sz w:val="24"/>
          <w:szCs w:val="20"/>
          <w:highlight w:val="none"/>
        </w:rPr>
        <w:t>表A.0.1水闸安全监测项目分类表可知</w:t>
      </w:r>
      <w:r>
        <w:rPr>
          <w:rFonts w:hint="eastAsia" w:ascii="Times New Roman" w:hAnsi="Times New Roman" w:eastAsia="宋体" w:cs="Times New Roman"/>
          <w:kern w:val="2"/>
          <w:sz w:val="24"/>
          <w:szCs w:val="20"/>
          <w:highlight w:val="none"/>
        </w:rPr>
        <w:t>（具体见表1）</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大（</w:t>
      </w:r>
      <w:r>
        <w:rPr>
          <w:rFonts w:ascii="Times New Roman" w:hAnsi="Times New Roman" w:eastAsia="宋体" w:cs="Times New Roman"/>
          <w:kern w:val="2"/>
          <w:sz w:val="24"/>
          <w:szCs w:val="20"/>
          <w:highlight w:val="none"/>
        </w:rPr>
        <w:t>1</w:t>
      </w:r>
      <w:r>
        <w:rPr>
          <w:rFonts w:hint="eastAsia" w:ascii="Times New Roman" w:hAnsi="Times New Roman" w:eastAsia="宋体" w:cs="Times New Roman"/>
          <w:kern w:val="2"/>
          <w:sz w:val="24"/>
          <w:szCs w:val="20"/>
          <w:highlight w:val="none"/>
        </w:rPr>
        <w:t>）型</w:t>
      </w:r>
      <w:r>
        <w:rPr>
          <w:rFonts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rPr>
        <w:t>大（</w:t>
      </w:r>
      <w:r>
        <w:rPr>
          <w:rFonts w:ascii="Times New Roman" w:hAnsi="Times New Roman" w:eastAsia="宋体" w:cs="Times New Roman"/>
          <w:kern w:val="2"/>
          <w:sz w:val="24"/>
          <w:szCs w:val="20"/>
          <w:highlight w:val="none"/>
        </w:rPr>
        <w:t>2</w:t>
      </w:r>
      <w:r>
        <w:rPr>
          <w:rFonts w:hint="eastAsia" w:ascii="Times New Roman" w:hAnsi="Times New Roman" w:eastAsia="宋体" w:cs="Times New Roman"/>
          <w:kern w:val="2"/>
          <w:sz w:val="24"/>
          <w:szCs w:val="20"/>
          <w:highlight w:val="none"/>
        </w:rPr>
        <w:t>）型</w:t>
      </w:r>
      <w:r>
        <w:rPr>
          <w:rFonts w:ascii="Times New Roman" w:hAnsi="Times New Roman" w:eastAsia="宋体" w:cs="Times New Roman"/>
          <w:kern w:val="2"/>
          <w:sz w:val="24"/>
          <w:szCs w:val="20"/>
          <w:highlight w:val="none"/>
        </w:rPr>
        <w:t>和</w:t>
      </w:r>
      <w:r>
        <w:rPr>
          <w:rFonts w:hint="eastAsia" w:ascii="Times New Roman" w:hAnsi="Times New Roman" w:eastAsia="宋体" w:cs="Times New Roman"/>
          <w:kern w:val="2"/>
          <w:sz w:val="24"/>
          <w:szCs w:val="20"/>
          <w:highlight w:val="none"/>
        </w:rPr>
        <w:t>中型水闸结构需布设水平位移变形监测设施。</w:t>
      </w:r>
    </w:p>
    <w:p w14:paraId="7526DE24">
      <w:pPr>
        <w:spacing w:line="360" w:lineRule="auto"/>
        <w:jc w:val="center"/>
        <w:rPr>
          <w:rFonts w:ascii="Times New Roman" w:hAnsi="Times New Roman" w:eastAsia="黑体" w:cs="Times New Roman"/>
          <w:kern w:val="2"/>
          <w:sz w:val="21"/>
          <w:szCs w:val="22"/>
          <w:highlight w:val="none"/>
        </w:rPr>
      </w:pPr>
      <w:r>
        <w:rPr>
          <w:rFonts w:hint="eastAsia" w:ascii="Times New Roman" w:hAnsi="Times New Roman" w:eastAsia="黑体" w:cs="Times New Roman"/>
          <w:kern w:val="2"/>
          <w:sz w:val="21"/>
          <w:szCs w:val="22"/>
          <w:highlight w:val="none"/>
        </w:rPr>
        <w:t>表1</w:t>
      </w:r>
      <w:r>
        <w:rPr>
          <w:rFonts w:ascii="Times New Roman" w:hAnsi="Times New Roman" w:eastAsia="黑体" w:cs="Times New Roman"/>
          <w:kern w:val="2"/>
          <w:sz w:val="21"/>
          <w:szCs w:val="22"/>
          <w:highlight w:val="none"/>
        </w:rPr>
        <w:t xml:space="preserve"> </w:t>
      </w:r>
      <w:r>
        <w:rPr>
          <w:rFonts w:hint="eastAsia" w:ascii="Times New Roman" w:hAnsi="Times New Roman" w:eastAsia="黑体" w:cs="Times New Roman"/>
          <w:kern w:val="2"/>
          <w:sz w:val="21"/>
          <w:szCs w:val="22"/>
          <w:highlight w:val="none"/>
        </w:rPr>
        <w:t>水闸安全监测项目分类表</w:t>
      </w:r>
    </w:p>
    <w:tbl>
      <w:tblPr>
        <w:tblStyle w:val="57"/>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969"/>
        <w:gridCol w:w="1417"/>
        <w:gridCol w:w="1603"/>
        <w:gridCol w:w="1374"/>
      </w:tblGrid>
      <w:tr w14:paraId="6EEC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87" w:type="dxa"/>
            <w:vMerge w:val="restart"/>
            <w:vAlign w:val="center"/>
          </w:tcPr>
          <w:p w14:paraId="7C27E4FA">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监测类别</w:t>
            </w:r>
          </w:p>
        </w:tc>
        <w:tc>
          <w:tcPr>
            <w:tcW w:w="1969" w:type="dxa"/>
            <w:vMerge w:val="restart"/>
            <w:vAlign w:val="center"/>
          </w:tcPr>
          <w:p w14:paraId="07F286E4">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监测项目</w:t>
            </w:r>
          </w:p>
        </w:tc>
        <w:tc>
          <w:tcPr>
            <w:tcW w:w="4394" w:type="dxa"/>
            <w:gridSpan w:val="3"/>
            <w:vAlign w:val="center"/>
          </w:tcPr>
          <w:p w14:paraId="6FBD38AB">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水闸规模</w:t>
            </w:r>
          </w:p>
        </w:tc>
      </w:tr>
      <w:tr w14:paraId="30D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87" w:type="dxa"/>
            <w:vMerge w:val="continue"/>
            <w:vAlign w:val="center"/>
          </w:tcPr>
          <w:p w14:paraId="50EF316C">
            <w:pPr>
              <w:jc w:val="center"/>
              <w:rPr>
                <w:rFonts w:ascii="宋体" w:hAnsi="宋体" w:eastAsia="宋体" w:cs="Times New Roman"/>
                <w:kern w:val="0"/>
                <w:sz w:val="20"/>
                <w:szCs w:val="20"/>
                <w:highlight w:val="none"/>
              </w:rPr>
            </w:pPr>
          </w:p>
        </w:tc>
        <w:tc>
          <w:tcPr>
            <w:tcW w:w="1969" w:type="dxa"/>
            <w:vMerge w:val="continue"/>
            <w:vAlign w:val="center"/>
          </w:tcPr>
          <w:p w14:paraId="2FDD72B9">
            <w:pPr>
              <w:jc w:val="center"/>
              <w:rPr>
                <w:rFonts w:ascii="宋体" w:hAnsi="宋体" w:eastAsia="宋体" w:cs="Times New Roman"/>
                <w:kern w:val="0"/>
                <w:sz w:val="20"/>
                <w:szCs w:val="20"/>
                <w:highlight w:val="none"/>
              </w:rPr>
            </w:pPr>
          </w:p>
        </w:tc>
        <w:tc>
          <w:tcPr>
            <w:tcW w:w="1417" w:type="dxa"/>
            <w:vAlign w:val="center"/>
          </w:tcPr>
          <w:p w14:paraId="40061B25">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大（1）型</w:t>
            </w:r>
          </w:p>
        </w:tc>
        <w:tc>
          <w:tcPr>
            <w:tcW w:w="1603" w:type="dxa"/>
            <w:vAlign w:val="center"/>
          </w:tcPr>
          <w:p w14:paraId="3711BF4C">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大（</w:t>
            </w: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）型</w:t>
            </w:r>
          </w:p>
        </w:tc>
        <w:tc>
          <w:tcPr>
            <w:tcW w:w="1374" w:type="dxa"/>
            <w:vAlign w:val="center"/>
          </w:tcPr>
          <w:p w14:paraId="1A07D69F">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中型</w:t>
            </w:r>
          </w:p>
        </w:tc>
      </w:tr>
      <w:tr w14:paraId="0AA7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87" w:type="dxa"/>
            <w:vMerge w:val="restart"/>
            <w:vAlign w:val="center"/>
          </w:tcPr>
          <w:p w14:paraId="6A8C3E0D">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变形监测</w:t>
            </w:r>
          </w:p>
        </w:tc>
        <w:tc>
          <w:tcPr>
            <w:tcW w:w="1969" w:type="dxa"/>
            <w:vAlign w:val="center"/>
          </w:tcPr>
          <w:p w14:paraId="6CA3C50A">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垂直位移</w:t>
            </w:r>
          </w:p>
        </w:tc>
        <w:tc>
          <w:tcPr>
            <w:tcW w:w="1417" w:type="dxa"/>
            <w:vAlign w:val="center"/>
          </w:tcPr>
          <w:p w14:paraId="458829DC">
            <w:pPr>
              <w:jc w:val="center"/>
              <w:rPr>
                <w:rFonts w:ascii="宋体" w:hAnsi="宋体" w:eastAsia="宋体" w:cs="Times New Roman"/>
                <w:kern w:val="0"/>
                <w:sz w:val="20"/>
                <w:szCs w:val="20"/>
                <w:highlight w:val="none"/>
              </w:rPr>
            </w:pPr>
            <w:r>
              <w:rPr>
                <w:rFonts w:ascii="Calibri" w:hAnsi="Calibri" w:eastAsia="宋体" w:cs="Times New Roman"/>
                <w:kern w:val="2"/>
                <w:sz w:val="21"/>
                <w:szCs w:val="22"/>
                <w:highlight w:val="none"/>
              </w:rPr>
              <w:drawing>
                <wp:inline distT="0" distB="0" distL="0" distR="0">
                  <wp:extent cx="125730" cy="149860"/>
                  <wp:effectExtent l="0" t="0" r="762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rcRect l="18413" t="16574" r="26519" b="14577"/>
                          <a:stretch>
                            <a:fillRect/>
                          </a:stretch>
                        </pic:blipFill>
                        <pic:spPr>
                          <a:xfrm>
                            <a:off x="0" y="0"/>
                            <a:ext cx="131392" cy="156453"/>
                          </a:xfrm>
                          <a:prstGeom prst="rect">
                            <a:avLst/>
                          </a:prstGeom>
                          <a:ln>
                            <a:noFill/>
                          </a:ln>
                        </pic:spPr>
                      </pic:pic>
                    </a:graphicData>
                  </a:graphic>
                </wp:inline>
              </w:drawing>
            </w:r>
          </w:p>
        </w:tc>
        <w:tc>
          <w:tcPr>
            <w:tcW w:w="1603" w:type="dxa"/>
            <w:vAlign w:val="center"/>
          </w:tcPr>
          <w:p w14:paraId="4129B744">
            <w:pPr>
              <w:jc w:val="center"/>
              <w:rPr>
                <w:rFonts w:ascii="宋体" w:hAnsi="宋体" w:eastAsia="宋体" w:cs="Times New Roman"/>
                <w:kern w:val="0"/>
                <w:sz w:val="20"/>
                <w:szCs w:val="20"/>
                <w:highlight w:val="none"/>
              </w:rPr>
            </w:pPr>
            <w:r>
              <w:rPr>
                <w:rFonts w:ascii="Calibri" w:hAnsi="Calibri" w:eastAsia="宋体" w:cs="Times New Roman"/>
                <w:kern w:val="2"/>
                <w:sz w:val="21"/>
                <w:szCs w:val="22"/>
                <w:highlight w:val="none"/>
              </w:rPr>
              <w:drawing>
                <wp:inline distT="0" distB="0" distL="0" distR="0">
                  <wp:extent cx="125730" cy="149860"/>
                  <wp:effectExtent l="0" t="0" r="762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rcRect l="18413" t="16574" r="26519" b="14577"/>
                          <a:stretch>
                            <a:fillRect/>
                          </a:stretch>
                        </pic:blipFill>
                        <pic:spPr>
                          <a:xfrm>
                            <a:off x="0" y="0"/>
                            <a:ext cx="131392" cy="156453"/>
                          </a:xfrm>
                          <a:prstGeom prst="rect">
                            <a:avLst/>
                          </a:prstGeom>
                          <a:ln>
                            <a:noFill/>
                          </a:ln>
                        </pic:spPr>
                      </pic:pic>
                    </a:graphicData>
                  </a:graphic>
                </wp:inline>
              </w:drawing>
            </w:r>
          </w:p>
        </w:tc>
        <w:tc>
          <w:tcPr>
            <w:tcW w:w="1374" w:type="dxa"/>
            <w:vAlign w:val="center"/>
          </w:tcPr>
          <w:p w14:paraId="74EC78C1">
            <w:pPr>
              <w:jc w:val="center"/>
              <w:rPr>
                <w:rFonts w:ascii="宋体" w:hAnsi="宋体" w:eastAsia="宋体" w:cs="Times New Roman"/>
                <w:kern w:val="0"/>
                <w:sz w:val="20"/>
                <w:szCs w:val="20"/>
                <w:highlight w:val="none"/>
              </w:rPr>
            </w:pPr>
            <w:r>
              <w:rPr>
                <w:rFonts w:ascii="Calibri" w:hAnsi="Calibri" w:eastAsia="宋体" w:cs="Times New Roman"/>
                <w:kern w:val="2"/>
                <w:sz w:val="21"/>
                <w:szCs w:val="22"/>
                <w:highlight w:val="none"/>
              </w:rPr>
              <w:drawing>
                <wp:inline distT="0" distB="0" distL="0" distR="0">
                  <wp:extent cx="125730" cy="149860"/>
                  <wp:effectExtent l="0" t="0" r="762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rcRect l="18413" t="16574" r="26519" b="14577"/>
                          <a:stretch>
                            <a:fillRect/>
                          </a:stretch>
                        </pic:blipFill>
                        <pic:spPr>
                          <a:xfrm>
                            <a:off x="0" y="0"/>
                            <a:ext cx="131392" cy="156453"/>
                          </a:xfrm>
                          <a:prstGeom prst="rect">
                            <a:avLst/>
                          </a:prstGeom>
                          <a:ln>
                            <a:noFill/>
                          </a:ln>
                        </pic:spPr>
                      </pic:pic>
                    </a:graphicData>
                  </a:graphic>
                </wp:inline>
              </w:drawing>
            </w:r>
          </w:p>
        </w:tc>
      </w:tr>
      <w:tr w14:paraId="454D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87" w:type="dxa"/>
            <w:vMerge w:val="continue"/>
            <w:vAlign w:val="center"/>
          </w:tcPr>
          <w:p w14:paraId="53F5FE8F">
            <w:pPr>
              <w:jc w:val="center"/>
              <w:rPr>
                <w:rFonts w:ascii="宋体" w:hAnsi="宋体" w:eastAsia="宋体" w:cs="Times New Roman"/>
                <w:kern w:val="0"/>
                <w:sz w:val="20"/>
                <w:szCs w:val="20"/>
                <w:highlight w:val="none"/>
              </w:rPr>
            </w:pPr>
          </w:p>
        </w:tc>
        <w:tc>
          <w:tcPr>
            <w:tcW w:w="1969" w:type="dxa"/>
            <w:vAlign w:val="center"/>
          </w:tcPr>
          <w:p w14:paraId="74FDECDA">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水平位移或倾斜</w:t>
            </w:r>
          </w:p>
        </w:tc>
        <w:tc>
          <w:tcPr>
            <w:tcW w:w="1417" w:type="dxa"/>
            <w:vAlign w:val="center"/>
          </w:tcPr>
          <w:p w14:paraId="644CD71F">
            <w:pPr>
              <w:jc w:val="center"/>
              <w:rPr>
                <w:rFonts w:ascii="宋体" w:hAnsi="宋体" w:eastAsia="宋体" w:cs="Times New Roman"/>
                <w:kern w:val="0"/>
                <w:sz w:val="20"/>
                <w:szCs w:val="20"/>
                <w:highlight w:val="none"/>
              </w:rPr>
            </w:pPr>
            <w:r>
              <w:rPr>
                <w:rFonts w:ascii="Calibri" w:hAnsi="Calibri" w:eastAsia="宋体" w:cs="Times New Roman"/>
                <w:kern w:val="2"/>
                <w:sz w:val="21"/>
                <w:szCs w:val="22"/>
                <w:highlight w:val="none"/>
              </w:rPr>
              <w:drawing>
                <wp:inline distT="0" distB="0" distL="0" distR="0">
                  <wp:extent cx="125730" cy="149860"/>
                  <wp:effectExtent l="0" t="0" r="762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rcRect l="18413" t="16574" r="26519" b="14577"/>
                          <a:stretch>
                            <a:fillRect/>
                          </a:stretch>
                        </pic:blipFill>
                        <pic:spPr>
                          <a:xfrm>
                            <a:off x="0" y="0"/>
                            <a:ext cx="131392" cy="156453"/>
                          </a:xfrm>
                          <a:prstGeom prst="rect">
                            <a:avLst/>
                          </a:prstGeom>
                          <a:ln>
                            <a:noFill/>
                          </a:ln>
                        </pic:spPr>
                      </pic:pic>
                    </a:graphicData>
                  </a:graphic>
                </wp:inline>
              </w:drawing>
            </w:r>
          </w:p>
        </w:tc>
        <w:tc>
          <w:tcPr>
            <w:tcW w:w="1603" w:type="dxa"/>
            <w:vAlign w:val="center"/>
          </w:tcPr>
          <w:p w14:paraId="16138A4D">
            <w:pPr>
              <w:jc w:val="center"/>
              <w:rPr>
                <w:rFonts w:ascii="宋体" w:hAnsi="宋体" w:eastAsia="宋体" w:cs="Times New Roman"/>
                <w:kern w:val="0"/>
                <w:sz w:val="20"/>
                <w:szCs w:val="20"/>
                <w:highlight w:val="none"/>
              </w:rPr>
            </w:pPr>
            <w:r>
              <w:rPr>
                <w:rFonts w:ascii="Calibri" w:hAnsi="Calibri" w:eastAsia="宋体" w:cs="Times New Roman"/>
                <w:kern w:val="2"/>
                <w:sz w:val="21"/>
                <w:szCs w:val="22"/>
                <w:highlight w:val="none"/>
              </w:rPr>
              <w:drawing>
                <wp:inline distT="0" distB="0" distL="0" distR="0">
                  <wp:extent cx="125730" cy="149860"/>
                  <wp:effectExtent l="0" t="0" r="762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rcRect l="18413" t="16574" r="26519" b="14577"/>
                          <a:stretch>
                            <a:fillRect/>
                          </a:stretch>
                        </pic:blipFill>
                        <pic:spPr>
                          <a:xfrm>
                            <a:off x="0" y="0"/>
                            <a:ext cx="131392" cy="156453"/>
                          </a:xfrm>
                          <a:prstGeom prst="rect">
                            <a:avLst/>
                          </a:prstGeom>
                          <a:ln>
                            <a:noFill/>
                          </a:ln>
                        </pic:spPr>
                      </pic:pic>
                    </a:graphicData>
                  </a:graphic>
                </wp:inline>
              </w:drawing>
            </w:r>
          </w:p>
        </w:tc>
        <w:tc>
          <w:tcPr>
            <w:tcW w:w="1374" w:type="dxa"/>
            <w:vAlign w:val="center"/>
          </w:tcPr>
          <w:p w14:paraId="2B7B8D38">
            <w:pPr>
              <w:jc w:val="center"/>
              <w:rPr>
                <w:rFonts w:ascii="宋体" w:hAnsi="宋体" w:eastAsia="宋体" w:cs="Times New Roman"/>
                <w:kern w:val="0"/>
                <w:sz w:val="20"/>
                <w:szCs w:val="20"/>
                <w:highlight w:val="none"/>
              </w:rPr>
            </w:pPr>
            <w:r>
              <w:rPr>
                <w:rFonts w:ascii="Calibri" w:hAnsi="Calibri" w:eastAsia="宋体" w:cs="Times New Roman"/>
                <w:kern w:val="2"/>
                <w:sz w:val="21"/>
                <w:szCs w:val="22"/>
                <w:highlight w:val="none"/>
              </w:rPr>
              <w:drawing>
                <wp:inline distT="0" distB="0" distL="0" distR="0">
                  <wp:extent cx="161925" cy="146050"/>
                  <wp:effectExtent l="0" t="0" r="9525"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2"/>
                          <a:stretch>
                            <a:fillRect/>
                          </a:stretch>
                        </pic:blipFill>
                        <pic:spPr>
                          <a:xfrm>
                            <a:off x="0" y="0"/>
                            <a:ext cx="188515" cy="169664"/>
                          </a:xfrm>
                          <a:prstGeom prst="rect">
                            <a:avLst/>
                          </a:prstGeom>
                        </pic:spPr>
                      </pic:pic>
                    </a:graphicData>
                  </a:graphic>
                </wp:inline>
              </w:drawing>
            </w:r>
          </w:p>
        </w:tc>
      </w:tr>
      <w:tr w14:paraId="0773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87" w:type="dxa"/>
            <w:vMerge w:val="continue"/>
            <w:vAlign w:val="center"/>
          </w:tcPr>
          <w:p w14:paraId="4C436D7E">
            <w:pPr>
              <w:jc w:val="center"/>
              <w:rPr>
                <w:rFonts w:ascii="宋体" w:hAnsi="宋体" w:eastAsia="宋体" w:cs="Times New Roman"/>
                <w:kern w:val="0"/>
                <w:sz w:val="20"/>
                <w:szCs w:val="20"/>
                <w:highlight w:val="none"/>
              </w:rPr>
            </w:pPr>
          </w:p>
        </w:tc>
        <w:tc>
          <w:tcPr>
            <w:tcW w:w="1969" w:type="dxa"/>
            <w:vAlign w:val="center"/>
          </w:tcPr>
          <w:p w14:paraId="7383F6F3">
            <w:pPr>
              <w:jc w:val="center"/>
              <w:rPr>
                <w:rFonts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裂缝和结构缝</w:t>
            </w:r>
          </w:p>
        </w:tc>
        <w:tc>
          <w:tcPr>
            <w:tcW w:w="1417" w:type="dxa"/>
            <w:vAlign w:val="center"/>
          </w:tcPr>
          <w:p w14:paraId="30B34059">
            <w:pPr>
              <w:jc w:val="center"/>
              <w:rPr>
                <w:rFonts w:ascii="宋体" w:hAnsi="宋体" w:eastAsia="宋体" w:cs="Times New Roman"/>
                <w:kern w:val="0"/>
                <w:sz w:val="20"/>
                <w:szCs w:val="20"/>
                <w:highlight w:val="none"/>
              </w:rPr>
            </w:pPr>
            <w:r>
              <w:rPr>
                <w:rFonts w:ascii="Calibri" w:hAnsi="Calibri" w:eastAsia="宋体" w:cs="Times New Roman"/>
                <w:kern w:val="2"/>
                <w:sz w:val="21"/>
                <w:szCs w:val="22"/>
                <w:highlight w:val="none"/>
              </w:rPr>
              <w:drawing>
                <wp:inline distT="0" distB="0" distL="0" distR="0">
                  <wp:extent cx="125730" cy="149860"/>
                  <wp:effectExtent l="0" t="0" r="7620"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rcRect l="18413" t="16574" r="26519" b="14577"/>
                          <a:stretch>
                            <a:fillRect/>
                          </a:stretch>
                        </pic:blipFill>
                        <pic:spPr>
                          <a:xfrm>
                            <a:off x="0" y="0"/>
                            <a:ext cx="131392" cy="156453"/>
                          </a:xfrm>
                          <a:prstGeom prst="rect">
                            <a:avLst/>
                          </a:prstGeom>
                          <a:ln>
                            <a:noFill/>
                          </a:ln>
                        </pic:spPr>
                      </pic:pic>
                    </a:graphicData>
                  </a:graphic>
                </wp:inline>
              </w:drawing>
            </w:r>
          </w:p>
        </w:tc>
        <w:tc>
          <w:tcPr>
            <w:tcW w:w="1603" w:type="dxa"/>
            <w:vAlign w:val="center"/>
          </w:tcPr>
          <w:p w14:paraId="05F0CE26">
            <w:pPr>
              <w:jc w:val="center"/>
              <w:rPr>
                <w:rFonts w:ascii="宋体" w:hAnsi="宋体" w:eastAsia="宋体" w:cs="Times New Roman"/>
                <w:kern w:val="0"/>
                <w:sz w:val="20"/>
                <w:szCs w:val="20"/>
                <w:highlight w:val="none"/>
              </w:rPr>
            </w:pPr>
            <w:r>
              <w:rPr>
                <w:rFonts w:ascii="Calibri" w:hAnsi="Calibri" w:eastAsia="宋体" w:cs="Times New Roman"/>
                <w:kern w:val="2"/>
                <w:sz w:val="21"/>
                <w:szCs w:val="22"/>
                <w:highlight w:val="none"/>
              </w:rPr>
              <w:drawing>
                <wp:inline distT="0" distB="0" distL="0" distR="0">
                  <wp:extent cx="125730" cy="149860"/>
                  <wp:effectExtent l="0" t="0" r="7620" b="25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rcRect l="18413" t="16574" r="26519" b="14577"/>
                          <a:stretch>
                            <a:fillRect/>
                          </a:stretch>
                        </pic:blipFill>
                        <pic:spPr>
                          <a:xfrm>
                            <a:off x="0" y="0"/>
                            <a:ext cx="131392" cy="156453"/>
                          </a:xfrm>
                          <a:prstGeom prst="rect">
                            <a:avLst/>
                          </a:prstGeom>
                          <a:ln>
                            <a:noFill/>
                          </a:ln>
                        </pic:spPr>
                      </pic:pic>
                    </a:graphicData>
                  </a:graphic>
                </wp:inline>
              </w:drawing>
            </w:r>
          </w:p>
        </w:tc>
        <w:tc>
          <w:tcPr>
            <w:tcW w:w="1374" w:type="dxa"/>
            <w:vAlign w:val="center"/>
          </w:tcPr>
          <w:p w14:paraId="00B98F40">
            <w:pPr>
              <w:jc w:val="center"/>
              <w:rPr>
                <w:rFonts w:ascii="宋体" w:hAnsi="宋体" w:eastAsia="宋体" w:cs="Times New Roman"/>
                <w:kern w:val="0"/>
                <w:sz w:val="20"/>
                <w:szCs w:val="20"/>
                <w:highlight w:val="none"/>
              </w:rPr>
            </w:pPr>
            <w:r>
              <w:rPr>
                <w:rFonts w:ascii="Calibri" w:hAnsi="Calibri" w:eastAsia="宋体" w:cs="Times New Roman"/>
                <w:kern w:val="2"/>
                <w:sz w:val="21"/>
                <w:szCs w:val="22"/>
                <w:highlight w:val="none"/>
              </w:rPr>
              <w:drawing>
                <wp:inline distT="0" distB="0" distL="0" distR="0">
                  <wp:extent cx="146050" cy="131445"/>
                  <wp:effectExtent l="0" t="0" r="6350" b="190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
                          <a:stretch>
                            <a:fillRect/>
                          </a:stretch>
                        </pic:blipFill>
                        <pic:spPr>
                          <a:xfrm>
                            <a:off x="0" y="0"/>
                            <a:ext cx="170407" cy="153367"/>
                          </a:xfrm>
                          <a:prstGeom prst="rect">
                            <a:avLst/>
                          </a:prstGeom>
                        </pic:spPr>
                      </pic:pic>
                    </a:graphicData>
                  </a:graphic>
                </wp:inline>
              </w:drawing>
            </w:r>
          </w:p>
        </w:tc>
      </w:tr>
    </w:tbl>
    <w:p w14:paraId="658F266C">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注：</w:t>
      </w:r>
      <w:r>
        <w:rPr>
          <w:rFonts w:ascii="Calibri" w:hAnsi="Calibri" w:eastAsia="宋体" w:cs="Times New Roman"/>
          <w:kern w:val="2"/>
          <w:sz w:val="21"/>
          <w:szCs w:val="22"/>
          <w:highlight w:val="none"/>
        </w:rPr>
        <w:drawing>
          <wp:inline distT="0" distB="0" distL="0" distR="0">
            <wp:extent cx="125730" cy="149860"/>
            <wp:effectExtent l="0" t="0" r="762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rcRect l="18413" t="16574" r="26519" b="14577"/>
                    <a:stretch>
                      <a:fillRect/>
                    </a:stretch>
                  </pic:blipFill>
                  <pic:spPr>
                    <a:xfrm>
                      <a:off x="0" y="0"/>
                      <a:ext cx="131392" cy="156453"/>
                    </a:xfrm>
                    <a:prstGeom prst="rect">
                      <a:avLst/>
                    </a:prstGeom>
                    <a:ln>
                      <a:noFill/>
                    </a:ln>
                  </pic:spPr>
                </pic:pic>
              </a:graphicData>
            </a:graphic>
          </wp:inline>
        </w:drawing>
      </w:r>
      <w:r>
        <w:rPr>
          <w:rFonts w:hint="eastAsia" w:ascii="Times New Roman" w:hAnsi="Times New Roman" w:eastAsia="宋体" w:cs="Times New Roman"/>
          <w:kern w:val="2"/>
          <w:sz w:val="24"/>
          <w:szCs w:val="20"/>
          <w:highlight w:val="none"/>
        </w:rPr>
        <w:t>为必设项目；</w:t>
      </w:r>
      <w:r>
        <w:rPr>
          <w:rFonts w:ascii="Calibri" w:hAnsi="Calibri" w:eastAsia="宋体" w:cs="Times New Roman"/>
          <w:kern w:val="2"/>
          <w:sz w:val="21"/>
          <w:szCs w:val="22"/>
          <w:highlight w:val="none"/>
        </w:rPr>
        <w:drawing>
          <wp:inline distT="0" distB="0" distL="0" distR="0">
            <wp:extent cx="161925" cy="146050"/>
            <wp:effectExtent l="0" t="0" r="9525"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188515" cy="169664"/>
                    </a:xfrm>
                    <a:prstGeom prst="rect">
                      <a:avLst/>
                    </a:prstGeom>
                  </pic:spPr>
                </pic:pic>
              </a:graphicData>
            </a:graphic>
          </wp:inline>
        </w:drawing>
      </w:r>
      <w:r>
        <w:rPr>
          <w:rFonts w:hint="eastAsia" w:ascii="Times New Roman" w:hAnsi="Times New Roman" w:eastAsia="宋体" w:cs="Times New Roman"/>
          <w:kern w:val="2"/>
          <w:sz w:val="24"/>
          <w:szCs w:val="20"/>
          <w:highlight w:val="none"/>
        </w:rPr>
        <w:t>为可选项目，可根据需要增设。</w:t>
      </w:r>
    </w:p>
    <w:p w14:paraId="0245320E">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蚌埠闸工程规模为</w:t>
      </w:r>
      <w:r>
        <w:rPr>
          <w:rFonts w:ascii="Times New Roman" w:hAnsi="Times New Roman" w:eastAsia="宋体" w:cs="Times New Roman"/>
          <w:kern w:val="2"/>
          <w:sz w:val="24"/>
          <w:szCs w:val="20"/>
          <w:highlight w:val="none"/>
        </w:rPr>
        <w:fldChar w:fldCharType="begin"/>
      </w:r>
      <w:r>
        <w:rPr>
          <w:rFonts w:ascii="Times New Roman" w:hAnsi="Times New Roman" w:eastAsia="宋体" w:cs="Times New Roman"/>
          <w:kern w:val="2"/>
          <w:sz w:val="24"/>
          <w:szCs w:val="20"/>
          <w:highlight w:val="none"/>
        </w:rPr>
        <w:instrText xml:space="preserve"> </w:instrText>
      </w:r>
      <w:r>
        <w:rPr>
          <w:rFonts w:hint="eastAsia" w:ascii="Times New Roman" w:hAnsi="Times New Roman" w:eastAsia="宋体" w:cs="Times New Roman"/>
          <w:kern w:val="2"/>
          <w:sz w:val="24"/>
          <w:szCs w:val="20"/>
          <w:highlight w:val="none"/>
        </w:rPr>
        <w:instrText xml:space="preserve">= 1 \* ROMAN</w:instrText>
      </w:r>
      <w:r>
        <w:rPr>
          <w:rFonts w:ascii="Times New Roman" w:hAnsi="Times New Roman" w:eastAsia="宋体" w:cs="Times New Roman"/>
          <w:kern w:val="2"/>
          <w:sz w:val="24"/>
          <w:szCs w:val="20"/>
          <w:highlight w:val="none"/>
        </w:rPr>
        <w:instrText xml:space="preserve"> </w:instrText>
      </w:r>
      <w:r>
        <w:rPr>
          <w:rFonts w:ascii="Times New Roman" w:hAnsi="Times New Roman" w:eastAsia="宋体" w:cs="Times New Roman"/>
          <w:kern w:val="2"/>
          <w:sz w:val="24"/>
          <w:szCs w:val="20"/>
          <w:highlight w:val="none"/>
        </w:rPr>
        <w:fldChar w:fldCharType="separate"/>
      </w:r>
      <w:r>
        <w:rPr>
          <w:rFonts w:ascii="Times New Roman" w:hAnsi="Times New Roman" w:eastAsia="宋体" w:cs="Times New Roman"/>
          <w:kern w:val="2"/>
          <w:sz w:val="24"/>
          <w:szCs w:val="20"/>
          <w:highlight w:val="none"/>
        </w:rPr>
        <w:t>I</w:t>
      </w:r>
      <w:r>
        <w:rPr>
          <w:rFonts w:ascii="Times New Roman" w:hAnsi="Times New Roman" w:eastAsia="宋体" w:cs="Times New Roman"/>
          <w:kern w:val="2"/>
          <w:sz w:val="24"/>
          <w:szCs w:val="20"/>
          <w:highlight w:val="none"/>
        </w:rPr>
        <w:fldChar w:fldCharType="end"/>
      </w:r>
      <w:r>
        <w:rPr>
          <w:rFonts w:hint="eastAsia" w:ascii="Times New Roman" w:hAnsi="Times New Roman" w:eastAsia="宋体" w:cs="Times New Roman"/>
          <w:kern w:val="2"/>
          <w:sz w:val="24"/>
          <w:szCs w:val="20"/>
          <w:highlight w:val="none"/>
        </w:rPr>
        <w:t>等大（</w:t>
      </w:r>
      <w:r>
        <w:rPr>
          <w:rFonts w:ascii="Times New Roman" w:hAnsi="Times New Roman" w:eastAsia="宋体" w:cs="Times New Roman"/>
          <w:kern w:val="2"/>
          <w:sz w:val="24"/>
          <w:szCs w:val="20"/>
          <w:highlight w:val="none"/>
        </w:rPr>
        <w:t>1</w:t>
      </w:r>
      <w:r>
        <w:rPr>
          <w:rFonts w:hint="eastAsia" w:ascii="Times New Roman" w:hAnsi="Times New Roman" w:eastAsia="宋体" w:cs="Times New Roman"/>
          <w:kern w:val="2"/>
          <w:sz w:val="24"/>
          <w:szCs w:val="20"/>
          <w:highlight w:val="none"/>
        </w:rPr>
        <w:t>）型，城东湖闸、颍上闸、曹台闸和东淝闸工程规模为</w:t>
      </w:r>
      <w:r>
        <w:rPr>
          <w:rFonts w:ascii="Times New Roman" w:hAnsi="Times New Roman" w:eastAsia="宋体" w:cs="Times New Roman"/>
          <w:kern w:val="2"/>
          <w:sz w:val="24"/>
          <w:szCs w:val="20"/>
          <w:highlight w:val="none"/>
        </w:rPr>
        <w:fldChar w:fldCharType="begin"/>
      </w:r>
      <w:r>
        <w:rPr>
          <w:rFonts w:ascii="Times New Roman" w:hAnsi="Times New Roman" w:eastAsia="宋体" w:cs="Times New Roman"/>
          <w:kern w:val="2"/>
          <w:sz w:val="24"/>
          <w:szCs w:val="20"/>
          <w:highlight w:val="none"/>
        </w:rPr>
        <w:instrText xml:space="preserve"> </w:instrText>
      </w:r>
      <w:r>
        <w:rPr>
          <w:rFonts w:hint="eastAsia" w:ascii="Times New Roman" w:hAnsi="Times New Roman" w:eastAsia="宋体" w:cs="Times New Roman"/>
          <w:kern w:val="2"/>
          <w:sz w:val="24"/>
          <w:szCs w:val="20"/>
          <w:highlight w:val="none"/>
        </w:rPr>
        <w:instrText xml:space="preserve">= 2 \* ROMAN</w:instrText>
      </w:r>
      <w:r>
        <w:rPr>
          <w:rFonts w:ascii="Times New Roman" w:hAnsi="Times New Roman" w:eastAsia="宋体" w:cs="Times New Roman"/>
          <w:kern w:val="2"/>
          <w:sz w:val="24"/>
          <w:szCs w:val="20"/>
          <w:highlight w:val="none"/>
        </w:rPr>
        <w:instrText xml:space="preserve"> </w:instrText>
      </w:r>
      <w:r>
        <w:rPr>
          <w:rFonts w:ascii="Times New Roman" w:hAnsi="Times New Roman" w:eastAsia="宋体" w:cs="Times New Roman"/>
          <w:kern w:val="2"/>
          <w:sz w:val="24"/>
          <w:szCs w:val="20"/>
          <w:highlight w:val="none"/>
        </w:rPr>
        <w:fldChar w:fldCharType="separate"/>
      </w:r>
      <w:r>
        <w:rPr>
          <w:rFonts w:ascii="Times New Roman" w:hAnsi="Times New Roman" w:eastAsia="宋体" w:cs="Times New Roman"/>
          <w:kern w:val="2"/>
          <w:sz w:val="24"/>
          <w:szCs w:val="20"/>
          <w:highlight w:val="none"/>
        </w:rPr>
        <w:t>II</w:t>
      </w:r>
      <w:r>
        <w:rPr>
          <w:rFonts w:ascii="Times New Roman" w:hAnsi="Times New Roman" w:eastAsia="宋体" w:cs="Times New Roman"/>
          <w:kern w:val="2"/>
          <w:sz w:val="24"/>
          <w:szCs w:val="20"/>
          <w:highlight w:val="none"/>
        </w:rPr>
        <w:fldChar w:fldCharType="end"/>
      </w:r>
      <w:r>
        <w:rPr>
          <w:rFonts w:hint="eastAsia" w:ascii="Times New Roman" w:hAnsi="Times New Roman" w:eastAsia="宋体" w:cs="Times New Roman"/>
          <w:kern w:val="2"/>
          <w:sz w:val="24"/>
          <w:szCs w:val="20"/>
          <w:highlight w:val="none"/>
        </w:rPr>
        <w:t>等大（2）型，现阶段，蚌埠闸、城东湖闸、颍上闸、曹台闸和东淝闸均无水平位移变形监测设施。因此，根据《水闸安全监测技术规范》（</w:t>
      </w:r>
      <w:r>
        <w:rPr>
          <w:rFonts w:ascii="Times New Roman" w:hAnsi="Times New Roman" w:eastAsia="宋体" w:cs="Times New Roman"/>
          <w:kern w:val="2"/>
          <w:sz w:val="24"/>
          <w:szCs w:val="20"/>
          <w:highlight w:val="none"/>
        </w:rPr>
        <w:t>SL 768-2018</w:t>
      </w:r>
      <w:r>
        <w:rPr>
          <w:rFonts w:hint="eastAsia" w:ascii="Times New Roman" w:hAnsi="Times New Roman" w:eastAsia="宋体" w:cs="Times New Roman"/>
          <w:kern w:val="2"/>
          <w:sz w:val="24"/>
          <w:szCs w:val="20"/>
          <w:highlight w:val="none"/>
        </w:rPr>
        <w:t>）要求，对蚌埠闸、城东湖闸、颍上闸、曹台闸和东淝闸增设水平位移变形监测</w:t>
      </w:r>
      <w:r>
        <w:rPr>
          <w:rFonts w:hint="eastAsia" w:ascii="Times New Roman" w:hAnsi="Times New Roman" w:cs="Times New Roman"/>
          <w:kern w:val="2"/>
          <w:sz w:val="24"/>
          <w:szCs w:val="20"/>
          <w:highlight w:val="none"/>
          <w:lang w:val="en-US" w:eastAsia="zh-CN"/>
        </w:rPr>
        <w:t>设施是必要的</w:t>
      </w:r>
      <w:r>
        <w:rPr>
          <w:rFonts w:hint="eastAsia" w:ascii="Times New Roman" w:hAnsi="Times New Roman" w:eastAsia="宋体" w:cs="Times New Roman"/>
          <w:kern w:val="2"/>
          <w:sz w:val="24"/>
          <w:szCs w:val="20"/>
          <w:highlight w:val="none"/>
        </w:rPr>
        <w:t>。</w:t>
      </w:r>
    </w:p>
    <w:p w14:paraId="0E45C0AC">
      <w:pPr>
        <w:keepNext/>
        <w:keepLines/>
        <w:widowControl w:val="0"/>
        <w:adjustRightInd w:val="0"/>
        <w:snapToGrid w:val="0"/>
        <w:spacing w:before="312" w:beforeLines="100" w:line="360" w:lineRule="auto"/>
        <w:jc w:val="both"/>
        <w:outlineLvl w:val="0"/>
        <w:rPr>
          <w:rFonts w:ascii="Times New Roman" w:hAnsi="Times New Roman" w:eastAsia="黑体" w:cs="Times New Roman"/>
          <w:b w:val="0"/>
          <w:bCs/>
          <w:kern w:val="44"/>
          <w:sz w:val="32"/>
          <w:szCs w:val="32"/>
          <w:highlight w:val="none"/>
          <w:lang w:val="en-US" w:eastAsia="zh-CN" w:bidi="ar-SA"/>
        </w:rPr>
      </w:pPr>
      <w:r>
        <w:rPr>
          <w:rFonts w:hint="eastAsia" w:ascii="Times New Roman" w:hAnsi="Times New Roman" w:eastAsia="黑体" w:cs="Times New Roman"/>
          <w:b w:val="0"/>
          <w:bCs/>
          <w:kern w:val="44"/>
          <w:sz w:val="32"/>
          <w:szCs w:val="32"/>
          <w:highlight w:val="none"/>
          <w:lang w:val="en-US" w:eastAsia="zh-CN" w:bidi="ar-SA"/>
        </w:rPr>
        <w:t>3</w:t>
      </w:r>
      <w:r>
        <w:rPr>
          <w:rFonts w:ascii="Times New Roman" w:hAnsi="Times New Roman" w:eastAsia="黑体" w:cs="Times New Roman"/>
          <w:b w:val="0"/>
          <w:bCs/>
          <w:kern w:val="44"/>
          <w:sz w:val="32"/>
          <w:szCs w:val="32"/>
          <w:highlight w:val="none"/>
          <w:lang w:val="en-US" w:eastAsia="zh-CN" w:bidi="ar-SA"/>
        </w:rPr>
        <w:t xml:space="preserve">. </w:t>
      </w:r>
      <w:r>
        <w:rPr>
          <w:rFonts w:hint="eastAsia" w:ascii="Times New Roman" w:hAnsi="Times New Roman" w:eastAsia="黑体" w:cs="Times New Roman"/>
          <w:b w:val="0"/>
          <w:bCs/>
          <w:kern w:val="44"/>
          <w:sz w:val="32"/>
          <w:szCs w:val="32"/>
          <w:highlight w:val="none"/>
          <w:lang w:val="en-US" w:eastAsia="zh-CN" w:bidi="ar-SA"/>
        </w:rPr>
        <w:t>技术要求</w:t>
      </w:r>
    </w:p>
    <w:p w14:paraId="1217B4AC">
      <w:pPr>
        <w:keepNext/>
        <w:keepLines/>
        <w:outlineLvl w:val="1"/>
        <w:rPr>
          <w:rFonts w:ascii="Times New Roman" w:hAnsi="Times New Roman" w:eastAsia="仿宋" w:cs="Times New Roman"/>
          <w:b/>
          <w:bCs/>
          <w:kern w:val="2"/>
          <w:sz w:val="28"/>
          <w:szCs w:val="32"/>
          <w:highlight w:val="none"/>
        </w:rPr>
      </w:pPr>
      <w:bookmarkStart w:id="67" w:name="_Toc29888"/>
      <w:bookmarkStart w:id="68" w:name="_Toc6509"/>
      <w:bookmarkStart w:id="69" w:name="_Toc20088_WPSOffice_Level2"/>
      <w:bookmarkStart w:id="70" w:name="_Toc11238"/>
      <w:bookmarkStart w:id="71" w:name="_Toc2109"/>
      <w:bookmarkStart w:id="72" w:name="_Toc155890965"/>
      <w:bookmarkStart w:id="73" w:name="_Toc15175_WPSOffice_Level2"/>
      <w:bookmarkStart w:id="74" w:name="_Toc156338031"/>
      <w:r>
        <w:rPr>
          <w:rFonts w:ascii="Times New Roman" w:hAnsi="Times New Roman" w:eastAsia="仿宋" w:cs="Times New Roman"/>
          <w:b/>
          <w:bCs/>
          <w:kern w:val="2"/>
          <w:sz w:val="28"/>
          <w:szCs w:val="32"/>
          <w:highlight w:val="none"/>
        </w:rPr>
        <w:t xml:space="preserve">3.1 </w:t>
      </w:r>
      <w:bookmarkEnd w:id="67"/>
      <w:bookmarkEnd w:id="68"/>
      <w:bookmarkEnd w:id="69"/>
      <w:bookmarkEnd w:id="70"/>
      <w:bookmarkEnd w:id="71"/>
      <w:bookmarkEnd w:id="72"/>
      <w:bookmarkEnd w:id="73"/>
      <w:r>
        <w:rPr>
          <w:rFonts w:hint="eastAsia" w:ascii="Times New Roman" w:hAnsi="Times New Roman" w:eastAsia="仿宋" w:cs="Times New Roman"/>
          <w:b/>
          <w:bCs/>
          <w:kern w:val="2"/>
          <w:sz w:val="28"/>
          <w:szCs w:val="32"/>
          <w:highlight w:val="none"/>
        </w:rPr>
        <w:t>服务范围要求</w:t>
      </w:r>
      <w:bookmarkEnd w:id="74"/>
    </w:p>
    <w:p w14:paraId="1795F5D8">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对蚌埠闸、城东湖闸、颍上闸、曹台闸和东淝闸开展水平位移监测设施安装，采集水平位移相关数据</w:t>
      </w:r>
      <w:r>
        <w:rPr>
          <w:rFonts w:hint="eastAsia" w:ascii="Times New Roman" w:hAnsi="Times New Roman" w:cs="Times New Roman"/>
          <w:kern w:val="2"/>
          <w:sz w:val="24"/>
          <w:szCs w:val="20"/>
          <w:highlight w:val="none"/>
          <w:lang w:eastAsia="zh-CN"/>
        </w:rPr>
        <w:t>；</w:t>
      </w:r>
      <w:r>
        <w:rPr>
          <w:rFonts w:hint="eastAsia" w:ascii="Times New Roman" w:hAnsi="Times New Roman" w:cs="Times New Roman"/>
          <w:kern w:val="2"/>
          <w:sz w:val="24"/>
          <w:szCs w:val="20"/>
          <w:highlight w:val="none"/>
          <w:lang w:val="en-US" w:eastAsia="zh-CN"/>
        </w:rPr>
        <w:t>对管理人员进行仪器操作、数据采集相关培训；对安全监测设施进行准确性校验</w:t>
      </w:r>
      <w:r>
        <w:rPr>
          <w:rFonts w:hint="eastAsia" w:ascii="Times New Roman" w:hAnsi="Times New Roman" w:cs="Times New Roman"/>
          <w:b/>
          <w:bCs/>
          <w:color w:val="FF0000"/>
          <w:kern w:val="2"/>
          <w:sz w:val="24"/>
          <w:szCs w:val="20"/>
          <w:highlight w:val="none"/>
          <w:lang w:val="en-US" w:eastAsia="zh-CN"/>
        </w:rPr>
        <w:t>并出具相应成果报告</w:t>
      </w:r>
      <w:r>
        <w:rPr>
          <w:rFonts w:hint="eastAsia" w:ascii="Times New Roman" w:hAnsi="Times New Roman" w:eastAsia="宋体" w:cs="Times New Roman"/>
          <w:kern w:val="2"/>
          <w:sz w:val="24"/>
          <w:szCs w:val="20"/>
          <w:highlight w:val="none"/>
        </w:rPr>
        <w:t>。</w:t>
      </w:r>
    </w:p>
    <w:p w14:paraId="62F20A43">
      <w:pPr>
        <w:keepNext/>
        <w:keepLines/>
        <w:outlineLvl w:val="1"/>
        <w:rPr>
          <w:rFonts w:ascii="Times New Roman" w:hAnsi="Times New Roman" w:eastAsia="仿宋" w:cs="Times New Roman"/>
          <w:b/>
          <w:bCs/>
          <w:kern w:val="2"/>
          <w:sz w:val="28"/>
          <w:szCs w:val="32"/>
          <w:highlight w:val="none"/>
        </w:rPr>
      </w:pPr>
      <w:bookmarkStart w:id="75" w:name="_Toc156338032"/>
      <w:r>
        <w:rPr>
          <w:rFonts w:ascii="Times New Roman" w:hAnsi="Times New Roman" w:eastAsia="仿宋" w:cs="Times New Roman"/>
          <w:b/>
          <w:bCs/>
          <w:kern w:val="2"/>
          <w:sz w:val="28"/>
          <w:szCs w:val="32"/>
          <w:highlight w:val="none"/>
        </w:rPr>
        <w:t xml:space="preserve">3.2 </w:t>
      </w:r>
      <w:r>
        <w:rPr>
          <w:rFonts w:hint="eastAsia" w:ascii="Times New Roman" w:hAnsi="Times New Roman" w:eastAsia="仿宋" w:cs="Times New Roman"/>
          <w:b/>
          <w:bCs/>
          <w:kern w:val="2"/>
          <w:sz w:val="28"/>
          <w:szCs w:val="32"/>
          <w:highlight w:val="none"/>
        </w:rPr>
        <w:t>服务期限要求</w:t>
      </w:r>
      <w:bookmarkEnd w:id="75"/>
    </w:p>
    <w:p w14:paraId="29A5985C">
      <w:pPr>
        <w:numPr>
          <w:ilvl w:val="0"/>
          <w:numId w:val="0"/>
        </w:numPr>
        <w:spacing w:line="360" w:lineRule="auto"/>
        <w:ind w:firstLine="480" w:firstLineChars="200"/>
        <w:rPr>
          <w:rFonts w:ascii="Times New Roman" w:hAnsi="Times New Roman" w:eastAsia="宋体" w:cs="Times New Roman"/>
          <w:kern w:val="2"/>
          <w:sz w:val="24"/>
          <w:szCs w:val="20"/>
          <w:highlight w:val="none"/>
        </w:rPr>
      </w:pPr>
      <w:r>
        <w:rPr>
          <w:rFonts w:hint="eastAsia" w:asciiTheme="minorEastAsia" w:hAnsiTheme="minorEastAsia" w:eastAsiaTheme="minorEastAsia"/>
          <w:color w:val="auto"/>
          <w:sz w:val="24"/>
          <w:highlight w:val="none"/>
          <w:lang w:val="en-US" w:eastAsia="zh-CN"/>
        </w:rPr>
        <w:t>合同签订之日起60日历天完成水平位移监测设施安装调试，2025年12月31日前完成</w:t>
      </w:r>
      <w:r>
        <w:rPr>
          <w:rFonts w:hint="eastAsia" w:ascii="Times New Roman" w:hAnsi="Times New Roman" w:eastAsia="宋体" w:cs="Times New Roman"/>
          <w:kern w:val="2"/>
          <w:sz w:val="24"/>
          <w:szCs w:val="20"/>
          <w:highlight w:val="none"/>
        </w:rPr>
        <w:t>数据采集等相关工作。</w:t>
      </w:r>
    </w:p>
    <w:p w14:paraId="70979F7D">
      <w:pPr>
        <w:keepNext/>
        <w:keepLines/>
        <w:outlineLvl w:val="1"/>
        <w:rPr>
          <w:rFonts w:ascii="Times New Roman" w:hAnsi="Times New Roman" w:eastAsia="仿宋" w:cs="Times New Roman"/>
          <w:b/>
          <w:bCs/>
          <w:kern w:val="2"/>
          <w:sz w:val="28"/>
          <w:szCs w:val="32"/>
          <w:highlight w:val="none"/>
        </w:rPr>
      </w:pPr>
      <w:bookmarkStart w:id="76" w:name="_Toc156338033"/>
      <w:r>
        <w:rPr>
          <w:rFonts w:ascii="Times New Roman" w:hAnsi="Times New Roman" w:eastAsia="仿宋" w:cs="Times New Roman"/>
          <w:b/>
          <w:bCs/>
          <w:kern w:val="2"/>
          <w:sz w:val="28"/>
          <w:szCs w:val="32"/>
          <w:highlight w:val="none"/>
        </w:rPr>
        <w:t xml:space="preserve">3.3 </w:t>
      </w:r>
      <w:r>
        <w:rPr>
          <w:rFonts w:hint="eastAsia" w:ascii="Times New Roman" w:hAnsi="Times New Roman" w:eastAsia="仿宋" w:cs="Times New Roman"/>
          <w:b/>
          <w:bCs/>
          <w:kern w:val="2"/>
          <w:sz w:val="28"/>
          <w:szCs w:val="32"/>
          <w:highlight w:val="none"/>
        </w:rPr>
        <w:t>采用标准和规范要求</w:t>
      </w:r>
      <w:bookmarkEnd w:id="76"/>
    </w:p>
    <w:p w14:paraId="4E3244C2">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本项目所适用标准和规范包括但不限于见下：</w:t>
      </w:r>
    </w:p>
    <w:p w14:paraId="183F3155">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(1)</w:t>
      </w:r>
      <w:r>
        <w:rPr>
          <w:rFonts w:ascii="Times New Roman" w:hAnsi="Times New Roman" w:eastAsia="宋体" w:cs="Times New Roman"/>
          <w:kern w:val="2"/>
          <w:sz w:val="24"/>
          <w:szCs w:val="20"/>
          <w:highlight w:val="none"/>
        </w:rPr>
        <w:t xml:space="preserve"> </w:t>
      </w:r>
      <w:r>
        <w:rPr>
          <w:rFonts w:hint="eastAsia" w:ascii="Times New Roman" w:hAnsi="Times New Roman" w:eastAsia="宋体" w:cs="Times New Roman"/>
          <w:kern w:val="2"/>
          <w:sz w:val="24"/>
          <w:szCs w:val="20"/>
          <w:highlight w:val="none"/>
        </w:rPr>
        <w:t>《水闸设计规范》</w:t>
      </w:r>
      <w:r>
        <w:rPr>
          <w:rFonts w:ascii="Times New Roman" w:hAnsi="Times New Roman" w:eastAsia="宋体" w:cs="Times New Roman"/>
          <w:kern w:val="2"/>
          <w:sz w:val="24"/>
          <w:szCs w:val="20"/>
          <w:highlight w:val="none"/>
        </w:rPr>
        <w:t>SL265</w:t>
      </w:r>
    </w:p>
    <w:p w14:paraId="0D1A3173">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ascii="Times New Roman" w:hAnsi="Times New Roman" w:eastAsia="宋体" w:cs="Times New Roman"/>
          <w:kern w:val="2"/>
          <w:sz w:val="24"/>
          <w:szCs w:val="20"/>
          <w:highlight w:val="none"/>
        </w:rPr>
        <w:t>2</w:t>
      </w:r>
      <w:r>
        <w:rPr>
          <w:rFonts w:hint="eastAsia" w:ascii="Times New Roman" w:hAnsi="Times New Roman" w:eastAsia="宋体" w:cs="Times New Roman"/>
          <w:kern w:val="2"/>
          <w:sz w:val="24"/>
          <w:szCs w:val="20"/>
          <w:highlight w:val="none"/>
        </w:rPr>
        <w:t>) 《水闸安全监测技术规范》SL768</w:t>
      </w:r>
    </w:p>
    <w:p w14:paraId="2D5DD998">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ascii="Times New Roman" w:hAnsi="Times New Roman" w:eastAsia="宋体" w:cs="Times New Roman"/>
          <w:kern w:val="2"/>
          <w:sz w:val="24"/>
          <w:szCs w:val="20"/>
          <w:highlight w:val="none"/>
        </w:rPr>
        <w:t>3</w:t>
      </w:r>
      <w:r>
        <w:rPr>
          <w:rFonts w:hint="eastAsia" w:ascii="Times New Roman" w:hAnsi="Times New Roman" w:eastAsia="宋体" w:cs="Times New Roman"/>
          <w:kern w:val="2"/>
          <w:sz w:val="24"/>
          <w:szCs w:val="20"/>
          <w:highlight w:val="none"/>
        </w:rPr>
        <w:t>)</w:t>
      </w:r>
      <w:r>
        <w:rPr>
          <w:rFonts w:ascii="Times New Roman" w:hAnsi="Times New Roman" w:eastAsia="宋体" w:cs="Times New Roman"/>
          <w:kern w:val="2"/>
          <w:sz w:val="24"/>
          <w:szCs w:val="20"/>
          <w:highlight w:val="none"/>
        </w:rPr>
        <w:t xml:space="preserve"> </w:t>
      </w:r>
      <w:r>
        <w:rPr>
          <w:rFonts w:hint="eastAsia" w:ascii="Times New Roman" w:hAnsi="Times New Roman" w:eastAsia="宋体" w:cs="Times New Roman"/>
          <w:kern w:val="2"/>
          <w:sz w:val="24"/>
          <w:szCs w:val="20"/>
          <w:highlight w:val="none"/>
        </w:rPr>
        <w:t>其他与此相关制度及管理文件。</w:t>
      </w:r>
    </w:p>
    <w:p w14:paraId="3AF12933">
      <w:pPr>
        <w:keepNext/>
        <w:keepLines/>
        <w:outlineLvl w:val="1"/>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3.4 </w:t>
      </w:r>
      <w:r>
        <w:rPr>
          <w:rFonts w:hint="eastAsia" w:ascii="Times New Roman" w:hAnsi="Times New Roman" w:eastAsia="仿宋" w:cs="Times New Roman"/>
          <w:b/>
          <w:bCs/>
          <w:kern w:val="2"/>
          <w:sz w:val="28"/>
          <w:szCs w:val="32"/>
          <w:highlight w:val="none"/>
        </w:rPr>
        <w:t>水平位移的布设方案</w:t>
      </w:r>
    </w:p>
    <w:p w14:paraId="319DD4B0">
      <w:pPr>
        <w:keepNext/>
        <w:keepLines/>
        <w:outlineLvl w:val="2"/>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3.4.1 </w:t>
      </w:r>
      <w:r>
        <w:rPr>
          <w:rFonts w:hint="eastAsia" w:ascii="Times New Roman" w:hAnsi="Times New Roman" w:eastAsia="仿宋" w:cs="Times New Roman"/>
          <w:b/>
          <w:bCs/>
          <w:kern w:val="2"/>
          <w:sz w:val="28"/>
          <w:szCs w:val="32"/>
          <w:highlight w:val="none"/>
        </w:rPr>
        <w:t>城东湖闸水平位移的布设方案</w:t>
      </w:r>
    </w:p>
    <w:p w14:paraId="11E54E74">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按照《水闸安全监测技术规范》（SL768-2018），本次城东湖闸水平位移观测拟采用视准线法，分别在上游翼墙、闸墩、下游翼墙位置处布设3条测线。</w:t>
      </w:r>
    </w:p>
    <w:p w14:paraId="67096DC0">
      <w:pPr>
        <w:keepNext/>
        <w:keepLines/>
        <w:outlineLvl w:val="2"/>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3.4.2 </w:t>
      </w:r>
      <w:r>
        <w:rPr>
          <w:rFonts w:hint="eastAsia" w:ascii="Times New Roman" w:hAnsi="Times New Roman" w:eastAsia="仿宋" w:cs="Times New Roman"/>
          <w:b/>
          <w:bCs/>
          <w:kern w:val="2"/>
          <w:sz w:val="28"/>
          <w:szCs w:val="32"/>
          <w:highlight w:val="none"/>
        </w:rPr>
        <w:t>东淝闸水平位移的布设方案</w:t>
      </w:r>
    </w:p>
    <w:p w14:paraId="1782AF53">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按照《水闸安全监测技术规范》（SL768-2018），本次东淝闸水平位移观测拟采用视准线法，分别在新闸和老闸的上游翼墙、闸墩、下游翼墙位置处各布设3条测线。</w:t>
      </w:r>
    </w:p>
    <w:p w14:paraId="69863A30">
      <w:pPr>
        <w:keepNext/>
        <w:keepLines/>
        <w:outlineLvl w:val="2"/>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3.4.3 </w:t>
      </w:r>
      <w:r>
        <w:rPr>
          <w:rFonts w:hint="eastAsia" w:ascii="Times New Roman" w:hAnsi="Times New Roman" w:eastAsia="仿宋" w:cs="Times New Roman"/>
          <w:b/>
          <w:bCs/>
          <w:kern w:val="2"/>
          <w:sz w:val="28"/>
          <w:szCs w:val="32"/>
          <w:highlight w:val="none"/>
        </w:rPr>
        <w:t>曹台闸水平位移的布设方案</w:t>
      </w:r>
    </w:p>
    <w:p w14:paraId="7B6481E4">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按照《水闸安全监测技术规范》（SL</w:t>
      </w:r>
      <w:r>
        <w:rPr>
          <w:rFonts w:ascii="Times New Roman" w:hAnsi="Times New Roman" w:eastAsia="宋体" w:cs="Times New Roman"/>
          <w:kern w:val="2"/>
          <w:sz w:val="24"/>
          <w:szCs w:val="20"/>
          <w:highlight w:val="none"/>
        </w:rPr>
        <w:t xml:space="preserve"> </w:t>
      </w:r>
      <w:r>
        <w:rPr>
          <w:rFonts w:hint="eastAsia" w:ascii="Times New Roman" w:hAnsi="Times New Roman" w:eastAsia="宋体" w:cs="Times New Roman"/>
          <w:kern w:val="2"/>
          <w:sz w:val="24"/>
          <w:szCs w:val="20"/>
          <w:highlight w:val="none"/>
        </w:rPr>
        <w:t>768-2018），本次曹台闸水平位移观测拟采用视准线法，分别在下游翼墙、闸墩位置处布设</w:t>
      </w:r>
      <w:r>
        <w:rPr>
          <w:rFonts w:ascii="Times New Roman" w:hAnsi="Times New Roman" w:eastAsia="宋体" w:cs="Times New Roman"/>
          <w:kern w:val="2"/>
          <w:sz w:val="24"/>
          <w:szCs w:val="20"/>
          <w:highlight w:val="none"/>
        </w:rPr>
        <w:t>3</w:t>
      </w:r>
      <w:r>
        <w:rPr>
          <w:rFonts w:hint="eastAsia" w:ascii="Times New Roman" w:hAnsi="Times New Roman" w:eastAsia="宋体" w:cs="Times New Roman"/>
          <w:kern w:val="2"/>
          <w:sz w:val="24"/>
          <w:szCs w:val="20"/>
          <w:highlight w:val="none"/>
        </w:rPr>
        <w:t>条测线</w:t>
      </w:r>
    </w:p>
    <w:p w14:paraId="70E7F657">
      <w:pPr>
        <w:keepNext/>
        <w:keepLines/>
        <w:outlineLvl w:val="2"/>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3.4.4 </w:t>
      </w:r>
      <w:r>
        <w:rPr>
          <w:rFonts w:hint="eastAsia" w:ascii="Times New Roman" w:hAnsi="Times New Roman" w:eastAsia="仿宋" w:cs="Times New Roman"/>
          <w:b/>
          <w:bCs/>
          <w:kern w:val="2"/>
          <w:sz w:val="28"/>
          <w:szCs w:val="32"/>
          <w:highlight w:val="none"/>
        </w:rPr>
        <w:t>颍上闸水平位移的布设方案</w:t>
      </w:r>
    </w:p>
    <w:p w14:paraId="13D62D8C">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按照《水闸安全监测技术规范》（SL768-2018），本次颍上闸水平位移观测拟采用视准线法，分别在上游翼墙、闸墩、下游翼墙位置处布设3条测线。</w:t>
      </w:r>
    </w:p>
    <w:p w14:paraId="5AD3C652">
      <w:pPr>
        <w:keepNext/>
        <w:keepLines/>
        <w:outlineLvl w:val="2"/>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3.4.5 </w:t>
      </w:r>
      <w:r>
        <w:rPr>
          <w:rFonts w:hint="eastAsia" w:ascii="Times New Roman" w:hAnsi="Times New Roman" w:eastAsia="仿宋" w:cs="Times New Roman"/>
          <w:b/>
          <w:bCs/>
          <w:kern w:val="2"/>
          <w:sz w:val="28"/>
          <w:szCs w:val="32"/>
          <w:highlight w:val="none"/>
        </w:rPr>
        <w:t>蚌埠闸水平位移的布设方案</w:t>
      </w:r>
    </w:p>
    <w:p w14:paraId="16A2976D">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按照《水闸安全监测技术规范》（SL768-2018），本次蚌埠闸水平位移观测拟采用视准线法，分别在1</w:t>
      </w:r>
      <w:r>
        <w:rPr>
          <w:rFonts w:ascii="Times New Roman" w:hAnsi="Times New Roman" w:eastAsia="宋体" w:cs="Times New Roman"/>
          <w:kern w:val="2"/>
          <w:sz w:val="24"/>
          <w:szCs w:val="20"/>
          <w:highlight w:val="none"/>
        </w:rPr>
        <w:t>2</w:t>
      </w:r>
      <w:r>
        <w:rPr>
          <w:rFonts w:hint="eastAsia" w:ascii="Times New Roman" w:hAnsi="Times New Roman" w:eastAsia="宋体" w:cs="Times New Roman"/>
          <w:kern w:val="2"/>
          <w:sz w:val="24"/>
          <w:szCs w:val="20"/>
          <w:highlight w:val="none"/>
        </w:rPr>
        <w:t>孔节制闸和2</w:t>
      </w:r>
      <w:r>
        <w:rPr>
          <w:rFonts w:ascii="Times New Roman" w:hAnsi="Times New Roman" w:eastAsia="宋体" w:cs="Times New Roman"/>
          <w:kern w:val="2"/>
          <w:sz w:val="24"/>
          <w:szCs w:val="20"/>
          <w:highlight w:val="none"/>
        </w:rPr>
        <w:t>8</w:t>
      </w:r>
      <w:r>
        <w:rPr>
          <w:rFonts w:hint="eastAsia" w:ascii="Times New Roman" w:hAnsi="Times New Roman" w:eastAsia="宋体" w:cs="Times New Roman"/>
          <w:kern w:val="2"/>
          <w:sz w:val="24"/>
          <w:szCs w:val="20"/>
          <w:highlight w:val="none"/>
        </w:rPr>
        <w:t>孔节制闸的上游翼墙、闸墩、下游翼墙位置处各布设3条测线。</w:t>
      </w:r>
    </w:p>
    <w:p w14:paraId="0B1BF325">
      <w:pPr>
        <w:keepNext/>
        <w:keepLines/>
        <w:outlineLvl w:val="1"/>
        <w:rPr>
          <w:rFonts w:ascii="Times New Roman" w:hAnsi="Times New Roman" w:eastAsia="仿宋" w:cs="Times New Roman"/>
          <w:b/>
          <w:bCs/>
          <w:kern w:val="2"/>
          <w:sz w:val="28"/>
          <w:szCs w:val="32"/>
          <w:highlight w:val="none"/>
        </w:rPr>
      </w:pPr>
      <w:r>
        <w:rPr>
          <w:rFonts w:ascii="Times New Roman" w:hAnsi="Times New Roman" w:eastAsia="仿宋" w:cs="Times New Roman"/>
          <w:b/>
          <w:bCs/>
          <w:kern w:val="2"/>
          <w:sz w:val="28"/>
          <w:szCs w:val="32"/>
          <w:highlight w:val="none"/>
        </w:rPr>
        <w:t xml:space="preserve">3.5 </w:t>
      </w:r>
      <w:r>
        <w:rPr>
          <w:rFonts w:hint="eastAsia" w:ascii="Times New Roman" w:hAnsi="Times New Roman" w:eastAsia="仿宋" w:cs="Times New Roman"/>
          <w:b/>
          <w:bCs/>
          <w:kern w:val="2"/>
          <w:sz w:val="28"/>
          <w:szCs w:val="32"/>
          <w:highlight w:val="none"/>
        </w:rPr>
        <w:t>视准线的设计与安装</w:t>
      </w:r>
    </w:p>
    <w:p w14:paraId="74EB2253">
      <w:pPr>
        <w:spacing w:line="360" w:lineRule="auto"/>
        <w:ind w:firstLine="482" w:firstLineChars="200"/>
        <w:rPr>
          <w:rFonts w:ascii="Times New Roman" w:hAnsi="Times New Roman" w:eastAsia="宋体" w:cs="Times New Roman"/>
          <w:b/>
          <w:kern w:val="2"/>
          <w:sz w:val="24"/>
          <w:szCs w:val="20"/>
          <w:highlight w:val="none"/>
        </w:rPr>
      </w:pPr>
      <w:r>
        <w:rPr>
          <w:rFonts w:hint="eastAsia" w:ascii="Times New Roman" w:hAnsi="Times New Roman" w:eastAsia="宋体" w:cs="Times New Roman"/>
          <w:b/>
          <w:kern w:val="2"/>
          <w:sz w:val="24"/>
          <w:szCs w:val="20"/>
          <w:highlight w:val="none"/>
        </w:rPr>
        <w:t>（1）视准线设计</w:t>
      </w:r>
    </w:p>
    <w:p w14:paraId="6C3ACC92">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视准线应旁离障碍物1.0m以上；</w:t>
      </w:r>
    </w:p>
    <w:p w14:paraId="21291345">
      <w:pPr>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工作基点可采用普通钢筋混凝土观测墩，</w:t>
      </w:r>
      <w:r>
        <w:rPr>
          <w:rFonts w:hint="eastAsia" w:ascii="Times New Roman" w:hAnsi="Times New Roman" w:eastAsia="宋体" w:cs="Times New Roman"/>
          <w:color w:val="FF0000"/>
          <w:sz w:val="24"/>
          <w:szCs w:val="20"/>
          <w:highlight w:val="none"/>
          <w:lang w:val="en-US" w:eastAsia="zh-CN"/>
        </w:rPr>
        <w:t>校核基点宜采用双层钢筋混凝土观测墩；各基点应布置坚实的土壤上，且校核基点应布置在距水闸较远处；</w:t>
      </w:r>
    </w:p>
    <w:p w14:paraId="7AE513D4">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测点宜设观测墩，墩上应设置强制对中底盘，底盘对中精度不应低于0.2mm；</w:t>
      </w:r>
    </w:p>
    <w:p w14:paraId="6E82FC02">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观测墩顶面应高于地面1.2m以上，混凝土观测墩的结构如图所示。</w:t>
      </w:r>
    </w:p>
    <w:p w14:paraId="3E409CD9">
      <w:pPr>
        <w:spacing w:line="360" w:lineRule="auto"/>
        <w:ind w:firstLine="2730" w:firstLineChars="1300"/>
        <w:rPr>
          <w:rFonts w:ascii="Times New Roman" w:hAnsi="Times New Roman" w:eastAsia="黑体" w:cs="Times New Roman"/>
          <w:kern w:val="2"/>
          <w:sz w:val="21"/>
          <w:szCs w:val="20"/>
          <w:highlight w:val="none"/>
        </w:rPr>
      </w:pPr>
      <w:r>
        <w:rPr>
          <w:rFonts w:ascii="Times New Roman" w:hAnsi="Times New Roman" w:eastAsia="黑体" w:cs="Times New Roman"/>
          <w:kern w:val="2"/>
          <w:sz w:val="21"/>
          <w:szCs w:val="20"/>
          <w:highlight w:val="none"/>
        </w:rPr>
        <w:drawing>
          <wp:anchor distT="0" distB="0" distL="114300" distR="114300" simplePos="0" relativeHeight="251662336" behindDoc="0" locked="0" layoutInCell="1" allowOverlap="1">
            <wp:simplePos x="0" y="0"/>
            <wp:positionH relativeFrom="column">
              <wp:posOffset>3243580</wp:posOffset>
            </wp:positionH>
            <wp:positionV relativeFrom="paragraph">
              <wp:posOffset>386715</wp:posOffset>
            </wp:positionV>
            <wp:extent cx="1438910" cy="919480"/>
            <wp:effectExtent l="0" t="0" r="8890" b="139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extLst>
                        <a:ext uri="{28A0092B-C50C-407E-A947-70E740481C1C}">
                          <a14:useLocalDpi xmlns:a14="http://schemas.microsoft.com/office/drawing/2010/main" val="0"/>
                        </a:ext>
                      </a:extLst>
                    </a:blip>
                    <a:srcRect t="62547" b="3812"/>
                    <a:stretch>
                      <a:fillRect/>
                    </a:stretch>
                  </pic:blipFill>
                  <pic:spPr>
                    <a:xfrm>
                      <a:off x="0" y="0"/>
                      <a:ext cx="1438910" cy="919480"/>
                    </a:xfrm>
                    <a:prstGeom prst="rect">
                      <a:avLst/>
                    </a:prstGeom>
                    <a:ln>
                      <a:noFill/>
                    </a:ln>
                  </pic:spPr>
                </pic:pic>
              </a:graphicData>
            </a:graphic>
          </wp:anchor>
        </w:drawing>
      </w:r>
      <w:r>
        <w:rPr>
          <w:rFonts w:ascii="Times New Roman" w:hAnsi="Times New Roman" w:eastAsia="黑体" w:cs="Times New Roman"/>
          <w:kern w:val="2"/>
          <w:sz w:val="21"/>
          <w:szCs w:val="20"/>
          <w:highlight w:val="none"/>
        </w:rPr>
        <w:drawing>
          <wp:inline distT="0" distB="0" distL="0" distR="0">
            <wp:extent cx="1439545" cy="1710690"/>
            <wp:effectExtent l="0" t="0" r="825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rcRect b="37452"/>
                    <a:stretch>
                      <a:fillRect/>
                    </a:stretch>
                  </pic:blipFill>
                  <pic:spPr>
                    <a:xfrm>
                      <a:off x="0" y="0"/>
                      <a:ext cx="1440000" cy="1711535"/>
                    </a:xfrm>
                    <a:prstGeom prst="rect">
                      <a:avLst/>
                    </a:prstGeom>
                    <a:ln>
                      <a:noFill/>
                    </a:ln>
                  </pic:spPr>
                </pic:pic>
              </a:graphicData>
            </a:graphic>
          </wp:inline>
        </w:drawing>
      </w:r>
      <w:r>
        <w:rPr>
          <w:rFonts w:hint="eastAsia" w:ascii="Times New Roman" w:hAnsi="Times New Roman" w:eastAsia="黑体" w:cs="Times New Roman"/>
          <w:kern w:val="2"/>
          <w:sz w:val="21"/>
          <w:szCs w:val="20"/>
          <w:highlight w:val="none"/>
        </w:rPr>
        <w:t xml:space="preserve"> </w:t>
      </w:r>
    </w:p>
    <w:p w14:paraId="04CB4CB7">
      <w:pPr>
        <w:spacing w:line="360" w:lineRule="auto"/>
        <w:jc w:val="center"/>
        <w:rPr>
          <w:rFonts w:ascii="Times New Roman" w:hAnsi="Times New Roman" w:eastAsia="黑体" w:cs="Times New Roman"/>
          <w:kern w:val="2"/>
          <w:sz w:val="21"/>
          <w:szCs w:val="20"/>
          <w:highlight w:val="none"/>
        </w:rPr>
      </w:pPr>
      <w:r>
        <w:rPr>
          <w:rFonts w:ascii="Times New Roman" w:hAnsi="Times New Roman" w:eastAsia="黑体" w:cs="Times New Roman"/>
          <w:kern w:val="2"/>
          <w:sz w:val="21"/>
          <w:szCs w:val="20"/>
          <w:highlight w:val="none"/>
        </w:rPr>
        <w:t>图 混凝土观测墩</w:t>
      </w:r>
      <w:r>
        <w:rPr>
          <w:rFonts w:hint="eastAsia" w:ascii="Times New Roman" w:hAnsi="Times New Roman" w:eastAsia="黑体" w:cs="Times New Roman"/>
          <w:kern w:val="2"/>
          <w:sz w:val="21"/>
          <w:szCs w:val="20"/>
          <w:highlight w:val="none"/>
          <w:lang w:eastAsia="zh-CN"/>
        </w:rPr>
        <w:t>（</w:t>
      </w:r>
      <w:r>
        <w:rPr>
          <w:rFonts w:hint="eastAsia" w:ascii="Times New Roman" w:hAnsi="Times New Roman" w:eastAsia="黑体" w:cs="Times New Roman"/>
          <w:kern w:val="2"/>
          <w:sz w:val="21"/>
          <w:szCs w:val="20"/>
          <w:highlight w:val="none"/>
          <w:lang w:val="en-US" w:eastAsia="zh-CN"/>
        </w:rPr>
        <w:t>仅供参考</w:t>
      </w:r>
      <w:r>
        <w:rPr>
          <w:rFonts w:hint="eastAsia" w:ascii="Times New Roman" w:hAnsi="Times New Roman" w:eastAsia="黑体" w:cs="Times New Roman"/>
          <w:kern w:val="2"/>
          <w:sz w:val="21"/>
          <w:szCs w:val="20"/>
          <w:highlight w:val="none"/>
          <w:lang w:eastAsia="zh-CN"/>
        </w:rPr>
        <w:t>）</w:t>
      </w:r>
      <w:r>
        <w:rPr>
          <w:rFonts w:hint="eastAsia" w:ascii="Times New Roman" w:hAnsi="Times New Roman" w:eastAsia="黑体" w:cs="Times New Roman"/>
          <w:kern w:val="2"/>
          <w:sz w:val="21"/>
          <w:szCs w:val="20"/>
          <w:highlight w:val="none"/>
        </w:rPr>
        <w:t>（1</w:t>
      </w:r>
      <w:r>
        <w:rPr>
          <w:rFonts w:ascii="Times New Roman" w:hAnsi="Times New Roman" w:eastAsia="黑体" w:cs="Times New Roman"/>
          <w:kern w:val="2"/>
          <w:sz w:val="21"/>
          <w:szCs w:val="20"/>
          <w:highlight w:val="none"/>
        </w:rPr>
        <w:t>-</w:t>
      </w:r>
      <w:r>
        <w:rPr>
          <w:rFonts w:hint="eastAsia" w:ascii="Times New Roman" w:hAnsi="Times New Roman" w:eastAsia="黑体" w:cs="Times New Roman"/>
          <w:kern w:val="2"/>
          <w:sz w:val="21"/>
          <w:szCs w:val="20"/>
          <w:highlight w:val="none"/>
        </w:rPr>
        <w:t>表盖，2</w:t>
      </w:r>
      <w:r>
        <w:rPr>
          <w:rFonts w:ascii="Times New Roman" w:hAnsi="Times New Roman" w:eastAsia="黑体" w:cs="Times New Roman"/>
          <w:kern w:val="2"/>
          <w:sz w:val="21"/>
          <w:szCs w:val="20"/>
          <w:highlight w:val="none"/>
        </w:rPr>
        <w:t>-</w:t>
      </w:r>
      <w:r>
        <w:rPr>
          <w:rFonts w:hint="eastAsia" w:ascii="Times New Roman" w:hAnsi="Times New Roman" w:eastAsia="黑体" w:cs="Times New Roman"/>
          <w:kern w:val="2"/>
          <w:sz w:val="21"/>
          <w:szCs w:val="20"/>
          <w:highlight w:val="none"/>
        </w:rPr>
        <w:t>强制对中基座）</w:t>
      </w:r>
    </w:p>
    <w:p w14:paraId="10E3892E">
      <w:pPr>
        <w:spacing w:line="360" w:lineRule="auto"/>
        <w:ind w:firstLine="482" w:firstLineChars="200"/>
        <w:rPr>
          <w:rFonts w:ascii="Times New Roman" w:hAnsi="Times New Roman" w:eastAsia="宋体" w:cs="Times New Roman"/>
          <w:b/>
          <w:kern w:val="2"/>
          <w:sz w:val="24"/>
          <w:szCs w:val="20"/>
          <w:highlight w:val="none"/>
        </w:rPr>
      </w:pPr>
      <w:r>
        <w:rPr>
          <w:rFonts w:hint="eastAsia" w:ascii="Times New Roman" w:hAnsi="Times New Roman" w:eastAsia="宋体" w:cs="Times New Roman"/>
          <w:b/>
          <w:kern w:val="2"/>
          <w:sz w:val="24"/>
          <w:szCs w:val="20"/>
          <w:highlight w:val="none"/>
        </w:rPr>
        <w:t>（</w:t>
      </w:r>
      <w:r>
        <w:rPr>
          <w:rFonts w:ascii="Times New Roman" w:hAnsi="Times New Roman" w:eastAsia="宋体" w:cs="Times New Roman"/>
          <w:b/>
          <w:kern w:val="2"/>
          <w:sz w:val="24"/>
          <w:szCs w:val="20"/>
          <w:highlight w:val="none"/>
        </w:rPr>
        <w:t>2</w:t>
      </w:r>
      <w:r>
        <w:rPr>
          <w:rFonts w:hint="eastAsia" w:ascii="Times New Roman" w:hAnsi="Times New Roman" w:eastAsia="宋体" w:cs="Times New Roman"/>
          <w:b/>
          <w:kern w:val="2"/>
          <w:sz w:val="24"/>
          <w:szCs w:val="20"/>
          <w:highlight w:val="none"/>
        </w:rPr>
        <w:t>）视准线安装</w:t>
      </w:r>
    </w:p>
    <w:p w14:paraId="6035CF91">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观测墩顶部的强制对中底盘应调整水平，倾斜度不应大于4'；</w:t>
      </w:r>
    </w:p>
    <w:p w14:paraId="1E966352">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视准线各测点底盘中心应埋设在两端点底盘中心的连线上，其偏差不应大于10mm。</w:t>
      </w:r>
    </w:p>
    <w:p w14:paraId="0E611A92">
      <w:pPr>
        <w:keepNext/>
        <w:keepLines/>
        <w:outlineLvl w:val="1"/>
        <w:rPr>
          <w:rFonts w:ascii="Times New Roman" w:hAnsi="Times New Roman" w:eastAsia="仿宋" w:cs="Times New Roman"/>
          <w:b/>
          <w:bCs/>
          <w:kern w:val="2"/>
          <w:sz w:val="28"/>
          <w:szCs w:val="32"/>
          <w:highlight w:val="none"/>
        </w:rPr>
      </w:pPr>
      <w:r>
        <w:rPr>
          <w:rFonts w:hint="eastAsia" w:ascii="Times New Roman" w:hAnsi="Times New Roman" w:eastAsia="仿宋" w:cs="Times New Roman"/>
          <w:b/>
          <w:bCs/>
          <w:kern w:val="2"/>
          <w:sz w:val="28"/>
          <w:szCs w:val="32"/>
          <w:highlight w:val="none"/>
        </w:rPr>
        <w:t>3</w:t>
      </w:r>
      <w:r>
        <w:rPr>
          <w:rFonts w:ascii="Times New Roman" w:hAnsi="Times New Roman" w:eastAsia="仿宋" w:cs="Times New Roman"/>
          <w:b/>
          <w:bCs/>
          <w:kern w:val="2"/>
          <w:sz w:val="28"/>
          <w:szCs w:val="32"/>
          <w:highlight w:val="none"/>
        </w:rPr>
        <w:t xml:space="preserve">.6 </w:t>
      </w:r>
      <w:r>
        <w:rPr>
          <w:rFonts w:hint="eastAsia" w:ascii="Times New Roman" w:hAnsi="Times New Roman" w:eastAsia="仿宋" w:cs="Times New Roman"/>
          <w:b/>
          <w:bCs/>
          <w:kern w:val="2"/>
          <w:sz w:val="28"/>
          <w:szCs w:val="32"/>
          <w:highlight w:val="none"/>
        </w:rPr>
        <w:t>视准线观测</w:t>
      </w:r>
    </w:p>
    <w:p w14:paraId="253F375D">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采用视准仪或J</w:t>
      </w:r>
      <w:r>
        <w:rPr>
          <w:rFonts w:hint="eastAsia" w:ascii="Times New Roman" w:hAnsi="Times New Roman" w:eastAsia="宋体" w:cs="Times New Roman"/>
          <w:kern w:val="2"/>
          <w:sz w:val="24"/>
          <w:szCs w:val="20"/>
          <w:highlight w:val="none"/>
          <w:vertAlign w:val="subscript"/>
        </w:rPr>
        <w:t>1</w:t>
      </w:r>
      <w:r>
        <w:rPr>
          <w:rFonts w:hint="eastAsia" w:ascii="Times New Roman" w:hAnsi="Times New Roman" w:eastAsia="宋体" w:cs="Times New Roman"/>
          <w:kern w:val="2"/>
          <w:sz w:val="24"/>
          <w:szCs w:val="20"/>
          <w:highlight w:val="none"/>
        </w:rPr>
        <w:t>型经纬仪或精度不</w:t>
      </w:r>
      <w:r>
        <w:rPr>
          <w:rFonts w:hint="eastAsia" w:ascii="Times New Roman" w:hAnsi="Times New Roman" w:eastAsia="宋体" w:cs="Times New Roman"/>
          <w:color w:val="auto"/>
          <w:sz w:val="24"/>
          <w:szCs w:val="20"/>
          <w:highlight w:val="none"/>
          <w:lang w:val="en-US" w:eastAsia="zh-CN"/>
        </w:rPr>
        <w:t>低于</w:t>
      </w:r>
      <w:r>
        <w:rPr>
          <w:rFonts w:hint="eastAsia" w:ascii="Times New Roman" w:hAnsi="Times New Roman" w:eastAsia="宋体" w:cs="Times New Roman"/>
          <w:kern w:val="2"/>
          <w:sz w:val="24"/>
          <w:szCs w:val="20"/>
          <w:highlight w:val="none"/>
        </w:rPr>
        <w:t>J</w:t>
      </w:r>
      <w:r>
        <w:rPr>
          <w:rFonts w:ascii="Times New Roman" w:hAnsi="Times New Roman" w:eastAsia="宋体" w:cs="Times New Roman"/>
          <w:kern w:val="2"/>
          <w:sz w:val="24"/>
          <w:szCs w:val="20"/>
          <w:highlight w:val="none"/>
          <w:vertAlign w:val="subscript"/>
        </w:rPr>
        <w:t>1</w:t>
      </w:r>
      <w:r>
        <w:rPr>
          <w:rFonts w:hint="eastAsia" w:ascii="Times New Roman" w:hAnsi="Times New Roman" w:eastAsia="宋体" w:cs="Times New Roman"/>
          <w:kern w:val="2"/>
          <w:sz w:val="24"/>
          <w:szCs w:val="20"/>
          <w:highlight w:val="none"/>
        </w:rPr>
        <w:t>型经纬仪的全站仪进行观测，观测时，应在两端工作基点上观测邻近的测点；</w:t>
      </w:r>
    </w:p>
    <w:p w14:paraId="6C0C2DE1">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color w:val="FF0000"/>
          <w:sz w:val="24"/>
          <w:szCs w:val="20"/>
          <w:highlight w:val="none"/>
          <w:lang w:val="en-US" w:eastAsia="zh-CN"/>
        </w:rPr>
        <w:t>水平位移监测的精度要求：位移量中误差限值±2.0mm；</w:t>
      </w:r>
    </w:p>
    <w:p w14:paraId="426A7E53">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每一测次应观测两测回，每测回包括正、倒镜各照准觇标两次并读数两次，取均值作为该测回之观测值，观测限差规定见表</w:t>
      </w:r>
      <w:r>
        <w:rPr>
          <w:rFonts w:ascii="Times New Roman" w:hAnsi="Times New Roman" w:eastAsia="宋体" w:cs="Times New Roman"/>
          <w:kern w:val="2"/>
          <w:sz w:val="24"/>
          <w:szCs w:val="20"/>
          <w:highlight w:val="none"/>
        </w:rPr>
        <w:t>2</w:t>
      </w:r>
      <w:r>
        <w:rPr>
          <w:rFonts w:hint="eastAsia" w:ascii="Times New Roman" w:hAnsi="Times New Roman" w:eastAsia="宋体" w:cs="Times New Roman"/>
          <w:kern w:val="2"/>
          <w:sz w:val="24"/>
          <w:szCs w:val="20"/>
          <w:highlight w:val="none"/>
        </w:rPr>
        <w:t>。</w:t>
      </w:r>
    </w:p>
    <w:p w14:paraId="627F6633">
      <w:pPr>
        <w:spacing w:line="360" w:lineRule="auto"/>
        <w:jc w:val="center"/>
        <w:rPr>
          <w:rFonts w:ascii="Times New Roman" w:hAnsi="Times New Roman" w:eastAsia="黑体" w:cs="Times New Roman"/>
          <w:kern w:val="2"/>
          <w:sz w:val="21"/>
          <w:szCs w:val="20"/>
          <w:highlight w:val="none"/>
        </w:rPr>
      </w:pPr>
      <w:r>
        <w:rPr>
          <w:rFonts w:hint="eastAsia" w:ascii="Times New Roman" w:hAnsi="Times New Roman" w:eastAsia="黑体" w:cs="Times New Roman"/>
          <w:kern w:val="2"/>
          <w:sz w:val="21"/>
          <w:szCs w:val="20"/>
          <w:highlight w:val="none"/>
        </w:rPr>
        <w:t>表</w:t>
      </w:r>
      <w:r>
        <w:rPr>
          <w:rFonts w:ascii="Times New Roman" w:hAnsi="Times New Roman" w:eastAsia="黑体" w:cs="Times New Roman"/>
          <w:kern w:val="2"/>
          <w:sz w:val="21"/>
          <w:szCs w:val="20"/>
          <w:highlight w:val="none"/>
        </w:rPr>
        <w:t xml:space="preserve">2 </w:t>
      </w:r>
      <w:r>
        <w:rPr>
          <w:rFonts w:hint="eastAsia" w:ascii="Times New Roman" w:hAnsi="Times New Roman" w:eastAsia="黑体" w:cs="Times New Roman"/>
          <w:kern w:val="2"/>
          <w:sz w:val="21"/>
          <w:szCs w:val="20"/>
          <w:highlight w:val="none"/>
        </w:rPr>
        <w:t>视准线观测限差</w:t>
      </w:r>
    </w:p>
    <w:tbl>
      <w:tblPr>
        <w:tblStyle w:val="57"/>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2762"/>
        <w:gridCol w:w="2763"/>
      </w:tblGrid>
      <w:tr w14:paraId="17CC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81" w:type="dxa"/>
            <w:tcBorders>
              <w:left w:val="nil"/>
            </w:tcBorders>
          </w:tcPr>
          <w:p w14:paraId="23531CA3">
            <w:pPr>
              <w:spacing w:line="360" w:lineRule="auto"/>
              <w:jc w:val="center"/>
              <w:rPr>
                <w:rFonts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方式</w:t>
            </w:r>
          </w:p>
        </w:tc>
        <w:tc>
          <w:tcPr>
            <w:tcW w:w="2762" w:type="dxa"/>
          </w:tcPr>
          <w:p w14:paraId="3A07AB74">
            <w:pPr>
              <w:spacing w:line="360" w:lineRule="auto"/>
              <w:jc w:val="center"/>
              <w:rPr>
                <w:rFonts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正镜或倒镜两次读数差</w:t>
            </w:r>
          </w:p>
        </w:tc>
        <w:tc>
          <w:tcPr>
            <w:tcW w:w="2763" w:type="dxa"/>
            <w:tcBorders>
              <w:right w:val="nil"/>
            </w:tcBorders>
          </w:tcPr>
          <w:p w14:paraId="4D3BE734">
            <w:pPr>
              <w:spacing w:line="360" w:lineRule="auto"/>
              <w:jc w:val="center"/>
              <w:rPr>
                <w:rFonts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两测回观测值之差</w:t>
            </w:r>
          </w:p>
        </w:tc>
      </w:tr>
      <w:tr w14:paraId="5E35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781" w:type="dxa"/>
            <w:tcBorders>
              <w:left w:val="nil"/>
            </w:tcBorders>
          </w:tcPr>
          <w:p w14:paraId="313BFA64">
            <w:pPr>
              <w:spacing w:line="360" w:lineRule="auto"/>
              <w:jc w:val="center"/>
              <w:rPr>
                <w:rFonts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活动觇牌法/</w:t>
            </w:r>
            <w:r>
              <w:rPr>
                <w:rFonts w:ascii="Times New Roman" w:hAnsi="Times New Roman" w:eastAsia="宋体" w:cs="Times New Roman"/>
                <w:kern w:val="0"/>
                <w:sz w:val="20"/>
                <w:szCs w:val="20"/>
                <w:highlight w:val="none"/>
              </w:rPr>
              <w:t>mm</w:t>
            </w:r>
          </w:p>
        </w:tc>
        <w:tc>
          <w:tcPr>
            <w:tcW w:w="2762" w:type="dxa"/>
          </w:tcPr>
          <w:p w14:paraId="6B23AFD0">
            <w:pPr>
              <w:spacing w:line="360" w:lineRule="auto"/>
              <w:jc w:val="center"/>
              <w:rPr>
                <w:rFonts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2</w:t>
            </w:r>
            <w:r>
              <w:rPr>
                <w:rFonts w:ascii="Times New Roman" w:hAnsi="Times New Roman" w:eastAsia="宋体" w:cs="Times New Roman"/>
                <w:kern w:val="0"/>
                <w:sz w:val="20"/>
                <w:szCs w:val="20"/>
                <w:highlight w:val="none"/>
              </w:rPr>
              <w:t>.0</w:t>
            </w:r>
          </w:p>
        </w:tc>
        <w:tc>
          <w:tcPr>
            <w:tcW w:w="2763" w:type="dxa"/>
            <w:tcBorders>
              <w:right w:val="nil"/>
            </w:tcBorders>
          </w:tcPr>
          <w:p w14:paraId="51D5D68F">
            <w:pPr>
              <w:spacing w:line="360" w:lineRule="auto"/>
              <w:jc w:val="center"/>
              <w:rPr>
                <w:rFonts w:ascii="Times New Roman" w:hAnsi="Times New Roman" w:eastAsia="宋体" w:cs="Times New Roman"/>
                <w:kern w:val="0"/>
                <w:sz w:val="20"/>
                <w:szCs w:val="20"/>
                <w:highlight w:val="none"/>
              </w:rPr>
            </w:pPr>
            <w:r>
              <w:rPr>
                <w:rFonts w:hint="eastAsia" w:ascii="Times New Roman" w:hAnsi="Times New Roman" w:eastAsia="宋体" w:cs="Times New Roman"/>
                <w:kern w:val="0"/>
                <w:sz w:val="20"/>
                <w:szCs w:val="20"/>
                <w:highlight w:val="none"/>
              </w:rPr>
              <w:t>1</w:t>
            </w:r>
            <w:r>
              <w:rPr>
                <w:rFonts w:ascii="Times New Roman" w:hAnsi="Times New Roman" w:eastAsia="宋体" w:cs="Times New Roman"/>
                <w:kern w:val="0"/>
                <w:sz w:val="20"/>
                <w:szCs w:val="20"/>
                <w:highlight w:val="none"/>
              </w:rPr>
              <w:t>.5</w:t>
            </w:r>
          </w:p>
        </w:tc>
      </w:tr>
    </w:tbl>
    <w:p w14:paraId="2C260470">
      <w:pPr>
        <w:keepNext/>
        <w:keepLines/>
        <w:widowControl w:val="0"/>
        <w:adjustRightInd w:val="0"/>
        <w:snapToGrid w:val="0"/>
        <w:spacing w:before="312" w:beforeLines="100" w:line="360" w:lineRule="auto"/>
        <w:jc w:val="both"/>
        <w:outlineLvl w:val="0"/>
        <w:rPr>
          <w:rFonts w:ascii="Times New Roman" w:hAnsi="Times New Roman" w:eastAsia="黑体" w:cs="Times New Roman"/>
          <w:b w:val="0"/>
          <w:bCs/>
          <w:kern w:val="44"/>
          <w:sz w:val="32"/>
          <w:szCs w:val="32"/>
          <w:highlight w:val="none"/>
          <w:lang w:val="en-US" w:eastAsia="zh-CN" w:bidi="ar-SA"/>
        </w:rPr>
      </w:pPr>
      <w:bookmarkStart w:id="77" w:name="_Toc156338037"/>
      <w:r>
        <w:rPr>
          <w:rFonts w:ascii="Times New Roman" w:hAnsi="Times New Roman" w:eastAsia="黑体" w:cs="Times New Roman"/>
          <w:b w:val="0"/>
          <w:bCs/>
          <w:kern w:val="44"/>
          <w:sz w:val="32"/>
          <w:szCs w:val="32"/>
          <w:highlight w:val="none"/>
          <w:lang w:val="en-US" w:eastAsia="zh-CN" w:bidi="ar-SA"/>
        </w:rPr>
        <w:t xml:space="preserve">4 </w:t>
      </w:r>
      <w:r>
        <w:rPr>
          <w:rFonts w:hint="eastAsia" w:ascii="Times New Roman" w:hAnsi="Times New Roman" w:eastAsia="黑体" w:cs="Times New Roman"/>
          <w:b w:val="0"/>
          <w:bCs/>
          <w:kern w:val="44"/>
          <w:sz w:val="32"/>
          <w:szCs w:val="32"/>
          <w:highlight w:val="none"/>
          <w:lang w:val="en-US" w:eastAsia="zh-CN" w:bidi="ar-SA"/>
        </w:rPr>
        <w:t>资源配置及组织要求</w:t>
      </w:r>
      <w:bookmarkEnd w:id="77"/>
    </w:p>
    <w:p w14:paraId="79344AC2">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项目要求配置结构合理的服务团队进行工作。其中须指定人员作为本服务项目团队的负责人。</w:t>
      </w:r>
    </w:p>
    <w:p w14:paraId="3229470E">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项目服务人员应具有与本项目技术要求相适应的技术水平、管理水平和相应资质。</w:t>
      </w:r>
    </w:p>
    <w:p w14:paraId="2429D32F">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项目服务人员不得随意更换。如需更换，应以同等或更高条件的人员取代需更换的人员。若因人员更换影响本服务工作的，由该项目服务单位承担所有损失责任。</w:t>
      </w:r>
    </w:p>
    <w:p w14:paraId="21383C23">
      <w:pPr>
        <w:keepNext/>
        <w:keepLines/>
        <w:widowControl w:val="0"/>
        <w:adjustRightInd w:val="0"/>
        <w:snapToGrid w:val="0"/>
        <w:spacing w:before="312" w:beforeLines="100" w:line="360" w:lineRule="auto"/>
        <w:jc w:val="both"/>
        <w:outlineLvl w:val="0"/>
        <w:rPr>
          <w:rFonts w:ascii="Times New Roman" w:hAnsi="Times New Roman" w:eastAsia="黑体" w:cs="Times New Roman"/>
          <w:b w:val="0"/>
          <w:bCs/>
          <w:kern w:val="44"/>
          <w:sz w:val="32"/>
          <w:szCs w:val="32"/>
          <w:highlight w:val="none"/>
          <w:lang w:val="en-US" w:eastAsia="zh-CN" w:bidi="ar-SA"/>
        </w:rPr>
      </w:pPr>
      <w:bookmarkStart w:id="78" w:name="_Toc156338038"/>
      <w:r>
        <w:rPr>
          <w:rFonts w:ascii="Times New Roman" w:hAnsi="Times New Roman" w:eastAsia="黑体" w:cs="Times New Roman"/>
          <w:b w:val="0"/>
          <w:bCs/>
          <w:kern w:val="44"/>
          <w:sz w:val="32"/>
          <w:szCs w:val="32"/>
          <w:highlight w:val="none"/>
          <w:lang w:val="en-US" w:eastAsia="zh-CN" w:bidi="ar-SA"/>
        </w:rPr>
        <w:t xml:space="preserve">5 </w:t>
      </w:r>
      <w:r>
        <w:rPr>
          <w:rFonts w:hint="eastAsia" w:ascii="Times New Roman" w:hAnsi="Times New Roman" w:eastAsia="黑体" w:cs="Times New Roman"/>
          <w:b w:val="0"/>
          <w:bCs/>
          <w:kern w:val="44"/>
          <w:sz w:val="32"/>
          <w:szCs w:val="32"/>
          <w:highlight w:val="none"/>
          <w:lang w:val="en-US" w:eastAsia="zh-CN" w:bidi="ar-SA"/>
        </w:rPr>
        <w:t>其他要求</w:t>
      </w:r>
      <w:bookmarkEnd w:id="78"/>
    </w:p>
    <w:p w14:paraId="41B0C5EB">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(1)</w:t>
      </w:r>
      <w:r>
        <w:rPr>
          <w:rFonts w:ascii="Times New Roman" w:hAnsi="Times New Roman" w:eastAsia="宋体" w:cs="Times New Roman"/>
          <w:kern w:val="2"/>
          <w:sz w:val="24"/>
          <w:szCs w:val="20"/>
          <w:highlight w:val="none"/>
        </w:rPr>
        <w:t xml:space="preserve"> </w:t>
      </w:r>
      <w:r>
        <w:rPr>
          <w:rFonts w:hint="eastAsia" w:ascii="Times New Roman" w:hAnsi="Times New Roman" w:eastAsia="宋体" w:cs="Times New Roman"/>
          <w:kern w:val="2"/>
          <w:sz w:val="24"/>
          <w:szCs w:val="20"/>
          <w:highlight w:val="none"/>
        </w:rPr>
        <w:t>供应商必须遵守蚌埠闸、城东湖闸、颍上闸、曹台闸和东淝闸各项规章制度，不得在现场吵架、寻衅滋事，如违反立即清理出现场，由此造成的所有损失及赔偿均由供应商负责；</w:t>
      </w:r>
    </w:p>
    <w:p w14:paraId="48E85E05">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ascii="Times New Roman" w:hAnsi="Times New Roman" w:eastAsia="宋体" w:cs="Times New Roman"/>
          <w:kern w:val="2"/>
          <w:sz w:val="24"/>
          <w:szCs w:val="20"/>
          <w:highlight w:val="none"/>
        </w:rPr>
        <w:t xml:space="preserve">2) </w:t>
      </w:r>
      <w:r>
        <w:rPr>
          <w:rFonts w:hint="eastAsia" w:ascii="Times New Roman" w:hAnsi="Times New Roman" w:eastAsia="宋体" w:cs="Times New Roman"/>
          <w:kern w:val="2"/>
          <w:sz w:val="24"/>
          <w:szCs w:val="20"/>
          <w:highlight w:val="none"/>
        </w:rPr>
        <w:t>工作期间不得损坏蚌埠闸、城东湖闸、颍上闸、曹台闸和东淝闸相关设备，由于供应商原因或人为原因导致设备或设施损坏，供应商应负全部责任并赔偿全部损失；</w:t>
      </w:r>
    </w:p>
    <w:p w14:paraId="1E12FCC6">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ascii="Times New Roman" w:hAnsi="Times New Roman" w:eastAsia="宋体" w:cs="Times New Roman"/>
          <w:kern w:val="2"/>
          <w:sz w:val="24"/>
          <w:szCs w:val="20"/>
          <w:highlight w:val="none"/>
        </w:rPr>
        <w:t>3</w:t>
      </w:r>
      <w:r>
        <w:rPr>
          <w:rFonts w:hint="eastAsia" w:ascii="Times New Roman" w:hAnsi="Times New Roman" w:eastAsia="宋体" w:cs="Times New Roman"/>
          <w:kern w:val="2"/>
          <w:sz w:val="24"/>
          <w:szCs w:val="20"/>
          <w:highlight w:val="none"/>
        </w:rPr>
        <w:t>) 安装过程中必须采取相关安全措施，如安全措施不到位，水闸管理部门需立刻叫停工程施工；</w:t>
      </w:r>
    </w:p>
    <w:p w14:paraId="45807F3E">
      <w:pPr>
        <w:spacing w:line="360" w:lineRule="auto"/>
        <w:ind w:firstLine="480" w:firstLineChars="200"/>
        <w:rPr>
          <w:rFonts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ascii="Times New Roman" w:hAnsi="Times New Roman" w:eastAsia="宋体" w:cs="Times New Roman"/>
          <w:kern w:val="2"/>
          <w:sz w:val="24"/>
          <w:szCs w:val="20"/>
          <w:highlight w:val="none"/>
        </w:rPr>
        <w:t>4</w:t>
      </w:r>
      <w:r>
        <w:rPr>
          <w:rFonts w:hint="eastAsia" w:ascii="Times New Roman" w:hAnsi="Times New Roman" w:eastAsia="宋体" w:cs="Times New Roman"/>
          <w:kern w:val="2"/>
          <w:sz w:val="24"/>
          <w:szCs w:val="20"/>
          <w:highlight w:val="none"/>
        </w:rPr>
        <w:t>)</w:t>
      </w:r>
      <w:r>
        <w:rPr>
          <w:rFonts w:ascii="Times New Roman" w:hAnsi="Times New Roman" w:eastAsia="宋体" w:cs="Times New Roman"/>
          <w:kern w:val="2"/>
          <w:sz w:val="24"/>
          <w:szCs w:val="20"/>
          <w:highlight w:val="none"/>
        </w:rPr>
        <w:t xml:space="preserve"> </w:t>
      </w:r>
      <w:r>
        <w:rPr>
          <w:rFonts w:hint="eastAsia" w:ascii="Times New Roman" w:hAnsi="Times New Roman" w:eastAsia="宋体" w:cs="Times New Roman"/>
          <w:kern w:val="2"/>
          <w:sz w:val="24"/>
          <w:szCs w:val="20"/>
          <w:highlight w:val="none"/>
        </w:rPr>
        <w:t>安装过程中产生的施工垃圾必须全部带出蚌埠闸、城东湖闸、颍上闸、曹台闸和东淝闸管理范围并进行合法处置；</w:t>
      </w:r>
    </w:p>
    <w:p w14:paraId="043080EB">
      <w:pPr>
        <w:spacing w:line="360" w:lineRule="auto"/>
        <w:ind w:firstLine="482" w:firstLineChars="200"/>
        <w:rPr>
          <w:rFonts w:hint="eastAsia" w:ascii="Times New Roman" w:hAnsi="Times New Roman" w:cs="Times New Roman"/>
          <w:b/>
          <w:bCs/>
          <w:kern w:val="2"/>
          <w:sz w:val="24"/>
          <w:szCs w:val="20"/>
          <w:highlight w:val="none"/>
          <w:lang w:val="en-US" w:eastAsia="zh-CN"/>
        </w:rPr>
      </w:pPr>
      <w:r>
        <w:rPr>
          <w:rFonts w:hint="eastAsia" w:ascii="Times New Roman" w:hAnsi="Times New Roman" w:eastAsia="宋体" w:cs="Times New Roman"/>
          <w:b/>
          <w:bCs/>
          <w:kern w:val="2"/>
          <w:sz w:val="24"/>
          <w:szCs w:val="20"/>
          <w:highlight w:val="none"/>
        </w:rPr>
        <w:t>(</w:t>
      </w:r>
      <w:r>
        <w:rPr>
          <w:rFonts w:ascii="Times New Roman" w:hAnsi="Times New Roman" w:eastAsia="宋体" w:cs="Times New Roman"/>
          <w:b/>
          <w:bCs/>
          <w:kern w:val="2"/>
          <w:sz w:val="24"/>
          <w:szCs w:val="20"/>
          <w:highlight w:val="none"/>
        </w:rPr>
        <w:t>5</w:t>
      </w:r>
      <w:r>
        <w:rPr>
          <w:rFonts w:hint="eastAsia" w:ascii="Times New Roman" w:hAnsi="Times New Roman" w:eastAsia="宋体" w:cs="Times New Roman"/>
          <w:b/>
          <w:bCs/>
          <w:kern w:val="2"/>
          <w:sz w:val="24"/>
          <w:szCs w:val="20"/>
          <w:highlight w:val="none"/>
        </w:rPr>
        <w:t>)</w:t>
      </w:r>
      <w:r>
        <w:rPr>
          <w:rFonts w:ascii="Times New Roman" w:hAnsi="Times New Roman" w:eastAsia="宋体" w:cs="Times New Roman"/>
          <w:b/>
          <w:bCs/>
          <w:kern w:val="2"/>
          <w:sz w:val="24"/>
          <w:szCs w:val="20"/>
          <w:highlight w:val="none"/>
        </w:rPr>
        <w:t xml:space="preserve"> </w:t>
      </w:r>
      <w:r>
        <w:rPr>
          <w:rFonts w:hint="eastAsia" w:ascii="Times New Roman" w:hAnsi="Times New Roman" w:cs="Times New Roman"/>
          <w:b/>
          <w:bCs/>
          <w:kern w:val="2"/>
          <w:sz w:val="24"/>
          <w:szCs w:val="20"/>
          <w:highlight w:val="none"/>
          <w:lang w:val="en-US" w:eastAsia="zh-CN"/>
        </w:rPr>
        <w:t>实施前对外观进行方案优化，包括不限于</w:t>
      </w:r>
      <w:r>
        <w:rPr>
          <w:rFonts w:hint="eastAsia" w:ascii="Times New Roman" w:hAnsi="Times New Roman" w:eastAsia="宋体" w:cs="Times New Roman"/>
          <w:b/>
          <w:bCs/>
          <w:kern w:val="2"/>
          <w:sz w:val="24"/>
          <w:szCs w:val="20"/>
          <w:highlight w:val="none"/>
        </w:rPr>
        <w:t>对观测墩进行外观设计，美观优化</w:t>
      </w:r>
      <w:r>
        <w:rPr>
          <w:rFonts w:hint="eastAsia" w:ascii="Times New Roman" w:hAnsi="Times New Roman" w:cs="Times New Roman"/>
          <w:b/>
          <w:bCs/>
          <w:kern w:val="2"/>
          <w:sz w:val="24"/>
          <w:szCs w:val="20"/>
          <w:highlight w:val="none"/>
          <w:lang w:eastAsia="zh-CN"/>
        </w:rPr>
        <w:t>，</w:t>
      </w:r>
      <w:r>
        <w:rPr>
          <w:rFonts w:hint="eastAsia" w:ascii="Times New Roman" w:hAnsi="Times New Roman" w:cs="Times New Roman"/>
          <w:b/>
          <w:bCs/>
          <w:kern w:val="2"/>
          <w:sz w:val="24"/>
          <w:szCs w:val="20"/>
          <w:highlight w:val="none"/>
          <w:lang w:val="en-US" w:eastAsia="zh-CN"/>
        </w:rPr>
        <w:t>安装观测设施介绍牌，并</w:t>
      </w:r>
      <w:r>
        <w:rPr>
          <w:rFonts w:hint="eastAsia" w:ascii="Times New Roman" w:hAnsi="Times New Roman" w:eastAsia="宋体" w:cs="Times New Roman"/>
          <w:b/>
          <w:bCs/>
          <w:kern w:val="2"/>
          <w:sz w:val="24"/>
          <w:szCs w:val="20"/>
          <w:highlight w:val="none"/>
        </w:rPr>
        <w:t>确保安装的观测设施与工程整体</w:t>
      </w:r>
      <w:r>
        <w:rPr>
          <w:rFonts w:hint="eastAsia" w:ascii="Times New Roman" w:hAnsi="Times New Roman" w:cs="Times New Roman"/>
          <w:b/>
          <w:bCs/>
          <w:kern w:val="2"/>
          <w:sz w:val="24"/>
          <w:szCs w:val="20"/>
          <w:highlight w:val="none"/>
          <w:lang w:val="en-US" w:eastAsia="zh-CN"/>
        </w:rPr>
        <w:t>协调，经管理单位审核同意后方可进场施工。</w:t>
      </w:r>
    </w:p>
    <w:p w14:paraId="2DD2280A">
      <w:pPr>
        <w:keepNext/>
        <w:keepLines/>
        <w:widowControl w:val="0"/>
        <w:adjustRightInd w:val="0"/>
        <w:snapToGrid w:val="0"/>
        <w:spacing w:before="312" w:beforeLines="100" w:line="360" w:lineRule="auto"/>
        <w:jc w:val="both"/>
        <w:outlineLvl w:val="0"/>
        <w:rPr>
          <w:rFonts w:hint="default" w:ascii="Times New Roman" w:hAnsi="Times New Roman" w:eastAsia="黑体" w:cs="Times New Roman"/>
          <w:b w:val="0"/>
          <w:bCs/>
          <w:color w:val="auto"/>
          <w:kern w:val="44"/>
          <w:sz w:val="32"/>
          <w:szCs w:val="32"/>
          <w:highlight w:val="none"/>
          <w:lang w:val="en-US" w:eastAsia="zh-CN" w:bidi="ar-SA"/>
        </w:rPr>
      </w:pPr>
      <w:r>
        <w:rPr>
          <w:rFonts w:hint="eastAsia" w:ascii="Times New Roman" w:hAnsi="Times New Roman" w:eastAsia="黑体" w:cs="Times New Roman"/>
          <w:b w:val="0"/>
          <w:bCs/>
          <w:color w:val="auto"/>
          <w:kern w:val="44"/>
          <w:sz w:val="32"/>
          <w:szCs w:val="32"/>
          <w:highlight w:val="none"/>
          <w:lang w:val="en-US" w:eastAsia="zh-CN" w:bidi="ar-SA"/>
        </w:rPr>
        <w:t>6.观测设备参数</w:t>
      </w:r>
    </w:p>
    <w:p w14:paraId="0907AE0C">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(1)测角精度：2”绝对编码度盘；测距精度：2mm+2ppm；</w:t>
      </w:r>
    </w:p>
    <w:p w14:paraId="5F154BA2">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hint="eastAsia" w:ascii="Times New Roman" w:hAnsi="Times New Roman" w:cs="Times New Roman"/>
          <w:kern w:val="2"/>
          <w:sz w:val="24"/>
          <w:szCs w:val="20"/>
          <w:highlight w:val="none"/>
          <w:lang w:val="en-US" w:eastAsia="zh-CN"/>
        </w:rPr>
        <w:t>2</w:t>
      </w:r>
      <w:r>
        <w:rPr>
          <w:rFonts w:hint="eastAsia" w:ascii="Times New Roman" w:hAnsi="Times New Roman" w:eastAsia="宋体" w:cs="Times New Roman"/>
          <w:kern w:val="2"/>
          <w:sz w:val="24"/>
          <w:szCs w:val="20"/>
          <w:highlight w:val="none"/>
        </w:rPr>
        <w:t>)图形显示：测图助手可导入dxf文件作为参考底图，地形变化清晰可见，测量作业一目了然。时时电子绘图，边测边绘，无需人工绘制草图，更为清晰；</w:t>
      </w:r>
    </w:p>
    <w:p w14:paraId="2C2AAF16">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hint="eastAsia" w:ascii="Times New Roman" w:hAnsi="Times New Roman" w:cs="Times New Roman"/>
          <w:kern w:val="2"/>
          <w:sz w:val="24"/>
          <w:szCs w:val="20"/>
          <w:highlight w:val="none"/>
          <w:lang w:val="en-US" w:eastAsia="zh-CN"/>
        </w:rPr>
        <w:t>3</w:t>
      </w:r>
      <w:r>
        <w:rPr>
          <w:rFonts w:hint="eastAsia" w:ascii="Times New Roman" w:hAnsi="Times New Roman" w:eastAsia="宋体" w:cs="Times New Roman"/>
          <w:kern w:val="2"/>
          <w:sz w:val="24"/>
          <w:szCs w:val="20"/>
          <w:highlight w:val="none"/>
        </w:rPr>
        <w:t>)电源：高能锂电池；单块电池容量不低于3000MAH；</w:t>
      </w:r>
    </w:p>
    <w:p w14:paraId="6184A1F8">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hint="eastAsia" w:ascii="Times New Roman" w:hAnsi="Times New Roman" w:cs="Times New Roman"/>
          <w:kern w:val="2"/>
          <w:sz w:val="24"/>
          <w:szCs w:val="20"/>
          <w:highlight w:val="none"/>
          <w:lang w:val="en-US" w:eastAsia="zh-CN"/>
        </w:rPr>
        <w:t>4</w:t>
      </w:r>
      <w:r>
        <w:rPr>
          <w:rFonts w:hint="eastAsia" w:ascii="Times New Roman" w:hAnsi="Times New Roman" w:eastAsia="宋体" w:cs="Times New Roman"/>
          <w:kern w:val="2"/>
          <w:sz w:val="24"/>
          <w:szCs w:val="20"/>
          <w:highlight w:val="none"/>
        </w:rPr>
        <w:t>)支持并具备无棱镜测量功能，单棱镜测程不低于</w:t>
      </w:r>
      <w:r>
        <w:rPr>
          <w:rFonts w:hint="eastAsia" w:ascii="Times New Roman" w:hAnsi="Times New Roman" w:eastAsia="宋体" w:cs="Times New Roman"/>
          <w:kern w:val="2"/>
          <w:sz w:val="24"/>
          <w:szCs w:val="20"/>
          <w:highlight w:val="none"/>
          <w:lang w:val="en-US" w:eastAsia="zh-CN"/>
        </w:rPr>
        <w:t>3</w:t>
      </w:r>
      <w:r>
        <w:rPr>
          <w:rFonts w:hint="eastAsia" w:ascii="Times New Roman" w:hAnsi="Times New Roman" w:eastAsia="宋体" w:cs="Times New Roman"/>
          <w:kern w:val="2"/>
          <w:sz w:val="24"/>
          <w:szCs w:val="20"/>
          <w:highlight w:val="none"/>
        </w:rPr>
        <w:t>000m；免棱镜测距不低于</w:t>
      </w:r>
      <w:r>
        <w:rPr>
          <w:rFonts w:hint="eastAsia" w:ascii="Times New Roman" w:hAnsi="Times New Roman" w:eastAsia="宋体" w:cs="Times New Roman"/>
          <w:kern w:val="2"/>
          <w:sz w:val="24"/>
          <w:szCs w:val="20"/>
          <w:highlight w:val="none"/>
          <w:lang w:val="en-US" w:eastAsia="zh-CN"/>
        </w:rPr>
        <w:t>5</w:t>
      </w:r>
      <w:r>
        <w:rPr>
          <w:rFonts w:hint="eastAsia" w:ascii="Times New Roman" w:hAnsi="Times New Roman" w:eastAsia="宋体" w:cs="Times New Roman"/>
          <w:kern w:val="2"/>
          <w:sz w:val="24"/>
          <w:szCs w:val="20"/>
          <w:highlight w:val="none"/>
        </w:rPr>
        <w:t>00m;</w:t>
      </w:r>
    </w:p>
    <w:p w14:paraId="7A286DA4">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hint="eastAsia" w:ascii="Times New Roman" w:hAnsi="Times New Roman" w:cs="Times New Roman"/>
          <w:kern w:val="2"/>
          <w:sz w:val="24"/>
          <w:szCs w:val="20"/>
          <w:highlight w:val="none"/>
          <w:lang w:val="en-US" w:eastAsia="zh-CN"/>
        </w:rPr>
        <w:t>5</w:t>
      </w:r>
      <w:r>
        <w:rPr>
          <w:rFonts w:hint="eastAsia" w:ascii="Times New Roman" w:hAnsi="Times New Roman" w:eastAsia="宋体" w:cs="Times New Roman"/>
          <w:kern w:val="2"/>
          <w:sz w:val="24"/>
          <w:szCs w:val="20"/>
          <w:highlight w:val="none"/>
        </w:rPr>
        <w:t>)激光对中且激光对中器内嵌入竖轴，永久性不需要调节校正。</w:t>
      </w:r>
    </w:p>
    <w:p w14:paraId="7BCA6661">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hint="eastAsia" w:ascii="Times New Roman" w:hAnsi="Times New Roman" w:cs="Times New Roman"/>
          <w:kern w:val="2"/>
          <w:sz w:val="24"/>
          <w:szCs w:val="20"/>
          <w:highlight w:val="none"/>
          <w:lang w:val="en-US" w:eastAsia="zh-CN"/>
        </w:rPr>
        <w:t>6</w:t>
      </w:r>
      <w:r>
        <w:rPr>
          <w:rFonts w:hint="eastAsia" w:ascii="Times New Roman" w:hAnsi="Times New Roman" w:eastAsia="宋体" w:cs="Times New Roman"/>
          <w:kern w:val="2"/>
          <w:sz w:val="24"/>
          <w:szCs w:val="20"/>
          <w:highlight w:val="none"/>
        </w:rPr>
        <w:t>)每套需配置</w:t>
      </w:r>
      <w:r>
        <w:rPr>
          <w:rFonts w:hint="eastAsia" w:ascii="Times New Roman" w:hAnsi="Times New Roman" w:eastAsia="宋体" w:cs="Times New Roman"/>
          <w:kern w:val="2"/>
          <w:sz w:val="24"/>
          <w:szCs w:val="20"/>
          <w:highlight w:val="none"/>
          <w:lang w:eastAsia="zh-CN"/>
        </w:rPr>
        <w:t>与全站仪品牌一致的</w:t>
      </w:r>
      <w:r>
        <w:rPr>
          <w:rFonts w:hint="eastAsia" w:ascii="Times New Roman" w:hAnsi="Times New Roman" w:eastAsia="宋体" w:cs="Times New Roman"/>
          <w:kern w:val="2"/>
          <w:sz w:val="24"/>
          <w:szCs w:val="20"/>
          <w:highlight w:val="none"/>
        </w:rPr>
        <w:t>安卓版手机测量软件，手机可通过WIFI网络用手机版测量软件控制操作全站仪，且软件须具备翻转测存、摇动测存、记录时拍照、记录时测点录像等功能。</w:t>
      </w:r>
    </w:p>
    <w:p w14:paraId="73D1D6CF">
      <w:pPr>
        <w:spacing w:line="360" w:lineRule="auto"/>
        <w:ind w:firstLine="480" w:firstLineChars="200"/>
        <w:rPr>
          <w:rFonts w:hint="eastAsia" w:ascii="Times New Roman" w:hAnsi="Times New Roman" w:eastAsia="宋体" w:cs="Times New Roman"/>
          <w:kern w:val="2"/>
          <w:sz w:val="24"/>
          <w:szCs w:val="20"/>
          <w:highlight w:val="none"/>
          <w:lang w:eastAsia="zh-CN"/>
        </w:rPr>
      </w:pPr>
      <w:r>
        <w:rPr>
          <w:rFonts w:hint="eastAsia" w:ascii="Times New Roman" w:hAnsi="Times New Roman" w:eastAsia="宋体" w:cs="Times New Roman"/>
          <w:kern w:val="2"/>
          <w:sz w:val="24"/>
          <w:szCs w:val="20"/>
          <w:highlight w:val="none"/>
        </w:rPr>
        <w:t>(</w:t>
      </w:r>
      <w:r>
        <w:rPr>
          <w:rFonts w:hint="eastAsia" w:ascii="Times New Roman" w:hAnsi="Times New Roman" w:cs="Times New Roman"/>
          <w:kern w:val="2"/>
          <w:sz w:val="24"/>
          <w:szCs w:val="20"/>
          <w:highlight w:val="none"/>
          <w:lang w:val="en-US" w:eastAsia="zh-CN"/>
        </w:rPr>
        <w:t>7</w:t>
      </w:r>
      <w:r>
        <w:rPr>
          <w:rFonts w:hint="eastAsia" w:ascii="Times New Roman" w:hAnsi="Times New Roman" w:eastAsia="宋体" w:cs="Times New Roman"/>
          <w:kern w:val="2"/>
          <w:sz w:val="24"/>
          <w:szCs w:val="20"/>
          <w:highlight w:val="none"/>
        </w:rPr>
        <w:t>)配套软件要求：配套与投标的全站仪品牌一致的一体化项目管理平台软件1套</w:t>
      </w:r>
      <w:r>
        <w:rPr>
          <w:rFonts w:hint="eastAsia" w:ascii="Times New Roman" w:hAnsi="Times New Roman" w:eastAsia="宋体" w:cs="Times New Roman"/>
          <w:kern w:val="2"/>
          <w:sz w:val="24"/>
          <w:szCs w:val="20"/>
          <w:highlight w:val="none"/>
          <w:lang w:eastAsia="zh-CN"/>
        </w:rPr>
        <w:t>。</w:t>
      </w:r>
    </w:p>
    <w:p w14:paraId="08B4FAA9">
      <w:pPr>
        <w:spacing w:line="360" w:lineRule="auto"/>
        <w:ind w:firstLine="480" w:firstLineChars="200"/>
        <w:rPr>
          <w:rFonts w:hint="eastAsia" w:ascii="Times New Roman" w:hAnsi="Times New Roman" w:eastAsia="宋体" w:cs="Times New Roman"/>
          <w:kern w:val="2"/>
          <w:sz w:val="24"/>
          <w:szCs w:val="20"/>
          <w:highlight w:val="none"/>
          <w:lang w:eastAsia="zh-CN"/>
        </w:rPr>
      </w:pPr>
      <w:r>
        <w:rPr>
          <w:rFonts w:hint="eastAsia" w:ascii="Times New Roman" w:hAnsi="Times New Roman" w:eastAsia="宋体" w:cs="Times New Roman"/>
          <w:kern w:val="2"/>
          <w:sz w:val="24"/>
          <w:szCs w:val="20"/>
          <w:highlight w:val="none"/>
          <w:lang w:eastAsia="zh-CN"/>
        </w:rPr>
        <w:t>①</w:t>
      </w:r>
      <w:r>
        <w:rPr>
          <w:rFonts w:hint="eastAsia" w:ascii="Times New Roman" w:hAnsi="Times New Roman" w:eastAsia="宋体" w:cs="Times New Roman"/>
          <w:kern w:val="2"/>
          <w:sz w:val="24"/>
          <w:szCs w:val="20"/>
          <w:highlight w:val="none"/>
        </w:rPr>
        <w:t>平台软件须具备不少于项目管理、作业组管理、数据管理、仪器管理、用户管理、人员管理六大功能模块，</w:t>
      </w:r>
      <w:r>
        <w:rPr>
          <w:rFonts w:hint="eastAsia" w:ascii="Times New Roman" w:hAnsi="Times New Roman" w:eastAsia="宋体" w:cs="Times New Roman"/>
          <w:kern w:val="2"/>
          <w:sz w:val="24"/>
          <w:szCs w:val="20"/>
          <w:highlight w:val="none"/>
          <w:lang w:eastAsia="zh-CN"/>
        </w:rPr>
        <w:t>（</w:t>
      </w:r>
      <w:r>
        <w:rPr>
          <w:rFonts w:hint="eastAsia" w:ascii="Times New Roman" w:hAnsi="Times New Roman" w:eastAsia="宋体" w:cs="Times New Roman"/>
          <w:kern w:val="2"/>
          <w:sz w:val="24"/>
          <w:szCs w:val="20"/>
          <w:highlight w:val="none"/>
        </w:rPr>
        <w:t>响应文件中须提供此平台软件功能证明材料截图</w:t>
      </w:r>
      <w:r>
        <w:rPr>
          <w:rFonts w:hint="eastAsia" w:ascii="Times New Roman" w:hAnsi="Times New Roman" w:eastAsia="宋体" w:cs="Times New Roman"/>
          <w:kern w:val="2"/>
          <w:sz w:val="24"/>
          <w:szCs w:val="20"/>
          <w:highlight w:val="none"/>
          <w:lang w:eastAsia="zh-CN"/>
        </w:rPr>
        <w:t>）；</w:t>
      </w:r>
    </w:p>
    <w:p w14:paraId="3079BBC4">
      <w:pPr>
        <w:spacing w:line="360" w:lineRule="auto"/>
        <w:ind w:firstLine="480" w:firstLineChars="200"/>
        <w:rPr>
          <w:rFonts w:hint="eastAsia" w:ascii="Times New Roman" w:hAnsi="Times New Roman" w:eastAsia="宋体" w:cs="Times New Roman"/>
          <w:kern w:val="2"/>
          <w:sz w:val="24"/>
          <w:szCs w:val="20"/>
          <w:highlight w:val="none"/>
          <w:lang w:eastAsia="zh-CN"/>
        </w:rPr>
      </w:pPr>
      <w:r>
        <w:rPr>
          <w:rFonts w:hint="eastAsia" w:ascii="Times New Roman" w:hAnsi="Times New Roman" w:eastAsia="宋体" w:cs="Times New Roman"/>
          <w:kern w:val="2"/>
          <w:sz w:val="24"/>
          <w:szCs w:val="20"/>
          <w:highlight w:val="none"/>
          <w:lang w:eastAsia="zh-CN"/>
        </w:rPr>
        <w:t>②</w:t>
      </w:r>
      <w:r>
        <w:rPr>
          <w:rFonts w:hint="eastAsia" w:ascii="Times New Roman" w:hAnsi="Times New Roman" w:eastAsia="宋体" w:cs="Times New Roman"/>
          <w:kern w:val="2"/>
          <w:sz w:val="24"/>
          <w:szCs w:val="20"/>
          <w:highlight w:val="none"/>
        </w:rPr>
        <w:t>外业作业人员可实现数据上传下载、自动备份作业数据，作业轨迹，解决后顾之忧</w:t>
      </w:r>
      <w:r>
        <w:rPr>
          <w:rFonts w:hint="eastAsia" w:ascii="Times New Roman" w:hAnsi="Times New Roman" w:eastAsia="宋体" w:cs="Times New Roman"/>
          <w:kern w:val="2"/>
          <w:sz w:val="24"/>
          <w:szCs w:val="20"/>
          <w:highlight w:val="none"/>
          <w:lang w:eastAsia="zh-CN"/>
        </w:rPr>
        <w:t>；</w:t>
      </w:r>
    </w:p>
    <w:p w14:paraId="7ACDE35E">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lang w:val="en-US" w:eastAsia="zh-CN"/>
        </w:rPr>
        <w:t>③</w:t>
      </w:r>
      <w:r>
        <w:rPr>
          <w:rFonts w:hint="eastAsia" w:ascii="Times New Roman" w:hAnsi="Times New Roman" w:eastAsia="宋体" w:cs="Times New Roman"/>
          <w:kern w:val="2"/>
          <w:sz w:val="24"/>
          <w:szCs w:val="20"/>
          <w:highlight w:val="none"/>
        </w:rPr>
        <w:t>项目管理者可以借助平台管数据、管人员、管进度、管成果、管质量，实现内外业一体化。</w:t>
      </w:r>
    </w:p>
    <w:p w14:paraId="2CC9856A">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hint="eastAsia" w:ascii="Times New Roman" w:hAnsi="Times New Roman" w:cs="Times New Roman"/>
          <w:kern w:val="2"/>
          <w:sz w:val="24"/>
          <w:szCs w:val="20"/>
          <w:highlight w:val="none"/>
          <w:lang w:val="en-US" w:eastAsia="zh-CN"/>
        </w:rPr>
        <w:t>8</w:t>
      </w:r>
      <w:r>
        <w:rPr>
          <w:rFonts w:hint="eastAsia"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lang w:val="en-US" w:eastAsia="zh-CN"/>
        </w:rPr>
        <w:t>移动数据处理器，配置不低于下列要求：</w:t>
      </w:r>
      <w:r>
        <w:rPr>
          <w:rFonts w:hint="eastAsia" w:ascii="Times New Roman" w:hAnsi="Times New Roman" w:eastAsia="宋体" w:cs="Times New Roman"/>
          <w:kern w:val="2"/>
          <w:sz w:val="24"/>
          <w:szCs w:val="20"/>
          <w:highlight w:val="none"/>
        </w:rPr>
        <w:t>英特尔酷睿Ultra7处理器</w:t>
      </w:r>
      <w:r>
        <w:rPr>
          <w:rFonts w:hint="eastAsia" w:ascii="Times New Roman" w:hAnsi="Times New Roman" w:eastAsia="宋体" w:cs="Times New Roman"/>
          <w:kern w:val="2"/>
          <w:sz w:val="24"/>
          <w:szCs w:val="20"/>
          <w:highlight w:val="none"/>
          <w:lang w:val="en-US" w:eastAsia="zh-CN"/>
        </w:rPr>
        <w:t>；内存：32G；硬盘：2T；屏幕：14英寸2.8K OLED</w:t>
      </w:r>
    </w:p>
    <w:p w14:paraId="4AA6B1E3">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w:t>
      </w:r>
      <w:r>
        <w:rPr>
          <w:rFonts w:hint="eastAsia" w:ascii="Times New Roman" w:hAnsi="Times New Roman" w:cs="Times New Roman"/>
          <w:kern w:val="2"/>
          <w:sz w:val="24"/>
          <w:szCs w:val="20"/>
          <w:highlight w:val="none"/>
          <w:lang w:val="en-US" w:eastAsia="zh-CN"/>
        </w:rPr>
        <w:t>9</w:t>
      </w:r>
      <w:r>
        <w:rPr>
          <w:rFonts w:hint="eastAsia" w:ascii="Times New Roman" w:hAnsi="Times New Roman" w:eastAsia="宋体" w:cs="Times New Roman"/>
          <w:kern w:val="2"/>
          <w:sz w:val="24"/>
          <w:szCs w:val="20"/>
          <w:highlight w:val="none"/>
        </w:rPr>
        <w:t>)每套配件如下：主机1台，木三脚架</w:t>
      </w:r>
      <w:r>
        <w:rPr>
          <w:rFonts w:hint="eastAsia" w:ascii="Times New Roman" w:hAnsi="Times New Roman" w:eastAsia="宋体" w:cs="Times New Roman"/>
          <w:kern w:val="2"/>
          <w:sz w:val="24"/>
          <w:szCs w:val="20"/>
          <w:highlight w:val="none"/>
          <w:lang w:val="en-US" w:eastAsia="zh-CN"/>
        </w:rPr>
        <w:t>3</w:t>
      </w:r>
      <w:r>
        <w:rPr>
          <w:rFonts w:hint="eastAsia" w:ascii="Times New Roman" w:hAnsi="Times New Roman" w:eastAsia="宋体" w:cs="Times New Roman"/>
          <w:kern w:val="2"/>
          <w:sz w:val="24"/>
          <w:szCs w:val="20"/>
          <w:highlight w:val="none"/>
        </w:rPr>
        <w:t>付</w:t>
      </w:r>
      <w:r>
        <w:rPr>
          <w:rFonts w:hint="eastAsia" w:ascii="Times New Roman" w:hAnsi="Times New Roman" w:eastAsia="宋体" w:cs="Times New Roman"/>
          <w:kern w:val="2"/>
          <w:sz w:val="24"/>
          <w:szCs w:val="20"/>
          <w:highlight w:val="none"/>
          <w:lang w:eastAsia="zh-CN"/>
        </w:rPr>
        <w:t>，</w:t>
      </w:r>
      <w:r>
        <w:rPr>
          <w:rFonts w:hint="eastAsia" w:ascii="Times New Roman" w:hAnsi="Times New Roman" w:eastAsia="宋体" w:cs="Times New Roman"/>
          <w:kern w:val="2"/>
          <w:sz w:val="24"/>
          <w:szCs w:val="20"/>
          <w:highlight w:val="none"/>
        </w:rPr>
        <w:t>单棱镜</w:t>
      </w:r>
      <w:r>
        <w:rPr>
          <w:rFonts w:hint="eastAsia" w:ascii="Times New Roman" w:hAnsi="Times New Roman" w:eastAsia="宋体" w:cs="Times New Roman"/>
          <w:kern w:val="2"/>
          <w:sz w:val="24"/>
          <w:szCs w:val="20"/>
          <w:highlight w:val="none"/>
          <w:lang w:val="en-US" w:eastAsia="zh-CN"/>
        </w:rPr>
        <w:t>2组</w:t>
      </w:r>
      <w:r>
        <w:rPr>
          <w:rFonts w:hint="eastAsia" w:ascii="Times New Roman" w:hAnsi="Times New Roman" w:eastAsia="宋体" w:cs="Times New Roman"/>
          <w:kern w:val="2"/>
          <w:sz w:val="24"/>
          <w:szCs w:val="20"/>
          <w:highlight w:val="none"/>
        </w:rPr>
        <w:t>，单对中杆1根。</w:t>
      </w:r>
    </w:p>
    <w:p w14:paraId="774FE2AF">
      <w:pPr>
        <w:spacing w:line="360" w:lineRule="auto"/>
        <w:ind w:firstLine="480" w:firstLineChars="200"/>
        <w:rPr>
          <w:rFonts w:hint="eastAsia" w:ascii="Times New Roman" w:hAnsi="Times New Roman" w:eastAsia="宋体" w:cs="Times New Roman"/>
          <w:kern w:val="2"/>
          <w:sz w:val="24"/>
          <w:szCs w:val="20"/>
          <w:highlight w:val="none"/>
        </w:rPr>
      </w:pPr>
      <w:r>
        <w:rPr>
          <w:rFonts w:hint="eastAsia" w:ascii="Times New Roman" w:hAnsi="Times New Roman" w:eastAsia="宋体" w:cs="Times New Roman"/>
          <w:kern w:val="2"/>
          <w:sz w:val="24"/>
          <w:szCs w:val="20"/>
          <w:highlight w:val="none"/>
        </w:rPr>
        <w:t>(1</w:t>
      </w:r>
      <w:r>
        <w:rPr>
          <w:rFonts w:hint="eastAsia" w:ascii="Times New Roman" w:hAnsi="Times New Roman" w:cs="Times New Roman"/>
          <w:kern w:val="2"/>
          <w:sz w:val="24"/>
          <w:szCs w:val="20"/>
          <w:highlight w:val="none"/>
          <w:lang w:val="en-US" w:eastAsia="zh-CN"/>
        </w:rPr>
        <w:t>0</w:t>
      </w:r>
      <w:r>
        <w:rPr>
          <w:rFonts w:hint="eastAsia" w:ascii="Times New Roman" w:hAnsi="Times New Roman" w:eastAsia="宋体" w:cs="Times New Roman"/>
          <w:kern w:val="2"/>
          <w:sz w:val="24"/>
          <w:szCs w:val="20"/>
          <w:highlight w:val="none"/>
        </w:rPr>
        <w:t>)</w:t>
      </w:r>
      <w:r>
        <w:rPr>
          <w:rFonts w:hint="eastAsia" w:ascii="Times New Roman" w:hAnsi="Times New Roman" w:eastAsia="宋体" w:cs="Times New Roman"/>
          <w:kern w:val="2"/>
          <w:sz w:val="24"/>
          <w:szCs w:val="20"/>
          <w:highlight w:val="none"/>
          <w:lang w:val="en-US" w:eastAsia="zh-CN"/>
        </w:rPr>
        <w:t>供货时提供仪器鉴定证书。</w:t>
      </w:r>
    </w:p>
    <w:p w14:paraId="5AD8E933">
      <w:pPr>
        <w:rPr>
          <w:rFonts w:hint="eastAsia" w:asciiTheme="minorEastAsia" w:hAnsiTheme="minorEastAsia" w:eastAsiaTheme="minorEastAsia"/>
          <w:b/>
          <w:color w:val="auto"/>
          <w:sz w:val="28"/>
          <w:highlight w:val="none"/>
        </w:rPr>
      </w:pPr>
    </w:p>
    <w:p w14:paraId="6DB40D86">
      <w:pPr>
        <w:rPr>
          <w:rFonts w:hint="eastAsia" w:asciiTheme="minorEastAsia" w:hAnsiTheme="minorEastAsia" w:eastAsiaTheme="minorEastAsia"/>
          <w:b/>
          <w:color w:val="auto"/>
          <w:sz w:val="28"/>
          <w:highlight w:val="none"/>
        </w:rPr>
      </w:pPr>
    </w:p>
    <w:p w14:paraId="134FC12C">
      <w:pPr>
        <w:rPr>
          <w:rFonts w:hint="eastAsia" w:asciiTheme="minorEastAsia" w:hAnsiTheme="minorEastAsia" w:eastAsiaTheme="minorEastAsia"/>
          <w:b/>
          <w:color w:val="auto"/>
          <w:sz w:val="28"/>
          <w:highlight w:val="none"/>
        </w:rPr>
      </w:pPr>
    </w:p>
    <w:p w14:paraId="25BB12BD">
      <w:pPr>
        <w:rPr>
          <w:rFonts w:hint="eastAsia" w:asciiTheme="minorEastAsia" w:hAnsiTheme="minorEastAsia" w:eastAsiaTheme="minorEastAsia"/>
          <w:b/>
          <w:color w:val="auto"/>
          <w:sz w:val="28"/>
          <w:highlight w:val="none"/>
        </w:rPr>
      </w:pPr>
    </w:p>
    <w:p w14:paraId="125D31E8">
      <w:pPr>
        <w:rPr>
          <w:rFonts w:hint="eastAsia" w:asciiTheme="minorEastAsia" w:hAnsiTheme="minorEastAsia" w:eastAsiaTheme="minorEastAsia"/>
          <w:b/>
          <w:color w:val="auto"/>
          <w:sz w:val="28"/>
          <w:highlight w:val="none"/>
        </w:rPr>
      </w:pPr>
    </w:p>
    <w:p w14:paraId="55445ADB">
      <w:pPr>
        <w:rPr>
          <w:rFonts w:hint="eastAsia" w:asciiTheme="minorEastAsia" w:hAnsiTheme="minorEastAsia" w:eastAsiaTheme="minorEastAsia"/>
          <w:b/>
          <w:color w:val="auto"/>
          <w:sz w:val="28"/>
          <w:highlight w:val="none"/>
        </w:rPr>
      </w:pPr>
    </w:p>
    <w:p w14:paraId="455595FE">
      <w:pPr>
        <w:rPr>
          <w:rFonts w:hint="eastAsia" w:asciiTheme="minorEastAsia" w:hAnsiTheme="minorEastAsia" w:eastAsiaTheme="minorEastAsia"/>
          <w:b/>
          <w:color w:val="auto"/>
          <w:sz w:val="28"/>
          <w:highlight w:val="none"/>
        </w:rPr>
      </w:pPr>
    </w:p>
    <w:p w14:paraId="52F5483D">
      <w:pPr>
        <w:rPr>
          <w:rFonts w:hint="eastAsia" w:asciiTheme="minorEastAsia" w:hAnsiTheme="minorEastAsia" w:eastAsiaTheme="minorEastAsia"/>
          <w:b/>
          <w:color w:val="auto"/>
          <w:sz w:val="28"/>
          <w:highlight w:val="none"/>
        </w:rPr>
      </w:pPr>
    </w:p>
    <w:p w14:paraId="19F550CD">
      <w:pPr>
        <w:rPr>
          <w:rFonts w:hint="eastAsia" w:asciiTheme="minorEastAsia" w:hAnsiTheme="minorEastAsia" w:eastAsiaTheme="minorEastAsia"/>
          <w:b/>
          <w:color w:val="auto"/>
          <w:sz w:val="28"/>
          <w:highlight w:val="none"/>
        </w:rPr>
      </w:pPr>
    </w:p>
    <w:p w14:paraId="4BF46449">
      <w:pPr>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61"/>
    </w:p>
    <w:p w14:paraId="4308D5F0">
      <w:pPr>
        <w:spacing w:line="360" w:lineRule="auto"/>
        <w:ind w:firstLine="437"/>
        <w:outlineLvl w:val="1"/>
        <w:rPr>
          <w:rFonts w:asciiTheme="minorEastAsia" w:hAnsiTheme="minorEastAsia" w:eastAsiaTheme="minorEastAsia"/>
          <w:b/>
          <w:color w:val="auto"/>
          <w:sz w:val="24"/>
          <w:highlight w:val="none"/>
        </w:rPr>
      </w:pPr>
      <w:bookmarkStart w:id="79" w:name="_Toc31533"/>
      <w:bookmarkStart w:id="80" w:name="_Toc3679"/>
      <w:r>
        <w:rPr>
          <w:rFonts w:hint="eastAsia" w:asciiTheme="minorEastAsia" w:hAnsiTheme="minorEastAsia" w:eastAsiaTheme="minorEastAsia"/>
          <w:b/>
          <w:color w:val="auto"/>
          <w:sz w:val="24"/>
          <w:highlight w:val="none"/>
        </w:rPr>
        <w:t>一、总则</w:t>
      </w:r>
      <w:bookmarkEnd w:id="79"/>
      <w:bookmarkEnd w:id="80"/>
    </w:p>
    <w:p w14:paraId="5A318C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22D4732">
      <w:pPr>
        <w:spacing w:line="360" w:lineRule="auto"/>
        <w:ind w:firstLine="437"/>
        <w:outlineLvl w:val="1"/>
        <w:rPr>
          <w:rFonts w:asciiTheme="minorEastAsia" w:hAnsiTheme="minorEastAsia" w:eastAsiaTheme="minorEastAsia"/>
          <w:b/>
          <w:color w:val="auto"/>
          <w:sz w:val="24"/>
          <w:highlight w:val="none"/>
        </w:rPr>
      </w:pPr>
      <w:bookmarkStart w:id="81" w:name="_Toc16232"/>
      <w:bookmarkStart w:id="82" w:name="_Toc13405"/>
      <w:r>
        <w:rPr>
          <w:rFonts w:hint="eastAsia" w:asciiTheme="minorEastAsia" w:hAnsiTheme="minorEastAsia" w:eastAsiaTheme="minorEastAsia"/>
          <w:b/>
          <w:color w:val="auto"/>
          <w:sz w:val="24"/>
          <w:highlight w:val="none"/>
        </w:rPr>
        <w:t>二、评审方法</w:t>
      </w:r>
      <w:bookmarkEnd w:id="81"/>
      <w:bookmarkEnd w:id="82"/>
    </w:p>
    <w:p w14:paraId="1AF61C9A">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68592C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6"/>
        <w:tblW w:w="55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494"/>
        <w:gridCol w:w="4270"/>
        <w:gridCol w:w="3835"/>
      </w:tblGrid>
      <w:tr w14:paraId="6B80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21F3C6B">
            <w:pPr>
              <w:adjustRightInd w:val="0"/>
              <w:snapToGrid w:val="0"/>
              <w:spacing w:line="240" w:lineRule="auto"/>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E88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69" w:type="pct"/>
            <w:tcBorders>
              <w:bottom w:val="single" w:color="auto" w:sz="4" w:space="0"/>
            </w:tcBorders>
            <w:vAlign w:val="center"/>
          </w:tcPr>
          <w:p w14:paraId="39C244AE">
            <w:pPr>
              <w:adjustRightInd w:val="0"/>
              <w:snapToGrid w:val="0"/>
              <w:spacing w:line="24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21" w:type="pct"/>
            <w:tcBorders>
              <w:bottom w:val="single" w:color="auto" w:sz="4" w:space="0"/>
            </w:tcBorders>
            <w:vAlign w:val="center"/>
          </w:tcPr>
          <w:p w14:paraId="3CC61F32">
            <w:pPr>
              <w:pStyle w:val="70"/>
              <w:pBdr>
                <w:bottom w:val="none" w:color="auto" w:sz="0" w:space="0"/>
              </w:pBdr>
              <w:tabs>
                <w:tab w:val="clear" w:pos="4153"/>
                <w:tab w:val="clear" w:pos="8306"/>
              </w:tabs>
              <w:snapToGrid w:val="0"/>
              <w:spacing w:line="24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059" w:type="pct"/>
            <w:tcBorders>
              <w:bottom w:val="single" w:color="auto" w:sz="4" w:space="0"/>
            </w:tcBorders>
            <w:vAlign w:val="center"/>
          </w:tcPr>
          <w:p w14:paraId="1861FBB6">
            <w:pPr>
              <w:adjustRightInd w:val="0"/>
              <w:snapToGrid w:val="0"/>
              <w:spacing w:line="24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849" w:type="pct"/>
            <w:tcBorders>
              <w:bottom w:val="single" w:color="auto" w:sz="4" w:space="0"/>
            </w:tcBorders>
            <w:vAlign w:val="center"/>
          </w:tcPr>
          <w:p w14:paraId="137E3CEF">
            <w:pPr>
              <w:adjustRightInd w:val="0"/>
              <w:snapToGrid w:val="0"/>
              <w:spacing w:line="24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780C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369" w:type="pct"/>
            <w:tcBorders>
              <w:bottom w:val="single" w:color="auto" w:sz="4" w:space="0"/>
            </w:tcBorders>
            <w:vAlign w:val="center"/>
          </w:tcPr>
          <w:p w14:paraId="4B6F5B4A">
            <w:pPr>
              <w:adjustRightInd w:val="0"/>
              <w:snapToGrid w:val="0"/>
              <w:spacing w:line="24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21" w:type="pct"/>
            <w:tcBorders>
              <w:bottom w:val="single" w:color="auto" w:sz="4" w:space="0"/>
            </w:tcBorders>
            <w:vAlign w:val="center"/>
          </w:tcPr>
          <w:p w14:paraId="462C70AC">
            <w:pPr>
              <w:spacing w:after="50" w:line="24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059" w:type="pct"/>
            <w:tcBorders>
              <w:bottom w:val="single" w:color="auto" w:sz="4" w:space="0"/>
            </w:tcBorders>
            <w:vAlign w:val="center"/>
          </w:tcPr>
          <w:p w14:paraId="39E4DE9C">
            <w:pPr>
              <w:spacing w:after="50" w:line="24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0DA570C3">
            <w:pPr>
              <w:spacing w:after="50" w:line="24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EBA9583">
            <w:pPr>
              <w:spacing w:after="50" w:line="24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tc>
        <w:tc>
          <w:tcPr>
            <w:tcW w:w="1849" w:type="pct"/>
            <w:tcBorders>
              <w:bottom w:val="single" w:color="auto" w:sz="4" w:space="0"/>
            </w:tcBorders>
            <w:vAlign w:val="center"/>
          </w:tcPr>
          <w:p w14:paraId="6467989D">
            <w:pPr>
              <w:spacing w:line="24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bookmarkStart w:id="83" w:name="OLE_LINK23"/>
            <w:r>
              <w:rPr>
                <w:rFonts w:hint="eastAsia" w:ascii="宋体" w:hAnsi="宋体" w:eastAsia="宋体" w:cs="宋体"/>
                <w:b/>
                <w:bCs/>
                <w:color w:val="auto"/>
                <w:sz w:val="24"/>
                <w:szCs w:val="24"/>
                <w:highlight w:val="none"/>
              </w:rPr>
              <w:t>联合体</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的联合体各方均须提供。</w:t>
            </w:r>
            <w:bookmarkEnd w:id="83"/>
          </w:p>
        </w:tc>
      </w:tr>
      <w:tr w14:paraId="78C4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369" w:type="pct"/>
            <w:vAlign w:val="center"/>
          </w:tcPr>
          <w:p w14:paraId="3DB1A306">
            <w:pPr>
              <w:adjustRightInd w:val="0"/>
              <w:snapToGrid w:val="0"/>
              <w:spacing w:line="24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21" w:type="pct"/>
            <w:vAlign w:val="center"/>
          </w:tcPr>
          <w:p w14:paraId="5546F2DF">
            <w:pPr>
              <w:spacing w:after="50" w:line="24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059" w:type="pct"/>
            <w:vAlign w:val="center"/>
          </w:tcPr>
          <w:p w14:paraId="2DAF8E7C">
            <w:pPr>
              <w:spacing w:after="50" w:line="24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849" w:type="pct"/>
            <w:vAlign w:val="center"/>
          </w:tcPr>
          <w:p w14:paraId="41B4EE3A">
            <w:pPr>
              <w:spacing w:line="24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r>
              <w:rPr>
                <w:rFonts w:hint="eastAsia" w:ascii="宋体" w:hAnsi="宋体" w:eastAsia="宋体" w:cs="宋体"/>
                <w:b/>
                <w:bCs/>
                <w:color w:val="auto"/>
                <w:sz w:val="24"/>
                <w:szCs w:val="24"/>
                <w:highlight w:val="none"/>
              </w:rPr>
              <w:t>联合体</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的联合体各方均须提供。</w:t>
            </w:r>
          </w:p>
        </w:tc>
      </w:tr>
      <w:tr w14:paraId="6996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369" w:type="pct"/>
            <w:vAlign w:val="center"/>
          </w:tcPr>
          <w:p w14:paraId="5C9A97E5">
            <w:pPr>
              <w:adjustRightInd w:val="0"/>
              <w:snapToGrid w:val="0"/>
              <w:spacing w:line="24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21" w:type="pct"/>
            <w:vAlign w:val="center"/>
          </w:tcPr>
          <w:p w14:paraId="6868AC86">
            <w:pPr>
              <w:spacing w:after="50" w:line="24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059" w:type="pct"/>
            <w:vAlign w:val="center"/>
          </w:tcPr>
          <w:p w14:paraId="6AFA7D2D">
            <w:pPr>
              <w:spacing w:after="50" w:line="24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cs="宋体"/>
                <w:b/>
                <w:bCs/>
                <w:sz w:val="24"/>
                <w:szCs w:val="24"/>
                <w:highlight w:val="none"/>
                <w:lang w:val="en-US" w:eastAsia="zh-CN"/>
              </w:rPr>
              <w:t>（联合体各方）</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49" w:type="pct"/>
            <w:vAlign w:val="center"/>
          </w:tcPr>
          <w:p w14:paraId="547C16DC">
            <w:pPr>
              <w:spacing w:line="24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2F11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369" w:type="pct"/>
            <w:vAlign w:val="center"/>
          </w:tcPr>
          <w:p w14:paraId="5DD2245D">
            <w:pPr>
              <w:spacing w:after="50" w:line="240" w:lineRule="auto"/>
              <w:ind w:right="-1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494" w:type="dxa"/>
            <w:vAlign w:val="center"/>
          </w:tcPr>
          <w:p w14:paraId="3C5072F5">
            <w:pPr>
              <w:spacing w:after="50" w:line="240" w:lineRule="auto"/>
              <w:ind w:right="-10" w:rightChars="0"/>
              <w:jc w:val="left"/>
              <w:rPr>
                <w:rFonts w:hint="eastAsia" w:ascii="宋体" w:hAnsi="宋体" w:eastAsia="宋体" w:cs="宋体"/>
                <w:sz w:val="24"/>
                <w:szCs w:val="24"/>
                <w:highlight w:val="none"/>
                <w:lang w:val="en-US" w:eastAsia="zh-CN"/>
              </w:rPr>
            </w:pPr>
            <w:r>
              <w:rPr>
                <w:rFonts w:ascii="宋体" w:hAnsi="宋体" w:eastAsia="宋体" w:cs="宋体"/>
                <w:sz w:val="24"/>
                <w:szCs w:val="24"/>
                <w:highlight w:val="none"/>
              </w:rPr>
              <w:t>本项目对于联合体的要求</w:t>
            </w:r>
            <w:r>
              <w:rPr>
                <w:rFonts w:hint="eastAsia" w:cs="宋体"/>
                <w:sz w:val="24"/>
                <w:szCs w:val="24"/>
                <w:highlight w:val="none"/>
                <w:lang w:val="en-US" w:eastAsia="zh-CN"/>
              </w:rPr>
              <w:t xml:space="preserve"> </w:t>
            </w:r>
          </w:p>
        </w:tc>
        <w:tc>
          <w:tcPr>
            <w:tcW w:w="4270" w:type="dxa"/>
            <w:vAlign w:val="center"/>
          </w:tcPr>
          <w:p w14:paraId="1F842236">
            <w:pPr>
              <w:spacing w:after="50" w:line="240" w:lineRule="auto"/>
              <w:ind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联合体磋商的详见供应商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1.5，且提</w:t>
            </w:r>
            <w:r>
              <w:rPr>
                <w:rFonts w:ascii="宋体" w:hAnsi="宋体" w:eastAsia="宋体" w:cs="宋体"/>
                <w:sz w:val="24"/>
                <w:szCs w:val="24"/>
                <w:highlight w:val="none"/>
                <w:lang w:val="en-US" w:eastAsia="zh-CN"/>
              </w:rPr>
              <w:t>供《联合协议》。</w:t>
            </w:r>
          </w:p>
        </w:tc>
        <w:tc>
          <w:tcPr>
            <w:tcW w:w="3835" w:type="dxa"/>
            <w:vAlign w:val="center"/>
          </w:tcPr>
          <w:p w14:paraId="41BE4367">
            <w:pPr>
              <w:spacing w:after="50" w:line="240" w:lineRule="auto"/>
              <w:ind w:right="-10" w:rightChars="0"/>
              <w:jc w:val="left"/>
              <w:rPr>
                <w:rFonts w:hint="eastAsia" w:ascii="宋体" w:hAnsi="宋体" w:eastAsia="宋体" w:cs="宋体"/>
                <w:sz w:val="24"/>
                <w:szCs w:val="24"/>
                <w:highlight w:val="none"/>
              </w:rPr>
            </w:pPr>
            <w:r>
              <w:rPr>
                <w:rFonts w:ascii="宋体" w:hAnsi="宋体" w:eastAsia="宋体" w:cs="宋体"/>
                <w:sz w:val="24"/>
                <w:szCs w:val="24"/>
                <w:highlight w:val="none"/>
                <w:lang w:val="en-US" w:eastAsia="zh-CN"/>
              </w:rPr>
              <w:t>《联合协议》</w:t>
            </w:r>
            <w:r>
              <w:rPr>
                <w:rFonts w:hint="eastAsia" w:ascii="宋体" w:hAnsi="宋体" w:eastAsia="宋体" w:cs="宋体"/>
                <w:sz w:val="24"/>
                <w:szCs w:val="24"/>
                <w:highlight w:val="none"/>
              </w:rPr>
              <w:t>详见第六章</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highlight w:val="none"/>
                <w:lang w:eastAsia="zh-CN"/>
              </w:rPr>
              <w:t>。</w:t>
            </w:r>
          </w:p>
        </w:tc>
      </w:tr>
      <w:tr w14:paraId="2A39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69" w:type="pct"/>
            <w:vAlign w:val="center"/>
          </w:tcPr>
          <w:p w14:paraId="74AED982">
            <w:pPr>
              <w:adjustRightInd w:val="0"/>
              <w:snapToGrid w:val="0"/>
              <w:spacing w:line="24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21" w:type="pct"/>
            <w:vAlign w:val="center"/>
          </w:tcPr>
          <w:p w14:paraId="57A3F4FF">
            <w:pPr>
              <w:spacing w:after="50" w:line="240" w:lineRule="auto"/>
              <w:ind w:right="-10" w:rightChars="0"/>
              <w:jc w:val="both"/>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其他</w:t>
            </w:r>
            <w:r>
              <w:rPr>
                <w:rFonts w:hint="eastAsia" w:ascii="宋体" w:hAnsi="宋体" w:eastAsia="宋体"/>
                <w:color w:val="auto"/>
                <w:sz w:val="24"/>
                <w:szCs w:val="18"/>
                <w:highlight w:val="none"/>
              </w:rPr>
              <w:t>特</w:t>
            </w:r>
            <w:r>
              <w:rPr>
                <w:rFonts w:ascii="宋体" w:hAnsi="宋体" w:eastAsia="宋体" w:cs="宋体"/>
                <w:spacing w:val="10"/>
                <w:sz w:val="24"/>
                <w:szCs w:val="24"/>
                <w:highlight w:val="none"/>
              </w:rPr>
              <w:t>定资格要求</w:t>
            </w:r>
          </w:p>
        </w:tc>
        <w:tc>
          <w:tcPr>
            <w:tcW w:w="2059" w:type="pct"/>
            <w:vAlign w:val="center"/>
          </w:tcPr>
          <w:p w14:paraId="4D29461F">
            <w:pPr>
              <w:spacing w:after="50" w:line="240" w:lineRule="auto"/>
              <w:ind w:right="-10" w:rightChars="0"/>
              <w:jc w:val="left"/>
              <w:rPr>
                <w:rFonts w:ascii="Calibri" w:hAnsi="Calibri" w:cs="Times New Roman"/>
                <w:color w:val="auto"/>
                <w:kern w:val="2"/>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1849" w:type="pct"/>
            <w:vAlign w:val="center"/>
          </w:tcPr>
          <w:p w14:paraId="0B415A01">
            <w:pPr>
              <w:spacing w:after="50" w:line="24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bCs/>
                <w:color w:val="auto"/>
                <w:sz w:val="24"/>
                <w:szCs w:val="24"/>
                <w:highlight w:val="none"/>
              </w:rPr>
              <w:t>联合体</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的联合体各方</w:t>
            </w:r>
            <w:r>
              <w:rPr>
                <w:rFonts w:hint="eastAsia" w:cs="宋体"/>
                <w:b/>
                <w:bCs/>
                <w:color w:val="auto"/>
                <w:sz w:val="24"/>
                <w:szCs w:val="24"/>
                <w:highlight w:val="none"/>
                <w:lang w:val="en-US" w:eastAsia="zh-CN"/>
              </w:rPr>
              <w:t>根据第一章磋商邀请中的要求</w:t>
            </w:r>
            <w:r>
              <w:rPr>
                <w:rFonts w:hint="eastAsia" w:ascii="宋体" w:hAnsi="宋体" w:eastAsia="宋体" w:cs="宋体"/>
                <w:b/>
                <w:bCs/>
                <w:color w:val="auto"/>
                <w:sz w:val="24"/>
                <w:szCs w:val="24"/>
                <w:highlight w:val="none"/>
              </w:rPr>
              <w:t>提供。</w:t>
            </w:r>
          </w:p>
        </w:tc>
      </w:tr>
      <w:tr w14:paraId="0E47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69" w:type="pct"/>
            <w:vAlign w:val="center"/>
          </w:tcPr>
          <w:p w14:paraId="25DDEF5A">
            <w:pPr>
              <w:adjustRightInd w:val="0"/>
              <w:snapToGrid w:val="0"/>
              <w:spacing w:line="24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21" w:type="pct"/>
            <w:vAlign w:val="center"/>
          </w:tcPr>
          <w:p w14:paraId="2810D77D">
            <w:pPr>
              <w:adjustRightInd w:val="0"/>
              <w:snapToGrid w:val="0"/>
              <w:spacing w:line="24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059" w:type="pct"/>
            <w:vAlign w:val="center"/>
          </w:tcPr>
          <w:p w14:paraId="454F26DB">
            <w:pPr>
              <w:adjustRightInd w:val="0"/>
              <w:snapToGrid w:val="0"/>
              <w:spacing w:line="24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849" w:type="pct"/>
            <w:vAlign w:val="center"/>
          </w:tcPr>
          <w:p w14:paraId="75DC3C25">
            <w:pPr>
              <w:adjustRightInd w:val="0"/>
              <w:snapToGrid w:val="0"/>
              <w:spacing w:line="240" w:lineRule="auto"/>
              <w:ind w:right="-10" w:rightChars="0"/>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A32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69" w:type="pct"/>
            <w:vAlign w:val="center"/>
          </w:tcPr>
          <w:p w14:paraId="7B5C45B7">
            <w:pPr>
              <w:adjustRightInd w:val="0"/>
              <w:snapToGrid w:val="0"/>
              <w:spacing w:line="24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21" w:type="pct"/>
            <w:vAlign w:val="center"/>
          </w:tcPr>
          <w:p w14:paraId="21B0BB66">
            <w:pPr>
              <w:adjustRightInd w:val="0"/>
              <w:snapToGrid w:val="0"/>
              <w:spacing w:line="24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059" w:type="pct"/>
            <w:vAlign w:val="center"/>
          </w:tcPr>
          <w:p w14:paraId="11BE343F">
            <w:pPr>
              <w:adjustRightInd w:val="0"/>
              <w:snapToGrid w:val="0"/>
              <w:spacing w:line="24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849" w:type="pct"/>
            <w:vAlign w:val="center"/>
          </w:tcPr>
          <w:p w14:paraId="18DD6E03">
            <w:pPr>
              <w:adjustRightInd w:val="0"/>
              <w:snapToGrid w:val="0"/>
              <w:spacing w:line="240" w:lineRule="auto"/>
              <w:ind w:right="-10" w:rightChars="0"/>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0B9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69" w:type="pct"/>
            <w:vAlign w:val="center"/>
          </w:tcPr>
          <w:p w14:paraId="14F9D91A">
            <w:pPr>
              <w:adjustRightInd w:val="0"/>
              <w:snapToGrid w:val="0"/>
              <w:spacing w:line="24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21" w:type="pct"/>
            <w:vAlign w:val="center"/>
          </w:tcPr>
          <w:p w14:paraId="501657E3">
            <w:pPr>
              <w:spacing w:after="50" w:line="24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059" w:type="pct"/>
            <w:vAlign w:val="center"/>
          </w:tcPr>
          <w:p w14:paraId="76525C2E">
            <w:pPr>
              <w:spacing w:after="50" w:line="24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849" w:type="pct"/>
            <w:vAlign w:val="center"/>
          </w:tcPr>
          <w:p w14:paraId="6F0DB8E0">
            <w:pPr>
              <w:adjustRightInd w:val="0"/>
              <w:snapToGrid w:val="0"/>
              <w:spacing w:line="240" w:lineRule="auto"/>
              <w:ind w:right="-10" w:rightChars="0"/>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657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69" w:type="pct"/>
            <w:vAlign w:val="center"/>
          </w:tcPr>
          <w:p w14:paraId="7A9FC47B">
            <w:pPr>
              <w:adjustRightInd w:val="0"/>
              <w:snapToGrid w:val="0"/>
              <w:spacing w:line="240" w:lineRule="auto"/>
              <w:ind w:right="-10" w:rightChars="0"/>
              <w:jc w:val="center"/>
              <w:rPr>
                <w:rFonts w:hint="default" w:cs="Times New Roman"/>
                <w:color w:val="auto"/>
                <w:kern w:val="2"/>
                <w:sz w:val="24"/>
                <w:szCs w:val="22"/>
                <w:highlight w:val="none"/>
                <w:lang w:val="en-US"/>
              </w:rPr>
            </w:pPr>
            <w:r>
              <w:rPr>
                <w:rFonts w:hint="eastAsia" w:cs="Times New Roman" w:asciiTheme="minorEastAsia" w:hAnsiTheme="minorEastAsia" w:eastAsiaTheme="minorEastAsia"/>
                <w:color w:val="auto"/>
                <w:kern w:val="2"/>
                <w:sz w:val="24"/>
                <w:szCs w:val="22"/>
                <w:highlight w:val="none"/>
                <w:lang w:val="en-US" w:eastAsia="zh-CN"/>
              </w:rPr>
              <w:t>9</w:t>
            </w:r>
          </w:p>
        </w:tc>
        <w:tc>
          <w:tcPr>
            <w:tcW w:w="721" w:type="pct"/>
            <w:vAlign w:val="center"/>
          </w:tcPr>
          <w:p w14:paraId="6246DB63">
            <w:pPr>
              <w:adjustRightInd w:val="0"/>
              <w:snapToGrid w:val="0"/>
              <w:spacing w:line="240" w:lineRule="auto"/>
              <w:ind w:right="-10" w:rightChars="0"/>
              <w:jc w:val="center"/>
              <w:rPr>
                <w:rFonts w:hint="eastAsia" w:ascii="Calibri" w:hAnsi="Calibri" w:eastAsia="宋体" w:cs="Times New Roman"/>
                <w:color w:val="auto"/>
                <w:kern w:val="2"/>
                <w:sz w:val="24"/>
                <w:szCs w:val="24"/>
                <w:highlight w:val="none"/>
                <w:lang w:val="en-US" w:eastAsia="zh-CN"/>
              </w:rPr>
            </w:pPr>
            <w:r>
              <w:rPr>
                <w:rFonts w:hint="eastAsia" w:ascii="Calibri" w:hAnsi="Calibri" w:cs="Times New Roman"/>
                <w:color w:val="auto"/>
                <w:kern w:val="2"/>
                <w:sz w:val="24"/>
                <w:szCs w:val="24"/>
                <w:highlight w:val="none"/>
                <w:lang w:val="en-US" w:eastAsia="zh-CN"/>
              </w:rPr>
              <w:t>其他</w:t>
            </w:r>
          </w:p>
        </w:tc>
        <w:tc>
          <w:tcPr>
            <w:tcW w:w="2059" w:type="pct"/>
            <w:vAlign w:val="center"/>
          </w:tcPr>
          <w:p w14:paraId="20260F0C">
            <w:pPr>
              <w:adjustRightInd w:val="0"/>
              <w:snapToGrid w:val="0"/>
              <w:spacing w:line="240" w:lineRule="auto"/>
              <w:ind w:right="-10" w:rightChars="0"/>
              <w:jc w:val="left"/>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849" w:type="pct"/>
            <w:vAlign w:val="center"/>
          </w:tcPr>
          <w:p w14:paraId="2F352913">
            <w:pPr>
              <w:adjustRightInd w:val="0"/>
              <w:snapToGrid w:val="0"/>
              <w:spacing w:line="240" w:lineRule="auto"/>
              <w:ind w:right="-10" w:rightChars="0"/>
              <w:jc w:val="left"/>
              <w:rPr>
                <w:rFonts w:hint="eastAsia" w:asciiTheme="majorEastAsia" w:hAnsiTheme="majorEastAsia" w:eastAsiaTheme="majorEastAsia"/>
                <w:color w:val="auto"/>
                <w:sz w:val="24"/>
                <w:highlight w:val="none"/>
              </w:rPr>
            </w:pPr>
          </w:p>
        </w:tc>
      </w:tr>
      <w:tr w14:paraId="3BE2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150" w:type="pct"/>
            <w:gridSpan w:val="3"/>
            <w:tcBorders>
              <w:bottom w:val="single" w:color="auto" w:sz="4" w:space="0"/>
            </w:tcBorders>
            <w:vAlign w:val="center"/>
          </w:tcPr>
          <w:p w14:paraId="29727733">
            <w:pPr>
              <w:adjustRightInd w:val="0"/>
              <w:snapToGrid w:val="0"/>
              <w:spacing w:line="240" w:lineRule="auto"/>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849" w:type="pct"/>
            <w:tcBorders>
              <w:bottom w:val="single" w:color="auto" w:sz="4" w:space="0"/>
            </w:tcBorders>
            <w:vAlign w:val="center"/>
          </w:tcPr>
          <w:p w14:paraId="31F914F3">
            <w:pPr>
              <w:adjustRightInd w:val="0"/>
              <w:snapToGrid w:val="0"/>
              <w:spacing w:line="240" w:lineRule="auto"/>
              <w:ind w:right="-10"/>
              <w:jc w:val="left"/>
              <w:rPr>
                <w:rFonts w:hint="eastAsia" w:ascii="Calibri" w:hAnsi="Calibri" w:cs="Times New Roman"/>
                <w:color w:val="auto"/>
                <w:kern w:val="2"/>
                <w:sz w:val="24"/>
                <w:szCs w:val="22"/>
                <w:highlight w:val="none"/>
              </w:rPr>
            </w:pPr>
          </w:p>
        </w:tc>
      </w:tr>
    </w:tbl>
    <w:p w14:paraId="238BF1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85247C7">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1A9BCB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01A63D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56"/>
        <w:tblW w:w="56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386"/>
        <w:gridCol w:w="5599"/>
        <w:gridCol w:w="1460"/>
      </w:tblGrid>
      <w:tr w14:paraId="6708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30" w:type="pct"/>
            <w:tcBorders>
              <w:top w:val="single" w:color="auto" w:sz="4" w:space="0"/>
              <w:left w:val="single" w:color="auto" w:sz="4" w:space="0"/>
              <w:bottom w:val="single" w:color="auto" w:sz="4" w:space="0"/>
              <w:right w:val="single" w:color="auto" w:sz="4" w:space="0"/>
            </w:tcBorders>
            <w:vAlign w:val="center"/>
          </w:tcPr>
          <w:p w14:paraId="35B32AE3">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类别</w:t>
            </w:r>
          </w:p>
        </w:tc>
        <w:tc>
          <w:tcPr>
            <w:tcW w:w="1129" w:type="pct"/>
            <w:tcBorders>
              <w:top w:val="single" w:color="auto" w:sz="4" w:space="0"/>
              <w:left w:val="single" w:color="auto" w:sz="4" w:space="0"/>
              <w:bottom w:val="single" w:color="auto" w:sz="4" w:space="0"/>
              <w:right w:val="single" w:color="auto" w:sz="4" w:space="0"/>
            </w:tcBorders>
            <w:vAlign w:val="center"/>
          </w:tcPr>
          <w:p w14:paraId="0B4EE504">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评分内容</w:t>
            </w:r>
          </w:p>
        </w:tc>
        <w:tc>
          <w:tcPr>
            <w:tcW w:w="2649" w:type="pct"/>
            <w:tcBorders>
              <w:top w:val="single" w:color="auto" w:sz="4" w:space="0"/>
              <w:left w:val="single" w:color="auto" w:sz="4" w:space="0"/>
              <w:bottom w:val="single" w:color="auto" w:sz="4" w:space="0"/>
              <w:right w:val="single" w:color="auto" w:sz="4" w:space="0"/>
            </w:tcBorders>
            <w:vAlign w:val="center"/>
          </w:tcPr>
          <w:p w14:paraId="4386BEC7">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评分标准</w:t>
            </w:r>
          </w:p>
        </w:tc>
        <w:tc>
          <w:tcPr>
            <w:tcW w:w="690" w:type="pct"/>
            <w:tcBorders>
              <w:top w:val="single" w:color="auto" w:sz="4" w:space="0"/>
              <w:left w:val="single" w:color="auto" w:sz="4" w:space="0"/>
              <w:bottom w:val="single" w:color="auto" w:sz="4" w:space="0"/>
              <w:right w:val="single" w:color="auto" w:sz="4" w:space="0"/>
            </w:tcBorders>
            <w:vAlign w:val="center"/>
          </w:tcPr>
          <w:p w14:paraId="0AD498E7">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分值范围</w:t>
            </w:r>
          </w:p>
        </w:tc>
      </w:tr>
      <w:tr w14:paraId="1E8E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0" w:type="pct"/>
            <w:vMerge w:val="restart"/>
            <w:tcBorders>
              <w:top w:val="single" w:color="auto" w:sz="4" w:space="0"/>
              <w:left w:val="single" w:color="auto" w:sz="4" w:space="0"/>
              <w:right w:val="single" w:color="auto" w:sz="4" w:space="0"/>
            </w:tcBorders>
            <w:vAlign w:val="center"/>
          </w:tcPr>
          <w:p w14:paraId="17CA9081">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技术资信分</w:t>
            </w:r>
          </w:p>
          <w:p w14:paraId="4D28397C">
            <w:pPr>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u w:val="single"/>
                <w:lang w:val="en-US" w:eastAsia="zh-CN"/>
              </w:rPr>
              <w:t>80</w:t>
            </w:r>
            <w:r>
              <w:rPr>
                <w:rFonts w:hint="eastAsia" w:ascii="宋体" w:hAnsi="宋体" w:eastAsia="宋体"/>
                <w:b/>
                <w:bCs/>
                <w:color w:val="auto"/>
                <w:sz w:val="24"/>
                <w:szCs w:val="24"/>
                <w:highlight w:val="none"/>
              </w:rPr>
              <w:t>分）</w:t>
            </w:r>
          </w:p>
        </w:tc>
        <w:tc>
          <w:tcPr>
            <w:tcW w:w="1129" w:type="pct"/>
            <w:tcBorders>
              <w:top w:val="single" w:color="auto" w:sz="4" w:space="0"/>
              <w:left w:val="single" w:color="auto" w:sz="4" w:space="0"/>
              <w:bottom w:val="single" w:color="auto" w:sz="4" w:space="0"/>
              <w:right w:val="single" w:color="auto" w:sz="4" w:space="0"/>
            </w:tcBorders>
            <w:vAlign w:val="center"/>
          </w:tcPr>
          <w:p w14:paraId="1DF2C79B">
            <w:pPr>
              <w:spacing w:line="360" w:lineRule="auto"/>
              <w:jc w:val="center"/>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供应商业绩</w:t>
            </w:r>
          </w:p>
          <w:p w14:paraId="12A6F9BA">
            <w:pPr>
              <w:spacing w:line="360" w:lineRule="auto"/>
              <w:jc w:val="center"/>
              <w:rPr>
                <w:rFonts w:ascii="宋体" w:hAnsi="宋体" w:eastAsia="宋体"/>
                <w:bCs/>
                <w:color w:val="auto"/>
                <w:sz w:val="24"/>
                <w:szCs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15</w:t>
            </w:r>
            <w:r>
              <w:rPr>
                <w:rFonts w:hint="eastAsia" w:ascii="宋体" w:hAnsi="宋体" w:eastAsia="宋体"/>
                <w:b/>
                <w:bCs/>
                <w:color w:val="auto"/>
                <w:sz w:val="24"/>
                <w:szCs w:val="24"/>
                <w:highlight w:val="none"/>
              </w:rPr>
              <w:t>分）</w:t>
            </w:r>
          </w:p>
        </w:tc>
        <w:tc>
          <w:tcPr>
            <w:tcW w:w="2649" w:type="pct"/>
            <w:tcBorders>
              <w:top w:val="single" w:color="auto" w:sz="4" w:space="0"/>
              <w:left w:val="single" w:color="auto" w:sz="4" w:space="0"/>
              <w:bottom w:val="single" w:color="auto" w:sz="4" w:space="0"/>
              <w:right w:val="single" w:color="auto" w:sz="4" w:space="0"/>
            </w:tcBorders>
            <w:vAlign w:val="center"/>
          </w:tcPr>
          <w:p w14:paraId="65392205">
            <w:pPr>
              <w:keepNext w:val="0"/>
              <w:keepLines w:val="0"/>
              <w:widowControl/>
              <w:suppressLineNumbers w:val="0"/>
              <w:jc w:val="left"/>
              <w:rPr>
                <w:rFonts w:ascii="Times New Roman" w:hAnsi="Times New Roman"/>
                <w:bCs/>
                <w:color w:val="auto"/>
                <w:sz w:val="24"/>
                <w:szCs w:val="24"/>
                <w:highlight w:val="none"/>
              </w:rPr>
            </w:pPr>
            <w:r>
              <w:rPr>
                <w:rFonts w:hint="eastAsia" w:ascii="Times New Roman" w:hAnsi="Times New Roman"/>
                <w:bCs/>
                <w:color w:val="auto"/>
                <w:sz w:val="24"/>
                <w:szCs w:val="24"/>
                <w:highlight w:val="none"/>
                <w:lang w:val="en-US" w:eastAsia="zh-CN"/>
              </w:rPr>
              <w:t>供应商</w:t>
            </w:r>
            <w:r>
              <w:rPr>
                <w:rFonts w:hint="eastAsia" w:ascii="Times New Roman" w:hAnsi="Times New Roman"/>
                <w:bCs/>
                <w:color w:val="auto"/>
                <w:sz w:val="24"/>
                <w:szCs w:val="24"/>
                <w:highlight w:val="none"/>
              </w:rPr>
              <w:t>自2</w:t>
            </w:r>
            <w:r>
              <w:rPr>
                <w:rFonts w:hint="default" w:ascii="Times New Roman" w:hAnsi="Times New Roman"/>
                <w:bCs/>
                <w:color w:val="auto"/>
                <w:sz w:val="24"/>
                <w:szCs w:val="24"/>
                <w:highlight w:val="none"/>
                <w:lang w:val="en-US"/>
              </w:rPr>
              <w:t>022</w:t>
            </w:r>
            <w:r>
              <w:rPr>
                <w:rFonts w:hint="eastAsia" w:ascii="Times New Roman" w:hAnsi="Times New Roman"/>
                <w:bCs/>
                <w:color w:val="auto"/>
                <w:sz w:val="24"/>
                <w:szCs w:val="24"/>
                <w:highlight w:val="none"/>
              </w:rPr>
              <w:t>年1月</w:t>
            </w:r>
            <w:r>
              <w:rPr>
                <w:rFonts w:hint="eastAsia" w:ascii="Times New Roman" w:hAnsi="Times New Roman"/>
                <w:bCs/>
                <w:color w:val="auto"/>
                <w:sz w:val="24"/>
                <w:szCs w:val="24"/>
                <w:highlight w:val="none"/>
                <w:lang w:val="en-US" w:eastAsia="zh-CN"/>
              </w:rPr>
              <w:t>1</w:t>
            </w:r>
            <w:r>
              <w:rPr>
                <w:rFonts w:hint="eastAsia" w:ascii="Times New Roman" w:hAnsi="Times New Roman"/>
                <w:bCs/>
                <w:color w:val="auto"/>
                <w:sz w:val="24"/>
                <w:szCs w:val="24"/>
                <w:highlight w:val="none"/>
              </w:rPr>
              <w:t>日以来（以合同签订时间为准），</w:t>
            </w:r>
            <w:bookmarkStart w:id="84" w:name="OLE_LINK9"/>
            <w:r>
              <w:rPr>
                <w:rFonts w:hint="eastAsia" w:ascii="Times New Roman" w:hAnsi="Times New Roman"/>
                <w:bCs/>
                <w:color w:val="auto"/>
                <w:sz w:val="24"/>
                <w:szCs w:val="24"/>
                <w:highlight w:val="none"/>
              </w:rPr>
              <w:t>每提供一个</w:t>
            </w:r>
            <w:bookmarkStart w:id="85" w:name="OLE_LINK8"/>
            <w:r>
              <w:rPr>
                <w:rFonts w:ascii="宋体" w:hAnsi="宋体" w:eastAsia="宋体" w:cs="宋体"/>
                <w:sz w:val="24"/>
                <w:szCs w:val="24"/>
                <w:highlight w:val="none"/>
              </w:rPr>
              <w:t>水利工程安全监测设备安装或水利工程安全监测设施改造</w:t>
            </w:r>
            <w:bookmarkEnd w:id="85"/>
            <w:r>
              <w:rPr>
                <w:rFonts w:hint="eastAsia" w:ascii="宋体" w:hAnsi="宋体" w:eastAsia="宋体" w:cs="宋体"/>
                <w:sz w:val="24"/>
                <w:szCs w:val="24"/>
                <w:highlight w:val="none"/>
                <w:lang w:val="en-US" w:eastAsia="zh-CN"/>
              </w:rPr>
              <w:t>项目业绩</w:t>
            </w:r>
            <w:r>
              <w:rPr>
                <w:rFonts w:hint="eastAsia" w:ascii="Times New Roman" w:hAnsi="Times New Roman"/>
                <w:bCs/>
                <w:color w:val="auto"/>
                <w:sz w:val="24"/>
                <w:szCs w:val="24"/>
                <w:highlight w:val="none"/>
              </w:rPr>
              <w:t>得5分</w:t>
            </w:r>
            <w:bookmarkEnd w:id="84"/>
            <w:r>
              <w:rPr>
                <w:rFonts w:hint="eastAsia" w:ascii="Times New Roman" w:hAnsi="Times New Roman"/>
                <w:bCs/>
                <w:color w:val="auto"/>
                <w:sz w:val="24"/>
                <w:szCs w:val="24"/>
                <w:highlight w:val="none"/>
              </w:rPr>
              <w:t>，满分</w:t>
            </w:r>
            <w:r>
              <w:rPr>
                <w:rFonts w:hint="eastAsia" w:ascii="Times New Roman" w:hAnsi="Times New Roman"/>
                <w:bCs/>
                <w:color w:val="auto"/>
                <w:sz w:val="24"/>
                <w:szCs w:val="24"/>
                <w:highlight w:val="none"/>
                <w:lang w:val="en-US" w:eastAsia="zh-CN"/>
              </w:rPr>
              <w:t>15</w:t>
            </w:r>
            <w:r>
              <w:rPr>
                <w:rFonts w:hint="eastAsia" w:ascii="Times New Roman" w:hAnsi="Times New Roman"/>
                <w:bCs/>
                <w:color w:val="auto"/>
                <w:sz w:val="24"/>
                <w:szCs w:val="24"/>
                <w:highlight w:val="none"/>
              </w:rPr>
              <w:t>分；</w:t>
            </w:r>
          </w:p>
          <w:p w14:paraId="6DF22A3D">
            <w:pPr>
              <w:spacing w:line="240" w:lineRule="auto"/>
              <w:jc w:val="left"/>
              <w:rPr>
                <w:rFonts w:hint="default" w:ascii="宋体" w:hAnsi="宋体" w:eastAsia="宋体"/>
                <w:bCs/>
                <w:color w:val="auto"/>
                <w:sz w:val="24"/>
                <w:szCs w:val="24"/>
                <w:highlight w:val="none"/>
                <w:lang w:val="en-US"/>
              </w:rPr>
            </w:pPr>
            <w:r>
              <w:rPr>
                <w:rStyle w:val="271"/>
                <w:rFonts w:hint="eastAsia" w:ascii="Times New Roman" w:hAnsi="Times New Roman"/>
                <w:b/>
                <w:bCs/>
                <w:color w:val="auto"/>
                <w:sz w:val="24"/>
                <w:szCs w:val="24"/>
                <w:highlight w:val="none"/>
                <w:lang w:val="en-US" w:eastAsia="zh-CN"/>
              </w:rPr>
              <w:t>注：响应文件中须同时提供①中标通知书或合同；②完工（或竣工）验收报告或第三方&lt;合同甲方或行业主管部门&gt;出具的已完成证明，否则不得分。如上述材料不能体现业绩时间、项目内容等关键评审因素的，可补充提供合同甲方或行政主管部门出具的证明文件；</w:t>
            </w:r>
            <w:bookmarkStart w:id="86" w:name="OLE_LINK24"/>
            <w:r>
              <w:rPr>
                <w:rStyle w:val="271"/>
                <w:rFonts w:hint="eastAsia" w:ascii="Times New Roman" w:hAnsi="Times New Roman"/>
                <w:b/>
                <w:bCs/>
                <w:color w:val="FF0000"/>
                <w:sz w:val="24"/>
                <w:szCs w:val="24"/>
                <w:highlight w:val="none"/>
                <w:lang w:val="en-US" w:eastAsia="zh-CN"/>
              </w:rPr>
              <w:t>③如为联合体磋商，供应商业绩应由联合体牵头人提供。</w:t>
            </w:r>
            <w:bookmarkEnd w:id="86"/>
          </w:p>
        </w:tc>
        <w:tc>
          <w:tcPr>
            <w:tcW w:w="690" w:type="pct"/>
            <w:tcBorders>
              <w:top w:val="single" w:color="auto" w:sz="4" w:space="0"/>
              <w:left w:val="single" w:color="auto" w:sz="4" w:space="0"/>
              <w:bottom w:val="single" w:color="auto" w:sz="4" w:space="0"/>
              <w:right w:val="single" w:color="auto" w:sz="4" w:space="0"/>
            </w:tcBorders>
            <w:vAlign w:val="center"/>
          </w:tcPr>
          <w:p w14:paraId="69333432">
            <w:pPr>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0-15分</w:t>
            </w:r>
          </w:p>
        </w:tc>
      </w:tr>
      <w:tr w14:paraId="6198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0" w:type="pct"/>
            <w:vMerge w:val="continue"/>
            <w:tcBorders>
              <w:left w:val="single" w:color="auto" w:sz="4" w:space="0"/>
              <w:right w:val="single" w:color="auto" w:sz="4" w:space="0"/>
            </w:tcBorders>
            <w:vAlign w:val="center"/>
          </w:tcPr>
          <w:p w14:paraId="41102791">
            <w:pPr>
              <w:spacing w:line="360" w:lineRule="auto"/>
              <w:jc w:val="center"/>
              <w:rPr>
                <w:rFonts w:hint="eastAsia" w:ascii="宋体" w:hAnsi="宋体" w:eastAsia="宋体"/>
                <w:b/>
                <w:bCs/>
                <w:color w:val="auto"/>
                <w:sz w:val="24"/>
                <w:szCs w:val="24"/>
                <w:highlight w:val="none"/>
              </w:rPr>
            </w:pPr>
          </w:p>
        </w:tc>
        <w:tc>
          <w:tcPr>
            <w:tcW w:w="1129" w:type="pct"/>
            <w:tcBorders>
              <w:top w:val="single" w:color="auto" w:sz="4" w:space="0"/>
              <w:left w:val="single" w:color="auto" w:sz="4" w:space="0"/>
              <w:bottom w:val="single" w:color="auto" w:sz="4" w:space="0"/>
              <w:right w:val="single" w:color="auto" w:sz="4" w:space="0"/>
            </w:tcBorders>
            <w:vAlign w:val="center"/>
          </w:tcPr>
          <w:p w14:paraId="4EF2060D">
            <w:pPr>
              <w:spacing w:line="360" w:lineRule="auto"/>
              <w:jc w:val="center"/>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供应商认证证书</w:t>
            </w:r>
          </w:p>
          <w:p w14:paraId="02DE14AE">
            <w:pPr>
              <w:spacing w:line="360" w:lineRule="auto"/>
              <w:jc w:val="center"/>
              <w:rPr>
                <w:rFonts w:hint="default"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3</w:t>
            </w:r>
            <w:r>
              <w:rPr>
                <w:rFonts w:hint="eastAsia" w:ascii="宋体" w:hAnsi="宋体" w:eastAsia="宋体"/>
                <w:b/>
                <w:bCs/>
                <w:color w:val="auto"/>
                <w:sz w:val="24"/>
                <w:szCs w:val="24"/>
                <w:highlight w:val="none"/>
              </w:rPr>
              <w:t>分）</w:t>
            </w:r>
          </w:p>
        </w:tc>
        <w:tc>
          <w:tcPr>
            <w:tcW w:w="2649" w:type="pct"/>
            <w:tcBorders>
              <w:top w:val="single" w:color="auto" w:sz="4" w:space="0"/>
              <w:left w:val="single" w:color="auto" w:sz="4" w:space="0"/>
              <w:bottom w:val="single" w:color="auto" w:sz="4" w:space="0"/>
              <w:right w:val="single" w:color="auto" w:sz="4" w:space="0"/>
            </w:tcBorders>
            <w:vAlign w:val="center"/>
          </w:tcPr>
          <w:p w14:paraId="278A7C17">
            <w:pPr>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供应商具有经中国国家认证认可监督管理委员会认证机构颁发的有效的下列认证的：</w:t>
            </w:r>
          </w:p>
          <w:p w14:paraId="5740A103">
            <w:pPr>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(1）质量管理体系认证；</w:t>
            </w:r>
          </w:p>
          <w:p w14:paraId="0585F90C">
            <w:pPr>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(2）环境管理体系认证；</w:t>
            </w:r>
          </w:p>
          <w:p w14:paraId="0D77BE0B">
            <w:pPr>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(3）职业健康安全管理体系认证；</w:t>
            </w:r>
          </w:p>
          <w:p w14:paraId="0D9AD21C">
            <w:pPr>
              <w:jc w:val="left"/>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每提供1个得</w:t>
            </w:r>
            <w:r>
              <w:rPr>
                <w:rFonts w:hint="eastAsia" w:cs="宋体" w:asciiTheme="minorEastAsia" w:hAnsiTheme="minorEastAsia" w:eastAsiaTheme="minorEastAsia"/>
                <w:bCs/>
                <w:sz w:val="24"/>
                <w:szCs w:val="24"/>
                <w:highlight w:val="none"/>
                <w:lang w:val="en-US" w:eastAsia="zh-CN"/>
              </w:rPr>
              <w:t>1</w:t>
            </w:r>
            <w:r>
              <w:rPr>
                <w:rFonts w:hint="eastAsia" w:cs="宋体" w:asciiTheme="minorEastAsia" w:hAnsiTheme="minorEastAsia" w:eastAsiaTheme="minorEastAsia"/>
                <w:bCs/>
                <w:sz w:val="24"/>
                <w:szCs w:val="24"/>
                <w:highlight w:val="none"/>
              </w:rPr>
              <w:t>分，满分</w:t>
            </w:r>
            <w:r>
              <w:rPr>
                <w:rFonts w:hint="eastAsia" w:cs="宋体" w:asciiTheme="minorEastAsia" w:hAnsiTheme="minorEastAsia" w:eastAsiaTheme="minorEastAsia"/>
                <w:bCs/>
                <w:sz w:val="24"/>
                <w:szCs w:val="24"/>
                <w:highlight w:val="none"/>
                <w:lang w:val="en-US" w:eastAsia="zh-CN"/>
              </w:rPr>
              <w:t>3</w:t>
            </w:r>
            <w:r>
              <w:rPr>
                <w:rFonts w:hint="eastAsia" w:cs="宋体" w:asciiTheme="minorEastAsia" w:hAnsiTheme="minorEastAsia" w:eastAsiaTheme="minorEastAsia"/>
                <w:bCs/>
                <w:sz w:val="24"/>
                <w:szCs w:val="24"/>
                <w:highlight w:val="none"/>
              </w:rPr>
              <w:t>分。</w:t>
            </w:r>
          </w:p>
          <w:p w14:paraId="69937CDB">
            <w:pPr>
              <w:spacing w:line="240" w:lineRule="auto"/>
              <w:jc w:val="left"/>
              <w:rPr>
                <w:rStyle w:val="271"/>
                <w:rFonts w:hint="eastAsia" w:ascii="Times New Roman" w:hAnsi="Times New Roman"/>
                <w:b/>
                <w:bCs/>
                <w:color w:val="auto"/>
                <w:sz w:val="24"/>
                <w:szCs w:val="24"/>
                <w:highlight w:val="none"/>
                <w:lang w:val="en-US" w:eastAsia="zh-CN"/>
              </w:rPr>
            </w:pPr>
            <w:r>
              <w:rPr>
                <w:rFonts w:hint="eastAsia" w:cs="宋体" w:asciiTheme="minorEastAsia" w:hAnsiTheme="minorEastAsia" w:eastAsiaTheme="minorEastAsia"/>
                <w:b/>
                <w:sz w:val="24"/>
                <w:szCs w:val="24"/>
                <w:highlight w:val="none"/>
              </w:rPr>
              <w:t>注：</w:t>
            </w:r>
            <w:r>
              <w:rPr>
                <w:rFonts w:hint="eastAsia" w:cs="宋体" w:asciiTheme="minorEastAsia" w:hAnsiTheme="minorEastAsia" w:eastAsiaTheme="minorEastAsia"/>
                <w:b/>
                <w:sz w:val="24"/>
                <w:szCs w:val="24"/>
                <w:highlight w:val="none"/>
                <w:lang w:val="en-US" w:eastAsia="zh-CN"/>
              </w:rPr>
              <w:t>①</w:t>
            </w:r>
            <w:r>
              <w:rPr>
                <w:rFonts w:hint="eastAsia" w:cs="宋体" w:asciiTheme="minorEastAsia" w:hAnsiTheme="minorEastAsia" w:eastAsiaTheme="minorEastAsia"/>
                <w:b/>
                <w:sz w:val="24"/>
                <w:szCs w:val="24"/>
                <w:highlight w:val="none"/>
              </w:rPr>
              <w:t>响应文件中须提供以上认证证书的扫描件及中国国家认证认可监督管理委员会网站查询截图，否则不得分</w:t>
            </w:r>
            <w:r>
              <w:rPr>
                <w:rFonts w:hint="eastAsia" w:cs="宋体" w:asciiTheme="minorEastAsia" w:hAnsiTheme="minorEastAsia" w:eastAsiaTheme="minorEastAsia"/>
                <w:b/>
                <w:sz w:val="24"/>
                <w:szCs w:val="24"/>
                <w:highlight w:val="none"/>
                <w:lang w:eastAsia="zh-CN"/>
              </w:rPr>
              <w:t>；</w:t>
            </w:r>
            <w:r>
              <w:rPr>
                <w:rFonts w:hint="eastAsia" w:cs="宋体" w:asciiTheme="minorEastAsia" w:hAnsiTheme="minorEastAsia" w:eastAsiaTheme="minorEastAsia"/>
                <w:b/>
                <w:color w:val="FF0000"/>
                <w:sz w:val="24"/>
                <w:szCs w:val="24"/>
                <w:highlight w:val="none"/>
                <w:lang w:val="en-US" w:eastAsia="zh-CN"/>
              </w:rPr>
              <w:t>②</w:t>
            </w:r>
            <w:r>
              <w:rPr>
                <w:rStyle w:val="271"/>
                <w:rFonts w:hint="eastAsia" w:ascii="Times New Roman" w:hAnsi="Times New Roman"/>
                <w:b/>
                <w:bCs/>
                <w:color w:val="FF0000"/>
                <w:sz w:val="24"/>
                <w:szCs w:val="24"/>
                <w:highlight w:val="none"/>
                <w:lang w:val="en-US" w:eastAsia="zh-CN"/>
              </w:rPr>
              <w:t>如为联合体磋商，供应商认证证书应由联合体牵头人提供。</w:t>
            </w:r>
          </w:p>
        </w:tc>
        <w:tc>
          <w:tcPr>
            <w:tcW w:w="690" w:type="pct"/>
            <w:tcBorders>
              <w:top w:val="single" w:color="auto" w:sz="4" w:space="0"/>
              <w:left w:val="single" w:color="auto" w:sz="4" w:space="0"/>
              <w:bottom w:val="single" w:color="auto" w:sz="4" w:space="0"/>
              <w:right w:val="single" w:color="auto" w:sz="4" w:space="0"/>
            </w:tcBorders>
            <w:vAlign w:val="center"/>
          </w:tcPr>
          <w:p w14:paraId="2F64C4F3">
            <w:pPr>
              <w:spacing w:line="36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3</w:t>
            </w:r>
            <w:r>
              <w:rPr>
                <w:rFonts w:hint="eastAsia" w:ascii="宋体" w:hAnsi="宋体" w:eastAsia="宋体"/>
                <w:b/>
                <w:bCs/>
                <w:color w:val="auto"/>
                <w:sz w:val="24"/>
                <w:szCs w:val="24"/>
                <w:highlight w:val="none"/>
                <w:lang w:val="en-US" w:eastAsia="zh-CN"/>
              </w:rPr>
              <w:t>分</w:t>
            </w:r>
          </w:p>
        </w:tc>
      </w:tr>
      <w:tr w14:paraId="3F4D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30" w:type="pct"/>
            <w:vMerge w:val="continue"/>
            <w:tcBorders>
              <w:left w:val="single" w:color="auto" w:sz="4" w:space="0"/>
              <w:right w:val="single" w:color="auto" w:sz="4" w:space="0"/>
            </w:tcBorders>
            <w:vAlign w:val="center"/>
          </w:tcPr>
          <w:p w14:paraId="69298822">
            <w:pPr>
              <w:spacing w:line="360" w:lineRule="auto"/>
              <w:ind w:firstLine="435"/>
              <w:jc w:val="center"/>
              <w:rPr>
                <w:rFonts w:ascii="宋体" w:hAnsi="宋体" w:eastAsia="宋体"/>
                <w:b/>
                <w:bCs/>
                <w:color w:val="auto"/>
                <w:sz w:val="24"/>
                <w:szCs w:val="24"/>
                <w:highlight w:val="none"/>
              </w:rPr>
            </w:pPr>
          </w:p>
        </w:tc>
        <w:tc>
          <w:tcPr>
            <w:tcW w:w="1129" w:type="pct"/>
            <w:vMerge w:val="restart"/>
            <w:tcBorders>
              <w:top w:val="single" w:color="auto" w:sz="4" w:space="0"/>
              <w:left w:val="single" w:color="auto" w:sz="4" w:space="0"/>
              <w:right w:val="single" w:color="auto" w:sz="4" w:space="0"/>
            </w:tcBorders>
            <w:vAlign w:val="center"/>
          </w:tcPr>
          <w:p w14:paraId="0F38FAF2">
            <w:pPr>
              <w:spacing w:line="360" w:lineRule="auto"/>
              <w:jc w:val="center"/>
              <w:rPr>
                <w:rStyle w:val="271"/>
                <w:rFonts w:hint="eastAsia" w:ascii="Times New Roman" w:hAnsi="Times New Roman" w:cs="Times New Roman"/>
                <w:b/>
                <w:bCs/>
                <w:color w:val="auto"/>
                <w:sz w:val="24"/>
                <w:szCs w:val="24"/>
                <w:highlight w:val="none"/>
                <w:lang w:val="en-US" w:eastAsia="zh-CN"/>
              </w:rPr>
            </w:pPr>
            <w:r>
              <w:rPr>
                <w:rStyle w:val="271"/>
                <w:rFonts w:hint="eastAsia" w:ascii="Times New Roman" w:hAnsi="Times New Roman" w:cs="Times New Roman"/>
                <w:b/>
                <w:bCs/>
                <w:color w:val="auto"/>
                <w:sz w:val="24"/>
                <w:szCs w:val="24"/>
                <w:highlight w:val="none"/>
                <w:lang w:eastAsia="zh-CN"/>
              </w:rPr>
              <w:t>项目经理</w:t>
            </w:r>
            <w:r>
              <w:rPr>
                <w:rStyle w:val="271"/>
                <w:rFonts w:hint="eastAsia" w:ascii="Times New Roman" w:hAnsi="Times New Roman" w:cs="Times New Roman"/>
                <w:b/>
                <w:bCs/>
                <w:color w:val="auto"/>
                <w:sz w:val="24"/>
                <w:szCs w:val="24"/>
                <w:highlight w:val="none"/>
                <w:lang w:val="en-US" w:eastAsia="zh-CN"/>
              </w:rPr>
              <w:t>实力</w:t>
            </w:r>
          </w:p>
          <w:p w14:paraId="7DF32607">
            <w:pPr>
              <w:spacing w:line="360" w:lineRule="auto"/>
              <w:jc w:val="center"/>
              <w:rPr>
                <w:rFonts w:hint="eastAsia" w:ascii="Times New Roman" w:hAnsi="Times New Roman"/>
                <w:b/>
                <w:color w:val="auto"/>
                <w:kern w:val="0"/>
                <w:sz w:val="24"/>
                <w:szCs w:val="24"/>
                <w:highlight w:val="none"/>
                <w:lang w:val="en-US" w:eastAsia="zh-CN"/>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14</w:t>
            </w:r>
            <w:r>
              <w:rPr>
                <w:rFonts w:hint="eastAsia" w:ascii="宋体" w:hAnsi="宋体" w:eastAsia="宋体"/>
                <w:b/>
                <w:bCs/>
                <w:color w:val="auto"/>
                <w:sz w:val="24"/>
                <w:szCs w:val="24"/>
                <w:highlight w:val="none"/>
              </w:rPr>
              <w:t>分）</w:t>
            </w:r>
          </w:p>
        </w:tc>
        <w:tc>
          <w:tcPr>
            <w:tcW w:w="2649" w:type="pct"/>
            <w:tcBorders>
              <w:top w:val="single" w:color="auto" w:sz="4" w:space="0"/>
              <w:left w:val="single" w:color="auto" w:sz="4" w:space="0"/>
              <w:bottom w:val="single" w:color="auto" w:sz="4" w:space="0"/>
              <w:right w:val="single" w:color="auto" w:sz="4" w:space="0"/>
            </w:tcBorders>
            <w:vAlign w:val="center"/>
          </w:tcPr>
          <w:p w14:paraId="6AF277E3">
            <w:pPr>
              <w:widowControl/>
              <w:adjustRightInd w:val="0"/>
              <w:snapToGrid w:val="0"/>
              <w:spacing w:line="240" w:lineRule="auto"/>
              <w:rPr>
                <w:rStyle w:val="271"/>
                <w:rFonts w:hint="eastAsia" w:ascii="Times New Roman" w:hAnsi="Times New Roman"/>
                <w:color w:val="auto"/>
                <w:sz w:val="24"/>
                <w:szCs w:val="24"/>
                <w:highlight w:val="none"/>
                <w:lang w:eastAsia="zh-CN"/>
              </w:rPr>
            </w:pPr>
            <w:r>
              <w:rPr>
                <w:rStyle w:val="271"/>
                <w:rFonts w:hint="eastAsia" w:ascii="Times New Roman" w:hAnsi="Times New Roman"/>
                <w:color w:val="auto"/>
                <w:sz w:val="24"/>
                <w:szCs w:val="24"/>
                <w:highlight w:val="none"/>
                <w:lang w:eastAsia="zh-CN"/>
              </w:rPr>
              <w:t>（</w:t>
            </w:r>
            <w:r>
              <w:rPr>
                <w:rStyle w:val="271"/>
                <w:rFonts w:hint="eastAsia" w:ascii="Times New Roman" w:hAnsi="Times New Roman"/>
                <w:color w:val="auto"/>
                <w:sz w:val="24"/>
                <w:szCs w:val="24"/>
                <w:highlight w:val="none"/>
                <w:lang w:val="en-US" w:eastAsia="zh-CN"/>
              </w:rPr>
              <w:t>1）供应商拟任</w:t>
            </w:r>
            <w:r>
              <w:rPr>
                <w:rStyle w:val="271"/>
                <w:rFonts w:hint="eastAsia" w:ascii="Times New Roman" w:hAnsi="Times New Roman"/>
                <w:color w:val="auto"/>
                <w:sz w:val="24"/>
                <w:szCs w:val="24"/>
                <w:highlight w:val="none"/>
                <w:lang w:eastAsia="zh-CN"/>
              </w:rPr>
              <w:t>项目经理</w:t>
            </w:r>
            <w:r>
              <w:rPr>
                <w:rStyle w:val="271"/>
                <w:rFonts w:hint="eastAsia" w:ascii="Times New Roman" w:hAnsi="Times New Roman"/>
                <w:color w:val="auto"/>
                <w:sz w:val="24"/>
                <w:szCs w:val="24"/>
                <w:highlight w:val="none"/>
                <w:lang w:val="en-US" w:eastAsia="zh-CN"/>
              </w:rPr>
              <w:t>每</w:t>
            </w:r>
            <w:r>
              <w:rPr>
                <w:rStyle w:val="271"/>
                <w:rFonts w:ascii="Times New Roman" w:hAnsi="Times New Roman"/>
                <w:color w:val="auto"/>
                <w:sz w:val="24"/>
                <w:szCs w:val="24"/>
                <w:highlight w:val="none"/>
              </w:rPr>
              <w:t>具有</w:t>
            </w:r>
            <w:r>
              <w:rPr>
                <w:rStyle w:val="271"/>
                <w:rFonts w:hint="eastAsia" w:ascii="Times New Roman" w:hAnsi="Times New Roman"/>
                <w:color w:val="auto"/>
                <w:sz w:val="24"/>
                <w:szCs w:val="24"/>
                <w:highlight w:val="none"/>
                <w:lang w:val="en-US" w:eastAsia="zh-CN"/>
              </w:rPr>
              <w:t>一个</w:t>
            </w:r>
            <w:r>
              <w:rPr>
                <w:rFonts w:hint="eastAsia" w:ascii="Times New Roman" w:hAnsi="Times New Roman"/>
                <w:bCs/>
                <w:color w:val="auto"/>
                <w:sz w:val="24"/>
                <w:szCs w:val="24"/>
                <w:highlight w:val="none"/>
              </w:rPr>
              <w:t>每提供一个</w:t>
            </w:r>
            <w:r>
              <w:rPr>
                <w:rFonts w:ascii="宋体" w:hAnsi="宋体" w:eastAsia="宋体" w:cs="宋体"/>
                <w:sz w:val="24"/>
                <w:szCs w:val="24"/>
                <w:highlight w:val="none"/>
              </w:rPr>
              <w:t>水利工程安全监测设备安装或水利工程安全监测设施改造</w:t>
            </w:r>
            <w:r>
              <w:rPr>
                <w:rFonts w:hint="eastAsia" w:ascii="宋体" w:hAnsi="宋体" w:eastAsia="宋体" w:cs="宋体"/>
                <w:sz w:val="24"/>
                <w:szCs w:val="24"/>
                <w:highlight w:val="none"/>
                <w:lang w:val="en-US" w:eastAsia="zh-CN"/>
              </w:rPr>
              <w:t>项目经理业绩</w:t>
            </w:r>
            <w:r>
              <w:rPr>
                <w:rStyle w:val="271"/>
                <w:rFonts w:hint="eastAsia" w:ascii="Times New Roman" w:hAnsi="Times New Roman"/>
                <w:color w:val="auto"/>
                <w:sz w:val="24"/>
                <w:szCs w:val="24"/>
                <w:highlight w:val="none"/>
                <w:lang w:val="en-US" w:eastAsia="zh-CN"/>
              </w:rPr>
              <w:t>得5</w:t>
            </w:r>
            <w:r>
              <w:rPr>
                <w:rStyle w:val="271"/>
                <w:rFonts w:ascii="Times New Roman" w:hAnsi="Times New Roman"/>
                <w:color w:val="auto"/>
                <w:sz w:val="24"/>
                <w:szCs w:val="24"/>
                <w:highlight w:val="none"/>
              </w:rPr>
              <w:t>分，最多得</w:t>
            </w:r>
            <w:r>
              <w:rPr>
                <w:rStyle w:val="271"/>
                <w:rFonts w:hint="eastAsia" w:ascii="Times New Roman" w:hAnsi="Times New Roman"/>
                <w:color w:val="auto"/>
                <w:sz w:val="24"/>
                <w:szCs w:val="24"/>
                <w:highlight w:val="none"/>
                <w:lang w:val="en-US" w:eastAsia="zh-CN"/>
              </w:rPr>
              <w:t>10</w:t>
            </w:r>
            <w:r>
              <w:rPr>
                <w:rStyle w:val="271"/>
                <w:rFonts w:ascii="Times New Roman" w:hAnsi="Times New Roman"/>
                <w:color w:val="auto"/>
                <w:sz w:val="24"/>
                <w:szCs w:val="24"/>
                <w:highlight w:val="none"/>
              </w:rPr>
              <w:t>分</w:t>
            </w:r>
            <w:r>
              <w:rPr>
                <w:rStyle w:val="271"/>
                <w:rFonts w:hint="eastAsia" w:ascii="Times New Roman" w:hAnsi="Times New Roman"/>
                <w:color w:val="auto"/>
                <w:sz w:val="24"/>
                <w:szCs w:val="24"/>
                <w:highlight w:val="none"/>
                <w:lang w:eastAsia="zh-CN"/>
              </w:rPr>
              <w:t>。</w:t>
            </w:r>
          </w:p>
          <w:p w14:paraId="7BA310D0">
            <w:pPr>
              <w:spacing w:line="240" w:lineRule="auto"/>
              <w:jc w:val="left"/>
              <w:rPr>
                <w:rFonts w:ascii="宋体" w:hAnsi="宋体" w:eastAsia="宋体"/>
                <w:color w:val="auto"/>
                <w:sz w:val="24"/>
                <w:szCs w:val="24"/>
                <w:highlight w:val="none"/>
              </w:rPr>
            </w:pPr>
            <w:r>
              <w:rPr>
                <w:rStyle w:val="271"/>
                <w:rFonts w:hint="eastAsia" w:ascii="Times New Roman" w:hAnsi="Times New Roman"/>
                <w:b/>
                <w:bCs/>
                <w:color w:val="auto"/>
                <w:sz w:val="24"/>
                <w:szCs w:val="24"/>
                <w:highlight w:val="none"/>
                <w:lang w:val="en-US" w:eastAsia="zh-CN"/>
              </w:rPr>
              <w:t>注：响应文件中须同时提供①中标通知书或合同；②完工（或竣工）验收报告或第三方&lt;合同甲方或行业主管部门&gt;出具的已完成证明，否则不得分。如上述材料不能体现项目内容、项目经理姓名等关键评审因素的，可补充提供合同甲方或行政主管部门出具的证明文件。</w:t>
            </w:r>
            <w:r>
              <w:rPr>
                <w:rStyle w:val="271"/>
                <w:rFonts w:hint="eastAsia" w:ascii="Times New Roman" w:hAnsi="Times New Roman"/>
                <w:b/>
                <w:bCs/>
                <w:color w:val="FF0000"/>
                <w:sz w:val="24"/>
                <w:szCs w:val="24"/>
                <w:highlight w:val="none"/>
                <w:lang w:val="en-US" w:eastAsia="zh-CN"/>
              </w:rPr>
              <w:t>③如为</w:t>
            </w:r>
            <w:r>
              <w:rPr>
                <w:rFonts w:hint="eastAsia" w:asciiTheme="minorEastAsia" w:hAnsiTheme="minorEastAsia" w:eastAsiaTheme="minorEastAsia"/>
                <w:b/>
                <w:bCs/>
                <w:color w:val="FF0000"/>
                <w:sz w:val="24"/>
                <w:highlight w:val="none"/>
                <w:lang w:val="en-US" w:eastAsia="zh-CN"/>
              </w:rPr>
              <w:t>联合体磋商，项目经理应为联合体牵头人单位人员。</w:t>
            </w:r>
          </w:p>
        </w:tc>
        <w:tc>
          <w:tcPr>
            <w:tcW w:w="690" w:type="pct"/>
            <w:tcBorders>
              <w:top w:val="single" w:color="auto" w:sz="4" w:space="0"/>
              <w:left w:val="single" w:color="auto" w:sz="4" w:space="0"/>
              <w:right w:val="single" w:color="auto" w:sz="4" w:space="0"/>
            </w:tcBorders>
            <w:vAlign w:val="center"/>
          </w:tcPr>
          <w:p w14:paraId="33B05CE4">
            <w:pPr>
              <w:spacing w:line="36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0-1</w:t>
            </w:r>
            <w:r>
              <w:rPr>
                <w:rFonts w:hint="eastAsia"/>
                <w:b/>
                <w:bCs/>
                <w:color w:val="auto"/>
                <w:sz w:val="24"/>
                <w:szCs w:val="24"/>
                <w:highlight w:val="none"/>
                <w:lang w:val="en-US" w:eastAsia="zh-CN"/>
              </w:rPr>
              <w:t>0</w:t>
            </w:r>
            <w:r>
              <w:rPr>
                <w:rFonts w:hint="eastAsia" w:ascii="宋体" w:hAnsi="宋体" w:eastAsia="宋体"/>
                <w:b/>
                <w:bCs/>
                <w:color w:val="auto"/>
                <w:sz w:val="24"/>
                <w:szCs w:val="24"/>
                <w:highlight w:val="none"/>
                <w:lang w:val="en-US" w:eastAsia="zh-CN"/>
              </w:rPr>
              <w:t>分</w:t>
            </w:r>
          </w:p>
        </w:tc>
      </w:tr>
      <w:tr w14:paraId="6851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30" w:type="pct"/>
            <w:vMerge w:val="continue"/>
            <w:tcBorders>
              <w:left w:val="single" w:color="auto" w:sz="4" w:space="0"/>
              <w:right w:val="single" w:color="auto" w:sz="4" w:space="0"/>
            </w:tcBorders>
            <w:vAlign w:val="center"/>
          </w:tcPr>
          <w:p w14:paraId="3D84EE15">
            <w:pPr>
              <w:spacing w:line="240" w:lineRule="auto"/>
              <w:jc w:val="left"/>
              <w:rPr>
                <w:sz w:val="24"/>
                <w:szCs w:val="24"/>
                <w:highlight w:val="none"/>
              </w:rPr>
            </w:pPr>
          </w:p>
        </w:tc>
        <w:tc>
          <w:tcPr>
            <w:tcW w:w="1129" w:type="pct"/>
            <w:vMerge w:val="continue"/>
            <w:tcBorders>
              <w:left w:val="single" w:color="auto" w:sz="4" w:space="0"/>
              <w:bottom w:val="single" w:color="auto" w:sz="4" w:space="0"/>
              <w:right w:val="single" w:color="auto" w:sz="4" w:space="0"/>
            </w:tcBorders>
            <w:vAlign w:val="center"/>
          </w:tcPr>
          <w:p w14:paraId="23B9B9C1">
            <w:pPr>
              <w:spacing w:line="240" w:lineRule="auto"/>
              <w:jc w:val="left"/>
              <w:rPr>
                <w:sz w:val="24"/>
                <w:szCs w:val="24"/>
                <w:highlight w:val="none"/>
              </w:rPr>
            </w:pPr>
          </w:p>
        </w:tc>
        <w:tc>
          <w:tcPr>
            <w:tcW w:w="2649" w:type="pct"/>
            <w:tcBorders>
              <w:top w:val="single" w:color="auto" w:sz="4" w:space="0"/>
              <w:left w:val="single" w:color="auto" w:sz="4" w:space="0"/>
              <w:bottom w:val="single" w:color="auto" w:sz="4" w:space="0"/>
              <w:right w:val="single" w:color="auto" w:sz="4" w:space="0"/>
            </w:tcBorders>
            <w:vAlign w:val="center"/>
          </w:tcPr>
          <w:p w14:paraId="591E8601">
            <w:pPr>
              <w:widowControl/>
              <w:numPr>
                <w:ilvl w:val="0"/>
                <w:numId w:val="0"/>
              </w:numPr>
              <w:adjustRightInd w:val="0"/>
              <w:snapToGrid w:val="0"/>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val="en-US" w:eastAsia="zh-CN"/>
              </w:rPr>
              <w:t>项目经理</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水利水电工程相关</w:t>
            </w:r>
            <w:r>
              <w:rPr>
                <w:rStyle w:val="271"/>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具有水利水电工程相关专业中级技术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得3分，具有水利水电工程相关专业初级技术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093BFCFB">
            <w:pPr>
              <w:spacing w:line="240" w:lineRule="auto"/>
              <w:jc w:val="left"/>
              <w:rPr>
                <w:rStyle w:val="271"/>
                <w:rFonts w:hint="eastAsia" w:ascii="Times New Roman" w:hAnsi="Times New Roman"/>
                <w:b/>
                <w:bCs/>
                <w:color w:val="auto"/>
                <w:sz w:val="24"/>
                <w:szCs w:val="24"/>
                <w:highlight w:val="none"/>
                <w:lang w:val="en-US" w:eastAsia="zh-CN"/>
              </w:rPr>
            </w:pPr>
            <w:r>
              <w:rPr>
                <w:rStyle w:val="271"/>
                <w:rFonts w:hint="eastAsia" w:ascii="Times New Roman" w:hAnsi="Times New Roman"/>
                <w:b/>
                <w:bCs/>
                <w:color w:val="auto"/>
                <w:sz w:val="24"/>
                <w:szCs w:val="24"/>
                <w:highlight w:val="none"/>
                <w:lang w:val="en-US" w:eastAsia="zh-CN"/>
              </w:rPr>
              <w:t>注：响应文件中须提供有效的职称证书证明材料。</w:t>
            </w:r>
          </w:p>
        </w:tc>
        <w:tc>
          <w:tcPr>
            <w:tcW w:w="690" w:type="pct"/>
            <w:tcBorders>
              <w:left w:val="single" w:color="auto" w:sz="4" w:space="0"/>
              <w:bottom w:val="single" w:color="auto" w:sz="4" w:space="0"/>
              <w:right w:val="single" w:color="auto" w:sz="4" w:space="0"/>
            </w:tcBorders>
            <w:vAlign w:val="center"/>
          </w:tcPr>
          <w:p w14:paraId="704A3DF6">
            <w:pPr>
              <w:spacing w:line="240" w:lineRule="auto"/>
              <w:jc w:val="center"/>
              <w:rPr>
                <w:rStyle w:val="271"/>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252A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530" w:type="pct"/>
            <w:vMerge w:val="continue"/>
            <w:tcBorders>
              <w:left w:val="single" w:color="auto" w:sz="4" w:space="0"/>
              <w:right w:val="single" w:color="auto" w:sz="4" w:space="0"/>
            </w:tcBorders>
            <w:vAlign w:val="center"/>
          </w:tcPr>
          <w:p w14:paraId="05432144">
            <w:pPr>
              <w:spacing w:line="360" w:lineRule="auto"/>
              <w:ind w:firstLine="435"/>
              <w:jc w:val="center"/>
              <w:rPr>
                <w:rFonts w:ascii="宋体" w:hAnsi="宋体" w:eastAsia="宋体"/>
                <w:b/>
                <w:bCs/>
                <w:color w:val="auto"/>
                <w:sz w:val="24"/>
                <w:szCs w:val="24"/>
                <w:highlight w:val="none"/>
              </w:rPr>
            </w:pPr>
          </w:p>
        </w:tc>
        <w:tc>
          <w:tcPr>
            <w:tcW w:w="1129" w:type="pct"/>
            <w:vMerge w:val="restart"/>
            <w:tcBorders>
              <w:top w:val="single" w:color="auto" w:sz="4" w:space="0"/>
              <w:left w:val="single" w:color="auto" w:sz="4" w:space="0"/>
              <w:right w:val="single" w:color="auto" w:sz="4" w:space="0"/>
            </w:tcBorders>
            <w:vAlign w:val="center"/>
          </w:tcPr>
          <w:p w14:paraId="6FC22200">
            <w:pPr>
              <w:spacing w:line="360" w:lineRule="auto"/>
              <w:jc w:val="center"/>
              <w:rPr>
                <w:rStyle w:val="271"/>
                <w:rFonts w:hint="eastAsia" w:ascii="Times New Roman" w:hAnsi="Times New Roman" w:eastAsia="宋体" w:cs="Times New Roman"/>
                <w:b/>
                <w:bCs/>
                <w:color w:val="auto"/>
                <w:sz w:val="24"/>
                <w:szCs w:val="24"/>
                <w:highlight w:val="none"/>
              </w:rPr>
            </w:pPr>
            <w:r>
              <w:rPr>
                <w:rStyle w:val="271"/>
                <w:rFonts w:hint="eastAsia" w:ascii="Times New Roman" w:hAnsi="Times New Roman" w:cs="Times New Roman"/>
                <w:b/>
                <w:bCs/>
                <w:color w:val="auto"/>
                <w:sz w:val="24"/>
                <w:szCs w:val="24"/>
                <w:highlight w:val="none"/>
                <w:lang w:val="en-US" w:eastAsia="zh-CN"/>
              </w:rPr>
              <w:t>项目组</w:t>
            </w:r>
            <w:r>
              <w:rPr>
                <w:rStyle w:val="271"/>
                <w:rFonts w:hint="eastAsia" w:ascii="Times New Roman" w:hAnsi="Times New Roman" w:eastAsia="宋体" w:cs="Times New Roman"/>
                <w:b/>
                <w:bCs/>
                <w:color w:val="auto"/>
                <w:sz w:val="24"/>
                <w:szCs w:val="24"/>
                <w:highlight w:val="none"/>
              </w:rPr>
              <w:t>人员配置</w:t>
            </w:r>
          </w:p>
          <w:p w14:paraId="29218F38">
            <w:pPr>
              <w:spacing w:line="360" w:lineRule="auto"/>
              <w:jc w:val="center"/>
              <w:rPr>
                <w:rStyle w:val="271"/>
                <w:rFonts w:hint="eastAsia" w:ascii="Times New Roman" w:hAnsi="Times New Roman" w:eastAsia="宋体" w:cs="Times New Roman"/>
                <w:color w:val="auto"/>
                <w:sz w:val="24"/>
                <w:szCs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8</w:t>
            </w:r>
            <w:r>
              <w:rPr>
                <w:rFonts w:hint="eastAsia" w:ascii="宋体" w:hAnsi="宋体" w:eastAsia="宋体"/>
                <w:b/>
                <w:bCs/>
                <w:color w:val="auto"/>
                <w:sz w:val="24"/>
                <w:szCs w:val="24"/>
                <w:highlight w:val="none"/>
              </w:rPr>
              <w:t>分）</w:t>
            </w:r>
          </w:p>
        </w:tc>
        <w:tc>
          <w:tcPr>
            <w:tcW w:w="2649" w:type="pct"/>
            <w:tcBorders>
              <w:top w:val="single" w:color="auto" w:sz="4" w:space="0"/>
              <w:left w:val="single" w:color="auto" w:sz="4" w:space="0"/>
              <w:bottom w:val="single" w:color="auto" w:sz="4" w:space="0"/>
              <w:right w:val="single" w:color="auto" w:sz="4" w:space="0"/>
            </w:tcBorders>
            <w:vAlign w:val="center"/>
          </w:tcPr>
          <w:p w14:paraId="170624D6">
            <w:pPr>
              <w:widowControl/>
              <w:numPr>
                <w:ilvl w:val="0"/>
                <w:numId w:val="3"/>
              </w:numPr>
              <w:adjustRightInd w:val="0"/>
              <w:snapToGrid w:val="0"/>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eastAsia="zh-CN"/>
              </w:rPr>
              <w:t>技术负责人</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水利水电工程相关</w:t>
            </w:r>
            <w:r>
              <w:rPr>
                <w:rStyle w:val="271"/>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具有水利水电工程相关</w:t>
            </w:r>
            <w:r>
              <w:rPr>
                <w:rStyle w:val="271"/>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lang w:val="en-US" w:eastAsia="zh-CN"/>
              </w:rPr>
              <w:t>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得3分，具有水利水电工程相关专业初级技术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0B41C0D9">
            <w:pPr>
              <w:widowControl/>
              <w:adjustRightInd w:val="0"/>
              <w:snapToGrid w:val="0"/>
              <w:rPr>
                <w:rStyle w:val="271"/>
                <w:rFonts w:hint="default" w:ascii="Times New Roman" w:hAnsi="Times New Roman"/>
                <w:b/>
                <w:bCs/>
                <w:color w:val="auto"/>
                <w:sz w:val="24"/>
                <w:szCs w:val="24"/>
                <w:highlight w:val="none"/>
                <w:lang w:val="en-US" w:eastAsia="zh-CN"/>
              </w:rPr>
            </w:pPr>
            <w:r>
              <w:rPr>
                <w:rStyle w:val="271"/>
                <w:rFonts w:hint="eastAsia" w:ascii="Times New Roman" w:hAnsi="Times New Roman"/>
                <w:b/>
                <w:bCs/>
                <w:color w:val="auto"/>
                <w:sz w:val="24"/>
                <w:szCs w:val="24"/>
                <w:highlight w:val="none"/>
                <w:lang w:val="en-US" w:eastAsia="zh-CN"/>
              </w:rPr>
              <w:t>注：①响应文件中须提供有效的职称证书证明材料；</w:t>
            </w:r>
            <w:r>
              <w:rPr>
                <w:rStyle w:val="271"/>
                <w:rFonts w:hint="eastAsia" w:ascii="Times New Roman" w:hAnsi="Times New Roman"/>
                <w:b/>
                <w:bCs/>
                <w:color w:val="FF0000"/>
                <w:sz w:val="24"/>
                <w:szCs w:val="24"/>
                <w:highlight w:val="none"/>
                <w:lang w:val="en-US" w:eastAsia="zh-CN"/>
              </w:rPr>
              <w:t>②如为</w:t>
            </w:r>
            <w:r>
              <w:rPr>
                <w:rFonts w:hint="eastAsia" w:asciiTheme="minorEastAsia" w:hAnsiTheme="minorEastAsia" w:eastAsiaTheme="minorEastAsia"/>
                <w:b/>
                <w:bCs/>
                <w:color w:val="FF0000"/>
                <w:sz w:val="24"/>
                <w:highlight w:val="none"/>
                <w:lang w:val="en-US" w:eastAsia="zh-CN"/>
              </w:rPr>
              <w:t>联合体磋商，技术负责人应为联合体牵头人单位人员。</w:t>
            </w:r>
          </w:p>
        </w:tc>
        <w:tc>
          <w:tcPr>
            <w:tcW w:w="690" w:type="pct"/>
            <w:tcBorders>
              <w:top w:val="single" w:color="auto" w:sz="4" w:space="0"/>
              <w:left w:val="single" w:color="auto" w:sz="4" w:space="0"/>
              <w:right w:val="single" w:color="auto" w:sz="4" w:space="0"/>
            </w:tcBorders>
            <w:vAlign w:val="center"/>
          </w:tcPr>
          <w:p w14:paraId="10DF45FF">
            <w:pPr>
              <w:spacing w:line="36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54BA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530" w:type="pct"/>
            <w:vMerge w:val="continue"/>
            <w:tcBorders>
              <w:left w:val="single" w:color="auto" w:sz="4" w:space="0"/>
              <w:right w:val="single" w:color="auto" w:sz="4" w:space="0"/>
            </w:tcBorders>
            <w:vAlign w:val="center"/>
          </w:tcPr>
          <w:p w14:paraId="7BDD8D96">
            <w:pPr>
              <w:spacing w:line="360" w:lineRule="auto"/>
              <w:jc w:val="left"/>
              <w:rPr>
                <w:color w:val="auto"/>
                <w:sz w:val="24"/>
                <w:szCs w:val="24"/>
                <w:highlight w:val="none"/>
              </w:rPr>
            </w:pPr>
          </w:p>
        </w:tc>
        <w:tc>
          <w:tcPr>
            <w:tcW w:w="1129" w:type="pct"/>
            <w:vMerge w:val="continue"/>
            <w:tcBorders>
              <w:left w:val="single" w:color="auto" w:sz="4" w:space="0"/>
              <w:bottom w:val="single" w:color="auto" w:sz="4" w:space="0"/>
              <w:right w:val="single" w:color="auto" w:sz="4" w:space="0"/>
            </w:tcBorders>
            <w:vAlign w:val="center"/>
          </w:tcPr>
          <w:p w14:paraId="41EA8ADD">
            <w:pPr>
              <w:spacing w:line="360" w:lineRule="auto"/>
              <w:jc w:val="left"/>
              <w:rPr>
                <w:color w:val="auto"/>
                <w:sz w:val="24"/>
                <w:szCs w:val="24"/>
                <w:highlight w:val="none"/>
              </w:rPr>
            </w:pPr>
          </w:p>
        </w:tc>
        <w:tc>
          <w:tcPr>
            <w:tcW w:w="2649" w:type="pct"/>
            <w:tcBorders>
              <w:top w:val="single" w:color="auto" w:sz="4" w:space="0"/>
              <w:left w:val="single" w:color="auto" w:sz="4" w:space="0"/>
              <w:bottom w:val="single" w:color="auto" w:sz="4" w:space="0"/>
              <w:right w:val="single" w:color="auto" w:sz="4" w:space="0"/>
            </w:tcBorders>
            <w:vAlign w:val="center"/>
          </w:tcPr>
          <w:p w14:paraId="493AB497">
            <w:pPr>
              <w:widowControl/>
              <w:adjustRightInd w:val="0"/>
              <w:snapToGrid w:val="0"/>
              <w:jc w:val="left"/>
              <w:rPr>
                <w:rStyle w:val="271"/>
                <w:rFonts w:hint="eastAsia" w:ascii="Times New Roman" w:hAnsi="Times New Roman"/>
                <w:b/>
                <w:bCs/>
                <w:color w:val="auto"/>
                <w:sz w:val="24"/>
                <w:szCs w:val="24"/>
                <w:highlight w:val="none"/>
                <w:lang w:val="en-US" w:eastAsia="zh-CN"/>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lang w:val="en-US" w:eastAsia="zh-CN"/>
              </w:rPr>
              <w:t>拟投入的</w:t>
            </w:r>
            <w:r>
              <w:rPr>
                <w:rFonts w:ascii="Times New Roman" w:hAnsi="Times New Roman"/>
                <w:bCs/>
                <w:color w:val="auto"/>
                <w:sz w:val="24"/>
                <w:szCs w:val="24"/>
                <w:highlight w:val="none"/>
                <w:lang w:val="zh-CN"/>
              </w:rPr>
              <w:t>项目组成员人数组织机构设置、分工协作（包括但不限于</w:t>
            </w:r>
            <w:r>
              <w:rPr>
                <w:rFonts w:hint="eastAsia" w:ascii="Times New Roman" w:hAnsi="Times New Roman"/>
                <w:bCs/>
                <w:color w:val="auto"/>
                <w:sz w:val="24"/>
                <w:szCs w:val="24"/>
                <w:highlight w:val="none"/>
                <w:lang w:val="zh-CN"/>
              </w:rPr>
              <w:t>项目经理</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技术负责人、</w:t>
            </w:r>
            <w:r>
              <w:rPr>
                <w:rFonts w:ascii="Times New Roman" w:hAnsi="Times New Roman"/>
                <w:bCs/>
                <w:color w:val="auto"/>
                <w:sz w:val="24"/>
                <w:szCs w:val="24"/>
                <w:highlight w:val="none"/>
                <w:lang w:val="zh-CN"/>
              </w:rPr>
              <w:t>施工员、质检员、安全员等）：从组织结构形式、人员配备、专业匹配、职称、执业资格等进行综合评审，人员配备合理、完全符合项目需求的，得</w:t>
            </w:r>
            <w:r>
              <w:rPr>
                <w:rFonts w:hint="eastAsia" w:ascii="Times New Roman" w:hAnsi="Times New Roman"/>
                <w:bCs/>
                <w:color w:val="auto"/>
                <w:sz w:val="24"/>
                <w:szCs w:val="24"/>
                <w:highlight w:val="none"/>
                <w:lang w:val="en-US" w:eastAsia="zh-CN"/>
              </w:rPr>
              <w:t>4</w:t>
            </w:r>
            <w:r>
              <w:rPr>
                <w:rFonts w:ascii="Times New Roman" w:hAnsi="Times New Roman"/>
                <w:bCs/>
                <w:color w:val="auto"/>
                <w:sz w:val="24"/>
                <w:szCs w:val="24"/>
                <w:highlight w:val="none"/>
                <w:lang w:val="zh-CN"/>
              </w:rPr>
              <w:t>分；人员配备较合理、较符合项目需求的，得</w:t>
            </w:r>
            <w:r>
              <w:rPr>
                <w:rFonts w:hint="eastAsia" w:ascii="Times New Roman" w:hAnsi="Times New Roman"/>
                <w:bCs/>
                <w:color w:val="auto"/>
                <w:sz w:val="24"/>
                <w:szCs w:val="24"/>
                <w:highlight w:val="none"/>
                <w:lang w:val="en-US" w:eastAsia="zh-CN"/>
              </w:rPr>
              <w:t>3</w:t>
            </w:r>
            <w:r>
              <w:rPr>
                <w:rFonts w:ascii="Times New Roman" w:hAnsi="Times New Roman"/>
                <w:bCs/>
                <w:color w:val="auto"/>
                <w:sz w:val="24"/>
                <w:szCs w:val="24"/>
                <w:highlight w:val="none"/>
                <w:lang w:val="zh-CN"/>
              </w:rPr>
              <w:t>分；人员配备基本合理、基本符合项目需求的，得</w:t>
            </w:r>
            <w:r>
              <w:rPr>
                <w:rFonts w:hint="eastAsia" w:ascii="Times New Roman" w:hAnsi="Times New Roman"/>
                <w:bCs/>
                <w:color w:val="auto"/>
                <w:sz w:val="24"/>
                <w:szCs w:val="24"/>
                <w:highlight w:val="none"/>
                <w:lang w:val="en-US" w:eastAsia="zh-CN"/>
              </w:rPr>
              <w:t>2</w:t>
            </w:r>
            <w:r>
              <w:rPr>
                <w:rFonts w:ascii="Times New Roman" w:hAnsi="Times New Roman"/>
                <w:bCs/>
                <w:color w:val="auto"/>
                <w:sz w:val="24"/>
                <w:szCs w:val="24"/>
                <w:highlight w:val="none"/>
                <w:lang w:val="zh-CN"/>
              </w:rPr>
              <w:t>分；人员配备不合理、不符合项目需求的，得</w:t>
            </w:r>
            <w:r>
              <w:rPr>
                <w:rFonts w:hint="eastAsia" w:ascii="Times New Roman" w:hAnsi="Times New Roman"/>
                <w:bCs/>
                <w:color w:val="auto"/>
                <w:sz w:val="24"/>
                <w:szCs w:val="24"/>
                <w:highlight w:val="none"/>
                <w:lang w:val="en-US" w:eastAsia="zh-CN"/>
              </w:rPr>
              <w:t>1</w:t>
            </w:r>
            <w:r>
              <w:rPr>
                <w:rFonts w:ascii="Times New Roman" w:hAnsi="Times New Roman"/>
                <w:bCs/>
                <w:color w:val="auto"/>
                <w:sz w:val="24"/>
                <w:szCs w:val="24"/>
                <w:highlight w:val="none"/>
                <w:lang w:val="zh-CN"/>
              </w:rPr>
              <w:t>分；未提供的不得分。</w:t>
            </w:r>
          </w:p>
        </w:tc>
        <w:tc>
          <w:tcPr>
            <w:tcW w:w="690" w:type="pct"/>
            <w:tcBorders>
              <w:left w:val="single" w:color="auto" w:sz="4" w:space="0"/>
              <w:bottom w:val="single" w:color="auto" w:sz="4" w:space="0"/>
              <w:right w:val="single" w:color="auto" w:sz="4" w:space="0"/>
            </w:tcBorders>
            <w:vAlign w:val="center"/>
          </w:tcPr>
          <w:p w14:paraId="0F97C88E">
            <w:pPr>
              <w:spacing w:line="360" w:lineRule="auto"/>
              <w:jc w:val="center"/>
              <w:rPr>
                <w:rStyle w:val="271"/>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7C52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530" w:type="pct"/>
            <w:vMerge w:val="continue"/>
            <w:tcBorders>
              <w:left w:val="single" w:color="auto" w:sz="4" w:space="0"/>
              <w:right w:val="single" w:color="auto" w:sz="4" w:space="0"/>
            </w:tcBorders>
            <w:vAlign w:val="center"/>
          </w:tcPr>
          <w:p w14:paraId="144775BF">
            <w:pPr>
              <w:spacing w:line="360" w:lineRule="auto"/>
              <w:ind w:firstLine="435"/>
              <w:jc w:val="center"/>
              <w:rPr>
                <w:rFonts w:ascii="宋体" w:hAnsi="宋体" w:eastAsia="宋体"/>
                <w:b/>
                <w:bCs/>
                <w:color w:val="auto"/>
                <w:sz w:val="24"/>
                <w:szCs w:val="24"/>
                <w:highlight w:val="none"/>
              </w:rPr>
            </w:pPr>
          </w:p>
        </w:tc>
        <w:tc>
          <w:tcPr>
            <w:tcW w:w="1129" w:type="pct"/>
            <w:vMerge w:val="restart"/>
            <w:tcBorders>
              <w:top w:val="single" w:color="auto" w:sz="4" w:space="0"/>
              <w:left w:val="single" w:color="auto" w:sz="4" w:space="0"/>
              <w:right w:val="single" w:color="auto" w:sz="4" w:space="0"/>
            </w:tcBorders>
            <w:vAlign w:val="center"/>
          </w:tcPr>
          <w:p w14:paraId="61141B4B">
            <w:pPr>
              <w:spacing w:line="360" w:lineRule="auto"/>
              <w:jc w:val="center"/>
              <w:rPr>
                <w:rFonts w:hint="default"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实施方案</w:t>
            </w:r>
          </w:p>
          <w:p w14:paraId="75942131">
            <w:pPr>
              <w:spacing w:line="360" w:lineRule="auto"/>
              <w:jc w:val="center"/>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w:t>
            </w:r>
            <w:r>
              <w:rPr>
                <w:rFonts w:hint="eastAsia" w:ascii="宋体" w:hAnsi="宋体" w:eastAsia="宋体"/>
                <w:b/>
                <w:bCs/>
                <w:color w:val="auto"/>
                <w:sz w:val="24"/>
                <w:szCs w:val="24"/>
                <w:highlight w:val="none"/>
                <w:lang w:val="en-US" w:eastAsia="zh-CN"/>
              </w:rPr>
              <w:t>40）分</w:t>
            </w:r>
          </w:p>
        </w:tc>
        <w:tc>
          <w:tcPr>
            <w:tcW w:w="2649" w:type="pct"/>
            <w:tcBorders>
              <w:top w:val="single" w:color="auto" w:sz="4" w:space="0"/>
              <w:left w:val="single" w:color="auto" w:sz="4" w:space="0"/>
              <w:right w:val="single" w:color="auto" w:sz="4" w:space="0"/>
            </w:tcBorders>
            <w:vAlign w:val="center"/>
          </w:tcPr>
          <w:p w14:paraId="03629BDA">
            <w:pPr>
              <w:topLinePunct/>
              <w:adjustRightInd w:val="0"/>
              <w:snapToGrid w:val="0"/>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lang w:val="zh-CN"/>
              </w:rPr>
              <w:t>1</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w:t>
            </w:r>
            <w:r>
              <w:rPr>
                <w:rFonts w:hint="eastAsia" w:ascii="Times New Roman" w:hAnsi="Times New Roman"/>
                <w:b/>
                <w:bCs/>
                <w:color w:val="auto"/>
                <w:sz w:val="24"/>
                <w:szCs w:val="24"/>
                <w:highlight w:val="none"/>
                <w:lang w:val="en-US" w:eastAsia="zh-CN"/>
              </w:rPr>
              <w:t>实施</w:t>
            </w:r>
            <w:r>
              <w:rPr>
                <w:rFonts w:ascii="Times New Roman" w:hAnsi="Times New Roman"/>
                <w:b/>
                <w:bCs/>
                <w:color w:val="auto"/>
                <w:sz w:val="24"/>
                <w:szCs w:val="24"/>
                <w:highlight w:val="none"/>
                <w:lang w:val="zh-CN"/>
              </w:rPr>
              <w:t>方案与技术措施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主要分部</w:t>
            </w:r>
            <w:r>
              <w:rPr>
                <w:rFonts w:hint="eastAsia" w:ascii="Times New Roman" w:hAnsi="Times New Roman"/>
                <w:b/>
                <w:bCs/>
                <w:color w:val="auto"/>
                <w:sz w:val="24"/>
                <w:szCs w:val="24"/>
                <w:highlight w:val="none"/>
                <w:lang w:val="en-US" w:eastAsia="zh-CN"/>
              </w:rPr>
              <w:t>实施方案</w:t>
            </w:r>
            <w:r>
              <w:rPr>
                <w:rFonts w:ascii="Times New Roman" w:hAnsi="Times New Roman"/>
                <w:b/>
                <w:bCs/>
                <w:color w:val="auto"/>
                <w:sz w:val="24"/>
                <w:szCs w:val="24"/>
                <w:highlight w:val="none"/>
                <w:lang w:val="zh-CN"/>
              </w:rPr>
              <w:t>符合</w:t>
            </w:r>
            <w:r>
              <w:rPr>
                <w:rFonts w:hint="eastAsia" w:ascii="Times New Roman" w:hAnsi="Times New Roman"/>
                <w:b/>
                <w:bCs/>
                <w:color w:val="auto"/>
                <w:sz w:val="24"/>
                <w:szCs w:val="24"/>
                <w:highlight w:val="none"/>
                <w:lang w:val="en-US" w:eastAsia="zh-CN"/>
              </w:rPr>
              <w:t>现场实际情况</w:t>
            </w:r>
            <w:r>
              <w:rPr>
                <w:rFonts w:ascii="Times New Roman" w:hAnsi="Times New Roman"/>
                <w:b/>
                <w:bCs/>
                <w:color w:val="auto"/>
                <w:sz w:val="24"/>
                <w:szCs w:val="24"/>
                <w:highlight w:val="none"/>
                <w:lang w:val="zh-CN"/>
              </w:rPr>
              <w:t>，有详尽的施工技术方案，</w:t>
            </w:r>
            <w:bookmarkStart w:id="87" w:name="OLE_LINK15"/>
            <w:r>
              <w:rPr>
                <w:rFonts w:ascii="Times New Roman" w:hAnsi="Times New Roman"/>
                <w:b/>
                <w:bCs/>
                <w:color w:val="auto"/>
                <w:sz w:val="24"/>
                <w:szCs w:val="24"/>
                <w:highlight w:val="none"/>
                <w:lang w:val="zh-CN"/>
              </w:rPr>
              <w:t>工艺先进、方法科学合理、可行，能切实指导</w:t>
            </w:r>
            <w:r>
              <w:rPr>
                <w:rFonts w:hint="eastAsia" w:ascii="Times New Roman" w:hAnsi="Times New Roman"/>
                <w:b/>
                <w:bCs/>
                <w:color w:val="auto"/>
                <w:sz w:val="24"/>
                <w:szCs w:val="24"/>
                <w:highlight w:val="none"/>
                <w:lang w:val="en-US" w:eastAsia="zh-CN"/>
              </w:rPr>
              <w:t>现场</w:t>
            </w:r>
            <w:r>
              <w:rPr>
                <w:rFonts w:ascii="Times New Roman" w:hAnsi="Times New Roman"/>
                <w:b/>
                <w:bCs/>
                <w:color w:val="auto"/>
                <w:sz w:val="24"/>
                <w:szCs w:val="24"/>
                <w:highlight w:val="none"/>
                <w:lang w:val="zh-CN"/>
              </w:rPr>
              <w:t>施工并确保安全</w:t>
            </w:r>
            <w:bookmarkEnd w:id="87"/>
            <w:r>
              <w:rPr>
                <w:rFonts w:ascii="Times New Roman" w:hAnsi="Times New Roman"/>
                <w:b/>
                <w:bCs/>
                <w:color w:val="auto"/>
                <w:sz w:val="24"/>
                <w:szCs w:val="24"/>
                <w:highlight w:val="none"/>
                <w:lang w:val="zh-CN"/>
              </w:rPr>
              <w:t>。</w:t>
            </w:r>
          </w:p>
          <w:p w14:paraId="1B9A1D46">
            <w:pPr>
              <w:numPr>
                <w:ilvl w:val="0"/>
                <w:numId w:val="0"/>
              </w:numPr>
              <w:topLinePunct/>
              <w:adjustRightInd w:val="0"/>
              <w:snapToGrid w:val="0"/>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74C70E6E">
            <w:pPr>
              <w:topLinePunct/>
              <w:adjustRightInd w:val="0"/>
              <w:snapToGrid w:val="0"/>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0D315ADC">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69A1EDD">
            <w:pPr>
              <w:numPr>
                <w:ilvl w:val="0"/>
                <w:numId w:val="0"/>
              </w:numPr>
              <w:topLinePunct/>
              <w:adjustRightInd w:val="0"/>
              <w:snapToGrid w:val="0"/>
              <w:jc w:val="left"/>
              <w:rPr>
                <w:rFonts w:ascii="宋体" w:hAnsi="宋体" w:eastAsia="宋体"/>
                <w:color w:val="auto"/>
                <w:sz w:val="24"/>
                <w:szCs w:val="24"/>
                <w:highlight w:val="none"/>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690" w:type="pct"/>
            <w:tcBorders>
              <w:top w:val="single" w:color="auto" w:sz="4" w:space="0"/>
              <w:left w:val="single" w:color="auto" w:sz="4" w:space="0"/>
              <w:right w:val="single" w:color="auto" w:sz="4" w:space="0"/>
            </w:tcBorders>
            <w:vAlign w:val="center"/>
          </w:tcPr>
          <w:p w14:paraId="535A6340">
            <w:pPr>
              <w:spacing w:line="360" w:lineRule="auto"/>
              <w:jc w:val="center"/>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57F7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0" w:type="pct"/>
            <w:vMerge w:val="continue"/>
            <w:tcBorders>
              <w:left w:val="single" w:color="auto" w:sz="4" w:space="0"/>
              <w:right w:val="single" w:color="auto" w:sz="4" w:space="0"/>
            </w:tcBorders>
            <w:vAlign w:val="center"/>
          </w:tcPr>
          <w:p w14:paraId="21E7F861">
            <w:pPr>
              <w:spacing w:line="360" w:lineRule="auto"/>
              <w:jc w:val="center"/>
              <w:rPr>
                <w:sz w:val="24"/>
                <w:szCs w:val="24"/>
                <w:highlight w:val="none"/>
              </w:rPr>
            </w:pPr>
          </w:p>
        </w:tc>
        <w:tc>
          <w:tcPr>
            <w:tcW w:w="1129" w:type="pct"/>
            <w:vMerge w:val="continue"/>
            <w:tcBorders>
              <w:left w:val="single" w:color="auto" w:sz="4" w:space="0"/>
              <w:right w:val="single" w:color="auto" w:sz="4" w:space="0"/>
            </w:tcBorders>
            <w:vAlign w:val="center"/>
          </w:tcPr>
          <w:p w14:paraId="259A1E6B">
            <w:pPr>
              <w:spacing w:line="360" w:lineRule="auto"/>
              <w:jc w:val="left"/>
              <w:rPr>
                <w:rFonts w:hint="eastAsia" w:ascii="Times New Roman" w:hAnsi="Times New Roman"/>
                <w:b/>
                <w:bCs/>
                <w:color w:val="auto"/>
                <w:sz w:val="24"/>
                <w:szCs w:val="24"/>
                <w:highlight w:val="none"/>
                <w:lang w:val="en-US" w:eastAsia="zh-CN"/>
              </w:rPr>
            </w:pPr>
          </w:p>
        </w:tc>
        <w:tc>
          <w:tcPr>
            <w:tcW w:w="2649" w:type="pct"/>
            <w:tcBorders>
              <w:left w:val="single" w:color="auto" w:sz="4" w:space="0"/>
              <w:right w:val="single" w:color="auto" w:sz="4" w:space="0"/>
            </w:tcBorders>
            <w:vAlign w:val="center"/>
          </w:tcPr>
          <w:p w14:paraId="7B880C6B">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2</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施工安全保障体系</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是否健全，施工现场管理人员安全生产职责是否明确，是否针对工程特点、周边环境和施工工艺，确定危险源并制定具体的防护措施，同时体现出安全保证措施。</w:t>
            </w:r>
          </w:p>
          <w:p w14:paraId="557209D9">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3AE03B9D">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1013C99D">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6A0BD244">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690" w:type="pct"/>
            <w:tcBorders>
              <w:left w:val="single" w:color="auto" w:sz="4" w:space="0"/>
              <w:right w:val="single" w:color="auto" w:sz="4" w:space="0"/>
            </w:tcBorders>
            <w:vAlign w:val="center"/>
          </w:tcPr>
          <w:p w14:paraId="0E71163F">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4111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0" w:type="pct"/>
            <w:vMerge w:val="continue"/>
            <w:tcBorders>
              <w:left w:val="single" w:color="auto" w:sz="4" w:space="0"/>
              <w:right w:val="single" w:color="auto" w:sz="4" w:space="0"/>
            </w:tcBorders>
            <w:vAlign w:val="center"/>
          </w:tcPr>
          <w:p w14:paraId="540BE9D9">
            <w:pPr>
              <w:spacing w:line="360" w:lineRule="auto"/>
              <w:jc w:val="center"/>
              <w:rPr>
                <w:rFonts w:hint="eastAsia" w:ascii="Times New Roman" w:hAnsi="Times New Roman"/>
                <w:b/>
                <w:bCs/>
                <w:color w:val="auto"/>
                <w:sz w:val="24"/>
                <w:szCs w:val="24"/>
                <w:highlight w:val="none"/>
                <w:lang w:val="en-US" w:eastAsia="zh-CN"/>
              </w:rPr>
            </w:pPr>
          </w:p>
        </w:tc>
        <w:tc>
          <w:tcPr>
            <w:tcW w:w="1129" w:type="pct"/>
            <w:vMerge w:val="continue"/>
            <w:tcBorders>
              <w:left w:val="single" w:color="auto" w:sz="4" w:space="0"/>
              <w:right w:val="single" w:color="auto" w:sz="4" w:space="0"/>
            </w:tcBorders>
            <w:vAlign w:val="center"/>
          </w:tcPr>
          <w:p w14:paraId="7E1780E5">
            <w:pPr>
              <w:spacing w:line="360" w:lineRule="auto"/>
              <w:jc w:val="left"/>
              <w:rPr>
                <w:rFonts w:hint="eastAsia" w:ascii="Times New Roman" w:hAnsi="Times New Roman"/>
                <w:b/>
                <w:bCs/>
                <w:color w:val="auto"/>
                <w:sz w:val="24"/>
                <w:szCs w:val="24"/>
                <w:highlight w:val="none"/>
                <w:lang w:val="en-US" w:eastAsia="zh-CN"/>
              </w:rPr>
            </w:pPr>
          </w:p>
        </w:tc>
        <w:tc>
          <w:tcPr>
            <w:tcW w:w="2649" w:type="pct"/>
            <w:tcBorders>
              <w:left w:val="single" w:color="auto" w:sz="4" w:space="0"/>
              <w:right w:val="single" w:color="auto" w:sz="4" w:space="0"/>
            </w:tcBorders>
            <w:vAlign w:val="center"/>
          </w:tcPr>
          <w:p w14:paraId="0D773CF2">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lang w:val="en-US" w:eastAsia="zh-CN"/>
              </w:rPr>
              <w:t>3.</w:t>
            </w:r>
            <w:r>
              <w:rPr>
                <w:rFonts w:ascii="Times New Roman" w:hAnsi="Times New Roman"/>
                <w:b/>
                <w:bCs/>
                <w:color w:val="auto"/>
                <w:sz w:val="24"/>
                <w:szCs w:val="24"/>
                <w:highlight w:val="none"/>
                <w:lang w:val="zh-CN"/>
              </w:rPr>
              <w:t>工程进度计划与措施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在施工工艺、方法、材料采购、劳动力安排等方面有保证工程进度的具体措施且措施得当。有控制工期的施工进度计划及进度表或施工网络图，各项计划图标编制完善，安排科学合理，符合项目施工实际要求。</w:t>
            </w:r>
          </w:p>
          <w:p w14:paraId="7DA3EDD6">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068C18B">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0BA74F2B">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w:t>
            </w:r>
            <w:r>
              <w:rPr>
                <w:rFonts w:hint="eastAsia" w:ascii="Times New Roman" w:hAnsi="Times New Roman" w:eastAsia="宋体"/>
                <w:color w:val="auto"/>
                <w:sz w:val="24"/>
                <w:szCs w:val="24"/>
                <w:highlight w:val="none"/>
                <w:lang w:val="zh-CN" w:eastAsia="zh-CN"/>
              </w:rPr>
              <w:t>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68F476B">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690" w:type="pct"/>
            <w:tcBorders>
              <w:left w:val="single" w:color="auto" w:sz="4" w:space="0"/>
              <w:right w:val="single" w:color="auto" w:sz="4" w:space="0"/>
            </w:tcBorders>
            <w:vAlign w:val="center"/>
          </w:tcPr>
          <w:p w14:paraId="0E89FB81">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B6A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530" w:type="pct"/>
            <w:vMerge w:val="continue"/>
            <w:tcBorders>
              <w:left w:val="single" w:color="auto" w:sz="4" w:space="0"/>
              <w:right w:val="single" w:color="auto" w:sz="4" w:space="0"/>
            </w:tcBorders>
            <w:vAlign w:val="center"/>
          </w:tcPr>
          <w:p w14:paraId="34B87E34">
            <w:pPr>
              <w:spacing w:line="360" w:lineRule="auto"/>
              <w:jc w:val="center"/>
              <w:rPr>
                <w:rFonts w:hint="eastAsia" w:ascii="Times New Roman" w:hAnsi="Times New Roman"/>
                <w:b/>
                <w:bCs/>
                <w:color w:val="auto"/>
                <w:sz w:val="24"/>
                <w:szCs w:val="24"/>
                <w:highlight w:val="none"/>
                <w:lang w:val="en-US" w:eastAsia="zh-CN"/>
              </w:rPr>
            </w:pPr>
          </w:p>
        </w:tc>
        <w:tc>
          <w:tcPr>
            <w:tcW w:w="1129" w:type="pct"/>
            <w:vMerge w:val="continue"/>
            <w:tcBorders>
              <w:left w:val="single" w:color="auto" w:sz="4" w:space="0"/>
              <w:right w:val="single" w:color="auto" w:sz="4" w:space="0"/>
            </w:tcBorders>
            <w:vAlign w:val="center"/>
          </w:tcPr>
          <w:p w14:paraId="23726763">
            <w:pPr>
              <w:spacing w:line="360" w:lineRule="auto"/>
              <w:jc w:val="left"/>
              <w:rPr>
                <w:rFonts w:hint="eastAsia" w:ascii="Times New Roman" w:hAnsi="Times New Roman"/>
                <w:b/>
                <w:bCs/>
                <w:color w:val="auto"/>
                <w:sz w:val="24"/>
                <w:szCs w:val="24"/>
                <w:highlight w:val="none"/>
                <w:lang w:val="en-US" w:eastAsia="zh-CN"/>
              </w:rPr>
            </w:pPr>
          </w:p>
        </w:tc>
        <w:tc>
          <w:tcPr>
            <w:tcW w:w="2649" w:type="pct"/>
            <w:tcBorders>
              <w:left w:val="single" w:color="auto" w:sz="4" w:space="0"/>
              <w:right w:val="single" w:color="auto" w:sz="4" w:space="0"/>
            </w:tcBorders>
            <w:vAlign w:val="center"/>
          </w:tcPr>
          <w:p w14:paraId="0C0FBD91">
            <w:p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b/>
                <w:bCs/>
                <w:color w:val="auto"/>
                <w:sz w:val="24"/>
                <w:szCs w:val="24"/>
                <w:highlight w:val="none"/>
              </w:rPr>
              <w:t>4</w:t>
            </w:r>
            <w:r>
              <w:rPr>
                <w:rFonts w:hint="eastAsia"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工作</w:t>
            </w:r>
            <w:r>
              <w:rPr>
                <w:rFonts w:ascii="Times New Roman" w:hAnsi="Times New Roman"/>
                <w:b/>
                <w:bCs/>
                <w:color w:val="auto"/>
                <w:sz w:val="24"/>
                <w:szCs w:val="24"/>
                <w:highlight w:val="none"/>
                <w:lang w:val="zh-CN"/>
              </w:rPr>
              <w:t>重点难点</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对工程建设中的重点、难点是否进行分析，是否和实际情况相符，以及是否提出了有针对性的技术措施或方案。</w:t>
            </w:r>
          </w:p>
          <w:p w14:paraId="3191F24D">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2B1A9393">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644D57A1">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600E3AFE">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690" w:type="pct"/>
            <w:tcBorders>
              <w:left w:val="single" w:color="auto" w:sz="4" w:space="0"/>
              <w:right w:val="single" w:color="auto" w:sz="4" w:space="0"/>
            </w:tcBorders>
            <w:vAlign w:val="center"/>
          </w:tcPr>
          <w:p w14:paraId="34207EAE">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5F76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30" w:type="pct"/>
            <w:vMerge w:val="continue"/>
            <w:tcBorders>
              <w:left w:val="single" w:color="auto" w:sz="4" w:space="0"/>
              <w:right w:val="single" w:color="auto" w:sz="4" w:space="0"/>
            </w:tcBorders>
            <w:vAlign w:val="center"/>
          </w:tcPr>
          <w:p w14:paraId="7E89204F">
            <w:pPr>
              <w:spacing w:line="360" w:lineRule="auto"/>
              <w:jc w:val="center"/>
              <w:rPr>
                <w:rFonts w:hint="eastAsia" w:ascii="Times New Roman" w:hAnsi="Times New Roman"/>
                <w:b/>
                <w:bCs/>
                <w:color w:val="auto"/>
                <w:sz w:val="24"/>
                <w:szCs w:val="24"/>
                <w:highlight w:val="none"/>
                <w:lang w:val="en-US" w:eastAsia="zh-CN"/>
              </w:rPr>
            </w:pPr>
          </w:p>
        </w:tc>
        <w:tc>
          <w:tcPr>
            <w:tcW w:w="1129" w:type="pct"/>
            <w:vMerge w:val="continue"/>
            <w:tcBorders>
              <w:left w:val="single" w:color="auto" w:sz="4" w:space="0"/>
              <w:right w:val="single" w:color="auto" w:sz="4" w:space="0"/>
            </w:tcBorders>
            <w:vAlign w:val="center"/>
          </w:tcPr>
          <w:p w14:paraId="4F04758B">
            <w:pPr>
              <w:spacing w:line="360" w:lineRule="auto"/>
              <w:jc w:val="left"/>
              <w:rPr>
                <w:rFonts w:hint="eastAsia" w:ascii="Times New Roman" w:hAnsi="Times New Roman"/>
                <w:b/>
                <w:bCs/>
                <w:color w:val="auto"/>
                <w:sz w:val="24"/>
                <w:szCs w:val="24"/>
                <w:highlight w:val="none"/>
                <w:lang w:val="en-US" w:eastAsia="zh-CN"/>
              </w:rPr>
            </w:pPr>
          </w:p>
        </w:tc>
        <w:tc>
          <w:tcPr>
            <w:tcW w:w="2649" w:type="pct"/>
            <w:tcBorders>
              <w:left w:val="single" w:color="auto" w:sz="4" w:space="0"/>
              <w:right w:val="single" w:color="auto" w:sz="4" w:space="0"/>
            </w:tcBorders>
            <w:vAlign w:val="center"/>
          </w:tcPr>
          <w:p w14:paraId="01EAD722">
            <w:pPr>
              <w:numPr>
                <w:ilvl w:val="0"/>
                <w:numId w:val="0"/>
              </w:numPr>
              <w:topLinePunct/>
              <w:adjustRightInd w:val="0"/>
              <w:snapToGrid w:val="0"/>
              <w:jc w:val="left"/>
              <w:rPr>
                <w:rFonts w:hint="eastAsia"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5</w:t>
            </w:r>
            <w:r>
              <w:rPr>
                <w:rFonts w:hint="eastAsia" w:ascii="Times New Roman" w:hAnsi="Times New Roman"/>
                <w:b/>
                <w:bCs/>
                <w:color w:val="auto"/>
                <w:sz w:val="24"/>
                <w:szCs w:val="24"/>
                <w:highlight w:val="none"/>
                <w:lang w:val="zh-CN"/>
              </w:rPr>
              <w:t>.</w:t>
            </w:r>
            <w:bookmarkStart w:id="88" w:name="OLE_LINK12"/>
            <w:r>
              <w:rPr>
                <w:rFonts w:hint="eastAsia" w:ascii="Times New Roman" w:hAnsi="Times New Roman"/>
                <w:b/>
                <w:bCs/>
                <w:color w:val="auto"/>
                <w:sz w:val="24"/>
                <w:szCs w:val="24"/>
                <w:highlight w:val="none"/>
                <w:lang w:val="en-US" w:eastAsia="zh-CN"/>
              </w:rPr>
              <w:t>工作调研方案和数据收集</w:t>
            </w:r>
            <w:bookmarkEnd w:id="88"/>
            <w:r>
              <w:rPr>
                <w:rFonts w:hint="eastAsia" w:ascii="Times New Roman" w:hAnsi="Times New Roman"/>
                <w:b/>
                <w:bCs/>
                <w:color w:val="auto"/>
                <w:sz w:val="24"/>
                <w:szCs w:val="24"/>
                <w:highlight w:val="none"/>
                <w:lang w:val="en-US" w:eastAsia="zh-CN"/>
              </w:rPr>
              <w:t>：工作调研方案和数据收集</w:t>
            </w:r>
            <w:r>
              <w:rPr>
                <w:rFonts w:hint="eastAsia" w:ascii="Times New Roman" w:hAnsi="Times New Roman"/>
                <w:b/>
                <w:bCs/>
                <w:color w:val="auto"/>
                <w:sz w:val="24"/>
                <w:szCs w:val="24"/>
                <w:highlight w:val="none"/>
                <w:lang w:val="zh-CN"/>
              </w:rPr>
              <w:t>符合项目实际，须有详尽的</w:t>
            </w:r>
            <w:r>
              <w:rPr>
                <w:rFonts w:hint="eastAsia" w:ascii="Times New Roman" w:hAnsi="Times New Roman"/>
                <w:b/>
                <w:bCs/>
                <w:color w:val="auto"/>
                <w:sz w:val="24"/>
                <w:szCs w:val="24"/>
                <w:highlight w:val="none"/>
                <w:lang w:val="en-US" w:eastAsia="zh-CN"/>
              </w:rPr>
              <w:t>调研</w:t>
            </w:r>
            <w:r>
              <w:rPr>
                <w:rFonts w:hint="eastAsia" w:ascii="Times New Roman" w:hAnsi="Times New Roman"/>
                <w:b/>
                <w:bCs/>
                <w:color w:val="auto"/>
                <w:sz w:val="24"/>
                <w:szCs w:val="24"/>
                <w:highlight w:val="none"/>
                <w:lang w:val="zh-CN"/>
              </w:rPr>
              <w:t>方案</w:t>
            </w:r>
            <w:r>
              <w:rPr>
                <w:rFonts w:hint="eastAsia" w:ascii="Times New Roman" w:hAnsi="Times New Roman"/>
                <w:b/>
                <w:bCs/>
                <w:color w:val="auto"/>
                <w:sz w:val="24"/>
                <w:szCs w:val="24"/>
                <w:highlight w:val="none"/>
                <w:lang w:val="en-US" w:eastAsia="zh-CN"/>
              </w:rPr>
              <w:t>和数据资料</w:t>
            </w:r>
            <w:r>
              <w:rPr>
                <w:rFonts w:hint="eastAsia"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调研方案和数据收集内容</w:t>
            </w:r>
            <w:r>
              <w:rPr>
                <w:rFonts w:hint="eastAsia" w:ascii="Times New Roman" w:hAnsi="Times New Roman"/>
                <w:b/>
                <w:bCs/>
                <w:color w:val="auto"/>
                <w:sz w:val="24"/>
                <w:szCs w:val="24"/>
                <w:highlight w:val="none"/>
                <w:lang w:val="zh-CN"/>
              </w:rPr>
              <w:t>能指导具体施工并确保安全。</w:t>
            </w:r>
          </w:p>
          <w:p w14:paraId="5BDC9AAB">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70E9922D">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0C469065">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59DEA76E">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690" w:type="pct"/>
            <w:tcBorders>
              <w:left w:val="single" w:color="auto" w:sz="4" w:space="0"/>
              <w:right w:val="single" w:color="auto" w:sz="4" w:space="0"/>
            </w:tcBorders>
            <w:vAlign w:val="center"/>
          </w:tcPr>
          <w:p w14:paraId="390CAD34">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CB2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0" w:type="pct"/>
            <w:vMerge w:val="continue"/>
            <w:tcBorders>
              <w:left w:val="single" w:color="auto" w:sz="4" w:space="0"/>
              <w:right w:val="single" w:color="auto" w:sz="4" w:space="0"/>
            </w:tcBorders>
            <w:vAlign w:val="center"/>
          </w:tcPr>
          <w:p w14:paraId="73E8230F">
            <w:pPr>
              <w:spacing w:line="360" w:lineRule="auto"/>
              <w:jc w:val="center"/>
              <w:rPr>
                <w:rFonts w:hint="eastAsia" w:ascii="Times New Roman" w:hAnsi="Times New Roman"/>
                <w:b/>
                <w:bCs/>
                <w:color w:val="auto"/>
                <w:sz w:val="24"/>
                <w:szCs w:val="24"/>
                <w:highlight w:val="none"/>
                <w:lang w:val="en-US" w:eastAsia="zh-CN"/>
              </w:rPr>
            </w:pPr>
          </w:p>
        </w:tc>
        <w:tc>
          <w:tcPr>
            <w:tcW w:w="1129" w:type="pct"/>
            <w:vMerge w:val="continue"/>
            <w:tcBorders>
              <w:left w:val="single" w:color="auto" w:sz="4" w:space="0"/>
              <w:right w:val="single" w:color="auto" w:sz="4" w:space="0"/>
            </w:tcBorders>
            <w:vAlign w:val="center"/>
          </w:tcPr>
          <w:p w14:paraId="305A0A73">
            <w:pPr>
              <w:spacing w:line="360" w:lineRule="auto"/>
              <w:jc w:val="left"/>
              <w:rPr>
                <w:rFonts w:hint="eastAsia" w:ascii="Times New Roman" w:hAnsi="Times New Roman"/>
                <w:b/>
                <w:bCs/>
                <w:color w:val="auto"/>
                <w:sz w:val="24"/>
                <w:szCs w:val="24"/>
                <w:highlight w:val="none"/>
                <w:lang w:val="en-US" w:eastAsia="zh-CN"/>
              </w:rPr>
            </w:pPr>
          </w:p>
        </w:tc>
        <w:tc>
          <w:tcPr>
            <w:tcW w:w="2649" w:type="pct"/>
            <w:tcBorders>
              <w:left w:val="single" w:color="auto" w:sz="4" w:space="0"/>
              <w:right w:val="single" w:color="auto" w:sz="4" w:space="0"/>
            </w:tcBorders>
            <w:vAlign w:val="center"/>
          </w:tcPr>
          <w:p w14:paraId="5CF95C73">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6</w:t>
            </w:r>
            <w:r>
              <w:rPr>
                <w:rFonts w:hint="eastAsia" w:ascii="Times New Roman" w:hAnsi="Times New Roman"/>
                <w:b/>
                <w:bCs/>
                <w:color w:val="auto"/>
                <w:sz w:val="24"/>
                <w:szCs w:val="24"/>
                <w:highlight w:val="none"/>
                <w:lang w:val="zh-CN"/>
              </w:rPr>
              <w:t>.观测墩</w:t>
            </w:r>
            <w:r>
              <w:rPr>
                <w:rFonts w:hint="eastAsia" w:ascii="Times New Roman" w:hAnsi="Times New Roman"/>
                <w:b/>
                <w:bCs/>
                <w:color w:val="auto"/>
                <w:sz w:val="24"/>
                <w:szCs w:val="24"/>
                <w:highlight w:val="none"/>
                <w:lang w:val="en-US" w:eastAsia="zh-CN"/>
              </w:rPr>
              <w:t>外观设计方案</w:t>
            </w:r>
            <w:r>
              <w:rPr>
                <w:rFonts w:hint="eastAsia" w:ascii="Times New Roman" w:hAnsi="Times New Roman"/>
                <w:b/>
                <w:bCs/>
                <w:color w:val="auto"/>
                <w:sz w:val="24"/>
                <w:szCs w:val="24"/>
                <w:highlight w:val="none"/>
                <w:lang w:val="zh-CN"/>
              </w:rPr>
              <w:t>：</w:t>
            </w:r>
            <w:bookmarkStart w:id="89" w:name="OLE_LINK6"/>
            <w:r>
              <w:rPr>
                <w:rFonts w:hint="eastAsia" w:ascii="Times New Roman" w:hAnsi="Times New Roman"/>
                <w:b/>
                <w:bCs/>
                <w:color w:val="auto"/>
                <w:sz w:val="24"/>
                <w:szCs w:val="24"/>
                <w:highlight w:val="none"/>
                <w:lang w:val="en-US" w:eastAsia="zh-CN"/>
              </w:rPr>
              <w:t>为</w:t>
            </w:r>
            <w:r>
              <w:rPr>
                <w:rFonts w:hint="eastAsia" w:ascii="Times New Roman" w:hAnsi="Times New Roman"/>
                <w:b/>
                <w:bCs/>
                <w:color w:val="auto"/>
                <w:sz w:val="24"/>
                <w:szCs w:val="24"/>
                <w:highlight w:val="none"/>
                <w:lang w:val="zh-CN"/>
              </w:rPr>
              <w:t>确保工程管理面貌，对</w:t>
            </w:r>
            <w:bookmarkStart w:id="90" w:name="OLE_LINK13"/>
            <w:r>
              <w:rPr>
                <w:rFonts w:hint="eastAsia" w:ascii="Times New Roman" w:hAnsi="Times New Roman"/>
                <w:b/>
                <w:bCs/>
                <w:color w:val="auto"/>
                <w:sz w:val="24"/>
                <w:szCs w:val="24"/>
                <w:highlight w:val="none"/>
                <w:lang w:val="zh-CN"/>
              </w:rPr>
              <w:t>观测墩</w:t>
            </w:r>
            <w:bookmarkEnd w:id="90"/>
            <w:r>
              <w:rPr>
                <w:rFonts w:hint="eastAsia" w:ascii="Times New Roman" w:hAnsi="Times New Roman"/>
                <w:b/>
                <w:bCs/>
                <w:color w:val="auto"/>
                <w:sz w:val="24"/>
                <w:szCs w:val="24"/>
                <w:highlight w:val="none"/>
                <w:lang w:val="zh-CN"/>
              </w:rPr>
              <w:t>进行外观设计，保证与原建筑物协调一致，整体美观。</w:t>
            </w:r>
          </w:p>
          <w:bookmarkEnd w:id="89"/>
          <w:p w14:paraId="3B4538BC">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45E21ACD">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15FEB1C2">
            <w:pPr>
              <w:numPr>
                <w:ilvl w:val="0"/>
                <w:numId w:val="0"/>
              </w:numPr>
              <w:topLinePunct/>
              <w:adjustRightInd w:val="0"/>
              <w:snapToGrid w:val="0"/>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C06A624">
            <w:pPr>
              <w:numPr>
                <w:ilvl w:val="0"/>
                <w:numId w:val="0"/>
              </w:numPr>
              <w:topLinePunct/>
              <w:adjustRightInd w:val="0"/>
              <w:snapToGrid w:val="0"/>
              <w:jc w:val="left"/>
              <w:rPr>
                <w:rFonts w:hint="eastAsia" w:ascii="Times New Roman" w:hAnsi="Times New Roman"/>
                <w:b/>
                <w:bCs/>
                <w:color w:val="auto"/>
                <w:sz w:val="24"/>
                <w:szCs w:val="24"/>
                <w:highlight w:val="none"/>
                <w:lang w:val="en-US"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690" w:type="pct"/>
            <w:tcBorders>
              <w:left w:val="single" w:color="auto" w:sz="4" w:space="0"/>
              <w:right w:val="single" w:color="auto" w:sz="4" w:space="0"/>
            </w:tcBorders>
            <w:vAlign w:val="center"/>
          </w:tcPr>
          <w:p w14:paraId="21D990A5">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7D8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530" w:type="pct"/>
            <w:vMerge w:val="continue"/>
            <w:tcBorders>
              <w:left w:val="single" w:color="auto" w:sz="4" w:space="0"/>
              <w:right w:val="single" w:color="auto" w:sz="4" w:space="0"/>
            </w:tcBorders>
            <w:vAlign w:val="center"/>
          </w:tcPr>
          <w:p w14:paraId="45A8A83A">
            <w:pPr>
              <w:spacing w:line="360" w:lineRule="auto"/>
              <w:jc w:val="center"/>
              <w:rPr>
                <w:rFonts w:hint="eastAsia" w:ascii="Times New Roman" w:hAnsi="Times New Roman"/>
                <w:b/>
                <w:bCs/>
                <w:color w:val="auto"/>
                <w:sz w:val="24"/>
                <w:szCs w:val="24"/>
                <w:highlight w:val="none"/>
                <w:lang w:val="en-US" w:eastAsia="zh-CN"/>
              </w:rPr>
            </w:pPr>
          </w:p>
        </w:tc>
        <w:tc>
          <w:tcPr>
            <w:tcW w:w="1129" w:type="pct"/>
            <w:vMerge w:val="continue"/>
            <w:tcBorders>
              <w:left w:val="single" w:color="auto" w:sz="4" w:space="0"/>
              <w:right w:val="single" w:color="auto" w:sz="4" w:space="0"/>
            </w:tcBorders>
            <w:vAlign w:val="center"/>
          </w:tcPr>
          <w:p w14:paraId="0EBFD06C">
            <w:pPr>
              <w:spacing w:line="360" w:lineRule="auto"/>
              <w:jc w:val="left"/>
              <w:rPr>
                <w:rFonts w:hint="eastAsia" w:ascii="Times New Roman" w:hAnsi="Times New Roman"/>
                <w:b/>
                <w:bCs/>
                <w:color w:val="auto"/>
                <w:sz w:val="24"/>
                <w:szCs w:val="24"/>
                <w:highlight w:val="none"/>
                <w:lang w:val="en-US" w:eastAsia="zh-CN"/>
              </w:rPr>
            </w:pPr>
          </w:p>
        </w:tc>
        <w:tc>
          <w:tcPr>
            <w:tcW w:w="2649" w:type="pct"/>
            <w:tcBorders>
              <w:left w:val="single" w:color="auto" w:sz="4" w:space="0"/>
              <w:right w:val="single" w:color="auto" w:sz="4" w:space="0"/>
            </w:tcBorders>
            <w:vAlign w:val="center"/>
          </w:tcPr>
          <w:p w14:paraId="575EA7CF">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7</w:t>
            </w:r>
            <w:r>
              <w:rPr>
                <w:rFonts w:hint="eastAsia" w:ascii="Times New Roman" w:hAnsi="Times New Roman"/>
                <w:b/>
                <w:bCs/>
                <w:color w:val="auto"/>
                <w:sz w:val="24"/>
                <w:szCs w:val="24"/>
                <w:highlight w:val="none"/>
                <w:lang w:val="zh-CN"/>
              </w:rPr>
              <w:t>.</w:t>
            </w:r>
            <w:bookmarkStart w:id="91" w:name="OLE_LINK14"/>
            <w:r>
              <w:rPr>
                <w:rFonts w:hint="eastAsia" w:ascii="Times New Roman" w:hAnsi="Times New Roman"/>
                <w:b/>
                <w:bCs/>
                <w:color w:val="auto"/>
                <w:sz w:val="24"/>
                <w:szCs w:val="24"/>
                <w:highlight w:val="none"/>
                <w:lang w:val="en-US" w:eastAsia="zh-CN"/>
              </w:rPr>
              <w:t>水平位移</w:t>
            </w:r>
            <w:bookmarkEnd w:id="91"/>
            <w:r>
              <w:rPr>
                <w:rFonts w:hint="eastAsia" w:ascii="Times New Roman" w:hAnsi="Times New Roman"/>
                <w:b/>
                <w:bCs/>
                <w:color w:val="auto"/>
                <w:sz w:val="24"/>
                <w:szCs w:val="24"/>
                <w:highlight w:val="none"/>
                <w:lang w:val="en-US" w:eastAsia="zh-CN"/>
              </w:rPr>
              <w:t>详细布设方案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结合实际</w:t>
            </w:r>
            <w:r>
              <w:rPr>
                <w:rFonts w:hint="eastAsia" w:ascii="Times New Roman" w:hAnsi="Times New Roman"/>
                <w:b/>
                <w:bCs/>
                <w:color w:val="auto"/>
                <w:sz w:val="24"/>
                <w:szCs w:val="24"/>
                <w:highlight w:val="none"/>
                <w:lang w:val="en-US" w:eastAsia="zh-CN"/>
              </w:rPr>
              <w:t>情况</w:t>
            </w:r>
            <w:r>
              <w:rPr>
                <w:rFonts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对各个水闸进行水平位移的详细布设方案，</w:t>
            </w:r>
            <w:r>
              <w:rPr>
                <w:rFonts w:ascii="Times New Roman" w:hAnsi="Times New Roman"/>
                <w:b/>
                <w:bCs/>
                <w:color w:val="auto"/>
                <w:sz w:val="24"/>
                <w:szCs w:val="24"/>
                <w:highlight w:val="none"/>
                <w:lang w:val="zh-CN"/>
              </w:rPr>
              <w:t>工艺先进、方法科学合理、可行，能切实</w:t>
            </w:r>
            <w:r>
              <w:rPr>
                <w:rFonts w:hint="eastAsia" w:ascii="Times New Roman" w:hAnsi="Times New Roman"/>
                <w:b/>
                <w:bCs/>
                <w:color w:val="auto"/>
                <w:sz w:val="24"/>
                <w:szCs w:val="24"/>
                <w:highlight w:val="none"/>
                <w:lang w:val="en-US" w:eastAsia="zh-CN"/>
              </w:rPr>
              <w:t>满足项目的目标和要求，</w:t>
            </w:r>
            <w:r>
              <w:rPr>
                <w:rFonts w:ascii="Times New Roman" w:hAnsi="Times New Roman"/>
                <w:b/>
                <w:bCs/>
                <w:color w:val="auto"/>
                <w:sz w:val="24"/>
                <w:szCs w:val="24"/>
                <w:highlight w:val="none"/>
                <w:lang w:val="zh-CN"/>
              </w:rPr>
              <w:t>并确保安全。</w:t>
            </w:r>
          </w:p>
          <w:p w14:paraId="765C9B03">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89AA570">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538FF15">
            <w:pPr>
              <w:topLinePunct/>
              <w:adjustRightInd w:val="0"/>
              <w:snapToGrid w:val="0"/>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覆盖</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全面、要点</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突出、针对性</w:t>
            </w:r>
            <w:r>
              <w:rPr>
                <w:rFonts w:hint="eastAsia" w:ascii="Times New Roman" w:hAnsi="Times New Roman" w:eastAsia="宋体"/>
                <w:color w:val="auto"/>
                <w:sz w:val="24"/>
                <w:szCs w:val="24"/>
                <w:highlight w:val="none"/>
                <w:lang w:val="zh-CN"/>
              </w:rPr>
              <w:t>不强</w:t>
            </w:r>
            <w:r>
              <w:rPr>
                <w:rFonts w:ascii="Times New Roman" w:hAnsi="Times New Roman" w:eastAsia="宋体"/>
                <w:color w:val="auto"/>
                <w:sz w:val="24"/>
                <w:szCs w:val="24"/>
                <w:highlight w:val="none"/>
                <w:lang w:val="zh-CN"/>
              </w:rPr>
              <w:t>，内容</w:t>
            </w:r>
            <w:r>
              <w:rPr>
                <w:rFonts w:hint="eastAsia" w:ascii="Times New Roman" w:hAnsi="Times New Roman" w:eastAsia="宋体"/>
                <w:color w:val="auto"/>
                <w:sz w:val="24"/>
                <w:szCs w:val="24"/>
                <w:highlight w:val="none"/>
                <w:lang w:val="zh-CN"/>
              </w:rPr>
              <w:t>不完整</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6A952040">
            <w:pPr>
              <w:topLinePunct/>
              <w:adjustRightInd w:val="0"/>
              <w:snapToGrid w:val="0"/>
              <w:jc w:val="left"/>
              <w:rPr>
                <w:rFonts w:hint="eastAsia" w:ascii="Times New Roman" w:hAnsi="Times New Roman"/>
                <w:b/>
                <w:bCs/>
                <w:color w:val="auto"/>
                <w:sz w:val="24"/>
                <w:szCs w:val="24"/>
                <w:highlight w:val="none"/>
                <w:lang w:val="en-US"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690" w:type="pct"/>
            <w:tcBorders>
              <w:left w:val="single" w:color="auto" w:sz="4" w:space="0"/>
              <w:right w:val="single" w:color="auto" w:sz="4" w:space="0"/>
            </w:tcBorders>
            <w:vAlign w:val="center"/>
          </w:tcPr>
          <w:p w14:paraId="630B853C">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850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30" w:type="pct"/>
            <w:vMerge w:val="continue"/>
            <w:tcBorders>
              <w:left w:val="single" w:color="auto" w:sz="4" w:space="0"/>
              <w:right w:val="single" w:color="auto" w:sz="4" w:space="0"/>
            </w:tcBorders>
            <w:vAlign w:val="center"/>
          </w:tcPr>
          <w:p w14:paraId="6B416026">
            <w:pPr>
              <w:spacing w:line="360" w:lineRule="auto"/>
              <w:jc w:val="center"/>
              <w:rPr>
                <w:rFonts w:hint="eastAsia" w:ascii="Times New Roman" w:hAnsi="Times New Roman"/>
                <w:b/>
                <w:bCs/>
                <w:color w:val="auto"/>
                <w:sz w:val="24"/>
                <w:szCs w:val="24"/>
                <w:highlight w:val="none"/>
                <w:lang w:val="en-US" w:eastAsia="zh-CN"/>
              </w:rPr>
            </w:pPr>
          </w:p>
        </w:tc>
        <w:tc>
          <w:tcPr>
            <w:tcW w:w="1129" w:type="pct"/>
            <w:vMerge w:val="continue"/>
            <w:tcBorders>
              <w:left w:val="single" w:color="auto" w:sz="4" w:space="0"/>
              <w:bottom w:val="single" w:color="auto" w:sz="4" w:space="0"/>
              <w:right w:val="single" w:color="auto" w:sz="4" w:space="0"/>
            </w:tcBorders>
            <w:vAlign w:val="center"/>
          </w:tcPr>
          <w:p w14:paraId="2C729AF7">
            <w:pPr>
              <w:spacing w:line="360" w:lineRule="auto"/>
              <w:jc w:val="left"/>
              <w:rPr>
                <w:rFonts w:hint="eastAsia" w:ascii="Times New Roman" w:hAnsi="Times New Roman"/>
                <w:b/>
                <w:bCs/>
                <w:color w:val="auto"/>
                <w:sz w:val="24"/>
                <w:szCs w:val="24"/>
                <w:highlight w:val="none"/>
                <w:lang w:val="en-US" w:eastAsia="zh-CN"/>
              </w:rPr>
            </w:pPr>
          </w:p>
        </w:tc>
        <w:tc>
          <w:tcPr>
            <w:tcW w:w="2649" w:type="pct"/>
            <w:tcBorders>
              <w:left w:val="single" w:color="auto" w:sz="4" w:space="0"/>
              <w:bottom w:val="single" w:color="auto" w:sz="4" w:space="0"/>
              <w:right w:val="single" w:color="auto" w:sz="4" w:space="0"/>
            </w:tcBorders>
            <w:vAlign w:val="center"/>
          </w:tcPr>
          <w:p w14:paraId="069978BE">
            <w:pPr>
              <w:topLinePunct/>
              <w:adjustRightInd w:val="0"/>
              <w:snapToGrid w:val="0"/>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8.</w:t>
            </w:r>
            <w:r>
              <w:rPr>
                <w:rFonts w:ascii="Times New Roman" w:hAnsi="Times New Roman"/>
                <w:b/>
                <w:bCs/>
                <w:color w:val="auto"/>
                <w:sz w:val="24"/>
                <w:szCs w:val="24"/>
                <w:highlight w:val="none"/>
                <w:lang w:val="zh-CN"/>
              </w:rPr>
              <w:t>合理化建议</w:t>
            </w:r>
            <w:r>
              <w:rPr>
                <w:rFonts w:hint="eastAsia" w:ascii="Times New Roman" w:hAnsi="Times New Roman"/>
                <w:b/>
                <w:bCs/>
                <w:color w:val="auto"/>
                <w:sz w:val="24"/>
                <w:szCs w:val="24"/>
                <w:highlight w:val="none"/>
                <w:lang w:val="zh-CN"/>
              </w:rPr>
              <w:t>：供应商</w:t>
            </w:r>
            <w:r>
              <w:rPr>
                <w:rFonts w:hint="eastAsia" w:ascii="Times New Roman" w:hAnsi="Times New Roman"/>
                <w:b/>
                <w:bCs/>
                <w:color w:val="auto"/>
                <w:sz w:val="24"/>
                <w:szCs w:val="24"/>
                <w:highlight w:val="none"/>
              </w:rPr>
              <w:t>针对</w:t>
            </w:r>
            <w:r>
              <w:rPr>
                <w:rFonts w:hint="eastAsia" w:ascii="Times New Roman" w:hAnsi="Times New Roman"/>
                <w:b/>
                <w:bCs/>
                <w:color w:val="auto"/>
                <w:sz w:val="24"/>
                <w:szCs w:val="24"/>
                <w:highlight w:val="none"/>
                <w:lang w:val="zh-CN"/>
              </w:rPr>
              <w:t>本项目</w:t>
            </w:r>
            <w:r>
              <w:rPr>
                <w:rFonts w:hint="eastAsia" w:ascii="Times New Roman" w:hAnsi="Times New Roman"/>
                <w:b/>
                <w:bCs/>
                <w:color w:val="auto"/>
                <w:sz w:val="24"/>
                <w:szCs w:val="24"/>
                <w:highlight w:val="none"/>
              </w:rPr>
              <w:t>提出的</w:t>
            </w:r>
            <w:r>
              <w:rPr>
                <w:rFonts w:hint="eastAsia" w:ascii="Times New Roman" w:hAnsi="Times New Roman"/>
                <w:b/>
                <w:bCs/>
                <w:color w:val="auto"/>
                <w:sz w:val="24"/>
                <w:szCs w:val="24"/>
                <w:highlight w:val="none"/>
                <w:lang w:val="zh-CN"/>
              </w:rPr>
              <w:t>合理化建议。</w:t>
            </w:r>
          </w:p>
          <w:p w14:paraId="4A809897">
            <w:pPr>
              <w:numPr>
                <w:ilvl w:val="0"/>
                <w:numId w:val="0"/>
              </w:numPr>
              <w:topLinePunct/>
              <w:adjustRightInd w:val="0"/>
              <w:snapToGrid w:val="0"/>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0D1F5F47">
            <w:pPr>
              <w:topLinePunct/>
              <w:adjustRightInd w:val="0"/>
              <w:snapToGrid w:val="0"/>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4486FBE5">
            <w:pPr>
              <w:topLinePunct/>
              <w:adjustRightInd w:val="0"/>
              <w:snapToGrid w:val="0"/>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，内容</w:t>
            </w:r>
            <w:r>
              <w:rPr>
                <w:rFonts w:hint="eastAsia" w:ascii="Times New Roman" w:hAnsi="Times New Roman"/>
                <w:color w:val="auto"/>
                <w:sz w:val="24"/>
                <w:szCs w:val="24"/>
                <w:highlight w:val="none"/>
              </w:rPr>
              <w:t>不完整</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37BAEE3F">
            <w:pPr>
              <w:topLinePunct/>
              <w:adjustRightInd w:val="0"/>
              <w:snapToGrid w:val="0"/>
              <w:jc w:val="left"/>
              <w:rPr>
                <w:rFonts w:hint="eastAsia" w:ascii="Times New Roman" w:hAnsi="Times New Roman"/>
                <w:b/>
                <w:bCs/>
                <w:color w:val="auto"/>
                <w:sz w:val="24"/>
                <w:szCs w:val="24"/>
                <w:highlight w:val="none"/>
                <w:lang w:val="en-US"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690" w:type="pct"/>
            <w:tcBorders>
              <w:left w:val="single" w:color="auto" w:sz="4" w:space="0"/>
              <w:bottom w:val="single" w:color="auto" w:sz="4" w:space="0"/>
              <w:right w:val="single" w:color="auto" w:sz="4" w:space="0"/>
            </w:tcBorders>
            <w:vAlign w:val="center"/>
          </w:tcPr>
          <w:p w14:paraId="59E34F39">
            <w:pPr>
              <w:spacing w:line="360" w:lineRule="auto"/>
              <w:jc w:val="center"/>
              <w:rPr>
                <w:rFonts w:hint="eastAsia" w:ascii="Times New Roman" w:hAnsi="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AE8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530" w:type="pct"/>
            <w:tcBorders>
              <w:left w:val="single" w:color="auto" w:sz="4" w:space="0"/>
              <w:right w:val="single" w:color="auto" w:sz="4" w:space="0"/>
            </w:tcBorders>
            <w:vAlign w:val="center"/>
          </w:tcPr>
          <w:p w14:paraId="6B659959">
            <w:pPr>
              <w:spacing w:line="24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价格分</w:t>
            </w:r>
          </w:p>
          <w:p w14:paraId="021D0D34">
            <w:pPr>
              <w:spacing w:line="24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u w:val="single"/>
                <w:lang w:val="en-US" w:eastAsia="zh-CN"/>
              </w:rPr>
              <w:t>20</w:t>
            </w:r>
            <w:r>
              <w:rPr>
                <w:rFonts w:hint="eastAsia" w:ascii="宋体" w:hAnsi="宋体" w:eastAsia="宋体"/>
                <w:b/>
                <w:bCs/>
                <w:color w:val="auto"/>
                <w:sz w:val="24"/>
                <w:szCs w:val="24"/>
                <w:highlight w:val="none"/>
              </w:rPr>
              <w:t>分）</w:t>
            </w:r>
          </w:p>
        </w:tc>
        <w:tc>
          <w:tcPr>
            <w:tcW w:w="4469" w:type="pct"/>
            <w:gridSpan w:val="3"/>
            <w:tcBorders>
              <w:top w:val="single" w:color="auto" w:sz="4" w:space="0"/>
              <w:left w:val="single" w:color="auto" w:sz="4" w:space="0"/>
              <w:bottom w:val="single" w:color="auto" w:sz="4" w:space="0"/>
              <w:right w:val="single" w:color="auto" w:sz="4" w:space="0"/>
            </w:tcBorders>
            <w:vAlign w:val="center"/>
          </w:tcPr>
          <w:p w14:paraId="0D679659">
            <w:pPr>
              <w:numPr>
                <w:ilvl w:val="0"/>
                <w:numId w:val="0"/>
              </w:numPr>
              <w:topLinePunct/>
              <w:adjustRightInd w:val="0"/>
              <w:snapToGrid w:val="0"/>
              <w:jc w:val="left"/>
              <w:rPr>
                <w:rFonts w:hint="eastAsia" w:ascii="Times New Roman" w:hAnsi="Times New Roman" w:eastAsia="宋体"/>
                <w:b/>
                <w:bCs/>
                <w:color w:val="auto"/>
                <w:sz w:val="24"/>
                <w:szCs w:val="24"/>
                <w:highlight w:val="none"/>
                <w:lang w:val="en-US" w:eastAsia="zh-CN"/>
              </w:rPr>
            </w:pPr>
            <w:r>
              <w:rPr>
                <w:rFonts w:hint="eastAsia" w:ascii="Times New Roman" w:hAnsi="Times New Roman" w:eastAsia="宋体"/>
                <w:b/>
                <w:bCs/>
                <w:color w:val="auto"/>
                <w:sz w:val="24"/>
                <w:szCs w:val="24"/>
                <w:highlight w:val="none"/>
                <w:lang w:val="en-US" w:eastAsia="zh-CN"/>
              </w:rPr>
              <w:t>价格分统一采用低价优先法，即满足磋商文件要求且最后报价最低的供应商的价格为磋商基准价，其价格分为满分20分。其他供应商的价格分统一按照下列公式计算：</w:t>
            </w:r>
          </w:p>
          <w:p w14:paraId="04239187">
            <w:pPr>
              <w:numPr>
                <w:ilvl w:val="0"/>
                <w:numId w:val="0"/>
              </w:numPr>
              <w:topLinePunct/>
              <w:adjustRightInd w:val="0"/>
              <w:snapToGrid w:val="0"/>
              <w:jc w:val="left"/>
              <w:rPr>
                <w:rFonts w:hint="eastAsia" w:ascii="Times New Roman" w:hAnsi="Times New Roman" w:eastAsia="宋体"/>
                <w:b/>
                <w:bCs/>
                <w:color w:val="auto"/>
                <w:sz w:val="24"/>
                <w:szCs w:val="24"/>
                <w:highlight w:val="none"/>
                <w:lang w:val="en-US" w:eastAsia="zh-CN"/>
              </w:rPr>
            </w:pPr>
            <w:r>
              <w:rPr>
                <w:rFonts w:hint="eastAsia" w:ascii="Times New Roman" w:hAnsi="Times New Roman" w:eastAsia="宋体"/>
                <w:b/>
                <w:bCs/>
                <w:color w:val="auto"/>
                <w:sz w:val="24"/>
                <w:szCs w:val="24"/>
                <w:highlight w:val="none"/>
                <w:lang w:val="en-US" w:eastAsia="zh-CN"/>
              </w:rPr>
              <w:t>磋商报价得分＝（磋商基准价/最后磋商报价）×20％×100</w:t>
            </w:r>
          </w:p>
          <w:p w14:paraId="289AC301">
            <w:pPr>
              <w:numPr>
                <w:ilvl w:val="0"/>
                <w:numId w:val="0"/>
              </w:numPr>
              <w:topLinePunct/>
              <w:adjustRightInd w:val="0"/>
              <w:snapToGrid w:val="0"/>
              <w:jc w:val="left"/>
              <w:rPr>
                <w:sz w:val="24"/>
                <w:szCs w:val="24"/>
                <w:highlight w:val="none"/>
              </w:rPr>
            </w:pPr>
            <w:r>
              <w:rPr>
                <w:rFonts w:hint="default" w:ascii="Times New Roman" w:hAnsi="Times New Roman" w:eastAsia="宋体"/>
                <w:color w:val="auto"/>
                <w:sz w:val="24"/>
                <w:szCs w:val="24"/>
                <w:highlight w:val="none"/>
                <w:lang w:val="en-US" w:eastAsia="zh-CN"/>
              </w:rPr>
              <w:t>评分分值计算保留小数点后二位，小数点后第三位“四舍五入”。</w:t>
            </w:r>
          </w:p>
        </w:tc>
      </w:tr>
    </w:tbl>
    <w:p w14:paraId="1BC36DB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0502A0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3E74E3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741B0D1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A844933">
      <w:pPr>
        <w:spacing w:line="360" w:lineRule="auto"/>
        <w:jc w:val="center"/>
        <w:outlineLvl w:val="0"/>
        <w:rPr>
          <w:rFonts w:ascii="宋体" w:hAnsi="宋体" w:eastAsia="宋体"/>
          <w:b/>
          <w:color w:val="auto"/>
          <w:sz w:val="24"/>
          <w:szCs w:val="24"/>
          <w:highlight w:val="none"/>
        </w:rPr>
      </w:pPr>
      <w:bookmarkStart w:id="92" w:name="_Toc31277"/>
      <w:r>
        <w:rPr>
          <w:rFonts w:hint="eastAsia" w:ascii="宋体" w:hAnsi="宋体" w:eastAsia="宋体"/>
          <w:b/>
          <w:color w:val="auto"/>
          <w:sz w:val="24"/>
          <w:szCs w:val="24"/>
          <w:highlight w:val="none"/>
        </w:rPr>
        <w:t xml:space="preserve">第五章  </w:t>
      </w:r>
      <w:r>
        <w:rPr>
          <w:rFonts w:ascii="宋体" w:hAnsi="宋体" w:eastAsia="宋体"/>
          <w:b/>
          <w:color w:val="auto"/>
          <w:sz w:val="24"/>
          <w:szCs w:val="24"/>
          <w:highlight w:val="none"/>
        </w:rPr>
        <w:t>政府采购合同</w:t>
      </w:r>
      <w:bookmarkEnd w:id="92"/>
    </w:p>
    <w:p w14:paraId="099A5BE2">
      <w:pPr>
        <w:keepNext/>
        <w:keepLines/>
        <w:snapToGrid w:val="0"/>
        <w:spacing w:before="312" w:beforeLines="100" w:after="312" w:afterLines="100" w:line="360" w:lineRule="auto"/>
        <w:jc w:val="center"/>
        <w:outlineLvl w:val="1"/>
        <w:rPr>
          <w:rFonts w:cs="宋体"/>
          <w:b/>
          <w:bCs/>
          <w:color w:val="auto"/>
          <w:sz w:val="24"/>
          <w:szCs w:val="24"/>
          <w:highlight w:val="none"/>
        </w:rPr>
      </w:pPr>
      <w:bookmarkStart w:id="93" w:name="_Toc9907"/>
      <w:bookmarkStart w:id="94" w:name="_Toc130919120"/>
      <w:bookmarkStart w:id="95" w:name="_Toc28799376"/>
      <w:r>
        <w:rPr>
          <w:rFonts w:hint="eastAsia" w:cs="宋体"/>
          <w:b/>
          <w:bCs/>
          <w:color w:val="auto"/>
          <w:sz w:val="24"/>
          <w:szCs w:val="24"/>
          <w:highlight w:val="none"/>
        </w:rPr>
        <w:t>第一节  合同协议书</w:t>
      </w:r>
      <w:bookmarkEnd w:id="93"/>
      <w:bookmarkEnd w:id="94"/>
      <w:bookmarkEnd w:id="95"/>
    </w:p>
    <w:p w14:paraId="017053C6">
      <w:pPr>
        <w:spacing w:line="360" w:lineRule="auto"/>
        <w:rPr>
          <w:rFonts w:cs="宋体"/>
          <w:b/>
          <w:color w:val="auto"/>
          <w:sz w:val="24"/>
          <w:szCs w:val="24"/>
          <w:highlight w:val="none"/>
          <w:u w:val="single"/>
        </w:rPr>
      </w:pPr>
      <w:r>
        <w:rPr>
          <w:rFonts w:hint="eastAsia" w:cs="宋体"/>
          <w:b/>
          <w:color w:val="auto"/>
          <w:sz w:val="24"/>
          <w:szCs w:val="24"/>
          <w:highlight w:val="none"/>
          <w:lang w:eastAsia="zh-CN"/>
        </w:rPr>
        <w:t>甲方</w:t>
      </w:r>
      <w:r>
        <w:rPr>
          <w:rFonts w:hint="eastAsia" w:cs="宋体"/>
          <w:b/>
          <w:color w:val="auto"/>
          <w:sz w:val="24"/>
          <w:szCs w:val="24"/>
          <w:highlight w:val="none"/>
        </w:rPr>
        <w:t>（全称）：</w:t>
      </w:r>
      <w:r>
        <w:rPr>
          <w:rFonts w:hint="eastAsia" w:cs="宋体"/>
          <w:b/>
          <w:color w:val="auto"/>
          <w:sz w:val="24"/>
          <w:szCs w:val="24"/>
          <w:highlight w:val="none"/>
          <w:u w:val="single"/>
        </w:rPr>
        <w:t xml:space="preserve">        </w:t>
      </w:r>
    </w:p>
    <w:p w14:paraId="3D4015B5">
      <w:pPr>
        <w:spacing w:line="360" w:lineRule="auto"/>
        <w:rPr>
          <w:rFonts w:cs="宋体"/>
          <w:b/>
          <w:color w:val="auto"/>
          <w:sz w:val="24"/>
          <w:szCs w:val="24"/>
          <w:highlight w:val="none"/>
          <w:u w:val="single"/>
        </w:rPr>
      </w:pPr>
      <w:r>
        <w:rPr>
          <w:rFonts w:hint="eastAsia" w:cs="宋体"/>
          <w:b/>
          <w:color w:val="auto"/>
          <w:sz w:val="24"/>
          <w:szCs w:val="24"/>
          <w:highlight w:val="none"/>
          <w:lang w:eastAsia="zh-CN"/>
        </w:rPr>
        <w:t>乙方</w:t>
      </w:r>
      <w:r>
        <w:rPr>
          <w:rFonts w:hint="eastAsia" w:cs="宋体"/>
          <w:b/>
          <w:color w:val="auto"/>
          <w:sz w:val="24"/>
          <w:szCs w:val="24"/>
          <w:highlight w:val="none"/>
        </w:rPr>
        <w:t>（全称）：</w:t>
      </w:r>
      <w:r>
        <w:rPr>
          <w:rFonts w:hint="eastAsia" w:cs="宋体"/>
          <w:b/>
          <w:color w:val="auto"/>
          <w:sz w:val="24"/>
          <w:szCs w:val="24"/>
          <w:highlight w:val="none"/>
          <w:u w:val="single"/>
        </w:rPr>
        <w:t xml:space="preserve">        </w:t>
      </w:r>
    </w:p>
    <w:p w14:paraId="78F1C6C8">
      <w:pPr>
        <w:spacing w:line="360" w:lineRule="auto"/>
        <w:rPr>
          <w:rFonts w:ascii="Times New Roman" w:hAnsi="Times New Roman" w:eastAsia="仿宋_GB2312" w:cs="Times New Roman"/>
          <w:b/>
          <w:color w:val="auto"/>
          <w:kern w:val="2"/>
          <w:sz w:val="24"/>
          <w:szCs w:val="24"/>
          <w:highlight w:val="none"/>
          <w:u w:val="single"/>
        </w:rPr>
      </w:pPr>
    </w:p>
    <w:p w14:paraId="622F2F5A">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根据《中华人民共和国民法典》《中华人民共和国建筑法》及有关法律规定，遵循平等、自愿、公平和诚实信用的原则，双方就</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2025年省淮河局水闸监测设施等维修改造（第4包）</w:t>
      </w:r>
      <w:r>
        <w:rPr>
          <w:rFonts w:hint="eastAsia" w:cs="宋体"/>
          <w:color w:val="auto"/>
          <w:sz w:val="24"/>
          <w:szCs w:val="24"/>
          <w:highlight w:val="none"/>
        </w:rPr>
        <w:t>工程施工及有关事项协商一致，共同达成如下协议：</w:t>
      </w:r>
    </w:p>
    <w:p w14:paraId="1EE38621">
      <w:pPr>
        <w:snapToGrid w:val="0"/>
        <w:spacing w:line="360" w:lineRule="auto"/>
        <w:ind w:firstLine="482" w:firstLineChars="200"/>
        <w:rPr>
          <w:rFonts w:cs="宋体"/>
          <w:color w:val="auto"/>
          <w:sz w:val="24"/>
          <w:szCs w:val="24"/>
          <w:highlight w:val="none"/>
        </w:rPr>
      </w:pPr>
      <w:r>
        <w:rPr>
          <w:rFonts w:hint="eastAsia" w:cs="宋体"/>
          <w:b/>
          <w:color w:val="auto"/>
          <w:sz w:val="24"/>
          <w:szCs w:val="24"/>
          <w:highlight w:val="none"/>
        </w:rPr>
        <w:t>一、工程概况</w:t>
      </w:r>
    </w:p>
    <w:p w14:paraId="34AEAF48">
      <w:pPr>
        <w:snapToGrid w:val="0"/>
        <w:spacing w:line="360" w:lineRule="auto"/>
        <w:ind w:firstLine="470" w:firstLineChars="196"/>
        <w:rPr>
          <w:rFonts w:cs="宋体"/>
          <w:color w:val="auto"/>
          <w:sz w:val="24"/>
          <w:szCs w:val="24"/>
          <w:highlight w:val="none"/>
          <w:u w:val="single"/>
        </w:rPr>
      </w:pPr>
      <w:r>
        <w:rPr>
          <w:rFonts w:hint="eastAsia" w:cs="宋体"/>
          <w:bCs/>
          <w:color w:val="auto"/>
          <w:sz w:val="24"/>
          <w:szCs w:val="24"/>
          <w:highlight w:val="none"/>
        </w:rPr>
        <w:t>1. 工程名称</w:t>
      </w:r>
      <w:r>
        <w:rPr>
          <w:rFonts w:hint="eastAsia" w:cs="宋体"/>
          <w:color w:val="auto"/>
          <w:sz w:val="24"/>
          <w:szCs w:val="24"/>
          <w:highlight w:val="none"/>
        </w:rPr>
        <w:t>：</w:t>
      </w:r>
      <w:r>
        <w:rPr>
          <w:rFonts w:hint="eastAsia" w:cs="宋体"/>
          <w:color w:val="auto"/>
          <w:sz w:val="24"/>
          <w:szCs w:val="24"/>
          <w:highlight w:val="none"/>
          <w:u w:val="single"/>
          <w:lang w:eastAsia="zh-CN"/>
        </w:rPr>
        <w:t>2025年省淮河局水闸监测设施等维修改造（第4包）</w:t>
      </w:r>
      <w:r>
        <w:rPr>
          <w:rFonts w:hint="eastAsia" w:cs="宋体"/>
          <w:color w:val="auto"/>
          <w:sz w:val="24"/>
          <w:szCs w:val="24"/>
          <w:highlight w:val="none"/>
        </w:rPr>
        <w:t>。</w:t>
      </w:r>
    </w:p>
    <w:p w14:paraId="719116D2">
      <w:pPr>
        <w:snapToGrid w:val="0"/>
        <w:spacing w:line="360" w:lineRule="auto"/>
        <w:ind w:firstLine="470" w:firstLineChars="196"/>
        <w:rPr>
          <w:rFonts w:cs="宋体"/>
          <w:bCs/>
          <w:color w:val="auto"/>
          <w:sz w:val="24"/>
          <w:szCs w:val="24"/>
          <w:highlight w:val="none"/>
        </w:rPr>
      </w:pPr>
      <w:r>
        <w:rPr>
          <w:rFonts w:hint="eastAsia" w:cs="宋体"/>
          <w:bCs/>
          <w:color w:val="auto"/>
          <w:sz w:val="24"/>
          <w:szCs w:val="24"/>
          <w:highlight w:val="none"/>
        </w:rPr>
        <w:t>2. 工程地点：</w:t>
      </w:r>
      <w:r>
        <w:rPr>
          <w:rFonts w:hint="eastAsia" w:cs="宋体"/>
          <w:color w:val="auto"/>
          <w:sz w:val="24"/>
          <w:szCs w:val="24"/>
          <w:highlight w:val="none"/>
          <w:u w:val="single"/>
          <w:lang w:val="en-US" w:eastAsia="zh-CN"/>
        </w:rPr>
        <w:t>安徽省境内（采购人指定地点）</w:t>
      </w:r>
      <w:r>
        <w:rPr>
          <w:rFonts w:hint="eastAsia" w:cs="宋体"/>
          <w:color w:val="auto"/>
          <w:sz w:val="24"/>
          <w:szCs w:val="24"/>
          <w:highlight w:val="none"/>
        </w:rPr>
        <w:t>。</w:t>
      </w:r>
    </w:p>
    <w:p w14:paraId="36AF6E42">
      <w:pPr>
        <w:snapToGrid w:val="0"/>
        <w:spacing w:line="360" w:lineRule="auto"/>
        <w:ind w:firstLine="470" w:firstLineChars="196"/>
        <w:rPr>
          <w:rFonts w:hint="eastAsia" w:cs="宋体"/>
          <w:color w:val="auto"/>
          <w:sz w:val="24"/>
          <w:szCs w:val="24"/>
          <w:highlight w:val="none"/>
          <w:u w:val="single"/>
          <w:lang w:eastAsia="zh-CN"/>
        </w:rPr>
      </w:pPr>
      <w:r>
        <w:rPr>
          <w:rFonts w:hint="eastAsia" w:cs="宋体"/>
          <w:color w:val="auto"/>
          <w:sz w:val="24"/>
          <w:szCs w:val="24"/>
          <w:highlight w:val="none"/>
          <w:u w:val="none"/>
          <w:lang w:eastAsia="zh-CN"/>
        </w:rPr>
        <w:t>3. 工程立项批准文号：</w:t>
      </w:r>
      <w:r>
        <w:rPr>
          <w:rFonts w:hint="eastAsia" w:cs="宋体"/>
          <w:color w:val="auto"/>
          <w:sz w:val="24"/>
          <w:szCs w:val="24"/>
          <w:highlight w:val="none"/>
          <w:u w:val="single"/>
          <w:lang w:val="en-US" w:eastAsia="zh-CN"/>
        </w:rPr>
        <w:t>/</w:t>
      </w:r>
      <w:r>
        <w:rPr>
          <w:rFonts w:hint="eastAsia" w:cs="宋体"/>
          <w:color w:val="auto"/>
          <w:sz w:val="24"/>
          <w:szCs w:val="24"/>
          <w:highlight w:val="none"/>
          <w:u w:val="single"/>
          <w:lang w:eastAsia="zh-CN"/>
        </w:rPr>
        <w:t>。</w:t>
      </w:r>
    </w:p>
    <w:p w14:paraId="32B955A7">
      <w:pPr>
        <w:snapToGrid w:val="0"/>
        <w:spacing w:line="360" w:lineRule="auto"/>
        <w:ind w:firstLine="470" w:firstLineChars="196"/>
        <w:rPr>
          <w:rFonts w:hint="eastAsia" w:cs="宋体"/>
          <w:color w:val="auto"/>
          <w:sz w:val="24"/>
          <w:szCs w:val="24"/>
          <w:highlight w:val="none"/>
          <w:u w:val="single"/>
          <w:lang w:eastAsia="zh-CN"/>
        </w:rPr>
      </w:pPr>
      <w:r>
        <w:rPr>
          <w:rFonts w:hint="eastAsia" w:cs="宋体"/>
          <w:color w:val="auto"/>
          <w:sz w:val="24"/>
          <w:szCs w:val="24"/>
          <w:highlight w:val="none"/>
          <w:u w:val="none"/>
          <w:lang w:eastAsia="zh-CN"/>
        </w:rPr>
        <w:t>4. 资金来源：</w:t>
      </w:r>
      <w:r>
        <w:rPr>
          <w:rFonts w:hint="eastAsia" w:cs="宋体"/>
          <w:color w:val="auto"/>
          <w:sz w:val="24"/>
          <w:szCs w:val="24"/>
          <w:highlight w:val="none"/>
          <w:u w:val="single"/>
          <w:lang w:val="en-US" w:eastAsia="zh-CN"/>
        </w:rPr>
        <w:t>财政资金</w:t>
      </w:r>
      <w:r>
        <w:rPr>
          <w:rFonts w:hint="eastAsia" w:cs="宋体"/>
          <w:color w:val="auto"/>
          <w:sz w:val="24"/>
          <w:szCs w:val="24"/>
          <w:highlight w:val="none"/>
          <w:u w:val="single"/>
          <w:lang w:eastAsia="zh-CN"/>
        </w:rPr>
        <w:t>。</w:t>
      </w:r>
    </w:p>
    <w:p w14:paraId="77229CB7">
      <w:pPr>
        <w:snapToGrid w:val="0"/>
        <w:spacing w:line="360" w:lineRule="auto"/>
        <w:ind w:firstLine="470" w:firstLineChars="196"/>
        <w:rPr>
          <w:rFonts w:hint="eastAsia" w:cs="宋体"/>
          <w:color w:val="auto"/>
          <w:sz w:val="24"/>
          <w:szCs w:val="24"/>
          <w:highlight w:val="none"/>
          <w:u w:val="single"/>
          <w:lang w:eastAsia="zh-CN"/>
        </w:rPr>
      </w:pPr>
      <w:r>
        <w:rPr>
          <w:rFonts w:hint="eastAsia" w:cs="宋体"/>
          <w:color w:val="auto"/>
          <w:sz w:val="24"/>
          <w:szCs w:val="24"/>
          <w:highlight w:val="none"/>
          <w:u w:val="none"/>
          <w:lang w:eastAsia="zh-CN"/>
        </w:rPr>
        <w:t>5. 工程内容：</w:t>
      </w:r>
      <w:r>
        <w:rPr>
          <w:rFonts w:hint="eastAsia" w:cs="宋体"/>
          <w:color w:val="auto"/>
          <w:sz w:val="24"/>
          <w:szCs w:val="24"/>
          <w:highlight w:val="none"/>
          <w:u w:val="single"/>
          <w:lang w:val="en-US" w:eastAsia="zh-CN"/>
        </w:rPr>
        <w:t>工程量清单所有内容</w:t>
      </w:r>
      <w:r>
        <w:rPr>
          <w:rFonts w:hint="eastAsia" w:cs="宋体"/>
          <w:color w:val="auto"/>
          <w:sz w:val="24"/>
          <w:szCs w:val="24"/>
          <w:highlight w:val="none"/>
          <w:u w:val="single"/>
          <w:lang w:eastAsia="zh-CN"/>
        </w:rPr>
        <w:t>。</w:t>
      </w:r>
    </w:p>
    <w:p w14:paraId="689080B3">
      <w:pPr>
        <w:snapToGrid w:val="0"/>
        <w:spacing w:line="360" w:lineRule="auto"/>
        <w:ind w:firstLine="470" w:firstLineChars="196"/>
        <w:rPr>
          <w:rFonts w:hint="eastAsia" w:cs="宋体"/>
          <w:color w:val="auto"/>
          <w:sz w:val="24"/>
          <w:szCs w:val="24"/>
          <w:highlight w:val="none"/>
          <w:u w:val="single"/>
          <w:lang w:eastAsia="zh-CN"/>
        </w:rPr>
      </w:pPr>
      <w:r>
        <w:rPr>
          <w:rFonts w:hint="eastAsia" w:cs="宋体"/>
          <w:color w:val="auto"/>
          <w:sz w:val="24"/>
          <w:szCs w:val="24"/>
          <w:highlight w:val="none"/>
          <w:u w:val="none"/>
          <w:lang w:eastAsia="zh-CN"/>
        </w:rPr>
        <w:t>6. 工程承包范围：</w:t>
      </w:r>
      <w:bookmarkStart w:id="96" w:name="OLE_LINK1"/>
      <w:r>
        <w:rPr>
          <w:rFonts w:hint="eastAsia" w:cs="宋体"/>
          <w:color w:val="auto"/>
          <w:sz w:val="24"/>
          <w:szCs w:val="24"/>
          <w:highlight w:val="none"/>
          <w:u w:val="single"/>
          <w:lang w:val="en-US" w:eastAsia="zh-CN"/>
        </w:rPr>
        <w:t>工程量清单所有内容</w:t>
      </w:r>
      <w:bookmarkEnd w:id="96"/>
      <w:r>
        <w:rPr>
          <w:rFonts w:hint="eastAsia" w:cs="宋体"/>
          <w:color w:val="auto"/>
          <w:sz w:val="24"/>
          <w:szCs w:val="24"/>
          <w:highlight w:val="none"/>
          <w:u w:val="single"/>
          <w:lang w:eastAsia="zh-CN"/>
        </w:rPr>
        <w:t>。</w:t>
      </w:r>
    </w:p>
    <w:p w14:paraId="0E9ABC66">
      <w:pPr>
        <w:snapToGrid w:val="0"/>
        <w:spacing w:line="360" w:lineRule="auto"/>
        <w:ind w:firstLine="482" w:firstLineChars="200"/>
        <w:rPr>
          <w:rFonts w:cs="宋体"/>
          <w:b/>
          <w:color w:val="auto"/>
          <w:sz w:val="24"/>
          <w:szCs w:val="24"/>
          <w:highlight w:val="none"/>
        </w:rPr>
      </w:pPr>
      <w:bookmarkStart w:id="97" w:name="_Toc351203482"/>
      <w:r>
        <w:rPr>
          <w:rFonts w:hint="eastAsia" w:cs="宋体"/>
          <w:b/>
          <w:color w:val="auto"/>
          <w:sz w:val="24"/>
          <w:szCs w:val="24"/>
          <w:highlight w:val="none"/>
        </w:rPr>
        <w:t>二、合同工期</w:t>
      </w:r>
      <w:bookmarkEnd w:id="97"/>
    </w:p>
    <w:p w14:paraId="0CEDF8BD">
      <w:pPr>
        <w:snapToGrid w:val="0"/>
        <w:spacing w:line="360" w:lineRule="auto"/>
        <w:ind w:firstLine="459"/>
        <w:rPr>
          <w:rFonts w:cs="宋体"/>
          <w:color w:val="auto"/>
          <w:sz w:val="24"/>
          <w:szCs w:val="24"/>
          <w:highlight w:val="none"/>
        </w:rPr>
      </w:pPr>
      <w:r>
        <w:rPr>
          <w:rFonts w:hint="eastAsia" w:cs="宋体"/>
          <w:color w:val="auto"/>
          <w:sz w:val="24"/>
          <w:szCs w:val="24"/>
          <w:highlight w:val="none"/>
        </w:rPr>
        <w:t>计划开工日期：</w:t>
      </w:r>
      <w:r>
        <w:rPr>
          <w:rFonts w:hint="eastAsia" w:cs="宋体"/>
          <w:color w:val="auto"/>
          <w:sz w:val="24"/>
          <w:szCs w:val="24"/>
          <w:highlight w:val="none"/>
          <w:u w:val="single"/>
        </w:rPr>
        <w:t></w:t>
      </w:r>
      <w:r>
        <w:rPr>
          <w:rFonts w:hint="eastAsia" w:cs="宋体"/>
          <w:color w:val="auto"/>
          <w:sz w:val="24"/>
          <w:szCs w:val="24"/>
          <w:highlight w:val="none"/>
        </w:rPr>
        <w:t>年</w:t>
      </w:r>
      <w:r>
        <w:rPr>
          <w:rFonts w:hint="eastAsia" w:cs="宋体"/>
          <w:color w:val="auto"/>
          <w:sz w:val="24"/>
          <w:szCs w:val="24"/>
          <w:highlight w:val="none"/>
          <w:u w:val="single"/>
        </w:rPr>
        <w:t></w:t>
      </w:r>
      <w:r>
        <w:rPr>
          <w:rFonts w:hint="eastAsia" w:cs="宋体"/>
          <w:color w:val="auto"/>
          <w:sz w:val="24"/>
          <w:szCs w:val="24"/>
          <w:highlight w:val="none"/>
        </w:rPr>
        <w:t>月</w:t>
      </w:r>
      <w:r>
        <w:rPr>
          <w:rFonts w:hint="eastAsia" w:cs="宋体"/>
          <w:color w:val="auto"/>
          <w:sz w:val="24"/>
          <w:szCs w:val="24"/>
          <w:highlight w:val="none"/>
          <w:u w:val="single"/>
        </w:rPr>
        <w:t></w:t>
      </w:r>
      <w:r>
        <w:rPr>
          <w:rFonts w:hint="eastAsia" w:cs="宋体"/>
          <w:color w:val="auto"/>
          <w:sz w:val="24"/>
          <w:szCs w:val="24"/>
          <w:highlight w:val="none"/>
        </w:rPr>
        <w:t>日。</w:t>
      </w:r>
    </w:p>
    <w:p w14:paraId="1C84D9A8">
      <w:pPr>
        <w:snapToGrid w:val="0"/>
        <w:spacing w:line="360" w:lineRule="auto"/>
        <w:ind w:firstLine="459"/>
        <w:rPr>
          <w:rFonts w:cs="宋体"/>
          <w:color w:val="auto"/>
          <w:sz w:val="24"/>
          <w:szCs w:val="24"/>
          <w:highlight w:val="none"/>
        </w:rPr>
      </w:pPr>
      <w:r>
        <w:rPr>
          <w:rFonts w:hint="eastAsia" w:cs="宋体"/>
          <w:color w:val="auto"/>
          <w:sz w:val="24"/>
          <w:szCs w:val="24"/>
          <w:highlight w:val="none"/>
        </w:rPr>
        <w:t>计划竣工日期：</w:t>
      </w:r>
      <w:r>
        <w:rPr>
          <w:rFonts w:hint="eastAsia" w:cs="宋体"/>
          <w:color w:val="auto"/>
          <w:sz w:val="24"/>
          <w:szCs w:val="24"/>
          <w:highlight w:val="none"/>
          <w:u w:val="single"/>
        </w:rPr>
        <w:t></w:t>
      </w:r>
      <w:r>
        <w:rPr>
          <w:rFonts w:hint="eastAsia" w:cs="宋体"/>
          <w:color w:val="auto"/>
          <w:sz w:val="24"/>
          <w:szCs w:val="24"/>
          <w:highlight w:val="none"/>
        </w:rPr>
        <w:t>年</w:t>
      </w:r>
      <w:r>
        <w:rPr>
          <w:rFonts w:hint="eastAsia" w:cs="宋体"/>
          <w:color w:val="auto"/>
          <w:sz w:val="24"/>
          <w:szCs w:val="24"/>
          <w:highlight w:val="none"/>
          <w:u w:val="single"/>
        </w:rPr>
        <w:t></w:t>
      </w:r>
      <w:r>
        <w:rPr>
          <w:rFonts w:hint="eastAsia" w:cs="宋体"/>
          <w:color w:val="auto"/>
          <w:sz w:val="24"/>
          <w:szCs w:val="24"/>
          <w:highlight w:val="none"/>
        </w:rPr>
        <w:t>月</w:t>
      </w:r>
      <w:r>
        <w:rPr>
          <w:rFonts w:hint="eastAsia" w:cs="宋体"/>
          <w:color w:val="auto"/>
          <w:sz w:val="24"/>
          <w:szCs w:val="24"/>
          <w:highlight w:val="none"/>
          <w:u w:val="single"/>
        </w:rPr>
        <w:t></w:t>
      </w:r>
      <w:r>
        <w:rPr>
          <w:rFonts w:hint="eastAsia" w:cs="宋体"/>
          <w:color w:val="auto"/>
          <w:sz w:val="24"/>
          <w:szCs w:val="24"/>
          <w:highlight w:val="none"/>
        </w:rPr>
        <w:t>日。</w:t>
      </w:r>
    </w:p>
    <w:p w14:paraId="52CE8D75">
      <w:pPr>
        <w:spacing w:line="360" w:lineRule="auto"/>
        <w:ind w:firstLine="435"/>
        <w:rPr>
          <w:rFonts w:hint="eastAsia" w:cs="宋体"/>
          <w:color w:val="auto"/>
          <w:sz w:val="24"/>
          <w:szCs w:val="24"/>
          <w:highlight w:val="none"/>
        </w:rPr>
      </w:pPr>
      <w:r>
        <w:rPr>
          <w:rFonts w:hint="eastAsia" w:cs="宋体"/>
          <w:color w:val="auto"/>
          <w:sz w:val="24"/>
          <w:szCs w:val="24"/>
          <w:highlight w:val="none"/>
        </w:rPr>
        <w:t>工期总日历天数：</w:t>
      </w:r>
      <w:r>
        <w:rPr>
          <w:rFonts w:hint="eastAsia" w:cs="宋体"/>
          <w:color w:val="auto"/>
          <w:sz w:val="24"/>
          <w:szCs w:val="24"/>
          <w:highlight w:val="none"/>
          <w:u w:val="single"/>
        </w:rPr>
        <w:t></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rPr>
        <w:t></w:t>
      </w:r>
      <w:r>
        <w:rPr>
          <w:rFonts w:hint="eastAsia" w:cs="宋体"/>
          <w:color w:val="auto"/>
          <w:sz w:val="24"/>
          <w:szCs w:val="24"/>
          <w:highlight w:val="none"/>
        </w:rPr>
        <w:t>。工期总日历天数与根据前述计划开竣工日期计算的工期天数不一致的，以工期总日历天数为准。</w:t>
      </w:r>
    </w:p>
    <w:p w14:paraId="6473D03F">
      <w:pPr>
        <w:snapToGrid w:val="0"/>
        <w:spacing w:line="360" w:lineRule="auto"/>
        <w:ind w:firstLine="482" w:firstLineChars="200"/>
        <w:rPr>
          <w:rFonts w:cs="宋体"/>
          <w:b/>
          <w:color w:val="auto"/>
          <w:sz w:val="24"/>
          <w:szCs w:val="24"/>
          <w:highlight w:val="none"/>
        </w:rPr>
      </w:pPr>
      <w:bookmarkStart w:id="98" w:name="_Toc351203483"/>
      <w:r>
        <w:rPr>
          <w:rFonts w:hint="eastAsia" w:cs="宋体"/>
          <w:b/>
          <w:color w:val="auto"/>
          <w:sz w:val="24"/>
          <w:szCs w:val="24"/>
          <w:highlight w:val="none"/>
        </w:rPr>
        <w:t>三、质量标准</w:t>
      </w:r>
      <w:bookmarkEnd w:id="98"/>
    </w:p>
    <w:p w14:paraId="21324C8C">
      <w:pPr>
        <w:snapToGrid w:val="0"/>
        <w:spacing w:line="360" w:lineRule="auto"/>
        <w:ind w:firstLine="459"/>
        <w:rPr>
          <w:rFonts w:cs="宋体"/>
          <w:color w:val="auto"/>
          <w:sz w:val="24"/>
          <w:szCs w:val="24"/>
          <w:highlight w:val="none"/>
        </w:rPr>
      </w:pPr>
      <w:r>
        <w:rPr>
          <w:rFonts w:hint="eastAsia" w:cs="宋体"/>
          <w:color w:val="auto"/>
          <w:sz w:val="24"/>
          <w:szCs w:val="24"/>
          <w:highlight w:val="none"/>
        </w:rPr>
        <w:t>工程质量符合</w:t>
      </w:r>
      <w:r>
        <w:rPr>
          <w:rFonts w:hint="eastAsia" w:cs="宋体"/>
          <w:color w:val="auto"/>
          <w:sz w:val="24"/>
          <w:szCs w:val="24"/>
          <w:highlight w:val="none"/>
          <w:u w:val="single"/>
        </w:rPr>
        <w:t xml:space="preserve"> 合格 </w:t>
      </w:r>
      <w:r>
        <w:rPr>
          <w:rFonts w:hint="eastAsia" w:cs="宋体"/>
          <w:color w:val="auto"/>
          <w:sz w:val="24"/>
          <w:szCs w:val="24"/>
          <w:highlight w:val="none"/>
        </w:rPr>
        <w:t>标准。</w:t>
      </w:r>
    </w:p>
    <w:p w14:paraId="56316FFA">
      <w:pPr>
        <w:snapToGrid w:val="0"/>
        <w:spacing w:line="360" w:lineRule="auto"/>
        <w:ind w:firstLine="482" w:firstLineChars="200"/>
        <w:rPr>
          <w:rFonts w:cs="宋体"/>
          <w:b/>
          <w:color w:val="auto"/>
          <w:sz w:val="24"/>
          <w:szCs w:val="24"/>
          <w:highlight w:val="none"/>
        </w:rPr>
      </w:pPr>
      <w:bookmarkStart w:id="99" w:name="_Toc351203484"/>
      <w:r>
        <w:rPr>
          <w:rFonts w:hint="eastAsia" w:cs="宋体"/>
          <w:b/>
          <w:color w:val="auto"/>
          <w:sz w:val="24"/>
          <w:szCs w:val="24"/>
          <w:highlight w:val="none"/>
        </w:rPr>
        <w:t>四、签约合同价与合同价格形式</w:t>
      </w:r>
      <w:bookmarkEnd w:id="99"/>
    </w:p>
    <w:p w14:paraId="4F072554">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 签约合同价为：</w:t>
      </w:r>
    </w:p>
    <w:p w14:paraId="0644DF57">
      <w:pPr>
        <w:snapToGrid w:val="0"/>
        <w:spacing w:line="360" w:lineRule="auto"/>
        <w:ind w:firstLine="600" w:firstLineChars="250"/>
        <w:rPr>
          <w:rFonts w:cs="宋体"/>
          <w:color w:val="auto"/>
          <w:sz w:val="24"/>
          <w:szCs w:val="24"/>
          <w:highlight w:val="none"/>
        </w:rPr>
      </w:pPr>
      <w:r>
        <w:rPr>
          <w:rFonts w:hint="eastAsia" w:cs="宋体"/>
          <w:color w:val="auto"/>
          <w:sz w:val="24"/>
          <w:szCs w:val="24"/>
          <w:highlight w:val="none"/>
        </w:rPr>
        <w:t>人民币（大写）</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u w:val="single"/>
        </w:rPr>
        <w:t xml:space="preserve">            </w:t>
      </w:r>
      <w:r>
        <w:rPr>
          <w:rFonts w:hint="eastAsia" w:cs="宋体"/>
          <w:color w:val="auto"/>
          <w:sz w:val="24"/>
          <w:szCs w:val="24"/>
          <w:highlight w:val="none"/>
        </w:rPr>
        <w:t>元）；</w:t>
      </w:r>
    </w:p>
    <w:p w14:paraId="03E59EA9">
      <w:pPr>
        <w:numPr>
          <w:ilvl w:val="0"/>
          <w:numId w:val="0"/>
        </w:numPr>
        <w:snapToGrid w:val="0"/>
        <w:spacing w:line="360" w:lineRule="auto"/>
        <w:ind w:left="0" w:leftChars="0" w:firstLine="480" w:firstLineChars="200"/>
        <w:rPr>
          <w:rFonts w:hint="eastAsia" w:cs="宋体"/>
          <w:color w:val="auto"/>
          <w:sz w:val="24"/>
          <w:szCs w:val="24"/>
          <w:highlight w:val="none"/>
        </w:rPr>
      </w:pPr>
      <w:r>
        <w:rPr>
          <w:rFonts w:hint="eastAsia" w:cs="宋体"/>
          <w:color w:val="auto"/>
          <w:sz w:val="24"/>
          <w:szCs w:val="24"/>
          <w:highlight w:val="none"/>
          <w:lang w:val="en-US" w:eastAsia="zh-CN"/>
        </w:rPr>
        <w:t>2.</w:t>
      </w:r>
      <w:r>
        <w:rPr>
          <w:rFonts w:hint="eastAsia" w:cs="宋体"/>
          <w:color w:val="auto"/>
          <w:sz w:val="24"/>
          <w:szCs w:val="24"/>
          <w:highlight w:val="none"/>
        </w:rPr>
        <w:t>合同价格形式：</w:t>
      </w:r>
      <w:r>
        <w:rPr>
          <w:rFonts w:hint="eastAsia" w:cs="宋体"/>
          <w:color w:val="auto"/>
          <w:sz w:val="24"/>
          <w:szCs w:val="24"/>
          <w:highlight w:val="none"/>
          <w:u w:val="single"/>
        </w:rPr>
        <w:t>（单价合同）</w:t>
      </w:r>
      <w:r>
        <w:rPr>
          <w:rFonts w:hint="eastAsia" w:cs="宋体"/>
          <w:color w:val="auto"/>
          <w:sz w:val="24"/>
          <w:szCs w:val="24"/>
          <w:highlight w:val="none"/>
        </w:rPr>
        <w:t>。</w:t>
      </w:r>
    </w:p>
    <w:p w14:paraId="59A661C0">
      <w:pPr>
        <w:adjustRightInd w:val="0"/>
        <w:snapToGrid w:val="0"/>
        <w:spacing w:line="360" w:lineRule="auto"/>
        <w:ind w:firstLine="480" w:firstLineChars="200"/>
        <w:rPr>
          <w:rFonts w:hint="eastAsia" w:ascii="宋体" w:hAnsi="宋体" w:eastAsia="宋体" w:cs="宋体"/>
          <w:b w:val="0"/>
          <w:bCs/>
          <w:color w:val="auto"/>
          <w:sz w:val="24"/>
          <w:szCs w:val="24"/>
          <w:highlight w:val="none"/>
        </w:rPr>
      </w:pPr>
      <w:bookmarkStart w:id="100" w:name="_Toc351203485"/>
      <w:r>
        <w:rPr>
          <w:rFonts w:hint="eastAsia" w:ascii="宋体" w:hAnsi="宋体" w:eastAsia="宋体" w:cs="宋体"/>
          <w:b w:val="0"/>
          <w:bCs/>
          <w:color w:val="auto"/>
          <w:sz w:val="24"/>
          <w:szCs w:val="24"/>
          <w:highlight w:val="none"/>
        </w:rPr>
        <w:t>3.</w:t>
      </w:r>
      <w:r>
        <w:rPr>
          <w:rFonts w:hint="eastAsia" w:cs="宋体"/>
          <w:b w:val="0"/>
          <w:bCs/>
          <w:color w:val="auto"/>
          <w:sz w:val="24"/>
          <w:szCs w:val="24"/>
          <w:highlight w:val="none"/>
          <w:lang w:val="en-US" w:eastAsia="zh-CN"/>
        </w:rPr>
        <w:t>付款方式</w:t>
      </w:r>
      <w:r>
        <w:rPr>
          <w:rFonts w:hint="eastAsia" w:ascii="宋体" w:hAnsi="宋体" w:eastAsia="宋体" w:cs="宋体"/>
          <w:b w:val="0"/>
          <w:bCs/>
          <w:color w:val="auto"/>
          <w:sz w:val="24"/>
          <w:szCs w:val="24"/>
          <w:highlight w:val="none"/>
        </w:rPr>
        <w:t>：</w:t>
      </w:r>
    </w:p>
    <w:p w14:paraId="40E882C8">
      <w:pPr>
        <w:snapToGrid w:val="0"/>
        <w:spacing w:line="360" w:lineRule="auto"/>
        <w:ind w:firstLine="480" w:firstLineChars="200"/>
        <w:jc w:val="left"/>
        <w:rPr>
          <w:rFonts w:hint="eastAsia"/>
          <w:color w:val="auto"/>
          <w:sz w:val="24"/>
          <w:szCs w:val="24"/>
          <w:highlight w:val="none"/>
          <w:u w:val="none"/>
        </w:rPr>
      </w:pPr>
      <w:r>
        <w:rPr>
          <w:rFonts w:hint="eastAsia" w:cs="宋体"/>
          <w:b w:val="0"/>
          <w:bCs/>
          <w:color w:val="auto"/>
          <w:sz w:val="24"/>
          <w:szCs w:val="24"/>
          <w:highlight w:val="none"/>
          <w:u w:val="none"/>
          <w:lang w:val="en-US" w:eastAsia="zh-CN"/>
        </w:rPr>
        <w:t>①</w:t>
      </w:r>
      <w:r>
        <w:rPr>
          <w:rFonts w:hint="eastAsia" w:ascii="宋体" w:hAnsi="宋体" w:eastAsia="宋体" w:cs="宋体"/>
          <w:b w:val="0"/>
          <w:bCs/>
          <w:color w:val="auto"/>
          <w:sz w:val="24"/>
          <w:szCs w:val="24"/>
          <w:highlight w:val="none"/>
          <w:u w:val="none"/>
        </w:rPr>
        <w:t>合同签订后，经</w:t>
      </w:r>
      <w:r>
        <w:rPr>
          <w:rFonts w:hint="eastAsia"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申请</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合同甲方审核确认后</w:t>
      </w:r>
      <w:r>
        <w:rPr>
          <w:rFonts w:hint="eastAsia" w:ascii="宋体" w:hAnsi="宋体" w:eastAsia="宋体" w:cs="宋体"/>
          <w:b w:val="0"/>
          <w:bCs/>
          <w:color w:val="auto"/>
          <w:sz w:val="24"/>
          <w:szCs w:val="24"/>
          <w:highlight w:val="none"/>
          <w:u w:val="none"/>
        </w:rPr>
        <w:t>支付</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签约合同价的40%</w:t>
      </w:r>
      <w:r>
        <w:rPr>
          <w:rFonts w:hint="eastAsia" w:cs="宋体"/>
          <w:b w:val="0"/>
          <w:bCs/>
          <w:color w:val="auto"/>
          <w:sz w:val="24"/>
          <w:szCs w:val="24"/>
          <w:highlight w:val="none"/>
          <w:u w:val="none"/>
          <w:lang w:val="en-US" w:eastAsia="zh-CN"/>
        </w:rPr>
        <w:t>作为预付款</w:t>
      </w:r>
      <w:r>
        <w:rPr>
          <w:rFonts w:hint="eastAsia" w:ascii="宋体" w:hAnsi="宋体" w:eastAsia="宋体" w:cs="宋体"/>
          <w:b w:val="0"/>
          <w:bCs/>
          <w:color w:val="auto"/>
          <w:sz w:val="24"/>
          <w:szCs w:val="24"/>
          <w:highlight w:val="none"/>
          <w:u w:val="none"/>
        </w:rPr>
        <w:t>（</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须提交等额预付款担保）</w:t>
      </w:r>
      <w:r>
        <w:rPr>
          <w:rFonts w:hint="eastAsia"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按工程进度支付，完工验收并经结算审核后支付至结算价款的100%，并扣回所有预付款。</w:t>
      </w:r>
    </w:p>
    <w:p w14:paraId="21EABB87">
      <w:pPr>
        <w:snapToGrid w:val="0"/>
        <w:spacing w:line="360" w:lineRule="auto"/>
        <w:ind w:firstLine="480" w:firstLineChars="200"/>
        <w:rPr>
          <w:rFonts w:hint="eastAsia" w:ascii="宋体" w:hAnsi="宋体" w:eastAsia="宋体" w:cs="宋体"/>
          <w:b/>
          <w:bCs w:val="0"/>
          <w:color w:val="auto"/>
          <w:sz w:val="24"/>
          <w:szCs w:val="24"/>
          <w:highlight w:val="none"/>
          <w:u w:val="single"/>
          <w:lang w:eastAsia="zh-CN"/>
        </w:rPr>
      </w:pPr>
      <w:r>
        <w:rPr>
          <w:rFonts w:hint="eastAsia" w:cs="宋体"/>
          <w:b w:val="0"/>
          <w:bCs/>
          <w:color w:val="auto"/>
          <w:sz w:val="24"/>
          <w:szCs w:val="24"/>
          <w:highlight w:val="none"/>
          <w:u w:val="none"/>
          <w:lang w:val="en-US" w:eastAsia="zh-CN"/>
        </w:rPr>
        <w:t>②</w:t>
      </w:r>
      <w:r>
        <w:rPr>
          <w:rFonts w:hint="eastAsia" w:ascii="宋体" w:hAnsi="宋体" w:eastAsia="宋体" w:cs="宋体"/>
          <w:b w:val="0"/>
          <w:bCs/>
          <w:color w:val="auto"/>
          <w:sz w:val="24"/>
          <w:szCs w:val="24"/>
          <w:highlight w:val="none"/>
          <w:u w:val="none"/>
        </w:rPr>
        <w:t>在签订合同时，</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书面明确表示无需预付款，即</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无需提供预付款担保，按皖财购〔2022〕556号规定，合同甲方可不再支付预付款</w:t>
      </w:r>
      <w:r>
        <w:rPr>
          <w:rFonts w:hint="eastAsia" w:ascii="宋体" w:hAnsi="宋体" w:eastAsia="宋体"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按工程进度支付，完工验收并经结算审核后支付至结算价款的100%。</w:t>
      </w:r>
    </w:p>
    <w:p w14:paraId="3310AFDD">
      <w:pPr>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五、</w:t>
      </w:r>
      <w:bookmarkEnd w:id="100"/>
      <w:r>
        <w:rPr>
          <w:rFonts w:hint="eastAsia" w:cs="宋体"/>
          <w:b/>
          <w:color w:val="auto"/>
          <w:sz w:val="24"/>
          <w:szCs w:val="24"/>
          <w:highlight w:val="none"/>
        </w:rPr>
        <w:t>项目经理</w:t>
      </w:r>
    </w:p>
    <w:p w14:paraId="0827D859">
      <w:pP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项目经理：</w:t>
      </w:r>
      <w:r>
        <w:rPr>
          <w:rFonts w:hint="eastAsia" w:cs="宋体"/>
          <w:color w:val="auto"/>
          <w:sz w:val="24"/>
          <w:szCs w:val="24"/>
          <w:highlight w:val="none"/>
          <w:u w:val="single"/>
        </w:rPr>
        <w:t>                     </w:t>
      </w:r>
      <w:r>
        <w:rPr>
          <w:rFonts w:hint="eastAsia" w:cs="宋体"/>
          <w:color w:val="auto"/>
          <w:sz w:val="24"/>
          <w:szCs w:val="24"/>
          <w:highlight w:val="none"/>
        </w:rPr>
        <w:t>。</w:t>
      </w:r>
    </w:p>
    <w:p w14:paraId="57455C14">
      <w:pPr>
        <w:snapToGrid w:val="0"/>
        <w:spacing w:line="360" w:lineRule="auto"/>
        <w:ind w:firstLine="482" w:firstLineChars="200"/>
        <w:rPr>
          <w:rFonts w:cs="宋体"/>
          <w:b/>
          <w:color w:val="auto"/>
          <w:sz w:val="24"/>
          <w:szCs w:val="24"/>
          <w:highlight w:val="none"/>
        </w:rPr>
      </w:pPr>
      <w:bookmarkStart w:id="101" w:name="_Toc351203486"/>
      <w:r>
        <w:rPr>
          <w:rFonts w:hint="eastAsia" w:cs="宋体"/>
          <w:b/>
          <w:color w:val="auto"/>
          <w:sz w:val="24"/>
          <w:szCs w:val="24"/>
          <w:highlight w:val="none"/>
        </w:rPr>
        <w:t>六、合同文件构成</w:t>
      </w:r>
      <w:bookmarkEnd w:id="101"/>
    </w:p>
    <w:p w14:paraId="4A94E6DC">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本协议书与下列文件一起构成合同文件：</w:t>
      </w:r>
    </w:p>
    <w:p w14:paraId="5A264F90">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val="en-US" w:eastAsia="zh-CN"/>
        </w:rPr>
        <w:t>成交</w:t>
      </w:r>
      <w:r>
        <w:rPr>
          <w:rFonts w:hint="eastAsia" w:cs="宋体"/>
          <w:color w:val="auto"/>
          <w:sz w:val="24"/>
          <w:szCs w:val="24"/>
          <w:highlight w:val="none"/>
        </w:rPr>
        <w:t>通知书（如果有）；</w:t>
      </w:r>
    </w:p>
    <w:p w14:paraId="4B1E4850">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val="en-US" w:eastAsia="zh-CN"/>
        </w:rPr>
        <w:t>磋商响应函及最后承诺报价表</w:t>
      </w:r>
      <w:r>
        <w:rPr>
          <w:rFonts w:hint="eastAsia" w:cs="宋体"/>
          <w:color w:val="auto"/>
          <w:sz w:val="24"/>
          <w:szCs w:val="24"/>
          <w:highlight w:val="none"/>
        </w:rPr>
        <w:t xml:space="preserve">（如果有）； </w:t>
      </w:r>
    </w:p>
    <w:p w14:paraId="51BB7E1F">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（3）专用合同条款及其附件；</w:t>
      </w:r>
    </w:p>
    <w:p w14:paraId="2CADB5A4">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（4）通用合同条款；</w:t>
      </w:r>
    </w:p>
    <w:p w14:paraId="1BD9C5BA">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（5）技术标准和要求；</w:t>
      </w:r>
    </w:p>
    <w:p w14:paraId="0DEC5CEA">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（6）图纸（如果有）；</w:t>
      </w:r>
    </w:p>
    <w:p w14:paraId="3CA3EE0C">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（7）已标价工程量清单或预算书（如果有）；</w:t>
      </w:r>
    </w:p>
    <w:p w14:paraId="78528961">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（8）其他合同文件。</w:t>
      </w:r>
    </w:p>
    <w:p w14:paraId="6970F5CA">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在合同订立及履行过程中形成的与合同有关的文件均构成合同文件组成部分。</w:t>
      </w:r>
    </w:p>
    <w:p w14:paraId="15BB11B7">
      <w:pPr>
        <w:autoSpaceDE w:val="0"/>
        <w:autoSpaceDN w:val="0"/>
        <w:adjustRightInd w:val="0"/>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D1ACA4C">
      <w:pPr>
        <w:snapToGrid w:val="0"/>
        <w:spacing w:line="360" w:lineRule="auto"/>
        <w:ind w:firstLine="482" w:firstLineChars="200"/>
        <w:rPr>
          <w:rFonts w:cs="宋体"/>
          <w:b/>
          <w:color w:val="auto"/>
          <w:sz w:val="24"/>
          <w:szCs w:val="24"/>
          <w:highlight w:val="none"/>
        </w:rPr>
      </w:pPr>
      <w:bookmarkStart w:id="102" w:name="_Toc351203487"/>
      <w:r>
        <w:rPr>
          <w:rFonts w:hint="eastAsia" w:cs="宋体"/>
          <w:b/>
          <w:color w:val="auto"/>
          <w:sz w:val="24"/>
          <w:szCs w:val="24"/>
          <w:highlight w:val="none"/>
        </w:rPr>
        <w:t>七、承诺</w:t>
      </w:r>
      <w:bookmarkEnd w:id="102"/>
    </w:p>
    <w:p w14:paraId="7ABD52F4">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 xml:space="preserve">1. </w:t>
      </w:r>
      <w:r>
        <w:rPr>
          <w:rFonts w:hint="eastAsia" w:cs="宋体"/>
          <w:bCs/>
          <w:color w:val="auto"/>
          <w:sz w:val="24"/>
          <w:szCs w:val="24"/>
          <w:highlight w:val="none"/>
          <w:lang w:eastAsia="zh-CN"/>
        </w:rPr>
        <w:t>甲方</w:t>
      </w:r>
      <w:r>
        <w:rPr>
          <w:rFonts w:hint="eastAsia" w:cs="宋体"/>
          <w:bCs/>
          <w:color w:val="auto"/>
          <w:sz w:val="24"/>
          <w:szCs w:val="24"/>
          <w:highlight w:val="none"/>
        </w:rPr>
        <w:t>承诺按照法律规定履行项目审批手续、筹集工程建设资金并按照合同约定的期限和方式支付合同价款。</w:t>
      </w:r>
    </w:p>
    <w:p w14:paraId="5F0CB798">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 xml:space="preserve">2. </w:t>
      </w:r>
      <w:r>
        <w:rPr>
          <w:rFonts w:hint="eastAsia" w:cs="宋体"/>
          <w:bCs/>
          <w:color w:val="auto"/>
          <w:sz w:val="24"/>
          <w:szCs w:val="24"/>
          <w:highlight w:val="none"/>
          <w:lang w:eastAsia="zh-CN"/>
        </w:rPr>
        <w:t>乙方</w:t>
      </w:r>
      <w:r>
        <w:rPr>
          <w:rFonts w:hint="eastAsia" w:cs="宋体"/>
          <w:bCs/>
          <w:color w:val="auto"/>
          <w:sz w:val="24"/>
          <w:szCs w:val="24"/>
          <w:highlight w:val="none"/>
        </w:rPr>
        <w:t>承诺按照法律规定及合同约定组织完成工程施工，确保工程质量和安全，不进行转包及违法分包，并在缺陷责任期及保修期内承担相应的工程维修责任。</w:t>
      </w:r>
    </w:p>
    <w:p w14:paraId="170C0B76">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 xml:space="preserve">3. </w:t>
      </w:r>
      <w:r>
        <w:rPr>
          <w:rFonts w:hint="eastAsia" w:cs="宋体"/>
          <w:bCs/>
          <w:color w:val="auto"/>
          <w:sz w:val="24"/>
          <w:szCs w:val="24"/>
          <w:highlight w:val="none"/>
          <w:lang w:eastAsia="zh-CN"/>
        </w:rPr>
        <w:t>甲方</w:t>
      </w:r>
      <w:r>
        <w:rPr>
          <w:rFonts w:hint="eastAsia" w:cs="宋体"/>
          <w:bCs/>
          <w:color w:val="auto"/>
          <w:sz w:val="24"/>
          <w:szCs w:val="24"/>
          <w:highlight w:val="none"/>
        </w:rPr>
        <w:t>和</w:t>
      </w:r>
      <w:r>
        <w:rPr>
          <w:rFonts w:hint="eastAsia" w:cs="宋体"/>
          <w:bCs/>
          <w:color w:val="auto"/>
          <w:sz w:val="24"/>
          <w:szCs w:val="24"/>
          <w:highlight w:val="none"/>
          <w:lang w:eastAsia="zh-CN"/>
        </w:rPr>
        <w:t>乙方</w:t>
      </w:r>
      <w:r>
        <w:rPr>
          <w:rFonts w:hint="eastAsia" w:cs="宋体"/>
          <w:bCs/>
          <w:color w:val="auto"/>
          <w:sz w:val="24"/>
          <w:szCs w:val="24"/>
          <w:highlight w:val="none"/>
        </w:rPr>
        <w:t>通过招投标形式签订合同的，双方理解并承诺不再就同一工程另行签订与合同实质性内容相背离的协议。</w:t>
      </w:r>
    </w:p>
    <w:p w14:paraId="2DAE2905">
      <w:pPr>
        <w:snapToGrid w:val="0"/>
        <w:spacing w:line="360" w:lineRule="auto"/>
        <w:ind w:firstLine="482" w:firstLineChars="200"/>
        <w:rPr>
          <w:rFonts w:cs="宋体"/>
          <w:b/>
          <w:color w:val="auto"/>
          <w:sz w:val="24"/>
          <w:szCs w:val="24"/>
          <w:highlight w:val="none"/>
        </w:rPr>
      </w:pPr>
      <w:bookmarkStart w:id="103" w:name="_Toc351203488"/>
      <w:r>
        <w:rPr>
          <w:rFonts w:hint="eastAsia" w:cs="宋体"/>
          <w:b/>
          <w:color w:val="auto"/>
          <w:sz w:val="24"/>
          <w:szCs w:val="24"/>
          <w:highlight w:val="none"/>
        </w:rPr>
        <w:t>八、词语含义</w:t>
      </w:r>
      <w:bookmarkEnd w:id="103"/>
    </w:p>
    <w:p w14:paraId="3914FF27">
      <w:pPr>
        <w:snapToGrid w:val="0"/>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本协议书中词语含义与第二部分通用合同条款中赋予的含义相同。</w:t>
      </w:r>
    </w:p>
    <w:p w14:paraId="4B858B85">
      <w:pPr>
        <w:numPr>
          <w:ilvl w:val="0"/>
          <w:numId w:val="0"/>
        </w:numPr>
        <w:snapToGrid w:val="0"/>
        <w:spacing w:line="360" w:lineRule="auto"/>
        <w:ind w:firstLine="482" w:firstLineChars="200"/>
        <w:rPr>
          <w:rFonts w:hint="eastAsia" w:cs="宋体"/>
          <w:b/>
          <w:color w:val="auto"/>
          <w:sz w:val="24"/>
          <w:szCs w:val="24"/>
          <w:highlight w:val="none"/>
        </w:rPr>
      </w:pPr>
      <w:r>
        <w:rPr>
          <w:rFonts w:hint="eastAsia" w:ascii="宋体" w:hAnsi="宋体" w:eastAsia="宋体" w:cs="宋体"/>
          <w:b/>
          <w:color w:val="auto"/>
          <w:sz w:val="24"/>
          <w:szCs w:val="24"/>
          <w:highlight w:val="none"/>
          <w:lang w:val="en-US" w:eastAsia="zh-CN" w:bidi="ar-SA"/>
        </w:rPr>
        <w:t>九、</w:t>
      </w:r>
      <w:r>
        <w:rPr>
          <w:rFonts w:hint="eastAsia" w:cs="宋体"/>
          <w:b/>
          <w:color w:val="auto"/>
          <w:sz w:val="24"/>
          <w:szCs w:val="24"/>
          <w:highlight w:val="none"/>
        </w:rPr>
        <w:t>甲方责任义务</w:t>
      </w:r>
    </w:p>
    <w:p w14:paraId="4B0522D1">
      <w:pPr>
        <w:numPr>
          <w:ilvl w:val="0"/>
          <w:numId w:val="0"/>
        </w:numPr>
        <w:snapToGrid w:val="0"/>
        <w:spacing w:line="360" w:lineRule="auto"/>
        <w:ind w:firstLine="480" w:firstLineChars="200"/>
        <w:rPr>
          <w:rFonts w:hint="eastAsia" w:cs="宋体"/>
          <w:b w:val="0"/>
          <w:bCs/>
          <w:color w:val="auto"/>
          <w:sz w:val="24"/>
          <w:szCs w:val="24"/>
          <w:highlight w:val="none"/>
        </w:rPr>
      </w:pPr>
      <w:r>
        <w:rPr>
          <w:rFonts w:hint="eastAsia" w:cs="宋体"/>
          <w:b w:val="0"/>
          <w:bCs/>
          <w:color w:val="auto"/>
          <w:sz w:val="24"/>
          <w:szCs w:val="24"/>
          <w:highlight w:val="none"/>
        </w:rPr>
        <w:t>1.甲方承诺按照合同约定的期限和方式支付合同价款。</w:t>
      </w:r>
    </w:p>
    <w:p w14:paraId="6917F1EB">
      <w:pPr>
        <w:snapToGrid w:val="0"/>
        <w:spacing w:line="360" w:lineRule="auto"/>
        <w:ind w:firstLine="480" w:firstLineChars="200"/>
        <w:rPr>
          <w:rFonts w:hint="eastAsia" w:cs="宋体"/>
          <w:b w:val="0"/>
          <w:bCs/>
          <w:color w:val="auto"/>
          <w:sz w:val="24"/>
          <w:szCs w:val="24"/>
          <w:highlight w:val="none"/>
        </w:rPr>
      </w:pPr>
      <w:r>
        <w:rPr>
          <w:rFonts w:hint="eastAsia" w:cs="宋体"/>
          <w:b w:val="0"/>
          <w:bCs/>
          <w:color w:val="auto"/>
          <w:sz w:val="24"/>
          <w:szCs w:val="24"/>
          <w:highlight w:val="none"/>
          <w:lang w:val="en-US" w:eastAsia="zh-CN"/>
        </w:rPr>
        <w:t>2.</w:t>
      </w:r>
      <w:r>
        <w:rPr>
          <w:rFonts w:hint="eastAsia" w:cs="宋体"/>
          <w:b w:val="0"/>
          <w:bCs/>
          <w:color w:val="auto"/>
          <w:sz w:val="24"/>
          <w:szCs w:val="24"/>
          <w:highlight w:val="none"/>
        </w:rPr>
        <w:t>甲方对乙方施工安全具有监督、检查和指导的权利。</w:t>
      </w:r>
    </w:p>
    <w:p w14:paraId="74AA0027">
      <w:pPr>
        <w:snapToGrid w:val="0"/>
        <w:spacing w:line="360" w:lineRule="auto"/>
        <w:ind w:firstLine="482" w:firstLineChars="200"/>
        <w:rPr>
          <w:rFonts w:hint="eastAsia" w:cs="宋体"/>
          <w:b/>
          <w:color w:val="auto"/>
          <w:sz w:val="24"/>
          <w:szCs w:val="24"/>
          <w:highlight w:val="none"/>
        </w:rPr>
      </w:pPr>
      <w:r>
        <w:rPr>
          <w:rFonts w:hint="eastAsia" w:cs="宋体"/>
          <w:b/>
          <w:color w:val="auto"/>
          <w:sz w:val="24"/>
          <w:szCs w:val="24"/>
          <w:highlight w:val="none"/>
        </w:rPr>
        <w:t>十、乙方责任义务</w:t>
      </w:r>
    </w:p>
    <w:p w14:paraId="6B1B4263">
      <w:pPr>
        <w:snapToGrid w:val="0"/>
        <w:spacing w:line="360" w:lineRule="auto"/>
        <w:ind w:firstLine="480" w:firstLineChars="200"/>
        <w:rPr>
          <w:rFonts w:hint="eastAsia" w:cs="宋体"/>
          <w:b w:val="0"/>
          <w:bCs/>
          <w:color w:val="auto"/>
          <w:sz w:val="24"/>
          <w:szCs w:val="24"/>
          <w:highlight w:val="none"/>
        </w:rPr>
      </w:pPr>
      <w:r>
        <w:rPr>
          <w:rFonts w:hint="eastAsia" w:cs="宋体"/>
          <w:b w:val="0"/>
          <w:bCs/>
          <w:color w:val="auto"/>
          <w:sz w:val="24"/>
          <w:szCs w:val="24"/>
          <w:highlight w:val="none"/>
        </w:rPr>
        <w:t>1.乙方在施工过程中，应加强人员管理，确保人员工作安全，防范安全生产事故，乙方在履行本合同过程中发生的任何工伤或意外伤亡等，均由乙方负责处理并承担全部费用；若因此给发包方或第三方造成损失，由乙方予以全额赔偿。</w:t>
      </w:r>
    </w:p>
    <w:p w14:paraId="1A420B99">
      <w:pPr>
        <w:snapToGrid w:val="0"/>
        <w:spacing w:line="360" w:lineRule="auto"/>
        <w:ind w:firstLine="480" w:firstLineChars="200"/>
        <w:rPr>
          <w:rFonts w:hint="eastAsia" w:cs="宋体"/>
          <w:b w:val="0"/>
          <w:bCs/>
          <w:color w:val="auto"/>
          <w:sz w:val="24"/>
          <w:szCs w:val="24"/>
          <w:highlight w:val="none"/>
        </w:rPr>
      </w:pPr>
      <w:r>
        <w:rPr>
          <w:rFonts w:hint="eastAsia" w:cs="宋体"/>
          <w:b w:val="0"/>
          <w:bCs/>
          <w:color w:val="auto"/>
          <w:sz w:val="24"/>
          <w:szCs w:val="24"/>
          <w:highlight w:val="none"/>
        </w:rPr>
        <w:t>2.本项目所有从业人员购买以下保险（二者任选其一）：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val="0"/>
          <w:bCs/>
          <w:color w:val="auto"/>
          <w:sz w:val="24"/>
          <w:szCs w:val="24"/>
          <w:highlight w:val="none"/>
        </w:rPr>
        <w:t>，其保险费已包含在签约合同价中。</w:t>
      </w:r>
    </w:p>
    <w:p w14:paraId="2CCA078C">
      <w:pPr>
        <w:snapToGrid w:val="0"/>
        <w:spacing w:line="360" w:lineRule="auto"/>
        <w:ind w:left="240" w:leftChars="120" w:firstLine="240" w:firstLineChars="100"/>
        <w:rPr>
          <w:rFonts w:hint="eastAsia" w:cs="宋体"/>
          <w:b w:val="0"/>
          <w:bCs/>
          <w:color w:val="auto"/>
          <w:sz w:val="24"/>
          <w:szCs w:val="24"/>
          <w:highlight w:val="none"/>
        </w:rPr>
      </w:pPr>
      <w:r>
        <w:rPr>
          <w:rFonts w:hint="eastAsia" w:cs="宋体"/>
          <w:b w:val="0"/>
          <w:bCs/>
          <w:color w:val="auto"/>
          <w:sz w:val="24"/>
          <w:szCs w:val="24"/>
          <w:highlight w:val="none"/>
        </w:rPr>
        <w:t>3</w:t>
      </w:r>
      <w:r>
        <w:rPr>
          <w:rFonts w:hint="eastAsia" w:cs="宋体"/>
          <w:b w:val="0"/>
          <w:bCs/>
          <w:color w:val="auto"/>
          <w:sz w:val="24"/>
          <w:szCs w:val="24"/>
          <w:highlight w:val="none"/>
          <w:lang w:val="en-US" w:eastAsia="zh-CN"/>
        </w:rPr>
        <w:t>.</w:t>
      </w:r>
      <w:r>
        <w:rPr>
          <w:rFonts w:hint="eastAsia" w:cs="宋体"/>
          <w:b w:val="0"/>
          <w:bCs/>
          <w:color w:val="auto"/>
          <w:sz w:val="24"/>
          <w:szCs w:val="24"/>
          <w:highlight w:val="none"/>
        </w:rPr>
        <w:t>安全承诺</w:t>
      </w:r>
      <w:r>
        <w:rPr>
          <w:rFonts w:hint="eastAsia" w:cs="宋体"/>
          <w:b w:val="0"/>
          <w:bCs/>
          <w:color w:val="auto"/>
          <w:sz w:val="24"/>
          <w:szCs w:val="24"/>
          <w:highlight w:val="none"/>
          <w:lang w:val="en-US" w:eastAsia="zh-CN"/>
        </w:rPr>
        <w:t>:</w:t>
      </w:r>
      <w:r>
        <w:rPr>
          <w:rFonts w:hint="eastAsia" w:cs="宋体"/>
          <w:b w:val="0"/>
          <w:bCs/>
          <w:color w:val="auto"/>
          <w:sz w:val="24"/>
          <w:szCs w:val="24"/>
          <w:highlight w:val="none"/>
        </w:rPr>
        <w:t>乙方承诺，作业过程中如出现作业人员未有效佩戴现场安全防护</w:t>
      </w:r>
      <w:r>
        <w:rPr>
          <w:rFonts w:hint="eastAsia" w:cs="宋体"/>
          <w:b w:val="0"/>
          <w:bCs/>
          <w:color w:val="auto"/>
          <w:sz w:val="24"/>
          <w:szCs w:val="24"/>
          <w:highlight w:val="none"/>
          <w:lang w:eastAsia="zh-CN"/>
        </w:rPr>
        <w:t>必需的</w:t>
      </w:r>
      <w:r>
        <w:rPr>
          <w:rFonts w:hint="eastAsia" w:cs="宋体"/>
          <w:b w:val="0"/>
          <w:bCs/>
          <w:color w:val="auto"/>
          <w:sz w:val="24"/>
          <w:szCs w:val="24"/>
          <w:highlight w:val="none"/>
        </w:rPr>
        <w:t>安全帽、安全绳、救生衣以及其他</w:t>
      </w:r>
      <w:r>
        <w:rPr>
          <w:rFonts w:hint="eastAsia" w:cs="宋体"/>
          <w:b w:val="0"/>
          <w:bCs/>
          <w:color w:val="auto"/>
          <w:sz w:val="24"/>
          <w:szCs w:val="24"/>
          <w:highlight w:val="none"/>
          <w:lang w:eastAsia="zh-CN"/>
        </w:rPr>
        <w:t>必需的</w:t>
      </w:r>
      <w:r>
        <w:rPr>
          <w:rFonts w:hint="eastAsia" w:cs="宋体"/>
          <w:b w:val="0"/>
          <w:bCs/>
          <w:color w:val="auto"/>
          <w:sz w:val="24"/>
          <w:szCs w:val="24"/>
          <w:highlight w:val="none"/>
          <w:lang w:val="en-US" w:eastAsia="zh-CN"/>
        </w:rPr>
        <w:t>作业</w:t>
      </w:r>
      <w:r>
        <w:rPr>
          <w:rFonts w:hint="eastAsia" w:cs="宋体"/>
          <w:b w:val="0"/>
          <w:bCs/>
          <w:color w:val="auto"/>
          <w:sz w:val="24"/>
          <w:szCs w:val="24"/>
          <w:highlight w:val="none"/>
        </w:rPr>
        <w:t>防护等安全防护用品，发生不安全行为的，每出现一次，从完工结算价中自愿核减1000元，减完为止。</w:t>
      </w:r>
    </w:p>
    <w:p w14:paraId="0FA23448">
      <w:pPr>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lang w:val="en-US" w:eastAsia="zh-CN"/>
        </w:rPr>
        <w:t>十一</w:t>
      </w:r>
      <w:r>
        <w:rPr>
          <w:rFonts w:hint="eastAsia" w:cs="宋体"/>
          <w:b/>
          <w:color w:val="auto"/>
          <w:sz w:val="24"/>
          <w:szCs w:val="24"/>
          <w:highlight w:val="none"/>
        </w:rPr>
        <w:t>、签订时间</w:t>
      </w:r>
    </w:p>
    <w:p w14:paraId="5B76A5DD">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本合同于</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     </w:t>
      </w:r>
      <w:r>
        <w:rPr>
          <w:rFonts w:hint="eastAsia" w:cs="宋体"/>
          <w:bCs/>
          <w:color w:val="auto"/>
          <w:sz w:val="24"/>
          <w:szCs w:val="24"/>
          <w:highlight w:val="none"/>
          <w:u w:val="single"/>
        </w:rPr>
        <w:t xml:space="preserve"> </w:t>
      </w:r>
      <w:r>
        <w:rPr>
          <w:rFonts w:hint="eastAsia" w:cs="宋体"/>
          <w:bCs/>
          <w:color w:val="auto"/>
          <w:sz w:val="24"/>
          <w:szCs w:val="24"/>
          <w:highlight w:val="none"/>
        </w:rPr>
        <w:t>年</w:t>
      </w:r>
      <w:r>
        <w:rPr>
          <w:rFonts w:hint="eastAsia" w:cs="宋体"/>
          <w:bCs/>
          <w:color w:val="auto"/>
          <w:sz w:val="24"/>
          <w:szCs w:val="24"/>
          <w:highlight w:val="none"/>
          <w:u w:val="single"/>
        </w:rPr>
        <w:t xml:space="preserve">    </w:t>
      </w:r>
      <w:r>
        <w:rPr>
          <w:rFonts w:hint="eastAsia" w:cs="宋体"/>
          <w:bCs/>
          <w:color w:val="auto"/>
          <w:sz w:val="24"/>
          <w:szCs w:val="24"/>
          <w:highlight w:val="none"/>
        </w:rPr>
        <w:t>月</w:t>
      </w:r>
      <w:r>
        <w:rPr>
          <w:rFonts w:hint="eastAsia" w:cs="宋体"/>
          <w:bCs/>
          <w:color w:val="auto"/>
          <w:sz w:val="24"/>
          <w:szCs w:val="24"/>
          <w:highlight w:val="none"/>
          <w:u w:val="single"/>
        </w:rPr>
        <w:t xml:space="preserve">    </w:t>
      </w:r>
      <w:r>
        <w:rPr>
          <w:rFonts w:hint="eastAsia" w:cs="宋体"/>
          <w:bCs/>
          <w:color w:val="auto"/>
          <w:sz w:val="24"/>
          <w:szCs w:val="24"/>
          <w:highlight w:val="none"/>
        </w:rPr>
        <w:t>日签订。</w:t>
      </w:r>
    </w:p>
    <w:p w14:paraId="24543DA8">
      <w:pPr>
        <w:snapToGrid w:val="0"/>
        <w:spacing w:line="360" w:lineRule="auto"/>
        <w:ind w:firstLine="482" w:firstLineChars="200"/>
        <w:rPr>
          <w:rFonts w:cs="宋体"/>
          <w:b/>
          <w:color w:val="auto"/>
          <w:sz w:val="24"/>
          <w:szCs w:val="24"/>
          <w:highlight w:val="none"/>
        </w:rPr>
      </w:pPr>
      <w:bookmarkStart w:id="104" w:name="_Toc351203490"/>
      <w:r>
        <w:rPr>
          <w:rFonts w:hint="eastAsia" w:cs="宋体"/>
          <w:b/>
          <w:color w:val="auto"/>
          <w:sz w:val="24"/>
          <w:szCs w:val="24"/>
          <w:highlight w:val="none"/>
        </w:rPr>
        <w:t>十</w:t>
      </w:r>
      <w:r>
        <w:rPr>
          <w:rFonts w:hint="eastAsia" w:cs="宋体"/>
          <w:b/>
          <w:color w:val="auto"/>
          <w:sz w:val="24"/>
          <w:szCs w:val="24"/>
          <w:highlight w:val="none"/>
          <w:lang w:val="en-US" w:eastAsia="zh-CN"/>
        </w:rPr>
        <w:t>二</w:t>
      </w:r>
      <w:r>
        <w:rPr>
          <w:rFonts w:hint="eastAsia" w:cs="宋体"/>
          <w:b/>
          <w:color w:val="auto"/>
          <w:sz w:val="24"/>
          <w:szCs w:val="24"/>
          <w:highlight w:val="none"/>
        </w:rPr>
        <w:t>、签订地点</w:t>
      </w:r>
      <w:bookmarkEnd w:id="104"/>
    </w:p>
    <w:p w14:paraId="4A087623">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本合同在</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采购人指定地点 </w:t>
      </w:r>
      <w:r>
        <w:rPr>
          <w:rFonts w:hint="eastAsia" w:cs="宋体"/>
          <w:bCs/>
          <w:color w:val="auto"/>
          <w:sz w:val="24"/>
          <w:szCs w:val="24"/>
          <w:highlight w:val="none"/>
        </w:rPr>
        <w:t>签订。</w:t>
      </w:r>
    </w:p>
    <w:p w14:paraId="1E5B57F3">
      <w:pPr>
        <w:snapToGrid w:val="0"/>
        <w:spacing w:line="360" w:lineRule="auto"/>
        <w:ind w:firstLine="482" w:firstLineChars="200"/>
        <w:rPr>
          <w:rFonts w:cs="宋体"/>
          <w:b/>
          <w:color w:val="auto"/>
          <w:sz w:val="24"/>
          <w:szCs w:val="24"/>
          <w:highlight w:val="none"/>
        </w:rPr>
      </w:pPr>
      <w:bookmarkStart w:id="105" w:name="_Toc351203491"/>
      <w:r>
        <w:rPr>
          <w:rFonts w:hint="eastAsia" w:cs="宋体"/>
          <w:b/>
          <w:color w:val="auto"/>
          <w:sz w:val="24"/>
          <w:szCs w:val="24"/>
          <w:highlight w:val="none"/>
        </w:rPr>
        <w:t>十</w:t>
      </w:r>
      <w:r>
        <w:rPr>
          <w:rFonts w:hint="eastAsia" w:cs="宋体"/>
          <w:b/>
          <w:color w:val="auto"/>
          <w:sz w:val="24"/>
          <w:szCs w:val="24"/>
          <w:highlight w:val="none"/>
          <w:lang w:val="en-US" w:eastAsia="zh-CN"/>
        </w:rPr>
        <w:t>三</w:t>
      </w:r>
      <w:r>
        <w:rPr>
          <w:rFonts w:hint="eastAsia" w:cs="宋体"/>
          <w:b/>
          <w:color w:val="auto"/>
          <w:sz w:val="24"/>
          <w:szCs w:val="24"/>
          <w:highlight w:val="none"/>
        </w:rPr>
        <w:t>、补充协议</w:t>
      </w:r>
      <w:bookmarkEnd w:id="105"/>
    </w:p>
    <w:p w14:paraId="1BF284BC">
      <w:pPr>
        <w:snapToGrid w:val="0"/>
        <w:spacing w:line="360" w:lineRule="auto"/>
        <w:ind w:firstLine="480" w:firstLineChars="200"/>
        <w:rPr>
          <w:rFonts w:cs="宋体"/>
          <w:b/>
          <w:bCs/>
          <w:color w:val="auto"/>
          <w:sz w:val="24"/>
          <w:szCs w:val="24"/>
          <w:highlight w:val="none"/>
        </w:rPr>
      </w:pPr>
      <w:r>
        <w:rPr>
          <w:rFonts w:hint="eastAsia" w:cs="宋体"/>
          <w:bCs/>
          <w:color w:val="auto"/>
          <w:sz w:val="24"/>
          <w:szCs w:val="24"/>
          <w:highlight w:val="none"/>
        </w:rPr>
        <w:t>合同未尽事宜，合同当事人另行签订补充协议，补充协议是合同的组成部分。</w:t>
      </w:r>
    </w:p>
    <w:p w14:paraId="6A68FEED">
      <w:pPr>
        <w:snapToGrid w:val="0"/>
        <w:spacing w:line="360" w:lineRule="auto"/>
        <w:ind w:firstLine="482" w:firstLineChars="200"/>
        <w:rPr>
          <w:rFonts w:cs="宋体"/>
          <w:b/>
          <w:color w:val="auto"/>
          <w:sz w:val="24"/>
          <w:szCs w:val="24"/>
          <w:highlight w:val="none"/>
        </w:rPr>
      </w:pPr>
      <w:bookmarkStart w:id="106" w:name="_Toc351203492"/>
      <w:r>
        <w:rPr>
          <w:rFonts w:hint="eastAsia" w:cs="宋体"/>
          <w:b/>
          <w:color w:val="auto"/>
          <w:sz w:val="24"/>
          <w:szCs w:val="24"/>
          <w:highlight w:val="none"/>
        </w:rPr>
        <w:t>十</w:t>
      </w:r>
      <w:r>
        <w:rPr>
          <w:rFonts w:hint="eastAsia" w:cs="宋体"/>
          <w:b/>
          <w:color w:val="auto"/>
          <w:sz w:val="24"/>
          <w:szCs w:val="24"/>
          <w:highlight w:val="none"/>
          <w:lang w:val="en-US" w:eastAsia="zh-CN"/>
        </w:rPr>
        <w:t>四</w:t>
      </w:r>
      <w:r>
        <w:rPr>
          <w:rFonts w:hint="eastAsia" w:cs="宋体"/>
          <w:b/>
          <w:color w:val="auto"/>
          <w:sz w:val="24"/>
          <w:szCs w:val="24"/>
          <w:highlight w:val="none"/>
        </w:rPr>
        <w:t>、合同生效</w:t>
      </w:r>
      <w:bookmarkEnd w:id="106"/>
    </w:p>
    <w:p w14:paraId="392E6CC6">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本合同自</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合同签订之日起</w:t>
      </w:r>
      <w:r>
        <w:rPr>
          <w:rFonts w:hint="eastAsia" w:cs="宋体"/>
          <w:bCs/>
          <w:color w:val="auto"/>
          <w:sz w:val="24"/>
          <w:szCs w:val="24"/>
          <w:highlight w:val="none"/>
          <w:u w:val="single"/>
        </w:rPr>
        <w:t xml:space="preserve"> </w:t>
      </w:r>
      <w:r>
        <w:rPr>
          <w:rFonts w:hint="eastAsia" w:cs="宋体"/>
          <w:bCs/>
          <w:color w:val="auto"/>
          <w:sz w:val="24"/>
          <w:szCs w:val="24"/>
          <w:highlight w:val="none"/>
        </w:rPr>
        <w:t>生效。</w:t>
      </w:r>
    </w:p>
    <w:p w14:paraId="171CE77F">
      <w:pPr>
        <w:snapToGrid w:val="0"/>
        <w:spacing w:line="360" w:lineRule="auto"/>
        <w:ind w:firstLine="482" w:firstLineChars="200"/>
        <w:rPr>
          <w:rFonts w:cs="宋体"/>
          <w:b/>
          <w:color w:val="auto"/>
          <w:sz w:val="24"/>
          <w:szCs w:val="24"/>
          <w:highlight w:val="none"/>
        </w:rPr>
      </w:pPr>
      <w:bookmarkStart w:id="107" w:name="_Toc351203493"/>
      <w:r>
        <w:rPr>
          <w:rFonts w:hint="eastAsia" w:cs="宋体"/>
          <w:b/>
          <w:color w:val="auto"/>
          <w:sz w:val="24"/>
          <w:szCs w:val="24"/>
          <w:highlight w:val="none"/>
        </w:rPr>
        <w:t>十</w:t>
      </w:r>
      <w:r>
        <w:rPr>
          <w:rFonts w:hint="eastAsia" w:cs="宋体"/>
          <w:b/>
          <w:color w:val="auto"/>
          <w:sz w:val="24"/>
          <w:szCs w:val="24"/>
          <w:highlight w:val="none"/>
          <w:lang w:val="en-US" w:eastAsia="zh-CN"/>
        </w:rPr>
        <w:t>五</w:t>
      </w:r>
      <w:r>
        <w:rPr>
          <w:rFonts w:hint="eastAsia" w:cs="宋体"/>
          <w:b/>
          <w:color w:val="auto"/>
          <w:sz w:val="24"/>
          <w:szCs w:val="24"/>
          <w:highlight w:val="none"/>
        </w:rPr>
        <w:t>、合同份数</w:t>
      </w:r>
      <w:bookmarkEnd w:id="107"/>
    </w:p>
    <w:p w14:paraId="00D7CC21">
      <w:pPr>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本合同一式</w:t>
      </w:r>
      <w:r>
        <w:rPr>
          <w:rFonts w:hint="eastAsia" w:cs="宋体"/>
          <w:bCs/>
          <w:color w:val="auto"/>
          <w:sz w:val="24"/>
          <w:szCs w:val="24"/>
          <w:highlight w:val="none"/>
          <w:u w:val="single"/>
          <w:lang w:val="en-US" w:eastAsia="zh-CN"/>
        </w:rPr>
        <w:t xml:space="preserve">    </w:t>
      </w:r>
      <w:r>
        <w:rPr>
          <w:rFonts w:hint="eastAsia" w:cs="宋体"/>
          <w:bCs/>
          <w:color w:val="auto"/>
          <w:sz w:val="24"/>
          <w:szCs w:val="24"/>
          <w:highlight w:val="none"/>
        </w:rPr>
        <w:t>份，均具有同等法律效力，</w:t>
      </w:r>
      <w:r>
        <w:rPr>
          <w:rFonts w:hint="eastAsia" w:cs="宋体"/>
          <w:bCs/>
          <w:color w:val="auto"/>
          <w:sz w:val="24"/>
          <w:szCs w:val="24"/>
          <w:highlight w:val="none"/>
          <w:lang w:eastAsia="zh-CN"/>
        </w:rPr>
        <w:t>甲方</w:t>
      </w:r>
      <w:r>
        <w:rPr>
          <w:rFonts w:hint="eastAsia" w:cs="宋体"/>
          <w:bCs/>
          <w:color w:val="auto"/>
          <w:sz w:val="24"/>
          <w:szCs w:val="24"/>
          <w:highlight w:val="none"/>
        </w:rPr>
        <w:t>执</w:t>
      </w:r>
      <w:r>
        <w:rPr>
          <w:rFonts w:hint="eastAsia" w:cs="宋体"/>
          <w:bCs/>
          <w:color w:val="auto"/>
          <w:sz w:val="24"/>
          <w:szCs w:val="24"/>
          <w:highlight w:val="none"/>
          <w:lang w:val="en-US" w:eastAsia="zh-CN"/>
        </w:rPr>
        <w:t xml:space="preserve"> </w:t>
      </w:r>
      <w:r>
        <w:rPr>
          <w:rFonts w:hint="eastAsia" w:cs="宋体"/>
          <w:bCs/>
          <w:color w:val="auto"/>
          <w:sz w:val="24"/>
          <w:szCs w:val="24"/>
          <w:highlight w:val="none"/>
          <w:u w:val="single"/>
          <w:lang w:val="en-US" w:eastAsia="zh-CN"/>
        </w:rPr>
        <w:t xml:space="preserve">    </w:t>
      </w:r>
      <w:r>
        <w:rPr>
          <w:rFonts w:hint="eastAsia" w:cs="宋体"/>
          <w:bCs/>
          <w:color w:val="auto"/>
          <w:sz w:val="24"/>
          <w:szCs w:val="24"/>
          <w:highlight w:val="none"/>
        </w:rPr>
        <w:t>份，</w:t>
      </w:r>
      <w:r>
        <w:rPr>
          <w:rFonts w:hint="eastAsia" w:cs="宋体"/>
          <w:bCs/>
          <w:color w:val="auto"/>
          <w:sz w:val="24"/>
          <w:szCs w:val="24"/>
          <w:highlight w:val="none"/>
          <w:lang w:eastAsia="zh-CN"/>
        </w:rPr>
        <w:t>乙方</w:t>
      </w:r>
      <w:r>
        <w:rPr>
          <w:rFonts w:hint="eastAsia" w:cs="宋体"/>
          <w:bCs/>
          <w:color w:val="auto"/>
          <w:sz w:val="24"/>
          <w:szCs w:val="24"/>
          <w:highlight w:val="none"/>
        </w:rPr>
        <w:t>执</w:t>
      </w:r>
      <w:r>
        <w:rPr>
          <w:rFonts w:hint="eastAsia" w:cs="宋体"/>
          <w:bCs/>
          <w:color w:val="auto"/>
          <w:sz w:val="24"/>
          <w:szCs w:val="24"/>
          <w:highlight w:val="none"/>
          <w:lang w:val="en-US" w:eastAsia="zh-CN"/>
        </w:rPr>
        <w:t xml:space="preserve"> </w:t>
      </w:r>
      <w:r>
        <w:rPr>
          <w:rFonts w:hint="eastAsia" w:cs="宋体"/>
          <w:bCs/>
          <w:color w:val="auto"/>
          <w:sz w:val="24"/>
          <w:szCs w:val="24"/>
          <w:highlight w:val="none"/>
          <w:u w:val="single"/>
          <w:lang w:val="en-US" w:eastAsia="zh-CN"/>
        </w:rPr>
        <w:t xml:space="preserve">    </w:t>
      </w:r>
      <w:r>
        <w:rPr>
          <w:rFonts w:hint="eastAsia" w:cs="宋体"/>
          <w:bCs/>
          <w:color w:val="auto"/>
          <w:sz w:val="24"/>
          <w:szCs w:val="24"/>
          <w:highlight w:val="none"/>
        </w:rPr>
        <w:t>份。</w:t>
      </w:r>
    </w:p>
    <w:p w14:paraId="4630B1D5">
      <w:pPr>
        <w:snapToGrid w:val="0"/>
        <w:spacing w:line="360" w:lineRule="auto"/>
        <w:rPr>
          <w:rFonts w:cs="宋体"/>
          <w:bCs/>
          <w:color w:val="auto"/>
          <w:sz w:val="24"/>
          <w:szCs w:val="24"/>
          <w:highlight w:val="none"/>
        </w:rPr>
      </w:pPr>
    </w:p>
    <w:p w14:paraId="6A2BA82A">
      <w:pPr>
        <w:snapToGrid w:val="0"/>
        <w:spacing w:line="360" w:lineRule="auto"/>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w:t>
      </w:r>
      <w:r>
        <w:rPr>
          <w:rFonts w:hint="eastAsia" w:cs="宋体"/>
          <w:color w:val="auto"/>
          <w:sz w:val="24"/>
          <w:szCs w:val="24"/>
          <w:highlight w:val="none"/>
          <w:u w:val="single"/>
        </w:rPr>
        <w:t>      （</w:t>
      </w:r>
      <w:r>
        <w:rPr>
          <w:rFonts w:hint="eastAsia" w:cs="宋体"/>
          <w:color w:val="auto"/>
          <w:sz w:val="24"/>
          <w:szCs w:val="24"/>
          <w:highlight w:val="none"/>
        </w:rPr>
        <w:t xml:space="preserve">公章）                </w:t>
      </w:r>
      <w:bookmarkStart w:id="108" w:name="OLE_LINK25"/>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w:t>
      </w:r>
      <w:r>
        <w:rPr>
          <w:rFonts w:hint="eastAsia" w:cs="宋体"/>
          <w:color w:val="auto"/>
          <w:sz w:val="24"/>
          <w:szCs w:val="24"/>
          <w:highlight w:val="none"/>
          <w:u w:val="single"/>
        </w:rPr>
        <w:t>        （</w:t>
      </w:r>
      <w:r>
        <w:rPr>
          <w:rFonts w:hint="eastAsia" w:cs="宋体"/>
          <w:color w:val="auto"/>
          <w:sz w:val="24"/>
          <w:szCs w:val="24"/>
          <w:highlight w:val="none"/>
        </w:rPr>
        <w:t>公章）</w:t>
      </w:r>
    </w:p>
    <w:p w14:paraId="311DB9FB">
      <w:pPr>
        <w:snapToGrid w:val="0"/>
        <w:spacing w:line="360" w:lineRule="auto"/>
        <w:rPr>
          <w:rFonts w:cs="宋体"/>
          <w:color w:val="auto"/>
          <w:sz w:val="24"/>
          <w:szCs w:val="24"/>
          <w:highlight w:val="none"/>
        </w:rPr>
      </w:pPr>
      <w:r>
        <w:rPr>
          <w:rFonts w:hint="eastAsia" w:cs="宋体"/>
          <w:color w:val="auto"/>
          <w:sz w:val="24"/>
          <w:szCs w:val="24"/>
          <w:highlight w:val="none"/>
        </w:rPr>
        <w:t>法定代表人或其委托代理人：                 法定代表人或其委托代理人：</w:t>
      </w:r>
    </w:p>
    <w:p w14:paraId="20886B1C">
      <w:pPr>
        <w:snapToGrid w:val="0"/>
        <w:spacing w:line="360" w:lineRule="auto"/>
        <w:rPr>
          <w:rFonts w:cs="宋体"/>
          <w:color w:val="auto"/>
          <w:sz w:val="24"/>
          <w:szCs w:val="24"/>
          <w:highlight w:val="none"/>
        </w:rPr>
      </w:pPr>
      <w:r>
        <w:rPr>
          <w:rFonts w:hint="eastAsia" w:cs="宋体"/>
          <w:color w:val="auto"/>
          <w:sz w:val="24"/>
          <w:szCs w:val="24"/>
          <w:highlight w:val="none"/>
        </w:rPr>
        <w:t>（签字）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（签字）</w:t>
      </w:r>
      <w:r>
        <w:rPr>
          <w:rFonts w:hint="eastAsia" w:cs="宋体"/>
          <w:color w:val="auto"/>
          <w:sz w:val="24"/>
          <w:szCs w:val="24"/>
          <w:highlight w:val="none"/>
          <w:u w:val="single"/>
        </w:rPr>
        <w:t xml:space="preserve">                   </w:t>
      </w:r>
    </w:p>
    <w:p w14:paraId="6FD386AD">
      <w:pPr>
        <w:tabs>
          <w:tab w:val="left" w:pos="4410"/>
        </w:tabs>
        <w:snapToGrid w:val="0"/>
        <w:spacing w:line="360" w:lineRule="auto"/>
        <w:rPr>
          <w:rFonts w:cs="宋体"/>
          <w:color w:val="auto"/>
          <w:sz w:val="24"/>
          <w:szCs w:val="24"/>
          <w:highlight w:val="none"/>
        </w:rPr>
      </w:pPr>
      <w:r>
        <w:rPr>
          <w:rFonts w:hint="eastAsia" w:cs="宋体"/>
          <w:color w:val="auto"/>
          <w:sz w:val="24"/>
          <w:szCs w:val="24"/>
          <w:highlight w:val="none"/>
        </w:rPr>
        <w:t>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组织机构代码：</w:t>
      </w:r>
      <w:r>
        <w:rPr>
          <w:rFonts w:hint="eastAsia" w:cs="宋体"/>
          <w:color w:val="auto"/>
          <w:sz w:val="24"/>
          <w:szCs w:val="24"/>
          <w:highlight w:val="none"/>
          <w:u w:val="single"/>
        </w:rPr>
        <w:t xml:space="preserve">        </w:t>
      </w:r>
    </w:p>
    <w:p w14:paraId="45398E44">
      <w:pPr>
        <w:snapToGrid w:val="0"/>
        <w:spacing w:line="360" w:lineRule="auto"/>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   </w:t>
      </w:r>
    </w:p>
    <w:p w14:paraId="07818044">
      <w:pPr>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0F461DAA">
      <w:pPr>
        <w:snapToGrid w:val="0"/>
        <w:spacing w:line="360" w:lineRule="auto"/>
        <w:rPr>
          <w:rFonts w:cs="宋体"/>
          <w:color w:val="auto"/>
          <w:sz w:val="24"/>
          <w:szCs w:val="24"/>
          <w:highlight w:val="none"/>
        </w:rPr>
      </w:pPr>
      <w:r>
        <w:rPr>
          <w:rFonts w:hint="eastAsia" w:cs="宋体"/>
          <w:color w:val="auto"/>
          <w:sz w:val="24"/>
          <w:szCs w:val="24"/>
          <w:highlight w:val="none"/>
        </w:rPr>
        <w:t>法定代表人：</w:t>
      </w:r>
      <w:r>
        <w:rPr>
          <w:rFonts w:hint="eastAsia" w:cs="宋体"/>
          <w:color w:val="auto"/>
          <w:sz w:val="24"/>
          <w:szCs w:val="24"/>
          <w:highlight w:val="none"/>
          <w:u w:val="single"/>
        </w:rPr>
        <w:t xml:space="preserve">           </w:t>
      </w:r>
      <w:r>
        <w:rPr>
          <w:rFonts w:hint="eastAsia" w:cs="宋体"/>
          <w:color w:val="auto"/>
          <w:sz w:val="24"/>
          <w:szCs w:val="24"/>
          <w:highlight w:val="none"/>
        </w:rPr>
        <w:t xml:space="preserve">                法定代表人：</w:t>
      </w:r>
      <w:r>
        <w:rPr>
          <w:rFonts w:hint="eastAsia" w:cs="宋体"/>
          <w:color w:val="auto"/>
          <w:sz w:val="24"/>
          <w:szCs w:val="24"/>
          <w:highlight w:val="none"/>
          <w:u w:val="single"/>
        </w:rPr>
        <w:t xml:space="preserve">          </w:t>
      </w:r>
    </w:p>
    <w:p w14:paraId="5B7D93AE">
      <w:pPr>
        <w:snapToGrid w:val="0"/>
        <w:spacing w:line="360" w:lineRule="auto"/>
        <w:rPr>
          <w:rFonts w:cs="宋体"/>
          <w:color w:val="auto"/>
          <w:sz w:val="24"/>
          <w:szCs w:val="24"/>
          <w:highlight w:val="none"/>
        </w:rPr>
      </w:pPr>
      <w:r>
        <w:rPr>
          <w:rFonts w:hint="eastAsia" w:cs="宋体"/>
          <w:color w:val="auto"/>
          <w:sz w:val="24"/>
          <w:szCs w:val="24"/>
          <w:highlight w:val="none"/>
        </w:rPr>
        <w:t>委托代理人：</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w:t>
      </w:r>
      <w:r>
        <w:rPr>
          <w:rFonts w:hint="eastAsia" w:cs="宋体"/>
          <w:color w:val="auto"/>
          <w:sz w:val="24"/>
          <w:szCs w:val="24"/>
          <w:highlight w:val="none"/>
          <w:u w:val="single"/>
        </w:rPr>
        <w:t xml:space="preserve">          </w:t>
      </w:r>
    </w:p>
    <w:p w14:paraId="724DF263">
      <w:pPr>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5640B9D1">
      <w:pPr>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w:t>
      </w:r>
    </w:p>
    <w:p w14:paraId="3EFB94A7">
      <w:pPr>
        <w:snapToGrid w:val="0"/>
        <w:spacing w:line="360" w:lineRule="auto"/>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 xml:space="preserve">                电子信箱：</w:t>
      </w:r>
      <w:r>
        <w:rPr>
          <w:rFonts w:hint="eastAsia" w:cs="宋体"/>
          <w:color w:val="auto"/>
          <w:sz w:val="24"/>
          <w:szCs w:val="24"/>
          <w:highlight w:val="none"/>
          <w:u w:val="single"/>
        </w:rPr>
        <w:t></w:t>
      </w:r>
    </w:p>
    <w:p w14:paraId="1FB09FED">
      <w:pPr>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w:t>
      </w:r>
    </w:p>
    <w:p w14:paraId="724D10BF">
      <w:pPr>
        <w:snapToGrid w:val="0"/>
        <w:spacing w:line="360" w:lineRule="auto"/>
        <w:rPr>
          <w:rFonts w:hint="eastAsia" w:cs="宋体"/>
          <w:b/>
          <w:bCs/>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bookmarkEnd w:id="108"/>
    </w:p>
    <w:p w14:paraId="0E4D6675">
      <w:pPr>
        <w:snapToGrid w:val="0"/>
        <w:spacing w:line="360" w:lineRule="auto"/>
        <w:rPr>
          <w:rFonts w:cs="宋体"/>
          <w:bCs/>
          <w:color w:val="auto"/>
          <w:sz w:val="24"/>
          <w:szCs w:val="24"/>
          <w:highlight w:val="none"/>
        </w:rPr>
      </w:pPr>
    </w:p>
    <w:p w14:paraId="126FADEC">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乙</w:t>
      </w:r>
      <w:r>
        <w:rPr>
          <w:rFonts w:hint="eastAsia" w:cs="宋体"/>
          <w:color w:val="auto"/>
          <w:sz w:val="24"/>
          <w:szCs w:val="24"/>
          <w:highlight w:val="none"/>
          <w:lang w:eastAsia="zh-CN"/>
        </w:rPr>
        <w:t>方</w:t>
      </w:r>
      <w:r>
        <w:rPr>
          <w:rFonts w:hint="eastAsia" w:cs="宋体"/>
          <w:color w:val="auto"/>
          <w:sz w:val="24"/>
          <w:szCs w:val="24"/>
          <w:highlight w:val="none"/>
        </w:rPr>
        <w:t>：</w:t>
      </w:r>
      <w:r>
        <w:rPr>
          <w:rFonts w:hint="eastAsia" w:cs="宋体"/>
          <w:color w:val="auto"/>
          <w:sz w:val="24"/>
          <w:szCs w:val="24"/>
          <w:highlight w:val="none"/>
          <w:u w:val="single"/>
        </w:rPr>
        <w:t>      （</w:t>
      </w:r>
      <w:r>
        <w:rPr>
          <w:rFonts w:hint="eastAsia" w:cs="宋体"/>
          <w:color w:val="auto"/>
          <w:sz w:val="24"/>
          <w:szCs w:val="24"/>
          <w:highlight w:val="none"/>
        </w:rPr>
        <w:t xml:space="preserve">公章） </w:t>
      </w:r>
    </w:p>
    <w:p w14:paraId="7BC42405">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法定代表人或其委托代理人：</w:t>
      </w:r>
    </w:p>
    <w:p w14:paraId="52535E55">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090E235">
      <w:pPr>
        <w:tabs>
          <w:tab w:val="left" w:pos="4410"/>
        </w:tabs>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w:t>
      </w:r>
    </w:p>
    <w:p w14:paraId="389790A1">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w:t>
      </w:r>
    </w:p>
    <w:p w14:paraId="27DD8A75">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邮政编码：</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p>
    <w:p w14:paraId="291F595E">
      <w:pPr>
        <w:snapToGrid w:val="0"/>
        <w:spacing w:line="360" w:lineRule="auto"/>
        <w:jc w:val="center"/>
        <w:rPr>
          <w:rFonts w:hint="eastAsia"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法定代表人：</w:t>
      </w:r>
      <w:r>
        <w:rPr>
          <w:rFonts w:hint="eastAsia" w:cs="宋体"/>
          <w:color w:val="auto"/>
          <w:sz w:val="24"/>
          <w:szCs w:val="24"/>
          <w:highlight w:val="none"/>
          <w:u w:val="single"/>
        </w:rPr>
        <w:t xml:space="preserve">           </w:t>
      </w:r>
      <w:r>
        <w:rPr>
          <w:rFonts w:hint="eastAsia" w:cs="宋体"/>
          <w:color w:val="auto"/>
          <w:sz w:val="24"/>
          <w:szCs w:val="24"/>
          <w:highlight w:val="none"/>
        </w:rPr>
        <w:t xml:space="preserve">  </w:t>
      </w:r>
    </w:p>
    <w:p w14:paraId="0A983A7B">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委托代理人：</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637B1075">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596E4CA6">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7632A6B8">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5CA4E8C6">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48766975">
      <w:pPr>
        <w:snapToGrid w:val="0"/>
        <w:spacing w:line="360" w:lineRule="auto"/>
        <w:jc w:val="center"/>
        <w:rPr>
          <w:rFonts w:cs="宋体"/>
          <w:color w:val="auto"/>
          <w:sz w:val="24"/>
          <w:szCs w:val="24"/>
          <w:highlight w:val="none"/>
        </w:rPr>
      </w:pPr>
      <w:r>
        <w:rPr>
          <w:rFonts w:hint="eastAsia" w:cs="宋体"/>
          <w:color w:val="auto"/>
          <w:sz w:val="24"/>
          <w:szCs w:val="24"/>
          <w:highlight w:val="none"/>
          <w:lang w:val="en-US" w:eastAsia="zh-CN"/>
        </w:rPr>
        <w:t xml:space="preserve">                                     </w:t>
      </w: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w:t>
      </w:r>
    </w:p>
    <w:p w14:paraId="3ADBEC43">
      <w:pPr>
        <w:keepNext/>
        <w:keepLines/>
        <w:snapToGrid w:val="0"/>
        <w:spacing w:before="312" w:beforeLines="100" w:after="312" w:afterLines="100" w:line="360" w:lineRule="auto"/>
        <w:jc w:val="center"/>
        <w:outlineLvl w:val="1"/>
        <w:rPr>
          <w:rFonts w:cs="宋体"/>
          <w:bCs/>
          <w:color w:val="auto"/>
          <w:sz w:val="24"/>
          <w:szCs w:val="24"/>
          <w:highlight w:val="none"/>
        </w:rPr>
      </w:pPr>
      <w:r>
        <w:rPr>
          <w:rFonts w:hint="eastAsia" w:cs="宋体"/>
          <w:b/>
          <w:bCs/>
          <w:color w:val="auto"/>
          <w:sz w:val="24"/>
          <w:szCs w:val="24"/>
          <w:highlight w:val="none"/>
        </w:rPr>
        <w:br w:type="page"/>
      </w:r>
      <w:bookmarkStart w:id="109" w:name="_Toc130919121"/>
      <w:bookmarkStart w:id="110" w:name="_Toc28799377"/>
      <w:bookmarkStart w:id="111" w:name="_Toc30550"/>
      <w:r>
        <w:rPr>
          <w:rFonts w:hint="eastAsia" w:ascii="等线" w:hAnsi="等线" w:eastAsia="等线" w:cs="@仿宋_GB2312"/>
          <w:b/>
          <w:color w:val="auto"/>
          <w:kern w:val="2"/>
          <w:sz w:val="24"/>
          <w:szCs w:val="24"/>
          <w:highlight w:val="none"/>
        </w:rPr>
        <w:t>第二节  通用合同条款</w:t>
      </w:r>
      <w:bookmarkEnd w:id="109"/>
      <w:bookmarkEnd w:id="110"/>
      <w:bookmarkEnd w:id="111"/>
    </w:p>
    <w:p w14:paraId="7C741C2D">
      <w:pPr>
        <w:spacing w:line="360" w:lineRule="auto"/>
        <w:ind w:firstLine="480" w:firstLineChars="200"/>
        <w:rPr>
          <w:rFonts w:cs="Times New Roman"/>
          <w:snapToGrid w:val="0"/>
          <w:color w:val="auto"/>
          <w:sz w:val="24"/>
          <w:szCs w:val="24"/>
          <w:highlight w:val="none"/>
        </w:rPr>
      </w:pPr>
      <w:r>
        <w:rPr>
          <w:rFonts w:hint="eastAsia" w:cs="Times New Roman"/>
          <w:snapToGrid w:val="0"/>
          <w:color w:val="auto"/>
          <w:sz w:val="24"/>
          <w:szCs w:val="24"/>
          <w:highlight w:val="none"/>
        </w:rPr>
        <w:t>采用《建设工程施工合同（示范文本）》（GF-2017-0201）中通用合同条款。上述资料由</w:t>
      </w:r>
      <w:r>
        <w:rPr>
          <w:rFonts w:hint="eastAsia" w:cs="Times New Roman"/>
          <w:snapToGrid w:val="0"/>
          <w:color w:val="auto"/>
          <w:sz w:val="24"/>
          <w:szCs w:val="24"/>
          <w:highlight w:val="none"/>
          <w:lang w:eastAsia="zh-CN"/>
        </w:rPr>
        <w:t>乙方</w:t>
      </w:r>
      <w:r>
        <w:rPr>
          <w:rFonts w:hint="eastAsia" w:cs="Times New Roman"/>
          <w:snapToGrid w:val="0"/>
          <w:color w:val="auto"/>
          <w:sz w:val="24"/>
          <w:szCs w:val="24"/>
          <w:highlight w:val="none"/>
        </w:rPr>
        <w:t>自行准备。</w:t>
      </w:r>
    </w:p>
    <w:p w14:paraId="61813D0B">
      <w:pPr>
        <w:keepNext/>
        <w:keepLines/>
        <w:snapToGrid w:val="0"/>
        <w:spacing w:before="312" w:beforeLines="100" w:after="312" w:afterLines="100" w:line="360" w:lineRule="auto"/>
        <w:jc w:val="center"/>
        <w:outlineLvl w:val="1"/>
        <w:rPr>
          <w:rFonts w:cs="宋体"/>
          <w:bCs/>
          <w:color w:val="auto"/>
          <w:sz w:val="24"/>
          <w:szCs w:val="24"/>
          <w:highlight w:val="none"/>
        </w:rPr>
      </w:pPr>
      <w:r>
        <w:rPr>
          <w:rFonts w:hint="eastAsia" w:cs="宋体"/>
          <w:b/>
          <w:bCs/>
          <w:color w:val="auto"/>
          <w:sz w:val="24"/>
          <w:szCs w:val="24"/>
          <w:highlight w:val="none"/>
        </w:rPr>
        <w:br w:type="page"/>
      </w:r>
      <w:bookmarkStart w:id="112" w:name="_Toc31931"/>
      <w:bookmarkStart w:id="113" w:name="_Toc130919122"/>
      <w:bookmarkStart w:id="114" w:name="_Toc28799378"/>
      <w:r>
        <w:rPr>
          <w:rFonts w:hint="eastAsia" w:ascii="等线" w:hAnsi="等线" w:eastAsia="等线" w:cs="@仿宋_GB2312"/>
          <w:b/>
          <w:color w:val="auto"/>
          <w:kern w:val="2"/>
          <w:sz w:val="24"/>
          <w:szCs w:val="24"/>
          <w:highlight w:val="none"/>
        </w:rPr>
        <w:t>第三节  专用合同条款</w:t>
      </w:r>
      <w:bookmarkEnd w:id="112"/>
      <w:bookmarkEnd w:id="113"/>
      <w:bookmarkEnd w:id="114"/>
    </w:p>
    <w:p w14:paraId="288D6083">
      <w:pPr>
        <w:snapToGrid w:val="0"/>
        <w:spacing w:before="312" w:beforeLines="100" w:after="312" w:afterLines="100" w:line="360" w:lineRule="auto"/>
        <w:jc w:val="center"/>
        <w:outlineLvl w:val="2"/>
        <w:rPr>
          <w:rFonts w:cs="宋体"/>
          <w:color w:val="auto"/>
          <w:sz w:val="24"/>
          <w:szCs w:val="24"/>
          <w:highlight w:val="none"/>
        </w:rPr>
      </w:pPr>
      <w:bookmarkStart w:id="115" w:name="_Toc351203633"/>
      <w:r>
        <w:rPr>
          <w:rFonts w:hint="eastAsia" w:cs="宋体"/>
          <w:color w:val="auto"/>
          <w:sz w:val="24"/>
          <w:szCs w:val="24"/>
          <w:highlight w:val="none"/>
        </w:rPr>
        <w:t>专用合同条款数据表</w:t>
      </w:r>
    </w:p>
    <w:p w14:paraId="100679DE">
      <w:pPr>
        <w:pStyle w:val="21"/>
        <w:snapToGrid w:val="0"/>
        <w:spacing w:line="360" w:lineRule="auto"/>
        <w:ind w:left="400" w:firstLine="480"/>
        <w:rPr>
          <w:rFonts w:ascii="宋体" w:hAnsi="宋体" w:cs="宋体"/>
          <w:color w:val="auto"/>
          <w:sz w:val="24"/>
          <w:szCs w:val="24"/>
          <w:highlight w:val="none"/>
        </w:rPr>
      </w:pPr>
      <w:r>
        <w:rPr>
          <w:rFonts w:hint="eastAsia" w:ascii="宋体" w:hAnsi="宋体" w:cs="宋体"/>
          <w:color w:val="auto"/>
          <w:sz w:val="24"/>
          <w:szCs w:val="24"/>
          <w:highlight w:val="none"/>
        </w:rPr>
        <w:t>说明：本数据表是项目专用合同条款中适用于本招标项目的信息和数据的归纳与提示，是项目专用合同条款的组成部分。</w:t>
      </w:r>
    </w:p>
    <w:tbl>
      <w:tblPr>
        <w:tblStyle w:val="56"/>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0E9D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05C28FC3">
            <w:pPr>
              <w:snapToGrid w:val="0"/>
              <w:spacing w:before="100" w:beforeAutospacing="1" w:line="360" w:lineRule="auto"/>
              <w:ind w:left="-100" w:leftChars="-50" w:right="-100" w:rightChars="-50"/>
              <w:jc w:val="center"/>
              <w:rPr>
                <w:rFonts w:cs="宋体"/>
                <w:b/>
                <w:color w:val="auto"/>
                <w:sz w:val="24"/>
                <w:szCs w:val="24"/>
                <w:highlight w:val="none"/>
              </w:rPr>
            </w:pPr>
            <w:r>
              <w:rPr>
                <w:rFonts w:hint="eastAsia" w:cs="宋体"/>
                <w:b/>
                <w:color w:val="auto"/>
                <w:sz w:val="24"/>
                <w:szCs w:val="24"/>
                <w:highlight w:val="none"/>
              </w:rPr>
              <w:t>序号</w:t>
            </w:r>
          </w:p>
        </w:tc>
        <w:tc>
          <w:tcPr>
            <w:tcW w:w="1111" w:type="dxa"/>
            <w:vAlign w:val="center"/>
          </w:tcPr>
          <w:p w14:paraId="3B8A9510">
            <w:pPr>
              <w:snapToGrid w:val="0"/>
              <w:spacing w:line="360" w:lineRule="auto"/>
              <w:ind w:left="-100" w:leftChars="-50" w:right="-100" w:rightChars="-50"/>
              <w:jc w:val="center"/>
              <w:rPr>
                <w:rFonts w:cs="宋体"/>
                <w:b/>
                <w:color w:val="auto"/>
                <w:sz w:val="24"/>
                <w:szCs w:val="24"/>
                <w:highlight w:val="none"/>
              </w:rPr>
            </w:pPr>
            <w:r>
              <w:rPr>
                <w:rFonts w:hint="eastAsia" w:cs="宋体"/>
                <w:b/>
                <w:color w:val="auto"/>
                <w:sz w:val="24"/>
                <w:szCs w:val="24"/>
                <w:highlight w:val="none"/>
              </w:rPr>
              <w:t>条目号</w:t>
            </w:r>
          </w:p>
        </w:tc>
        <w:tc>
          <w:tcPr>
            <w:tcW w:w="7304" w:type="dxa"/>
            <w:vAlign w:val="center"/>
          </w:tcPr>
          <w:p w14:paraId="34859F75">
            <w:pPr>
              <w:snapToGrid w:val="0"/>
              <w:spacing w:line="360" w:lineRule="auto"/>
              <w:jc w:val="center"/>
              <w:rPr>
                <w:rFonts w:cs="宋体"/>
                <w:b/>
                <w:color w:val="auto"/>
                <w:sz w:val="24"/>
                <w:szCs w:val="24"/>
                <w:highlight w:val="none"/>
              </w:rPr>
            </w:pPr>
            <w:r>
              <w:rPr>
                <w:rFonts w:hint="eastAsia" w:cs="宋体"/>
                <w:b/>
                <w:color w:val="auto"/>
                <w:sz w:val="24"/>
                <w:szCs w:val="24"/>
                <w:highlight w:val="none"/>
              </w:rPr>
              <w:t>信息或数据</w:t>
            </w:r>
          </w:p>
        </w:tc>
      </w:tr>
      <w:tr w14:paraId="1936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247F35B">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00CFD7D1">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2.5</w:t>
            </w:r>
          </w:p>
        </w:tc>
        <w:tc>
          <w:tcPr>
            <w:tcW w:w="7304" w:type="dxa"/>
            <w:vAlign w:val="center"/>
          </w:tcPr>
          <w:p w14:paraId="68F5BE6A">
            <w:pPr>
              <w:snapToGrid w:val="0"/>
              <w:spacing w:line="360" w:lineRule="auto"/>
              <w:rPr>
                <w:rFonts w:hint="eastAsia" w:eastAsia="宋体" w:cs="宋体"/>
                <w:bCs/>
                <w:color w:val="auto"/>
                <w:sz w:val="24"/>
                <w:szCs w:val="24"/>
                <w:highlight w:val="none"/>
                <w:u w:val="single"/>
                <w:lang w:eastAsia="zh-CN"/>
              </w:rPr>
            </w:pPr>
            <w:r>
              <w:rPr>
                <w:rFonts w:hint="eastAsia" w:cs="宋体"/>
                <w:bCs/>
                <w:color w:val="auto"/>
                <w:sz w:val="24"/>
                <w:szCs w:val="24"/>
                <w:highlight w:val="none"/>
                <w:lang w:eastAsia="zh-CN"/>
              </w:rPr>
              <w:t>甲方</w:t>
            </w:r>
            <w:r>
              <w:rPr>
                <w:rFonts w:hint="eastAsia" w:cs="宋体"/>
                <w:bCs/>
                <w:color w:val="auto"/>
                <w:sz w:val="24"/>
                <w:szCs w:val="24"/>
                <w:highlight w:val="none"/>
              </w:rPr>
              <w:t xml:space="preserve">提供资金来源证明的期限要求： </w:t>
            </w:r>
            <w:r>
              <w:rPr>
                <w:rFonts w:hint="eastAsia" w:cs="宋体"/>
                <w:bCs/>
                <w:color w:val="auto"/>
                <w:sz w:val="24"/>
                <w:szCs w:val="24"/>
                <w:highlight w:val="none"/>
                <w:u w:val="single"/>
                <w:lang w:val="en-US" w:eastAsia="zh-CN"/>
              </w:rPr>
              <w:t>/</w:t>
            </w:r>
          </w:p>
          <w:p w14:paraId="0E162B1C">
            <w:pPr>
              <w:snapToGrid w:val="0"/>
              <w:spacing w:line="360" w:lineRule="auto"/>
              <w:rPr>
                <w:rFonts w:cs="宋体"/>
                <w:bCs/>
                <w:color w:val="auto"/>
                <w:sz w:val="24"/>
                <w:szCs w:val="24"/>
                <w:highlight w:val="none"/>
              </w:rPr>
            </w:pPr>
            <w:r>
              <w:rPr>
                <w:rFonts w:hint="eastAsia" w:cs="宋体"/>
                <w:bCs/>
                <w:color w:val="auto"/>
                <w:sz w:val="24"/>
                <w:szCs w:val="24"/>
                <w:highlight w:val="none"/>
                <w:lang w:eastAsia="zh-CN"/>
              </w:rPr>
              <w:t>甲方</w:t>
            </w:r>
            <w:r>
              <w:rPr>
                <w:rFonts w:hint="eastAsia" w:cs="宋体"/>
                <w:bCs/>
                <w:color w:val="auto"/>
                <w:sz w:val="24"/>
                <w:szCs w:val="24"/>
                <w:highlight w:val="none"/>
              </w:rPr>
              <w:t xml:space="preserve">是否提供支付担保：  </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p>
          <w:p w14:paraId="22B04D54">
            <w:pPr>
              <w:snapToGrid w:val="0"/>
              <w:spacing w:line="360" w:lineRule="auto"/>
              <w:rPr>
                <w:rFonts w:cs="宋体"/>
                <w:bCs/>
                <w:color w:val="auto"/>
                <w:sz w:val="24"/>
                <w:szCs w:val="24"/>
                <w:highlight w:val="none"/>
                <w:u w:val="single"/>
              </w:rPr>
            </w:pPr>
            <w:r>
              <w:rPr>
                <w:rFonts w:hint="eastAsia" w:cs="宋体"/>
                <w:bCs/>
                <w:color w:val="auto"/>
                <w:sz w:val="24"/>
                <w:szCs w:val="24"/>
                <w:highlight w:val="none"/>
                <w:lang w:eastAsia="zh-CN"/>
              </w:rPr>
              <w:t>甲方</w:t>
            </w:r>
            <w:r>
              <w:rPr>
                <w:rFonts w:hint="eastAsia" w:cs="宋体"/>
                <w:bCs/>
                <w:color w:val="auto"/>
                <w:sz w:val="24"/>
                <w:szCs w:val="24"/>
                <w:highlight w:val="none"/>
              </w:rPr>
              <w:t>提供支付担保的形式：</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p>
        </w:tc>
      </w:tr>
      <w:tr w14:paraId="4229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937F575">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5382FE6A">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3.2.1</w:t>
            </w:r>
          </w:p>
        </w:tc>
        <w:tc>
          <w:tcPr>
            <w:tcW w:w="7304" w:type="dxa"/>
            <w:vAlign w:val="center"/>
          </w:tcPr>
          <w:p w14:paraId="61A9EF28">
            <w:pPr>
              <w:snapToGrid w:val="0"/>
              <w:spacing w:line="360" w:lineRule="auto"/>
              <w:rPr>
                <w:rFonts w:cs="宋体"/>
                <w:bCs/>
                <w:color w:val="auto"/>
                <w:sz w:val="24"/>
                <w:szCs w:val="24"/>
                <w:highlight w:val="none"/>
              </w:rPr>
            </w:pPr>
            <w:r>
              <w:rPr>
                <w:rFonts w:hint="eastAsia" w:cs="宋体"/>
                <w:bCs/>
                <w:color w:val="auto"/>
                <w:sz w:val="24"/>
                <w:szCs w:val="24"/>
                <w:highlight w:val="none"/>
              </w:rPr>
              <w:t>项目经理</w:t>
            </w:r>
          </w:p>
          <w:p w14:paraId="5806ABF7">
            <w:pPr>
              <w:snapToGrid w:val="0"/>
              <w:spacing w:line="360" w:lineRule="auto"/>
              <w:rPr>
                <w:rFonts w:cs="宋体"/>
                <w:bCs/>
                <w:color w:val="auto"/>
                <w:sz w:val="24"/>
                <w:szCs w:val="24"/>
                <w:highlight w:val="none"/>
              </w:rPr>
            </w:pPr>
            <w:r>
              <w:rPr>
                <w:rFonts w:hint="eastAsia" w:cs="宋体"/>
                <w:bCs/>
                <w:color w:val="auto"/>
                <w:sz w:val="24"/>
                <w:szCs w:val="24"/>
                <w:highlight w:val="none"/>
              </w:rPr>
              <w:t>姓    名：</w:t>
            </w:r>
            <w:r>
              <w:rPr>
                <w:rFonts w:hint="eastAsia" w:cs="宋体"/>
                <w:bCs/>
                <w:color w:val="auto"/>
                <w:sz w:val="24"/>
                <w:szCs w:val="24"/>
                <w:highlight w:val="none"/>
                <w:u w:val="single"/>
              </w:rPr>
              <w:t xml:space="preserve">          </w:t>
            </w:r>
          </w:p>
          <w:p w14:paraId="3867E1D3">
            <w:pPr>
              <w:snapToGrid w:val="0"/>
              <w:spacing w:line="360" w:lineRule="auto"/>
              <w:rPr>
                <w:rFonts w:cs="宋体"/>
                <w:bCs/>
                <w:color w:val="auto"/>
                <w:sz w:val="24"/>
                <w:szCs w:val="24"/>
                <w:highlight w:val="none"/>
              </w:rPr>
            </w:pPr>
            <w:r>
              <w:rPr>
                <w:rFonts w:hint="eastAsia" w:cs="宋体"/>
                <w:bCs/>
                <w:color w:val="auto"/>
                <w:sz w:val="24"/>
                <w:szCs w:val="24"/>
                <w:highlight w:val="none"/>
              </w:rPr>
              <w:t>身份证号：</w:t>
            </w:r>
            <w:r>
              <w:rPr>
                <w:rFonts w:hint="eastAsia" w:cs="宋体"/>
                <w:bCs/>
                <w:color w:val="auto"/>
                <w:sz w:val="24"/>
                <w:szCs w:val="24"/>
                <w:highlight w:val="none"/>
                <w:u w:val="single"/>
              </w:rPr>
              <w:t xml:space="preserve">          </w:t>
            </w:r>
          </w:p>
          <w:p w14:paraId="70F793B9">
            <w:pPr>
              <w:snapToGrid w:val="0"/>
              <w:spacing w:line="360" w:lineRule="auto"/>
              <w:rPr>
                <w:rFonts w:hint="eastAsia" w:cs="宋体"/>
                <w:bCs/>
                <w:color w:val="auto"/>
                <w:sz w:val="24"/>
                <w:szCs w:val="24"/>
                <w:highlight w:val="none"/>
                <w:u w:val="single"/>
              </w:rPr>
            </w:pPr>
            <w:r>
              <w:rPr>
                <w:rFonts w:hint="eastAsia" w:cs="宋体"/>
                <w:bCs/>
                <w:color w:val="auto"/>
                <w:sz w:val="24"/>
                <w:szCs w:val="24"/>
                <w:highlight w:val="none"/>
              </w:rPr>
              <w:t>建造师执业资格等级：</w:t>
            </w:r>
            <w:r>
              <w:rPr>
                <w:rFonts w:hint="eastAsia" w:cs="宋体"/>
                <w:bCs/>
                <w:color w:val="auto"/>
                <w:sz w:val="24"/>
                <w:szCs w:val="24"/>
                <w:highlight w:val="none"/>
                <w:u w:val="single"/>
              </w:rPr>
              <w:t xml:space="preserve">          </w:t>
            </w:r>
          </w:p>
          <w:p w14:paraId="67102B48">
            <w:pPr>
              <w:snapToGrid w:val="0"/>
              <w:spacing w:line="360" w:lineRule="auto"/>
              <w:rPr>
                <w:rFonts w:cs="宋体"/>
                <w:bCs/>
                <w:color w:val="auto"/>
                <w:sz w:val="24"/>
                <w:szCs w:val="24"/>
                <w:highlight w:val="none"/>
              </w:rPr>
            </w:pPr>
            <w:r>
              <w:rPr>
                <w:rFonts w:hint="eastAsia" w:cs="宋体"/>
                <w:bCs/>
                <w:color w:val="auto"/>
                <w:sz w:val="24"/>
                <w:szCs w:val="24"/>
                <w:highlight w:val="none"/>
              </w:rPr>
              <w:t>建造师注册证书号：</w:t>
            </w:r>
            <w:r>
              <w:rPr>
                <w:rFonts w:hint="eastAsia" w:cs="宋体"/>
                <w:bCs/>
                <w:color w:val="auto"/>
                <w:sz w:val="24"/>
                <w:szCs w:val="24"/>
                <w:highlight w:val="none"/>
                <w:u w:val="single"/>
              </w:rPr>
              <w:t xml:space="preserve">            </w:t>
            </w:r>
          </w:p>
          <w:p w14:paraId="7773C3DF">
            <w:pPr>
              <w:snapToGrid w:val="0"/>
              <w:spacing w:line="360" w:lineRule="auto"/>
              <w:rPr>
                <w:rFonts w:cs="宋体"/>
                <w:bCs/>
                <w:color w:val="auto"/>
                <w:sz w:val="24"/>
                <w:szCs w:val="24"/>
                <w:highlight w:val="none"/>
                <w:u w:val="single"/>
              </w:rPr>
            </w:pPr>
            <w:r>
              <w:rPr>
                <w:rFonts w:hint="eastAsia" w:cs="宋体"/>
                <w:bCs/>
                <w:color w:val="auto"/>
                <w:sz w:val="24"/>
                <w:szCs w:val="24"/>
                <w:highlight w:val="none"/>
                <w:lang w:eastAsia="zh-CN"/>
              </w:rPr>
              <w:t>乙方</w:t>
            </w:r>
            <w:r>
              <w:rPr>
                <w:rFonts w:hint="eastAsia" w:cs="宋体"/>
                <w:bCs/>
                <w:color w:val="auto"/>
                <w:sz w:val="24"/>
                <w:szCs w:val="24"/>
                <w:highlight w:val="none"/>
              </w:rPr>
              <w:t>对项目经理的授权范围如下：</w:t>
            </w:r>
            <w:r>
              <w:rPr>
                <w:rFonts w:hint="eastAsia" w:cs="宋体"/>
                <w:bCs/>
                <w:color w:val="auto"/>
                <w:sz w:val="24"/>
                <w:szCs w:val="24"/>
                <w:highlight w:val="none"/>
                <w:u w:val="single"/>
              </w:rPr>
              <w:t xml:space="preserve">            </w:t>
            </w:r>
          </w:p>
          <w:p w14:paraId="09468821">
            <w:pPr>
              <w:snapToGrid w:val="0"/>
              <w:spacing w:line="360" w:lineRule="auto"/>
              <w:rPr>
                <w:rFonts w:cs="宋体"/>
                <w:bCs/>
                <w:color w:val="auto"/>
                <w:kern w:val="2"/>
                <w:sz w:val="24"/>
                <w:szCs w:val="24"/>
                <w:highlight w:val="none"/>
              </w:rPr>
            </w:pPr>
            <w:r>
              <w:rPr>
                <w:rFonts w:hint="eastAsia" w:cs="宋体"/>
                <w:bCs/>
                <w:color w:val="auto"/>
                <w:sz w:val="24"/>
                <w:szCs w:val="24"/>
                <w:highlight w:val="none"/>
                <w:lang w:eastAsia="zh-CN"/>
              </w:rPr>
              <w:t>乙方</w:t>
            </w:r>
            <w:r>
              <w:rPr>
                <w:rFonts w:hint="eastAsia" w:cs="宋体"/>
                <w:bCs/>
                <w:color w:val="auto"/>
                <w:sz w:val="24"/>
                <w:szCs w:val="24"/>
                <w:highlight w:val="none"/>
              </w:rPr>
              <w:t>项目经理每月在施工现场的时间：驻场时间每月不少于</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22</w:t>
            </w:r>
            <w:r>
              <w:rPr>
                <w:rFonts w:hint="eastAsia" w:cs="宋体"/>
                <w:bCs/>
                <w:color w:val="auto"/>
                <w:sz w:val="24"/>
                <w:szCs w:val="24"/>
                <w:highlight w:val="none"/>
                <w:u w:val="single"/>
              </w:rPr>
              <w:t xml:space="preserve"> </w:t>
            </w:r>
            <w:r>
              <w:rPr>
                <w:rFonts w:hint="eastAsia" w:cs="宋体"/>
                <w:bCs/>
                <w:color w:val="auto"/>
                <w:sz w:val="24"/>
                <w:szCs w:val="24"/>
                <w:highlight w:val="none"/>
              </w:rPr>
              <w:t>天，每天在岗工作时间不得少于</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8</w:t>
            </w:r>
            <w:r>
              <w:rPr>
                <w:rFonts w:hint="eastAsia" w:cs="宋体"/>
                <w:bCs/>
                <w:color w:val="auto"/>
                <w:sz w:val="24"/>
                <w:szCs w:val="24"/>
                <w:highlight w:val="none"/>
                <w:u w:val="single"/>
              </w:rPr>
              <w:t xml:space="preserve"> </w:t>
            </w:r>
            <w:r>
              <w:rPr>
                <w:rFonts w:hint="eastAsia" w:cs="宋体"/>
                <w:bCs/>
                <w:color w:val="auto"/>
                <w:sz w:val="24"/>
                <w:szCs w:val="24"/>
                <w:highlight w:val="none"/>
              </w:rPr>
              <w:t>小时。</w:t>
            </w:r>
          </w:p>
        </w:tc>
      </w:tr>
      <w:tr w14:paraId="7C31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E6BF848">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5AB1B1A0">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3.7</w:t>
            </w:r>
          </w:p>
        </w:tc>
        <w:tc>
          <w:tcPr>
            <w:tcW w:w="7304" w:type="dxa"/>
            <w:vAlign w:val="center"/>
          </w:tcPr>
          <w:p w14:paraId="5746A387">
            <w:pPr>
              <w:snapToGrid w:val="0"/>
              <w:spacing w:line="360" w:lineRule="auto"/>
              <w:rPr>
                <w:rFonts w:hint="eastAsia" w:cs="宋体"/>
                <w:bCs/>
                <w:color w:val="auto"/>
                <w:kern w:val="2"/>
                <w:sz w:val="24"/>
                <w:szCs w:val="24"/>
                <w:highlight w:val="none"/>
                <w:u w:val="single"/>
              </w:rPr>
            </w:pPr>
            <w:r>
              <w:rPr>
                <w:rFonts w:hint="eastAsia" w:cs="宋体"/>
                <w:bCs/>
                <w:color w:val="auto"/>
                <w:kern w:val="2"/>
                <w:sz w:val="24"/>
                <w:szCs w:val="24"/>
                <w:highlight w:val="none"/>
              </w:rPr>
              <w:t>（1）金额：</w:t>
            </w:r>
            <w:r>
              <w:rPr>
                <w:rFonts w:hint="eastAsia" w:cs="宋体"/>
                <w:bCs/>
                <w:color w:val="auto"/>
                <w:kern w:val="2"/>
                <w:sz w:val="24"/>
                <w:szCs w:val="24"/>
                <w:highlight w:val="none"/>
                <w:u w:val="single"/>
              </w:rPr>
              <w:t>合同价的</w:t>
            </w:r>
            <w:r>
              <w:rPr>
                <w:rFonts w:hint="eastAsia" w:cs="宋体"/>
                <w:bCs/>
                <w:color w:val="auto"/>
                <w:kern w:val="2"/>
                <w:sz w:val="24"/>
                <w:szCs w:val="24"/>
                <w:highlight w:val="none"/>
                <w:u w:val="single"/>
                <w:lang w:val="en-US" w:eastAsia="zh-CN"/>
              </w:rPr>
              <w:t>10</w:t>
            </w:r>
            <w:r>
              <w:rPr>
                <w:rFonts w:hint="eastAsia" w:cs="宋体"/>
                <w:bCs/>
                <w:color w:val="auto"/>
                <w:kern w:val="2"/>
                <w:sz w:val="24"/>
                <w:szCs w:val="24"/>
                <w:highlight w:val="none"/>
                <w:u w:val="single"/>
              </w:rPr>
              <w:t>%</w:t>
            </w:r>
          </w:p>
          <w:p w14:paraId="6A380085">
            <w:pPr>
              <w:snapToGrid w:val="0"/>
              <w:spacing w:line="360" w:lineRule="auto"/>
              <w:rPr>
                <w:rFonts w:hint="eastAsia" w:cs="宋体"/>
                <w:bCs/>
                <w:color w:val="auto"/>
                <w:kern w:val="2"/>
                <w:sz w:val="24"/>
                <w:szCs w:val="24"/>
                <w:highlight w:val="none"/>
                <w:u w:val="single"/>
              </w:rPr>
            </w:pPr>
            <w:r>
              <w:rPr>
                <w:rFonts w:hint="eastAsia" w:cs="宋体"/>
                <w:bCs/>
                <w:color w:val="auto"/>
                <w:kern w:val="2"/>
                <w:sz w:val="24"/>
                <w:szCs w:val="24"/>
                <w:highlight w:val="none"/>
              </w:rPr>
              <w:t>（2）支付方式：</w:t>
            </w:r>
            <w:r>
              <w:rPr>
                <w:rFonts w:hint="eastAsia" w:cs="宋体"/>
                <w:bCs/>
                <w:color w:val="auto"/>
                <w:kern w:val="2"/>
                <w:sz w:val="24"/>
                <w:szCs w:val="24"/>
                <w:highlight w:val="none"/>
                <w:u w:val="single"/>
              </w:rPr>
              <w:t>转账/电汇</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支票</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汇票</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本票</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保险</w:t>
            </w:r>
            <w:r>
              <w:rPr>
                <w:rFonts w:hint="eastAsia" w:cs="宋体"/>
                <w:bCs/>
                <w:color w:val="auto"/>
                <w:kern w:val="2"/>
                <w:sz w:val="24"/>
                <w:szCs w:val="24"/>
                <w:highlight w:val="none"/>
                <w:u w:val="single"/>
                <w:lang w:eastAsia="zh-CN"/>
              </w:rPr>
              <w:t>、</w:t>
            </w:r>
            <w:r>
              <w:rPr>
                <w:rFonts w:hint="eastAsia" w:cs="宋体"/>
                <w:bCs/>
                <w:color w:val="auto"/>
                <w:kern w:val="2"/>
                <w:sz w:val="24"/>
                <w:szCs w:val="24"/>
                <w:highlight w:val="none"/>
                <w:u w:val="single"/>
              </w:rPr>
              <w:t>保函</w:t>
            </w:r>
          </w:p>
          <w:p w14:paraId="4AA9C0EA">
            <w:pPr>
              <w:snapToGrid w:val="0"/>
              <w:spacing w:line="360" w:lineRule="auto"/>
              <w:rPr>
                <w:rFonts w:hint="eastAsia" w:cs="宋体"/>
                <w:bCs/>
                <w:color w:val="auto"/>
                <w:kern w:val="2"/>
                <w:sz w:val="24"/>
                <w:szCs w:val="24"/>
                <w:highlight w:val="none"/>
              </w:rPr>
            </w:pPr>
            <w:r>
              <w:rPr>
                <w:rFonts w:hint="eastAsia" w:cs="宋体"/>
                <w:bCs/>
                <w:color w:val="auto"/>
                <w:kern w:val="2"/>
                <w:sz w:val="24"/>
                <w:szCs w:val="24"/>
                <w:highlight w:val="none"/>
              </w:rPr>
              <w:t>（3）收取单位：</w:t>
            </w:r>
            <w:r>
              <w:rPr>
                <w:rFonts w:hint="eastAsia" w:cs="宋体"/>
                <w:bCs/>
                <w:color w:val="auto"/>
                <w:kern w:val="2"/>
                <w:sz w:val="24"/>
                <w:szCs w:val="24"/>
                <w:highlight w:val="none"/>
                <w:u w:val="single"/>
              </w:rPr>
              <w:t>本项目为统采分签项目，成交后履约保证金由各</w:t>
            </w:r>
            <w:r>
              <w:rPr>
                <w:rFonts w:hint="eastAsia" w:cs="宋体"/>
                <w:bCs/>
                <w:color w:val="auto"/>
                <w:kern w:val="2"/>
                <w:sz w:val="24"/>
                <w:szCs w:val="24"/>
                <w:highlight w:val="none"/>
                <w:u w:val="single"/>
                <w:lang w:eastAsia="zh-CN"/>
              </w:rPr>
              <w:t>合同甲方</w:t>
            </w:r>
            <w:r>
              <w:rPr>
                <w:rFonts w:hint="eastAsia" w:cs="宋体"/>
                <w:bCs/>
                <w:color w:val="auto"/>
                <w:kern w:val="2"/>
                <w:sz w:val="24"/>
                <w:szCs w:val="24"/>
                <w:highlight w:val="none"/>
                <w:u w:val="single"/>
              </w:rPr>
              <w:t>分别收取</w:t>
            </w:r>
          </w:p>
          <w:p w14:paraId="39571589">
            <w:pPr>
              <w:snapToGrid w:val="0"/>
              <w:spacing w:line="360" w:lineRule="auto"/>
              <w:rPr>
                <w:rFonts w:hint="eastAsia" w:cs="宋体"/>
                <w:bCs/>
                <w:color w:val="auto"/>
                <w:kern w:val="2"/>
                <w:sz w:val="24"/>
                <w:szCs w:val="24"/>
                <w:highlight w:val="none"/>
              </w:rPr>
            </w:pPr>
            <w:r>
              <w:rPr>
                <w:rFonts w:hint="eastAsia" w:cs="宋体"/>
                <w:bCs/>
                <w:color w:val="auto"/>
                <w:kern w:val="2"/>
                <w:sz w:val="24"/>
                <w:szCs w:val="24"/>
                <w:highlight w:val="none"/>
              </w:rPr>
              <w:t>（4）收取账号：</w:t>
            </w:r>
            <w:r>
              <w:rPr>
                <w:rFonts w:hint="eastAsia" w:cs="宋体"/>
                <w:bCs/>
                <w:color w:val="auto"/>
                <w:kern w:val="2"/>
                <w:sz w:val="24"/>
                <w:szCs w:val="24"/>
                <w:highlight w:val="none"/>
                <w:u w:val="single"/>
              </w:rPr>
              <w:t>成交后提供</w:t>
            </w:r>
          </w:p>
          <w:p w14:paraId="60C37DEA">
            <w:pPr>
              <w:spacing w:line="360" w:lineRule="auto"/>
              <w:rPr>
                <w:rFonts w:hint="eastAsia" w:ascii="Times New Roman" w:hAnsi="Times New Roman" w:eastAsia="宋体" w:cs="Times New Roman"/>
                <w:sz w:val="24"/>
                <w:szCs w:val="24"/>
                <w:highlight w:val="none"/>
                <w:u w:val="single"/>
                <w:lang w:eastAsia="zh-CN"/>
              </w:rPr>
            </w:pPr>
            <w:r>
              <w:rPr>
                <w:rFonts w:hint="eastAsia" w:cs="宋体"/>
                <w:bCs/>
                <w:color w:val="auto"/>
                <w:kern w:val="2"/>
                <w:sz w:val="24"/>
                <w:szCs w:val="24"/>
                <w:highlight w:val="none"/>
              </w:rPr>
              <w:t>（5）退还时间：</w:t>
            </w:r>
            <w:r>
              <w:rPr>
                <w:rFonts w:hint="eastAsia" w:ascii="Times New Roman" w:hAnsi="Times New Roman" w:cs="Times New Roman"/>
                <w:sz w:val="24"/>
                <w:szCs w:val="24"/>
                <w:highlight w:val="none"/>
                <w:u w:val="single"/>
                <w:lang w:eastAsia="zh-CN"/>
              </w:rPr>
              <w:t>履约保证金在合同生效之日起至项目验收合格前一直有效，验收</w:t>
            </w:r>
            <w:r>
              <w:rPr>
                <w:rFonts w:hint="eastAsia" w:ascii="Times New Roman" w:hAnsi="Times New Roman" w:cs="Times New Roman"/>
                <w:sz w:val="24"/>
                <w:szCs w:val="24"/>
                <w:highlight w:val="none"/>
                <w:u w:val="single"/>
                <w:lang w:val="en-US" w:eastAsia="zh-CN"/>
              </w:rPr>
              <w:t>合格</w:t>
            </w:r>
            <w:r>
              <w:rPr>
                <w:rFonts w:hint="eastAsia" w:ascii="Times New Roman" w:hAnsi="Times New Roman" w:cs="Times New Roman"/>
                <w:sz w:val="24"/>
                <w:szCs w:val="24"/>
                <w:highlight w:val="none"/>
                <w:u w:val="single"/>
                <w:lang w:eastAsia="zh-CN"/>
              </w:rPr>
              <w:t>后经乙方申请，合同甲方确认后按规定及时将履约保证金款项退还给乙方或者解除履约担保。</w:t>
            </w:r>
          </w:p>
          <w:p w14:paraId="5E202F1D">
            <w:pPr>
              <w:snapToGrid w:val="0"/>
              <w:spacing w:line="360" w:lineRule="auto"/>
              <w:rPr>
                <w:rFonts w:hint="eastAsia" w:cs="宋体"/>
                <w:b/>
                <w:bCs w:val="0"/>
                <w:color w:val="auto"/>
                <w:kern w:val="2"/>
                <w:sz w:val="24"/>
                <w:szCs w:val="24"/>
                <w:highlight w:val="none"/>
              </w:rPr>
            </w:pPr>
            <w:r>
              <w:rPr>
                <w:rFonts w:hint="eastAsia" w:cs="宋体"/>
                <w:b/>
                <w:bCs w:val="0"/>
                <w:color w:val="auto"/>
                <w:kern w:val="2"/>
                <w:sz w:val="24"/>
                <w:szCs w:val="24"/>
                <w:highlight w:val="none"/>
              </w:rPr>
              <w:t>如果</w:t>
            </w:r>
            <w:r>
              <w:rPr>
                <w:rFonts w:hint="eastAsia" w:cs="宋体"/>
                <w:b/>
                <w:bCs w:val="0"/>
                <w:color w:val="auto"/>
                <w:kern w:val="2"/>
                <w:sz w:val="24"/>
                <w:szCs w:val="24"/>
                <w:highlight w:val="none"/>
                <w:lang w:eastAsia="zh-CN"/>
              </w:rPr>
              <w:t>乙方</w:t>
            </w:r>
            <w:r>
              <w:rPr>
                <w:rFonts w:hint="eastAsia" w:cs="宋体"/>
                <w:b/>
                <w:bCs w:val="0"/>
                <w:color w:val="auto"/>
                <w:kern w:val="2"/>
                <w:sz w:val="24"/>
                <w:szCs w:val="24"/>
                <w:highlight w:val="none"/>
              </w:rPr>
              <w:t>不履行合同，履约保证金不予退还；如果</w:t>
            </w:r>
            <w:r>
              <w:rPr>
                <w:rFonts w:hint="eastAsia" w:cs="宋体"/>
                <w:b/>
                <w:bCs w:val="0"/>
                <w:color w:val="auto"/>
                <w:kern w:val="2"/>
                <w:sz w:val="24"/>
                <w:szCs w:val="24"/>
                <w:highlight w:val="none"/>
                <w:lang w:eastAsia="zh-CN"/>
              </w:rPr>
              <w:t>乙方</w:t>
            </w:r>
            <w:r>
              <w:rPr>
                <w:rFonts w:hint="eastAsia" w:cs="宋体"/>
                <w:b/>
                <w:bCs w:val="0"/>
                <w:color w:val="auto"/>
                <w:kern w:val="2"/>
                <w:sz w:val="24"/>
                <w:szCs w:val="24"/>
                <w:highlight w:val="none"/>
              </w:rPr>
              <w:t>未能按合同约定全面履行义务，</w:t>
            </w:r>
            <w:r>
              <w:rPr>
                <w:rFonts w:hint="eastAsia" w:cs="宋体"/>
                <w:b/>
                <w:bCs w:val="0"/>
                <w:color w:val="auto"/>
                <w:kern w:val="2"/>
                <w:sz w:val="24"/>
                <w:szCs w:val="24"/>
                <w:highlight w:val="none"/>
                <w:lang w:eastAsia="zh-CN"/>
              </w:rPr>
              <w:t>合同甲方</w:t>
            </w:r>
            <w:r>
              <w:rPr>
                <w:rFonts w:hint="eastAsia" w:cs="宋体"/>
                <w:b/>
                <w:bCs w:val="0"/>
                <w:color w:val="auto"/>
                <w:kern w:val="2"/>
                <w:sz w:val="24"/>
                <w:szCs w:val="24"/>
                <w:highlight w:val="none"/>
              </w:rPr>
              <w:t>有权从履约保证金中取得补偿或赔偿，同时不影响</w:t>
            </w:r>
            <w:r>
              <w:rPr>
                <w:rFonts w:hint="eastAsia" w:cs="宋体"/>
                <w:b/>
                <w:bCs w:val="0"/>
                <w:color w:val="auto"/>
                <w:kern w:val="2"/>
                <w:sz w:val="24"/>
                <w:szCs w:val="24"/>
                <w:highlight w:val="none"/>
                <w:lang w:eastAsia="zh-CN"/>
              </w:rPr>
              <w:t>合同甲方</w:t>
            </w:r>
            <w:r>
              <w:rPr>
                <w:rFonts w:hint="eastAsia" w:cs="宋体"/>
                <w:b/>
                <w:bCs w:val="0"/>
                <w:color w:val="auto"/>
                <w:kern w:val="2"/>
                <w:sz w:val="24"/>
                <w:szCs w:val="24"/>
                <w:highlight w:val="none"/>
              </w:rPr>
              <w:t>要求</w:t>
            </w:r>
            <w:r>
              <w:rPr>
                <w:rFonts w:hint="eastAsia" w:cs="宋体"/>
                <w:b/>
                <w:bCs w:val="0"/>
                <w:color w:val="auto"/>
                <w:kern w:val="2"/>
                <w:sz w:val="24"/>
                <w:szCs w:val="24"/>
                <w:highlight w:val="none"/>
                <w:lang w:eastAsia="zh-CN"/>
              </w:rPr>
              <w:t>乙方</w:t>
            </w:r>
            <w:r>
              <w:rPr>
                <w:rFonts w:hint="eastAsia" w:cs="宋体"/>
                <w:b/>
                <w:bCs w:val="0"/>
                <w:color w:val="auto"/>
                <w:kern w:val="2"/>
                <w:sz w:val="24"/>
                <w:szCs w:val="24"/>
                <w:highlight w:val="none"/>
              </w:rPr>
              <w:t>承担合同约定的超过履约保证金的违约责任的权利。</w:t>
            </w:r>
          </w:p>
          <w:p w14:paraId="6584D679">
            <w:pPr>
              <w:snapToGrid w:val="0"/>
              <w:spacing w:line="360" w:lineRule="auto"/>
              <w:rPr>
                <w:rFonts w:hint="eastAsia" w:cs="宋体"/>
                <w:b/>
                <w:bCs w:val="0"/>
                <w:color w:val="auto"/>
                <w:kern w:val="2"/>
                <w:sz w:val="24"/>
                <w:szCs w:val="24"/>
                <w:highlight w:val="none"/>
              </w:rPr>
            </w:pPr>
            <w:r>
              <w:rPr>
                <w:rFonts w:hint="eastAsia" w:cs="宋体"/>
                <w:b/>
                <w:bCs w:val="0"/>
                <w:color w:val="auto"/>
                <w:kern w:val="2"/>
                <w:sz w:val="24"/>
                <w:szCs w:val="24"/>
                <w:highlight w:val="none"/>
              </w:rPr>
              <w:t>注意事项：</w:t>
            </w:r>
          </w:p>
          <w:p w14:paraId="277B35B0">
            <w:pPr>
              <w:snapToGrid w:val="0"/>
              <w:spacing w:line="360" w:lineRule="auto"/>
              <w:rPr>
                <w:rFonts w:hint="eastAsia" w:cs="宋体"/>
                <w:b/>
                <w:bCs w:val="0"/>
                <w:color w:val="auto"/>
                <w:kern w:val="2"/>
                <w:sz w:val="24"/>
                <w:szCs w:val="24"/>
                <w:highlight w:val="none"/>
              </w:rPr>
            </w:pPr>
            <w:r>
              <w:rPr>
                <w:rFonts w:hint="eastAsia" w:cs="宋体"/>
                <w:b/>
                <w:bCs w:val="0"/>
                <w:color w:val="auto"/>
                <w:kern w:val="2"/>
                <w:sz w:val="24"/>
                <w:szCs w:val="24"/>
                <w:highlight w:val="none"/>
              </w:rPr>
              <w:t>（1）以上各类机构出具的以担保函、保证保险承担责任的方式均须满足无条件见索即付条件。</w:t>
            </w:r>
          </w:p>
          <w:p w14:paraId="58481A59">
            <w:pPr>
              <w:snapToGrid w:val="0"/>
              <w:spacing w:line="360" w:lineRule="auto"/>
              <w:rPr>
                <w:rFonts w:cs="宋体"/>
                <w:bCs/>
                <w:color w:val="auto"/>
                <w:kern w:val="2"/>
                <w:sz w:val="24"/>
                <w:szCs w:val="24"/>
                <w:highlight w:val="none"/>
              </w:rPr>
            </w:pPr>
            <w:r>
              <w:rPr>
                <w:rFonts w:hint="eastAsia" w:cs="宋体"/>
                <w:b/>
                <w:bCs w:val="0"/>
                <w:color w:val="auto"/>
                <w:kern w:val="2"/>
                <w:sz w:val="24"/>
                <w:szCs w:val="24"/>
                <w:highlight w:val="none"/>
              </w:rPr>
              <w:t>（2）以担保函、保证保险形式缴纳履约保证金的，</w:t>
            </w:r>
            <w:r>
              <w:rPr>
                <w:rFonts w:hint="eastAsia" w:ascii="宋体" w:hAnsi="宋体" w:eastAsia="宋体" w:cs="宋体"/>
                <w:b/>
                <w:bCs w:val="0"/>
                <w:color w:val="auto"/>
                <w:kern w:val="2"/>
                <w:sz w:val="24"/>
                <w:szCs w:val="24"/>
                <w:highlight w:val="none"/>
              </w:rPr>
              <w:t>受益人和收取单位须为</w:t>
            </w:r>
            <w:r>
              <w:rPr>
                <w:rFonts w:hint="eastAsia" w:cs="宋体"/>
                <w:b/>
                <w:bCs w:val="0"/>
                <w:color w:val="auto"/>
                <w:kern w:val="2"/>
                <w:sz w:val="24"/>
                <w:szCs w:val="24"/>
                <w:highlight w:val="none"/>
                <w:lang w:eastAsia="zh-CN"/>
              </w:rPr>
              <w:t>合同甲方</w:t>
            </w:r>
            <w:r>
              <w:rPr>
                <w:rFonts w:hint="eastAsia" w:ascii="宋体" w:hAnsi="宋体" w:eastAsia="宋体" w:cs="宋体"/>
                <w:b/>
                <w:bCs w:val="0"/>
                <w:color w:val="auto"/>
                <w:kern w:val="2"/>
                <w:sz w:val="24"/>
                <w:szCs w:val="24"/>
                <w:highlight w:val="none"/>
              </w:rPr>
              <w:t>。</w:t>
            </w:r>
          </w:p>
        </w:tc>
      </w:tr>
      <w:tr w14:paraId="195A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D8341A3">
            <w:pPr>
              <w:numPr>
                <w:ilvl w:val="0"/>
                <w:numId w:val="4"/>
              </w:numPr>
              <w:snapToGrid w:val="0"/>
              <w:spacing w:line="360" w:lineRule="auto"/>
              <w:jc w:val="center"/>
              <w:rPr>
                <w:rFonts w:cs="宋体"/>
                <w:bCs/>
                <w:color w:val="auto"/>
                <w:sz w:val="24"/>
                <w:szCs w:val="24"/>
                <w:highlight w:val="none"/>
              </w:rPr>
            </w:pPr>
          </w:p>
        </w:tc>
        <w:tc>
          <w:tcPr>
            <w:tcW w:w="1111" w:type="dxa"/>
            <w:vAlign w:val="center"/>
          </w:tcPr>
          <w:p w14:paraId="730C8176">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5.1.1</w:t>
            </w:r>
          </w:p>
        </w:tc>
        <w:tc>
          <w:tcPr>
            <w:tcW w:w="7304" w:type="dxa"/>
            <w:vAlign w:val="center"/>
          </w:tcPr>
          <w:p w14:paraId="232AA940">
            <w:pPr>
              <w:snapToGrid w:val="0"/>
              <w:spacing w:line="360" w:lineRule="auto"/>
              <w:rPr>
                <w:rFonts w:cs="宋体"/>
                <w:bCs/>
                <w:color w:val="auto"/>
                <w:sz w:val="24"/>
                <w:szCs w:val="24"/>
                <w:highlight w:val="none"/>
              </w:rPr>
            </w:pPr>
            <w:r>
              <w:rPr>
                <w:rFonts w:hint="eastAsia" w:cs="宋体"/>
                <w:bCs/>
                <w:color w:val="auto"/>
                <w:sz w:val="24"/>
                <w:szCs w:val="24"/>
                <w:highlight w:val="none"/>
              </w:rPr>
              <w:t>5.1.1 特殊质量标准和要求：</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04F8A375">
            <w:pPr>
              <w:snapToGrid w:val="0"/>
              <w:spacing w:line="360" w:lineRule="auto"/>
              <w:rPr>
                <w:rFonts w:cs="宋体"/>
                <w:bCs/>
                <w:color w:val="auto"/>
                <w:sz w:val="24"/>
                <w:szCs w:val="24"/>
                <w:highlight w:val="none"/>
              </w:rPr>
            </w:pPr>
            <w:r>
              <w:rPr>
                <w:rFonts w:hint="eastAsia" w:cs="宋体"/>
                <w:bCs/>
                <w:color w:val="auto"/>
                <w:sz w:val="24"/>
                <w:szCs w:val="24"/>
                <w:highlight w:val="none"/>
              </w:rPr>
              <w:t>关于工程奖项的约定：</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71B31FC2">
            <w:pPr>
              <w:snapToGrid w:val="0"/>
              <w:spacing w:line="360" w:lineRule="auto"/>
              <w:rPr>
                <w:rFonts w:cs="宋体"/>
                <w:bCs/>
                <w:color w:val="auto"/>
                <w:sz w:val="24"/>
                <w:szCs w:val="24"/>
                <w:highlight w:val="none"/>
              </w:rPr>
            </w:pPr>
            <w:r>
              <w:rPr>
                <w:rFonts w:hint="eastAsia" w:cs="宋体"/>
                <w:bCs/>
                <w:color w:val="auto"/>
                <w:sz w:val="24"/>
                <w:szCs w:val="24"/>
                <w:highlight w:val="none"/>
              </w:rPr>
              <w:t>关于建造要求：</w:t>
            </w:r>
          </w:p>
          <w:p w14:paraId="756F14E1">
            <w:pPr>
              <w:snapToGrid w:val="0"/>
              <w:spacing w:line="360" w:lineRule="auto"/>
              <w:rPr>
                <w:rFonts w:cs="宋体"/>
                <w:bCs/>
                <w:color w:val="auto"/>
                <w:sz w:val="24"/>
                <w:szCs w:val="24"/>
                <w:highlight w:val="none"/>
              </w:rPr>
            </w:pPr>
            <w:r>
              <w:rPr>
                <w:rFonts w:hint="eastAsia" w:cs="宋体"/>
                <w:bCs/>
                <w:color w:val="auto"/>
                <w:sz w:val="24"/>
                <w:szCs w:val="24"/>
                <w:highlight w:val="none"/>
              </w:rPr>
              <w:t>（1）绿色建筑等级要求：</w:t>
            </w:r>
            <w:r>
              <w:rPr>
                <w:rFonts w:hint="eastAsia" w:cs="宋体"/>
                <w:bCs/>
                <w:color w:val="auto"/>
                <w:sz w:val="24"/>
                <w:szCs w:val="24"/>
                <w:highlight w:val="none"/>
                <w:u w:val="single"/>
                <w:lang w:val="en-US" w:eastAsia="zh-CN"/>
              </w:rPr>
              <w:t>/</w:t>
            </w:r>
            <w:r>
              <w:rPr>
                <w:rFonts w:hint="eastAsia" w:cs="宋体"/>
                <w:bCs/>
                <w:color w:val="auto"/>
                <w:sz w:val="24"/>
                <w:szCs w:val="24"/>
                <w:highlight w:val="none"/>
              </w:rPr>
              <w:t>；</w:t>
            </w:r>
          </w:p>
          <w:p w14:paraId="5AB74BB9">
            <w:pPr>
              <w:snapToGrid w:val="0"/>
              <w:spacing w:line="360" w:lineRule="auto"/>
              <w:rPr>
                <w:rFonts w:cs="宋体"/>
                <w:bCs/>
                <w:color w:val="auto"/>
                <w:sz w:val="24"/>
                <w:szCs w:val="24"/>
                <w:highlight w:val="none"/>
              </w:rPr>
            </w:pPr>
            <w:r>
              <w:rPr>
                <w:rFonts w:hint="eastAsia" w:cs="宋体"/>
                <w:bCs/>
                <w:color w:val="auto"/>
                <w:sz w:val="24"/>
                <w:szCs w:val="24"/>
                <w:highlight w:val="none"/>
              </w:rPr>
              <w:t>（2）智慧工地管理要求：</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1681DC2C">
            <w:pPr>
              <w:snapToGrid w:val="0"/>
              <w:spacing w:line="360" w:lineRule="auto"/>
              <w:rPr>
                <w:rFonts w:cs="宋体"/>
                <w:bCs/>
                <w:color w:val="auto"/>
                <w:sz w:val="24"/>
                <w:szCs w:val="24"/>
                <w:highlight w:val="none"/>
              </w:rPr>
            </w:pPr>
            <w:r>
              <w:rPr>
                <w:rFonts w:hint="eastAsia" w:cs="宋体"/>
                <w:bCs/>
                <w:color w:val="auto"/>
                <w:sz w:val="24"/>
                <w:szCs w:val="24"/>
                <w:highlight w:val="none"/>
              </w:rPr>
              <w:t>（3）建筑垃圾减量化目标：</w:t>
            </w:r>
            <w:r>
              <w:rPr>
                <w:rFonts w:hint="eastAsia" w:cs="宋体"/>
                <w:bCs/>
                <w:color w:val="auto"/>
                <w:sz w:val="24"/>
                <w:szCs w:val="24"/>
                <w:highlight w:val="none"/>
                <w:u w:val="single"/>
                <w:lang w:val="en-US" w:eastAsia="zh-CN"/>
              </w:rPr>
              <w:t>/</w:t>
            </w:r>
            <w:r>
              <w:rPr>
                <w:rFonts w:hint="eastAsia" w:cs="宋体"/>
                <w:bCs/>
                <w:color w:val="auto"/>
                <w:sz w:val="24"/>
                <w:szCs w:val="24"/>
                <w:highlight w:val="none"/>
              </w:rPr>
              <w:t>；</w:t>
            </w:r>
          </w:p>
          <w:p w14:paraId="6F373D4B">
            <w:pPr>
              <w:snapToGrid w:val="0"/>
              <w:spacing w:line="360" w:lineRule="auto"/>
              <w:rPr>
                <w:rFonts w:cs="宋体"/>
                <w:bCs/>
                <w:color w:val="auto"/>
                <w:sz w:val="24"/>
                <w:szCs w:val="24"/>
                <w:highlight w:val="none"/>
              </w:rPr>
            </w:pPr>
            <w:r>
              <w:rPr>
                <w:rFonts w:hint="eastAsia" w:cs="宋体"/>
                <w:bCs/>
                <w:color w:val="auto"/>
                <w:sz w:val="24"/>
                <w:szCs w:val="24"/>
                <w:highlight w:val="none"/>
              </w:rPr>
              <w:t>（4）装配式建筑装配率要求：</w:t>
            </w:r>
            <w:r>
              <w:rPr>
                <w:rFonts w:hint="eastAsia" w:cs="宋体"/>
                <w:bCs/>
                <w:color w:val="auto"/>
                <w:sz w:val="24"/>
                <w:szCs w:val="24"/>
                <w:highlight w:val="none"/>
                <w:u w:val="single"/>
                <w:lang w:val="en-US" w:eastAsia="zh-CN"/>
              </w:rPr>
              <w:t>/</w:t>
            </w:r>
            <w:r>
              <w:rPr>
                <w:rFonts w:hint="eastAsia" w:cs="宋体"/>
                <w:bCs/>
                <w:color w:val="auto"/>
                <w:sz w:val="24"/>
                <w:szCs w:val="24"/>
                <w:highlight w:val="none"/>
              </w:rPr>
              <w:t>；</w:t>
            </w:r>
          </w:p>
          <w:p w14:paraId="445305C3">
            <w:pPr>
              <w:snapToGrid w:val="0"/>
              <w:spacing w:line="360" w:lineRule="auto"/>
              <w:rPr>
                <w:rFonts w:cs="宋体"/>
                <w:bCs/>
                <w:color w:val="auto"/>
                <w:sz w:val="24"/>
                <w:szCs w:val="24"/>
                <w:highlight w:val="none"/>
              </w:rPr>
            </w:pPr>
            <w:r>
              <w:rPr>
                <w:rFonts w:hint="eastAsia" w:cs="宋体"/>
                <w:bCs/>
                <w:color w:val="auto"/>
                <w:sz w:val="24"/>
                <w:szCs w:val="24"/>
                <w:highlight w:val="none"/>
              </w:rPr>
              <w:t>（5）</w:t>
            </w:r>
            <w:r>
              <w:rPr>
                <w:rFonts w:hint="eastAsia" w:cs="宋体"/>
                <w:bCs/>
                <w:color w:val="auto"/>
                <w:sz w:val="24"/>
                <w:szCs w:val="24"/>
                <w:highlight w:val="none"/>
                <w:u w:val="single"/>
                <w:lang w:val="en-US" w:eastAsia="zh-CN"/>
              </w:rPr>
              <w:t>/</w:t>
            </w:r>
            <w:r>
              <w:rPr>
                <w:rFonts w:hint="eastAsia" w:cs="宋体"/>
                <w:bCs/>
                <w:color w:val="auto"/>
                <w:sz w:val="24"/>
                <w:szCs w:val="24"/>
                <w:highlight w:val="none"/>
                <w:u w:val="single"/>
              </w:rPr>
              <w:t xml:space="preserve"> </w:t>
            </w:r>
            <w:r>
              <w:rPr>
                <w:rFonts w:hint="eastAsia" w:cs="宋体"/>
                <w:bCs/>
                <w:color w:val="auto"/>
                <w:sz w:val="24"/>
                <w:szCs w:val="24"/>
                <w:highlight w:val="none"/>
              </w:rPr>
              <w:t>。</w:t>
            </w:r>
          </w:p>
        </w:tc>
      </w:tr>
      <w:tr w14:paraId="21B0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29" w:type="dxa"/>
            <w:vAlign w:val="center"/>
          </w:tcPr>
          <w:p w14:paraId="4254410E">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599BCC3A">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7.5.2</w:t>
            </w:r>
          </w:p>
        </w:tc>
        <w:tc>
          <w:tcPr>
            <w:tcW w:w="7304" w:type="dxa"/>
            <w:tcBorders>
              <w:bottom w:val="single" w:color="auto" w:sz="4" w:space="0"/>
            </w:tcBorders>
            <w:vAlign w:val="center"/>
          </w:tcPr>
          <w:p w14:paraId="3E773B7E">
            <w:pPr>
              <w:snapToGrid w:val="0"/>
              <w:spacing w:line="360" w:lineRule="auto"/>
              <w:rPr>
                <w:rFonts w:hint="eastAsia" w:ascii="宋体" w:hAnsi="宋体" w:eastAsia="宋体" w:cs="宋体"/>
                <w:bCs/>
                <w:color w:val="auto"/>
                <w:kern w:val="2"/>
                <w:sz w:val="24"/>
                <w:szCs w:val="24"/>
                <w:highlight w:val="none"/>
                <w:u w:val="single"/>
              </w:rPr>
            </w:pPr>
            <w:r>
              <w:rPr>
                <w:rFonts w:hint="eastAsia" w:cs="宋体"/>
                <w:bCs/>
                <w:color w:val="auto"/>
                <w:kern w:val="2"/>
                <w:sz w:val="24"/>
                <w:szCs w:val="24"/>
                <w:highlight w:val="none"/>
              </w:rPr>
              <w:t>因</w:t>
            </w:r>
            <w:r>
              <w:rPr>
                <w:rFonts w:hint="eastAsia" w:cs="宋体"/>
                <w:bCs/>
                <w:color w:val="auto"/>
                <w:kern w:val="2"/>
                <w:sz w:val="24"/>
                <w:szCs w:val="24"/>
                <w:highlight w:val="none"/>
                <w:lang w:eastAsia="zh-CN"/>
              </w:rPr>
              <w:t>乙方</w:t>
            </w:r>
            <w:r>
              <w:rPr>
                <w:rFonts w:hint="eastAsia" w:cs="宋体"/>
                <w:bCs/>
                <w:color w:val="auto"/>
                <w:kern w:val="2"/>
                <w:sz w:val="24"/>
                <w:szCs w:val="24"/>
                <w:highlight w:val="none"/>
              </w:rPr>
              <w:t>原因造成工期延误，逾期</w:t>
            </w:r>
            <w:r>
              <w:rPr>
                <w:rFonts w:hint="eastAsia" w:cs="宋体"/>
                <w:bCs/>
                <w:color w:val="auto"/>
                <w:kern w:val="2"/>
                <w:sz w:val="24"/>
                <w:szCs w:val="24"/>
                <w:highlight w:val="none"/>
                <w:lang w:eastAsia="zh-CN"/>
              </w:rPr>
              <w:t>完工</w:t>
            </w:r>
            <w:r>
              <w:rPr>
                <w:rFonts w:hint="eastAsia" w:cs="宋体"/>
                <w:bCs/>
                <w:color w:val="auto"/>
                <w:kern w:val="2"/>
                <w:sz w:val="24"/>
                <w:szCs w:val="24"/>
                <w:highlight w:val="none"/>
              </w:rPr>
              <w:t>违约金的计算方法为</w:t>
            </w:r>
            <w:r>
              <w:rPr>
                <w:rFonts w:hint="eastAsia" w:ascii="宋体" w:hAnsi="宋体" w:eastAsia="宋体" w:cs="宋体"/>
                <w:bCs/>
                <w:color w:val="auto"/>
                <w:kern w:val="2"/>
                <w:sz w:val="24"/>
                <w:szCs w:val="24"/>
                <w:highlight w:val="none"/>
              </w:rPr>
              <w:t>：</w:t>
            </w:r>
            <w:r>
              <w:rPr>
                <w:rFonts w:hint="eastAsia" w:cs="宋体"/>
                <w:bCs/>
                <w:color w:val="auto"/>
                <w:kern w:val="2"/>
                <w:sz w:val="24"/>
                <w:szCs w:val="24"/>
                <w:highlight w:val="none"/>
                <w:u w:val="single"/>
              </w:rPr>
              <w:t>因</w:t>
            </w:r>
            <w:r>
              <w:rPr>
                <w:rFonts w:hint="eastAsia" w:cs="宋体"/>
                <w:bCs/>
                <w:color w:val="auto"/>
                <w:kern w:val="2"/>
                <w:sz w:val="24"/>
                <w:szCs w:val="24"/>
                <w:highlight w:val="none"/>
                <w:u w:val="single"/>
                <w:lang w:eastAsia="zh-CN"/>
              </w:rPr>
              <w:t>乙方</w:t>
            </w:r>
            <w:r>
              <w:rPr>
                <w:rFonts w:hint="eastAsia" w:cs="宋体"/>
                <w:bCs/>
                <w:color w:val="auto"/>
                <w:kern w:val="2"/>
                <w:sz w:val="24"/>
                <w:szCs w:val="24"/>
                <w:highlight w:val="none"/>
                <w:u w:val="single"/>
              </w:rPr>
              <w:t>原因造成工程质量不合格的，</w:t>
            </w:r>
            <w:r>
              <w:rPr>
                <w:rFonts w:hint="eastAsia" w:cs="宋体"/>
                <w:bCs/>
                <w:color w:val="auto"/>
                <w:kern w:val="2"/>
                <w:sz w:val="24"/>
                <w:szCs w:val="24"/>
                <w:highlight w:val="none"/>
                <w:u w:val="single"/>
                <w:lang w:eastAsia="zh-CN"/>
              </w:rPr>
              <w:t>乙方</w:t>
            </w:r>
            <w:r>
              <w:rPr>
                <w:rFonts w:hint="eastAsia" w:cs="宋体"/>
                <w:bCs/>
                <w:color w:val="auto"/>
                <w:kern w:val="2"/>
                <w:sz w:val="24"/>
                <w:szCs w:val="24"/>
                <w:highlight w:val="none"/>
                <w:u w:val="single"/>
              </w:rPr>
              <w:t>应无条件修复达到合同约定的质量标准；无法维修的，双方协商处理。发生该条违约时，</w:t>
            </w:r>
            <w:r>
              <w:rPr>
                <w:rFonts w:hint="eastAsia" w:cs="宋体"/>
                <w:bCs/>
                <w:color w:val="auto"/>
                <w:kern w:val="2"/>
                <w:sz w:val="24"/>
                <w:szCs w:val="24"/>
                <w:highlight w:val="none"/>
                <w:u w:val="single"/>
                <w:lang w:eastAsia="zh-CN"/>
              </w:rPr>
              <w:t>甲方</w:t>
            </w:r>
            <w:r>
              <w:rPr>
                <w:rFonts w:hint="eastAsia" w:cs="宋体"/>
                <w:bCs/>
                <w:color w:val="auto"/>
                <w:kern w:val="2"/>
                <w:sz w:val="24"/>
                <w:szCs w:val="24"/>
                <w:highlight w:val="none"/>
                <w:u w:val="single"/>
              </w:rPr>
              <w:t>有权停止支付所有工程款项，不退还履约担保</w:t>
            </w:r>
            <w:r>
              <w:rPr>
                <w:rFonts w:hint="eastAsia" w:ascii="宋体" w:hAnsi="宋体" w:eastAsia="宋体" w:cs="宋体"/>
                <w:bCs/>
                <w:color w:val="auto"/>
                <w:kern w:val="2"/>
                <w:sz w:val="24"/>
                <w:szCs w:val="24"/>
                <w:highlight w:val="none"/>
                <w:u w:val="single"/>
                <w:lang w:val="en-US" w:eastAsia="zh-CN"/>
              </w:rPr>
              <w:t>。</w:t>
            </w:r>
          </w:p>
          <w:p w14:paraId="0BB64F2C">
            <w:pPr>
              <w:snapToGrid w:val="0"/>
              <w:spacing w:line="360" w:lineRule="auto"/>
              <w:rPr>
                <w:rFonts w:cs="宋体"/>
                <w:bCs/>
                <w:color w:val="auto"/>
                <w:kern w:val="2"/>
                <w:sz w:val="24"/>
                <w:szCs w:val="24"/>
                <w:highlight w:val="none"/>
              </w:rPr>
            </w:pPr>
            <w:r>
              <w:rPr>
                <w:rFonts w:hint="eastAsia" w:cs="宋体"/>
                <w:bCs/>
                <w:color w:val="auto"/>
                <w:kern w:val="2"/>
                <w:sz w:val="24"/>
                <w:szCs w:val="24"/>
                <w:highlight w:val="none"/>
              </w:rPr>
              <w:t>因</w:t>
            </w:r>
            <w:r>
              <w:rPr>
                <w:rFonts w:hint="eastAsia" w:cs="宋体"/>
                <w:bCs/>
                <w:color w:val="auto"/>
                <w:kern w:val="2"/>
                <w:sz w:val="24"/>
                <w:szCs w:val="24"/>
                <w:highlight w:val="none"/>
                <w:lang w:eastAsia="zh-CN"/>
              </w:rPr>
              <w:t>乙方</w:t>
            </w:r>
            <w:r>
              <w:rPr>
                <w:rFonts w:hint="eastAsia" w:cs="宋体"/>
                <w:bCs/>
                <w:color w:val="auto"/>
                <w:kern w:val="2"/>
                <w:sz w:val="24"/>
                <w:szCs w:val="24"/>
                <w:highlight w:val="none"/>
              </w:rPr>
              <w:t>原因造成工期延误，逾期</w:t>
            </w:r>
            <w:r>
              <w:rPr>
                <w:rFonts w:hint="eastAsia" w:cs="宋体"/>
                <w:bCs/>
                <w:color w:val="auto"/>
                <w:kern w:val="2"/>
                <w:sz w:val="24"/>
                <w:szCs w:val="24"/>
                <w:highlight w:val="none"/>
                <w:lang w:eastAsia="zh-CN"/>
              </w:rPr>
              <w:t>完工</w:t>
            </w:r>
            <w:r>
              <w:rPr>
                <w:rFonts w:hint="eastAsia" w:cs="宋体"/>
                <w:bCs/>
                <w:color w:val="auto"/>
                <w:kern w:val="2"/>
                <w:sz w:val="24"/>
                <w:szCs w:val="24"/>
                <w:highlight w:val="none"/>
              </w:rPr>
              <w:t>违约金的上限：</w:t>
            </w:r>
            <w:r>
              <w:rPr>
                <w:rFonts w:hint="eastAsia" w:cs="宋体"/>
                <w:bCs/>
                <w:color w:val="auto"/>
                <w:kern w:val="2"/>
                <w:sz w:val="24"/>
                <w:szCs w:val="24"/>
                <w:highlight w:val="none"/>
                <w:u w:val="single"/>
              </w:rPr>
              <w:t>合同总价的10%</w:t>
            </w:r>
            <w:r>
              <w:rPr>
                <w:rFonts w:hint="eastAsia" w:cs="宋体"/>
                <w:bCs/>
                <w:color w:val="auto"/>
                <w:kern w:val="2"/>
                <w:sz w:val="24"/>
                <w:szCs w:val="24"/>
                <w:highlight w:val="none"/>
              </w:rPr>
              <w:t>。</w:t>
            </w:r>
          </w:p>
        </w:tc>
      </w:tr>
      <w:tr w14:paraId="1703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905F0D3">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3C958C36">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7.9.2</w:t>
            </w:r>
          </w:p>
        </w:tc>
        <w:tc>
          <w:tcPr>
            <w:tcW w:w="7304" w:type="dxa"/>
            <w:tcBorders>
              <w:bottom w:val="single" w:color="auto" w:sz="4" w:space="0"/>
            </w:tcBorders>
            <w:vAlign w:val="center"/>
          </w:tcPr>
          <w:p w14:paraId="05A9E401">
            <w:pPr>
              <w:snapToGrid w:val="0"/>
              <w:spacing w:line="360" w:lineRule="auto"/>
              <w:rPr>
                <w:rFonts w:cs="宋体"/>
                <w:bCs/>
                <w:color w:val="auto"/>
                <w:kern w:val="2"/>
                <w:sz w:val="24"/>
                <w:szCs w:val="24"/>
                <w:highlight w:val="none"/>
              </w:rPr>
            </w:pPr>
            <w:r>
              <w:rPr>
                <w:rFonts w:hint="eastAsia" w:cs="宋体"/>
                <w:color w:val="auto"/>
                <w:sz w:val="24"/>
                <w:szCs w:val="24"/>
                <w:highlight w:val="none"/>
              </w:rPr>
              <w:t>提前</w:t>
            </w:r>
            <w:r>
              <w:rPr>
                <w:rFonts w:hint="eastAsia" w:cs="宋体"/>
                <w:color w:val="auto"/>
                <w:sz w:val="24"/>
                <w:szCs w:val="24"/>
                <w:highlight w:val="none"/>
                <w:lang w:eastAsia="zh-CN"/>
              </w:rPr>
              <w:t>完工</w:t>
            </w:r>
            <w:r>
              <w:rPr>
                <w:rFonts w:hint="eastAsia" w:cs="宋体"/>
                <w:color w:val="auto"/>
                <w:sz w:val="24"/>
                <w:szCs w:val="24"/>
                <w:highlight w:val="none"/>
              </w:rPr>
              <w:t>的奖励：</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tc>
      </w:tr>
      <w:tr w14:paraId="4AEB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29" w:type="dxa"/>
            <w:vAlign w:val="center"/>
          </w:tcPr>
          <w:p w14:paraId="264A1420">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62E5D455">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11.1</w:t>
            </w:r>
          </w:p>
        </w:tc>
        <w:tc>
          <w:tcPr>
            <w:tcW w:w="7304" w:type="dxa"/>
            <w:tcBorders>
              <w:bottom w:val="single" w:color="auto" w:sz="4" w:space="0"/>
            </w:tcBorders>
            <w:vAlign w:val="center"/>
          </w:tcPr>
          <w:p w14:paraId="0AC88703">
            <w:pPr>
              <w:pStyle w:val="34"/>
              <w:tabs>
                <w:tab w:val="clear" w:pos="4153"/>
                <w:tab w:val="clear" w:pos="8306"/>
              </w:tabs>
              <w:spacing w:line="360" w:lineRule="auto"/>
              <w:rPr>
                <w:rFonts w:cs="宋体"/>
                <w:bCs/>
                <w:color w:val="auto"/>
                <w:kern w:val="2"/>
                <w:sz w:val="24"/>
                <w:szCs w:val="24"/>
                <w:highlight w:val="none"/>
              </w:rPr>
            </w:pPr>
            <w:r>
              <w:rPr>
                <w:rFonts w:hint="eastAsia" w:cs="宋体"/>
                <w:bCs/>
                <w:color w:val="auto"/>
                <w:kern w:val="2"/>
                <w:sz w:val="24"/>
                <w:szCs w:val="24"/>
                <w:highlight w:val="none"/>
              </w:rPr>
              <w:t>市场价格波动是否调整合同价格的约定：</w:t>
            </w:r>
            <w:r>
              <w:rPr>
                <w:rFonts w:hint="eastAsia" w:cs="宋体"/>
                <w:bCs/>
                <w:color w:val="auto"/>
                <w:kern w:val="2"/>
                <w:sz w:val="24"/>
                <w:szCs w:val="24"/>
                <w:highlight w:val="none"/>
                <w:u w:val="single"/>
                <w:lang w:val="en-US" w:eastAsia="zh-CN"/>
              </w:rPr>
              <w:t>不调整</w:t>
            </w:r>
            <w:r>
              <w:rPr>
                <w:rFonts w:hint="eastAsia" w:cs="宋体"/>
                <w:bCs/>
                <w:color w:val="auto"/>
                <w:kern w:val="2"/>
                <w:sz w:val="24"/>
                <w:szCs w:val="24"/>
                <w:highlight w:val="none"/>
              </w:rPr>
              <w:t>。</w:t>
            </w:r>
          </w:p>
        </w:tc>
      </w:tr>
      <w:tr w14:paraId="7793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Align w:val="center"/>
          </w:tcPr>
          <w:p w14:paraId="2DF23251">
            <w:pPr>
              <w:numPr>
                <w:ilvl w:val="0"/>
                <w:numId w:val="4"/>
              </w:numPr>
              <w:snapToGrid w:val="0"/>
              <w:spacing w:line="360" w:lineRule="auto"/>
              <w:jc w:val="center"/>
              <w:rPr>
                <w:rFonts w:cs="宋体"/>
                <w:bCs/>
                <w:color w:val="auto"/>
                <w:sz w:val="24"/>
                <w:szCs w:val="24"/>
                <w:highlight w:val="none"/>
              </w:rPr>
            </w:pPr>
          </w:p>
        </w:tc>
        <w:tc>
          <w:tcPr>
            <w:tcW w:w="1111" w:type="dxa"/>
            <w:vAlign w:val="center"/>
          </w:tcPr>
          <w:p w14:paraId="57F7F1C1">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12.1</w:t>
            </w:r>
          </w:p>
        </w:tc>
        <w:tc>
          <w:tcPr>
            <w:tcW w:w="7304" w:type="dxa"/>
            <w:tcBorders>
              <w:bottom w:val="single" w:color="auto" w:sz="4" w:space="0"/>
            </w:tcBorders>
            <w:vAlign w:val="center"/>
          </w:tcPr>
          <w:p w14:paraId="5AB4EB78">
            <w:pPr>
              <w:pStyle w:val="34"/>
              <w:tabs>
                <w:tab w:val="clear" w:pos="4153"/>
                <w:tab w:val="clear" w:pos="8306"/>
              </w:tabs>
              <w:spacing w:line="360" w:lineRule="auto"/>
              <w:rPr>
                <w:rFonts w:hint="eastAsia" w:cs="宋体"/>
                <w:bCs/>
                <w:color w:val="auto"/>
                <w:kern w:val="2"/>
                <w:sz w:val="24"/>
                <w:szCs w:val="24"/>
                <w:highlight w:val="none"/>
              </w:rPr>
            </w:pPr>
            <w:r>
              <w:rPr>
                <w:rFonts w:hint="eastAsia" w:cs="宋体"/>
                <w:bCs/>
                <w:color w:val="auto"/>
                <w:kern w:val="2"/>
                <w:sz w:val="24"/>
                <w:szCs w:val="24"/>
                <w:highlight w:val="none"/>
              </w:rPr>
              <w:t>合同价格形式</w:t>
            </w:r>
          </w:p>
          <w:p w14:paraId="79CD3762">
            <w:pPr>
              <w:pStyle w:val="34"/>
              <w:tabs>
                <w:tab w:val="clear" w:pos="4153"/>
                <w:tab w:val="clear" w:pos="8306"/>
              </w:tabs>
              <w:spacing w:line="360" w:lineRule="auto"/>
              <w:rPr>
                <w:rFonts w:hint="eastAsia" w:cs="宋体"/>
                <w:bCs/>
                <w:color w:val="auto"/>
                <w:kern w:val="2"/>
                <w:sz w:val="24"/>
                <w:szCs w:val="24"/>
                <w:highlight w:val="none"/>
              </w:rPr>
            </w:pPr>
            <w:r>
              <w:rPr>
                <w:rFonts w:hint="eastAsia" w:cs="宋体"/>
                <w:bCs/>
                <w:color w:val="auto"/>
                <w:kern w:val="2"/>
                <w:sz w:val="24"/>
                <w:szCs w:val="24"/>
                <w:highlight w:val="none"/>
              </w:rPr>
              <w:t>(1)单价合同。</w:t>
            </w:r>
          </w:p>
          <w:p w14:paraId="4383EF6F">
            <w:pPr>
              <w:pStyle w:val="34"/>
              <w:tabs>
                <w:tab w:val="clear" w:pos="4153"/>
                <w:tab w:val="clear" w:pos="8306"/>
              </w:tabs>
              <w:spacing w:line="360" w:lineRule="auto"/>
              <w:rPr>
                <w:rFonts w:hint="eastAsia" w:cs="宋体"/>
                <w:bCs/>
                <w:color w:val="auto"/>
                <w:kern w:val="2"/>
                <w:sz w:val="24"/>
                <w:szCs w:val="24"/>
                <w:highlight w:val="none"/>
                <w:u w:val="single"/>
              </w:rPr>
            </w:pPr>
            <w:r>
              <w:rPr>
                <w:rFonts w:hint="eastAsia" w:cs="宋体"/>
                <w:bCs/>
                <w:color w:val="auto"/>
                <w:kern w:val="2"/>
                <w:sz w:val="24"/>
                <w:szCs w:val="24"/>
                <w:highlight w:val="none"/>
              </w:rPr>
              <w:t>综合单价包含的风险范围：</w:t>
            </w:r>
            <w:r>
              <w:rPr>
                <w:rFonts w:hint="eastAsia" w:cs="宋体"/>
                <w:bCs/>
                <w:color w:val="auto"/>
                <w:kern w:val="2"/>
                <w:sz w:val="24"/>
                <w:szCs w:val="24"/>
                <w:highlight w:val="none"/>
                <w:u w:val="single"/>
                <w:lang w:val="en-US" w:eastAsia="zh-CN"/>
              </w:rPr>
              <w:t>材料价格、人工成本上涨，异常天气导致的工期延误</w:t>
            </w:r>
            <w:r>
              <w:rPr>
                <w:rFonts w:hint="eastAsia" w:cs="宋体"/>
                <w:bCs/>
                <w:color w:val="auto"/>
                <w:kern w:val="2"/>
                <w:sz w:val="24"/>
                <w:szCs w:val="24"/>
                <w:highlight w:val="none"/>
                <w:u w:val="single"/>
              </w:rPr>
              <w:t>。</w:t>
            </w:r>
          </w:p>
          <w:p w14:paraId="2EBBAA04">
            <w:pPr>
              <w:pStyle w:val="34"/>
              <w:tabs>
                <w:tab w:val="clear" w:pos="4153"/>
                <w:tab w:val="clear" w:pos="8306"/>
              </w:tabs>
              <w:spacing w:line="360" w:lineRule="auto"/>
              <w:rPr>
                <w:rFonts w:hint="eastAsia" w:eastAsia="宋体" w:cs="宋体"/>
                <w:bCs/>
                <w:color w:val="auto"/>
                <w:kern w:val="2"/>
                <w:sz w:val="24"/>
                <w:szCs w:val="24"/>
                <w:highlight w:val="none"/>
                <w:lang w:eastAsia="zh-CN"/>
              </w:rPr>
            </w:pPr>
            <w:r>
              <w:rPr>
                <w:rFonts w:hint="eastAsia" w:cs="宋体"/>
                <w:bCs/>
                <w:color w:val="auto"/>
                <w:kern w:val="2"/>
                <w:sz w:val="24"/>
                <w:szCs w:val="24"/>
                <w:highlight w:val="none"/>
              </w:rPr>
              <w:t>风险费用的计算方法：</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lang w:eastAsia="zh-CN"/>
              </w:rPr>
              <w:t>。</w:t>
            </w:r>
          </w:p>
          <w:p w14:paraId="7150DA0E">
            <w:pPr>
              <w:pStyle w:val="34"/>
              <w:tabs>
                <w:tab w:val="clear" w:pos="4153"/>
                <w:tab w:val="clear" w:pos="8306"/>
              </w:tabs>
              <w:spacing w:line="360" w:lineRule="auto"/>
              <w:rPr>
                <w:rFonts w:hint="eastAsia" w:cs="宋体"/>
                <w:bCs/>
                <w:color w:val="auto"/>
                <w:kern w:val="2"/>
                <w:sz w:val="24"/>
                <w:szCs w:val="24"/>
                <w:highlight w:val="none"/>
                <w:u w:val="single"/>
              </w:rPr>
            </w:pPr>
            <w:r>
              <w:rPr>
                <w:rFonts w:hint="eastAsia" w:cs="宋体"/>
                <w:bCs/>
                <w:color w:val="auto"/>
                <w:kern w:val="2"/>
                <w:sz w:val="24"/>
                <w:szCs w:val="24"/>
                <w:highlight w:val="none"/>
              </w:rPr>
              <w:t>风险范围以外合同价格的调整方法：</w:t>
            </w:r>
            <w:r>
              <w:rPr>
                <w:rFonts w:hint="eastAsia" w:cs="宋体"/>
                <w:bCs/>
                <w:color w:val="auto"/>
                <w:kern w:val="2"/>
                <w:sz w:val="24"/>
                <w:szCs w:val="24"/>
                <w:highlight w:val="none"/>
                <w:u w:val="single"/>
                <w:lang w:val="en-US" w:eastAsia="zh-CN"/>
              </w:rPr>
              <w:t>不调整</w:t>
            </w:r>
            <w:r>
              <w:rPr>
                <w:rFonts w:hint="eastAsia" w:cs="宋体"/>
                <w:bCs/>
                <w:color w:val="auto"/>
                <w:kern w:val="2"/>
                <w:sz w:val="24"/>
                <w:szCs w:val="24"/>
                <w:highlight w:val="none"/>
                <w:u w:val="single"/>
              </w:rPr>
              <w:t>。</w:t>
            </w:r>
          </w:p>
          <w:p w14:paraId="093F4A7B">
            <w:pPr>
              <w:pStyle w:val="34"/>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(2)总价合同。</w:t>
            </w:r>
          </w:p>
          <w:p w14:paraId="546435B5">
            <w:pPr>
              <w:pStyle w:val="34"/>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总价包含的风险范围：</w:t>
            </w:r>
            <w:r>
              <w:rPr>
                <w:rFonts w:hint="eastAsia" w:cs="宋体"/>
                <w:bCs/>
                <w:color w:val="auto"/>
                <w:sz w:val="24"/>
                <w:szCs w:val="24"/>
                <w:highlight w:val="none"/>
                <w:u w:val="single"/>
              </w:rPr>
              <w:t xml:space="preserve">        /             </w:t>
            </w:r>
          </w:p>
          <w:p w14:paraId="57C20E1B">
            <w:pPr>
              <w:pStyle w:val="34"/>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风险费用的计算方法：</w:t>
            </w:r>
            <w:r>
              <w:rPr>
                <w:rFonts w:hint="eastAsia" w:cs="宋体"/>
                <w:bCs/>
                <w:color w:val="auto"/>
                <w:sz w:val="24"/>
                <w:szCs w:val="24"/>
                <w:highlight w:val="none"/>
                <w:u w:val="single"/>
              </w:rPr>
              <w:t xml:space="preserve">        /         </w:t>
            </w:r>
            <w:r>
              <w:rPr>
                <w:rFonts w:hint="eastAsia" w:cs="宋体"/>
                <w:bCs/>
                <w:color w:val="auto"/>
                <w:sz w:val="24"/>
                <w:szCs w:val="24"/>
                <w:highlight w:val="none"/>
              </w:rPr>
              <w:t>。</w:t>
            </w:r>
          </w:p>
          <w:p w14:paraId="3923D853">
            <w:pPr>
              <w:pStyle w:val="34"/>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风险范围以外合同价格的调整方法：</w:t>
            </w:r>
            <w:r>
              <w:rPr>
                <w:rFonts w:hint="eastAsia" w:cs="宋体"/>
                <w:bCs/>
                <w:color w:val="auto"/>
                <w:sz w:val="24"/>
                <w:szCs w:val="24"/>
                <w:highlight w:val="none"/>
                <w:u w:val="single"/>
              </w:rPr>
              <w:t xml:space="preserve">      /    </w:t>
            </w:r>
            <w:r>
              <w:rPr>
                <w:rFonts w:hint="eastAsia" w:cs="宋体"/>
                <w:bCs/>
                <w:color w:val="auto"/>
                <w:sz w:val="24"/>
                <w:szCs w:val="24"/>
                <w:highlight w:val="none"/>
              </w:rPr>
              <w:t>。</w:t>
            </w:r>
          </w:p>
          <w:p w14:paraId="383315CB">
            <w:pPr>
              <w:pStyle w:val="34"/>
              <w:tabs>
                <w:tab w:val="clear" w:pos="4153"/>
                <w:tab w:val="clear" w:pos="8306"/>
              </w:tabs>
              <w:spacing w:line="360" w:lineRule="auto"/>
              <w:rPr>
                <w:rFonts w:cs="宋体"/>
                <w:bCs/>
                <w:color w:val="auto"/>
                <w:sz w:val="24"/>
                <w:szCs w:val="24"/>
                <w:highlight w:val="none"/>
              </w:rPr>
            </w:pPr>
            <w:r>
              <w:rPr>
                <w:rFonts w:hint="eastAsia" w:cs="宋体"/>
                <w:bCs/>
                <w:color w:val="auto"/>
                <w:sz w:val="24"/>
                <w:szCs w:val="24"/>
                <w:highlight w:val="none"/>
              </w:rPr>
              <w:t>（3）其他价格方式：</w:t>
            </w:r>
            <w:r>
              <w:rPr>
                <w:rFonts w:hint="eastAsia" w:cs="宋体"/>
                <w:bCs/>
                <w:color w:val="auto"/>
                <w:sz w:val="24"/>
                <w:szCs w:val="24"/>
                <w:highlight w:val="none"/>
                <w:u w:val="single"/>
              </w:rPr>
              <w:t xml:space="preserve">          /           </w:t>
            </w:r>
            <w:r>
              <w:rPr>
                <w:rFonts w:hint="eastAsia" w:cs="宋体"/>
                <w:bCs/>
                <w:color w:val="auto"/>
                <w:sz w:val="24"/>
                <w:szCs w:val="24"/>
                <w:highlight w:val="none"/>
              </w:rPr>
              <w:t>。</w:t>
            </w:r>
          </w:p>
        </w:tc>
      </w:tr>
      <w:tr w14:paraId="4664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29" w:type="dxa"/>
            <w:vAlign w:val="center"/>
          </w:tcPr>
          <w:p w14:paraId="13EE46B1">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46CE8483">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 xml:space="preserve">12.2.1 </w:t>
            </w:r>
          </w:p>
        </w:tc>
        <w:tc>
          <w:tcPr>
            <w:tcW w:w="7304" w:type="dxa"/>
            <w:tcBorders>
              <w:bottom w:val="single" w:color="auto" w:sz="4" w:space="0"/>
            </w:tcBorders>
            <w:vAlign w:val="center"/>
          </w:tcPr>
          <w:p w14:paraId="59DE7631">
            <w:pPr>
              <w:adjustRightInd w:val="0"/>
              <w:snapToGrid w:val="0"/>
              <w:spacing w:line="360" w:lineRule="auto"/>
              <w:rPr>
                <w:rFonts w:cs="宋体"/>
                <w:b/>
                <w:bCs w:val="0"/>
                <w:color w:val="auto"/>
                <w:sz w:val="24"/>
                <w:szCs w:val="24"/>
                <w:highlight w:val="none"/>
              </w:rPr>
            </w:pPr>
            <w:r>
              <w:rPr>
                <w:rFonts w:hint="eastAsia" w:cs="宋体"/>
                <w:b/>
                <w:bCs w:val="0"/>
                <w:color w:val="auto"/>
                <w:sz w:val="24"/>
                <w:szCs w:val="24"/>
                <w:highlight w:val="none"/>
              </w:rPr>
              <w:t>预付款的支付</w:t>
            </w:r>
          </w:p>
          <w:p w14:paraId="1674AD8D">
            <w:pPr>
              <w:adjustRightInd w:val="0"/>
              <w:snapToGrid w:val="0"/>
              <w:spacing w:line="360" w:lineRule="auto"/>
              <w:rPr>
                <w:rFonts w:cs="宋体"/>
                <w:bCs/>
                <w:color w:val="auto"/>
                <w:sz w:val="24"/>
                <w:szCs w:val="24"/>
                <w:highlight w:val="none"/>
                <w:u w:val="single"/>
              </w:rPr>
            </w:pPr>
            <w:r>
              <w:rPr>
                <w:rFonts w:hint="eastAsia" w:cs="宋体"/>
                <w:bCs/>
                <w:color w:val="auto"/>
                <w:sz w:val="24"/>
                <w:szCs w:val="24"/>
                <w:highlight w:val="none"/>
              </w:rPr>
              <w:t>预付款支付比例或金额：</w:t>
            </w:r>
            <w:r>
              <w:rPr>
                <w:rFonts w:hint="eastAsia" w:cs="宋体"/>
                <w:bCs/>
                <w:color w:val="auto"/>
                <w:sz w:val="24"/>
                <w:szCs w:val="24"/>
                <w:highlight w:val="none"/>
                <w:u w:val="single"/>
              </w:rPr>
              <w:t>合同金额的</w:t>
            </w:r>
            <w:r>
              <w:rPr>
                <w:rFonts w:hint="eastAsia" w:cs="宋体"/>
                <w:bCs/>
                <w:color w:val="auto"/>
                <w:sz w:val="24"/>
                <w:szCs w:val="24"/>
                <w:highlight w:val="none"/>
                <w:u w:val="single"/>
                <w:lang w:val="en-US" w:eastAsia="zh-CN"/>
              </w:rPr>
              <w:t>4</w:t>
            </w:r>
            <w:r>
              <w:rPr>
                <w:rFonts w:hint="eastAsia" w:cs="宋体"/>
                <w:bCs/>
                <w:color w:val="auto"/>
                <w:sz w:val="24"/>
                <w:szCs w:val="24"/>
                <w:highlight w:val="none"/>
                <w:u w:val="single"/>
              </w:rPr>
              <w:t>0%</w:t>
            </w:r>
          </w:p>
          <w:p w14:paraId="1A8B0F6A">
            <w:pPr>
              <w:adjustRightInd w:val="0"/>
              <w:snapToGrid w:val="0"/>
              <w:spacing w:line="360" w:lineRule="auto"/>
              <w:rPr>
                <w:rFonts w:cs="宋体"/>
                <w:bCs/>
                <w:color w:val="auto"/>
                <w:sz w:val="24"/>
                <w:szCs w:val="24"/>
                <w:highlight w:val="none"/>
                <w:u w:val="single"/>
              </w:rPr>
            </w:pPr>
            <w:r>
              <w:rPr>
                <w:rFonts w:hint="eastAsia" w:cs="宋体"/>
                <w:bCs/>
                <w:color w:val="auto"/>
                <w:sz w:val="24"/>
                <w:szCs w:val="24"/>
                <w:highlight w:val="none"/>
              </w:rPr>
              <w:t>预付款支付期限：</w:t>
            </w:r>
            <w:r>
              <w:rPr>
                <w:rFonts w:hint="eastAsia" w:ascii="宋体" w:hAnsi="宋体" w:eastAsia="宋体" w:cs="宋体"/>
                <w:bCs/>
                <w:color w:val="auto"/>
                <w:sz w:val="24"/>
                <w:szCs w:val="24"/>
                <w:highlight w:val="none"/>
                <w:u w:val="single"/>
                <w:lang w:val="en-US" w:eastAsia="zh-CN"/>
              </w:rPr>
              <w:t>担保措施生效以及</w:t>
            </w:r>
            <w:r>
              <w:rPr>
                <w:rFonts w:hint="eastAsia" w:ascii="宋体" w:hAnsi="宋体" w:eastAsia="宋体" w:cs="宋体"/>
                <w:bCs/>
                <w:color w:val="auto"/>
                <w:sz w:val="24"/>
                <w:szCs w:val="24"/>
                <w:highlight w:val="none"/>
                <w:u w:val="single"/>
              </w:rPr>
              <w:t>具备施工条件的前提下，</w:t>
            </w:r>
            <w:r>
              <w:rPr>
                <w:rFonts w:hint="eastAsia" w:ascii="宋体" w:hAnsi="宋体" w:eastAsia="宋体" w:cs="宋体"/>
                <w:bCs/>
                <w:color w:val="auto"/>
                <w:sz w:val="24"/>
                <w:szCs w:val="24"/>
                <w:highlight w:val="none"/>
                <w:u w:val="single"/>
                <w:lang w:val="en-US" w:eastAsia="zh-CN"/>
              </w:rPr>
              <w:t>经</w:t>
            </w:r>
            <w:r>
              <w:rPr>
                <w:rFonts w:hint="eastAsia" w:cs="宋体"/>
                <w:bCs/>
                <w:color w:val="auto"/>
                <w:sz w:val="24"/>
                <w:szCs w:val="24"/>
                <w:highlight w:val="none"/>
                <w:u w:val="single"/>
                <w:lang w:val="en-US" w:eastAsia="zh-CN"/>
              </w:rPr>
              <w:t>乙方</w:t>
            </w:r>
            <w:r>
              <w:rPr>
                <w:rFonts w:hint="eastAsia" w:ascii="宋体" w:hAnsi="宋体" w:eastAsia="宋体" w:cs="宋体"/>
                <w:bCs/>
                <w:color w:val="auto"/>
                <w:sz w:val="24"/>
                <w:szCs w:val="24"/>
                <w:highlight w:val="none"/>
                <w:u w:val="single"/>
                <w:lang w:val="en-US" w:eastAsia="zh-CN"/>
              </w:rPr>
              <w:t>申请，合同甲方审核确认后按规定及时</w:t>
            </w:r>
            <w:r>
              <w:rPr>
                <w:rFonts w:hint="eastAsia" w:ascii="宋体" w:hAnsi="宋体" w:eastAsia="宋体" w:cs="宋体"/>
                <w:bCs/>
                <w:color w:val="auto"/>
                <w:sz w:val="24"/>
                <w:szCs w:val="24"/>
                <w:highlight w:val="none"/>
                <w:u w:val="single"/>
              </w:rPr>
              <w:t>支付预付款。</w:t>
            </w:r>
          </w:p>
          <w:p w14:paraId="3310F992">
            <w:pPr>
              <w:adjustRightInd w:val="0"/>
              <w:snapToGrid w:val="0"/>
              <w:spacing w:line="360" w:lineRule="auto"/>
              <w:rPr>
                <w:rFonts w:hint="default" w:eastAsia="宋体" w:cs="宋体"/>
                <w:bCs/>
                <w:color w:val="auto"/>
                <w:sz w:val="24"/>
                <w:szCs w:val="24"/>
                <w:highlight w:val="none"/>
                <w:lang w:val="en-US" w:eastAsia="zh-CN"/>
              </w:rPr>
            </w:pPr>
            <w:r>
              <w:rPr>
                <w:rFonts w:hint="eastAsia" w:cs="宋体"/>
                <w:bCs/>
                <w:color w:val="auto"/>
                <w:sz w:val="24"/>
                <w:szCs w:val="24"/>
                <w:highlight w:val="none"/>
              </w:rPr>
              <w:t>预付款扣回的方式：</w:t>
            </w:r>
            <w:r>
              <w:rPr>
                <w:rFonts w:hint="eastAsia" w:cs="宋体"/>
                <w:bCs/>
                <w:color w:val="auto"/>
                <w:sz w:val="24"/>
                <w:szCs w:val="24"/>
                <w:highlight w:val="none"/>
                <w:u w:val="single"/>
              </w:rPr>
              <w:t xml:space="preserve"> </w:t>
            </w:r>
            <w:r>
              <w:rPr>
                <w:rFonts w:hint="eastAsia" w:cs="宋体"/>
                <w:bCs/>
                <w:color w:val="auto"/>
                <w:sz w:val="24"/>
                <w:szCs w:val="24"/>
                <w:highlight w:val="none"/>
                <w:u w:val="single"/>
                <w:lang w:val="en-US" w:eastAsia="zh-CN"/>
              </w:rPr>
              <w:t>见付款方式。</w:t>
            </w:r>
          </w:p>
          <w:p w14:paraId="478894FA">
            <w:pPr>
              <w:adjustRightInd w:val="0"/>
              <w:snapToGrid w:val="0"/>
              <w:spacing w:line="360" w:lineRule="auto"/>
              <w:rPr>
                <w:rFonts w:cs="宋体"/>
                <w:bCs/>
                <w:color w:val="auto"/>
                <w:kern w:val="2"/>
                <w:sz w:val="24"/>
                <w:szCs w:val="24"/>
                <w:highlight w:val="none"/>
              </w:rPr>
            </w:pPr>
            <w:r>
              <w:rPr>
                <w:rFonts w:hint="eastAsia" w:ascii="宋体" w:hAnsi="宋体" w:eastAsia="宋体" w:cs="宋体"/>
                <w:b/>
                <w:bCs w:val="0"/>
                <w:color w:val="auto"/>
                <w:sz w:val="24"/>
                <w:szCs w:val="24"/>
                <w:highlight w:val="none"/>
                <w:u w:val="single"/>
              </w:rPr>
              <w:t>注：在签订合同时，</w:t>
            </w:r>
            <w:r>
              <w:rPr>
                <w:rFonts w:hint="eastAsia" w:cs="宋体"/>
                <w:b/>
                <w:bCs w:val="0"/>
                <w:color w:val="auto"/>
                <w:sz w:val="24"/>
                <w:szCs w:val="24"/>
                <w:highlight w:val="none"/>
                <w:u w:val="single"/>
                <w:lang w:val="en-US" w:eastAsia="zh-CN"/>
              </w:rPr>
              <w:t>乙方</w:t>
            </w:r>
            <w:r>
              <w:rPr>
                <w:rFonts w:hint="eastAsia" w:ascii="宋体" w:hAnsi="宋体" w:eastAsia="宋体" w:cs="宋体"/>
                <w:b/>
                <w:bCs w:val="0"/>
                <w:color w:val="auto"/>
                <w:sz w:val="24"/>
                <w:szCs w:val="24"/>
                <w:highlight w:val="none"/>
                <w:u w:val="single"/>
              </w:rPr>
              <w:t>书面明确表示无需预付款，即</w:t>
            </w:r>
            <w:r>
              <w:rPr>
                <w:rFonts w:hint="eastAsia" w:cs="宋体"/>
                <w:b/>
                <w:bCs w:val="0"/>
                <w:color w:val="auto"/>
                <w:sz w:val="24"/>
                <w:szCs w:val="24"/>
                <w:highlight w:val="none"/>
                <w:u w:val="single"/>
                <w:lang w:val="en-US" w:eastAsia="zh-CN"/>
              </w:rPr>
              <w:t>乙方</w:t>
            </w:r>
            <w:r>
              <w:rPr>
                <w:rFonts w:hint="eastAsia" w:ascii="宋体" w:hAnsi="宋体" w:eastAsia="宋体" w:cs="宋体"/>
                <w:b/>
                <w:bCs w:val="0"/>
                <w:color w:val="auto"/>
                <w:sz w:val="24"/>
                <w:szCs w:val="24"/>
                <w:highlight w:val="none"/>
                <w:u w:val="single"/>
              </w:rPr>
              <w:t>无需提供预付款担保，按皖财购〔2022〕556号规定，合同甲方可不再支付预付款</w:t>
            </w:r>
            <w:r>
              <w:rPr>
                <w:rFonts w:hint="eastAsia" w:ascii="宋体" w:hAnsi="宋体" w:eastAsia="宋体" w:cs="宋体"/>
                <w:b/>
                <w:bCs w:val="0"/>
                <w:color w:val="auto"/>
                <w:sz w:val="24"/>
                <w:szCs w:val="24"/>
                <w:highlight w:val="none"/>
                <w:u w:val="single"/>
                <w:lang w:eastAsia="zh-CN"/>
              </w:rPr>
              <w:t>。</w:t>
            </w:r>
          </w:p>
        </w:tc>
      </w:tr>
      <w:tr w14:paraId="6339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538B4915">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596E2F40">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12.2.2</w:t>
            </w:r>
          </w:p>
        </w:tc>
        <w:tc>
          <w:tcPr>
            <w:tcW w:w="7304" w:type="dxa"/>
            <w:tcBorders>
              <w:bottom w:val="single" w:color="auto" w:sz="4" w:space="0"/>
            </w:tcBorders>
            <w:vAlign w:val="center"/>
          </w:tcPr>
          <w:p w14:paraId="17CA09B1">
            <w:pPr>
              <w:adjustRightInd w:val="0"/>
              <w:snapToGrid w:val="0"/>
              <w:spacing w:line="360" w:lineRule="auto"/>
              <w:rPr>
                <w:b/>
                <w:bCs/>
                <w:color w:val="auto"/>
                <w:sz w:val="24"/>
                <w:szCs w:val="24"/>
                <w:highlight w:val="none"/>
              </w:rPr>
            </w:pPr>
            <w:r>
              <w:rPr>
                <w:rFonts w:hint="eastAsia"/>
                <w:b/>
                <w:bCs/>
                <w:color w:val="auto"/>
                <w:sz w:val="24"/>
                <w:szCs w:val="24"/>
                <w:highlight w:val="none"/>
              </w:rPr>
              <w:t>预付款担保</w:t>
            </w:r>
          </w:p>
          <w:p w14:paraId="6B01E3E7">
            <w:pPr>
              <w:adjustRightInd w:val="0"/>
              <w:snapToGrid w:val="0"/>
              <w:spacing w:line="360" w:lineRule="auto"/>
              <w:rPr>
                <w:rFonts w:hint="default"/>
                <w:color w:val="auto"/>
                <w:sz w:val="24"/>
                <w:szCs w:val="24"/>
                <w:highlight w:val="none"/>
                <w:u w:val="single"/>
                <w:lang w:val="en-US" w:eastAsia="zh-CN"/>
              </w:rPr>
            </w:pPr>
            <w:r>
              <w:rPr>
                <w:rFonts w:hint="eastAsia"/>
                <w:color w:val="auto"/>
                <w:sz w:val="24"/>
                <w:szCs w:val="24"/>
                <w:highlight w:val="none"/>
                <w:lang w:eastAsia="zh-CN"/>
              </w:rPr>
              <w:t>乙方</w:t>
            </w:r>
            <w:r>
              <w:rPr>
                <w:rFonts w:hint="eastAsia"/>
                <w:color w:val="auto"/>
                <w:sz w:val="24"/>
                <w:szCs w:val="24"/>
                <w:highlight w:val="none"/>
              </w:rPr>
              <w:t>提交预付款担保的期限：</w:t>
            </w:r>
            <w:r>
              <w:rPr>
                <w:rFonts w:hint="eastAsia" w:cs="宋体"/>
                <w:bCs/>
                <w:color w:val="auto"/>
                <w:sz w:val="24"/>
                <w:szCs w:val="24"/>
                <w:highlight w:val="none"/>
                <w:u w:val="single"/>
              </w:rPr>
              <w:t>支付预付款前</w:t>
            </w:r>
            <w:r>
              <w:rPr>
                <w:rFonts w:hint="eastAsia" w:cs="宋体"/>
                <w:bCs/>
                <w:color w:val="auto"/>
                <w:sz w:val="24"/>
                <w:szCs w:val="24"/>
                <w:highlight w:val="none"/>
                <w:u w:val="single"/>
                <w:lang w:val="en-US" w:eastAsia="zh-CN"/>
              </w:rPr>
              <w:t>由乙方</w:t>
            </w:r>
            <w:r>
              <w:rPr>
                <w:rFonts w:hint="eastAsia" w:cs="宋体"/>
                <w:bCs/>
                <w:color w:val="auto"/>
                <w:sz w:val="24"/>
                <w:szCs w:val="24"/>
                <w:highlight w:val="none"/>
                <w:u w:val="single"/>
              </w:rPr>
              <w:t>提供给</w:t>
            </w:r>
            <w:r>
              <w:rPr>
                <w:rFonts w:hint="eastAsia" w:cs="宋体"/>
                <w:bCs/>
                <w:color w:val="auto"/>
                <w:sz w:val="24"/>
                <w:szCs w:val="24"/>
                <w:highlight w:val="none"/>
                <w:u w:val="single"/>
                <w:lang w:val="en-US" w:eastAsia="zh-CN"/>
              </w:rPr>
              <w:t>合同</w:t>
            </w:r>
            <w:r>
              <w:rPr>
                <w:rFonts w:hint="eastAsia" w:cs="宋体"/>
                <w:bCs/>
                <w:color w:val="auto"/>
                <w:sz w:val="24"/>
                <w:szCs w:val="24"/>
                <w:highlight w:val="none"/>
                <w:u w:val="single"/>
                <w:lang w:eastAsia="zh-CN"/>
              </w:rPr>
              <w:t>甲方</w:t>
            </w:r>
            <w:r>
              <w:rPr>
                <w:rFonts w:hint="eastAsia" w:cs="宋体"/>
                <w:bCs/>
                <w:color w:val="auto"/>
                <w:sz w:val="24"/>
                <w:szCs w:val="24"/>
                <w:highlight w:val="none"/>
                <w:u w:val="single"/>
              </w:rPr>
              <w:t>，担保期限至预付款全部扣回</w:t>
            </w:r>
            <w:r>
              <w:rPr>
                <w:rFonts w:hint="eastAsia" w:cs="宋体"/>
                <w:bCs/>
                <w:color w:val="auto"/>
                <w:sz w:val="24"/>
                <w:szCs w:val="24"/>
                <w:highlight w:val="none"/>
              </w:rPr>
              <w:t>。</w:t>
            </w:r>
          </w:p>
          <w:p w14:paraId="1312825F">
            <w:pPr>
              <w:adjustRightInd w:val="0"/>
              <w:snapToGrid w:val="0"/>
              <w:spacing w:line="360" w:lineRule="auto"/>
              <w:rPr>
                <w:rFonts w:hint="eastAsia"/>
                <w:color w:val="auto"/>
                <w:sz w:val="24"/>
                <w:szCs w:val="24"/>
                <w:highlight w:val="none"/>
                <w:u w:val="single"/>
                <w:lang w:eastAsia="zh-CN"/>
              </w:rPr>
            </w:pPr>
            <w:r>
              <w:rPr>
                <w:rFonts w:hint="eastAsia"/>
                <w:color w:val="auto"/>
                <w:sz w:val="24"/>
                <w:szCs w:val="24"/>
                <w:highlight w:val="none"/>
              </w:rPr>
              <w:t>预付款担保的形式为：</w:t>
            </w:r>
            <w:r>
              <w:rPr>
                <w:rFonts w:hint="eastAsia"/>
                <w:color w:val="auto"/>
                <w:sz w:val="24"/>
                <w:szCs w:val="24"/>
                <w:highlight w:val="none"/>
                <w:u w:val="single"/>
              </w:rPr>
              <w:t>合同签订后</w:t>
            </w:r>
            <w:r>
              <w:rPr>
                <w:rFonts w:hint="eastAsia"/>
                <w:color w:val="auto"/>
                <w:sz w:val="24"/>
                <w:szCs w:val="24"/>
                <w:highlight w:val="none"/>
                <w:u w:val="single"/>
                <w:lang w:eastAsia="zh-CN"/>
              </w:rPr>
              <w:t>乙方</w:t>
            </w:r>
            <w:r>
              <w:rPr>
                <w:rFonts w:hint="eastAsia"/>
                <w:color w:val="auto"/>
                <w:sz w:val="24"/>
                <w:szCs w:val="24"/>
                <w:highlight w:val="none"/>
                <w:u w:val="single"/>
              </w:rPr>
              <w:t>须向</w:t>
            </w:r>
            <w:r>
              <w:rPr>
                <w:rFonts w:hint="eastAsia"/>
                <w:color w:val="auto"/>
                <w:sz w:val="24"/>
                <w:szCs w:val="24"/>
                <w:highlight w:val="none"/>
                <w:u w:val="single"/>
                <w:lang w:val="en-US" w:eastAsia="zh-CN"/>
              </w:rPr>
              <w:t>甲方</w:t>
            </w:r>
            <w:r>
              <w:rPr>
                <w:rFonts w:hint="eastAsia"/>
                <w:color w:val="auto"/>
                <w:sz w:val="24"/>
                <w:szCs w:val="24"/>
                <w:highlight w:val="none"/>
                <w:u w:val="single"/>
              </w:rPr>
              <w:t>提交银行、保险公司、担保公司等金融机构出具的金额为合同总价40%的预付款保函作为担保</w:t>
            </w:r>
            <w:r>
              <w:rPr>
                <w:rFonts w:hint="eastAsia"/>
                <w:color w:val="auto"/>
                <w:sz w:val="24"/>
                <w:szCs w:val="24"/>
                <w:highlight w:val="none"/>
                <w:u w:val="single"/>
                <w:lang w:eastAsia="zh-CN"/>
              </w:rPr>
              <w:t>。</w:t>
            </w:r>
          </w:p>
          <w:p w14:paraId="23C89B7B">
            <w:pPr>
              <w:adjustRightInd w:val="0"/>
              <w:snapToGrid w:val="0"/>
              <w:spacing w:line="360" w:lineRule="auto"/>
              <w:rPr>
                <w:rFonts w:hint="default" w:cs="宋体"/>
                <w:bCs/>
                <w:color w:val="auto"/>
                <w:kern w:val="2"/>
                <w:sz w:val="24"/>
                <w:szCs w:val="24"/>
                <w:highlight w:val="none"/>
                <w:lang w:val="en-US"/>
              </w:rPr>
            </w:pPr>
            <w:r>
              <w:rPr>
                <w:rFonts w:hint="eastAsia"/>
                <w:b/>
                <w:bCs/>
                <w:color w:val="auto"/>
                <w:sz w:val="24"/>
                <w:szCs w:val="24"/>
                <w:highlight w:val="none"/>
              </w:rPr>
              <w:t>备注：①预付款支付前，</w:t>
            </w:r>
            <w:r>
              <w:rPr>
                <w:rFonts w:hint="eastAsia"/>
                <w:b/>
                <w:bCs/>
                <w:color w:val="auto"/>
                <w:sz w:val="24"/>
                <w:szCs w:val="24"/>
                <w:highlight w:val="none"/>
                <w:lang w:val="en-US" w:eastAsia="zh-CN"/>
              </w:rPr>
              <w:t>乙方</w:t>
            </w:r>
            <w:r>
              <w:rPr>
                <w:rFonts w:hint="eastAsia"/>
                <w:b/>
                <w:bCs/>
                <w:color w:val="auto"/>
                <w:sz w:val="24"/>
                <w:szCs w:val="24"/>
                <w:highlight w:val="none"/>
              </w:rPr>
              <w:t>须提交银行、保险公司、担保公司等金融机构出具的预付款保函（见索即付保函）；②在签订合同时，</w:t>
            </w:r>
            <w:r>
              <w:rPr>
                <w:rFonts w:hint="eastAsia"/>
                <w:b/>
                <w:bCs/>
                <w:color w:val="auto"/>
                <w:sz w:val="24"/>
                <w:szCs w:val="24"/>
                <w:highlight w:val="none"/>
                <w:lang w:val="en-US" w:eastAsia="zh-CN"/>
              </w:rPr>
              <w:t>乙方</w:t>
            </w:r>
            <w:r>
              <w:rPr>
                <w:rFonts w:hint="eastAsia"/>
                <w:b/>
                <w:bCs/>
                <w:color w:val="auto"/>
                <w:sz w:val="24"/>
                <w:szCs w:val="24"/>
                <w:highlight w:val="none"/>
              </w:rPr>
              <w:t>书面明确表示无需预付款，即</w:t>
            </w:r>
            <w:r>
              <w:rPr>
                <w:rFonts w:hint="eastAsia"/>
                <w:b/>
                <w:bCs/>
                <w:color w:val="auto"/>
                <w:sz w:val="24"/>
                <w:szCs w:val="24"/>
                <w:highlight w:val="none"/>
                <w:lang w:val="en-US" w:eastAsia="zh-CN"/>
              </w:rPr>
              <w:t>乙方</w:t>
            </w:r>
            <w:r>
              <w:rPr>
                <w:rFonts w:hint="eastAsia"/>
                <w:b/>
                <w:bCs/>
                <w:color w:val="auto"/>
                <w:sz w:val="24"/>
                <w:szCs w:val="24"/>
                <w:highlight w:val="none"/>
              </w:rPr>
              <w:t>无需提供预付款担保，按皖财购〔2022〕556号规定，</w:t>
            </w:r>
            <w:r>
              <w:rPr>
                <w:rFonts w:hint="eastAsia"/>
                <w:b/>
                <w:bCs/>
                <w:color w:val="auto"/>
                <w:sz w:val="24"/>
                <w:szCs w:val="24"/>
                <w:highlight w:val="none"/>
                <w:lang w:val="en-US" w:eastAsia="zh-CN"/>
              </w:rPr>
              <w:t>甲方</w:t>
            </w:r>
            <w:r>
              <w:rPr>
                <w:rFonts w:hint="eastAsia"/>
                <w:b/>
                <w:bCs/>
                <w:color w:val="auto"/>
                <w:sz w:val="24"/>
                <w:szCs w:val="24"/>
                <w:highlight w:val="none"/>
              </w:rPr>
              <w:t>可不再支付预付款；</w:t>
            </w:r>
          </w:p>
        </w:tc>
      </w:tr>
      <w:tr w14:paraId="2F95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629" w:type="dxa"/>
            <w:vAlign w:val="center"/>
          </w:tcPr>
          <w:p w14:paraId="3E215E00">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229D2EDD">
            <w:pPr>
              <w:snapToGrid w:val="0"/>
              <w:spacing w:line="360" w:lineRule="auto"/>
              <w:jc w:val="center"/>
              <w:rPr>
                <w:rFonts w:cs="宋体"/>
                <w:bCs/>
                <w:color w:val="auto"/>
                <w:sz w:val="24"/>
                <w:szCs w:val="24"/>
                <w:highlight w:val="none"/>
              </w:rPr>
            </w:pPr>
            <w:r>
              <w:rPr>
                <w:rFonts w:hint="eastAsia" w:cs="宋体"/>
                <w:bCs/>
                <w:color w:val="auto"/>
                <w:sz w:val="24"/>
                <w:szCs w:val="24"/>
                <w:highlight w:val="none"/>
              </w:rPr>
              <w:t>12.4.1</w:t>
            </w:r>
          </w:p>
        </w:tc>
        <w:tc>
          <w:tcPr>
            <w:tcW w:w="7304" w:type="dxa"/>
            <w:tcBorders>
              <w:bottom w:val="single" w:color="auto" w:sz="4" w:space="0"/>
            </w:tcBorders>
            <w:vAlign w:val="center"/>
          </w:tcPr>
          <w:p w14:paraId="17F3BA74">
            <w:pPr>
              <w:snapToGrid w:val="0"/>
              <w:spacing w:line="360" w:lineRule="auto"/>
              <w:jc w:val="left"/>
              <w:rPr>
                <w:rFonts w:hint="eastAsia" w:cs="宋体"/>
                <w:b/>
                <w:bCs w:val="0"/>
                <w:color w:val="auto"/>
                <w:sz w:val="24"/>
                <w:szCs w:val="24"/>
                <w:highlight w:val="none"/>
                <w:u w:val="none"/>
                <w:lang w:val="en-US" w:eastAsia="zh-CN"/>
              </w:rPr>
            </w:pPr>
            <w:r>
              <w:rPr>
                <w:rFonts w:hint="eastAsia" w:cs="宋体"/>
                <w:b/>
                <w:bCs w:val="0"/>
                <w:color w:val="auto"/>
                <w:sz w:val="24"/>
                <w:szCs w:val="24"/>
                <w:highlight w:val="none"/>
                <w:u w:val="none"/>
                <w:lang w:val="en-US" w:eastAsia="zh-CN"/>
              </w:rPr>
              <w:t>付款方式：</w:t>
            </w:r>
          </w:p>
          <w:p w14:paraId="50FF328B">
            <w:pPr>
              <w:snapToGrid w:val="0"/>
              <w:spacing w:line="360" w:lineRule="auto"/>
              <w:jc w:val="left"/>
              <w:rPr>
                <w:rFonts w:hint="eastAsia"/>
                <w:color w:val="auto"/>
                <w:sz w:val="24"/>
                <w:szCs w:val="24"/>
                <w:highlight w:val="none"/>
                <w:u w:val="none"/>
              </w:rPr>
            </w:pPr>
            <w:r>
              <w:rPr>
                <w:rFonts w:hint="eastAsia" w:cs="宋体"/>
                <w:b w:val="0"/>
                <w:bCs/>
                <w:color w:val="auto"/>
                <w:sz w:val="24"/>
                <w:szCs w:val="24"/>
                <w:highlight w:val="none"/>
                <w:u w:val="none"/>
                <w:lang w:val="en-US" w:eastAsia="zh-CN"/>
              </w:rPr>
              <w:t>①</w:t>
            </w:r>
            <w:r>
              <w:rPr>
                <w:rFonts w:hint="eastAsia" w:ascii="宋体" w:hAnsi="宋体" w:eastAsia="宋体" w:cs="宋体"/>
                <w:b w:val="0"/>
                <w:bCs/>
                <w:color w:val="auto"/>
                <w:sz w:val="24"/>
                <w:szCs w:val="24"/>
                <w:highlight w:val="none"/>
                <w:u w:val="none"/>
              </w:rPr>
              <w:t>合同签订后，经</w:t>
            </w:r>
            <w:r>
              <w:rPr>
                <w:rFonts w:hint="eastAsia"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申请</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合同甲方审核确认后</w:t>
            </w:r>
            <w:r>
              <w:rPr>
                <w:rFonts w:hint="eastAsia" w:ascii="宋体" w:hAnsi="宋体" w:eastAsia="宋体" w:cs="宋体"/>
                <w:b w:val="0"/>
                <w:bCs/>
                <w:color w:val="auto"/>
                <w:sz w:val="24"/>
                <w:szCs w:val="24"/>
                <w:highlight w:val="none"/>
                <w:u w:val="none"/>
              </w:rPr>
              <w:t>支付</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签约合同价的40%</w:t>
            </w:r>
            <w:r>
              <w:rPr>
                <w:rFonts w:hint="eastAsia" w:cs="宋体"/>
                <w:b w:val="0"/>
                <w:bCs/>
                <w:color w:val="auto"/>
                <w:sz w:val="24"/>
                <w:szCs w:val="24"/>
                <w:highlight w:val="none"/>
                <w:u w:val="none"/>
                <w:lang w:val="en-US" w:eastAsia="zh-CN"/>
              </w:rPr>
              <w:t>作为预付款</w:t>
            </w:r>
            <w:r>
              <w:rPr>
                <w:rFonts w:hint="eastAsia" w:ascii="宋体" w:hAnsi="宋体" w:eastAsia="宋体" w:cs="宋体"/>
                <w:b w:val="0"/>
                <w:bCs/>
                <w:color w:val="auto"/>
                <w:sz w:val="24"/>
                <w:szCs w:val="24"/>
                <w:highlight w:val="none"/>
                <w:u w:val="none"/>
              </w:rPr>
              <w:t>（</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须提交等额预付款担保）</w:t>
            </w:r>
            <w:r>
              <w:rPr>
                <w:rFonts w:hint="eastAsia"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按工程进度支付，完工验收并经结算审核后支付至结算价款的100%，并扣回所有预付款。</w:t>
            </w:r>
          </w:p>
          <w:p w14:paraId="105C049B">
            <w:pPr>
              <w:snapToGrid w:val="0"/>
              <w:spacing w:line="360" w:lineRule="auto"/>
              <w:jc w:val="left"/>
              <w:rPr>
                <w:rFonts w:cs="宋体" w:asciiTheme="minorEastAsia" w:hAnsiTheme="minorEastAsia" w:eastAsiaTheme="minorEastAsia"/>
                <w:sz w:val="24"/>
                <w:szCs w:val="24"/>
                <w:highlight w:val="none"/>
                <w:lang w:val="en-US" w:eastAsia="zh-CN" w:bidi="ar-SA"/>
              </w:rPr>
            </w:pPr>
            <w:r>
              <w:rPr>
                <w:rFonts w:hint="eastAsia" w:cs="宋体"/>
                <w:b w:val="0"/>
                <w:bCs/>
                <w:color w:val="auto"/>
                <w:sz w:val="24"/>
                <w:szCs w:val="24"/>
                <w:highlight w:val="none"/>
                <w:u w:val="none"/>
                <w:lang w:val="en-US" w:eastAsia="zh-CN"/>
              </w:rPr>
              <w:t>②</w:t>
            </w:r>
            <w:r>
              <w:rPr>
                <w:rFonts w:hint="eastAsia" w:ascii="宋体" w:hAnsi="宋体" w:eastAsia="宋体" w:cs="宋体"/>
                <w:b w:val="0"/>
                <w:bCs/>
                <w:color w:val="auto"/>
                <w:sz w:val="24"/>
                <w:szCs w:val="24"/>
                <w:highlight w:val="none"/>
                <w:u w:val="none"/>
              </w:rPr>
              <w:t>在签订合同时，</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书面明确表示无需预付款，即</w:t>
            </w:r>
            <w:r>
              <w:rPr>
                <w:rFonts w:hint="eastAsia" w:cs="宋体"/>
                <w:b w:val="0"/>
                <w:bCs/>
                <w:color w:val="auto"/>
                <w:sz w:val="24"/>
                <w:szCs w:val="24"/>
                <w:highlight w:val="none"/>
                <w:u w:val="none"/>
                <w:lang w:val="en-US" w:eastAsia="zh-CN"/>
              </w:rPr>
              <w:t>乙方</w:t>
            </w:r>
            <w:r>
              <w:rPr>
                <w:rFonts w:hint="eastAsia" w:ascii="宋体" w:hAnsi="宋体" w:eastAsia="宋体" w:cs="宋体"/>
                <w:b w:val="0"/>
                <w:bCs/>
                <w:color w:val="auto"/>
                <w:sz w:val="24"/>
                <w:szCs w:val="24"/>
                <w:highlight w:val="none"/>
                <w:u w:val="none"/>
              </w:rPr>
              <w:t>无需提供预付款担保，按皖财购〔2022〕556号规定，合同甲方可不再支付预付款</w:t>
            </w:r>
            <w:r>
              <w:rPr>
                <w:rFonts w:hint="eastAsia" w:ascii="宋体" w:hAnsi="宋体" w:eastAsia="宋体" w:cs="宋体"/>
                <w:b w:val="0"/>
                <w:bCs/>
                <w:color w:val="auto"/>
                <w:sz w:val="24"/>
                <w:szCs w:val="24"/>
                <w:highlight w:val="none"/>
                <w:u w:val="none"/>
                <w:lang w:eastAsia="zh-CN"/>
              </w:rPr>
              <w:t>。</w:t>
            </w:r>
            <w:r>
              <w:rPr>
                <w:rFonts w:hint="eastAsia" w:cs="宋体"/>
                <w:b w:val="0"/>
                <w:bCs/>
                <w:color w:val="auto"/>
                <w:sz w:val="24"/>
                <w:szCs w:val="24"/>
                <w:highlight w:val="none"/>
                <w:u w:val="none"/>
                <w:lang w:val="en-US" w:eastAsia="zh-CN"/>
              </w:rPr>
              <w:t>合同价款</w:t>
            </w:r>
            <w:r>
              <w:rPr>
                <w:rFonts w:hint="eastAsia" w:ascii="宋体" w:hAnsi="宋体" w:eastAsia="宋体" w:cs="宋体"/>
                <w:b w:val="0"/>
                <w:bCs/>
                <w:color w:val="auto"/>
                <w:sz w:val="24"/>
                <w:szCs w:val="24"/>
                <w:highlight w:val="none"/>
                <w:u w:val="none"/>
              </w:rPr>
              <w:t>按工程进度支付，完工验收并经结算审核后支付至结算价款的100%。</w:t>
            </w:r>
          </w:p>
        </w:tc>
      </w:tr>
      <w:tr w14:paraId="6495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29" w:type="dxa"/>
            <w:vAlign w:val="center"/>
          </w:tcPr>
          <w:p w14:paraId="13BB4615">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5FB55190">
            <w:pPr>
              <w:adjustRightInd w:val="0"/>
              <w:snapToGrid w:val="0"/>
              <w:spacing w:line="360" w:lineRule="auto"/>
              <w:rPr>
                <w:rFonts w:hint="eastAsia"/>
                <w:color w:val="auto"/>
                <w:sz w:val="24"/>
                <w:szCs w:val="24"/>
                <w:highlight w:val="none"/>
              </w:rPr>
            </w:pPr>
            <w:r>
              <w:rPr>
                <w:rFonts w:hint="eastAsia"/>
                <w:color w:val="auto"/>
                <w:sz w:val="24"/>
                <w:szCs w:val="24"/>
                <w:highlight w:val="none"/>
              </w:rPr>
              <w:t>15.2.1</w:t>
            </w:r>
          </w:p>
        </w:tc>
        <w:tc>
          <w:tcPr>
            <w:tcW w:w="7304" w:type="dxa"/>
            <w:vAlign w:val="center"/>
          </w:tcPr>
          <w:p w14:paraId="6A50FFC4">
            <w:pPr>
              <w:adjustRightInd w:val="0"/>
              <w:snapToGrid w:val="0"/>
              <w:spacing w:line="360" w:lineRule="auto"/>
              <w:rPr>
                <w:rFonts w:hint="eastAsia"/>
                <w:color w:val="auto"/>
                <w:sz w:val="24"/>
                <w:szCs w:val="24"/>
                <w:highlight w:val="none"/>
                <w:lang w:val="en-US" w:eastAsia="zh-CN"/>
              </w:rPr>
            </w:pPr>
            <w:r>
              <w:rPr>
                <w:rFonts w:hint="eastAsia" w:cs="宋体"/>
                <w:color w:val="auto"/>
                <w:sz w:val="24"/>
                <w:szCs w:val="24"/>
                <w:highlight w:val="none"/>
              </w:rPr>
              <w:t>缺陷责任期的具体期限：</w:t>
            </w:r>
            <w:r>
              <w:rPr>
                <w:rFonts w:hint="eastAsia" w:cs="宋体"/>
                <w:color w:val="auto"/>
                <w:sz w:val="24"/>
                <w:szCs w:val="24"/>
                <w:highlight w:val="none"/>
                <w:u w:val="single"/>
              </w:rPr>
              <w:t>工程通过</w:t>
            </w:r>
            <w:r>
              <w:rPr>
                <w:rFonts w:hint="eastAsia" w:cs="宋体"/>
                <w:color w:val="auto"/>
                <w:sz w:val="24"/>
                <w:szCs w:val="24"/>
                <w:highlight w:val="none"/>
                <w:u w:val="single"/>
                <w:lang w:val="en-US" w:eastAsia="zh-CN"/>
              </w:rPr>
              <w:t>完</w:t>
            </w:r>
            <w:r>
              <w:rPr>
                <w:rFonts w:hint="eastAsia" w:cs="宋体"/>
                <w:color w:val="auto"/>
                <w:sz w:val="24"/>
                <w:szCs w:val="24"/>
                <w:highlight w:val="none"/>
                <w:u w:val="single"/>
              </w:rPr>
              <w:t>工验收之日起</w:t>
            </w:r>
            <w:r>
              <w:rPr>
                <w:rFonts w:hint="eastAsia" w:cs="宋体"/>
                <w:color w:val="auto"/>
                <w:sz w:val="24"/>
                <w:szCs w:val="24"/>
                <w:highlight w:val="none"/>
                <w:u w:val="single"/>
                <w:lang w:val="en-US" w:eastAsia="zh-CN"/>
              </w:rPr>
              <w:t>12个月</w:t>
            </w:r>
            <w:r>
              <w:rPr>
                <w:rFonts w:hint="eastAsia" w:cs="宋体"/>
                <w:color w:val="auto"/>
                <w:sz w:val="24"/>
                <w:szCs w:val="24"/>
                <w:highlight w:val="none"/>
              </w:rPr>
              <w:t>。</w:t>
            </w:r>
          </w:p>
        </w:tc>
      </w:tr>
      <w:tr w14:paraId="31B4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629" w:type="dxa"/>
            <w:vAlign w:val="center"/>
          </w:tcPr>
          <w:p w14:paraId="6951E236">
            <w:pPr>
              <w:numPr>
                <w:ilvl w:val="0"/>
                <w:numId w:val="4"/>
              </w:numPr>
              <w:snapToGrid w:val="0"/>
              <w:spacing w:line="360" w:lineRule="auto"/>
              <w:jc w:val="center"/>
              <w:rPr>
                <w:rFonts w:cs="宋体"/>
                <w:bCs/>
                <w:color w:val="auto"/>
                <w:kern w:val="2"/>
                <w:sz w:val="24"/>
                <w:szCs w:val="24"/>
                <w:highlight w:val="none"/>
              </w:rPr>
            </w:pPr>
          </w:p>
        </w:tc>
        <w:tc>
          <w:tcPr>
            <w:tcW w:w="1111" w:type="dxa"/>
            <w:vAlign w:val="center"/>
          </w:tcPr>
          <w:p w14:paraId="2D873111">
            <w:pPr>
              <w:snapToGrid w:val="0"/>
              <w:spacing w:line="360" w:lineRule="auto"/>
              <w:jc w:val="center"/>
              <w:rPr>
                <w:rFonts w:cs="宋体"/>
                <w:bCs/>
                <w:color w:val="auto"/>
                <w:kern w:val="2"/>
                <w:sz w:val="24"/>
                <w:szCs w:val="24"/>
                <w:highlight w:val="none"/>
              </w:rPr>
            </w:pPr>
            <w:r>
              <w:rPr>
                <w:rFonts w:hint="eastAsia" w:cs="宋体"/>
                <w:bCs/>
                <w:color w:val="auto"/>
                <w:sz w:val="24"/>
                <w:szCs w:val="24"/>
                <w:highlight w:val="none"/>
              </w:rPr>
              <w:t>15.3.1</w:t>
            </w:r>
          </w:p>
        </w:tc>
        <w:tc>
          <w:tcPr>
            <w:tcW w:w="7304" w:type="dxa"/>
            <w:vAlign w:val="center"/>
          </w:tcPr>
          <w:p w14:paraId="0F145E91">
            <w:pPr>
              <w:snapToGrid w:val="0"/>
              <w:spacing w:line="360" w:lineRule="auto"/>
              <w:jc w:val="left"/>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质量保证金金额为结算审核价款的3%，缴纳方式可采用以下任意一种方式：</w:t>
            </w:r>
          </w:p>
          <w:p w14:paraId="66D42F83">
            <w:pPr>
              <w:snapToGrid w:val="0"/>
              <w:spacing w:line="360" w:lineRule="auto"/>
              <w:jc w:val="left"/>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（1）由银行业金融机构、工程担保公司、保险机构出具银行保函、工程质量保险等担保方式；</w:t>
            </w:r>
          </w:p>
          <w:p w14:paraId="76A6522A">
            <w:pPr>
              <w:snapToGrid w:val="0"/>
              <w:spacing w:line="360" w:lineRule="auto"/>
              <w:jc w:val="left"/>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）转账的方式缴纳</w:t>
            </w:r>
            <w:r>
              <w:rPr>
                <w:rFonts w:hint="eastAsia" w:ascii="宋体" w:hAnsi="宋体" w:eastAsia="宋体" w:cs="宋体"/>
                <w:b w:val="0"/>
                <w:bCs/>
                <w:color w:val="auto"/>
                <w:sz w:val="24"/>
                <w:szCs w:val="24"/>
                <w:highlight w:val="none"/>
                <w:u w:val="none"/>
                <w:lang w:eastAsia="zh-CN"/>
              </w:rPr>
              <w:t>。</w:t>
            </w:r>
          </w:p>
          <w:p w14:paraId="02DB309E">
            <w:pPr>
              <w:snapToGrid w:val="0"/>
              <w:spacing w:line="360" w:lineRule="auto"/>
              <w:jc w:val="left"/>
              <w:rPr>
                <w:rFonts w:hint="default"/>
                <w:highlight w:val="none"/>
                <w:lang w:val="en-US" w:eastAsia="zh-CN"/>
              </w:rPr>
            </w:pPr>
            <w:r>
              <w:rPr>
                <w:rFonts w:hint="eastAsia" w:ascii="宋体" w:hAnsi="宋体" w:eastAsia="宋体" w:cs="宋体"/>
                <w:b w:val="0"/>
                <w:bCs/>
                <w:color w:val="auto"/>
                <w:sz w:val="24"/>
                <w:szCs w:val="24"/>
                <w:highlight w:val="none"/>
                <w:u w:val="none"/>
                <w:lang w:val="en-US" w:eastAsia="zh-CN"/>
              </w:rPr>
              <w:t>（3）在工程项目完工前，乙方按甲方要求提供履约保证金的，可在工程进入缺陷责任期时按照多退少补原则转为质量保证金。</w:t>
            </w:r>
          </w:p>
        </w:tc>
      </w:tr>
    </w:tbl>
    <w:p w14:paraId="04ACA592">
      <w:pPr>
        <w:snapToGrid w:val="0"/>
        <w:spacing w:before="312" w:beforeLines="100" w:after="312" w:afterLines="100" w:line="360" w:lineRule="auto"/>
        <w:outlineLvl w:val="2"/>
        <w:rPr>
          <w:rFonts w:cs="宋体"/>
          <w:color w:val="auto"/>
          <w:sz w:val="24"/>
          <w:szCs w:val="24"/>
          <w:highlight w:val="none"/>
        </w:rPr>
      </w:pPr>
      <w:r>
        <w:rPr>
          <w:rFonts w:hint="eastAsia" w:cs="宋体"/>
          <w:color w:val="auto"/>
          <w:sz w:val="24"/>
          <w:szCs w:val="24"/>
          <w:highlight w:val="none"/>
        </w:rPr>
        <w:br w:type="page"/>
      </w:r>
      <w:r>
        <w:rPr>
          <w:rFonts w:hint="eastAsia" w:cs="宋体"/>
          <w:color w:val="auto"/>
          <w:sz w:val="24"/>
          <w:szCs w:val="24"/>
          <w:highlight w:val="none"/>
        </w:rPr>
        <w:t>1</w:t>
      </w:r>
      <w:bookmarkStart w:id="116" w:name="_Toc292559361"/>
      <w:bookmarkStart w:id="117" w:name="_Toc296891196"/>
      <w:bookmarkStart w:id="118" w:name="_Toc296347155"/>
      <w:bookmarkStart w:id="119" w:name="_Toc296890984"/>
      <w:bookmarkStart w:id="120" w:name="_Toc296944495"/>
      <w:bookmarkStart w:id="121" w:name="_Toc292559866"/>
      <w:bookmarkStart w:id="122" w:name="_Toc297120456"/>
      <w:bookmarkStart w:id="123" w:name="_Toc297048342"/>
      <w:bookmarkStart w:id="124" w:name="_Toc296346657"/>
      <w:bookmarkStart w:id="125" w:name="_Toc296503156"/>
      <w:r>
        <w:rPr>
          <w:rFonts w:hint="eastAsia" w:cs="宋体"/>
          <w:color w:val="auto"/>
          <w:sz w:val="24"/>
          <w:szCs w:val="24"/>
          <w:highlight w:val="none"/>
        </w:rPr>
        <w:t>. 一般约定</w:t>
      </w:r>
    </w:p>
    <w:bookmarkEnd w:id="116"/>
    <w:bookmarkEnd w:id="117"/>
    <w:bookmarkEnd w:id="118"/>
    <w:bookmarkEnd w:id="119"/>
    <w:bookmarkEnd w:id="120"/>
    <w:bookmarkEnd w:id="121"/>
    <w:bookmarkEnd w:id="122"/>
    <w:bookmarkEnd w:id="123"/>
    <w:bookmarkEnd w:id="124"/>
    <w:bookmarkEnd w:id="125"/>
    <w:p w14:paraId="2C9AC5E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 词语定义与解释</w:t>
      </w:r>
    </w:p>
    <w:p w14:paraId="08B9D10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1.1.1 合同</w:t>
      </w:r>
    </w:p>
    <w:p w14:paraId="497791D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1.1.1.10 其他合同文件包括：</w:t>
      </w:r>
      <w:r>
        <w:rPr>
          <w:rFonts w:hint="eastAsia" w:cs="宋体"/>
          <w:color w:val="auto"/>
          <w:sz w:val="24"/>
          <w:szCs w:val="24"/>
          <w:highlight w:val="none"/>
          <w:u w:val="single"/>
        </w:rPr>
        <w:t xml:space="preserve">                 </w:t>
      </w:r>
    </w:p>
    <w:p w14:paraId="4E6F82E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1.1.2 合同当事人及其他相关方</w:t>
      </w:r>
    </w:p>
    <w:p w14:paraId="6DB354B9">
      <w:pPr>
        <w:adjustRightInd w:val="0"/>
        <w:snapToGrid w:val="0"/>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1.1.2.4 监理人：</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无</w:t>
      </w:r>
      <w:r>
        <w:rPr>
          <w:rFonts w:hint="eastAsia" w:cs="宋体"/>
          <w:color w:val="auto"/>
          <w:sz w:val="24"/>
          <w:szCs w:val="24"/>
          <w:highlight w:val="none"/>
          <w:u w:val="single"/>
        </w:rPr>
        <w:t xml:space="preserve"> </w:t>
      </w:r>
    </w:p>
    <w:p w14:paraId="189F694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1.1.2.5 设计人：</w:t>
      </w:r>
    </w:p>
    <w:p w14:paraId="1E97CA3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名    称：</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6325CF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资质类别和等级：</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2E7D38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E253BA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079567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通信地址：</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19AA70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1.1.3 工程和设备</w:t>
      </w:r>
    </w:p>
    <w:p w14:paraId="3B3D718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1.1.3.7 作为施工现场组成部分的其他场所包括：</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w:t>
      </w:r>
      <w:r>
        <w:rPr>
          <w:rFonts w:hint="eastAsia" w:cs="宋体"/>
          <w:color w:val="auto"/>
          <w:sz w:val="24"/>
          <w:szCs w:val="24"/>
          <w:highlight w:val="none"/>
        </w:rPr>
        <w:t>。</w:t>
      </w:r>
    </w:p>
    <w:p w14:paraId="614BD24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1.1.3.9 永久占地包括：</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为建设本合同工程永久征用的场地</w:t>
      </w:r>
      <w:r>
        <w:rPr>
          <w:rFonts w:hint="eastAsia" w:cs="宋体"/>
          <w:color w:val="auto"/>
          <w:sz w:val="24"/>
          <w:szCs w:val="24"/>
          <w:highlight w:val="none"/>
        </w:rPr>
        <w:t>。</w:t>
      </w:r>
    </w:p>
    <w:p w14:paraId="5F659619">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1.1.3.10 临时占地包括：</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为建设本合同工程临时征用，</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在完工后须按合同要求退还的场地；工程施工用地（含地面附着物）由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负责与工程所在地的乡镇协调解决；</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负责办理永久占地和招标图示的临时用地范围内的征地搬迁工作，向</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 提供永久用地和招标图示的临时用地，</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应无条件接受现场条件。永久占地由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承担，临时用地</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负责协调，费用由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承担。</w:t>
      </w:r>
    </w:p>
    <w:p w14:paraId="481648C9">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1.3 法律 </w:t>
      </w:r>
    </w:p>
    <w:p w14:paraId="74CC337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适用于合同的其他规范性文件：</w:t>
      </w:r>
      <w:r>
        <w:rPr>
          <w:rFonts w:hint="eastAsia" w:cs="宋体"/>
          <w:color w:val="auto"/>
          <w:sz w:val="24"/>
          <w:szCs w:val="24"/>
          <w:highlight w:val="none"/>
          <w:u w:val="single"/>
        </w:rPr>
        <w:t>《中华人民共和国民法典</w:t>
      </w:r>
      <w:r>
        <w:rPr>
          <w:rFonts w:hint="eastAsia" w:cs="宋体"/>
          <w:color w:val="auto"/>
          <w:sz w:val="24"/>
          <w:szCs w:val="24"/>
          <w:highlight w:val="none"/>
          <w:u w:val="single"/>
          <w:lang w:eastAsia="zh-CN"/>
        </w:rPr>
        <w:t>》《</w:t>
      </w:r>
      <w:r>
        <w:rPr>
          <w:rFonts w:hint="eastAsia" w:cs="宋体"/>
          <w:color w:val="auto"/>
          <w:sz w:val="24"/>
          <w:szCs w:val="24"/>
          <w:highlight w:val="none"/>
          <w:u w:val="single"/>
        </w:rPr>
        <w:t>中华人民共和国建筑法</w:t>
      </w:r>
      <w:r>
        <w:rPr>
          <w:rFonts w:hint="eastAsia" w:cs="宋体"/>
          <w:color w:val="auto"/>
          <w:sz w:val="24"/>
          <w:szCs w:val="24"/>
          <w:highlight w:val="none"/>
          <w:u w:val="single"/>
          <w:lang w:eastAsia="zh-CN"/>
        </w:rPr>
        <w:t>》《</w:t>
      </w:r>
      <w:r>
        <w:rPr>
          <w:rFonts w:hint="eastAsia" w:cs="宋体"/>
          <w:color w:val="auto"/>
          <w:sz w:val="24"/>
          <w:szCs w:val="24"/>
          <w:highlight w:val="none"/>
          <w:u w:val="single"/>
        </w:rPr>
        <w:t>中华人民共和国政府采购法</w:t>
      </w:r>
      <w:r>
        <w:rPr>
          <w:rFonts w:hint="eastAsia" w:cs="宋体"/>
          <w:color w:val="auto"/>
          <w:sz w:val="24"/>
          <w:szCs w:val="24"/>
          <w:highlight w:val="none"/>
          <w:u w:val="single"/>
          <w:lang w:eastAsia="zh-CN"/>
        </w:rPr>
        <w:t>》《</w:t>
      </w:r>
      <w:r>
        <w:rPr>
          <w:rFonts w:hint="eastAsia" w:cs="宋体"/>
          <w:color w:val="auto"/>
          <w:sz w:val="24"/>
          <w:szCs w:val="24"/>
          <w:highlight w:val="none"/>
          <w:u w:val="single"/>
        </w:rPr>
        <w:t>建设工程质量管理条例</w:t>
      </w:r>
      <w:r>
        <w:rPr>
          <w:rFonts w:hint="eastAsia" w:cs="宋体"/>
          <w:color w:val="auto"/>
          <w:sz w:val="24"/>
          <w:szCs w:val="24"/>
          <w:highlight w:val="none"/>
          <w:u w:val="single"/>
          <w:lang w:eastAsia="zh-CN"/>
        </w:rPr>
        <w:t>》《</w:t>
      </w:r>
      <w:r>
        <w:rPr>
          <w:rFonts w:hint="eastAsia" w:cs="宋体"/>
          <w:color w:val="auto"/>
          <w:sz w:val="24"/>
          <w:szCs w:val="24"/>
          <w:highlight w:val="none"/>
          <w:u w:val="single"/>
        </w:rPr>
        <w:t>建设工程安全生产管理条例》等国家及工程所在地现行有效的法律法规和规章</w:t>
      </w:r>
      <w:r>
        <w:rPr>
          <w:rFonts w:hint="eastAsia" w:cs="宋体"/>
          <w:color w:val="auto"/>
          <w:sz w:val="24"/>
          <w:szCs w:val="24"/>
          <w:highlight w:val="none"/>
        </w:rPr>
        <w:t>。</w:t>
      </w:r>
    </w:p>
    <w:p w14:paraId="772D9AC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1.4 标准和规范</w:t>
      </w:r>
    </w:p>
    <w:p w14:paraId="2D87FDF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1.4.1 适用于工程的标准规范包括：</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78321CF5">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 xml:space="preserve">1.4.2 </w:t>
      </w:r>
      <w:r>
        <w:rPr>
          <w:rFonts w:hint="eastAsia" w:cs="宋体"/>
          <w:color w:val="auto"/>
          <w:sz w:val="24"/>
          <w:szCs w:val="24"/>
          <w:highlight w:val="none"/>
          <w:lang w:eastAsia="zh-CN"/>
        </w:rPr>
        <w:t>甲方</w:t>
      </w:r>
      <w:r>
        <w:rPr>
          <w:rFonts w:hint="eastAsia" w:cs="宋体"/>
          <w:color w:val="auto"/>
          <w:sz w:val="24"/>
          <w:szCs w:val="24"/>
          <w:highlight w:val="none"/>
        </w:rPr>
        <w:t>提供国外标准、规范的名称：</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7948C5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提供国外标准、规范的份数：</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2E9DD5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提供国外标准、规范的时间：</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34E15D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1.4.3 </w:t>
      </w:r>
      <w:r>
        <w:rPr>
          <w:rFonts w:hint="eastAsia" w:cs="宋体"/>
          <w:color w:val="auto"/>
          <w:sz w:val="24"/>
          <w:szCs w:val="24"/>
          <w:highlight w:val="none"/>
          <w:lang w:eastAsia="zh-CN"/>
        </w:rPr>
        <w:t>甲方</w:t>
      </w:r>
      <w:r>
        <w:rPr>
          <w:rFonts w:hint="eastAsia" w:cs="宋体"/>
          <w:color w:val="auto"/>
          <w:sz w:val="24"/>
          <w:szCs w:val="24"/>
          <w:highlight w:val="none"/>
        </w:rPr>
        <w:t>对工程的技术标准和功能要求的特殊要求：</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89FD08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 合同文件的优先顺序</w:t>
      </w:r>
    </w:p>
    <w:p w14:paraId="447C07BF">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合同文件组成及优先顺序为：</w:t>
      </w:r>
      <w:r>
        <w:rPr>
          <w:rFonts w:hint="eastAsia" w:cs="宋体"/>
          <w:color w:val="auto"/>
          <w:sz w:val="24"/>
          <w:szCs w:val="24"/>
          <w:highlight w:val="none"/>
          <w:u w:val="single"/>
        </w:rPr>
        <w:t xml:space="preserve"> 执行通用条款   </w:t>
      </w:r>
    </w:p>
    <w:p w14:paraId="5B9097E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1.6 图纸和</w:t>
      </w:r>
      <w:r>
        <w:rPr>
          <w:rFonts w:hint="eastAsia" w:cs="宋体"/>
          <w:bCs/>
          <w:color w:val="auto"/>
          <w:sz w:val="24"/>
          <w:szCs w:val="24"/>
          <w:highlight w:val="none"/>
          <w:lang w:eastAsia="zh-CN"/>
        </w:rPr>
        <w:t>乙方</w:t>
      </w:r>
      <w:r>
        <w:rPr>
          <w:rFonts w:hint="eastAsia" w:cs="宋体"/>
          <w:bCs/>
          <w:color w:val="auto"/>
          <w:sz w:val="24"/>
          <w:szCs w:val="24"/>
          <w:highlight w:val="none"/>
        </w:rPr>
        <w:t>文件</w:t>
      </w:r>
      <w:r>
        <w:rPr>
          <w:rFonts w:hint="eastAsia" w:cs="宋体"/>
          <w:bCs/>
          <w:color w:val="auto"/>
          <w:sz w:val="24"/>
          <w:szCs w:val="24"/>
          <w:highlight w:val="none"/>
        </w:rPr>
        <w:tab/>
      </w:r>
    </w:p>
    <w:p w14:paraId="20BFBA5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1.6.1 图纸的提供和交底</w:t>
      </w:r>
    </w:p>
    <w:p w14:paraId="1849238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提供图纸的期限：</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079FFB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提供图纸的数量：</w:t>
      </w:r>
      <w:r>
        <w:rPr>
          <w:rFonts w:hint="eastAsia" w:cs="宋体"/>
          <w:color w:val="auto"/>
          <w:sz w:val="24"/>
          <w:szCs w:val="24"/>
          <w:highlight w:val="none"/>
          <w:u w:val="single"/>
        </w:rPr>
        <w:t>提供</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套（含</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图</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套），不足的由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自行复制，费用自理；</w:t>
      </w:r>
    </w:p>
    <w:p w14:paraId="5EE1CB4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提供图纸的内容：</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CC5A71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1.6.4 </w:t>
      </w:r>
      <w:r>
        <w:rPr>
          <w:rFonts w:hint="eastAsia" w:cs="宋体"/>
          <w:color w:val="auto"/>
          <w:sz w:val="24"/>
          <w:szCs w:val="24"/>
          <w:highlight w:val="none"/>
          <w:lang w:eastAsia="zh-CN"/>
        </w:rPr>
        <w:t>乙方</w:t>
      </w:r>
      <w:r>
        <w:rPr>
          <w:rFonts w:hint="eastAsia" w:cs="宋体"/>
          <w:color w:val="auto"/>
          <w:sz w:val="24"/>
          <w:szCs w:val="24"/>
          <w:highlight w:val="none"/>
        </w:rPr>
        <w:t>文件</w:t>
      </w:r>
    </w:p>
    <w:p w14:paraId="5AA846B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需要由</w:t>
      </w:r>
      <w:r>
        <w:rPr>
          <w:rFonts w:hint="eastAsia" w:cs="宋体"/>
          <w:color w:val="auto"/>
          <w:sz w:val="24"/>
          <w:szCs w:val="24"/>
          <w:highlight w:val="none"/>
          <w:lang w:eastAsia="zh-CN"/>
        </w:rPr>
        <w:t>乙方</w:t>
      </w:r>
      <w:r>
        <w:rPr>
          <w:rFonts w:hint="eastAsia" w:cs="宋体"/>
          <w:color w:val="auto"/>
          <w:sz w:val="24"/>
          <w:szCs w:val="24"/>
          <w:highlight w:val="none"/>
        </w:rPr>
        <w:t>提供的文件，包括：</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3A208C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提供的文件的期限为：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DC20E4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提供的文件的数量为：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08ABFA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提供的文件的形式为：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4351FB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审批</w:t>
      </w:r>
      <w:r>
        <w:rPr>
          <w:rFonts w:hint="eastAsia" w:cs="宋体"/>
          <w:color w:val="auto"/>
          <w:sz w:val="24"/>
          <w:szCs w:val="24"/>
          <w:highlight w:val="none"/>
          <w:lang w:eastAsia="zh-CN"/>
        </w:rPr>
        <w:t>乙方</w:t>
      </w:r>
      <w:r>
        <w:rPr>
          <w:rFonts w:hint="eastAsia" w:cs="宋体"/>
          <w:color w:val="auto"/>
          <w:sz w:val="24"/>
          <w:szCs w:val="24"/>
          <w:highlight w:val="none"/>
        </w:rPr>
        <w:t>文件的期限：</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033A9D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1.6.5 图纸和</w:t>
      </w:r>
      <w:r>
        <w:rPr>
          <w:rFonts w:hint="eastAsia" w:cs="宋体"/>
          <w:color w:val="auto"/>
          <w:sz w:val="24"/>
          <w:szCs w:val="24"/>
          <w:highlight w:val="none"/>
          <w:lang w:eastAsia="zh-CN"/>
        </w:rPr>
        <w:t>乙方</w:t>
      </w:r>
      <w:r>
        <w:rPr>
          <w:rFonts w:hint="eastAsia" w:cs="宋体"/>
          <w:color w:val="auto"/>
          <w:sz w:val="24"/>
          <w:szCs w:val="24"/>
          <w:highlight w:val="none"/>
        </w:rPr>
        <w:t>文件的保管</w:t>
      </w:r>
    </w:p>
    <w:p w14:paraId="27B80FA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关于图纸和</w:t>
      </w:r>
      <w:r>
        <w:rPr>
          <w:rFonts w:hint="eastAsia" w:cs="宋体"/>
          <w:color w:val="auto"/>
          <w:sz w:val="24"/>
          <w:szCs w:val="24"/>
          <w:highlight w:val="none"/>
          <w:lang w:eastAsia="zh-CN"/>
        </w:rPr>
        <w:t>乙方</w:t>
      </w:r>
      <w:r>
        <w:rPr>
          <w:rFonts w:hint="eastAsia" w:cs="宋体"/>
          <w:color w:val="auto"/>
          <w:sz w:val="24"/>
          <w:szCs w:val="24"/>
          <w:highlight w:val="none"/>
        </w:rPr>
        <w:t>文件保管的约定：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72AEE084">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1.7 联络</w:t>
      </w:r>
    </w:p>
    <w:p w14:paraId="575E5E8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1.7.1 </w:t>
      </w:r>
      <w:r>
        <w:rPr>
          <w:rFonts w:hint="eastAsia" w:cs="宋体"/>
          <w:color w:val="auto"/>
          <w:sz w:val="24"/>
          <w:szCs w:val="24"/>
          <w:highlight w:val="none"/>
          <w:lang w:eastAsia="zh-CN"/>
        </w:rPr>
        <w:t>甲方</w:t>
      </w:r>
      <w:r>
        <w:rPr>
          <w:rFonts w:hint="eastAsia" w:cs="宋体"/>
          <w:color w:val="auto"/>
          <w:sz w:val="24"/>
          <w:szCs w:val="24"/>
          <w:highlight w:val="none"/>
        </w:rPr>
        <w:t>和</w:t>
      </w:r>
      <w:r>
        <w:rPr>
          <w:rFonts w:hint="eastAsia" w:cs="宋体"/>
          <w:color w:val="auto"/>
          <w:sz w:val="24"/>
          <w:szCs w:val="24"/>
          <w:highlight w:val="none"/>
          <w:lang w:eastAsia="zh-CN"/>
        </w:rPr>
        <w:t>乙方</w:t>
      </w:r>
      <w:r>
        <w:rPr>
          <w:rFonts w:hint="eastAsia" w:cs="宋体"/>
          <w:color w:val="auto"/>
          <w:sz w:val="24"/>
          <w:szCs w:val="24"/>
          <w:highlight w:val="none"/>
        </w:rPr>
        <w:t>应当在</w:t>
      </w:r>
      <w:r>
        <w:rPr>
          <w:rFonts w:hint="eastAsia" w:cs="宋体"/>
          <w:color w:val="auto"/>
          <w:sz w:val="24"/>
          <w:szCs w:val="24"/>
          <w:highlight w:val="none"/>
          <w:u w:val="single"/>
        </w:rPr>
        <w:t>7</w:t>
      </w:r>
      <w:r>
        <w:rPr>
          <w:rFonts w:hint="eastAsia" w:cs="宋体"/>
          <w:color w:val="auto"/>
          <w:sz w:val="24"/>
          <w:szCs w:val="24"/>
          <w:highlight w:val="none"/>
        </w:rPr>
        <w:t>天内将与合同有关的通知、批准、证明、证书、指示、指令、要求、请求、同意、意见、确定和决定等书面函件送达对方当事人。</w:t>
      </w:r>
    </w:p>
    <w:p w14:paraId="46679A8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1.7.2 </w:t>
      </w:r>
      <w:r>
        <w:rPr>
          <w:rFonts w:hint="eastAsia" w:cs="宋体"/>
          <w:color w:val="auto"/>
          <w:sz w:val="24"/>
          <w:szCs w:val="24"/>
          <w:highlight w:val="none"/>
          <w:lang w:eastAsia="zh-CN"/>
        </w:rPr>
        <w:t>甲方</w:t>
      </w:r>
      <w:r>
        <w:rPr>
          <w:rFonts w:hint="eastAsia" w:cs="宋体"/>
          <w:color w:val="auto"/>
          <w:sz w:val="24"/>
          <w:szCs w:val="24"/>
          <w:highlight w:val="none"/>
        </w:rPr>
        <w:t>接收文件的地点：</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A6ABD1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指定的接收人为：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5E959C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接收文件的地点：</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1BC96B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指定的接收人为：</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351CEB2">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1.10 交通运输</w:t>
      </w:r>
    </w:p>
    <w:p w14:paraId="012A068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Start w:id="126" w:name="_Toc318581155"/>
      <w:bookmarkStart w:id="127" w:name="_Toc303539100"/>
      <w:bookmarkStart w:id="128" w:name="_Toc300934943"/>
      <w:bookmarkStart w:id="129" w:name="_Toc304295521"/>
      <w:bookmarkStart w:id="130" w:name="_Toc312677986"/>
      <w:r>
        <w:rPr>
          <w:rFonts w:hint="eastAsia" w:cs="宋体"/>
          <w:color w:val="auto"/>
          <w:sz w:val="24"/>
          <w:szCs w:val="24"/>
          <w:highlight w:val="none"/>
        </w:rPr>
        <w:t>.10.1 出入现场的权利</w:t>
      </w:r>
    </w:p>
    <w:p w14:paraId="772C537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关于出入现场的权利的约定：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bookmarkEnd w:id="126"/>
    <w:bookmarkEnd w:id="127"/>
    <w:bookmarkEnd w:id="128"/>
    <w:bookmarkEnd w:id="129"/>
    <w:bookmarkEnd w:id="130"/>
    <w:p w14:paraId="4842C07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Start w:id="131" w:name="_Toc318581156"/>
      <w:bookmarkStart w:id="132" w:name="_Toc300934944"/>
      <w:bookmarkStart w:id="133" w:name="_Toc304295522"/>
      <w:bookmarkStart w:id="134" w:name="_Toc312677987"/>
      <w:bookmarkStart w:id="135" w:name="_Toc303539101"/>
      <w:r>
        <w:rPr>
          <w:rFonts w:hint="eastAsia" w:cs="宋体"/>
          <w:color w:val="auto"/>
          <w:sz w:val="24"/>
          <w:szCs w:val="24"/>
          <w:highlight w:val="none"/>
        </w:rPr>
        <w:t>.10.3 场内交通</w:t>
      </w:r>
    </w:p>
    <w:p w14:paraId="0ABC9666">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关于场外交通和场内交通的边界的约定：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28EC01A">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向</w:t>
      </w:r>
      <w:r>
        <w:rPr>
          <w:rFonts w:hint="eastAsia" w:cs="宋体"/>
          <w:color w:val="auto"/>
          <w:sz w:val="24"/>
          <w:szCs w:val="24"/>
          <w:highlight w:val="none"/>
          <w:lang w:eastAsia="zh-CN"/>
        </w:rPr>
        <w:t>乙方</w:t>
      </w:r>
      <w:r>
        <w:rPr>
          <w:rFonts w:hint="eastAsia" w:cs="宋体"/>
          <w:color w:val="auto"/>
          <w:sz w:val="24"/>
          <w:szCs w:val="24"/>
          <w:highlight w:val="none"/>
        </w:rPr>
        <w:t>免费提供满足工程施工需要的场内道路和交通设施的约定：</w:t>
      </w:r>
      <w:r>
        <w:rPr>
          <w:rFonts w:hint="eastAsia" w:ascii="宋体" w:hAnsi="宋体" w:eastAsia="宋体" w:cs="宋体"/>
          <w:color w:val="auto"/>
          <w:sz w:val="24"/>
          <w:szCs w:val="24"/>
          <w:highlight w:val="none"/>
          <w:u w:val="single"/>
        </w:rPr>
        <w:t>执行通</w:t>
      </w:r>
    </w:p>
    <w:p w14:paraId="50257771">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用条款。</w:t>
      </w:r>
      <w:bookmarkEnd w:id="131"/>
      <w:bookmarkEnd w:id="132"/>
      <w:bookmarkEnd w:id="133"/>
      <w:bookmarkEnd w:id="134"/>
      <w:bookmarkEnd w:id="135"/>
      <w:bookmarkStart w:id="136" w:name="_Toc318581157"/>
    </w:p>
    <w:p w14:paraId="574AD7D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1.10.4 超大件和超重件的运输</w:t>
      </w:r>
    </w:p>
    <w:p w14:paraId="54E0ADC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运输超大件或超重件所需的道路和桥梁临时加固改造费用和其他有关费用由</w:t>
      </w:r>
      <w:r>
        <w:rPr>
          <w:rFonts w:hint="eastAsia" w:cs="宋体"/>
          <w:color w:val="auto"/>
          <w:sz w:val="24"/>
          <w:szCs w:val="24"/>
          <w:highlight w:val="none"/>
          <w:u w:val="single"/>
        </w:rPr>
        <w:t xml:space="preserve"> 执行通用条款 </w:t>
      </w:r>
      <w:r>
        <w:rPr>
          <w:rFonts w:hint="eastAsia" w:cs="宋体"/>
          <w:color w:val="auto"/>
          <w:sz w:val="24"/>
          <w:szCs w:val="24"/>
          <w:highlight w:val="none"/>
        </w:rPr>
        <w:t>承担。</w:t>
      </w:r>
    </w:p>
    <w:bookmarkEnd w:id="136"/>
    <w:p w14:paraId="627AD83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1.11 知识产权</w:t>
      </w:r>
    </w:p>
    <w:p w14:paraId="77FD0F6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1.11.1 关于</w:t>
      </w:r>
      <w:r>
        <w:rPr>
          <w:rFonts w:hint="eastAsia" w:cs="宋体"/>
          <w:color w:val="auto"/>
          <w:sz w:val="24"/>
          <w:szCs w:val="24"/>
          <w:highlight w:val="none"/>
          <w:lang w:eastAsia="zh-CN"/>
        </w:rPr>
        <w:t>甲方</w:t>
      </w:r>
      <w:r>
        <w:rPr>
          <w:rFonts w:hint="eastAsia" w:cs="宋体"/>
          <w:color w:val="auto"/>
          <w:sz w:val="24"/>
          <w:szCs w:val="24"/>
          <w:highlight w:val="none"/>
        </w:rPr>
        <w:t>提供给</w:t>
      </w:r>
      <w:r>
        <w:rPr>
          <w:rFonts w:hint="eastAsia" w:cs="宋体"/>
          <w:color w:val="auto"/>
          <w:sz w:val="24"/>
          <w:szCs w:val="24"/>
          <w:highlight w:val="none"/>
          <w:lang w:eastAsia="zh-CN"/>
        </w:rPr>
        <w:t>乙方</w:t>
      </w:r>
      <w:r>
        <w:rPr>
          <w:rFonts w:hint="eastAsia" w:cs="宋体"/>
          <w:color w:val="auto"/>
          <w:sz w:val="24"/>
          <w:szCs w:val="24"/>
          <w:highlight w:val="none"/>
        </w:rPr>
        <w:t>的图纸、</w:t>
      </w:r>
      <w:r>
        <w:rPr>
          <w:rFonts w:hint="eastAsia" w:cs="宋体"/>
          <w:color w:val="auto"/>
          <w:sz w:val="24"/>
          <w:szCs w:val="24"/>
          <w:highlight w:val="none"/>
          <w:lang w:eastAsia="zh-CN"/>
        </w:rPr>
        <w:t>甲方</w:t>
      </w:r>
      <w:r>
        <w:rPr>
          <w:rFonts w:hint="eastAsia" w:cs="宋体"/>
          <w:color w:val="auto"/>
          <w:sz w:val="24"/>
          <w:szCs w:val="24"/>
          <w:highlight w:val="none"/>
        </w:rPr>
        <w:t>为实施工程自行编制或委托编制的技术规范以及反映</w:t>
      </w:r>
      <w:r>
        <w:rPr>
          <w:rFonts w:hint="eastAsia" w:cs="宋体"/>
          <w:color w:val="auto"/>
          <w:sz w:val="24"/>
          <w:szCs w:val="24"/>
          <w:highlight w:val="none"/>
          <w:lang w:eastAsia="zh-CN"/>
        </w:rPr>
        <w:t>甲方</w:t>
      </w:r>
      <w:r>
        <w:rPr>
          <w:rFonts w:hint="eastAsia" w:cs="宋体"/>
          <w:color w:val="auto"/>
          <w:sz w:val="24"/>
          <w:szCs w:val="24"/>
          <w:highlight w:val="none"/>
        </w:rPr>
        <w:t>关于合同要求或其他类似性质的文件的著作权的归属：</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5F8E546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提供的上述文件的使用限制的要求：</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7A14165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1.11.2 关于</w:t>
      </w:r>
      <w:r>
        <w:rPr>
          <w:rFonts w:hint="eastAsia" w:cs="宋体"/>
          <w:color w:val="auto"/>
          <w:sz w:val="24"/>
          <w:szCs w:val="24"/>
          <w:highlight w:val="none"/>
          <w:lang w:eastAsia="zh-CN"/>
        </w:rPr>
        <w:t>乙方</w:t>
      </w:r>
      <w:r>
        <w:rPr>
          <w:rFonts w:hint="eastAsia" w:cs="宋体"/>
          <w:color w:val="auto"/>
          <w:sz w:val="24"/>
          <w:szCs w:val="24"/>
          <w:highlight w:val="none"/>
        </w:rPr>
        <w:t>为实施工程所编制文件的著作权的归属：</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0F15D2F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提供的上述文件的使用限制的要求：</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753B0B4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1.11.4 </w:t>
      </w:r>
      <w:r>
        <w:rPr>
          <w:rFonts w:hint="eastAsia" w:cs="宋体"/>
          <w:color w:val="auto"/>
          <w:sz w:val="24"/>
          <w:szCs w:val="24"/>
          <w:highlight w:val="none"/>
          <w:lang w:eastAsia="zh-CN"/>
        </w:rPr>
        <w:t>乙方</w:t>
      </w:r>
      <w:r>
        <w:rPr>
          <w:rFonts w:hint="eastAsia" w:cs="宋体"/>
          <w:color w:val="auto"/>
          <w:sz w:val="24"/>
          <w:szCs w:val="24"/>
          <w:highlight w:val="none"/>
        </w:rPr>
        <w:t>在施工过程中所采用的专利、专有技术、技术秘密的使用费的承担方式：</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59D59474">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1.13 工程量清单错误的修正</w:t>
      </w:r>
    </w:p>
    <w:p w14:paraId="31A26B14">
      <w:pPr>
        <w:adjustRightInd w:val="0"/>
        <w:snapToGrid w:val="0"/>
        <w:spacing w:line="360" w:lineRule="auto"/>
        <w:ind w:firstLine="480" w:firstLineChars="200"/>
        <w:rPr>
          <w:rFonts w:cs="宋体"/>
          <w:b/>
          <w:bCs/>
          <w:i/>
          <w:iCs/>
          <w:color w:val="auto"/>
          <w:kern w:val="2"/>
          <w:sz w:val="24"/>
          <w:szCs w:val="24"/>
          <w:highlight w:val="none"/>
        </w:rPr>
      </w:pPr>
      <w:r>
        <w:rPr>
          <w:rFonts w:hint="eastAsia" w:cs="宋体"/>
          <w:color w:val="auto"/>
          <w:sz w:val="24"/>
          <w:szCs w:val="24"/>
          <w:highlight w:val="none"/>
        </w:rPr>
        <w:t>出现工程量清单错误时，是否调整合同价格：</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不调整</w:t>
      </w:r>
      <w:r>
        <w:rPr>
          <w:rFonts w:hint="eastAsia" w:cs="宋体"/>
          <w:color w:val="auto"/>
          <w:sz w:val="24"/>
          <w:szCs w:val="24"/>
          <w:highlight w:val="none"/>
          <w:u w:val="single"/>
        </w:rPr>
        <w:t xml:space="preserve">  </w:t>
      </w:r>
      <w:r>
        <w:rPr>
          <w:rFonts w:hint="eastAsia" w:cs="宋体"/>
          <w:b/>
          <w:bCs/>
          <w:i/>
          <w:iCs/>
          <w:color w:val="auto"/>
          <w:kern w:val="2"/>
          <w:sz w:val="24"/>
          <w:szCs w:val="24"/>
          <w:highlight w:val="none"/>
        </w:rPr>
        <w:t xml:space="preserve">  （备注：与合同补充条款相对应）。</w:t>
      </w:r>
    </w:p>
    <w:p w14:paraId="0FC648BC">
      <w:pPr>
        <w:adjustRightInd w:val="0"/>
        <w:snapToGrid w:val="0"/>
        <w:spacing w:line="360" w:lineRule="auto"/>
        <w:ind w:firstLine="480" w:firstLineChars="200"/>
        <w:rPr>
          <w:rFonts w:cs="宋体"/>
          <w:b/>
          <w:bCs/>
          <w:i/>
          <w:iCs/>
          <w:color w:val="auto"/>
          <w:kern w:val="2"/>
          <w:sz w:val="24"/>
          <w:szCs w:val="24"/>
          <w:highlight w:val="none"/>
          <w:shd w:val="clear" w:color="FFFFFF" w:fill="D9D9D9"/>
        </w:rPr>
      </w:pPr>
      <w:r>
        <w:rPr>
          <w:rFonts w:hint="eastAsia" w:cs="宋体"/>
          <w:color w:val="auto"/>
          <w:sz w:val="24"/>
          <w:szCs w:val="24"/>
          <w:highlight w:val="none"/>
        </w:rPr>
        <w:t>允许调整合同价格的工程量偏差范围：</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b/>
          <w:bCs/>
          <w:i/>
          <w:iCs/>
          <w:color w:val="auto"/>
          <w:kern w:val="2"/>
          <w:sz w:val="24"/>
          <w:szCs w:val="24"/>
          <w:highlight w:val="none"/>
        </w:rPr>
        <w:t xml:space="preserve">  （备注：与合同补充条款相对应）。</w:t>
      </w:r>
    </w:p>
    <w:p w14:paraId="6A9AE230">
      <w:pPr>
        <w:snapToGrid w:val="0"/>
        <w:spacing w:before="312" w:beforeLines="100" w:after="312" w:afterLines="100" w:line="360" w:lineRule="auto"/>
        <w:outlineLvl w:val="2"/>
        <w:rPr>
          <w:rFonts w:hint="eastAsia" w:eastAsia="宋体" w:cs="宋体"/>
          <w:color w:val="auto"/>
          <w:sz w:val="24"/>
          <w:szCs w:val="24"/>
          <w:highlight w:val="none"/>
          <w:lang w:eastAsia="zh-CN"/>
        </w:rPr>
      </w:pPr>
      <w:bookmarkStart w:id="137" w:name="_Toc351203634"/>
      <w:r>
        <w:rPr>
          <w:rFonts w:hint="eastAsia" w:cs="宋体"/>
          <w:color w:val="auto"/>
          <w:sz w:val="24"/>
          <w:szCs w:val="24"/>
          <w:highlight w:val="none"/>
        </w:rPr>
        <w:t>2</w:t>
      </w:r>
      <w:bookmarkStart w:id="138" w:name="_Toc296891197"/>
      <w:bookmarkStart w:id="139" w:name="_Toc296944496"/>
      <w:bookmarkStart w:id="140" w:name="_Toc292559362"/>
      <w:bookmarkStart w:id="141" w:name="_Toc296503157"/>
      <w:bookmarkStart w:id="142" w:name="_Toc296890985"/>
      <w:bookmarkStart w:id="143" w:name="_Toc297120457"/>
      <w:bookmarkStart w:id="144" w:name="_Toc296346658"/>
      <w:bookmarkStart w:id="145" w:name="_Toc297048343"/>
      <w:bookmarkStart w:id="146" w:name="_Toc296347156"/>
      <w:bookmarkStart w:id="147" w:name="_Toc292559867"/>
      <w:r>
        <w:rPr>
          <w:rFonts w:hint="eastAsia" w:cs="宋体"/>
          <w:color w:val="auto"/>
          <w:sz w:val="24"/>
          <w:szCs w:val="24"/>
          <w:highlight w:val="none"/>
        </w:rPr>
        <w:t xml:space="preserve">. </w:t>
      </w:r>
      <w:bookmarkEnd w:id="137"/>
      <w:r>
        <w:rPr>
          <w:rFonts w:hint="eastAsia" w:cs="宋体"/>
          <w:color w:val="auto"/>
          <w:sz w:val="24"/>
          <w:szCs w:val="24"/>
          <w:highlight w:val="none"/>
          <w:lang w:eastAsia="zh-CN"/>
        </w:rPr>
        <w:t>甲方</w:t>
      </w:r>
    </w:p>
    <w:bookmarkEnd w:id="138"/>
    <w:bookmarkEnd w:id="139"/>
    <w:bookmarkEnd w:id="140"/>
    <w:bookmarkEnd w:id="141"/>
    <w:bookmarkEnd w:id="142"/>
    <w:bookmarkEnd w:id="143"/>
    <w:bookmarkEnd w:id="144"/>
    <w:bookmarkEnd w:id="145"/>
    <w:bookmarkEnd w:id="146"/>
    <w:bookmarkEnd w:id="147"/>
    <w:p w14:paraId="3118BA4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2.2 </w:t>
      </w:r>
      <w:r>
        <w:rPr>
          <w:rFonts w:hint="eastAsia" w:cs="宋体"/>
          <w:bCs/>
          <w:color w:val="auto"/>
          <w:sz w:val="24"/>
          <w:szCs w:val="24"/>
          <w:highlight w:val="none"/>
          <w:lang w:eastAsia="zh-CN"/>
        </w:rPr>
        <w:t>甲方</w:t>
      </w:r>
      <w:r>
        <w:rPr>
          <w:rFonts w:hint="eastAsia" w:cs="宋体"/>
          <w:bCs/>
          <w:color w:val="auto"/>
          <w:sz w:val="24"/>
          <w:szCs w:val="24"/>
          <w:highlight w:val="none"/>
        </w:rPr>
        <w:t>代表</w:t>
      </w:r>
    </w:p>
    <w:p w14:paraId="209BD5B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代表：</w:t>
      </w:r>
    </w:p>
    <w:p w14:paraId="1DBC4F1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姓    名：</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8CC657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身份证号：</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B8EEAC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职    务：</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671793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AF7963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E137CC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通信地址：</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F8D7C1E">
      <w:pPr>
        <w:adjustRightInd w:val="0"/>
        <w:snapToGrid w:val="0"/>
        <w:spacing w:line="360" w:lineRule="auto"/>
        <w:ind w:firstLine="480" w:firstLineChars="200"/>
        <w:rPr>
          <w:rFonts w:cs="宋体"/>
          <w:b/>
          <w:strike/>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对</w:t>
      </w:r>
      <w:r>
        <w:rPr>
          <w:rFonts w:hint="eastAsia" w:cs="宋体"/>
          <w:color w:val="auto"/>
          <w:sz w:val="24"/>
          <w:szCs w:val="24"/>
          <w:highlight w:val="none"/>
          <w:lang w:eastAsia="zh-CN"/>
        </w:rPr>
        <w:t>甲方</w:t>
      </w:r>
      <w:r>
        <w:rPr>
          <w:rFonts w:hint="eastAsia" w:cs="宋体"/>
          <w:color w:val="auto"/>
          <w:sz w:val="24"/>
          <w:szCs w:val="24"/>
          <w:highlight w:val="none"/>
        </w:rPr>
        <w:t>代表的授权范围如下：</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A15AAA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2.4 施工现场、施工条件和基础资料的提供</w:t>
      </w:r>
    </w:p>
    <w:p w14:paraId="0E528A0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2.4.1 提供施工现场</w:t>
      </w:r>
    </w:p>
    <w:p w14:paraId="6BC1D7D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移交施工现场的期限要求：</w:t>
      </w:r>
      <w:r>
        <w:rPr>
          <w:rFonts w:hint="eastAsia" w:cs="宋体"/>
          <w:color w:val="auto"/>
          <w:sz w:val="24"/>
          <w:szCs w:val="24"/>
          <w:highlight w:val="none"/>
          <w:u w:val="single"/>
        </w:rPr>
        <w:t xml:space="preserve"> 开工日期 7 天前 </w:t>
      </w:r>
      <w:r>
        <w:rPr>
          <w:rFonts w:hint="eastAsia" w:cs="宋体"/>
          <w:color w:val="auto"/>
          <w:sz w:val="24"/>
          <w:szCs w:val="24"/>
          <w:highlight w:val="none"/>
        </w:rPr>
        <w:t>。</w:t>
      </w:r>
    </w:p>
    <w:p w14:paraId="5A78F29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2.4.2 提供施工条件</w:t>
      </w:r>
    </w:p>
    <w:p w14:paraId="7353331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应负责提供施工所需要的条件，包括：</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78A20BD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2.5 资金来源证明及支付担保</w:t>
      </w:r>
    </w:p>
    <w:p w14:paraId="43E0163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提供资金来源证明的期限要求：</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33A9E4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是否提供支付担保：</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0077EE1">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提供支付担保的形式：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6A277A34">
      <w:pPr>
        <w:snapToGrid w:val="0"/>
        <w:spacing w:before="312" w:beforeLines="100" w:after="312" w:afterLines="100" w:line="360" w:lineRule="auto"/>
        <w:outlineLvl w:val="2"/>
        <w:rPr>
          <w:rFonts w:hint="eastAsia" w:eastAsia="宋体" w:cs="宋体"/>
          <w:color w:val="auto"/>
          <w:sz w:val="24"/>
          <w:szCs w:val="24"/>
          <w:highlight w:val="none"/>
          <w:lang w:eastAsia="zh-CN"/>
        </w:rPr>
      </w:pPr>
      <w:bookmarkStart w:id="148" w:name="_Toc351203635"/>
      <w:r>
        <w:rPr>
          <w:rFonts w:hint="eastAsia" w:cs="宋体"/>
          <w:color w:val="auto"/>
          <w:sz w:val="24"/>
          <w:szCs w:val="24"/>
          <w:highlight w:val="none"/>
        </w:rPr>
        <w:t>3</w:t>
      </w:r>
      <w:bookmarkStart w:id="149" w:name="_Toc296890986"/>
      <w:bookmarkStart w:id="150" w:name="_Toc297048344"/>
      <w:bookmarkStart w:id="151" w:name="_Toc292559363"/>
      <w:bookmarkStart w:id="152" w:name="_Toc296503158"/>
      <w:bookmarkStart w:id="153" w:name="_Toc296346659"/>
      <w:bookmarkStart w:id="154" w:name="_Toc296891198"/>
      <w:bookmarkStart w:id="155" w:name="_Toc292559868"/>
      <w:bookmarkStart w:id="156" w:name="_Toc296347157"/>
      <w:bookmarkStart w:id="157" w:name="_Toc297120458"/>
      <w:bookmarkStart w:id="158" w:name="_Toc296944497"/>
      <w:r>
        <w:rPr>
          <w:rFonts w:hint="eastAsia" w:cs="宋体"/>
          <w:color w:val="auto"/>
          <w:sz w:val="24"/>
          <w:szCs w:val="24"/>
          <w:highlight w:val="none"/>
        </w:rPr>
        <w:t xml:space="preserve">. </w:t>
      </w:r>
      <w:bookmarkEnd w:id="148"/>
      <w:r>
        <w:rPr>
          <w:rFonts w:hint="eastAsia" w:cs="宋体"/>
          <w:color w:val="auto"/>
          <w:sz w:val="24"/>
          <w:szCs w:val="24"/>
          <w:highlight w:val="none"/>
          <w:lang w:eastAsia="zh-CN"/>
        </w:rPr>
        <w:t>乙方</w:t>
      </w:r>
    </w:p>
    <w:bookmarkEnd w:id="149"/>
    <w:bookmarkEnd w:id="150"/>
    <w:bookmarkEnd w:id="151"/>
    <w:bookmarkEnd w:id="152"/>
    <w:bookmarkEnd w:id="153"/>
    <w:bookmarkEnd w:id="154"/>
    <w:bookmarkEnd w:id="155"/>
    <w:bookmarkEnd w:id="156"/>
    <w:bookmarkEnd w:id="157"/>
    <w:bookmarkEnd w:id="158"/>
    <w:p w14:paraId="2706ECF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3.1 </w:t>
      </w:r>
      <w:r>
        <w:rPr>
          <w:rFonts w:hint="eastAsia" w:cs="宋体"/>
          <w:bCs/>
          <w:color w:val="auto"/>
          <w:sz w:val="24"/>
          <w:szCs w:val="24"/>
          <w:highlight w:val="none"/>
          <w:lang w:eastAsia="zh-CN"/>
        </w:rPr>
        <w:t>乙方</w:t>
      </w:r>
      <w:r>
        <w:rPr>
          <w:rFonts w:hint="eastAsia" w:cs="宋体"/>
          <w:bCs/>
          <w:color w:val="auto"/>
          <w:sz w:val="24"/>
          <w:szCs w:val="24"/>
          <w:highlight w:val="none"/>
        </w:rPr>
        <w:t>的一般义务</w:t>
      </w:r>
    </w:p>
    <w:p w14:paraId="79EAC71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（9）</w:t>
      </w: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资料的内容：</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提供全套</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图，所有</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图应为新图纸</w:t>
      </w:r>
      <w:r>
        <w:rPr>
          <w:rFonts w:hint="eastAsia" w:cs="宋体"/>
          <w:color w:val="auto"/>
          <w:sz w:val="24"/>
          <w:szCs w:val="24"/>
          <w:highlight w:val="none"/>
        </w:rPr>
        <w:t>。</w:t>
      </w:r>
    </w:p>
    <w:p w14:paraId="1D8951D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需要提交的</w:t>
      </w:r>
      <w:r>
        <w:rPr>
          <w:rFonts w:hint="eastAsia" w:cs="宋体"/>
          <w:color w:val="auto"/>
          <w:sz w:val="24"/>
          <w:szCs w:val="24"/>
          <w:highlight w:val="none"/>
          <w:lang w:eastAsia="zh-CN"/>
        </w:rPr>
        <w:t>完工</w:t>
      </w:r>
      <w:r>
        <w:rPr>
          <w:rFonts w:hint="eastAsia" w:cs="宋体"/>
          <w:color w:val="auto"/>
          <w:sz w:val="24"/>
          <w:szCs w:val="24"/>
          <w:highlight w:val="none"/>
        </w:rPr>
        <w:t>资料套数：</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1158F1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资料的费用承担：</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承担</w:t>
      </w:r>
      <w:r>
        <w:rPr>
          <w:rFonts w:hint="eastAsia" w:cs="宋体"/>
          <w:color w:val="auto"/>
          <w:sz w:val="24"/>
          <w:szCs w:val="24"/>
          <w:highlight w:val="none"/>
        </w:rPr>
        <w:t>。</w:t>
      </w:r>
    </w:p>
    <w:p w14:paraId="0C512C9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资料移交时间：</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95E8D5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提交的</w:t>
      </w:r>
      <w:r>
        <w:rPr>
          <w:rFonts w:hint="eastAsia" w:cs="宋体"/>
          <w:color w:val="auto"/>
          <w:sz w:val="24"/>
          <w:szCs w:val="24"/>
          <w:highlight w:val="none"/>
          <w:lang w:eastAsia="zh-CN"/>
        </w:rPr>
        <w:t>完工</w:t>
      </w:r>
      <w:r>
        <w:rPr>
          <w:rFonts w:hint="eastAsia" w:cs="宋体"/>
          <w:color w:val="auto"/>
          <w:sz w:val="24"/>
          <w:szCs w:val="24"/>
          <w:highlight w:val="none"/>
        </w:rPr>
        <w:t>资料形式要求：</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67ECD6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（10）</w:t>
      </w:r>
      <w:r>
        <w:rPr>
          <w:rFonts w:hint="eastAsia" w:cs="宋体"/>
          <w:color w:val="auto"/>
          <w:sz w:val="24"/>
          <w:szCs w:val="24"/>
          <w:highlight w:val="none"/>
          <w:lang w:eastAsia="zh-CN"/>
        </w:rPr>
        <w:t>乙方</w:t>
      </w:r>
      <w:r>
        <w:rPr>
          <w:rFonts w:hint="eastAsia" w:cs="宋体"/>
          <w:color w:val="auto"/>
          <w:sz w:val="24"/>
          <w:szCs w:val="24"/>
          <w:highlight w:val="none"/>
        </w:rPr>
        <w:t>应履行的其他义务：</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544E7D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3.2 项目经理</w:t>
      </w:r>
    </w:p>
    <w:p w14:paraId="722DB10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3.2.1 项目经理：</w:t>
      </w:r>
    </w:p>
    <w:p w14:paraId="0C1CD1F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姓    名：</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6EE17E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身份证号：</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A0CA30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建造师执业资格等级：</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4576579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建造师注册证书号：</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1D3EC4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建造师执业印章号：</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2D8E13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安全生产考核合格证书号：</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50FABA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CE03B5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907F87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通信地址：</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1ECB17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对项目经理的授权范围如下：</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C0AD79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关于项目经理每月在施工现场的时间要求：</w:t>
      </w:r>
      <w:r>
        <w:rPr>
          <w:rFonts w:hint="eastAsia" w:cs="宋体"/>
          <w:color w:val="auto"/>
          <w:sz w:val="24"/>
          <w:szCs w:val="24"/>
          <w:highlight w:val="none"/>
          <w:u w:val="single"/>
        </w:rPr>
        <w:t>见《专用合同条款数据表》。</w:t>
      </w:r>
    </w:p>
    <w:p w14:paraId="5766CFE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未提交劳动合同，以及没有为项目经理缴纳社会保险证明的违约责任：</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应依照有关法律以及人力资源和社会保障部门、建筑行政主管部门的相关规定，为其履行合同所雇佣的全部人员投保工伤保险，缴纳工伤保险费，并要求其分包人也投保此项保险 </w:t>
      </w:r>
      <w:r>
        <w:rPr>
          <w:rFonts w:hint="eastAsia" w:cs="宋体"/>
          <w:color w:val="auto"/>
          <w:sz w:val="24"/>
          <w:szCs w:val="24"/>
          <w:highlight w:val="none"/>
        </w:rPr>
        <w:t>。</w:t>
      </w:r>
    </w:p>
    <w:p w14:paraId="478B178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项目经理未经批准，擅自离开施工现场的违约责任：</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未能按照承诺到岗尽职的，</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将视情况严重程度对其作出相应处理，给予警告并发出整改通知。如仍未及时整改，</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有权责令其停工整改直至解除合同。</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还将停止支付工程款项，扣留任何未付的工程进度款项补偿</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的有关损失或工期延误的损失，并就此向</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索赔。</w:t>
      </w:r>
    </w:p>
    <w:p w14:paraId="30D46CE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3.2.3 </w:t>
      </w:r>
      <w:r>
        <w:rPr>
          <w:rFonts w:hint="eastAsia" w:cs="宋体"/>
          <w:color w:val="auto"/>
          <w:sz w:val="24"/>
          <w:szCs w:val="24"/>
          <w:highlight w:val="none"/>
          <w:lang w:eastAsia="zh-CN"/>
        </w:rPr>
        <w:t>乙方</w:t>
      </w:r>
      <w:r>
        <w:rPr>
          <w:rFonts w:hint="eastAsia" w:cs="宋体"/>
          <w:color w:val="auto"/>
          <w:sz w:val="24"/>
          <w:szCs w:val="24"/>
          <w:highlight w:val="none"/>
        </w:rPr>
        <w:t>擅自更换项目经理的违约责任：</w:t>
      </w:r>
    </w:p>
    <w:p w14:paraId="2E4DABF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u w:val="single"/>
          <w:lang w:eastAsia="zh-CN"/>
        </w:rPr>
        <w:t>乙方</w:t>
      </w:r>
      <w:r>
        <w:rPr>
          <w:rFonts w:hint="eastAsia" w:cs="宋体"/>
          <w:color w:val="auto"/>
          <w:sz w:val="24"/>
          <w:szCs w:val="24"/>
          <w:highlight w:val="none"/>
          <w:u w:val="single"/>
        </w:rPr>
        <w:t>不得擅自更换投标时所报项目经理，否则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有权解除合同，由此造成的损失由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自行承担，</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还应赔偿由此造成</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的全部损失。确需更换的须在签订合同后，报经</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同意后按相关规定办理，更换后的人员不得低于</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投标时所报人员资质和技术水平。</w:t>
      </w:r>
    </w:p>
    <w:p w14:paraId="769AC83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3.2.4 </w:t>
      </w:r>
      <w:r>
        <w:rPr>
          <w:rFonts w:hint="eastAsia" w:cs="宋体"/>
          <w:color w:val="auto"/>
          <w:sz w:val="24"/>
          <w:szCs w:val="24"/>
          <w:highlight w:val="none"/>
          <w:lang w:eastAsia="zh-CN"/>
        </w:rPr>
        <w:t>乙方</w:t>
      </w:r>
      <w:r>
        <w:rPr>
          <w:rFonts w:hint="eastAsia" w:cs="宋体"/>
          <w:color w:val="auto"/>
          <w:sz w:val="24"/>
          <w:szCs w:val="24"/>
          <w:highlight w:val="none"/>
        </w:rPr>
        <w:t>无正当理由拒绝更换项目经理的违约责任：</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要求撤换不能胜任本职工作、行为不端或玩忽职守的</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项目经理和其他人员的，应通知</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应于收到</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的书面通知之日起 7 天内将不少于两位继任者及其资质和业绩情况提供给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，供</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选择的新项目经理或其他人员应于 7 天内进驻工程现场；否则，每迟延一天，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有权自</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应得的工程款中扣除违约金人民币合同总价的万分之五</w:t>
      </w:r>
      <w:r>
        <w:rPr>
          <w:rFonts w:hint="eastAsia" w:cs="宋体"/>
          <w:color w:val="auto"/>
          <w:sz w:val="24"/>
          <w:szCs w:val="24"/>
          <w:highlight w:val="none"/>
        </w:rPr>
        <w:t>。</w:t>
      </w:r>
    </w:p>
    <w:p w14:paraId="1246FA95">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3.3 </w:t>
      </w:r>
      <w:r>
        <w:rPr>
          <w:rFonts w:hint="eastAsia" w:cs="宋体"/>
          <w:bCs/>
          <w:color w:val="auto"/>
          <w:sz w:val="24"/>
          <w:szCs w:val="24"/>
          <w:highlight w:val="none"/>
          <w:lang w:eastAsia="zh-CN"/>
        </w:rPr>
        <w:t>乙方</w:t>
      </w:r>
      <w:r>
        <w:rPr>
          <w:rFonts w:hint="eastAsia" w:cs="宋体"/>
          <w:bCs/>
          <w:color w:val="auto"/>
          <w:sz w:val="24"/>
          <w:szCs w:val="24"/>
          <w:highlight w:val="none"/>
        </w:rPr>
        <w:t>人员</w:t>
      </w:r>
    </w:p>
    <w:p w14:paraId="05ED45C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3.3.1 </w:t>
      </w:r>
      <w:r>
        <w:rPr>
          <w:rFonts w:hint="eastAsia" w:cs="宋体"/>
          <w:color w:val="auto"/>
          <w:sz w:val="24"/>
          <w:szCs w:val="24"/>
          <w:highlight w:val="none"/>
          <w:lang w:eastAsia="zh-CN"/>
        </w:rPr>
        <w:t>乙方</w:t>
      </w:r>
      <w:r>
        <w:rPr>
          <w:rFonts w:hint="eastAsia" w:cs="宋体"/>
          <w:color w:val="auto"/>
          <w:sz w:val="24"/>
          <w:szCs w:val="24"/>
          <w:highlight w:val="none"/>
        </w:rPr>
        <w:t>提交项目管理机构及施工现场管理人员安排报告的期限：</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5054670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3.3.3 </w:t>
      </w:r>
      <w:r>
        <w:rPr>
          <w:rFonts w:hint="eastAsia" w:cs="宋体"/>
          <w:color w:val="auto"/>
          <w:sz w:val="24"/>
          <w:szCs w:val="24"/>
          <w:highlight w:val="none"/>
          <w:lang w:eastAsia="zh-CN"/>
        </w:rPr>
        <w:t>乙方</w:t>
      </w:r>
      <w:r>
        <w:rPr>
          <w:rFonts w:hint="eastAsia" w:cs="宋体"/>
          <w:color w:val="auto"/>
          <w:sz w:val="24"/>
          <w:szCs w:val="24"/>
          <w:highlight w:val="none"/>
        </w:rPr>
        <w:t>无正当理由拒绝撤换主要施工管理人员的违约责任：</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要求撤换不能胜任本职工作、行为不端或玩忽职守的</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主要施工管理人员的，应书面通知</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应于收到</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的书面通知之日起 7 天内将不少于两位继任者及其资质和业绩情况提供给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，供</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选择的新人员应于 7 天内进驻工程现场；否则，每迟延一天，</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有权自</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应得的工程款中扣除违约金人民币合同总价的万分之一</w:t>
      </w:r>
      <w:r>
        <w:rPr>
          <w:rFonts w:hint="eastAsia" w:cs="宋体"/>
          <w:color w:val="auto"/>
          <w:sz w:val="24"/>
          <w:szCs w:val="24"/>
          <w:highlight w:val="none"/>
        </w:rPr>
        <w:t>。</w:t>
      </w:r>
    </w:p>
    <w:p w14:paraId="5C9F05F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 xml:space="preserve">3.3.4 </w:t>
      </w:r>
      <w:r>
        <w:rPr>
          <w:rFonts w:hint="eastAsia" w:cs="宋体"/>
          <w:color w:val="auto"/>
          <w:sz w:val="24"/>
          <w:szCs w:val="24"/>
          <w:highlight w:val="none"/>
          <w:lang w:eastAsia="zh-CN"/>
        </w:rPr>
        <w:t>乙方</w:t>
      </w:r>
      <w:r>
        <w:rPr>
          <w:rFonts w:hint="eastAsia" w:cs="宋体"/>
          <w:color w:val="auto"/>
          <w:sz w:val="24"/>
          <w:szCs w:val="24"/>
          <w:highlight w:val="none"/>
        </w:rPr>
        <w:t>主要施工管理人员离开施工现场的批准要求：</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3A73A56C">
      <w:pPr>
        <w:adjustRightInd w:val="0"/>
        <w:snapToGrid w:val="0"/>
        <w:spacing w:line="360" w:lineRule="auto"/>
        <w:ind w:firstLine="484" w:firstLineChars="202"/>
        <w:rPr>
          <w:rFonts w:cs="宋体"/>
          <w:color w:val="auto"/>
          <w:sz w:val="24"/>
          <w:szCs w:val="24"/>
          <w:highlight w:val="none"/>
        </w:rPr>
      </w:pPr>
      <w:r>
        <w:rPr>
          <w:rFonts w:hint="eastAsia" w:cs="宋体"/>
          <w:color w:val="auto"/>
          <w:sz w:val="24"/>
          <w:szCs w:val="24"/>
          <w:highlight w:val="none"/>
        </w:rPr>
        <w:t xml:space="preserve">3.3.5 </w:t>
      </w:r>
      <w:r>
        <w:rPr>
          <w:rFonts w:hint="eastAsia" w:cs="宋体"/>
          <w:color w:val="auto"/>
          <w:sz w:val="24"/>
          <w:szCs w:val="24"/>
          <w:highlight w:val="none"/>
          <w:lang w:eastAsia="zh-CN"/>
        </w:rPr>
        <w:t>乙方</w:t>
      </w:r>
      <w:r>
        <w:rPr>
          <w:rFonts w:hint="eastAsia" w:cs="宋体"/>
          <w:color w:val="auto"/>
          <w:sz w:val="24"/>
          <w:szCs w:val="24"/>
          <w:highlight w:val="none"/>
        </w:rPr>
        <w:t>擅自更换主要施工管理人员的违约责任：</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不得擅自更换主要管理人员，否则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有权解除合同，由此造成的损失由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自行承担，</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还应赔偿由此造成</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的全部损失。确需更换的须在签订合同后，报经</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同意后按相关规定办理，更换后的人员不得低于</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投标时所报人员资质和技术水平。</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如认为有必要，可要求对上述人员中的部分人员作出更好的调整。</w:t>
      </w:r>
    </w:p>
    <w:p w14:paraId="6969874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主要施工管理人员擅自离开施工现场的违约责任：</w:t>
      </w:r>
      <w:r>
        <w:rPr>
          <w:rFonts w:hint="eastAsia" w:cs="宋体"/>
          <w:color w:val="auto"/>
          <w:sz w:val="24"/>
          <w:szCs w:val="24"/>
          <w:highlight w:val="none"/>
          <w:u w:val="single"/>
        </w:rPr>
        <w:t>未征得</w:t>
      </w:r>
      <w:r>
        <w:rPr>
          <w:rFonts w:hint="eastAsia" w:cs="宋体"/>
          <w:color w:val="auto"/>
          <w:sz w:val="24"/>
          <w:szCs w:val="24"/>
          <w:highlight w:val="none"/>
          <w:u w:val="single"/>
          <w:lang w:val="en-US" w:eastAsia="zh-CN"/>
        </w:rPr>
        <w:t>发包方</w:t>
      </w:r>
      <w:r>
        <w:rPr>
          <w:rFonts w:hint="eastAsia" w:cs="宋体"/>
          <w:color w:val="auto"/>
          <w:sz w:val="24"/>
          <w:szCs w:val="24"/>
          <w:highlight w:val="none"/>
          <w:u w:val="single"/>
        </w:rPr>
        <w:t>书面同意擅自离开施工现场，</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有权自</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应获得的工程款中扣除违约金，违约金标准为每次人民币</w:t>
      </w:r>
      <w:r>
        <w:rPr>
          <w:rFonts w:hint="eastAsia" w:cs="宋体"/>
          <w:color w:val="auto"/>
          <w:sz w:val="24"/>
          <w:szCs w:val="24"/>
          <w:highlight w:val="none"/>
          <w:u w:val="single"/>
          <w:lang w:eastAsia="zh-CN"/>
        </w:rPr>
        <w:t>伍</w:t>
      </w:r>
      <w:r>
        <w:rPr>
          <w:rFonts w:hint="eastAsia" w:cs="宋体"/>
          <w:color w:val="auto"/>
          <w:sz w:val="24"/>
          <w:szCs w:val="24"/>
          <w:highlight w:val="none"/>
          <w:u w:val="single"/>
        </w:rPr>
        <w:t>千元</w:t>
      </w:r>
      <w:r>
        <w:rPr>
          <w:rFonts w:hint="eastAsia" w:cs="宋体"/>
          <w:color w:val="auto"/>
          <w:sz w:val="24"/>
          <w:szCs w:val="24"/>
          <w:highlight w:val="none"/>
        </w:rPr>
        <w:t>。</w:t>
      </w:r>
    </w:p>
    <w:p w14:paraId="641EC2A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w:t>
      </w:r>
      <w:bookmarkStart w:id="159" w:name="_Toc296346660"/>
      <w:bookmarkStart w:id="160" w:name="_Toc296944498"/>
      <w:bookmarkStart w:id="161" w:name="_Toc296890987"/>
      <w:bookmarkStart w:id="162" w:name="_Toc296347158"/>
      <w:bookmarkStart w:id="163" w:name="_Toc312677988"/>
      <w:bookmarkStart w:id="164" w:name="_Toc300934945"/>
      <w:bookmarkStart w:id="165" w:name="_Toc296891199"/>
      <w:bookmarkStart w:id="166" w:name="_Toc304295523"/>
      <w:bookmarkStart w:id="167" w:name="_Toc297123492"/>
      <w:bookmarkStart w:id="168" w:name="_Toc292559869"/>
      <w:bookmarkStart w:id="169" w:name="_Toc297216151"/>
      <w:bookmarkStart w:id="170" w:name="_Toc303539102"/>
      <w:bookmarkStart w:id="171" w:name="_Toc292559364"/>
      <w:bookmarkStart w:id="172" w:name="_Toc296503159"/>
      <w:bookmarkStart w:id="173" w:name="_Toc297120459"/>
      <w:bookmarkStart w:id="174" w:name="_Toc297048345"/>
      <w:r>
        <w:rPr>
          <w:rFonts w:hint="eastAsia" w:cs="宋体"/>
          <w:bCs/>
          <w:color w:val="auto"/>
          <w:sz w:val="24"/>
          <w:szCs w:val="24"/>
          <w:highlight w:val="none"/>
        </w:rPr>
        <w:t>.5 分包</w:t>
      </w: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3563184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w:t>
      </w:r>
      <w:bookmarkStart w:id="175" w:name="_Toc296346661"/>
      <w:bookmarkStart w:id="176" w:name="_Toc296503160"/>
      <w:bookmarkStart w:id="177" w:name="_Toc296890988"/>
      <w:bookmarkStart w:id="178" w:name="_Toc300934946"/>
      <w:bookmarkStart w:id="179" w:name="_Toc297216152"/>
      <w:bookmarkStart w:id="180" w:name="_Toc292559870"/>
      <w:bookmarkStart w:id="181" w:name="_Toc296891200"/>
      <w:bookmarkStart w:id="182" w:name="_Toc304295524"/>
      <w:bookmarkStart w:id="183" w:name="_Toc297120460"/>
      <w:bookmarkStart w:id="184" w:name="_Toc296944499"/>
      <w:bookmarkStart w:id="185" w:name="_Toc297123493"/>
      <w:bookmarkStart w:id="186" w:name="_Toc303539103"/>
      <w:bookmarkStart w:id="187" w:name="_Toc296347159"/>
      <w:bookmarkStart w:id="188" w:name="_Toc297048346"/>
      <w:bookmarkStart w:id="189" w:name="_Toc292559365"/>
      <w:bookmarkStart w:id="190" w:name="_Toc312677989"/>
      <w:bookmarkStart w:id="191" w:name="_Toc318581158"/>
      <w:r>
        <w:rPr>
          <w:rFonts w:hint="eastAsia" w:cs="宋体"/>
          <w:color w:val="auto"/>
          <w:sz w:val="24"/>
          <w:szCs w:val="24"/>
          <w:highlight w:val="none"/>
        </w:rPr>
        <w:t>.5.1 分包的一般约定</w:t>
      </w:r>
    </w:p>
    <w:p w14:paraId="18D518F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禁止分包的工程包括：</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6436266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主体结构、关键性工作的范围：</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Start w:id="192" w:name="_Toc297123494"/>
      <w:bookmarkStart w:id="193" w:name="_Toc296891201"/>
      <w:bookmarkStart w:id="194" w:name="_Toc296346662"/>
      <w:bookmarkStart w:id="195" w:name="_Toc296503161"/>
      <w:bookmarkStart w:id="196" w:name="_Toc304295525"/>
      <w:bookmarkStart w:id="197" w:name="_Toc296347160"/>
      <w:bookmarkStart w:id="198" w:name="_Toc303539104"/>
      <w:bookmarkStart w:id="199" w:name="_Toc297216153"/>
      <w:bookmarkStart w:id="200" w:name="_Toc297120461"/>
      <w:bookmarkStart w:id="201" w:name="_Toc296890989"/>
      <w:bookmarkStart w:id="202" w:name="_Toc300934947"/>
      <w:bookmarkStart w:id="203" w:name="_Toc296944500"/>
      <w:bookmarkStart w:id="204" w:name="_Toc297048347"/>
      <w:r>
        <w:rPr>
          <w:rFonts w:hint="eastAsia" w:cs="宋体"/>
          <w:color w:val="auto"/>
          <w:sz w:val="24"/>
          <w:szCs w:val="24"/>
          <w:highlight w:val="none"/>
          <w:u w:val="single"/>
        </w:rPr>
        <w:t xml:space="preserve">执行通用条款 </w:t>
      </w:r>
      <w:r>
        <w:rPr>
          <w:rFonts w:hint="eastAsia" w:cs="宋体"/>
          <w:color w:val="auto"/>
          <w:sz w:val="24"/>
          <w:szCs w:val="24"/>
          <w:highlight w:val="none"/>
        </w:rPr>
        <w:t>。</w:t>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14:paraId="12D2153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w:t>
      </w:r>
      <w:bookmarkStart w:id="205" w:name="_Toc312677990"/>
      <w:bookmarkStart w:id="206" w:name="_Toc318581159"/>
      <w:r>
        <w:rPr>
          <w:rFonts w:hint="eastAsia" w:cs="宋体"/>
          <w:color w:val="auto"/>
          <w:sz w:val="24"/>
          <w:szCs w:val="24"/>
          <w:highlight w:val="none"/>
        </w:rPr>
        <w:t>.5.2 分包的确定</w:t>
      </w:r>
    </w:p>
    <w:p w14:paraId="3719AFA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允许分包的专业工程包括：</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7F8EAED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其他关于分包的约定：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4BD02D8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3.5.4 分包合同价款</w:t>
      </w:r>
    </w:p>
    <w:p w14:paraId="77CAFA3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关于分包合同价款支付的约定：</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205"/>
    <w:bookmarkEnd w:id="206"/>
    <w:p w14:paraId="49A5CDFC">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3.6 工程照管与成品、半成品保护</w:t>
      </w:r>
    </w:p>
    <w:p w14:paraId="5465B39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负责照管工程及工程相关的材料、工程设备的起始时间：</w:t>
      </w:r>
      <w:r>
        <w:rPr>
          <w:rFonts w:hint="eastAsia" w:cs="宋体"/>
          <w:color w:val="auto"/>
          <w:sz w:val="24"/>
          <w:szCs w:val="24"/>
          <w:highlight w:val="none"/>
          <w:u w:val="single"/>
        </w:rPr>
        <w:t>自</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向</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移交施工现场之日起，</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应负责照管工程及工程相关的材料、工程设备，直到颁发工程接收证书之日止。</w:t>
      </w:r>
    </w:p>
    <w:p w14:paraId="189AF20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3.7 履约保证金</w:t>
      </w:r>
    </w:p>
    <w:p w14:paraId="3631FBA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是否提供履约保证金：</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6A1164E">
      <w:pPr>
        <w:adjustRightInd w:val="0"/>
        <w:snapToGrid w:val="0"/>
        <w:spacing w:line="360" w:lineRule="auto"/>
        <w:ind w:left="-70" w:leftChars="-35" w:firstLine="568" w:firstLineChars="237"/>
        <w:rPr>
          <w:rFonts w:cs="宋体"/>
          <w:b/>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提供履约保证金的形式：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61241F5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履约保证金的金额：</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6DCEDE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履约保证金提交期限的要求：</w:t>
      </w:r>
      <w:r>
        <w:rPr>
          <w:rFonts w:hint="eastAsia" w:cs="宋体"/>
          <w:color w:val="auto"/>
          <w:sz w:val="24"/>
          <w:szCs w:val="24"/>
          <w:highlight w:val="none"/>
          <w:u w:val="single"/>
        </w:rPr>
        <w:t>见《专用合同条款数据表》。</w:t>
      </w:r>
    </w:p>
    <w:p w14:paraId="53A6E184">
      <w:pPr>
        <w:adjustRightInd w:val="0"/>
        <w:snapToGrid w:val="0"/>
        <w:spacing w:line="360" w:lineRule="auto"/>
        <w:ind w:firstLine="480" w:firstLineChars="200"/>
        <w:rPr>
          <w:rFonts w:cs="宋体"/>
          <w:strike/>
          <w:color w:val="auto"/>
          <w:sz w:val="24"/>
          <w:szCs w:val="24"/>
          <w:highlight w:val="none"/>
        </w:rPr>
      </w:pPr>
      <w:r>
        <w:rPr>
          <w:rFonts w:hint="eastAsia" w:cs="宋体"/>
          <w:bCs/>
          <w:snapToGrid w:val="0"/>
          <w:color w:val="auto"/>
          <w:sz w:val="24"/>
          <w:szCs w:val="24"/>
          <w:highlight w:val="none"/>
        </w:rPr>
        <w:t>履约保证金退还时限：</w:t>
      </w:r>
      <w:r>
        <w:rPr>
          <w:rFonts w:hint="eastAsia" w:cs="宋体"/>
          <w:color w:val="auto"/>
          <w:sz w:val="24"/>
          <w:szCs w:val="24"/>
          <w:highlight w:val="none"/>
          <w:u w:val="single"/>
        </w:rPr>
        <w:t>见《专用合同条款数据表》。</w:t>
      </w:r>
    </w:p>
    <w:p w14:paraId="453D4357">
      <w:pPr>
        <w:snapToGrid w:val="0"/>
        <w:spacing w:before="312" w:beforeLines="100" w:after="312" w:afterLines="100" w:line="360" w:lineRule="auto"/>
        <w:outlineLvl w:val="2"/>
        <w:rPr>
          <w:rFonts w:hint="default" w:cs="宋体"/>
          <w:color w:val="auto"/>
          <w:sz w:val="24"/>
          <w:szCs w:val="24"/>
          <w:highlight w:val="none"/>
          <w:lang w:val="en-US" w:eastAsia="zh-CN"/>
        </w:rPr>
      </w:pPr>
      <w:bookmarkStart w:id="207" w:name="_Toc351203636"/>
      <w:r>
        <w:rPr>
          <w:rFonts w:hint="eastAsia" w:cs="宋体"/>
          <w:color w:val="auto"/>
          <w:sz w:val="24"/>
          <w:szCs w:val="24"/>
          <w:highlight w:val="none"/>
        </w:rPr>
        <w:t>4</w:t>
      </w:r>
      <w:bookmarkStart w:id="208" w:name="_Toc296890990"/>
      <w:bookmarkStart w:id="209" w:name="_Toc296347161"/>
      <w:bookmarkStart w:id="210" w:name="_Toc296346663"/>
      <w:bookmarkStart w:id="211" w:name="_Toc296891202"/>
      <w:bookmarkStart w:id="212" w:name="_Toc296503162"/>
      <w:bookmarkStart w:id="213" w:name="_Toc297048348"/>
      <w:bookmarkStart w:id="214" w:name="_Toc296944501"/>
      <w:bookmarkStart w:id="215" w:name="_Toc267251413"/>
      <w:bookmarkStart w:id="216" w:name="_Toc292559871"/>
      <w:bookmarkStart w:id="217" w:name="_Toc292559366"/>
      <w:bookmarkStart w:id="218" w:name="_Toc297120462"/>
      <w:r>
        <w:rPr>
          <w:rFonts w:hint="eastAsia" w:cs="宋体"/>
          <w:color w:val="auto"/>
          <w:sz w:val="24"/>
          <w:szCs w:val="24"/>
          <w:highlight w:val="none"/>
        </w:rPr>
        <w:t>. 监</w:t>
      </w:r>
      <w:bookmarkEnd w:id="208"/>
      <w:bookmarkEnd w:id="209"/>
      <w:bookmarkEnd w:id="210"/>
      <w:bookmarkEnd w:id="211"/>
      <w:bookmarkEnd w:id="212"/>
      <w:bookmarkEnd w:id="213"/>
      <w:bookmarkEnd w:id="214"/>
      <w:bookmarkEnd w:id="215"/>
      <w:bookmarkEnd w:id="216"/>
      <w:bookmarkEnd w:id="217"/>
      <w:bookmarkEnd w:id="218"/>
      <w:r>
        <w:rPr>
          <w:rFonts w:hint="eastAsia" w:cs="宋体"/>
          <w:color w:val="auto"/>
          <w:sz w:val="24"/>
          <w:szCs w:val="24"/>
          <w:highlight w:val="none"/>
        </w:rPr>
        <w:t>理人</w:t>
      </w:r>
      <w:bookmarkEnd w:id="207"/>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p>
    <w:p w14:paraId="349D4295">
      <w:pPr>
        <w:snapToGrid w:val="0"/>
        <w:spacing w:before="312" w:beforeLines="100" w:after="312" w:afterLines="100" w:line="360" w:lineRule="auto"/>
        <w:outlineLvl w:val="2"/>
        <w:rPr>
          <w:rFonts w:cs="宋体"/>
          <w:color w:val="auto"/>
          <w:sz w:val="24"/>
          <w:szCs w:val="24"/>
          <w:highlight w:val="none"/>
        </w:rPr>
      </w:pPr>
      <w:bookmarkStart w:id="219" w:name="_Toc267251418"/>
      <w:bookmarkStart w:id="220" w:name="_Toc351203637"/>
      <w:r>
        <w:rPr>
          <w:rFonts w:hint="eastAsia" w:cs="宋体"/>
          <w:color w:val="auto"/>
          <w:sz w:val="24"/>
          <w:szCs w:val="24"/>
          <w:highlight w:val="none"/>
        </w:rPr>
        <w:t>5</w:t>
      </w:r>
      <w:bookmarkEnd w:id="219"/>
      <w:bookmarkStart w:id="221" w:name="_Toc296891203"/>
      <w:bookmarkStart w:id="222" w:name="_Toc292559367"/>
      <w:bookmarkStart w:id="223" w:name="_Toc297120463"/>
      <w:bookmarkStart w:id="224" w:name="_Toc292559872"/>
      <w:bookmarkStart w:id="225" w:name="_Toc296347162"/>
      <w:bookmarkStart w:id="226" w:name="_Toc297048349"/>
      <w:bookmarkStart w:id="227" w:name="_Toc296503163"/>
      <w:bookmarkStart w:id="228" w:name="_Toc296944502"/>
      <w:bookmarkStart w:id="229" w:name="_Toc296346664"/>
      <w:bookmarkStart w:id="230" w:name="_Toc296890991"/>
      <w:r>
        <w:rPr>
          <w:rFonts w:hint="eastAsia" w:cs="宋体"/>
          <w:color w:val="auto"/>
          <w:sz w:val="24"/>
          <w:szCs w:val="24"/>
          <w:highlight w:val="none"/>
        </w:rPr>
        <w:t>. 工程质量</w:t>
      </w:r>
      <w:bookmarkEnd w:id="220"/>
    </w:p>
    <w:p w14:paraId="4F74C2A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5.1 质量要求</w:t>
      </w:r>
    </w:p>
    <w:p w14:paraId="0D4FA65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5</w:t>
      </w:r>
      <w:bookmarkStart w:id="231" w:name="_Toc312677997"/>
      <w:bookmarkStart w:id="232" w:name="_Toc297123496"/>
      <w:bookmarkStart w:id="233" w:name="_Toc297216155"/>
      <w:bookmarkStart w:id="234" w:name="_Toc300934949"/>
      <w:bookmarkStart w:id="235" w:name="_Toc303539106"/>
      <w:bookmarkStart w:id="236" w:name="_Toc304295527"/>
      <w:bookmarkStart w:id="237" w:name="_Toc318581164"/>
      <w:r>
        <w:rPr>
          <w:rFonts w:hint="eastAsia" w:cs="宋体"/>
          <w:color w:val="auto"/>
          <w:sz w:val="24"/>
          <w:szCs w:val="24"/>
          <w:highlight w:val="none"/>
        </w:rPr>
        <w:t>.1.1 特殊质量标准和要求：</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9814C4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关于工程奖项的约定：</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5D0A910">
      <w:pPr>
        <w:snapToGrid w:val="0"/>
        <w:spacing w:line="360" w:lineRule="auto"/>
        <w:ind w:firstLine="480" w:firstLineChars="200"/>
        <w:jc w:val="left"/>
        <w:rPr>
          <w:rFonts w:cs="宋体"/>
          <w:color w:val="auto"/>
          <w:sz w:val="24"/>
          <w:szCs w:val="24"/>
          <w:highlight w:val="none"/>
        </w:rPr>
      </w:pPr>
      <w:bookmarkStart w:id="238" w:name="_Toc351203638"/>
      <w:r>
        <w:rPr>
          <w:rFonts w:hint="eastAsia" w:cs="宋体"/>
          <w:color w:val="auto"/>
          <w:sz w:val="24"/>
          <w:szCs w:val="24"/>
          <w:highlight w:val="none"/>
        </w:rPr>
        <w:t>关于建造要求：</w:t>
      </w:r>
    </w:p>
    <w:p w14:paraId="16379D49">
      <w:pPr>
        <w:pStyle w:val="15"/>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（1）绿色建筑等级要求：</w:t>
      </w:r>
      <w:r>
        <w:rPr>
          <w:rFonts w:hint="eastAsia" w:hAnsi="宋体" w:cs="宋体"/>
          <w:color w:val="auto"/>
          <w:sz w:val="24"/>
          <w:szCs w:val="24"/>
          <w:highlight w:val="none"/>
          <w:u w:val="single"/>
        </w:rPr>
        <w:t>见《专用合同条款数据表》</w:t>
      </w:r>
      <w:r>
        <w:rPr>
          <w:rFonts w:hint="eastAsia" w:hAnsi="宋体" w:cs="宋体"/>
          <w:color w:val="auto"/>
          <w:sz w:val="24"/>
          <w:szCs w:val="24"/>
          <w:highlight w:val="none"/>
        </w:rPr>
        <w:t>；</w:t>
      </w:r>
    </w:p>
    <w:p w14:paraId="65882592">
      <w:pPr>
        <w:pStyle w:val="15"/>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（2）智慧工地管理要求：</w:t>
      </w:r>
      <w:r>
        <w:rPr>
          <w:rFonts w:hint="eastAsia" w:hAnsi="宋体" w:cs="宋体"/>
          <w:color w:val="auto"/>
          <w:sz w:val="24"/>
          <w:szCs w:val="24"/>
          <w:highlight w:val="none"/>
          <w:u w:val="single"/>
        </w:rPr>
        <w:t>见《专用合同条款数据表》</w:t>
      </w:r>
      <w:r>
        <w:rPr>
          <w:rFonts w:hint="eastAsia" w:hAnsi="宋体" w:cs="宋体"/>
          <w:color w:val="auto"/>
          <w:sz w:val="24"/>
          <w:szCs w:val="24"/>
          <w:highlight w:val="none"/>
        </w:rPr>
        <w:t>；</w:t>
      </w:r>
    </w:p>
    <w:p w14:paraId="60F00F3F">
      <w:pPr>
        <w:pStyle w:val="15"/>
        <w:snapToGrid w:val="0"/>
        <w:spacing w:line="360" w:lineRule="auto"/>
        <w:ind w:firstLine="480"/>
        <w:rPr>
          <w:rFonts w:hAnsi="宋体" w:cs="宋体"/>
          <w:color w:val="auto"/>
          <w:sz w:val="24"/>
          <w:szCs w:val="24"/>
          <w:highlight w:val="none"/>
        </w:rPr>
      </w:pPr>
      <w:r>
        <w:rPr>
          <w:rFonts w:hint="eastAsia" w:hAnsi="宋体" w:cs="宋体"/>
          <w:color w:val="auto"/>
          <w:sz w:val="24"/>
          <w:szCs w:val="24"/>
          <w:highlight w:val="none"/>
        </w:rPr>
        <w:t>（3）建筑垃圾减量化目标：</w:t>
      </w:r>
      <w:r>
        <w:rPr>
          <w:rFonts w:hint="eastAsia" w:hAnsi="宋体" w:cs="宋体"/>
          <w:color w:val="auto"/>
          <w:sz w:val="24"/>
          <w:szCs w:val="24"/>
          <w:highlight w:val="none"/>
          <w:u w:val="single"/>
        </w:rPr>
        <w:t>见《专用合同条款数据表》</w:t>
      </w:r>
      <w:r>
        <w:rPr>
          <w:rFonts w:hint="eastAsia" w:hAnsi="宋体" w:cs="宋体"/>
          <w:color w:val="auto"/>
          <w:sz w:val="24"/>
          <w:szCs w:val="24"/>
          <w:highlight w:val="none"/>
        </w:rPr>
        <w:t>；</w:t>
      </w:r>
    </w:p>
    <w:p w14:paraId="1D487F53">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（4）装配式建筑装配率要求：</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F2F8C24">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（5）</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1BEB91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5.3 隐蔽工程检查</w:t>
      </w:r>
    </w:p>
    <w:p w14:paraId="3AC95832">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 xml:space="preserve">5.3.2 </w:t>
      </w:r>
      <w:r>
        <w:rPr>
          <w:rFonts w:hint="eastAsia" w:cs="宋体"/>
          <w:color w:val="auto"/>
          <w:sz w:val="24"/>
          <w:szCs w:val="24"/>
          <w:highlight w:val="none"/>
          <w:lang w:eastAsia="zh-CN"/>
        </w:rPr>
        <w:t>乙方</w:t>
      </w:r>
      <w:r>
        <w:rPr>
          <w:rFonts w:hint="eastAsia" w:cs="宋体"/>
          <w:color w:val="auto"/>
          <w:sz w:val="24"/>
          <w:szCs w:val="24"/>
          <w:highlight w:val="none"/>
        </w:rPr>
        <w:t>提前通知隐蔽工程检查的期限的约定：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0FD88DF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关于延期最长不得超过：</w:t>
      </w:r>
      <w:r>
        <w:rPr>
          <w:rFonts w:hint="eastAsia" w:cs="宋体"/>
          <w:color w:val="auto"/>
          <w:sz w:val="24"/>
          <w:szCs w:val="24"/>
          <w:highlight w:val="none"/>
          <w:u w:val="single"/>
        </w:rPr>
        <w:t xml:space="preserve"> 执行通用条款 </w:t>
      </w:r>
      <w:r>
        <w:rPr>
          <w:rFonts w:hint="eastAsia" w:cs="宋体"/>
          <w:color w:val="auto"/>
          <w:sz w:val="24"/>
          <w:szCs w:val="24"/>
          <w:highlight w:val="none"/>
        </w:rPr>
        <w:t>小时。</w:t>
      </w:r>
    </w:p>
    <w:p w14:paraId="16CE2656">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5</w:t>
      </w:r>
      <w:bookmarkStart w:id="239" w:name="_Toc337558762"/>
      <w:r>
        <w:rPr>
          <w:rFonts w:hint="eastAsia" w:cs="宋体"/>
          <w:bCs/>
          <w:color w:val="auto"/>
          <w:sz w:val="24"/>
          <w:szCs w:val="24"/>
          <w:highlight w:val="none"/>
        </w:rPr>
        <w:t>.4 不合格工程的处理</w:t>
      </w:r>
    </w:p>
    <w:bookmarkEnd w:id="239"/>
    <w:p w14:paraId="2984646C">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本款补充5.4.3项：</w:t>
      </w:r>
    </w:p>
    <w:p w14:paraId="5FF39BA1">
      <w:pPr>
        <w:snapToGrid w:val="0"/>
        <w:spacing w:line="360" w:lineRule="auto"/>
        <w:ind w:firstLine="480" w:firstLineChars="200"/>
        <w:jc w:val="left"/>
        <w:rPr>
          <w:rFonts w:cs="宋体"/>
          <w:strike w:val="0"/>
          <w:dstrike w:val="0"/>
          <w:color w:val="auto"/>
          <w:sz w:val="24"/>
          <w:szCs w:val="24"/>
          <w:highlight w:val="none"/>
        </w:rPr>
      </w:pPr>
      <w:r>
        <w:rPr>
          <w:rFonts w:hint="eastAsia" w:cs="宋体"/>
          <w:color w:val="auto"/>
          <w:sz w:val="24"/>
          <w:szCs w:val="24"/>
          <w:highlight w:val="none"/>
        </w:rPr>
        <w:t xml:space="preserve">5.4.3 </w:t>
      </w:r>
      <w:r>
        <w:rPr>
          <w:rFonts w:hint="eastAsia" w:cs="宋体"/>
          <w:strike w:val="0"/>
          <w:dstrike w:val="0"/>
          <w:color w:val="auto"/>
          <w:sz w:val="24"/>
          <w:szCs w:val="24"/>
          <w:highlight w:val="none"/>
          <w:lang w:eastAsia="zh-CN"/>
        </w:rPr>
        <w:t>乙方</w:t>
      </w:r>
      <w:r>
        <w:rPr>
          <w:rFonts w:hint="eastAsia" w:cs="宋体"/>
          <w:strike w:val="0"/>
          <w:dstrike w:val="0"/>
          <w:color w:val="auto"/>
          <w:sz w:val="24"/>
          <w:szCs w:val="24"/>
          <w:highlight w:val="none"/>
        </w:rPr>
        <w:t>在收到</w:t>
      </w:r>
      <w:r>
        <w:rPr>
          <w:rFonts w:hint="eastAsia" w:cs="宋体"/>
          <w:strike w:val="0"/>
          <w:dstrike w:val="0"/>
          <w:color w:val="auto"/>
          <w:sz w:val="24"/>
          <w:szCs w:val="24"/>
          <w:highlight w:val="none"/>
          <w:lang w:val="en-US" w:eastAsia="zh-CN"/>
        </w:rPr>
        <w:t>甲方</w:t>
      </w:r>
      <w:r>
        <w:rPr>
          <w:rFonts w:hint="eastAsia" w:cs="宋体"/>
          <w:strike w:val="0"/>
          <w:dstrike w:val="0"/>
          <w:color w:val="auto"/>
          <w:sz w:val="24"/>
          <w:szCs w:val="24"/>
          <w:highlight w:val="none"/>
        </w:rPr>
        <w:t>发出的</w:t>
      </w:r>
      <w:r>
        <w:rPr>
          <w:rFonts w:hint="eastAsia" w:cs="宋体"/>
          <w:strike w:val="0"/>
          <w:dstrike w:val="0"/>
          <w:color w:val="auto"/>
          <w:sz w:val="24"/>
          <w:szCs w:val="24"/>
          <w:highlight w:val="none"/>
          <w:lang w:val="en-US" w:eastAsia="zh-CN"/>
        </w:rPr>
        <w:t>整改通知后</w:t>
      </w:r>
      <w:r>
        <w:rPr>
          <w:rFonts w:hint="eastAsia" w:cs="宋体"/>
          <w:strike w:val="0"/>
          <w:dstrike w:val="0"/>
          <w:color w:val="auto"/>
          <w:sz w:val="24"/>
          <w:szCs w:val="24"/>
          <w:highlight w:val="none"/>
        </w:rPr>
        <w:t>，必须在</w:t>
      </w:r>
      <w:r>
        <w:rPr>
          <w:rFonts w:hint="eastAsia" w:cs="宋体"/>
          <w:strike w:val="0"/>
          <w:dstrike w:val="0"/>
          <w:color w:val="auto"/>
          <w:sz w:val="24"/>
          <w:szCs w:val="24"/>
          <w:highlight w:val="none"/>
          <w:lang w:val="en-US" w:eastAsia="zh-CN"/>
        </w:rPr>
        <w:t>甲方</w:t>
      </w:r>
      <w:r>
        <w:rPr>
          <w:rFonts w:hint="eastAsia" w:cs="宋体"/>
          <w:strike w:val="0"/>
          <w:dstrike w:val="0"/>
          <w:color w:val="auto"/>
          <w:sz w:val="24"/>
          <w:szCs w:val="24"/>
          <w:highlight w:val="none"/>
        </w:rPr>
        <w:t>规定时间内按要求完成整改，未能在限定时间内完成整改的，须承担相应违约责任。</w:t>
      </w:r>
    </w:p>
    <w:p w14:paraId="4CA4FAE8">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本条补充5.6款：</w:t>
      </w:r>
    </w:p>
    <w:p w14:paraId="74403C52">
      <w:pPr>
        <w:keepNext/>
        <w:keepLines/>
        <w:snapToGrid w:val="0"/>
        <w:spacing w:before="120" w:after="120" w:line="360" w:lineRule="auto"/>
        <w:ind w:firstLine="480" w:firstLineChars="200"/>
        <w:outlineLvl w:val="3"/>
        <w:rPr>
          <w:rFonts w:cs="宋体"/>
          <w:bCs/>
          <w:color w:val="auto"/>
          <w:sz w:val="24"/>
          <w:szCs w:val="24"/>
          <w:highlight w:val="none"/>
        </w:rPr>
      </w:pPr>
      <w:bookmarkStart w:id="240" w:name="_Toc532377348"/>
      <w:r>
        <w:rPr>
          <w:rFonts w:hint="eastAsia" w:cs="宋体"/>
          <w:bCs/>
          <w:color w:val="auto"/>
          <w:sz w:val="24"/>
          <w:szCs w:val="24"/>
          <w:highlight w:val="none"/>
        </w:rPr>
        <w:t>5.6 质量事故的处理</w:t>
      </w:r>
      <w:bookmarkEnd w:id="240"/>
    </w:p>
    <w:p w14:paraId="1EDA0B93">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5.6.1 合同履行过程中，发生工程质量事故的调查处理按照国家现行规定处理。</w:t>
      </w:r>
    </w:p>
    <w:p w14:paraId="196062BF">
      <w:pPr>
        <w:snapToGri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5.6.2 </w:t>
      </w:r>
      <w:r>
        <w:rPr>
          <w:rFonts w:hint="eastAsia" w:cs="宋体"/>
          <w:color w:val="auto"/>
          <w:sz w:val="24"/>
          <w:szCs w:val="24"/>
          <w:highlight w:val="none"/>
          <w:lang w:eastAsia="zh-CN"/>
        </w:rPr>
        <w:t>甲方</w:t>
      </w:r>
      <w:r>
        <w:rPr>
          <w:rFonts w:hint="eastAsia" w:cs="宋体"/>
          <w:color w:val="auto"/>
          <w:sz w:val="24"/>
          <w:szCs w:val="24"/>
          <w:highlight w:val="none"/>
        </w:rPr>
        <w:t>在对工程质量、安全和环境保护、水土保持等建设全过程管理中发现有技术、质量和其他问题的，可责令</w:t>
      </w:r>
      <w:r>
        <w:rPr>
          <w:rFonts w:hint="eastAsia" w:cs="宋体"/>
          <w:color w:val="auto"/>
          <w:sz w:val="24"/>
          <w:szCs w:val="24"/>
          <w:highlight w:val="none"/>
          <w:lang w:eastAsia="zh-CN"/>
        </w:rPr>
        <w:t>乙方</w:t>
      </w:r>
      <w:r>
        <w:rPr>
          <w:rFonts w:hint="eastAsia" w:cs="宋体"/>
          <w:color w:val="auto"/>
          <w:sz w:val="24"/>
          <w:szCs w:val="24"/>
          <w:highlight w:val="none"/>
        </w:rPr>
        <w:t>返工或整改；对存在的隐患，有权责令</w:t>
      </w:r>
      <w:r>
        <w:rPr>
          <w:rFonts w:hint="eastAsia" w:cs="宋体"/>
          <w:color w:val="auto"/>
          <w:sz w:val="24"/>
          <w:szCs w:val="24"/>
          <w:highlight w:val="none"/>
          <w:lang w:eastAsia="zh-CN"/>
        </w:rPr>
        <w:t>乙方</w:t>
      </w:r>
      <w:r>
        <w:rPr>
          <w:rFonts w:hint="eastAsia" w:cs="宋体"/>
          <w:color w:val="auto"/>
          <w:sz w:val="24"/>
          <w:szCs w:val="24"/>
          <w:highlight w:val="none"/>
        </w:rPr>
        <w:t>予以解决，</w:t>
      </w:r>
      <w:r>
        <w:rPr>
          <w:rFonts w:hint="eastAsia" w:cs="宋体"/>
          <w:color w:val="auto"/>
          <w:sz w:val="24"/>
          <w:szCs w:val="24"/>
          <w:highlight w:val="none"/>
          <w:lang w:eastAsia="zh-CN"/>
        </w:rPr>
        <w:t>乙方</w:t>
      </w:r>
      <w:r>
        <w:rPr>
          <w:rFonts w:hint="eastAsia" w:cs="宋体"/>
          <w:color w:val="auto"/>
          <w:sz w:val="24"/>
          <w:szCs w:val="24"/>
          <w:highlight w:val="none"/>
        </w:rPr>
        <w:t>按照合同中其他条款约定承担违约责任。</w:t>
      </w:r>
    </w:p>
    <w:p w14:paraId="1981D916">
      <w:pPr>
        <w:snapToGrid w:val="0"/>
        <w:spacing w:before="312" w:beforeLines="100" w:after="312" w:afterLines="100" w:line="360" w:lineRule="auto"/>
        <w:outlineLvl w:val="2"/>
        <w:rPr>
          <w:rFonts w:cs="宋体"/>
          <w:color w:val="auto"/>
          <w:sz w:val="24"/>
          <w:szCs w:val="24"/>
          <w:highlight w:val="none"/>
        </w:rPr>
      </w:pPr>
      <w:r>
        <w:rPr>
          <w:rFonts w:hint="eastAsia" w:cs="宋体"/>
          <w:color w:val="auto"/>
          <w:sz w:val="24"/>
          <w:szCs w:val="24"/>
          <w:highlight w:val="none"/>
        </w:rPr>
        <w:t>6. 安全文明施工与环境保护</w:t>
      </w:r>
      <w:bookmarkEnd w:id="238"/>
    </w:p>
    <w:p w14:paraId="5D74BA4B">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6.1 安全文明施工</w:t>
      </w:r>
    </w:p>
    <w:p w14:paraId="1A94177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6.1.1 项目安全生产的达标目标及相应事项的约定：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E8F59E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6.1.4 关于治安保卫的特别约定：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3475E51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关于编制施工场地治安管理计划的约定：</w:t>
      </w:r>
      <w:r>
        <w:rPr>
          <w:rFonts w:hint="eastAsia" w:cs="宋体"/>
          <w:color w:val="auto"/>
          <w:sz w:val="24"/>
          <w:szCs w:val="24"/>
          <w:highlight w:val="none"/>
          <w:u w:val="single"/>
        </w:rPr>
        <w:t xml:space="preserve"> 执行通用条款 </w:t>
      </w:r>
      <w:r>
        <w:rPr>
          <w:rFonts w:hint="eastAsia" w:cs="宋体"/>
          <w:color w:val="auto"/>
          <w:sz w:val="24"/>
          <w:szCs w:val="24"/>
          <w:highlight w:val="none"/>
        </w:rPr>
        <w:t>。</w:t>
      </w:r>
    </w:p>
    <w:p w14:paraId="226CF76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6.1.5 文明施工</w:t>
      </w:r>
    </w:p>
    <w:p w14:paraId="408B44E9">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合同当事人对文明施工的要求：</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应按国家及地方有关规定制定的“文明工地标准”文明施工，并应在施工组织设计中提出施工全过程的文明施工措施计划。</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承担文明施工所需的一切费用，否则，</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有权对相关措施费不予支付，且</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不得提出任何异议 </w:t>
      </w:r>
      <w:r>
        <w:rPr>
          <w:rFonts w:hint="eastAsia" w:cs="宋体"/>
          <w:color w:val="auto"/>
          <w:sz w:val="24"/>
          <w:szCs w:val="24"/>
          <w:highlight w:val="none"/>
        </w:rPr>
        <w:t>。</w:t>
      </w:r>
    </w:p>
    <w:p w14:paraId="371C5A1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6.1.6 关于安全文明施工费支付比例和支付期限的约定：</w:t>
      </w:r>
      <w:r>
        <w:rPr>
          <w:rFonts w:hint="eastAsia" w:cs="宋体"/>
          <w:color w:val="FF0000"/>
          <w:sz w:val="24"/>
          <w:szCs w:val="24"/>
          <w:highlight w:val="none"/>
          <w:u w:val="single"/>
        </w:rPr>
        <w:t xml:space="preserve">  </w:t>
      </w:r>
      <w:r>
        <w:rPr>
          <w:rFonts w:hint="eastAsia" w:cs="宋体"/>
          <w:color w:val="FF0000"/>
          <w:sz w:val="24"/>
          <w:szCs w:val="24"/>
          <w:highlight w:val="none"/>
          <w:u w:val="single"/>
          <w:lang w:val="en-US" w:eastAsia="zh-CN"/>
        </w:rPr>
        <w:t>/</w:t>
      </w:r>
      <w:r>
        <w:rPr>
          <w:rFonts w:hint="eastAsia" w:cs="宋体"/>
          <w:color w:val="auto"/>
          <w:sz w:val="24"/>
          <w:szCs w:val="24"/>
          <w:highlight w:val="none"/>
        </w:rPr>
        <w:t>。</w:t>
      </w:r>
    </w:p>
    <w:bookmarkEnd w:id="231"/>
    <w:bookmarkEnd w:id="232"/>
    <w:bookmarkEnd w:id="233"/>
    <w:bookmarkEnd w:id="234"/>
    <w:bookmarkEnd w:id="235"/>
    <w:bookmarkEnd w:id="236"/>
    <w:bookmarkEnd w:id="237"/>
    <w:p w14:paraId="75FC612F">
      <w:pPr>
        <w:snapToGrid w:val="0"/>
        <w:spacing w:before="312" w:beforeLines="100" w:after="312" w:afterLines="100" w:line="360" w:lineRule="auto"/>
        <w:outlineLvl w:val="2"/>
        <w:rPr>
          <w:rFonts w:cs="宋体"/>
          <w:color w:val="auto"/>
          <w:sz w:val="24"/>
          <w:szCs w:val="24"/>
          <w:highlight w:val="none"/>
        </w:rPr>
      </w:pPr>
      <w:bookmarkStart w:id="241" w:name="_Toc351203639"/>
      <w:r>
        <w:rPr>
          <w:rFonts w:hint="eastAsia" w:cs="宋体"/>
          <w:color w:val="auto"/>
          <w:sz w:val="24"/>
          <w:szCs w:val="24"/>
          <w:highlight w:val="none"/>
        </w:rPr>
        <w:t>7. 工期和进度</w:t>
      </w:r>
      <w:bookmarkEnd w:id="241"/>
    </w:p>
    <w:p w14:paraId="209579DB">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7.1 施工组织设计</w:t>
      </w:r>
    </w:p>
    <w:p w14:paraId="0057A75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7.1.1 合同当事人约定的施工组织设计应包括的其他内容：</w:t>
      </w:r>
      <w:r>
        <w:rPr>
          <w:rFonts w:hint="eastAsia" w:cs="宋体"/>
          <w:color w:val="auto"/>
          <w:sz w:val="24"/>
          <w:szCs w:val="24"/>
          <w:highlight w:val="none"/>
          <w:u w:val="single"/>
        </w:rPr>
        <w:t>总进度计划须含网络图、横道图。</w:t>
      </w:r>
    </w:p>
    <w:p w14:paraId="53751CF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7.1.2 施工组织设计的提交和修改</w:t>
      </w:r>
    </w:p>
    <w:p w14:paraId="5346FE8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提交详细施工组织设计的期限的约定：</w:t>
      </w:r>
      <w:r>
        <w:rPr>
          <w:rFonts w:hint="eastAsia" w:cs="宋体"/>
          <w:color w:val="auto"/>
          <w:sz w:val="24"/>
          <w:szCs w:val="24"/>
          <w:highlight w:val="none"/>
          <w:u w:val="single"/>
        </w:rPr>
        <w:t xml:space="preserve"> 合同签订后 14 天内，但最迟不得晚于第7.3.2 项〔开工通知〕载明的开工日期前 7 天 </w:t>
      </w:r>
      <w:r>
        <w:rPr>
          <w:rFonts w:hint="eastAsia" w:cs="宋体"/>
          <w:color w:val="auto"/>
          <w:sz w:val="24"/>
          <w:szCs w:val="24"/>
          <w:highlight w:val="none"/>
        </w:rPr>
        <w:t>。</w:t>
      </w:r>
    </w:p>
    <w:p w14:paraId="354055B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在收到详细的施工组织设计后确认或提出修改意见的期限：</w:t>
      </w:r>
      <w:r>
        <w:rPr>
          <w:rFonts w:hint="eastAsia" w:cs="宋体"/>
          <w:color w:val="auto"/>
          <w:sz w:val="24"/>
          <w:szCs w:val="24"/>
          <w:highlight w:val="none"/>
          <w:u w:val="single"/>
        </w:rPr>
        <w:t xml:space="preserve"> 收到施工组织设计后7天内 </w:t>
      </w:r>
      <w:r>
        <w:rPr>
          <w:rFonts w:hint="eastAsia" w:cs="宋体"/>
          <w:color w:val="auto"/>
          <w:sz w:val="24"/>
          <w:szCs w:val="24"/>
          <w:highlight w:val="none"/>
        </w:rPr>
        <w:t>。</w:t>
      </w:r>
    </w:p>
    <w:p w14:paraId="4354678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42" w:name="_Toc297216173"/>
      <w:bookmarkStart w:id="243" w:name="_Toc312677479"/>
      <w:bookmarkStart w:id="244" w:name="_Toc303539123"/>
      <w:bookmarkStart w:id="245" w:name="_Toc312678005"/>
      <w:bookmarkStart w:id="246" w:name="_Toc300934966"/>
      <w:bookmarkStart w:id="247" w:name="_Toc304295541"/>
      <w:bookmarkStart w:id="248" w:name="_Toc297123514"/>
      <w:r>
        <w:rPr>
          <w:rFonts w:hint="eastAsia" w:cs="宋体"/>
          <w:bCs/>
          <w:color w:val="auto"/>
          <w:sz w:val="24"/>
          <w:szCs w:val="24"/>
          <w:highlight w:val="none"/>
        </w:rPr>
        <w:t>.2 施工进度计划</w:t>
      </w:r>
    </w:p>
    <w:p w14:paraId="1F9FE7AC">
      <w:pPr>
        <w:adjustRightInd w:val="0"/>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cs="宋体"/>
          <w:color w:val="auto"/>
          <w:sz w:val="24"/>
          <w:szCs w:val="24"/>
          <w:highlight w:val="none"/>
        </w:rPr>
        <w:t>7.2.2 施工进度计划的修订</w:t>
      </w:r>
    </w:p>
    <w:p w14:paraId="2D703321">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在收到修订的施工进度计划后确认或提出修改意见的期限：</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应在 14 天内向</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提交修订合同进度计划的申请报告，并附有关措施和相关资料，报</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审批</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应在收到申请报告后的 14 天内批复。当</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认为需要修订合同进度计划时，</w:t>
      </w:r>
      <w:r>
        <w:rPr>
          <w:rFonts w:hint="eastAsia"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应按</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的指示，在 14 天内向</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提交修订的合同进度计划，并附调整计划的相关资料，提交</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审批。</w:t>
      </w:r>
      <w:r>
        <w:rPr>
          <w:rFonts w:hint="eastAsia"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lang w:val="en-US" w:eastAsia="zh-CN"/>
        </w:rPr>
        <w:t>应在收到进度计划后的 14 天内批复</w:t>
      </w:r>
      <w:r>
        <w:rPr>
          <w:rFonts w:hint="eastAsia" w:ascii="宋体" w:hAnsi="宋体" w:eastAsia="宋体" w:cs="宋体"/>
          <w:color w:val="auto"/>
          <w:sz w:val="24"/>
          <w:szCs w:val="24"/>
          <w:highlight w:val="none"/>
          <w:u w:val="single"/>
        </w:rPr>
        <w:t xml:space="preserve"> 。</w:t>
      </w:r>
    </w:p>
    <w:p w14:paraId="1BA860E5">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7.3 开工</w:t>
      </w:r>
    </w:p>
    <w:p w14:paraId="55D3F79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7.3.1 开工准备</w:t>
      </w:r>
    </w:p>
    <w:p w14:paraId="766D73B0">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提交工程开工报审表的期限：</w:t>
      </w:r>
      <w:r>
        <w:rPr>
          <w:rFonts w:hint="eastAsia" w:cs="宋体"/>
          <w:color w:val="auto"/>
          <w:sz w:val="24"/>
          <w:szCs w:val="24"/>
          <w:highlight w:val="none"/>
          <w:u w:val="single"/>
        </w:rPr>
        <w:t xml:space="preserve">  开工前 7 天内  </w:t>
      </w:r>
      <w:r>
        <w:rPr>
          <w:rFonts w:hint="eastAsia" w:cs="宋体"/>
          <w:color w:val="auto"/>
          <w:sz w:val="24"/>
          <w:szCs w:val="24"/>
          <w:highlight w:val="none"/>
        </w:rPr>
        <w:t>。</w:t>
      </w:r>
    </w:p>
    <w:p w14:paraId="1551899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甲方</w:t>
      </w:r>
      <w:r>
        <w:rPr>
          <w:rFonts w:hint="eastAsia" w:cs="宋体"/>
          <w:color w:val="auto"/>
          <w:sz w:val="24"/>
          <w:szCs w:val="24"/>
          <w:highlight w:val="none"/>
        </w:rPr>
        <w:t>应完成的其他开工准备工作及期限：</w:t>
      </w:r>
      <w:r>
        <w:rPr>
          <w:rFonts w:hint="eastAsia" w:cs="宋体"/>
          <w:color w:val="auto"/>
          <w:sz w:val="24"/>
          <w:szCs w:val="24"/>
          <w:highlight w:val="none"/>
          <w:u w:val="single"/>
        </w:rPr>
        <w:t xml:space="preserve"> 开工前 7 天内 </w:t>
      </w:r>
      <w:r>
        <w:rPr>
          <w:rFonts w:hint="eastAsia" w:cs="宋体"/>
          <w:color w:val="auto"/>
          <w:sz w:val="24"/>
          <w:szCs w:val="24"/>
          <w:highlight w:val="none"/>
        </w:rPr>
        <w:t>。</w:t>
      </w:r>
    </w:p>
    <w:p w14:paraId="0BA2872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应完成的其他开工准备工作及期限：</w:t>
      </w:r>
      <w:r>
        <w:rPr>
          <w:rFonts w:hint="eastAsia" w:cs="宋体"/>
          <w:color w:val="auto"/>
          <w:sz w:val="24"/>
          <w:szCs w:val="24"/>
          <w:highlight w:val="none"/>
          <w:u w:val="single"/>
        </w:rPr>
        <w:t xml:space="preserve"> 开工前 7 天内 </w:t>
      </w:r>
      <w:r>
        <w:rPr>
          <w:rFonts w:hint="eastAsia" w:cs="宋体"/>
          <w:color w:val="auto"/>
          <w:sz w:val="24"/>
          <w:szCs w:val="24"/>
          <w:highlight w:val="none"/>
        </w:rPr>
        <w:t>。</w:t>
      </w:r>
    </w:p>
    <w:bookmarkEnd w:id="242"/>
    <w:bookmarkEnd w:id="243"/>
    <w:bookmarkEnd w:id="244"/>
    <w:bookmarkEnd w:id="245"/>
    <w:bookmarkEnd w:id="246"/>
    <w:bookmarkEnd w:id="247"/>
    <w:bookmarkEnd w:id="248"/>
    <w:p w14:paraId="22BFF55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7.4 测量放线</w:t>
      </w:r>
    </w:p>
    <w:p w14:paraId="0F9AD2A6">
      <w:pPr>
        <w:adjustRightInd w:val="0"/>
        <w:snapToGrid w:val="0"/>
        <w:spacing w:line="360" w:lineRule="auto"/>
        <w:ind w:firstLine="480" w:firstLineChars="200"/>
        <w:rPr>
          <w:rFonts w:cs="宋体"/>
          <w:strike w:val="0"/>
          <w:dstrike w:val="0"/>
          <w:color w:val="auto"/>
          <w:sz w:val="24"/>
          <w:szCs w:val="24"/>
          <w:highlight w:val="none"/>
          <w:u w:val="single"/>
        </w:rPr>
      </w:pPr>
      <w:r>
        <w:rPr>
          <w:rFonts w:hint="eastAsia" w:cs="宋体"/>
          <w:strike w:val="0"/>
          <w:dstrike w:val="0"/>
          <w:color w:val="auto"/>
          <w:sz w:val="24"/>
          <w:szCs w:val="24"/>
          <w:highlight w:val="none"/>
        </w:rPr>
        <w:t xml:space="preserve">7.4.1 </w:t>
      </w:r>
      <w:r>
        <w:rPr>
          <w:rFonts w:hint="eastAsia" w:cs="宋体"/>
          <w:strike w:val="0"/>
          <w:dstrike w:val="0"/>
          <w:color w:val="auto"/>
          <w:sz w:val="24"/>
          <w:szCs w:val="24"/>
          <w:highlight w:val="none"/>
          <w:lang w:eastAsia="zh-CN"/>
        </w:rPr>
        <w:t>甲方</w:t>
      </w:r>
      <w:r>
        <w:rPr>
          <w:rFonts w:hint="eastAsia" w:cs="宋体"/>
          <w:strike w:val="0"/>
          <w:dstrike w:val="0"/>
          <w:color w:val="auto"/>
          <w:sz w:val="24"/>
          <w:szCs w:val="24"/>
          <w:highlight w:val="none"/>
        </w:rPr>
        <w:t>向</w:t>
      </w:r>
      <w:r>
        <w:rPr>
          <w:rFonts w:hint="eastAsia" w:cs="宋体"/>
          <w:strike w:val="0"/>
          <w:dstrike w:val="0"/>
          <w:color w:val="auto"/>
          <w:sz w:val="24"/>
          <w:szCs w:val="24"/>
          <w:highlight w:val="none"/>
          <w:lang w:eastAsia="zh-CN"/>
        </w:rPr>
        <w:t>乙方</w:t>
      </w:r>
      <w:r>
        <w:rPr>
          <w:rFonts w:hint="eastAsia" w:cs="宋体"/>
          <w:strike w:val="0"/>
          <w:dstrike w:val="0"/>
          <w:color w:val="auto"/>
          <w:sz w:val="24"/>
          <w:szCs w:val="24"/>
          <w:highlight w:val="none"/>
        </w:rPr>
        <w:t>提供测量基准点、基准线和水准点及其书面资料的期限：</w:t>
      </w:r>
      <w:r>
        <w:rPr>
          <w:rFonts w:hint="eastAsia" w:cs="宋体"/>
          <w:strike w:val="0"/>
          <w:dstrike w:val="0"/>
          <w:color w:val="auto"/>
          <w:sz w:val="24"/>
          <w:szCs w:val="24"/>
          <w:highlight w:val="none"/>
          <w:u w:val="single"/>
        </w:rPr>
        <w:t xml:space="preserve"> 开工前 7 天内 </w:t>
      </w:r>
      <w:r>
        <w:rPr>
          <w:rFonts w:hint="eastAsia" w:cs="宋体"/>
          <w:strike w:val="0"/>
          <w:dstrike w:val="0"/>
          <w:color w:val="auto"/>
          <w:sz w:val="24"/>
          <w:szCs w:val="24"/>
          <w:highlight w:val="none"/>
        </w:rPr>
        <w:t>。</w:t>
      </w:r>
    </w:p>
    <w:p w14:paraId="4DF5251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49" w:name="_Toc303539125"/>
      <w:bookmarkStart w:id="250" w:name="_Toc312677484"/>
      <w:bookmarkStart w:id="251" w:name="_Toc304295546"/>
      <w:bookmarkStart w:id="252" w:name="_Toc297123516"/>
      <w:bookmarkStart w:id="253" w:name="_Toc297216175"/>
      <w:bookmarkStart w:id="254" w:name="_Toc300934968"/>
      <w:bookmarkStart w:id="255" w:name="_Toc312678010"/>
      <w:r>
        <w:rPr>
          <w:rFonts w:hint="eastAsia" w:cs="宋体"/>
          <w:bCs/>
          <w:color w:val="auto"/>
          <w:sz w:val="24"/>
          <w:szCs w:val="24"/>
          <w:highlight w:val="none"/>
        </w:rPr>
        <w:t>.5 工期延误</w:t>
      </w:r>
    </w:p>
    <w:bookmarkEnd w:id="249"/>
    <w:bookmarkEnd w:id="250"/>
    <w:bookmarkEnd w:id="251"/>
    <w:bookmarkEnd w:id="252"/>
    <w:bookmarkEnd w:id="253"/>
    <w:bookmarkEnd w:id="254"/>
    <w:bookmarkEnd w:id="255"/>
    <w:p w14:paraId="5CD6F3F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7.5.1 因</w:t>
      </w:r>
      <w:r>
        <w:rPr>
          <w:rFonts w:hint="eastAsia" w:cs="宋体"/>
          <w:color w:val="auto"/>
          <w:sz w:val="24"/>
          <w:szCs w:val="24"/>
          <w:highlight w:val="none"/>
          <w:lang w:eastAsia="zh-CN"/>
        </w:rPr>
        <w:t>甲方</w:t>
      </w:r>
      <w:r>
        <w:rPr>
          <w:rFonts w:hint="eastAsia" w:cs="宋体"/>
          <w:color w:val="auto"/>
          <w:sz w:val="24"/>
          <w:szCs w:val="24"/>
          <w:highlight w:val="none"/>
        </w:rPr>
        <w:t>原因导致工期延误</w:t>
      </w:r>
    </w:p>
    <w:p w14:paraId="33EBCA7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（7）因</w:t>
      </w:r>
      <w:r>
        <w:rPr>
          <w:rFonts w:hint="eastAsia" w:cs="宋体"/>
          <w:color w:val="auto"/>
          <w:sz w:val="24"/>
          <w:szCs w:val="24"/>
          <w:highlight w:val="none"/>
          <w:lang w:eastAsia="zh-CN"/>
        </w:rPr>
        <w:t>甲方</w:t>
      </w:r>
      <w:r>
        <w:rPr>
          <w:rFonts w:hint="eastAsia" w:cs="宋体"/>
          <w:color w:val="auto"/>
          <w:sz w:val="24"/>
          <w:szCs w:val="24"/>
          <w:highlight w:val="none"/>
        </w:rPr>
        <w:t>原因导致工期延误的其他情形：</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035951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w:t>
      </w:r>
      <w:bookmarkStart w:id="256" w:name="_Toc318581169"/>
      <w:bookmarkStart w:id="257" w:name="_Toc312678012"/>
      <w:bookmarkStart w:id="258" w:name="_Toc312677486"/>
      <w:bookmarkStart w:id="259" w:name="_Toc297216177"/>
      <w:bookmarkStart w:id="260" w:name="_Toc300934970"/>
      <w:bookmarkStart w:id="261" w:name="_Toc304295548"/>
      <w:bookmarkStart w:id="262" w:name="_Toc297123518"/>
      <w:bookmarkStart w:id="263" w:name="_Toc303539127"/>
      <w:r>
        <w:rPr>
          <w:rFonts w:hint="eastAsia" w:cs="宋体"/>
          <w:color w:val="auto"/>
          <w:sz w:val="24"/>
          <w:szCs w:val="24"/>
          <w:highlight w:val="none"/>
        </w:rPr>
        <w:t>.5.2 因</w:t>
      </w:r>
      <w:r>
        <w:rPr>
          <w:rFonts w:hint="eastAsia" w:cs="宋体"/>
          <w:color w:val="auto"/>
          <w:sz w:val="24"/>
          <w:szCs w:val="24"/>
          <w:highlight w:val="none"/>
          <w:lang w:eastAsia="zh-CN"/>
        </w:rPr>
        <w:t>乙方</w:t>
      </w:r>
      <w:r>
        <w:rPr>
          <w:rFonts w:hint="eastAsia" w:cs="宋体"/>
          <w:color w:val="auto"/>
          <w:sz w:val="24"/>
          <w:szCs w:val="24"/>
          <w:highlight w:val="none"/>
        </w:rPr>
        <w:t>原因导致工期延误</w:t>
      </w:r>
    </w:p>
    <w:bookmarkEnd w:id="256"/>
    <w:bookmarkEnd w:id="257"/>
    <w:bookmarkEnd w:id="258"/>
    <w:p w14:paraId="7E68882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因</w:t>
      </w:r>
      <w:bookmarkStart w:id="264" w:name="_Toc312678013"/>
      <w:bookmarkStart w:id="265" w:name="_Toc312677487"/>
      <w:bookmarkStart w:id="266" w:name="_Toc318581170"/>
      <w:r>
        <w:rPr>
          <w:rFonts w:hint="eastAsia" w:cs="宋体"/>
          <w:color w:val="auto"/>
          <w:sz w:val="24"/>
          <w:szCs w:val="24"/>
          <w:highlight w:val="none"/>
          <w:lang w:eastAsia="zh-CN"/>
        </w:rPr>
        <w:t>乙方</w:t>
      </w:r>
      <w:r>
        <w:rPr>
          <w:rFonts w:hint="eastAsia" w:cs="宋体"/>
          <w:color w:val="auto"/>
          <w:sz w:val="24"/>
          <w:szCs w:val="24"/>
          <w:highlight w:val="none"/>
        </w:rPr>
        <w:t>原因造成工期延误，逾期</w:t>
      </w:r>
      <w:r>
        <w:rPr>
          <w:rFonts w:hint="eastAsia" w:cs="宋体"/>
          <w:color w:val="auto"/>
          <w:sz w:val="24"/>
          <w:szCs w:val="24"/>
          <w:highlight w:val="none"/>
          <w:lang w:eastAsia="zh-CN"/>
        </w:rPr>
        <w:t>完工</w:t>
      </w:r>
      <w:r>
        <w:rPr>
          <w:rFonts w:hint="eastAsia" w:cs="宋体"/>
          <w:color w:val="auto"/>
          <w:sz w:val="24"/>
          <w:szCs w:val="24"/>
          <w:highlight w:val="none"/>
        </w:rPr>
        <w:t>违约金的计算方法为：</w:t>
      </w:r>
      <w:r>
        <w:rPr>
          <w:rFonts w:hint="eastAsia" w:cs="宋体"/>
          <w:color w:val="auto"/>
          <w:sz w:val="24"/>
          <w:szCs w:val="24"/>
          <w:highlight w:val="none"/>
          <w:u w:val="single"/>
        </w:rPr>
        <w:t>见《专用合同条款数据表》</w:t>
      </w:r>
      <w:r>
        <w:rPr>
          <w:rFonts w:hint="eastAsia" w:cs="宋体"/>
          <w:color w:val="auto"/>
          <w:sz w:val="24"/>
          <w:szCs w:val="24"/>
          <w:highlight w:val="none"/>
        </w:rPr>
        <w:t>。</w:t>
      </w:r>
      <w:bookmarkEnd w:id="259"/>
      <w:bookmarkEnd w:id="260"/>
      <w:bookmarkEnd w:id="261"/>
      <w:bookmarkEnd w:id="262"/>
      <w:bookmarkEnd w:id="263"/>
      <w:bookmarkEnd w:id="264"/>
      <w:bookmarkEnd w:id="265"/>
    </w:p>
    <w:bookmarkEnd w:id="266"/>
    <w:p w14:paraId="354FD8DF">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因</w:t>
      </w:r>
      <w:r>
        <w:rPr>
          <w:rFonts w:hint="eastAsia" w:cs="宋体"/>
          <w:color w:val="auto"/>
          <w:sz w:val="24"/>
          <w:szCs w:val="24"/>
          <w:highlight w:val="none"/>
          <w:lang w:eastAsia="zh-CN"/>
        </w:rPr>
        <w:t>乙方</w:t>
      </w:r>
      <w:r>
        <w:rPr>
          <w:rFonts w:hint="eastAsia" w:cs="宋体"/>
          <w:color w:val="auto"/>
          <w:sz w:val="24"/>
          <w:szCs w:val="24"/>
          <w:highlight w:val="none"/>
        </w:rPr>
        <w:t>原因造成工期延误，逾</w:t>
      </w:r>
      <w:bookmarkStart w:id="267" w:name="_Toc318581171"/>
      <w:bookmarkStart w:id="268" w:name="_Toc312678014"/>
      <w:r>
        <w:rPr>
          <w:rFonts w:hint="eastAsia" w:cs="宋体"/>
          <w:color w:val="auto"/>
          <w:sz w:val="24"/>
          <w:szCs w:val="24"/>
          <w:highlight w:val="none"/>
        </w:rPr>
        <w:t>期</w:t>
      </w:r>
      <w:r>
        <w:rPr>
          <w:rFonts w:hint="eastAsia" w:cs="宋体"/>
          <w:color w:val="auto"/>
          <w:sz w:val="24"/>
          <w:szCs w:val="24"/>
          <w:highlight w:val="none"/>
          <w:lang w:eastAsia="zh-CN"/>
        </w:rPr>
        <w:t>完工</w:t>
      </w:r>
      <w:r>
        <w:rPr>
          <w:rFonts w:hint="eastAsia" w:cs="宋体"/>
          <w:color w:val="auto"/>
          <w:sz w:val="24"/>
          <w:szCs w:val="24"/>
          <w:highlight w:val="none"/>
        </w:rPr>
        <w:t>违约金的上限：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bookmarkEnd w:id="267"/>
    <w:bookmarkEnd w:id="268"/>
    <w:p w14:paraId="22898B85">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69" w:name="_Toc312678015"/>
      <w:bookmarkStart w:id="270" w:name="_Toc300934971"/>
      <w:bookmarkStart w:id="271" w:name="_Toc297216178"/>
      <w:bookmarkStart w:id="272" w:name="_Toc304295549"/>
      <w:bookmarkStart w:id="273" w:name="_Toc297123519"/>
      <w:bookmarkStart w:id="274" w:name="_Toc303539128"/>
      <w:r>
        <w:rPr>
          <w:rFonts w:hint="eastAsia" w:cs="宋体"/>
          <w:bCs/>
          <w:color w:val="auto"/>
          <w:sz w:val="24"/>
          <w:szCs w:val="24"/>
          <w:highlight w:val="none"/>
        </w:rPr>
        <w:t>.6 不</w:t>
      </w:r>
      <w:bookmarkEnd w:id="269"/>
      <w:bookmarkEnd w:id="270"/>
      <w:bookmarkEnd w:id="271"/>
      <w:bookmarkEnd w:id="272"/>
      <w:bookmarkEnd w:id="273"/>
      <w:bookmarkEnd w:id="274"/>
      <w:r>
        <w:rPr>
          <w:rFonts w:hint="eastAsia" w:cs="宋体"/>
          <w:bCs/>
          <w:color w:val="auto"/>
          <w:sz w:val="24"/>
          <w:szCs w:val="24"/>
          <w:highlight w:val="none"/>
        </w:rPr>
        <w:t>利物质条件</w:t>
      </w:r>
    </w:p>
    <w:p w14:paraId="1D267094">
      <w:pPr>
        <w:adjustRightInd w:val="0"/>
        <w:snapToGrid w:val="0"/>
        <w:spacing w:line="360" w:lineRule="auto"/>
        <w:ind w:firstLine="480" w:firstLineChars="200"/>
        <w:rPr>
          <w:rFonts w:cs="宋体"/>
          <w:b/>
          <w:color w:val="auto"/>
          <w:sz w:val="24"/>
          <w:szCs w:val="24"/>
          <w:highlight w:val="none"/>
          <w:u w:val="single"/>
        </w:rPr>
      </w:pPr>
      <w:bookmarkStart w:id="275" w:name="_Toc300934972"/>
      <w:bookmarkStart w:id="276" w:name="_Toc312678016"/>
      <w:bookmarkStart w:id="277" w:name="_Toc297216179"/>
      <w:bookmarkStart w:id="278" w:name="_Toc303539129"/>
      <w:bookmarkStart w:id="279" w:name="_Toc318581172"/>
      <w:bookmarkStart w:id="280" w:name="_Toc297123520"/>
      <w:bookmarkStart w:id="281" w:name="_Toc304295550"/>
      <w:r>
        <w:rPr>
          <w:rFonts w:hint="eastAsia" w:cs="宋体"/>
          <w:color w:val="auto"/>
          <w:sz w:val="24"/>
          <w:szCs w:val="24"/>
          <w:highlight w:val="none"/>
        </w:rPr>
        <w:t>不利物质条件的其他情形和有关约定：</w:t>
      </w:r>
      <w:r>
        <w:rPr>
          <w:rFonts w:hint="eastAsia" w:ascii="Times New Roman" w:hAnsi="Times New Roman" w:cs="Times New Roman"/>
          <w:b/>
          <w:color w:val="auto"/>
          <w:kern w:val="2"/>
          <w:sz w:val="24"/>
          <w:szCs w:val="24"/>
          <w:highlight w:val="none"/>
          <w:u w:val="single"/>
        </w:rPr>
        <w:t>执行通用条款</w:t>
      </w:r>
      <w:r>
        <w:rPr>
          <w:rFonts w:hint="eastAsia" w:cs="宋体"/>
          <w:color w:val="auto"/>
          <w:sz w:val="24"/>
          <w:szCs w:val="24"/>
          <w:highlight w:val="none"/>
        </w:rPr>
        <w:t>。</w:t>
      </w:r>
    </w:p>
    <w:bookmarkEnd w:id="275"/>
    <w:bookmarkEnd w:id="276"/>
    <w:bookmarkEnd w:id="277"/>
    <w:bookmarkEnd w:id="278"/>
    <w:bookmarkEnd w:id="279"/>
    <w:bookmarkEnd w:id="280"/>
    <w:bookmarkEnd w:id="281"/>
    <w:p w14:paraId="15B484A6">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7</w:t>
      </w:r>
      <w:bookmarkStart w:id="282" w:name="_Toc297216180"/>
      <w:bookmarkStart w:id="283" w:name="_Toc300934973"/>
      <w:bookmarkStart w:id="284" w:name="_Toc304295551"/>
      <w:bookmarkStart w:id="285" w:name="_Toc297123521"/>
      <w:bookmarkStart w:id="286" w:name="_Toc312678017"/>
      <w:bookmarkStart w:id="287" w:name="_Toc303539130"/>
      <w:r>
        <w:rPr>
          <w:rFonts w:hint="eastAsia" w:cs="宋体"/>
          <w:bCs/>
          <w:color w:val="auto"/>
          <w:sz w:val="24"/>
          <w:szCs w:val="24"/>
          <w:highlight w:val="none"/>
        </w:rPr>
        <w:t>.7 异常恶劣的气候条件</w:t>
      </w:r>
    </w:p>
    <w:bookmarkEnd w:id="282"/>
    <w:bookmarkEnd w:id="283"/>
    <w:bookmarkEnd w:id="284"/>
    <w:bookmarkEnd w:id="285"/>
    <w:bookmarkEnd w:id="286"/>
    <w:bookmarkEnd w:id="287"/>
    <w:p w14:paraId="5D07482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和</w:t>
      </w:r>
      <w:r>
        <w:rPr>
          <w:rFonts w:hint="eastAsia" w:cs="宋体"/>
          <w:color w:val="auto"/>
          <w:sz w:val="24"/>
          <w:szCs w:val="24"/>
          <w:highlight w:val="none"/>
          <w:lang w:eastAsia="zh-CN"/>
        </w:rPr>
        <w:t>乙方</w:t>
      </w:r>
      <w:r>
        <w:rPr>
          <w:rFonts w:hint="eastAsia" w:cs="宋体"/>
          <w:color w:val="auto"/>
          <w:sz w:val="24"/>
          <w:szCs w:val="24"/>
          <w:highlight w:val="none"/>
        </w:rPr>
        <w:t>同意以下情形视为异常恶劣的气候条件：</w:t>
      </w:r>
    </w:p>
    <w:p w14:paraId="69134780">
      <w:pPr>
        <w:numPr>
          <w:ilvl w:val="0"/>
          <w:numId w:val="5"/>
        </w:num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日降雨量大于 100 ㎜的雨日超过 3 天； `</w:t>
      </w:r>
    </w:p>
    <w:p w14:paraId="42D4EA94">
      <w:pPr>
        <w:numPr>
          <w:ilvl w:val="0"/>
          <w:numId w:val="5"/>
        </w:num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风速大于 24.5 m/s 的 10 级以上台风灾害；</w:t>
      </w:r>
    </w:p>
    <w:p w14:paraId="3C6D80BF">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（3）日气温超过 40 ℃的高温大于 5 天；</w:t>
      </w:r>
    </w:p>
    <w:p w14:paraId="10D4C348">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（4）日气温低于 -20 ℃的严寒大于 3 天；</w:t>
      </w:r>
    </w:p>
    <w:p w14:paraId="60794EE0">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u w:val="single"/>
        </w:rPr>
        <w:t>（5）造成工程损坏的冰雹和大雪灾害： 日降雪量 20 ㎜及以上 ；</w:t>
      </w:r>
    </w:p>
    <w:p w14:paraId="04044F22">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u w:val="single"/>
        </w:rPr>
        <w:t>（6）其它异常恶劣气候灾害。</w:t>
      </w:r>
    </w:p>
    <w:p w14:paraId="544AA963">
      <w:pPr>
        <w:keepNext/>
        <w:keepLines/>
        <w:snapToGrid w:val="0"/>
        <w:spacing w:before="120" w:after="120" w:line="360" w:lineRule="auto"/>
        <w:ind w:firstLine="480" w:firstLineChars="200"/>
        <w:outlineLvl w:val="3"/>
        <w:rPr>
          <w:rFonts w:hint="eastAsia" w:eastAsia="宋体" w:cs="宋体"/>
          <w:bCs/>
          <w:color w:val="auto"/>
          <w:sz w:val="24"/>
          <w:szCs w:val="24"/>
          <w:highlight w:val="none"/>
          <w:lang w:eastAsia="zh-CN"/>
        </w:rPr>
      </w:pPr>
      <w:r>
        <w:rPr>
          <w:rFonts w:hint="eastAsia" w:cs="宋体"/>
          <w:bCs/>
          <w:color w:val="auto"/>
          <w:sz w:val="24"/>
          <w:szCs w:val="24"/>
          <w:highlight w:val="none"/>
        </w:rPr>
        <w:t>7.9 提前</w:t>
      </w:r>
      <w:r>
        <w:rPr>
          <w:rFonts w:hint="eastAsia" w:cs="宋体"/>
          <w:bCs/>
          <w:color w:val="auto"/>
          <w:sz w:val="24"/>
          <w:szCs w:val="24"/>
          <w:highlight w:val="none"/>
          <w:lang w:eastAsia="zh-CN"/>
        </w:rPr>
        <w:t>完工</w:t>
      </w:r>
    </w:p>
    <w:p w14:paraId="6CA2A65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7.9.2 提前</w:t>
      </w:r>
      <w:r>
        <w:rPr>
          <w:rFonts w:hint="eastAsia" w:cs="宋体"/>
          <w:color w:val="auto"/>
          <w:sz w:val="24"/>
          <w:szCs w:val="24"/>
          <w:highlight w:val="none"/>
          <w:lang w:eastAsia="zh-CN"/>
        </w:rPr>
        <w:t>完工</w:t>
      </w:r>
      <w:r>
        <w:rPr>
          <w:rFonts w:hint="eastAsia" w:cs="宋体"/>
          <w:color w:val="auto"/>
          <w:sz w:val="24"/>
          <w:szCs w:val="24"/>
          <w:highlight w:val="none"/>
        </w:rPr>
        <w:t>的奖励：</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D942C29">
      <w:pPr>
        <w:snapToGrid w:val="0"/>
        <w:spacing w:before="312" w:beforeLines="100" w:after="312" w:afterLines="100" w:line="360" w:lineRule="auto"/>
        <w:outlineLvl w:val="2"/>
        <w:rPr>
          <w:rFonts w:cs="宋体"/>
          <w:color w:val="auto"/>
          <w:sz w:val="24"/>
          <w:szCs w:val="24"/>
          <w:highlight w:val="none"/>
        </w:rPr>
      </w:pPr>
      <w:bookmarkStart w:id="288" w:name="_Toc351203640"/>
      <w:r>
        <w:rPr>
          <w:rFonts w:hint="eastAsia" w:cs="宋体"/>
          <w:color w:val="auto"/>
          <w:sz w:val="24"/>
          <w:szCs w:val="24"/>
          <w:highlight w:val="none"/>
        </w:rPr>
        <w:t>8. 材料与设备</w:t>
      </w:r>
      <w:bookmarkEnd w:id="288"/>
    </w:p>
    <w:bookmarkEnd w:id="221"/>
    <w:bookmarkEnd w:id="222"/>
    <w:bookmarkEnd w:id="223"/>
    <w:bookmarkEnd w:id="224"/>
    <w:bookmarkEnd w:id="225"/>
    <w:bookmarkEnd w:id="226"/>
    <w:bookmarkEnd w:id="227"/>
    <w:bookmarkEnd w:id="228"/>
    <w:bookmarkEnd w:id="229"/>
    <w:bookmarkEnd w:id="230"/>
    <w:p w14:paraId="2BA94AC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8</w:t>
      </w:r>
      <w:bookmarkStart w:id="289" w:name="_Toc297120467"/>
      <w:bookmarkStart w:id="290" w:name="_Toc296503167"/>
      <w:bookmarkStart w:id="291" w:name="_Toc296890995"/>
      <w:bookmarkStart w:id="292" w:name="_Toc297123527"/>
      <w:bookmarkStart w:id="293" w:name="_Toc296346668"/>
      <w:bookmarkStart w:id="294" w:name="_Toc312678019"/>
      <w:bookmarkStart w:id="295" w:name="_Toc292559372"/>
      <w:bookmarkStart w:id="296" w:name="_Toc280868654"/>
      <w:bookmarkStart w:id="297" w:name="_Toc304295556"/>
      <w:bookmarkStart w:id="298" w:name="_Toc296891207"/>
      <w:bookmarkStart w:id="299" w:name="_Toc292559877"/>
      <w:bookmarkStart w:id="300" w:name="_Toc303539136"/>
      <w:bookmarkStart w:id="301" w:name="_Toc297216186"/>
      <w:bookmarkStart w:id="302" w:name="_Toc296347166"/>
      <w:bookmarkStart w:id="303" w:name="_Toc297048353"/>
      <w:bookmarkStart w:id="304" w:name="_Toc300934979"/>
      <w:bookmarkStart w:id="305" w:name="_Toc312677493"/>
      <w:bookmarkStart w:id="306" w:name="_Toc296944506"/>
      <w:bookmarkStart w:id="307" w:name="_Toc280868655"/>
      <w:bookmarkStart w:id="308" w:name="_Toc267251424"/>
      <w:bookmarkStart w:id="309" w:name="_Toc280868656"/>
      <w:r>
        <w:rPr>
          <w:rFonts w:hint="eastAsia" w:cs="宋体"/>
          <w:color w:val="auto"/>
          <w:sz w:val="24"/>
          <w:szCs w:val="24"/>
          <w:highlight w:val="none"/>
        </w:rPr>
        <w:t>.4 材料与工程设备的保管与使用</w:t>
      </w: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14:paraId="3CC6EA12">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8</w:t>
      </w:r>
      <w:bookmarkStart w:id="310" w:name="_Toc292559878"/>
      <w:bookmarkStart w:id="311" w:name="_Toc292559373"/>
      <w:bookmarkStart w:id="312" w:name="_Toc297048354"/>
      <w:bookmarkStart w:id="313" w:name="_Toc296346669"/>
      <w:bookmarkStart w:id="314" w:name="_Toc304295557"/>
      <w:bookmarkStart w:id="315" w:name="_Toc296891208"/>
      <w:bookmarkStart w:id="316" w:name="_Toc297120468"/>
      <w:bookmarkStart w:id="317" w:name="_Toc318581173"/>
      <w:bookmarkStart w:id="318" w:name="_Toc296347167"/>
      <w:bookmarkStart w:id="319" w:name="_Toc312678020"/>
      <w:bookmarkStart w:id="320" w:name="_Toc296944507"/>
      <w:bookmarkStart w:id="321" w:name="_Toc297123528"/>
      <w:bookmarkStart w:id="322" w:name="_Toc296503168"/>
      <w:bookmarkStart w:id="323" w:name="_Toc296890996"/>
      <w:bookmarkStart w:id="324" w:name="_Toc300934980"/>
      <w:bookmarkStart w:id="325" w:name="_Toc303539137"/>
      <w:bookmarkStart w:id="326" w:name="_Toc297216187"/>
      <w:bookmarkStart w:id="327" w:name="_Toc312677494"/>
      <w:r>
        <w:rPr>
          <w:rFonts w:hint="eastAsia" w:cs="宋体"/>
          <w:color w:val="auto"/>
          <w:sz w:val="24"/>
          <w:szCs w:val="24"/>
          <w:highlight w:val="none"/>
        </w:rPr>
        <w:t xml:space="preserve">.4.1 </w:t>
      </w:r>
      <w:r>
        <w:rPr>
          <w:rFonts w:hint="eastAsia" w:cs="宋体"/>
          <w:color w:val="auto"/>
          <w:sz w:val="24"/>
          <w:szCs w:val="24"/>
          <w:highlight w:val="none"/>
          <w:lang w:eastAsia="zh-CN"/>
        </w:rPr>
        <w:t>甲方</w:t>
      </w:r>
      <w:r>
        <w:rPr>
          <w:rFonts w:hint="eastAsia" w:cs="宋体"/>
          <w:color w:val="auto"/>
          <w:sz w:val="24"/>
          <w:szCs w:val="24"/>
          <w:highlight w:val="none"/>
        </w:rPr>
        <w:t>供应的材料设备的保管费用的承担：</w:t>
      </w:r>
      <w:r>
        <w:rPr>
          <w:rFonts w:hint="eastAsia" w:cs="宋体"/>
          <w:color w:val="auto"/>
          <w:sz w:val="24"/>
          <w:szCs w:val="24"/>
          <w:highlight w:val="none"/>
          <w:u w:val="single"/>
        </w:rPr>
        <w:t xml:space="preserve"> </w:t>
      </w:r>
      <w:r>
        <w:rPr>
          <w:rFonts w:hint="eastAsia" w:ascii="Times New Roman" w:hAnsi="Times New Roman" w:cs="Times New Roman"/>
          <w:b/>
          <w:color w:val="auto"/>
          <w:kern w:val="2"/>
          <w:sz w:val="24"/>
          <w:szCs w:val="24"/>
          <w:highlight w:val="none"/>
          <w:u w:val="single"/>
          <w:lang w:eastAsia="zh-CN"/>
        </w:rPr>
        <w:t>乙方</w:t>
      </w:r>
      <w:r>
        <w:rPr>
          <w:rFonts w:hint="eastAsia" w:ascii="Times New Roman" w:hAnsi="Times New Roman" w:cs="Times New Roman"/>
          <w:b/>
          <w:color w:val="auto"/>
          <w:kern w:val="2"/>
          <w:sz w:val="24"/>
          <w:szCs w:val="24"/>
          <w:highlight w:val="none"/>
          <w:u w:val="single"/>
        </w:rPr>
        <w:t>承担</w:t>
      </w:r>
      <w:r>
        <w:rPr>
          <w:rFonts w:hint="eastAsia" w:cs="宋体"/>
          <w:color w:val="auto"/>
          <w:sz w:val="24"/>
          <w:szCs w:val="24"/>
          <w:highlight w:val="none"/>
          <w:u w:val="single"/>
        </w:rPr>
        <w:t xml:space="preserve">  </w:t>
      </w:r>
      <w:r>
        <w:rPr>
          <w:rFonts w:hint="eastAsia" w:cs="宋体"/>
          <w:color w:val="auto"/>
          <w:sz w:val="24"/>
          <w:szCs w:val="24"/>
          <w:highlight w:val="none"/>
        </w:rPr>
        <w:t>。</w:t>
      </w:r>
      <w:bookmarkEnd w:id="310"/>
      <w:bookmarkEnd w:id="311"/>
    </w:p>
    <w:p w14:paraId="27802C30">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8.6 样品</w:t>
      </w:r>
    </w:p>
    <w:p w14:paraId="602FB60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8.6.1 样品的报送与封存</w:t>
      </w:r>
    </w:p>
    <w:p w14:paraId="73E9A00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需要</w:t>
      </w:r>
      <w:r>
        <w:rPr>
          <w:rFonts w:hint="eastAsia" w:cs="宋体"/>
          <w:color w:val="auto"/>
          <w:sz w:val="24"/>
          <w:szCs w:val="24"/>
          <w:highlight w:val="none"/>
          <w:lang w:eastAsia="zh-CN"/>
        </w:rPr>
        <w:t>乙方</w:t>
      </w:r>
      <w:r>
        <w:rPr>
          <w:rFonts w:hint="eastAsia" w:cs="宋体"/>
          <w:color w:val="auto"/>
          <w:sz w:val="24"/>
          <w:szCs w:val="24"/>
          <w:highlight w:val="none"/>
        </w:rPr>
        <w:t>报送样品的材料或工程设备，样品的种类、名称、规格、数量要求：</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2E1145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8.8 施工设备和临时设施</w:t>
      </w:r>
    </w:p>
    <w:p w14:paraId="3929075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8.8.1 </w:t>
      </w:r>
      <w:r>
        <w:rPr>
          <w:rFonts w:hint="eastAsia" w:cs="宋体"/>
          <w:color w:val="auto"/>
          <w:sz w:val="24"/>
          <w:szCs w:val="24"/>
          <w:highlight w:val="none"/>
          <w:lang w:eastAsia="zh-CN"/>
        </w:rPr>
        <w:t>乙方</w:t>
      </w:r>
      <w:r>
        <w:rPr>
          <w:rFonts w:hint="eastAsia" w:cs="宋体"/>
          <w:color w:val="auto"/>
          <w:sz w:val="24"/>
          <w:szCs w:val="24"/>
          <w:highlight w:val="none"/>
        </w:rPr>
        <w:t>提供的施工设备和临时设施</w:t>
      </w:r>
    </w:p>
    <w:p w14:paraId="214FDB3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关于修建临时设施费用承担的约定：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 xml:space="preserve">承担 </w:t>
      </w:r>
      <w:r>
        <w:rPr>
          <w:rFonts w:hint="eastAsia" w:cs="宋体"/>
          <w:color w:val="auto"/>
          <w:sz w:val="24"/>
          <w:szCs w:val="24"/>
          <w:highlight w:val="none"/>
        </w:rPr>
        <w:t>。</w:t>
      </w:r>
    </w:p>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14:paraId="551CC453">
      <w:pPr>
        <w:snapToGrid w:val="0"/>
        <w:spacing w:before="312" w:beforeLines="100" w:after="312" w:afterLines="100" w:line="360" w:lineRule="auto"/>
        <w:outlineLvl w:val="2"/>
        <w:rPr>
          <w:rFonts w:cs="宋体"/>
          <w:color w:val="auto"/>
          <w:sz w:val="24"/>
          <w:szCs w:val="24"/>
          <w:highlight w:val="none"/>
        </w:rPr>
      </w:pPr>
      <w:bookmarkStart w:id="328" w:name="_Toc351203641"/>
      <w:r>
        <w:rPr>
          <w:rFonts w:hint="eastAsia" w:cs="宋体"/>
          <w:color w:val="auto"/>
          <w:sz w:val="24"/>
          <w:szCs w:val="24"/>
          <w:highlight w:val="none"/>
        </w:rPr>
        <w:t>9</w:t>
      </w:r>
      <w:bookmarkEnd w:id="307"/>
      <w:bookmarkEnd w:id="308"/>
      <w:bookmarkEnd w:id="309"/>
      <w:bookmarkStart w:id="329" w:name="_Toc312677495"/>
      <w:bookmarkStart w:id="330" w:name="_Toc297216192"/>
      <w:bookmarkStart w:id="331" w:name="_Toc300934982"/>
      <w:bookmarkStart w:id="332" w:name="_Toc303539139"/>
      <w:bookmarkStart w:id="333" w:name="_Toc304295559"/>
      <w:bookmarkStart w:id="334" w:name="_Toc297123533"/>
      <w:bookmarkStart w:id="335" w:name="_Toc312678021"/>
      <w:bookmarkStart w:id="336" w:name="_Toc297048359"/>
      <w:bookmarkStart w:id="337" w:name="_Toc296347172"/>
      <w:bookmarkStart w:id="338" w:name="_Toc296346674"/>
      <w:bookmarkStart w:id="339" w:name="_Toc267251427"/>
      <w:bookmarkStart w:id="340" w:name="_Toc292559378"/>
      <w:bookmarkStart w:id="341" w:name="_Toc297120473"/>
      <w:bookmarkStart w:id="342" w:name="_Toc296891001"/>
      <w:bookmarkStart w:id="343" w:name="_Toc296944512"/>
      <w:bookmarkStart w:id="344" w:name="_Toc296891213"/>
      <w:bookmarkStart w:id="345" w:name="_Toc292559883"/>
      <w:bookmarkStart w:id="346" w:name="_Toc296503173"/>
      <w:bookmarkStart w:id="347" w:name="_Toc267251428"/>
      <w:r>
        <w:rPr>
          <w:rFonts w:hint="eastAsia" w:cs="宋体"/>
          <w:color w:val="auto"/>
          <w:sz w:val="24"/>
          <w:szCs w:val="24"/>
          <w:highlight w:val="none"/>
        </w:rPr>
        <w:t>. 试验与检验</w:t>
      </w:r>
      <w:bookmarkEnd w:id="328"/>
    </w:p>
    <w:bookmarkEnd w:id="329"/>
    <w:bookmarkEnd w:id="330"/>
    <w:bookmarkEnd w:id="331"/>
    <w:bookmarkEnd w:id="332"/>
    <w:bookmarkEnd w:id="333"/>
    <w:bookmarkEnd w:id="334"/>
    <w:bookmarkEnd w:id="335"/>
    <w:p w14:paraId="1B21CA76">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9</w:t>
      </w:r>
      <w:bookmarkStart w:id="348" w:name="_Toc297216193"/>
      <w:bookmarkStart w:id="349" w:name="_Toc300934983"/>
      <w:bookmarkStart w:id="350" w:name="_Toc312678022"/>
      <w:bookmarkStart w:id="351" w:name="_Toc303539140"/>
      <w:bookmarkStart w:id="352" w:name="_Toc304295560"/>
      <w:bookmarkStart w:id="353" w:name="_Toc297123534"/>
      <w:bookmarkStart w:id="354" w:name="_Toc312677496"/>
      <w:r>
        <w:rPr>
          <w:rFonts w:hint="eastAsia" w:cs="宋体"/>
          <w:bCs/>
          <w:color w:val="auto"/>
          <w:sz w:val="24"/>
          <w:szCs w:val="24"/>
          <w:highlight w:val="none"/>
        </w:rPr>
        <w:t>.1 试验设备与试验人员</w:t>
      </w:r>
    </w:p>
    <w:bookmarkEnd w:id="348"/>
    <w:bookmarkEnd w:id="349"/>
    <w:bookmarkEnd w:id="350"/>
    <w:bookmarkEnd w:id="351"/>
    <w:bookmarkEnd w:id="352"/>
    <w:bookmarkEnd w:id="353"/>
    <w:bookmarkEnd w:id="354"/>
    <w:p w14:paraId="4ECA151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9</w:t>
      </w:r>
      <w:bookmarkStart w:id="355" w:name="_Toc297123535"/>
      <w:bookmarkStart w:id="356" w:name="_Toc300934984"/>
      <w:bookmarkStart w:id="357" w:name="_Toc312678023"/>
      <w:bookmarkStart w:id="358" w:name="_Toc303539141"/>
      <w:bookmarkStart w:id="359" w:name="_Toc312677497"/>
      <w:bookmarkStart w:id="360" w:name="_Toc297216194"/>
      <w:bookmarkStart w:id="361" w:name="_Toc304295561"/>
      <w:bookmarkStart w:id="362" w:name="_Toc318581174"/>
      <w:r>
        <w:rPr>
          <w:rFonts w:hint="eastAsia" w:cs="宋体"/>
          <w:color w:val="auto"/>
          <w:sz w:val="24"/>
          <w:szCs w:val="24"/>
          <w:highlight w:val="none"/>
        </w:rPr>
        <w:t>.1.2 试验设备</w:t>
      </w:r>
    </w:p>
    <w:p w14:paraId="31C3F355">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施工现场需要配置的试验场所</w:t>
      </w:r>
      <w:bookmarkEnd w:id="355"/>
      <w:bookmarkEnd w:id="356"/>
      <w:bookmarkEnd w:id="357"/>
      <w:bookmarkEnd w:id="358"/>
      <w:bookmarkEnd w:id="359"/>
      <w:bookmarkEnd w:id="360"/>
      <w:bookmarkEnd w:id="361"/>
      <w:bookmarkStart w:id="363" w:name="_Toc304295562"/>
      <w:bookmarkStart w:id="364" w:name="_Toc312678024"/>
      <w:bookmarkStart w:id="365" w:name="_Toc312677498"/>
      <w:bookmarkStart w:id="366" w:name="_Toc300934985"/>
      <w:bookmarkStart w:id="367" w:name="_Toc297123536"/>
      <w:bookmarkStart w:id="368" w:name="_Toc303539142"/>
      <w:bookmarkStart w:id="369" w:name="_Toc297216195"/>
      <w:r>
        <w:rPr>
          <w:rFonts w:hint="eastAsia" w:cs="宋体"/>
          <w:color w:val="auto"/>
          <w:sz w:val="24"/>
          <w:szCs w:val="24"/>
          <w:highlight w:val="none"/>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F20F3A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施工现场需要配备的试验设备：</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ADAF259">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施工现场需要具备的其他试验条件：</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5CB3CE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9.4 现场工艺试验 </w:t>
      </w:r>
    </w:p>
    <w:p w14:paraId="03CC61E5">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现场工艺试验的有关约定：</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362"/>
    <w:bookmarkEnd w:id="363"/>
    <w:bookmarkEnd w:id="364"/>
    <w:bookmarkEnd w:id="365"/>
    <w:bookmarkEnd w:id="366"/>
    <w:bookmarkEnd w:id="367"/>
    <w:bookmarkEnd w:id="368"/>
    <w:bookmarkEnd w:id="369"/>
    <w:p w14:paraId="32DE40C0">
      <w:pPr>
        <w:snapToGrid w:val="0"/>
        <w:spacing w:before="312" w:beforeLines="100" w:after="312" w:afterLines="100" w:line="360" w:lineRule="auto"/>
        <w:outlineLvl w:val="2"/>
        <w:rPr>
          <w:rFonts w:cs="宋体"/>
          <w:color w:val="auto"/>
          <w:sz w:val="24"/>
          <w:szCs w:val="24"/>
          <w:highlight w:val="none"/>
        </w:rPr>
      </w:pPr>
      <w:bookmarkStart w:id="370" w:name="_Toc351203642"/>
      <w:r>
        <w:rPr>
          <w:rFonts w:hint="eastAsia" w:cs="宋体"/>
          <w:color w:val="auto"/>
          <w:sz w:val="24"/>
          <w:szCs w:val="24"/>
          <w:highlight w:val="none"/>
        </w:rPr>
        <w:t>1</w:t>
      </w:r>
      <w:bookmarkEnd w:id="336"/>
      <w:bookmarkEnd w:id="337"/>
      <w:bookmarkEnd w:id="338"/>
      <w:bookmarkEnd w:id="339"/>
      <w:bookmarkEnd w:id="340"/>
      <w:bookmarkEnd w:id="341"/>
      <w:bookmarkEnd w:id="342"/>
      <w:bookmarkEnd w:id="343"/>
      <w:bookmarkEnd w:id="344"/>
      <w:bookmarkEnd w:id="345"/>
      <w:bookmarkEnd w:id="346"/>
      <w:bookmarkEnd w:id="347"/>
      <w:bookmarkStart w:id="371" w:name="_Toc300934989"/>
      <w:bookmarkStart w:id="372" w:name="_Toc296891233"/>
      <w:bookmarkStart w:id="373" w:name="_Toc304295566"/>
      <w:bookmarkStart w:id="374" w:name="_Toc292559398"/>
      <w:bookmarkStart w:id="375" w:name="_Toc296891021"/>
      <w:bookmarkStart w:id="376" w:name="_Toc296347192"/>
      <w:bookmarkStart w:id="377" w:name="_Toc292559903"/>
      <w:bookmarkStart w:id="378" w:name="_Toc296944532"/>
      <w:bookmarkStart w:id="379" w:name="_Toc303539146"/>
      <w:bookmarkStart w:id="380" w:name="_Toc297120493"/>
      <w:bookmarkStart w:id="381" w:name="_Toc296503193"/>
      <w:bookmarkStart w:id="382" w:name="_Toc297216199"/>
      <w:bookmarkStart w:id="383" w:name="_Toc296346694"/>
      <w:bookmarkStart w:id="384" w:name="_Toc297048379"/>
      <w:bookmarkStart w:id="385" w:name="_Toc297123540"/>
      <w:bookmarkStart w:id="386" w:name="_Toc312677499"/>
      <w:bookmarkStart w:id="387" w:name="_Toc312678025"/>
      <w:bookmarkStart w:id="388" w:name="_Toc267251437"/>
      <w:bookmarkStart w:id="389" w:name="_Toc267251440"/>
      <w:bookmarkStart w:id="390" w:name="_Toc267251435"/>
      <w:bookmarkStart w:id="391" w:name="_Toc267251433"/>
      <w:bookmarkStart w:id="392" w:name="_Toc267251441"/>
      <w:bookmarkStart w:id="393" w:name="_Toc267251439"/>
      <w:bookmarkStart w:id="394" w:name="_Toc267251442"/>
      <w:r>
        <w:rPr>
          <w:rFonts w:hint="eastAsia" w:cs="宋体"/>
          <w:color w:val="auto"/>
          <w:sz w:val="24"/>
          <w:szCs w:val="24"/>
          <w:highlight w:val="none"/>
        </w:rPr>
        <w:t>0. 变更</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bookmarkEnd w:id="386"/>
    <w:bookmarkEnd w:id="387"/>
    <w:p w14:paraId="130BF296">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w:t>
      </w:r>
      <w:bookmarkStart w:id="395" w:name="_Toc292559399"/>
      <w:bookmarkStart w:id="396" w:name="_Toc296944533"/>
      <w:bookmarkStart w:id="397" w:name="_Toc292559904"/>
      <w:bookmarkStart w:id="398" w:name="_Toc303539147"/>
      <w:bookmarkStart w:id="399" w:name="_Toc297123541"/>
      <w:bookmarkStart w:id="400" w:name="_Toc296503194"/>
      <w:bookmarkStart w:id="401" w:name="_Toc296891022"/>
      <w:bookmarkStart w:id="402" w:name="_Toc296891234"/>
      <w:bookmarkStart w:id="403" w:name="_Toc312678026"/>
      <w:bookmarkStart w:id="404" w:name="_Toc296346695"/>
      <w:bookmarkStart w:id="405" w:name="_Toc304295567"/>
      <w:bookmarkStart w:id="406" w:name="_Toc312677500"/>
      <w:bookmarkStart w:id="407" w:name="_Toc297120494"/>
      <w:bookmarkStart w:id="408" w:name="_Toc296347193"/>
      <w:bookmarkStart w:id="409" w:name="_Toc300934990"/>
      <w:bookmarkStart w:id="410" w:name="_Toc297048380"/>
      <w:bookmarkStart w:id="411" w:name="_Toc297216200"/>
      <w:r>
        <w:rPr>
          <w:rFonts w:hint="eastAsia" w:cs="宋体"/>
          <w:bCs/>
          <w:color w:val="auto"/>
          <w:sz w:val="24"/>
          <w:szCs w:val="24"/>
          <w:highlight w:val="none"/>
        </w:rPr>
        <w:t>0.1 变更的范围</w:t>
      </w:r>
    </w:p>
    <w:p w14:paraId="47091B75">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关于变更的范围的约定：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B9FFEF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10.4 变更估价</w:t>
      </w:r>
    </w:p>
    <w:p w14:paraId="71DBEB5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10.4.1 变更估价原则</w:t>
      </w:r>
    </w:p>
    <w:p w14:paraId="47FFB5D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关于变更估价的约定：</w:t>
      </w:r>
    </w:p>
    <w:p w14:paraId="582AE693">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10.4.1.1 因工程变更引起已标价工程量清单项目或其工程数量发生变化时，按下列规定调整：</w:t>
      </w:r>
    </w:p>
    <w:p w14:paraId="3C2378FB">
      <w:pPr>
        <w:adjustRightInd w:val="0"/>
        <w:snapToGrid w:val="0"/>
        <w:spacing w:line="360" w:lineRule="auto"/>
        <w:ind w:firstLine="482" w:firstLineChars="200"/>
        <w:rPr>
          <w:rFonts w:hint="eastAsia" w:cs="宋体"/>
          <w:b/>
          <w:color w:val="auto"/>
          <w:sz w:val="24"/>
          <w:szCs w:val="24"/>
          <w:highlight w:val="none"/>
          <w:u w:val="single"/>
          <w:lang w:eastAsia="zh-CN"/>
        </w:rPr>
      </w:pPr>
      <w:r>
        <w:rPr>
          <w:rFonts w:hint="eastAsia" w:cs="宋体"/>
          <w:b/>
          <w:color w:val="auto"/>
          <w:sz w:val="24"/>
          <w:szCs w:val="24"/>
          <w:highlight w:val="none"/>
          <w:u w:val="single"/>
        </w:rPr>
        <w:t>（</w:t>
      </w:r>
      <w:r>
        <w:rPr>
          <w:rFonts w:hint="eastAsia" w:cs="宋体"/>
          <w:b/>
          <w:color w:val="auto"/>
          <w:sz w:val="24"/>
          <w:szCs w:val="24"/>
          <w:highlight w:val="none"/>
          <w:u w:val="single"/>
          <w:lang w:val="en-US" w:eastAsia="zh-CN"/>
        </w:rPr>
        <w:t>1</w:t>
      </w:r>
      <w:r>
        <w:rPr>
          <w:rFonts w:hint="eastAsia" w:cs="宋体"/>
          <w:b/>
          <w:color w:val="auto"/>
          <w:sz w:val="24"/>
          <w:szCs w:val="24"/>
          <w:highlight w:val="none"/>
          <w:u w:val="single"/>
        </w:rPr>
        <w:t>）已标价工程量清单中有适用于变更工程项目的，采用该项目的单价</w:t>
      </w:r>
      <w:r>
        <w:rPr>
          <w:rFonts w:hint="eastAsia" w:cs="宋体"/>
          <w:b/>
          <w:color w:val="auto"/>
          <w:sz w:val="24"/>
          <w:szCs w:val="24"/>
          <w:highlight w:val="none"/>
          <w:u w:val="single"/>
          <w:lang w:eastAsia="zh-CN"/>
        </w:rPr>
        <w:t>。</w:t>
      </w:r>
    </w:p>
    <w:p w14:paraId="4A6F3608">
      <w:pPr>
        <w:adjustRightInd w:val="0"/>
        <w:snapToGrid w:val="0"/>
        <w:spacing w:line="360" w:lineRule="auto"/>
        <w:ind w:firstLine="482" w:firstLineChars="200"/>
        <w:rPr>
          <w:rFonts w:hint="eastAsia" w:cs="宋体"/>
          <w:b/>
          <w:color w:val="auto"/>
          <w:sz w:val="24"/>
          <w:szCs w:val="24"/>
          <w:highlight w:val="none"/>
          <w:u w:val="single"/>
        </w:rPr>
      </w:pPr>
      <w:r>
        <w:rPr>
          <w:rFonts w:hint="eastAsia" w:cs="宋体"/>
          <w:b/>
          <w:color w:val="auto"/>
          <w:sz w:val="24"/>
          <w:szCs w:val="24"/>
          <w:highlight w:val="none"/>
          <w:u w:val="single"/>
        </w:rPr>
        <w:t>（2）已标价工程量清单中没有适用但有类似于变更工程项目的，可在合理范围内参照类似项目的单价。</w:t>
      </w:r>
    </w:p>
    <w:p w14:paraId="559DB169">
      <w:pPr>
        <w:adjustRightInd w:val="0"/>
        <w:snapToGrid w:val="0"/>
        <w:spacing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（3）已标价工程量清单中没有适用也没有类似于变更工程项目的，由</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根据变更工程资料、招标时的计量规则和计价办法、当期的工程造价管理机构发布的信息价格和</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报价浮动率提出变更工程项目的单价，报</w:t>
      </w:r>
      <w:r>
        <w:rPr>
          <w:rFonts w:hint="eastAsia" w:cs="宋体"/>
          <w:b/>
          <w:color w:val="auto"/>
          <w:sz w:val="24"/>
          <w:szCs w:val="24"/>
          <w:highlight w:val="none"/>
          <w:u w:val="single"/>
          <w:lang w:eastAsia="zh-CN"/>
        </w:rPr>
        <w:t>甲方</w:t>
      </w:r>
      <w:r>
        <w:rPr>
          <w:rFonts w:hint="eastAsia" w:cs="宋体"/>
          <w:b/>
          <w:color w:val="auto"/>
          <w:sz w:val="24"/>
          <w:szCs w:val="24"/>
          <w:highlight w:val="none"/>
          <w:u w:val="single"/>
        </w:rPr>
        <w:t xml:space="preserve">确认后调整； </w:t>
      </w:r>
    </w:p>
    <w:p w14:paraId="6DE6CB82">
      <w:pPr>
        <w:adjustRightInd w:val="0"/>
        <w:snapToGrid w:val="0"/>
        <w:spacing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（4）已标价工程量清单中没有适用也没有类似于变更工程项目的，且工程造价管理机构发布的信息价缺价的，由</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根据变更工程资料、招标时的计量规则和计价办法和通过市场调查等取得有合法依据的市场价格和</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报价浮动率提出变更工程项目的单价，报</w:t>
      </w:r>
      <w:r>
        <w:rPr>
          <w:rFonts w:hint="eastAsia" w:cs="宋体"/>
          <w:b/>
          <w:color w:val="auto"/>
          <w:sz w:val="24"/>
          <w:szCs w:val="24"/>
          <w:highlight w:val="none"/>
          <w:u w:val="single"/>
          <w:lang w:eastAsia="zh-CN"/>
        </w:rPr>
        <w:t>甲方</w:t>
      </w:r>
      <w:r>
        <w:rPr>
          <w:rFonts w:hint="eastAsia" w:cs="宋体"/>
          <w:b/>
          <w:color w:val="auto"/>
          <w:sz w:val="24"/>
          <w:szCs w:val="24"/>
          <w:highlight w:val="none"/>
          <w:u w:val="single"/>
        </w:rPr>
        <w:t xml:space="preserve">确认后调整。 </w:t>
      </w:r>
    </w:p>
    <w:p w14:paraId="59CC2EB1">
      <w:pPr>
        <w:adjustRightInd w:val="0"/>
        <w:snapToGrid w:val="0"/>
        <w:spacing w:before="93" w:beforeLines="30" w:line="360" w:lineRule="auto"/>
        <w:ind w:firstLine="482" w:firstLineChars="200"/>
        <w:rPr>
          <w:rFonts w:cs="宋体"/>
          <w:b/>
          <w:color w:val="auto"/>
          <w:sz w:val="24"/>
          <w:szCs w:val="24"/>
          <w:highlight w:val="none"/>
        </w:rPr>
      </w:pPr>
      <w:r>
        <w:rPr>
          <w:rFonts w:hint="eastAsia" w:cs="宋体"/>
          <w:b/>
          <w:color w:val="auto"/>
          <w:sz w:val="24"/>
          <w:szCs w:val="24"/>
          <w:highlight w:val="none"/>
        </w:rPr>
        <w:t>10.4.1.2 工程变更引起施工方案改变并使措施项目发生变化时，</w:t>
      </w:r>
      <w:r>
        <w:rPr>
          <w:rFonts w:hint="eastAsia" w:cs="宋体"/>
          <w:b/>
          <w:color w:val="auto"/>
          <w:sz w:val="24"/>
          <w:szCs w:val="24"/>
          <w:highlight w:val="none"/>
          <w:lang w:eastAsia="zh-CN"/>
        </w:rPr>
        <w:t>乙方</w:t>
      </w:r>
      <w:r>
        <w:rPr>
          <w:rFonts w:hint="eastAsia" w:cs="宋体"/>
          <w:b/>
          <w:color w:val="auto"/>
          <w:sz w:val="24"/>
          <w:szCs w:val="24"/>
          <w:highlight w:val="none"/>
        </w:rPr>
        <w:t>提出调整措施项目费的，应事前将拟实施的方案提交</w:t>
      </w:r>
      <w:r>
        <w:rPr>
          <w:rFonts w:hint="eastAsia" w:cs="宋体"/>
          <w:b/>
          <w:color w:val="auto"/>
          <w:sz w:val="24"/>
          <w:szCs w:val="24"/>
          <w:highlight w:val="none"/>
          <w:lang w:eastAsia="zh-CN"/>
        </w:rPr>
        <w:t>甲方</w:t>
      </w:r>
      <w:r>
        <w:rPr>
          <w:rFonts w:hint="eastAsia" w:cs="宋体"/>
          <w:b/>
          <w:color w:val="auto"/>
          <w:sz w:val="24"/>
          <w:szCs w:val="24"/>
          <w:highlight w:val="none"/>
        </w:rPr>
        <w:t>确认，并应详细说明与原方案措施项目相比的变化情况。拟实施的方案经发承包双方确认后执行，并应按照下列规定调整措施项目费：</w:t>
      </w:r>
    </w:p>
    <w:p w14:paraId="2DBF57CF">
      <w:pPr>
        <w:adjustRightInd w:val="0"/>
        <w:snapToGrid w:val="0"/>
        <w:spacing w:before="93" w:beforeLines="30"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（1）按照费率计算的措施费，应按照实际发生变化的措施项目依据原</w:t>
      </w:r>
      <w:r>
        <w:rPr>
          <w:rFonts w:hint="eastAsia" w:cs="宋体"/>
          <w:b/>
          <w:color w:val="auto"/>
          <w:sz w:val="24"/>
          <w:szCs w:val="24"/>
          <w:highlight w:val="none"/>
          <w:u w:val="single"/>
          <w:lang w:val="en-US" w:eastAsia="zh-CN"/>
        </w:rPr>
        <w:t>采购</w:t>
      </w:r>
      <w:r>
        <w:rPr>
          <w:rFonts w:hint="eastAsia" w:cs="宋体"/>
          <w:b/>
          <w:color w:val="auto"/>
          <w:sz w:val="24"/>
          <w:szCs w:val="24"/>
          <w:highlight w:val="none"/>
          <w:u w:val="single"/>
        </w:rPr>
        <w:t>文件规定的费率计算；</w:t>
      </w:r>
    </w:p>
    <w:p w14:paraId="31E0563E">
      <w:pPr>
        <w:adjustRightInd w:val="0"/>
        <w:snapToGrid w:val="0"/>
        <w:spacing w:before="93" w:beforeLines="30" w:line="360" w:lineRule="auto"/>
        <w:ind w:firstLine="482" w:firstLineChars="200"/>
        <w:jc w:val="left"/>
        <w:rPr>
          <w:rFonts w:cs="宋体"/>
          <w:b/>
          <w:color w:val="auto"/>
          <w:sz w:val="24"/>
          <w:szCs w:val="24"/>
          <w:highlight w:val="none"/>
          <w:u w:val="single"/>
        </w:rPr>
      </w:pPr>
      <w:r>
        <w:rPr>
          <w:rFonts w:hint="eastAsia" w:cs="宋体"/>
          <w:b/>
          <w:color w:val="auto"/>
          <w:sz w:val="24"/>
          <w:szCs w:val="24"/>
          <w:highlight w:val="none"/>
          <w:u w:val="single"/>
        </w:rPr>
        <w:t>（2）按照单价计算的措施项目费，应按照实际发生变化的措施项目，按本合同专业条款第10.4.1.1目计算；</w:t>
      </w:r>
    </w:p>
    <w:p w14:paraId="21B3D856">
      <w:pPr>
        <w:adjustRightInd w:val="0"/>
        <w:snapToGrid w:val="0"/>
        <w:spacing w:before="93" w:beforeLines="30" w:line="360" w:lineRule="auto"/>
        <w:ind w:firstLine="482" w:firstLineChars="200"/>
        <w:rPr>
          <w:rFonts w:cs="宋体"/>
          <w:b/>
          <w:color w:val="auto"/>
          <w:sz w:val="24"/>
          <w:szCs w:val="24"/>
          <w:highlight w:val="none"/>
          <w:u w:val="single"/>
        </w:rPr>
      </w:pPr>
      <w:r>
        <w:rPr>
          <w:rFonts w:hint="eastAsia" w:cs="宋体"/>
          <w:b/>
          <w:color w:val="auto"/>
          <w:sz w:val="24"/>
          <w:szCs w:val="24"/>
          <w:highlight w:val="none"/>
          <w:u w:val="single"/>
        </w:rPr>
        <w:t>（3）按总价（或系数）计算的措施项目费，应按照实际发生变化的措施项目和</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报价浮动率同比下浮标准，提出新的措施项目费，作为结算的依据；</w:t>
      </w:r>
    </w:p>
    <w:p w14:paraId="39225697">
      <w:pPr>
        <w:adjustRightInd w:val="0"/>
        <w:snapToGrid w:val="0"/>
        <w:spacing w:before="93" w:beforeLines="30" w:line="360" w:lineRule="auto"/>
        <w:ind w:firstLine="482" w:firstLineChars="200"/>
        <w:rPr>
          <w:rFonts w:cs="宋体"/>
          <w:b/>
          <w:strike/>
          <w:color w:val="auto"/>
          <w:sz w:val="24"/>
          <w:szCs w:val="24"/>
          <w:highlight w:val="none"/>
          <w:u w:val="single"/>
        </w:rPr>
      </w:pPr>
      <w:r>
        <w:rPr>
          <w:rFonts w:hint="eastAsia" w:cs="宋体"/>
          <w:b/>
          <w:color w:val="auto"/>
          <w:sz w:val="24"/>
          <w:szCs w:val="24"/>
          <w:highlight w:val="none"/>
          <w:u w:val="single"/>
        </w:rPr>
        <w:t>（4）如果</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未事前将拟实施的方案提交给</w:t>
      </w:r>
      <w:r>
        <w:rPr>
          <w:rFonts w:hint="eastAsia" w:cs="宋体"/>
          <w:b/>
          <w:color w:val="auto"/>
          <w:sz w:val="24"/>
          <w:szCs w:val="24"/>
          <w:highlight w:val="none"/>
          <w:u w:val="single"/>
          <w:lang w:eastAsia="zh-CN"/>
        </w:rPr>
        <w:t>甲方</w:t>
      </w:r>
      <w:r>
        <w:rPr>
          <w:rFonts w:hint="eastAsia" w:cs="宋体"/>
          <w:b/>
          <w:color w:val="auto"/>
          <w:sz w:val="24"/>
          <w:szCs w:val="24"/>
          <w:highlight w:val="none"/>
          <w:u w:val="single"/>
        </w:rPr>
        <w:t>确认，则应视为工程变更不引起措施项目费的调整或</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放弃调整措施项目费的权利。</w:t>
      </w:r>
    </w:p>
    <w:p w14:paraId="2DE93F02">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Start w:id="412" w:name="_Toc297120497"/>
      <w:bookmarkStart w:id="413" w:name="_Toc296346698"/>
      <w:bookmarkStart w:id="414" w:name="_Toc292559907"/>
      <w:bookmarkStart w:id="415" w:name="_Toc297048383"/>
      <w:bookmarkStart w:id="416" w:name="_Toc296944536"/>
      <w:bookmarkStart w:id="417" w:name="_Toc297216203"/>
      <w:bookmarkStart w:id="418" w:name="_Toc296891025"/>
      <w:bookmarkStart w:id="419" w:name="_Toc303539150"/>
      <w:bookmarkStart w:id="420" w:name="_Toc296503197"/>
      <w:bookmarkStart w:id="421" w:name="_Toc296347196"/>
      <w:bookmarkStart w:id="422" w:name="_Toc296891237"/>
      <w:bookmarkStart w:id="423" w:name="_Toc300934993"/>
      <w:bookmarkStart w:id="424" w:name="_Toc297123544"/>
      <w:bookmarkStart w:id="425" w:name="_Toc292559402"/>
      <w:bookmarkStart w:id="426" w:name="_Toc312677503"/>
      <w:bookmarkStart w:id="427" w:name="_Toc312678029"/>
      <w:bookmarkStart w:id="428" w:name="_Toc304295570"/>
      <w:r>
        <w:rPr>
          <w:rFonts w:hint="eastAsia" w:cs="宋体"/>
          <w:bCs/>
          <w:color w:val="auto"/>
          <w:sz w:val="24"/>
          <w:szCs w:val="24"/>
          <w:highlight w:val="none"/>
        </w:rPr>
        <w:t xml:space="preserve">0.5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Start w:id="429" w:name="_Toc297048389"/>
      <w:bookmarkStart w:id="430" w:name="_Toc296891031"/>
      <w:bookmarkStart w:id="431" w:name="_Toc300934994"/>
      <w:bookmarkStart w:id="432" w:name="_Toc296346704"/>
      <w:bookmarkStart w:id="433" w:name="_Toc303539151"/>
      <w:bookmarkStart w:id="434" w:name="_Toc292559913"/>
      <w:bookmarkStart w:id="435" w:name="_Toc292559408"/>
      <w:bookmarkStart w:id="436" w:name="_Toc297123545"/>
      <w:bookmarkStart w:id="437" w:name="_Toc296891243"/>
      <w:bookmarkStart w:id="438" w:name="_Toc296347202"/>
      <w:bookmarkStart w:id="439" w:name="_Toc297120503"/>
      <w:bookmarkStart w:id="440" w:name="_Toc296944542"/>
      <w:bookmarkStart w:id="441" w:name="_Toc296503203"/>
      <w:bookmarkStart w:id="442" w:name="_Toc297216204"/>
      <w:r>
        <w:rPr>
          <w:rFonts w:hint="eastAsia" w:cs="宋体"/>
          <w:bCs/>
          <w:color w:val="auto"/>
          <w:sz w:val="24"/>
          <w:szCs w:val="24"/>
          <w:highlight w:val="none"/>
          <w:lang w:eastAsia="zh-CN"/>
        </w:rPr>
        <w:t>乙方</w:t>
      </w:r>
      <w:r>
        <w:rPr>
          <w:rFonts w:hint="eastAsia" w:cs="宋体"/>
          <w:bCs/>
          <w:color w:val="auto"/>
          <w:sz w:val="24"/>
          <w:szCs w:val="24"/>
          <w:highlight w:val="none"/>
        </w:rPr>
        <w:t>的合理化建议</w:t>
      </w:r>
    </w:p>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300D06DD">
      <w:pPr>
        <w:adjustRightInd w:val="0"/>
        <w:snapToGrid w:val="0"/>
        <w:spacing w:line="360" w:lineRule="auto"/>
        <w:ind w:firstLine="480" w:firstLineChars="200"/>
        <w:rPr>
          <w:rFonts w:cs="宋体"/>
          <w:color w:val="auto"/>
          <w:sz w:val="24"/>
          <w:szCs w:val="24"/>
          <w:highlight w:val="none"/>
          <w:u w:val="single"/>
        </w:rPr>
      </w:pPr>
      <w:bookmarkStart w:id="443" w:name="_Toc297120504"/>
      <w:bookmarkStart w:id="444" w:name="_Toc296891032"/>
      <w:bookmarkStart w:id="445" w:name="_Toc304295571"/>
      <w:bookmarkStart w:id="446" w:name="_Toc297123546"/>
      <w:bookmarkStart w:id="447" w:name="_Toc297048390"/>
      <w:bookmarkStart w:id="448" w:name="_Toc312678030"/>
      <w:bookmarkStart w:id="449" w:name="_Toc297216205"/>
      <w:bookmarkStart w:id="450" w:name="_Toc296891244"/>
      <w:bookmarkStart w:id="451" w:name="_Toc292559409"/>
      <w:bookmarkStart w:id="452" w:name="_Toc296503204"/>
      <w:bookmarkStart w:id="453" w:name="_Toc318581175"/>
      <w:bookmarkStart w:id="454" w:name="_Toc312677504"/>
      <w:bookmarkStart w:id="455" w:name="_Toc296347203"/>
      <w:bookmarkStart w:id="456" w:name="_Toc296346705"/>
      <w:bookmarkStart w:id="457" w:name="_Toc303539152"/>
      <w:bookmarkStart w:id="458" w:name="_Toc300934995"/>
      <w:bookmarkStart w:id="459" w:name="_Toc292559914"/>
      <w:bookmarkStart w:id="460" w:name="_Toc296944543"/>
      <w:r>
        <w:rPr>
          <w:rFonts w:hint="eastAsia" w:cs="宋体"/>
          <w:color w:val="auto"/>
          <w:sz w:val="24"/>
          <w:szCs w:val="24"/>
          <w:highlight w:val="none"/>
          <w:lang w:eastAsia="zh-CN"/>
        </w:rPr>
        <w:t>乙方</w:t>
      </w:r>
      <w:r>
        <w:rPr>
          <w:rFonts w:hint="eastAsia" w:cs="宋体"/>
          <w:color w:val="auto"/>
          <w:sz w:val="24"/>
          <w:szCs w:val="24"/>
          <w:highlight w:val="none"/>
        </w:rPr>
        <w:t>提出的合理化建议降低了合同价格或者提高了工程经济效益的奖励的方法和金额为：</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14:paraId="5E8DA3A2">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w:t>
      </w:r>
      <w:bookmarkStart w:id="461" w:name="_Toc292559909"/>
      <w:bookmarkStart w:id="462" w:name="_Toc296346700"/>
      <w:bookmarkStart w:id="463" w:name="_Toc297048385"/>
      <w:bookmarkStart w:id="464" w:name="_Toc297216207"/>
      <w:bookmarkStart w:id="465" w:name="_Toc296347198"/>
      <w:bookmarkStart w:id="466" w:name="_Toc312678033"/>
      <w:bookmarkStart w:id="467" w:name="_Toc296891239"/>
      <w:bookmarkStart w:id="468" w:name="_Toc296891027"/>
      <w:bookmarkStart w:id="469" w:name="_Toc297123548"/>
      <w:bookmarkStart w:id="470" w:name="_Toc292559404"/>
      <w:bookmarkStart w:id="471" w:name="_Toc297120499"/>
      <w:bookmarkStart w:id="472" w:name="_Toc296944538"/>
      <w:bookmarkStart w:id="473" w:name="_Toc304295574"/>
      <w:bookmarkStart w:id="474" w:name="_Toc303539154"/>
      <w:bookmarkStart w:id="475" w:name="_Toc312677507"/>
      <w:bookmarkStart w:id="476" w:name="_Toc296503199"/>
      <w:bookmarkStart w:id="477" w:name="_Toc300934997"/>
      <w:r>
        <w:rPr>
          <w:rFonts w:hint="eastAsia" w:cs="宋体"/>
          <w:bCs/>
          <w:color w:val="auto"/>
          <w:sz w:val="24"/>
          <w:szCs w:val="24"/>
          <w:highlight w:val="none"/>
        </w:rPr>
        <w:t>0.7 暂估价</w:t>
      </w:r>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6742CFD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暂</w:t>
      </w:r>
      <w:bookmarkStart w:id="478" w:name="_Toc312678034"/>
      <w:bookmarkStart w:id="479" w:name="_Toc312677508"/>
      <w:bookmarkStart w:id="480" w:name="_Toc318581176"/>
      <w:r>
        <w:rPr>
          <w:rFonts w:hint="eastAsia" w:cs="宋体"/>
          <w:color w:val="auto"/>
          <w:sz w:val="24"/>
          <w:szCs w:val="24"/>
          <w:highlight w:val="none"/>
        </w:rPr>
        <w:t>估价材料和工程设备的明细见附件12：《暂估价一览表》。</w:t>
      </w:r>
    </w:p>
    <w:bookmarkEnd w:id="478"/>
    <w:bookmarkEnd w:id="479"/>
    <w:bookmarkEnd w:id="480"/>
    <w:p w14:paraId="1A373FC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Start w:id="481" w:name="_Toc312678035"/>
      <w:bookmarkStart w:id="482" w:name="_Toc318581177"/>
      <w:bookmarkStart w:id="483" w:name="_Toc312677509"/>
      <w:r>
        <w:rPr>
          <w:rFonts w:hint="eastAsia" w:cs="宋体"/>
          <w:color w:val="auto"/>
          <w:sz w:val="24"/>
          <w:szCs w:val="24"/>
          <w:highlight w:val="none"/>
        </w:rPr>
        <w:t>0.7.1 依法必须招标的暂估价项目</w:t>
      </w:r>
    </w:p>
    <w:bookmarkEnd w:id="481"/>
    <w:bookmarkEnd w:id="482"/>
    <w:bookmarkEnd w:id="483"/>
    <w:p w14:paraId="02CCCD4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对于依法必须招标的暂估价项目的确认和批准采取第</w:t>
      </w:r>
      <w:r>
        <w:rPr>
          <w:rFonts w:hint="eastAsia" w:cs="宋体"/>
          <w:color w:val="auto"/>
          <w:sz w:val="24"/>
          <w:szCs w:val="24"/>
          <w:highlight w:val="none"/>
          <w:u w:val="single"/>
        </w:rPr>
        <w:t>2</w:t>
      </w:r>
      <w:r>
        <w:rPr>
          <w:rFonts w:hint="eastAsia" w:cs="宋体"/>
          <w:color w:val="auto"/>
          <w:sz w:val="24"/>
          <w:szCs w:val="24"/>
          <w:highlight w:val="none"/>
        </w:rPr>
        <w:t>种方式确定。</w:t>
      </w:r>
      <w:r>
        <w:rPr>
          <w:rFonts w:hint="eastAsia" w:cs="宋体"/>
          <w:b/>
          <w:color w:val="auto"/>
          <w:sz w:val="24"/>
          <w:szCs w:val="24"/>
          <w:highlight w:val="none"/>
          <w:u w:val="single"/>
        </w:rPr>
        <w:t>并应按相关规定进行二次</w:t>
      </w:r>
      <w:r>
        <w:rPr>
          <w:rFonts w:hint="eastAsia" w:cs="宋体"/>
          <w:b/>
          <w:color w:val="auto"/>
          <w:sz w:val="24"/>
          <w:szCs w:val="24"/>
          <w:highlight w:val="none"/>
          <w:u w:val="single"/>
          <w:lang w:val="en-US" w:eastAsia="zh-CN"/>
        </w:rPr>
        <w:t>采购</w:t>
      </w:r>
      <w:r>
        <w:rPr>
          <w:rFonts w:hint="eastAsia" w:cs="宋体"/>
          <w:color w:val="auto"/>
          <w:sz w:val="24"/>
          <w:szCs w:val="24"/>
          <w:highlight w:val="none"/>
        </w:rPr>
        <w:t>。</w:t>
      </w:r>
    </w:p>
    <w:p w14:paraId="79A2347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10.7.2 不属于依法必须招标的暂估价项目</w:t>
      </w:r>
    </w:p>
    <w:p w14:paraId="7381DF7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对于不属于依法必须招标的暂估价项目的确认和批准采取第</w:t>
      </w:r>
      <w:r>
        <w:rPr>
          <w:rFonts w:hint="eastAsia" w:cs="宋体"/>
          <w:color w:val="auto"/>
          <w:sz w:val="24"/>
          <w:szCs w:val="24"/>
          <w:highlight w:val="none"/>
          <w:u w:val="single"/>
        </w:rPr>
        <w:t>1</w:t>
      </w:r>
      <w:r>
        <w:rPr>
          <w:rFonts w:hint="eastAsia" w:cs="宋体"/>
          <w:color w:val="auto"/>
          <w:sz w:val="24"/>
          <w:szCs w:val="24"/>
          <w:highlight w:val="none"/>
        </w:rPr>
        <w:t>种方式确定。</w:t>
      </w:r>
    </w:p>
    <w:p w14:paraId="5E5B137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第3种方式：</w:t>
      </w:r>
      <w:r>
        <w:rPr>
          <w:rFonts w:hint="eastAsia" w:cs="宋体"/>
          <w:color w:val="auto"/>
          <w:sz w:val="24"/>
          <w:szCs w:val="24"/>
          <w:highlight w:val="none"/>
          <w:lang w:eastAsia="zh-CN"/>
        </w:rPr>
        <w:t>乙方</w:t>
      </w:r>
      <w:r>
        <w:rPr>
          <w:rFonts w:hint="eastAsia" w:cs="宋体"/>
          <w:color w:val="auto"/>
          <w:sz w:val="24"/>
          <w:szCs w:val="24"/>
          <w:highlight w:val="none"/>
        </w:rPr>
        <w:t>直接实施的暂估价项目</w:t>
      </w:r>
    </w:p>
    <w:p w14:paraId="6C4A92D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直接实施的暂估价项目的约定：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乙方</w:t>
      </w:r>
      <w:r>
        <w:rPr>
          <w:rFonts w:hint="eastAsia" w:cs="宋体"/>
          <w:color w:val="auto"/>
          <w:sz w:val="24"/>
          <w:szCs w:val="24"/>
          <w:highlight w:val="none"/>
          <w:u w:val="single"/>
        </w:rPr>
        <w:t>将暂估项目进一步细化、完善，具体方案经</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认可后，根据实际采购或施工的费用、市场价格变化、实际完成的工程量进行调整</w:t>
      </w:r>
      <w:r>
        <w:rPr>
          <w:rFonts w:hint="eastAsia" w:cs="宋体"/>
          <w:color w:val="auto"/>
          <w:sz w:val="24"/>
          <w:szCs w:val="24"/>
          <w:highlight w:val="none"/>
          <w:u w:val="single"/>
          <w:lang w:eastAsia="zh-CN"/>
        </w:rPr>
        <w:t>，</w:t>
      </w:r>
      <w:r>
        <w:rPr>
          <w:rFonts w:hint="eastAsia" w:cs="宋体"/>
          <w:color w:val="auto"/>
          <w:sz w:val="24"/>
          <w:szCs w:val="24"/>
          <w:highlight w:val="none"/>
          <w:u w:val="single"/>
        </w:rPr>
        <w:t>按照相关定额进行组价，组价后按照中标优惠率下浮进行调整，按调整后的单价金额进行最终结算和支付。暂估</w:t>
      </w:r>
      <w:r>
        <w:rPr>
          <w:rFonts w:hint="eastAsia" w:cs="宋体"/>
          <w:color w:val="auto"/>
          <w:sz w:val="24"/>
          <w:szCs w:val="24"/>
          <w:highlight w:val="none"/>
          <w:u w:val="single"/>
          <w:lang w:val="en-US" w:eastAsia="zh-CN"/>
        </w:rPr>
        <w:t>价最终金额</w:t>
      </w:r>
      <w:r>
        <w:rPr>
          <w:rFonts w:hint="eastAsia" w:cs="宋体"/>
          <w:color w:val="auto"/>
          <w:sz w:val="24"/>
          <w:szCs w:val="24"/>
          <w:highlight w:val="none"/>
          <w:u w:val="single"/>
        </w:rPr>
        <w:t>以</w:t>
      </w:r>
      <w:r>
        <w:rPr>
          <w:rFonts w:hint="eastAsia" w:cs="宋体"/>
          <w:color w:val="auto"/>
          <w:sz w:val="24"/>
          <w:szCs w:val="24"/>
          <w:highlight w:val="none"/>
          <w:u w:val="single"/>
          <w:lang w:val="en-US" w:eastAsia="zh-CN"/>
        </w:rPr>
        <w:t>结算审定价格</w:t>
      </w:r>
      <w:r>
        <w:rPr>
          <w:rFonts w:hint="eastAsia" w:cs="宋体"/>
          <w:color w:val="auto"/>
          <w:sz w:val="24"/>
          <w:szCs w:val="24"/>
          <w:highlight w:val="none"/>
          <w:u w:val="single"/>
        </w:rPr>
        <w:t xml:space="preserve">为准。  </w:t>
      </w:r>
      <w:r>
        <w:rPr>
          <w:rFonts w:hint="eastAsia" w:cs="宋体"/>
          <w:color w:val="auto"/>
          <w:sz w:val="24"/>
          <w:szCs w:val="24"/>
          <w:highlight w:val="none"/>
        </w:rPr>
        <w:t>。</w:t>
      </w:r>
    </w:p>
    <w:p w14:paraId="58A638FD">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10.8 暂列金额</w:t>
      </w:r>
    </w:p>
    <w:p w14:paraId="7108BC6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合同当事人关于暂列金额使用的约定：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F1EB9A7">
      <w:pPr>
        <w:snapToGrid w:val="0"/>
        <w:spacing w:before="312" w:beforeLines="100" w:after="312" w:afterLines="100" w:line="360" w:lineRule="auto"/>
        <w:outlineLvl w:val="2"/>
        <w:rPr>
          <w:rFonts w:cs="宋体"/>
          <w:color w:val="auto"/>
          <w:sz w:val="24"/>
          <w:szCs w:val="24"/>
          <w:highlight w:val="none"/>
        </w:rPr>
      </w:pPr>
      <w:bookmarkStart w:id="484" w:name="_Toc351203643"/>
      <w:r>
        <w:rPr>
          <w:rFonts w:hint="eastAsia" w:cs="宋体"/>
          <w:color w:val="auto"/>
          <w:sz w:val="24"/>
          <w:szCs w:val="24"/>
          <w:highlight w:val="none"/>
        </w:rPr>
        <w:t>11. 价格调整</w:t>
      </w:r>
      <w:bookmarkEnd w:id="484"/>
    </w:p>
    <w:p w14:paraId="45E230D1">
      <w:pPr>
        <w:keepNext/>
        <w:keepLines/>
        <w:snapToGrid w:val="0"/>
        <w:spacing w:before="120" w:after="120" w:line="360" w:lineRule="auto"/>
        <w:ind w:firstLine="480" w:firstLineChars="200"/>
        <w:outlineLvl w:val="3"/>
        <w:rPr>
          <w:rFonts w:cs="宋体"/>
          <w:bCs/>
          <w:color w:val="auto"/>
          <w:sz w:val="24"/>
          <w:szCs w:val="24"/>
          <w:highlight w:val="none"/>
        </w:rPr>
      </w:pPr>
      <w:bookmarkStart w:id="485" w:name="_Toc296891241"/>
      <w:bookmarkStart w:id="486" w:name="_Toc297123550"/>
      <w:bookmarkStart w:id="487" w:name="_Toc296346702"/>
      <w:bookmarkStart w:id="488" w:name="_Toc300935000"/>
      <w:bookmarkStart w:id="489" w:name="_Toc296347200"/>
      <w:bookmarkStart w:id="490" w:name="_Toc292559911"/>
      <w:bookmarkStart w:id="491" w:name="_Toc312678039"/>
      <w:bookmarkStart w:id="492" w:name="_Toc296503201"/>
      <w:bookmarkStart w:id="493" w:name="_Toc303539157"/>
      <w:bookmarkStart w:id="494" w:name="_Toc296944540"/>
      <w:bookmarkStart w:id="495" w:name="_Toc297216209"/>
      <w:bookmarkStart w:id="496" w:name="_Toc297048387"/>
      <w:bookmarkStart w:id="497" w:name="_Toc297120501"/>
      <w:bookmarkStart w:id="498" w:name="_Toc296891029"/>
      <w:bookmarkStart w:id="499" w:name="_Toc292559406"/>
      <w:bookmarkStart w:id="500" w:name="_Toc304295577"/>
      <w:r>
        <w:rPr>
          <w:rFonts w:hint="eastAsia" w:cs="宋体"/>
          <w:bCs/>
          <w:color w:val="auto"/>
          <w:sz w:val="24"/>
          <w:szCs w:val="24"/>
          <w:highlight w:val="none"/>
        </w:rPr>
        <w:t>11.1 市场价格波动引起的调整</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14:paraId="01520E8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市场价格波动是否调整合同价格的约定：</w:t>
      </w:r>
      <w:r>
        <w:rPr>
          <w:rFonts w:hint="eastAsia" w:cs="宋体"/>
          <w:color w:val="auto"/>
          <w:sz w:val="24"/>
          <w:szCs w:val="24"/>
          <w:highlight w:val="none"/>
          <w:u w:val="single"/>
          <w:lang w:val="en-US" w:eastAsia="zh-CN"/>
        </w:rPr>
        <w:t>不调整</w:t>
      </w:r>
      <w:r>
        <w:rPr>
          <w:rFonts w:hint="eastAsia" w:cs="宋体"/>
          <w:color w:val="auto"/>
          <w:sz w:val="24"/>
          <w:szCs w:val="24"/>
          <w:highlight w:val="none"/>
        </w:rPr>
        <w:t>。</w:t>
      </w:r>
    </w:p>
    <w:p w14:paraId="5C6E3AA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因市场价格波动调整合同价格，采用以下第</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种方式对合同价格进行调整：</w:t>
      </w:r>
    </w:p>
    <w:p w14:paraId="39F948C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第1种方式：采用价格指数进行价格调整。</w:t>
      </w:r>
    </w:p>
    <w:p w14:paraId="26DB767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关于各可调因子、定值和变值权重，以及基本价格指数及其来源的约定：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4DF7C32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第2种方式：采用造价信息进行价格调整。</w:t>
      </w:r>
    </w:p>
    <w:p w14:paraId="7FB5678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（1）可调整价格的主要材料范围的约定：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C0200C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（2）主要材料价差调整周期的约定：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4A8BB1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（3）主要材料价差调整计算方法的约定：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6325D5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（4）主要材料价差调整时间的约定：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F83F03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（2）关于基准价格的约定：</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B0C6EE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①</w:t>
      </w:r>
      <w:r>
        <w:rPr>
          <w:rFonts w:hint="eastAsia" w:cs="宋体"/>
          <w:color w:val="auto"/>
          <w:sz w:val="24"/>
          <w:szCs w:val="24"/>
          <w:highlight w:val="none"/>
          <w:lang w:eastAsia="zh-CN"/>
        </w:rPr>
        <w:t>乙方</w:t>
      </w:r>
      <w:r>
        <w:rPr>
          <w:rFonts w:hint="eastAsia" w:cs="宋体"/>
          <w:color w:val="auto"/>
          <w:sz w:val="24"/>
          <w:szCs w:val="24"/>
          <w:highlight w:val="none"/>
        </w:rPr>
        <w:t>在已标价工程量清单或预算书中载明的材料单价低于基准价格的：专用合同条款合同履行期间材料单价涨幅以基准价格为基础超过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%时，或材料单价跌幅以已标价工程量清单或预算书中载明材料单价为基础超过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%时，其超过部分据实调整。</w:t>
      </w:r>
    </w:p>
    <w:p w14:paraId="392EE70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②</w:t>
      </w:r>
      <w:r>
        <w:rPr>
          <w:rFonts w:hint="eastAsia" w:cs="宋体"/>
          <w:color w:val="auto"/>
          <w:sz w:val="24"/>
          <w:szCs w:val="24"/>
          <w:highlight w:val="none"/>
          <w:lang w:eastAsia="zh-CN"/>
        </w:rPr>
        <w:t>乙方</w:t>
      </w:r>
      <w:r>
        <w:rPr>
          <w:rFonts w:hint="eastAsia" w:cs="宋体"/>
          <w:color w:val="auto"/>
          <w:sz w:val="24"/>
          <w:szCs w:val="24"/>
          <w:highlight w:val="none"/>
        </w:rPr>
        <w:t>在已标价工程量清单或预算书中载明的材料单价高于基准价格的：专用合同条款合同履行期间材料单价跌幅以基准价格为基础超过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%时，材料单价涨幅以已标价工程量清单或预算书中载明材料单价为基础超过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%时，其超过部分据实调整。</w:t>
      </w:r>
    </w:p>
    <w:p w14:paraId="5E946F4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③</w:t>
      </w:r>
      <w:r>
        <w:rPr>
          <w:rFonts w:hint="eastAsia" w:cs="宋体"/>
          <w:color w:val="auto"/>
          <w:sz w:val="24"/>
          <w:szCs w:val="24"/>
          <w:highlight w:val="none"/>
          <w:lang w:eastAsia="zh-CN"/>
        </w:rPr>
        <w:t>乙方</w:t>
      </w:r>
      <w:r>
        <w:rPr>
          <w:rFonts w:hint="eastAsia" w:cs="宋体"/>
          <w:color w:val="auto"/>
          <w:sz w:val="24"/>
          <w:szCs w:val="24"/>
          <w:highlight w:val="none"/>
        </w:rPr>
        <w:t>在已标价工程量清单或预算书中载明的材料单价等于基准单价的：专用合同条款合同履行期间材料单价涨跌幅以基准单价为基础超过±</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%时，其超过部分据实调整。</w:t>
      </w:r>
    </w:p>
    <w:p w14:paraId="78F57830">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第3种方式：其他价格调整方式：</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388"/>
    <w:bookmarkEnd w:id="389"/>
    <w:bookmarkEnd w:id="390"/>
    <w:bookmarkEnd w:id="391"/>
    <w:bookmarkEnd w:id="392"/>
    <w:bookmarkEnd w:id="393"/>
    <w:p w14:paraId="79B0E3AC">
      <w:pPr>
        <w:snapToGrid w:val="0"/>
        <w:spacing w:before="312" w:beforeLines="100" w:after="312" w:afterLines="100" w:line="360" w:lineRule="auto"/>
        <w:outlineLvl w:val="2"/>
        <w:rPr>
          <w:rFonts w:cs="宋体"/>
          <w:color w:val="auto"/>
          <w:sz w:val="24"/>
          <w:szCs w:val="24"/>
          <w:highlight w:val="none"/>
        </w:rPr>
      </w:pPr>
      <w:bookmarkStart w:id="501" w:name="_Toc296944544"/>
      <w:bookmarkStart w:id="502" w:name="_Toc296347204"/>
      <w:bookmarkStart w:id="503" w:name="_Toc297048391"/>
      <w:bookmarkStart w:id="504" w:name="_Toc296891033"/>
      <w:bookmarkStart w:id="505" w:name="_Toc292559915"/>
      <w:bookmarkStart w:id="506" w:name="_Toc297120505"/>
      <w:bookmarkStart w:id="507" w:name="_Toc296891245"/>
      <w:bookmarkStart w:id="508" w:name="_Toc296503205"/>
      <w:bookmarkStart w:id="509" w:name="_Toc296346706"/>
      <w:bookmarkStart w:id="510" w:name="_Toc292559410"/>
      <w:bookmarkStart w:id="511" w:name="_Toc351203644"/>
      <w:bookmarkStart w:id="512" w:name="_Toc300935002"/>
      <w:bookmarkStart w:id="513" w:name="_Toc297216211"/>
      <w:bookmarkStart w:id="514" w:name="_Toc312678040"/>
      <w:bookmarkStart w:id="515" w:name="_Toc303539159"/>
      <w:bookmarkStart w:id="516" w:name="_Toc297123552"/>
      <w:bookmarkStart w:id="517" w:name="_Toc304295579"/>
      <w:r>
        <w:rPr>
          <w:rFonts w:hint="eastAsia" w:cs="宋体"/>
          <w:color w:val="auto"/>
          <w:sz w:val="24"/>
          <w:szCs w:val="24"/>
          <w:highlight w:val="none"/>
        </w:rPr>
        <w:t xml:space="preserve">12. </w:t>
      </w:r>
      <w:bookmarkEnd w:id="501"/>
      <w:bookmarkEnd w:id="502"/>
      <w:bookmarkEnd w:id="503"/>
      <w:bookmarkEnd w:id="504"/>
      <w:bookmarkEnd w:id="505"/>
      <w:bookmarkEnd w:id="506"/>
      <w:bookmarkEnd w:id="507"/>
      <w:bookmarkEnd w:id="508"/>
      <w:bookmarkEnd w:id="509"/>
      <w:bookmarkEnd w:id="510"/>
      <w:r>
        <w:rPr>
          <w:rFonts w:hint="eastAsia" w:cs="宋体"/>
          <w:color w:val="auto"/>
          <w:sz w:val="24"/>
          <w:szCs w:val="24"/>
          <w:highlight w:val="none"/>
        </w:rPr>
        <w:t>合同价格、计量与支付</w:t>
      </w:r>
      <w:bookmarkEnd w:id="511"/>
    </w:p>
    <w:bookmarkEnd w:id="512"/>
    <w:bookmarkEnd w:id="513"/>
    <w:bookmarkEnd w:id="514"/>
    <w:bookmarkEnd w:id="515"/>
    <w:bookmarkEnd w:id="516"/>
    <w:bookmarkEnd w:id="517"/>
    <w:p w14:paraId="2B50A064">
      <w:pPr>
        <w:keepNext/>
        <w:keepLines/>
        <w:snapToGrid w:val="0"/>
        <w:spacing w:before="120" w:after="120" w:line="360" w:lineRule="auto"/>
        <w:ind w:firstLine="480" w:firstLineChars="200"/>
        <w:outlineLvl w:val="3"/>
        <w:rPr>
          <w:rFonts w:cs="宋体"/>
          <w:bCs/>
          <w:color w:val="auto"/>
          <w:sz w:val="24"/>
          <w:szCs w:val="24"/>
          <w:highlight w:val="none"/>
        </w:rPr>
      </w:pPr>
      <w:bookmarkStart w:id="518" w:name="_Toc292559916"/>
      <w:bookmarkStart w:id="519" w:name="_Toc267251461"/>
      <w:bookmarkStart w:id="520" w:name="_Toc292559411"/>
      <w:bookmarkStart w:id="521" w:name="_Toc296346707"/>
      <w:bookmarkStart w:id="522" w:name="_Toc296503206"/>
      <w:bookmarkStart w:id="523" w:name="_Toc297048392"/>
      <w:bookmarkStart w:id="524" w:name="_Toc296347205"/>
      <w:bookmarkStart w:id="525" w:name="_Toc296891034"/>
      <w:bookmarkStart w:id="526" w:name="_Toc296944545"/>
      <w:bookmarkStart w:id="527" w:name="_Toc296891246"/>
      <w:bookmarkStart w:id="528" w:name="_Toc297120506"/>
      <w:bookmarkStart w:id="529" w:name="_Toc297123553"/>
      <w:bookmarkStart w:id="530" w:name="_Toc297216212"/>
      <w:bookmarkStart w:id="531" w:name="_Toc312678041"/>
      <w:bookmarkStart w:id="532" w:name="_Toc304295580"/>
      <w:bookmarkStart w:id="533" w:name="_Toc303539160"/>
      <w:bookmarkStart w:id="534" w:name="_Toc300935003"/>
      <w:r>
        <w:rPr>
          <w:rFonts w:hint="eastAsia" w:cs="宋体"/>
          <w:bCs/>
          <w:color w:val="auto"/>
          <w:sz w:val="24"/>
          <w:szCs w:val="24"/>
          <w:highlight w:val="none"/>
        </w:rPr>
        <w:t>12.1 合</w:t>
      </w:r>
      <w:bookmarkEnd w:id="518"/>
      <w:bookmarkEnd w:id="519"/>
      <w:bookmarkEnd w:id="520"/>
      <w:r>
        <w:rPr>
          <w:rFonts w:hint="eastAsia" w:cs="宋体"/>
          <w:bCs/>
          <w:color w:val="auto"/>
          <w:sz w:val="24"/>
          <w:szCs w:val="24"/>
          <w:highlight w:val="none"/>
        </w:rPr>
        <w:t>同价</w:t>
      </w:r>
      <w:bookmarkEnd w:id="521"/>
      <w:bookmarkEnd w:id="522"/>
      <w:bookmarkEnd w:id="523"/>
      <w:bookmarkEnd w:id="524"/>
      <w:bookmarkEnd w:id="525"/>
      <w:bookmarkEnd w:id="526"/>
      <w:bookmarkEnd w:id="527"/>
      <w:bookmarkEnd w:id="528"/>
      <w:r>
        <w:rPr>
          <w:rFonts w:hint="eastAsia" w:cs="宋体"/>
          <w:bCs/>
          <w:color w:val="auto"/>
          <w:sz w:val="24"/>
          <w:szCs w:val="24"/>
          <w:highlight w:val="none"/>
        </w:rPr>
        <w:t>格形式</w:t>
      </w:r>
    </w:p>
    <w:bookmarkEnd w:id="529"/>
    <w:bookmarkEnd w:id="530"/>
    <w:bookmarkEnd w:id="531"/>
    <w:bookmarkEnd w:id="532"/>
    <w:bookmarkEnd w:id="533"/>
    <w:bookmarkEnd w:id="534"/>
    <w:p w14:paraId="009CF6B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（1）单价合同。</w:t>
      </w:r>
    </w:p>
    <w:p w14:paraId="4C07F5A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综合单价包含的风险范围：</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5CCE631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风险费用的计算方法：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73E3750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风险范围以外合同价格的调整方法：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6002A57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（2）总价合同。</w:t>
      </w:r>
    </w:p>
    <w:p w14:paraId="231F6DDC">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总价包含的风险范围：</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DCC761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风险费用的计算方法：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4C15907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风险范围以外合同价格的调整方法：</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81974E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（3）其他价格方式：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DA4B183">
      <w:pPr>
        <w:keepNext/>
        <w:keepLines/>
        <w:snapToGrid w:val="0"/>
        <w:spacing w:before="120" w:after="120" w:line="360" w:lineRule="auto"/>
        <w:ind w:firstLine="480" w:firstLineChars="200"/>
        <w:outlineLvl w:val="3"/>
        <w:rPr>
          <w:rFonts w:cs="宋体"/>
          <w:bCs/>
          <w:color w:val="auto"/>
          <w:sz w:val="24"/>
          <w:szCs w:val="24"/>
          <w:highlight w:val="none"/>
        </w:rPr>
      </w:pPr>
      <w:bookmarkStart w:id="535" w:name="_Toc297123554"/>
      <w:bookmarkStart w:id="536" w:name="_Toc297216213"/>
      <w:bookmarkStart w:id="537" w:name="_Toc312678042"/>
      <w:bookmarkStart w:id="538" w:name="_Toc304295581"/>
      <w:bookmarkStart w:id="539" w:name="_Toc303539161"/>
      <w:bookmarkStart w:id="540" w:name="_Toc300935004"/>
      <w:bookmarkStart w:id="541" w:name="_Toc297120507"/>
      <w:bookmarkStart w:id="542" w:name="_Toc296944546"/>
      <w:bookmarkStart w:id="543" w:name="_Toc292559412"/>
      <w:bookmarkStart w:id="544" w:name="_Toc296347206"/>
      <w:bookmarkStart w:id="545" w:name="_Toc296891035"/>
      <w:bookmarkStart w:id="546" w:name="_Toc296503207"/>
      <w:bookmarkStart w:id="547" w:name="_Toc296891247"/>
      <w:bookmarkStart w:id="548" w:name="_Toc297048393"/>
      <w:bookmarkStart w:id="549" w:name="_Toc292559917"/>
      <w:bookmarkStart w:id="550" w:name="_Toc296346708"/>
      <w:r>
        <w:rPr>
          <w:rFonts w:hint="eastAsia" w:cs="宋体"/>
          <w:bCs/>
          <w:color w:val="auto"/>
          <w:sz w:val="24"/>
          <w:szCs w:val="24"/>
          <w:highlight w:val="none"/>
        </w:rPr>
        <w:t>12.2 预付款</w:t>
      </w:r>
    </w:p>
    <w:bookmarkEnd w:id="535"/>
    <w:bookmarkEnd w:id="536"/>
    <w:bookmarkEnd w:id="537"/>
    <w:bookmarkEnd w:id="538"/>
    <w:bookmarkEnd w:id="539"/>
    <w:bookmarkEnd w:id="540"/>
    <w:p w14:paraId="0533462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12.2.1 预付款的支付</w:t>
      </w:r>
    </w:p>
    <w:p w14:paraId="00810DD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预付款支付比例或金额：</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5822C7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预付款支付期限：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4A94ACB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预付款扣回的方式：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2304EE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12.2.2 预付款担保</w:t>
      </w:r>
    </w:p>
    <w:p w14:paraId="4A386F6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提交预付款担保的期限：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47CE6C0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预付款担保的形式为：</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bookmarkEnd w:id="541"/>
    <w:bookmarkEnd w:id="542"/>
    <w:bookmarkEnd w:id="543"/>
    <w:bookmarkEnd w:id="544"/>
    <w:bookmarkEnd w:id="545"/>
    <w:bookmarkEnd w:id="546"/>
    <w:bookmarkEnd w:id="547"/>
    <w:bookmarkEnd w:id="548"/>
    <w:bookmarkEnd w:id="549"/>
    <w:bookmarkEnd w:id="550"/>
    <w:p w14:paraId="44BA701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12.3 计量</w:t>
      </w:r>
    </w:p>
    <w:p w14:paraId="1D3B8DA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12.3.1 计量原则</w:t>
      </w:r>
    </w:p>
    <w:p w14:paraId="3176BE75">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工程量计算规则：</w:t>
      </w:r>
      <w:r>
        <w:rPr>
          <w:rFonts w:hint="eastAsia" w:cs="宋体"/>
          <w:color w:val="auto"/>
          <w:sz w:val="24"/>
          <w:szCs w:val="24"/>
          <w:highlight w:val="none"/>
          <w:u w:val="single"/>
        </w:rPr>
        <w:t>按招标工程量清单及最高投标限价所采用的工程量清单计价规范及配套文件等</w:t>
      </w:r>
      <w:r>
        <w:rPr>
          <w:rFonts w:hint="eastAsia" w:cs="宋体"/>
          <w:b/>
          <w:color w:val="auto"/>
          <w:sz w:val="24"/>
          <w:szCs w:val="24"/>
          <w:highlight w:val="none"/>
        </w:rPr>
        <w:t>。</w:t>
      </w:r>
    </w:p>
    <w:p w14:paraId="3EAAC78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12.3.2 计量周期</w:t>
      </w:r>
    </w:p>
    <w:p w14:paraId="6EBD2DAB">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关于计量周期的约定</w:t>
      </w:r>
      <w:r>
        <w:rPr>
          <w:rFonts w:hint="eastAsia" w:cs="宋体"/>
          <w:b/>
          <w:color w:val="auto"/>
          <w:sz w:val="24"/>
          <w:szCs w:val="24"/>
          <w:highlight w:val="none"/>
        </w:rPr>
        <w:t>：</w:t>
      </w:r>
      <w:r>
        <w:rPr>
          <w:rFonts w:hint="eastAsia" w:cs="宋体"/>
          <w:color w:val="auto"/>
          <w:sz w:val="24"/>
          <w:szCs w:val="24"/>
          <w:highlight w:val="none"/>
          <w:u w:val="single"/>
        </w:rPr>
        <w:t xml:space="preserve">      </w:t>
      </w:r>
      <w:r>
        <w:rPr>
          <w:rFonts w:hint="eastAsia" w:cs="宋体"/>
          <w:b/>
          <w:color w:val="auto"/>
          <w:sz w:val="24"/>
          <w:szCs w:val="24"/>
          <w:highlight w:val="none"/>
        </w:rPr>
        <w:t>。</w:t>
      </w:r>
    </w:p>
    <w:p w14:paraId="7E95D56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12.3.3 单价合同的计量</w:t>
      </w:r>
    </w:p>
    <w:p w14:paraId="7FEB7CA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关于单价合同计量的约定：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4E62B42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12.3.4 总价合同的计量</w:t>
      </w:r>
    </w:p>
    <w:p w14:paraId="1B41126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关于总价合同计量的约定：</w:t>
      </w:r>
      <w:r>
        <w:rPr>
          <w:rFonts w:hint="eastAsia" w:cs="宋体"/>
          <w:color w:val="auto"/>
          <w:sz w:val="24"/>
          <w:szCs w:val="24"/>
          <w:highlight w:val="none"/>
          <w:u w:val="single"/>
        </w:rPr>
        <w:t xml:space="preserve"> </w:t>
      </w:r>
      <w:r>
        <w:rPr>
          <w:rFonts w:hint="eastAsia" w:cs="宋体"/>
          <w:color w:val="FF0000"/>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D207C4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12.3.5 总价合同采用支付分解表计量支付的，是否适用第12.3.4项〔总价合同的计量〕约定进行计量：</w:t>
      </w:r>
      <w:r>
        <w:rPr>
          <w:rFonts w:hint="eastAsia" w:cs="宋体"/>
          <w:color w:val="auto"/>
          <w:sz w:val="24"/>
          <w:szCs w:val="24"/>
          <w:highlight w:val="none"/>
          <w:u w:val="single"/>
        </w:rPr>
        <w:t xml:space="preserve"> </w:t>
      </w:r>
      <w:r>
        <w:rPr>
          <w:rFonts w:hint="eastAsia" w:cs="宋体"/>
          <w:color w:val="FF0000"/>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b/>
          <w:color w:val="auto"/>
          <w:sz w:val="24"/>
          <w:szCs w:val="24"/>
          <w:highlight w:val="none"/>
        </w:rPr>
        <w:t>。</w:t>
      </w:r>
    </w:p>
    <w:p w14:paraId="784636D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12.3.6 其他价格形式合同的计量</w:t>
      </w:r>
    </w:p>
    <w:p w14:paraId="410FE93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其他价格形式的计量方式和程序：</w:t>
      </w:r>
      <w:r>
        <w:rPr>
          <w:rFonts w:hint="eastAsia" w:cs="宋体"/>
          <w:color w:val="auto"/>
          <w:sz w:val="24"/>
          <w:szCs w:val="24"/>
          <w:highlight w:val="none"/>
          <w:u w:val="single"/>
        </w:rPr>
        <w:t xml:space="preserve"> </w:t>
      </w:r>
      <w:r>
        <w:rPr>
          <w:rFonts w:hint="eastAsia" w:cs="宋体"/>
          <w:color w:val="FF0000"/>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C128C34">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12.4 工程进度款支付</w:t>
      </w:r>
    </w:p>
    <w:p w14:paraId="6A0C24C0">
      <w:pPr>
        <w:adjustRightInd w:val="0"/>
        <w:snapToGrid w:val="0"/>
        <w:spacing w:line="360" w:lineRule="auto"/>
        <w:ind w:firstLine="480" w:firstLineChars="200"/>
        <w:rPr>
          <w:rFonts w:cs="宋体"/>
          <w:color w:val="auto"/>
          <w:sz w:val="24"/>
          <w:szCs w:val="24"/>
          <w:highlight w:val="none"/>
        </w:rPr>
      </w:pPr>
      <w:bookmarkStart w:id="551" w:name="_Toc296891251"/>
      <w:bookmarkStart w:id="552" w:name="_Toc292559921"/>
      <w:bookmarkStart w:id="553" w:name="_Toc297123556"/>
      <w:bookmarkStart w:id="554" w:name="_Toc300935006"/>
      <w:bookmarkStart w:id="555" w:name="_Toc296944550"/>
      <w:bookmarkStart w:id="556" w:name="_Toc296346712"/>
      <w:bookmarkStart w:id="557" w:name="_Toc296891039"/>
      <w:bookmarkStart w:id="558" w:name="_Toc297048397"/>
      <w:bookmarkStart w:id="559" w:name="_Toc296347210"/>
      <w:bookmarkStart w:id="560" w:name="_Toc292559416"/>
      <w:bookmarkStart w:id="561" w:name="_Toc297120511"/>
      <w:bookmarkStart w:id="562" w:name="_Toc303539163"/>
      <w:bookmarkStart w:id="563" w:name="_Toc297216215"/>
      <w:bookmarkStart w:id="564" w:name="_Toc296503211"/>
      <w:r>
        <w:rPr>
          <w:rFonts w:hint="eastAsia" w:cs="宋体"/>
          <w:color w:val="auto"/>
          <w:sz w:val="24"/>
          <w:szCs w:val="24"/>
          <w:highlight w:val="none"/>
        </w:rPr>
        <w:t>12.4.1 付款周期</w:t>
      </w:r>
    </w:p>
    <w:p w14:paraId="20979F5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关于付款周期的约定：</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1AFAADF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12.4.2 进度付款申请单的编制</w:t>
      </w:r>
    </w:p>
    <w:p w14:paraId="7C3193F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关于进度付款申请单编制的约定：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245F61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Pr>
          <w:rFonts w:hint="eastAsia" w:cs="宋体"/>
          <w:color w:val="auto"/>
          <w:sz w:val="24"/>
          <w:szCs w:val="24"/>
          <w:highlight w:val="none"/>
        </w:rPr>
        <w:t>2.4.3 进度付款申请单的提交</w:t>
      </w:r>
    </w:p>
    <w:p w14:paraId="469BF40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（1）单价合同进度付款申请单提交的约定：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015D572D">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（2）总价合同进度付款申请单提交的约定：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949208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（3）其他价格形式合同进度付款申请单提交的约定：</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0FF3111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12.4.4 进度款审核和支付</w:t>
      </w:r>
    </w:p>
    <w:p w14:paraId="2C70ECE0">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（1）</w:t>
      </w:r>
      <w:r>
        <w:rPr>
          <w:rFonts w:hint="eastAsia" w:cs="宋体"/>
          <w:color w:val="auto"/>
          <w:sz w:val="24"/>
          <w:szCs w:val="24"/>
          <w:highlight w:val="none"/>
          <w:lang w:val="en-US" w:eastAsia="zh-CN"/>
        </w:rPr>
        <w:t>乙方</w:t>
      </w:r>
      <w:r>
        <w:rPr>
          <w:rFonts w:hint="eastAsia" w:cs="宋体"/>
          <w:color w:val="auto"/>
          <w:sz w:val="24"/>
          <w:szCs w:val="24"/>
          <w:highlight w:val="none"/>
        </w:rPr>
        <w:t>报送</w:t>
      </w:r>
      <w:r>
        <w:rPr>
          <w:rFonts w:hint="eastAsia" w:cs="宋体"/>
          <w:color w:val="auto"/>
          <w:sz w:val="24"/>
          <w:szCs w:val="24"/>
          <w:highlight w:val="none"/>
          <w:lang w:eastAsia="zh-CN"/>
        </w:rPr>
        <w:t>甲方</w:t>
      </w:r>
      <w:r>
        <w:rPr>
          <w:rFonts w:hint="eastAsia" w:cs="宋体"/>
          <w:color w:val="auto"/>
          <w:sz w:val="24"/>
          <w:szCs w:val="24"/>
          <w:highlight w:val="none"/>
        </w:rPr>
        <w:t>的期限：</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341D8CC">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完成审批并签发进度款支付证书的期限：</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0373FA0">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eastAsia="zh-CN"/>
        </w:rPr>
        <w:t>甲方</w:t>
      </w:r>
      <w:r>
        <w:rPr>
          <w:rFonts w:hint="eastAsia" w:cs="宋体"/>
          <w:color w:val="auto"/>
          <w:sz w:val="24"/>
          <w:szCs w:val="24"/>
          <w:highlight w:val="none"/>
        </w:rPr>
        <w:t>支付进度款的期限：</w:t>
      </w:r>
      <w:r>
        <w:rPr>
          <w:rFonts w:hint="eastAsia" w:cs="宋体"/>
          <w:color w:val="auto"/>
          <w:sz w:val="24"/>
          <w:szCs w:val="24"/>
          <w:highlight w:val="none"/>
          <w:u w:val="single"/>
          <w:lang w:val="en-US" w:eastAsia="zh-CN"/>
        </w:rPr>
        <w:t>/</w:t>
      </w:r>
      <w:r>
        <w:rPr>
          <w:rFonts w:hint="eastAsia" w:cs="宋体"/>
          <w:color w:val="auto"/>
          <w:sz w:val="24"/>
          <w:szCs w:val="24"/>
          <w:highlight w:val="none"/>
        </w:rPr>
        <w:t>。</w:t>
      </w:r>
    </w:p>
    <w:p w14:paraId="3A01BE0F">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逾期支付进度款的违约金的计算方式</w:t>
      </w:r>
      <w:r>
        <w:rPr>
          <w:rFonts w:hint="eastAsia" w:cs="宋体"/>
          <w:color w:val="auto"/>
          <w:sz w:val="24"/>
          <w:szCs w:val="24"/>
          <w:highlight w:val="none"/>
          <w:u w:val="single"/>
        </w:rPr>
        <w:t xml:space="preserve">    </w:t>
      </w:r>
      <w:r>
        <w:rPr>
          <w:rFonts w:hint="eastAsia" w:cs="宋体"/>
          <w:color w:val="auto"/>
          <w:sz w:val="24"/>
          <w:szCs w:val="24"/>
          <w:highlight w:val="none"/>
        </w:rPr>
        <w:t>。</w:t>
      </w:r>
    </w:p>
    <w:p w14:paraId="0394BEF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12.4.6 支付分解表的编制</w:t>
      </w:r>
    </w:p>
    <w:p w14:paraId="398341F2">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（2）总价合同支付分解表的编制与审批：</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287A3D6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（3）单价合同的总价项目支付分解表的编制与审批：</w:t>
      </w:r>
      <w:r>
        <w:rPr>
          <w:rFonts w:hint="eastAsia" w:cs="宋体"/>
          <w:color w:val="auto"/>
          <w:sz w:val="24"/>
          <w:szCs w:val="24"/>
          <w:highlight w:val="none"/>
          <w:u w:val="single"/>
        </w:rPr>
        <w:t xml:space="preserve">  /  </w:t>
      </w:r>
      <w:r>
        <w:rPr>
          <w:rFonts w:hint="eastAsia" w:cs="宋体"/>
          <w:color w:val="auto"/>
          <w:sz w:val="24"/>
          <w:szCs w:val="24"/>
          <w:highlight w:val="none"/>
        </w:rPr>
        <w:t>。</w:t>
      </w:r>
    </w:p>
    <w:p w14:paraId="3116EBE3">
      <w:pPr>
        <w:adjustRightInd w:val="0"/>
        <w:snapToGrid w:val="0"/>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12.4.7 农民工工资管理</w:t>
      </w:r>
    </w:p>
    <w:p w14:paraId="496939F9">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（1）</w:t>
      </w:r>
      <w:r>
        <w:rPr>
          <w:rFonts w:hint="eastAsia" w:cs="宋体"/>
          <w:bCs/>
          <w:color w:val="auto"/>
          <w:sz w:val="24"/>
          <w:szCs w:val="24"/>
          <w:highlight w:val="none"/>
        </w:rPr>
        <w:t>本工程农民工工资实行专用账户管理，</w:t>
      </w:r>
      <w:r>
        <w:rPr>
          <w:rFonts w:hint="eastAsia" w:cs="宋体"/>
          <w:bCs/>
          <w:color w:val="auto"/>
          <w:sz w:val="24"/>
          <w:szCs w:val="24"/>
          <w:highlight w:val="none"/>
          <w:lang w:eastAsia="zh-CN"/>
        </w:rPr>
        <w:t>乙方</w:t>
      </w:r>
      <w:r>
        <w:rPr>
          <w:rFonts w:hint="eastAsia" w:cs="宋体"/>
          <w:bCs/>
          <w:color w:val="auto"/>
          <w:sz w:val="24"/>
          <w:szCs w:val="24"/>
          <w:highlight w:val="none"/>
        </w:rPr>
        <w:t>设立的专用账户开户行为</w:t>
      </w:r>
      <w:r>
        <w:rPr>
          <w:rFonts w:hint="eastAsia" w:cs="宋体"/>
          <w:bCs/>
          <w:color w:val="auto"/>
          <w:sz w:val="24"/>
          <w:szCs w:val="24"/>
          <w:highlight w:val="none"/>
          <w:u w:val="single"/>
        </w:rPr>
        <w:t xml:space="preserve">：        </w:t>
      </w:r>
      <w:r>
        <w:rPr>
          <w:rFonts w:hint="eastAsia" w:cs="宋体"/>
          <w:bCs/>
          <w:color w:val="auto"/>
          <w:sz w:val="24"/>
          <w:szCs w:val="24"/>
          <w:highlight w:val="none"/>
        </w:rPr>
        <w:t>，账号：</w:t>
      </w:r>
      <w:r>
        <w:rPr>
          <w:rFonts w:hint="eastAsia" w:cs="宋体"/>
          <w:bCs/>
          <w:color w:val="auto"/>
          <w:sz w:val="24"/>
          <w:szCs w:val="24"/>
          <w:highlight w:val="none"/>
          <w:u w:val="single"/>
        </w:rPr>
        <w:t xml:space="preserve">              </w:t>
      </w:r>
      <w:r>
        <w:rPr>
          <w:rFonts w:hint="eastAsia" w:cs="宋体"/>
          <w:bCs/>
          <w:color w:val="auto"/>
          <w:sz w:val="24"/>
          <w:szCs w:val="24"/>
          <w:highlight w:val="none"/>
        </w:rPr>
        <w:t>;</w:t>
      </w:r>
    </w:p>
    <w:p w14:paraId="48DBBC3C">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（2）</w:t>
      </w:r>
      <w:r>
        <w:rPr>
          <w:rFonts w:hint="eastAsia" w:cs="宋体"/>
          <w:bCs/>
          <w:color w:val="auto"/>
          <w:sz w:val="24"/>
          <w:szCs w:val="24"/>
          <w:highlight w:val="none"/>
        </w:rPr>
        <w:t>本工程工资性工程款</w:t>
      </w:r>
      <w:r>
        <w:rPr>
          <w:rFonts w:hint="eastAsia" w:cs="宋体"/>
          <w:bCs/>
          <w:color w:val="auto"/>
          <w:sz w:val="24"/>
          <w:szCs w:val="24"/>
          <w:highlight w:val="none"/>
          <w:u w:val="single"/>
        </w:rPr>
        <w:t xml:space="preserve">         </w:t>
      </w:r>
      <w:r>
        <w:rPr>
          <w:rFonts w:hint="eastAsia" w:cs="宋体"/>
          <w:bCs/>
          <w:color w:val="auto"/>
          <w:sz w:val="24"/>
          <w:szCs w:val="24"/>
          <w:highlight w:val="none"/>
        </w:rPr>
        <w:t>元。</w:t>
      </w:r>
    </w:p>
    <w:p w14:paraId="04DF44BF">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（3）</w:t>
      </w:r>
      <w:r>
        <w:rPr>
          <w:rFonts w:hint="eastAsia" w:cs="宋体"/>
          <w:bCs/>
          <w:color w:val="auto"/>
          <w:sz w:val="24"/>
          <w:szCs w:val="24"/>
          <w:highlight w:val="none"/>
          <w:lang w:eastAsia="zh-CN"/>
        </w:rPr>
        <w:t>甲方</w:t>
      </w:r>
      <w:r>
        <w:rPr>
          <w:rFonts w:hint="eastAsia" w:cs="宋体"/>
          <w:bCs/>
          <w:color w:val="auto"/>
          <w:sz w:val="24"/>
          <w:szCs w:val="24"/>
          <w:highlight w:val="none"/>
        </w:rPr>
        <w:t>于每月25日前将工资性工程进度款转入农民工工资专用账户。</w:t>
      </w:r>
    </w:p>
    <w:p w14:paraId="6D7513D7">
      <w:pPr>
        <w:adjustRightInd w:val="0"/>
        <w:snapToGrid w:val="0"/>
        <w:spacing w:line="360" w:lineRule="auto"/>
        <w:ind w:firstLine="480" w:firstLineChars="200"/>
        <w:rPr>
          <w:rFonts w:cs="宋体"/>
          <w:bCs/>
          <w:color w:val="auto"/>
          <w:sz w:val="24"/>
          <w:szCs w:val="24"/>
          <w:highlight w:val="none"/>
        </w:rPr>
      </w:pPr>
      <w:r>
        <w:rPr>
          <w:rFonts w:hint="eastAsia" w:cs="宋体"/>
          <w:color w:val="auto"/>
          <w:sz w:val="24"/>
          <w:szCs w:val="24"/>
          <w:highlight w:val="none"/>
        </w:rPr>
        <w:t>（4）</w:t>
      </w:r>
      <w:r>
        <w:rPr>
          <w:rFonts w:hint="eastAsia" w:cs="宋体"/>
          <w:bCs/>
          <w:color w:val="auto"/>
          <w:sz w:val="24"/>
          <w:szCs w:val="24"/>
          <w:highlight w:val="none"/>
          <w:lang w:eastAsia="zh-CN"/>
        </w:rPr>
        <w:t>乙方</w:t>
      </w:r>
      <w:r>
        <w:rPr>
          <w:rFonts w:hint="eastAsia" w:cs="宋体"/>
          <w:bCs/>
          <w:color w:val="auto"/>
          <w:sz w:val="24"/>
          <w:szCs w:val="24"/>
          <w:highlight w:val="none"/>
        </w:rPr>
        <w:t>每月25日前上报本工程农民工工资清单，每月10日前委托开设农民工工资专用账户的银行支付农民工工资。</w:t>
      </w:r>
    </w:p>
    <w:p w14:paraId="0A213458">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（5）</w:t>
      </w:r>
      <w:r>
        <w:rPr>
          <w:rFonts w:hint="eastAsia" w:cs="宋体"/>
          <w:bCs/>
          <w:color w:val="auto"/>
          <w:sz w:val="24"/>
          <w:szCs w:val="24"/>
          <w:highlight w:val="none"/>
        </w:rPr>
        <w:t>工程</w:t>
      </w:r>
      <w:r>
        <w:rPr>
          <w:rFonts w:hint="eastAsia" w:cs="宋体"/>
          <w:bCs/>
          <w:color w:val="auto"/>
          <w:sz w:val="24"/>
          <w:szCs w:val="24"/>
          <w:highlight w:val="none"/>
          <w:lang w:eastAsia="zh-CN"/>
        </w:rPr>
        <w:t>完工</w:t>
      </w:r>
      <w:r>
        <w:rPr>
          <w:rFonts w:hint="eastAsia" w:cs="宋体"/>
          <w:bCs/>
          <w:color w:val="auto"/>
          <w:sz w:val="24"/>
          <w:szCs w:val="24"/>
          <w:highlight w:val="none"/>
        </w:rPr>
        <w:t>后，经项目部农民工维权组确认无农民工工资拖欠后，发、承双方办理农民工工资专用账户撤销手续，农民工工资专用账户余额划至本合同约定的</w:t>
      </w:r>
      <w:r>
        <w:rPr>
          <w:rFonts w:hint="eastAsia" w:cs="宋体"/>
          <w:bCs/>
          <w:color w:val="auto"/>
          <w:sz w:val="24"/>
          <w:szCs w:val="24"/>
          <w:highlight w:val="none"/>
          <w:lang w:eastAsia="zh-CN"/>
        </w:rPr>
        <w:t>乙方</w:t>
      </w:r>
      <w:r>
        <w:rPr>
          <w:rFonts w:hint="eastAsia" w:cs="宋体"/>
          <w:bCs/>
          <w:color w:val="auto"/>
          <w:sz w:val="24"/>
          <w:szCs w:val="24"/>
          <w:highlight w:val="none"/>
        </w:rPr>
        <w:t>账户。</w:t>
      </w:r>
    </w:p>
    <w:bookmarkEnd w:id="394"/>
    <w:p w14:paraId="4A30EFE0">
      <w:pPr>
        <w:snapToGrid w:val="0"/>
        <w:spacing w:before="312" w:beforeLines="100" w:after="312" w:afterLines="100" w:line="360" w:lineRule="auto"/>
        <w:outlineLvl w:val="2"/>
        <w:rPr>
          <w:rFonts w:cs="宋体"/>
          <w:color w:val="auto"/>
          <w:sz w:val="24"/>
          <w:szCs w:val="24"/>
          <w:highlight w:val="none"/>
        </w:rPr>
      </w:pPr>
      <w:bookmarkStart w:id="565" w:name="_Toc351203645"/>
      <w:bookmarkStart w:id="566" w:name="_Toc296503219"/>
      <w:bookmarkStart w:id="567" w:name="_Toc296891259"/>
      <w:bookmarkStart w:id="568" w:name="_Toc303539172"/>
      <w:bookmarkStart w:id="569" w:name="_Toc297120519"/>
      <w:bookmarkStart w:id="570" w:name="_Toc296346720"/>
      <w:bookmarkStart w:id="571" w:name="_Toc296944558"/>
      <w:bookmarkStart w:id="572" w:name="_Toc304295593"/>
      <w:bookmarkStart w:id="573" w:name="_Toc296347218"/>
      <w:bookmarkStart w:id="574" w:name="_Toc300935015"/>
      <w:bookmarkStart w:id="575" w:name="_Toc312678053"/>
      <w:bookmarkStart w:id="576" w:name="_Toc292559424"/>
      <w:bookmarkStart w:id="577" w:name="_Toc296891047"/>
      <w:bookmarkStart w:id="578" w:name="_Toc292559929"/>
      <w:bookmarkStart w:id="579" w:name="_Toc297123564"/>
      <w:bookmarkStart w:id="580" w:name="_Toc297048405"/>
      <w:bookmarkStart w:id="581" w:name="_Toc297216223"/>
      <w:r>
        <w:rPr>
          <w:rFonts w:hint="eastAsia" w:cs="宋体"/>
          <w:color w:val="auto"/>
          <w:sz w:val="24"/>
          <w:szCs w:val="24"/>
          <w:highlight w:val="none"/>
        </w:rPr>
        <w:t>13. 验收和工程试车</w:t>
      </w:r>
      <w:bookmarkEnd w:id="565"/>
    </w:p>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14:paraId="6DD975AB">
      <w:pPr>
        <w:keepNext/>
        <w:keepLines/>
        <w:snapToGrid w:val="0"/>
        <w:spacing w:before="120" w:after="120" w:line="360" w:lineRule="auto"/>
        <w:jc w:val="left"/>
        <w:outlineLvl w:val="2"/>
        <w:rPr>
          <w:rFonts w:cs="宋体"/>
          <w:bCs/>
          <w:color w:val="auto"/>
          <w:sz w:val="24"/>
          <w:szCs w:val="24"/>
          <w:highlight w:val="none"/>
        </w:rPr>
      </w:pPr>
      <w:r>
        <w:rPr>
          <w:rFonts w:hint="eastAsia" w:cs="宋体"/>
          <w:bCs/>
          <w:color w:val="auto"/>
          <w:sz w:val="24"/>
          <w:szCs w:val="24"/>
          <w:highlight w:val="none"/>
        </w:rPr>
        <w:t>13.1 分部分项工程验收</w:t>
      </w:r>
    </w:p>
    <w:p w14:paraId="4A870FA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13.1.2 </w:t>
      </w:r>
      <w:r>
        <w:rPr>
          <w:rFonts w:hint="eastAsia" w:cs="宋体"/>
          <w:color w:val="auto"/>
          <w:sz w:val="24"/>
          <w:szCs w:val="24"/>
          <w:highlight w:val="none"/>
          <w:lang w:val="en-US" w:eastAsia="zh-CN"/>
        </w:rPr>
        <w:t>甲方</w:t>
      </w:r>
      <w:r>
        <w:rPr>
          <w:rFonts w:hint="eastAsia" w:cs="宋体"/>
          <w:color w:val="auto"/>
          <w:sz w:val="24"/>
          <w:szCs w:val="24"/>
          <w:highlight w:val="none"/>
        </w:rPr>
        <w:t>不能按时进行验收时，应提前</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小时提交书面延期要求。</w:t>
      </w:r>
    </w:p>
    <w:p w14:paraId="2D57B963">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关于延期最长不得超过：</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小时。</w:t>
      </w:r>
    </w:p>
    <w:p w14:paraId="2D3D1188">
      <w:pPr>
        <w:keepNext/>
        <w:keepLines/>
        <w:snapToGrid w:val="0"/>
        <w:spacing w:before="120" w:after="120" w:line="360" w:lineRule="auto"/>
        <w:ind w:firstLine="480" w:firstLineChars="200"/>
        <w:outlineLvl w:val="3"/>
        <w:rPr>
          <w:rFonts w:cs="宋体"/>
          <w:bCs/>
          <w:color w:val="auto"/>
          <w:sz w:val="24"/>
          <w:szCs w:val="24"/>
          <w:highlight w:val="none"/>
        </w:rPr>
      </w:pPr>
      <w:bookmarkStart w:id="582" w:name="_Toc296891051"/>
      <w:bookmarkStart w:id="583" w:name="_Toc297216224"/>
      <w:bookmarkStart w:id="584" w:name="_Toc297048409"/>
      <w:bookmarkStart w:id="585" w:name="_Toc296503223"/>
      <w:bookmarkStart w:id="586" w:name="_Toc303539173"/>
      <w:bookmarkStart w:id="587" w:name="_Toc312678056"/>
      <w:bookmarkStart w:id="588" w:name="_Toc296891263"/>
      <w:bookmarkStart w:id="589" w:name="_Toc296346724"/>
      <w:bookmarkStart w:id="590" w:name="_Toc297120523"/>
      <w:bookmarkStart w:id="591" w:name="_Toc300935016"/>
      <w:bookmarkStart w:id="592" w:name="_Toc292559933"/>
      <w:bookmarkStart w:id="593" w:name="_Toc304295596"/>
      <w:bookmarkStart w:id="594" w:name="_Toc292559428"/>
      <w:bookmarkStart w:id="595" w:name="_Toc297123565"/>
      <w:bookmarkStart w:id="596" w:name="_Toc296347222"/>
      <w:bookmarkStart w:id="597" w:name="_Toc296944562"/>
      <w:bookmarkStart w:id="598" w:name="_Toc267251475"/>
      <w:bookmarkStart w:id="599" w:name="_Toc267251476"/>
      <w:bookmarkStart w:id="600" w:name="_Toc267251473"/>
      <w:bookmarkStart w:id="601" w:name="_Toc267251472"/>
      <w:bookmarkStart w:id="602" w:name="_Toc267251474"/>
      <w:bookmarkStart w:id="603" w:name="_Toc267251471"/>
      <w:bookmarkStart w:id="604" w:name="_Toc267251470"/>
      <w:r>
        <w:rPr>
          <w:rFonts w:hint="eastAsia" w:cs="宋体"/>
          <w:bCs/>
          <w:color w:val="auto"/>
          <w:sz w:val="24"/>
          <w:szCs w:val="24"/>
          <w:highlight w:val="none"/>
        </w:rPr>
        <w:t xml:space="preserve">13.2 </w:t>
      </w:r>
      <w:r>
        <w:rPr>
          <w:rFonts w:hint="eastAsia" w:cs="宋体"/>
          <w:bCs/>
          <w:color w:val="auto"/>
          <w:sz w:val="24"/>
          <w:szCs w:val="24"/>
          <w:highlight w:val="none"/>
          <w:lang w:eastAsia="zh-CN"/>
        </w:rPr>
        <w:t>完工</w:t>
      </w:r>
      <w:r>
        <w:rPr>
          <w:rFonts w:hint="eastAsia" w:cs="宋体"/>
          <w:bCs/>
          <w:color w:val="auto"/>
          <w:sz w:val="24"/>
          <w:szCs w:val="24"/>
          <w:highlight w:val="none"/>
        </w:rPr>
        <w:t>验收</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61E9008E">
      <w:pPr>
        <w:adjustRightInd w:val="0"/>
        <w:snapToGrid w:val="0"/>
        <w:spacing w:line="360" w:lineRule="auto"/>
        <w:ind w:firstLine="480" w:firstLineChars="200"/>
        <w:rPr>
          <w:rFonts w:cs="宋体"/>
          <w:color w:val="auto"/>
          <w:sz w:val="24"/>
          <w:szCs w:val="24"/>
          <w:highlight w:val="none"/>
        </w:rPr>
      </w:pPr>
      <w:bookmarkStart w:id="605" w:name="_Toc280868704"/>
      <w:bookmarkStart w:id="606" w:name="_Toc280868705"/>
      <w:bookmarkStart w:id="607" w:name="_Toc280868706"/>
      <w:bookmarkStart w:id="608" w:name="_Toc280868707"/>
      <w:bookmarkStart w:id="609" w:name="_Toc280868708"/>
      <w:bookmarkStart w:id="610" w:name="_Toc280868709"/>
      <w:r>
        <w:rPr>
          <w:rFonts w:hint="eastAsia" w:cs="宋体"/>
          <w:color w:val="auto"/>
          <w:sz w:val="24"/>
          <w:szCs w:val="24"/>
          <w:highlight w:val="none"/>
        </w:rPr>
        <w:t xml:space="preserve">13.2.2 </w:t>
      </w:r>
      <w:r>
        <w:rPr>
          <w:rFonts w:hint="eastAsia" w:cs="宋体"/>
          <w:color w:val="auto"/>
          <w:sz w:val="24"/>
          <w:szCs w:val="24"/>
          <w:highlight w:val="none"/>
          <w:lang w:eastAsia="zh-CN"/>
        </w:rPr>
        <w:t>完工</w:t>
      </w:r>
      <w:r>
        <w:rPr>
          <w:rFonts w:hint="eastAsia" w:cs="宋体"/>
          <w:color w:val="auto"/>
          <w:sz w:val="24"/>
          <w:szCs w:val="24"/>
          <w:highlight w:val="none"/>
        </w:rPr>
        <w:t>验收程序</w:t>
      </w:r>
    </w:p>
    <w:bookmarkEnd w:id="605"/>
    <w:p w14:paraId="31CF12C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完工</w:t>
      </w:r>
      <w:r>
        <w:rPr>
          <w:rFonts w:hint="eastAsia" w:cs="宋体"/>
          <w:color w:val="auto"/>
          <w:sz w:val="24"/>
          <w:szCs w:val="24"/>
          <w:highlight w:val="none"/>
        </w:rPr>
        <w:t>验收程序的约定：</w:t>
      </w:r>
      <w:r>
        <w:rPr>
          <w:rFonts w:hint="eastAsia" w:cs="宋体"/>
          <w:color w:val="auto"/>
          <w:sz w:val="24"/>
          <w:szCs w:val="24"/>
          <w:highlight w:val="none"/>
          <w:u w:val="single"/>
        </w:rPr>
        <w:t>执行通用条款</w:t>
      </w:r>
      <w:r>
        <w:rPr>
          <w:rFonts w:hint="eastAsia" w:cs="宋体"/>
          <w:color w:val="auto"/>
          <w:sz w:val="24"/>
          <w:szCs w:val="24"/>
          <w:highlight w:val="none"/>
        </w:rPr>
        <w:t>。</w:t>
      </w:r>
    </w:p>
    <w:p w14:paraId="6A97F0F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不按照本项约定组织</w:t>
      </w:r>
      <w:r>
        <w:rPr>
          <w:rFonts w:hint="eastAsia" w:cs="宋体"/>
          <w:color w:val="auto"/>
          <w:sz w:val="24"/>
          <w:szCs w:val="24"/>
          <w:highlight w:val="none"/>
          <w:lang w:eastAsia="zh-CN"/>
        </w:rPr>
        <w:t>完工</w:t>
      </w:r>
      <w:r>
        <w:rPr>
          <w:rFonts w:hint="eastAsia" w:cs="宋体"/>
          <w:color w:val="auto"/>
          <w:sz w:val="24"/>
          <w:szCs w:val="24"/>
          <w:highlight w:val="none"/>
        </w:rPr>
        <w:t>验收、颁发工程接收证书的违约金的计算方法：</w:t>
      </w:r>
      <w:r>
        <w:rPr>
          <w:rFonts w:hint="eastAsia" w:cs="宋体"/>
          <w:color w:val="auto"/>
          <w:sz w:val="24"/>
          <w:szCs w:val="24"/>
          <w:highlight w:val="none"/>
          <w:u w:val="single"/>
        </w:rPr>
        <w:t>执行通用条款</w:t>
      </w:r>
      <w:r>
        <w:rPr>
          <w:rFonts w:hint="eastAsia" w:cs="宋体"/>
          <w:color w:val="auto"/>
          <w:sz w:val="24"/>
          <w:szCs w:val="24"/>
          <w:highlight w:val="none"/>
        </w:rPr>
        <w:t>。</w:t>
      </w:r>
    </w:p>
    <w:bookmarkEnd w:id="606"/>
    <w:p w14:paraId="549508C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13.2.5 移交、接收全部与部分工程</w:t>
      </w:r>
    </w:p>
    <w:bookmarkEnd w:id="607"/>
    <w:p w14:paraId="611D0F8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向</w:t>
      </w:r>
      <w:r>
        <w:rPr>
          <w:rFonts w:hint="eastAsia" w:cs="宋体"/>
          <w:color w:val="auto"/>
          <w:sz w:val="24"/>
          <w:szCs w:val="24"/>
          <w:highlight w:val="none"/>
          <w:lang w:eastAsia="zh-CN"/>
        </w:rPr>
        <w:t>甲方</w:t>
      </w:r>
      <w:r>
        <w:rPr>
          <w:rFonts w:hint="eastAsia" w:cs="宋体"/>
          <w:color w:val="auto"/>
          <w:sz w:val="24"/>
          <w:szCs w:val="24"/>
          <w:highlight w:val="none"/>
        </w:rPr>
        <w:t>移交工程的期限：</w:t>
      </w:r>
      <w:r>
        <w:rPr>
          <w:rFonts w:hint="eastAsia" w:cs="宋体"/>
          <w:color w:val="auto"/>
          <w:sz w:val="24"/>
          <w:szCs w:val="24"/>
          <w:highlight w:val="none"/>
          <w:u w:val="single"/>
        </w:rPr>
        <w:t>颁发工程接收证书后7天内完成工程的移交</w:t>
      </w:r>
      <w:r>
        <w:rPr>
          <w:rFonts w:hint="eastAsia" w:cs="宋体"/>
          <w:color w:val="auto"/>
          <w:sz w:val="24"/>
          <w:szCs w:val="24"/>
          <w:highlight w:val="none"/>
        </w:rPr>
        <w:t>。</w:t>
      </w:r>
    </w:p>
    <w:p w14:paraId="6B7F1D7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未按本合同约定接收全部或部分工程的，违约金的计算方法为：</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自应当接收工程之日起，承担工程照管、成品保护、保管等与工程有关的各项费用</w:t>
      </w:r>
      <w:r>
        <w:rPr>
          <w:rFonts w:hint="eastAsia" w:cs="宋体"/>
          <w:color w:val="auto"/>
          <w:sz w:val="24"/>
          <w:szCs w:val="24"/>
          <w:highlight w:val="none"/>
        </w:rPr>
        <w:t>。</w:t>
      </w:r>
    </w:p>
    <w:bookmarkEnd w:id="608"/>
    <w:p w14:paraId="408AF5D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未按时移交工程的，违约金的计算方法为：</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应承担工程照管、成品保护、保管等与工程有关的各项费用</w:t>
      </w:r>
      <w:r>
        <w:rPr>
          <w:rFonts w:hint="eastAsia" w:cs="宋体"/>
          <w:color w:val="auto"/>
          <w:sz w:val="24"/>
          <w:szCs w:val="24"/>
          <w:highlight w:val="none"/>
        </w:rPr>
        <w:t>。</w:t>
      </w:r>
    </w:p>
    <w:p w14:paraId="4F7AA05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13.3 工程试车</w:t>
      </w:r>
    </w:p>
    <w:bookmarkEnd w:id="609"/>
    <w:p w14:paraId="0EF7B52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13.3.1 试车程序</w:t>
      </w:r>
    </w:p>
    <w:p w14:paraId="5948B6DD">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工程试车内容：</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9C48B0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（1）单机无负荷试车费用由</w:t>
      </w:r>
      <w:r>
        <w:rPr>
          <w:rFonts w:hint="eastAsia" w:cs="宋体"/>
          <w:color w:val="auto"/>
          <w:sz w:val="24"/>
          <w:szCs w:val="24"/>
          <w:highlight w:val="none"/>
          <w:u w:val="single"/>
        </w:rPr>
        <w:t>试车消耗的生产性原材料由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承担；试车其他费用（包括试车所需水电油等费用）由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在投标报价中综合考虑并</w:t>
      </w:r>
      <w:r>
        <w:rPr>
          <w:rFonts w:hint="eastAsia" w:cs="宋体"/>
          <w:color w:val="auto"/>
          <w:sz w:val="24"/>
          <w:szCs w:val="24"/>
          <w:highlight w:val="none"/>
        </w:rPr>
        <w:t>承担；</w:t>
      </w:r>
    </w:p>
    <w:p w14:paraId="1F13173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（2）无负荷联动试车费用由</w:t>
      </w:r>
      <w:r>
        <w:rPr>
          <w:rFonts w:hint="eastAsia" w:cs="宋体"/>
          <w:color w:val="auto"/>
          <w:sz w:val="24"/>
          <w:szCs w:val="24"/>
          <w:highlight w:val="none"/>
          <w:u w:val="single"/>
        </w:rPr>
        <w:t>试车消耗的生产性原材料由</w:t>
      </w:r>
      <w:r>
        <w:rPr>
          <w:rFonts w:hint="eastAsia" w:cs="宋体"/>
          <w:color w:val="auto"/>
          <w:sz w:val="24"/>
          <w:szCs w:val="24"/>
          <w:highlight w:val="none"/>
          <w:u w:val="single"/>
          <w:lang w:eastAsia="zh-CN"/>
        </w:rPr>
        <w:t>甲方</w:t>
      </w:r>
      <w:r>
        <w:rPr>
          <w:rFonts w:hint="eastAsia" w:cs="宋体"/>
          <w:color w:val="auto"/>
          <w:sz w:val="24"/>
          <w:szCs w:val="24"/>
          <w:highlight w:val="none"/>
          <w:u w:val="single"/>
        </w:rPr>
        <w:t>承担；试车其他费用（包括试车所需水电油等费用）由</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在投标报价中综合考虑并</w:t>
      </w:r>
      <w:r>
        <w:rPr>
          <w:rFonts w:hint="eastAsia" w:cs="宋体"/>
          <w:color w:val="auto"/>
          <w:sz w:val="24"/>
          <w:szCs w:val="24"/>
          <w:highlight w:val="none"/>
        </w:rPr>
        <w:t>承担。</w:t>
      </w:r>
    </w:p>
    <w:p w14:paraId="5ECE551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13.3.3 投料试车</w:t>
      </w:r>
    </w:p>
    <w:p w14:paraId="18E9A1DA">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关于投料试车相关事项的约定：</w:t>
      </w:r>
      <w:r>
        <w:rPr>
          <w:rFonts w:hint="eastAsia" w:cs="宋体"/>
          <w:color w:val="auto"/>
          <w:sz w:val="24"/>
          <w:szCs w:val="24"/>
          <w:highlight w:val="none"/>
          <w:u w:val="single"/>
        </w:rPr>
        <w:t>执行通用条款</w:t>
      </w:r>
      <w:r>
        <w:rPr>
          <w:rFonts w:hint="eastAsia" w:cs="宋体"/>
          <w:color w:val="auto"/>
          <w:sz w:val="24"/>
          <w:szCs w:val="24"/>
          <w:highlight w:val="none"/>
        </w:rPr>
        <w:t>。</w:t>
      </w:r>
    </w:p>
    <w:p w14:paraId="66E5A85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13.6 </w:t>
      </w:r>
      <w:r>
        <w:rPr>
          <w:rFonts w:hint="eastAsia" w:cs="宋体"/>
          <w:bCs/>
          <w:color w:val="auto"/>
          <w:sz w:val="24"/>
          <w:szCs w:val="24"/>
          <w:highlight w:val="none"/>
          <w:lang w:eastAsia="zh-CN"/>
        </w:rPr>
        <w:t>完工</w:t>
      </w:r>
      <w:r>
        <w:rPr>
          <w:rFonts w:hint="eastAsia" w:cs="宋体"/>
          <w:bCs/>
          <w:color w:val="auto"/>
          <w:sz w:val="24"/>
          <w:szCs w:val="24"/>
          <w:highlight w:val="none"/>
        </w:rPr>
        <w:t>退场</w:t>
      </w:r>
    </w:p>
    <w:p w14:paraId="3F91A2E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13.6.1 </w:t>
      </w:r>
      <w:r>
        <w:rPr>
          <w:rFonts w:hint="eastAsia" w:cs="宋体"/>
          <w:color w:val="auto"/>
          <w:sz w:val="24"/>
          <w:szCs w:val="24"/>
          <w:highlight w:val="none"/>
          <w:lang w:eastAsia="zh-CN"/>
        </w:rPr>
        <w:t>完工</w:t>
      </w:r>
      <w:r>
        <w:rPr>
          <w:rFonts w:hint="eastAsia" w:cs="宋体"/>
          <w:color w:val="auto"/>
          <w:sz w:val="24"/>
          <w:szCs w:val="24"/>
          <w:highlight w:val="none"/>
        </w:rPr>
        <w:t>退场</w:t>
      </w:r>
    </w:p>
    <w:p w14:paraId="3C98B2D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完成</w:t>
      </w:r>
      <w:r>
        <w:rPr>
          <w:rFonts w:hint="eastAsia" w:cs="宋体"/>
          <w:color w:val="auto"/>
          <w:sz w:val="24"/>
          <w:szCs w:val="24"/>
          <w:highlight w:val="none"/>
          <w:lang w:eastAsia="zh-CN"/>
        </w:rPr>
        <w:t>完工</w:t>
      </w:r>
      <w:r>
        <w:rPr>
          <w:rFonts w:hint="eastAsia" w:cs="宋体"/>
          <w:color w:val="auto"/>
          <w:sz w:val="24"/>
          <w:szCs w:val="24"/>
          <w:highlight w:val="none"/>
        </w:rPr>
        <w:t>退场的期限：</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3259D3D">
      <w:pPr>
        <w:snapToGrid w:val="0"/>
        <w:spacing w:before="312" w:beforeLines="100" w:after="312" w:afterLines="100" w:line="360" w:lineRule="auto"/>
        <w:outlineLvl w:val="2"/>
        <w:rPr>
          <w:rFonts w:cs="宋体"/>
          <w:color w:val="auto"/>
          <w:sz w:val="24"/>
          <w:szCs w:val="24"/>
          <w:highlight w:val="none"/>
        </w:rPr>
      </w:pPr>
      <w:bookmarkStart w:id="611" w:name="_Toc351203646"/>
      <w:r>
        <w:rPr>
          <w:rFonts w:hint="eastAsia" w:cs="宋体"/>
          <w:color w:val="auto"/>
          <w:sz w:val="24"/>
          <w:szCs w:val="24"/>
          <w:highlight w:val="none"/>
        </w:rPr>
        <w:t xml:space="preserve">14. </w:t>
      </w:r>
      <w:r>
        <w:rPr>
          <w:rFonts w:hint="eastAsia" w:cs="宋体"/>
          <w:color w:val="auto"/>
          <w:sz w:val="24"/>
          <w:szCs w:val="24"/>
          <w:highlight w:val="none"/>
          <w:lang w:eastAsia="zh-CN"/>
        </w:rPr>
        <w:t>完工</w:t>
      </w:r>
      <w:r>
        <w:rPr>
          <w:rFonts w:hint="eastAsia" w:cs="宋体"/>
          <w:color w:val="auto"/>
          <w:sz w:val="24"/>
          <w:szCs w:val="24"/>
          <w:highlight w:val="none"/>
        </w:rPr>
        <w:t>结算</w:t>
      </w:r>
      <w:bookmarkEnd w:id="611"/>
    </w:p>
    <w:p w14:paraId="2F3D4293">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14.1 </w:t>
      </w:r>
      <w:r>
        <w:rPr>
          <w:rFonts w:hint="eastAsia" w:cs="宋体"/>
          <w:bCs/>
          <w:color w:val="auto"/>
          <w:sz w:val="24"/>
          <w:szCs w:val="24"/>
          <w:highlight w:val="none"/>
          <w:lang w:eastAsia="zh-CN"/>
        </w:rPr>
        <w:t>完工</w:t>
      </w:r>
      <w:r>
        <w:rPr>
          <w:rFonts w:hint="eastAsia" w:cs="宋体"/>
          <w:bCs/>
          <w:color w:val="auto"/>
          <w:sz w:val="24"/>
          <w:szCs w:val="24"/>
          <w:highlight w:val="none"/>
        </w:rPr>
        <w:t>结算申请</w:t>
      </w:r>
    </w:p>
    <w:p w14:paraId="1CF43CC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w:t>
      </w:r>
      <w:r>
        <w:rPr>
          <w:rFonts w:hint="eastAsia" w:cs="宋体"/>
          <w:color w:val="auto"/>
          <w:sz w:val="24"/>
          <w:szCs w:val="24"/>
          <w:highlight w:val="none"/>
          <w:lang w:eastAsia="zh-CN"/>
        </w:rPr>
        <w:t>完工</w:t>
      </w:r>
      <w:r>
        <w:rPr>
          <w:rFonts w:hint="eastAsia" w:cs="宋体"/>
          <w:color w:val="auto"/>
          <w:sz w:val="24"/>
          <w:szCs w:val="24"/>
          <w:highlight w:val="none"/>
        </w:rPr>
        <w:t>结算申请单的期限：</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应在工程</w:t>
      </w:r>
      <w:r>
        <w:rPr>
          <w:rFonts w:hint="eastAsia" w:cs="宋体"/>
          <w:color w:val="auto"/>
          <w:sz w:val="24"/>
          <w:szCs w:val="24"/>
          <w:highlight w:val="none"/>
          <w:u w:val="single"/>
          <w:lang w:eastAsia="zh-CN"/>
        </w:rPr>
        <w:t>完工</w:t>
      </w:r>
      <w:r>
        <w:rPr>
          <w:rFonts w:hint="eastAsia" w:cs="宋体"/>
          <w:color w:val="auto"/>
          <w:sz w:val="24"/>
          <w:szCs w:val="24"/>
          <w:highlight w:val="none"/>
          <w:u w:val="single"/>
        </w:rPr>
        <w:t>验收合格后28天内</w:t>
      </w:r>
      <w:r>
        <w:rPr>
          <w:rFonts w:hint="eastAsia" w:cs="宋体"/>
          <w:color w:val="auto"/>
          <w:sz w:val="24"/>
          <w:szCs w:val="24"/>
          <w:highlight w:val="none"/>
        </w:rPr>
        <w:t>。</w:t>
      </w:r>
    </w:p>
    <w:p w14:paraId="3C788D7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完工</w:t>
      </w:r>
      <w:r>
        <w:rPr>
          <w:rFonts w:hint="eastAsia" w:cs="宋体"/>
          <w:color w:val="auto"/>
          <w:sz w:val="24"/>
          <w:szCs w:val="24"/>
          <w:highlight w:val="none"/>
        </w:rPr>
        <w:t>结算申请单应包括的内容：</w:t>
      </w:r>
      <w:r>
        <w:rPr>
          <w:rFonts w:hint="eastAsia" w:cs="宋体"/>
          <w:color w:val="auto"/>
          <w:sz w:val="24"/>
          <w:szCs w:val="24"/>
          <w:highlight w:val="none"/>
          <w:u w:val="single"/>
        </w:rPr>
        <w:t>执行通用条款</w:t>
      </w:r>
      <w:r>
        <w:rPr>
          <w:rFonts w:hint="eastAsia" w:cs="宋体"/>
          <w:color w:val="auto"/>
          <w:sz w:val="24"/>
          <w:szCs w:val="24"/>
          <w:highlight w:val="none"/>
        </w:rPr>
        <w:t>。</w:t>
      </w:r>
    </w:p>
    <w:p w14:paraId="6429055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14.2 </w:t>
      </w:r>
      <w:r>
        <w:rPr>
          <w:rFonts w:hint="eastAsia" w:cs="宋体"/>
          <w:bCs/>
          <w:color w:val="auto"/>
          <w:sz w:val="24"/>
          <w:szCs w:val="24"/>
          <w:highlight w:val="none"/>
          <w:lang w:eastAsia="zh-CN"/>
        </w:rPr>
        <w:t>完工</w:t>
      </w:r>
      <w:r>
        <w:rPr>
          <w:rFonts w:hint="eastAsia" w:cs="宋体"/>
          <w:bCs/>
          <w:color w:val="auto"/>
          <w:sz w:val="24"/>
          <w:szCs w:val="24"/>
          <w:highlight w:val="none"/>
        </w:rPr>
        <w:t>结算审核</w:t>
      </w:r>
    </w:p>
    <w:p w14:paraId="360F61FE">
      <w:pPr>
        <w:adjustRightInd w:val="0"/>
        <w:snapToGrid w:val="0"/>
        <w:spacing w:line="360" w:lineRule="auto"/>
        <w:ind w:firstLine="480" w:firstLineChars="200"/>
        <w:rPr>
          <w:rFonts w:hint="eastAsia" w:cs="宋体"/>
          <w:strike w:val="0"/>
          <w:dstrike w:val="0"/>
          <w:color w:val="auto"/>
          <w:sz w:val="24"/>
          <w:szCs w:val="24"/>
          <w:highlight w:val="none"/>
          <w:u w:val="single"/>
          <w:lang w:val="en-US" w:eastAsia="zh-CN"/>
        </w:rPr>
      </w:pPr>
      <w:r>
        <w:rPr>
          <w:rFonts w:hint="eastAsia" w:cs="宋体"/>
          <w:color w:val="auto"/>
          <w:sz w:val="24"/>
          <w:szCs w:val="24"/>
          <w:highlight w:val="none"/>
          <w:lang w:eastAsia="zh-CN"/>
        </w:rPr>
        <w:t>甲方</w:t>
      </w:r>
      <w:r>
        <w:rPr>
          <w:rFonts w:hint="eastAsia" w:cs="宋体"/>
          <w:color w:val="auto"/>
          <w:sz w:val="24"/>
          <w:szCs w:val="24"/>
          <w:highlight w:val="none"/>
        </w:rPr>
        <w:t>审批</w:t>
      </w:r>
      <w:r>
        <w:rPr>
          <w:rFonts w:hint="eastAsia" w:cs="宋体"/>
          <w:color w:val="auto"/>
          <w:sz w:val="24"/>
          <w:szCs w:val="24"/>
          <w:highlight w:val="none"/>
          <w:lang w:eastAsia="zh-CN"/>
        </w:rPr>
        <w:t>完工</w:t>
      </w:r>
      <w:r>
        <w:rPr>
          <w:rFonts w:hint="eastAsia" w:cs="宋体"/>
          <w:color w:val="auto"/>
          <w:sz w:val="24"/>
          <w:szCs w:val="24"/>
          <w:highlight w:val="none"/>
        </w:rPr>
        <w:t>付款申请单的期限：</w:t>
      </w:r>
      <w:r>
        <w:rPr>
          <w:rFonts w:hint="eastAsia" w:cs="宋体"/>
          <w:strike w:val="0"/>
          <w:dstrike w:val="0"/>
          <w:color w:val="auto"/>
          <w:sz w:val="24"/>
          <w:szCs w:val="24"/>
          <w:highlight w:val="none"/>
          <w:u w:val="single"/>
          <w:lang w:val="en-US" w:eastAsia="zh-CN"/>
        </w:rPr>
        <w:t>/</w:t>
      </w:r>
    </w:p>
    <w:p w14:paraId="30E51F63">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完成</w:t>
      </w:r>
      <w:r>
        <w:rPr>
          <w:rFonts w:hint="eastAsia" w:cs="宋体"/>
          <w:color w:val="auto"/>
          <w:sz w:val="24"/>
          <w:szCs w:val="24"/>
          <w:highlight w:val="none"/>
          <w:lang w:eastAsia="zh-CN"/>
        </w:rPr>
        <w:t>完工</w:t>
      </w:r>
      <w:r>
        <w:rPr>
          <w:rFonts w:hint="eastAsia" w:cs="宋体"/>
          <w:color w:val="auto"/>
          <w:sz w:val="24"/>
          <w:szCs w:val="24"/>
          <w:highlight w:val="none"/>
        </w:rPr>
        <w:t>付款的期限：</w:t>
      </w:r>
      <w:r>
        <w:rPr>
          <w:rFonts w:hint="eastAsia" w:cs="宋体"/>
          <w:strike w:val="0"/>
          <w:dstrike w:val="0"/>
          <w:color w:val="auto"/>
          <w:sz w:val="24"/>
          <w:szCs w:val="24"/>
          <w:highlight w:val="none"/>
          <w:u w:val="single"/>
          <w:lang w:eastAsia="zh-CN"/>
        </w:rPr>
        <w:t>甲方</w:t>
      </w:r>
      <w:r>
        <w:rPr>
          <w:rFonts w:hint="eastAsia" w:cs="宋体"/>
          <w:strike w:val="0"/>
          <w:dstrike w:val="0"/>
          <w:color w:val="auto"/>
          <w:sz w:val="24"/>
          <w:szCs w:val="24"/>
          <w:highlight w:val="none"/>
          <w:u w:val="single"/>
        </w:rPr>
        <w:t>应在收到</w:t>
      </w:r>
      <w:r>
        <w:rPr>
          <w:rFonts w:hint="eastAsia" w:cs="宋体"/>
          <w:strike w:val="0"/>
          <w:dstrike w:val="0"/>
          <w:color w:val="auto"/>
          <w:sz w:val="24"/>
          <w:szCs w:val="24"/>
          <w:highlight w:val="none"/>
          <w:u w:val="single"/>
          <w:lang w:val="en-US" w:eastAsia="zh-CN"/>
        </w:rPr>
        <w:t>乙方</w:t>
      </w:r>
      <w:r>
        <w:rPr>
          <w:rFonts w:hint="eastAsia" w:cs="宋体"/>
          <w:strike w:val="0"/>
          <w:dstrike w:val="0"/>
          <w:color w:val="auto"/>
          <w:sz w:val="24"/>
          <w:szCs w:val="24"/>
          <w:highlight w:val="none"/>
          <w:u w:val="single"/>
        </w:rPr>
        <w:t>提交的经审核的</w:t>
      </w:r>
      <w:r>
        <w:rPr>
          <w:rFonts w:hint="eastAsia" w:cs="宋体"/>
          <w:strike w:val="0"/>
          <w:dstrike w:val="0"/>
          <w:color w:val="auto"/>
          <w:sz w:val="24"/>
          <w:szCs w:val="24"/>
          <w:highlight w:val="none"/>
          <w:u w:val="single"/>
          <w:lang w:eastAsia="zh-CN"/>
        </w:rPr>
        <w:t>完工</w:t>
      </w:r>
      <w:r>
        <w:rPr>
          <w:rFonts w:hint="eastAsia" w:cs="宋体"/>
          <w:strike w:val="0"/>
          <w:dstrike w:val="0"/>
          <w:color w:val="auto"/>
          <w:sz w:val="24"/>
          <w:szCs w:val="24"/>
          <w:highlight w:val="none"/>
          <w:u w:val="single"/>
        </w:rPr>
        <w:t>结算申请单后</w:t>
      </w:r>
      <w:r>
        <w:rPr>
          <w:rFonts w:hint="eastAsia" w:cs="宋体"/>
          <w:strike w:val="0"/>
          <w:dstrike w:val="0"/>
          <w:color w:val="auto"/>
          <w:sz w:val="24"/>
          <w:szCs w:val="24"/>
          <w:highlight w:val="none"/>
          <w:u w:val="single"/>
          <w:lang w:eastAsia="zh-CN"/>
        </w:rPr>
        <w:t>，</w:t>
      </w:r>
      <w:r>
        <w:rPr>
          <w:rFonts w:hint="eastAsia" w:cs="宋体"/>
          <w:strike w:val="0"/>
          <w:dstrike w:val="0"/>
          <w:color w:val="auto"/>
          <w:sz w:val="24"/>
          <w:szCs w:val="24"/>
          <w:highlight w:val="none"/>
          <w:u w:val="single"/>
          <w:lang w:val="en-US" w:eastAsia="zh-CN"/>
        </w:rPr>
        <w:t>按规定及时支付</w:t>
      </w:r>
      <w:r>
        <w:rPr>
          <w:rFonts w:hint="eastAsia" w:cs="宋体"/>
          <w:color w:val="auto"/>
          <w:sz w:val="24"/>
          <w:szCs w:val="24"/>
          <w:highlight w:val="none"/>
          <w:u w:val="single"/>
          <w:lang w:val="en-US" w:eastAsia="zh-CN"/>
        </w:rPr>
        <w:t>结算价款</w:t>
      </w:r>
      <w:r>
        <w:rPr>
          <w:rFonts w:hint="eastAsia" w:cs="宋体"/>
          <w:color w:val="auto"/>
          <w:sz w:val="24"/>
          <w:szCs w:val="24"/>
          <w:highlight w:val="none"/>
        </w:rPr>
        <w:t>。</w:t>
      </w:r>
    </w:p>
    <w:p w14:paraId="5C0E25F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完工</w:t>
      </w:r>
      <w:r>
        <w:rPr>
          <w:rFonts w:hint="eastAsia" w:cs="宋体"/>
          <w:color w:val="auto"/>
          <w:sz w:val="24"/>
          <w:szCs w:val="24"/>
          <w:highlight w:val="none"/>
        </w:rPr>
        <w:t>付款证书异议部分复核的方式和程序：</w:t>
      </w:r>
      <w:r>
        <w:rPr>
          <w:rFonts w:hint="eastAsia" w:cs="宋体"/>
          <w:color w:val="auto"/>
          <w:sz w:val="24"/>
          <w:szCs w:val="24"/>
          <w:highlight w:val="none"/>
          <w:u w:val="single"/>
        </w:rPr>
        <w:t>执行通用条款</w:t>
      </w:r>
      <w:r>
        <w:rPr>
          <w:rFonts w:hint="eastAsia" w:cs="宋体"/>
          <w:color w:val="auto"/>
          <w:sz w:val="24"/>
          <w:szCs w:val="24"/>
          <w:highlight w:val="none"/>
        </w:rPr>
        <w:t>。</w:t>
      </w:r>
    </w:p>
    <w:p w14:paraId="7454A15A">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14.4 最终结清</w:t>
      </w:r>
    </w:p>
    <w:p w14:paraId="3B4EA7FC">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14.4.1 最终结清申请单</w:t>
      </w:r>
    </w:p>
    <w:p w14:paraId="5CB9895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提交最终结清申请单的份数：</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EA623D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提交最终结算申请单的期限：</w:t>
      </w:r>
      <w:r>
        <w:rPr>
          <w:rFonts w:hint="eastAsia" w:cs="宋体"/>
          <w:color w:val="auto"/>
          <w:sz w:val="24"/>
          <w:szCs w:val="24"/>
          <w:highlight w:val="none"/>
          <w:u w:val="single"/>
        </w:rPr>
        <w:t>缺陷责任期终止证书颁发后7天内</w:t>
      </w:r>
      <w:r>
        <w:rPr>
          <w:rFonts w:hint="eastAsia" w:cs="宋体"/>
          <w:color w:val="auto"/>
          <w:sz w:val="24"/>
          <w:szCs w:val="24"/>
          <w:highlight w:val="none"/>
        </w:rPr>
        <w:t xml:space="preserve">。 </w:t>
      </w:r>
    </w:p>
    <w:p w14:paraId="332E126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14.4.2 最终结清证书和支付</w:t>
      </w:r>
    </w:p>
    <w:p w14:paraId="76B2136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eastAsia="zh-CN"/>
        </w:rPr>
        <w:t>甲方</w:t>
      </w:r>
      <w:r>
        <w:rPr>
          <w:rFonts w:hint="eastAsia" w:cs="宋体"/>
          <w:color w:val="auto"/>
          <w:sz w:val="24"/>
          <w:szCs w:val="24"/>
          <w:highlight w:val="none"/>
        </w:rPr>
        <w:t>完成最终结清申请单的审批并颁发最终结清证书的期限：</w:t>
      </w:r>
      <w:r>
        <w:rPr>
          <w:rFonts w:hint="eastAsia" w:cs="宋体"/>
          <w:color w:val="auto"/>
          <w:sz w:val="24"/>
          <w:szCs w:val="24"/>
          <w:highlight w:val="none"/>
          <w:u w:val="single"/>
        </w:rPr>
        <w:t>收到</w:t>
      </w:r>
      <w:r>
        <w:rPr>
          <w:rFonts w:hint="eastAsia" w:cs="宋体"/>
          <w:color w:val="auto"/>
          <w:sz w:val="24"/>
          <w:szCs w:val="24"/>
          <w:highlight w:val="none"/>
          <w:u w:val="single"/>
          <w:lang w:eastAsia="zh-CN"/>
        </w:rPr>
        <w:t>乙方</w:t>
      </w:r>
      <w:r>
        <w:rPr>
          <w:rFonts w:hint="eastAsia" w:cs="宋体"/>
          <w:color w:val="auto"/>
          <w:sz w:val="24"/>
          <w:szCs w:val="24"/>
          <w:highlight w:val="none"/>
          <w:u w:val="single"/>
        </w:rPr>
        <w:t>提交的最终结清申请单后14天内</w:t>
      </w:r>
      <w:r>
        <w:rPr>
          <w:rFonts w:hint="eastAsia" w:cs="宋体"/>
          <w:color w:val="auto"/>
          <w:sz w:val="24"/>
          <w:szCs w:val="24"/>
          <w:highlight w:val="none"/>
        </w:rPr>
        <w:t>。</w:t>
      </w:r>
    </w:p>
    <w:p w14:paraId="1F80E27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eastAsia="zh-CN"/>
        </w:rPr>
        <w:t>甲方</w:t>
      </w:r>
      <w:r>
        <w:rPr>
          <w:rFonts w:hint="eastAsia" w:cs="宋体"/>
          <w:color w:val="auto"/>
          <w:sz w:val="24"/>
          <w:szCs w:val="24"/>
          <w:highlight w:val="none"/>
        </w:rPr>
        <w:t>完成支付的期限：</w:t>
      </w:r>
      <w:r>
        <w:rPr>
          <w:rFonts w:hint="eastAsia" w:cs="宋体"/>
          <w:color w:val="auto"/>
          <w:sz w:val="24"/>
          <w:szCs w:val="24"/>
          <w:highlight w:val="none"/>
          <w:u w:val="single"/>
        </w:rPr>
        <w:t>颁发最终结清证书后7天内完成支付</w:t>
      </w:r>
      <w:r>
        <w:rPr>
          <w:rFonts w:hint="eastAsia" w:cs="宋体"/>
          <w:color w:val="auto"/>
          <w:sz w:val="24"/>
          <w:szCs w:val="24"/>
          <w:highlight w:val="none"/>
        </w:rPr>
        <w:t>。</w:t>
      </w:r>
    </w:p>
    <w:bookmarkEnd w:id="598"/>
    <w:bookmarkEnd w:id="599"/>
    <w:bookmarkEnd w:id="600"/>
    <w:bookmarkEnd w:id="601"/>
    <w:bookmarkEnd w:id="602"/>
    <w:bookmarkEnd w:id="603"/>
    <w:bookmarkEnd w:id="604"/>
    <w:bookmarkEnd w:id="610"/>
    <w:p w14:paraId="44AD4A92">
      <w:pPr>
        <w:snapToGrid w:val="0"/>
        <w:spacing w:before="312" w:beforeLines="100" w:after="312" w:afterLines="100" w:line="360" w:lineRule="auto"/>
        <w:outlineLvl w:val="2"/>
        <w:rPr>
          <w:rFonts w:cs="宋体"/>
          <w:color w:val="auto"/>
          <w:sz w:val="24"/>
          <w:szCs w:val="24"/>
          <w:highlight w:val="none"/>
        </w:rPr>
      </w:pPr>
      <w:bookmarkStart w:id="612" w:name="_Toc351203647"/>
      <w:bookmarkStart w:id="613" w:name="_Toc267251483"/>
      <w:bookmarkStart w:id="614" w:name="_Toc267251484"/>
      <w:bookmarkStart w:id="615" w:name="_Toc267251482"/>
      <w:bookmarkStart w:id="616" w:name="_Toc267251485"/>
      <w:bookmarkStart w:id="617" w:name="_Toc267251490"/>
      <w:bookmarkStart w:id="618" w:name="_Toc267251488"/>
      <w:bookmarkStart w:id="619" w:name="_Toc267251489"/>
      <w:bookmarkStart w:id="620" w:name="_Toc267251486"/>
      <w:bookmarkStart w:id="621" w:name="_Toc267251497"/>
      <w:bookmarkStart w:id="622" w:name="_Toc267251501"/>
      <w:bookmarkStart w:id="623" w:name="_Toc267251502"/>
      <w:bookmarkStart w:id="624" w:name="_Toc267251491"/>
      <w:bookmarkStart w:id="625" w:name="_Toc267251498"/>
      <w:bookmarkStart w:id="626" w:name="_Toc267251503"/>
      <w:bookmarkStart w:id="627" w:name="_Toc267251493"/>
      <w:bookmarkStart w:id="628" w:name="_Toc267251492"/>
      <w:bookmarkStart w:id="629" w:name="_Toc267251499"/>
      <w:bookmarkStart w:id="630" w:name="_Toc267251495"/>
      <w:bookmarkStart w:id="631" w:name="_Toc267251496"/>
      <w:bookmarkStart w:id="632" w:name="_Toc267251494"/>
      <w:bookmarkStart w:id="633" w:name="_Toc267251504"/>
      <w:bookmarkStart w:id="634" w:name="_Toc267251506"/>
      <w:bookmarkStart w:id="635" w:name="_Toc267251507"/>
      <w:bookmarkStart w:id="636" w:name="_Toc267251508"/>
      <w:bookmarkStart w:id="637" w:name="_Toc267251514"/>
      <w:bookmarkStart w:id="638" w:name="_Toc267251511"/>
      <w:bookmarkStart w:id="639" w:name="_Toc267251515"/>
      <w:bookmarkStart w:id="640" w:name="_Toc267251513"/>
      <w:bookmarkStart w:id="641" w:name="_Toc267251510"/>
      <w:bookmarkStart w:id="642" w:name="_Toc267251509"/>
      <w:r>
        <w:rPr>
          <w:rFonts w:hint="eastAsia" w:cs="宋体"/>
          <w:color w:val="auto"/>
          <w:sz w:val="24"/>
          <w:szCs w:val="24"/>
          <w:highlight w:val="none"/>
        </w:rPr>
        <w:t>15. 缺陷责任期与保修</w:t>
      </w:r>
      <w:bookmarkEnd w:id="612"/>
    </w:p>
    <w:p w14:paraId="684A611F">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15.2 缺陷责任期</w:t>
      </w:r>
      <w:bookmarkEnd w:id="613"/>
    </w:p>
    <w:p w14:paraId="3846E2F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缺陷责任期的具体期限：</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769B9A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15.3 质量保证金</w:t>
      </w:r>
    </w:p>
    <w:p w14:paraId="7ACF0C2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关于是否扣留质量保证金的约定：</w:t>
      </w:r>
      <w:r>
        <w:rPr>
          <w:rFonts w:hint="eastAsia" w:cs="宋体"/>
          <w:color w:val="auto"/>
          <w:sz w:val="24"/>
          <w:szCs w:val="24"/>
          <w:highlight w:val="none"/>
          <w:u w:val="single"/>
          <w:lang w:val="en-US" w:eastAsia="zh-CN"/>
        </w:rPr>
        <w:t>否</w:t>
      </w:r>
      <w:r>
        <w:rPr>
          <w:rFonts w:hint="eastAsia" w:cs="宋体"/>
          <w:color w:val="auto"/>
          <w:sz w:val="24"/>
          <w:szCs w:val="24"/>
          <w:highlight w:val="none"/>
          <w:u w:val="single"/>
        </w:rPr>
        <w:t xml:space="preserve"> </w:t>
      </w:r>
      <w:r>
        <w:rPr>
          <w:rFonts w:hint="eastAsia" w:cs="宋体"/>
          <w:color w:val="auto"/>
          <w:sz w:val="24"/>
          <w:szCs w:val="24"/>
          <w:highlight w:val="none"/>
        </w:rPr>
        <w:t>。在工程项目</w:t>
      </w:r>
      <w:r>
        <w:rPr>
          <w:rFonts w:hint="eastAsia" w:cs="宋体"/>
          <w:color w:val="auto"/>
          <w:sz w:val="24"/>
          <w:szCs w:val="24"/>
          <w:highlight w:val="none"/>
          <w:lang w:eastAsia="zh-CN"/>
        </w:rPr>
        <w:t>完工</w:t>
      </w:r>
      <w:r>
        <w:rPr>
          <w:rFonts w:hint="eastAsia" w:cs="宋体"/>
          <w:color w:val="auto"/>
          <w:sz w:val="24"/>
          <w:szCs w:val="24"/>
          <w:highlight w:val="none"/>
        </w:rPr>
        <w:t>前，</w:t>
      </w:r>
      <w:r>
        <w:rPr>
          <w:rFonts w:hint="eastAsia" w:cs="宋体"/>
          <w:color w:val="auto"/>
          <w:sz w:val="24"/>
          <w:szCs w:val="24"/>
          <w:highlight w:val="none"/>
          <w:lang w:eastAsia="zh-CN"/>
        </w:rPr>
        <w:t>乙方</w:t>
      </w:r>
      <w:r>
        <w:rPr>
          <w:rFonts w:hint="eastAsia" w:cs="宋体"/>
          <w:color w:val="auto"/>
          <w:sz w:val="24"/>
          <w:szCs w:val="24"/>
          <w:highlight w:val="none"/>
        </w:rPr>
        <w:t>按专用合同条款第3.7款提供履约保证金的，</w:t>
      </w:r>
      <w:r>
        <w:rPr>
          <w:rFonts w:hint="eastAsia" w:cs="宋体"/>
          <w:color w:val="auto"/>
          <w:sz w:val="24"/>
          <w:szCs w:val="24"/>
          <w:highlight w:val="none"/>
          <w:lang w:eastAsia="zh-CN"/>
        </w:rPr>
        <w:t>甲方</w:t>
      </w:r>
      <w:r>
        <w:rPr>
          <w:rFonts w:hint="eastAsia" w:cs="宋体"/>
          <w:color w:val="auto"/>
          <w:sz w:val="24"/>
          <w:szCs w:val="24"/>
          <w:highlight w:val="none"/>
        </w:rPr>
        <w:t>不得同时预留工程质量保证金。</w:t>
      </w:r>
    </w:p>
    <w:p w14:paraId="5CB5A1A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15.3.1 </w:t>
      </w:r>
      <w:r>
        <w:rPr>
          <w:rFonts w:hint="eastAsia" w:cs="宋体"/>
          <w:color w:val="auto"/>
          <w:sz w:val="24"/>
          <w:szCs w:val="24"/>
          <w:highlight w:val="none"/>
          <w:lang w:eastAsia="zh-CN"/>
        </w:rPr>
        <w:t>乙方</w:t>
      </w:r>
      <w:r>
        <w:rPr>
          <w:rFonts w:hint="eastAsia" w:cs="宋体"/>
          <w:color w:val="auto"/>
          <w:sz w:val="24"/>
          <w:szCs w:val="24"/>
          <w:highlight w:val="none"/>
        </w:rPr>
        <w:t>提供质量保证金的方式</w:t>
      </w:r>
    </w:p>
    <w:p w14:paraId="2BC238B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质量保证金可采用以下任意一种方式：</w:t>
      </w:r>
    </w:p>
    <w:p w14:paraId="347CAEF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（1）由银行业金融机构、工程担保公司、保险机构出具银行保函、工程质量保险等担保方式，担保/保证金额为：</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30D8CBA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279182E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（3）其他方式：</w:t>
      </w:r>
      <w:r>
        <w:rPr>
          <w:rFonts w:hint="eastAsia" w:cs="宋体"/>
          <w:color w:val="auto"/>
          <w:sz w:val="24"/>
          <w:szCs w:val="24"/>
          <w:highlight w:val="none"/>
          <w:u w:val="single"/>
        </w:rPr>
        <w:t>见《专用合同条款数据表》</w:t>
      </w:r>
      <w:r>
        <w:rPr>
          <w:rFonts w:hint="eastAsia" w:cs="宋体"/>
          <w:color w:val="auto"/>
          <w:sz w:val="24"/>
          <w:szCs w:val="24"/>
          <w:highlight w:val="none"/>
        </w:rPr>
        <w:t>。</w:t>
      </w:r>
    </w:p>
    <w:p w14:paraId="0B5818D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15.3.2 质量保证金的扣留 </w:t>
      </w:r>
    </w:p>
    <w:p w14:paraId="37B4B47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质量保证金的扣留采取以下第</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3</w:t>
      </w:r>
      <w:r>
        <w:rPr>
          <w:rFonts w:hint="eastAsia" w:cs="宋体"/>
          <w:color w:val="auto"/>
          <w:sz w:val="24"/>
          <w:szCs w:val="24"/>
          <w:highlight w:val="none"/>
          <w:u w:val="single"/>
        </w:rPr>
        <w:t xml:space="preserve"> </w:t>
      </w:r>
      <w:r>
        <w:rPr>
          <w:rFonts w:hint="eastAsia" w:cs="宋体"/>
          <w:color w:val="auto"/>
          <w:sz w:val="24"/>
          <w:szCs w:val="24"/>
          <w:highlight w:val="none"/>
        </w:rPr>
        <w:t>种方式：</w:t>
      </w:r>
    </w:p>
    <w:p w14:paraId="646BA82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（1）在支付工程进度款时逐次扣留，在此情形下，质量保证金的计算基数不包括预付款的支付、扣回以及价格调整的金额；</w:t>
      </w:r>
    </w:p>
    <w:p w14:paraId="787507A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（2）工程</w:t>
      </w:r>
      <w:r>
        <w:rPr>
          <w:rFonts w:hint="eastAsia" w:cs="宋体"/>
          <w:color w:val="auto"/>
          <w:sz w:val="24"/>
          <w:szCs w:val="24"/>
          <w:highlight w:val="none"/>
          <w:lang w:eastAsia="zh-CN"/>
        </w:rPr>
        <w:t>完工</w:t>
      </w:r>
      <w:r>
        <w:rPr>
          <w:rFonts w:hint="eastAsia" w:cs="宋体"/>
          <w:color w:val="auto"/>
          <w:sz w:val="24"/>
          <w:szCs w:val="24"/>
          <w:highlight w:val="none"/>
        </w:rPr>
        <w:t>结算时一次性扣留质量保证金；</w:t>
      </w:r>
    </w:p>
    <w:p w14:paraId="283C74D3">
      <w:pPr>
        <w:adjustRightInd w:val="0"/>
        <w:snapToGrid w:val="0"/>
        <w:spacing w:line="360" w:lineRule="auto"/>
        <w:ind w:firstLine="480" w:firstLineChars="200"/>
        <w:jc w:val="left"/>
        <w:rPr>
          <w:rFonts w:hint="eastAsia"/>
          <w:color w:val="auto"/>
          <w:sz w:val="24"/>
          <w:szCs w:val="24"/>
          <w:highlight w:val="none"/>
          <w:lang w:eastAsia="zh-CN"/>
        </w:rPr>
      </w:pPr>
      <w:r>
        <w:rPr>
          <w:rFonts w:hint="eastAsia" w:cs="宋体"/>
          <w:color w:val="auto"/>
          <w:sz w:val="24"/>
          <w:szCs w:val="24"/>
          <w:highlight w:val="none"/>
        </w:rPr>
        <w:t>（3）其他扣留方式：</w:t>
      </w:r>
    </w:p>
    <w:p w14:paraId="298D6CAB">
      <w:pPr>
        <w:adjustRightInd w:val="0"/>
        <w:snapToGrid w:val="0"/>
        <w:spacing w:line="360" w:lineRule="auto"/>
        <w:ind w:firstLine="480" w:firstLineChars="200"/>
        <w:rPr>
          <w:rFonts w:hint="eastAsia" w:cs="宋体"/>
          <w:b w:val="0"/>
          <w:bCs w:val="0"/>
          <w:color w:val="auto"/>
          <w:sz w:val="24"/>
          <w:szCs w:val="24"/>
          <w:highlight w:val="none"/>
          <w:u w:val="none"/>
        </w:rPr>
      </w:pPr>
      <w:r>
        <w:rPr>
          <w:rFonts w:hint="eastAsia" w:cs="宋体"/>
          <w:color w:val="auto"/>
          <w:sz w:val="24"/>
          <w:szCs w:val="24"/>
          <w:highlight w:val="none"/>
        </w:rPr>
        <w:t>关于质量保证金的补充约定：</w:t>
      </w:r>
      <w:r>
        <w:rPr>
          <w:rFonts w:hint="eastAsia"/>
          <w:color w:val="auto"/>
          <w:sz w:val="24"/>
          <w:szCs w:val="24"/>
          <w:highlight w:val="none"/>
          <w:lang w:val="en-US" w:eastAsia="zh-CN"/>
        </w:rPr>
        <w:t>由银行业金融机构、工程担保公司、保险机构出具银行保函、工程质量保险等担保方式；</w:t>
      </w:r>
      <w:r>
        <w:rPr>
          <w:rFonts w:hint="eastAsia"/>
          <w:color w:val="auto"/>
          <w:sz w:val="24"/>
          <w:szCs w:val="24"/>
          <w:highlight w:val="none"/>
        </w:rPr>
        <w:t>转账的方式缴纳</w:t>
      </w:r>
      <w:r>
        <w:rPr>
          <w:rFonts w:hint="eastAsia"/>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rPr>
        <w:t>在工程项目完工前，乙方按甲方要求提供履约保证金的，可在工程进入缺陷责任期时按照多退少补原则转为质量保证金</w:t>
      </w:r>
      <w:r>
        <w:rPr>
          <w:rFonts w:hint="eastAsia" w:cs="宋体"/>
          <w:color w:val="auto"/>
          <w:sz w:val="24"/>
          <w:szCs w:val="24"/>
          <w:highlight w:val="none"/>
        </w:rPr>
        <w:t>。</w:t>
      </w:r>
    </w:p>
    <w:bookmarkEnd w:id="614"/>
    <w:bookmarkEnd w:id="615"/>
    <w:p w14:paraId="409195E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15.4 保修</w:t>
      </w:r>
    </w:p>
    <w:bookmarkEnd w:id="616"/>
    <w:p w14:paraId="78E4AEB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15.4.1 保修责任</w:t>
      </w:r>
    </w:p>
    <w:p w14:paraId="7B3C9DE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工程保修期为：</w:t>
      </w:r>
      <w:r>
        <w:rPr>
          <w:rFonts w:hint="eastAsia" w:cs="宋体"/>
          <w:color w:val="auto"/>
          <w:sz w:val="24"/>
          <w:szCs w:val="24"/>
          <w:highlight w:val="none"/>
          <w:u w:val="single"/>
        </w:rPr>
        <w:t>执行《工程质量保修书》规定</w:t>
      </w:r>
      <w:r>
        <w:rPr>
          <w:rFonts w:hint="eastAsia" w:cs="宋体"/>
          <w:color w:val="auto"/>
          <w:sz w:val="24"/>
          <w:szCs w:val="24"/>
          <w:highlight w:val="none"/>
        </w:rPr>
        <w:t>。</w:t>
      </w:r>
    </w:p>
    <w:p w14:paraId="01CB0CC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15.4.3 修复通知</w:t>
      </w:r>
    </w:p>
    <w:p w14:paraId="1044C196">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收到保修通知并到达工程现场的合理时间：</w:t>
      </w:r>
      <w:r>
        <w:rPr>
          <w:rFonts w:hint="eastAsia" w:cs="宋体"/>
          <w:color w:val="auto"/>
          <w:sz w:val="24"/>
          <w:szCs w:val="24"/>
          <w:highlight w:val="none"/>
          <w:u w:val="single"/>
        </w:rPr>
        <w:t xml:space="preserve">                 </w:t>
      </w:r>
      <w:r>
        <w:rPr>
          <w:rFonts w:hint="eastAsia" w:cs="宋体"/>
          <w:color w:val="auto"/>
          <w:sz w:val="24"/>
          <w:szCs w:val="24"/>
          <w:highlight w:val="none"/>
        </w:rPr>
        <w:t>。</w:t>
      </w:r>
    </w:p>
    <w:bookmarkEnd w:id="617"/>
    <w:bookmarkEnd w:id="618"/>
    <w:bookmarkEnd w:id="619"/>
    <w:bookmarkEnd w:id="620"/>
    <w:p w14:paraId="4AC33A32">
      <w:pPr>
        <w:snapToGrid w:val="0"/>
        <w:spacing w:before="312" w:beforeLines="100" w:after="312" w:afterLines="100" w:line="360" w:lineRule="auto"/>
        <w:outlineLvl w:val="2"/>
        <w:rPr>
          <w:rFonts w:cs="宋体"/>
          <w:color w:val="auto"/>
          <w:sz w:val="24"/>
          <w:szCs w:val="24"/>
          <w:highlight w:val="none"/>
        </w:rPr>
      </w:pPr>
      <w:bookmarkStart w:id="643" w:name="_Toc351203648"/>
      <w:bookmarkStart w:id="644" w:name="_Toc280868717"/>
      <w:bookmarkStart w:id="645" w:name="_Toc280868718"/>
      <w:r>
        <w:rPr>
          <w:rFonts w:hint="eastAsia" w:cs="宋体"/>
          <w:color w:val="auto"/>
          <w:sz w:val="24"/>
          <w:szCs w:val="24"/>
          <w:highlight w:val="none"/>
        </w:rPr>
        <w:t>16. 违约</w:t>
      </w:r>
      <w:bookmarkEnd w:id="643"/>
    </w:p>
    <w:p w14:paraId="294C9DF1">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16.1 </w:t>
      </w:r>
      <w:r>
        <w:rPr>
          <w:rFonts w:hint="eastAsia" w:cs="宋体"/>
          <w:bCs/>
          <w:color w:val="auto"/>
          <w:sz w:val="24"/>
          <w:szCs w:val="24"/>
          <w:highlight w:val="none"/>
          <w:lang w:eastAsia="zh-CN"/>
        </w:rPr>
        <w:t>甲方</w:t>
      </w:r>
      <w:r>
        <w:rPr>
          <w:rFonts w:hint="eastAsia" w:cs="宋体"/>
          <w:bCs/>
          <w:color w:val="auto"/>
          <w:sz w:val="24"/>
          <w:szCs w:val="24"/>
          <w:highlight w:val="none"/>
        </w:rPr>
        <w:t>违约</w:t>
      </w:r>
    </w:p>
    <w:p w14:paraId="1EA2FD52">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16.1.1 </w:t>
      </w:r>
      <w:r>
        <w:rPr>
          <w:rFonts w:hint="eastAsia" w:cs="宋体"/>
          <w:color w:val="auto"/>
          <w:sz w:val="24"/>
          <w:szCs w:val="24"/>
          <w:highlight w:val="none"/>
          <w:lang w:eastAsia="zh-CN"/>
        </w:rPr>
        <w:t>甲方</w:t>
      </w:r>
      <w:r>
        <w:rPr>
          <w:rFonts w:hint="eastAsia" w:cs="宋体"/>
          <w:color w:val="auto"/>
          <w:sz w:val="24"/>
          <w:szCs w:val="24"/>
          <w:highlight w:val="none"/>
        </w:rPr>
        <w:t>违约的情形</w:t>
      </w:r>
    </w:p>
    <w:p w14:paraId="14201E70">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违约的其他情形：</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524B93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16.1.2 </w:t>
      </w:r>
      <w:r>
        <w:rPr>
          <w:rFonts w:hint="eastAsia" w:cs="宋体"/>
          <w:color w:val="auto"/>
          <w:sz w:val="24"/>
          <w:szCs w:val="24"/>
          <w:highlight w:val="none"/>
          <w:lang w:eastAsia="zh-CN"/>
        </w:rPr>
        <w:t>甲方</w:t>
      </w:r>
      <w:r>
        <w:rPr>
          <w:rFonts w:hint="eastAsia" w:cs="宋体"/>
          <w:color w:val="auto"/>
          <w:sz w:val="24"/>
          <w:szCs w:val="24"/>
          <w:highlight w:val="none"/>
        </w:rPr>
        <w:t>违约的责任</w:t>
      </w:r>
    </w:p>
    <w:p w14:paraId="66FE36B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违约责任的承担方式和计算方法：</w:t>
      </w:r>
    </w:p>
    <w:p w14:paraId="10DFF5E9">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（1）因</w:t>
      </w:r>
      <w:r>
        <w:rPr>
          <w:rFonts w:hint="eastAsia" w:cs="宋体"/>
          <w:color w:val="auto"/>
          <w:sz w:val="24"/>
          <w:szCs w:val="24"/>
          <w:highlight w:val="none"/>
          <w:lang w:eastAsia="zh-CN"/>
        </w:rPr>
        <w:t>甲方</w:t>
      </w:r>
      <w:r>
        <w:rPr>
          <w:rFonts w:hint="eastAsia" w:cs="宋体"/>
          <w:color w:val="auto"/>
          <w:sz w:val="24"/>
          <w:szCs w:val="24"/>
          <w:highlight w:val="none"/>
        </w:rPr>
        <w:t>原因未能在计划开工日期前7天内下达开工通知的违约责任：</w:t>
      </w:r>
      <w:r>
        <w:rPr>
          <w:rFonts w:hint="eastAsia" w:cs="宋体"/>
          <w:color w:val="auto"/>
          <w:sz w:val="24"/>
          <w:szCs w:val="24"/>
          <w:highlight w:val="none"/>
          <w:u w:val="single"/>
        </w:rPr>
        <w:t xml:space="preserve"> 双方协商</w:t>
      </w:r>
    </w:p>
    <w:p w14:paraId="6A855F1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u w:val="single"/>
        </w:rPr>
        <w:t xml:space="preserve">解决 </w:t>
      </w:r>
      <w:r>
        <w:rPr>
          <w:rFonts w:hint="eastAsia" w:cs="宋体"/>
          <w:color w:val="auto"/>
          <w:sz w:val="24"/>
          <w:szCs w:val="24"/>
          <w:highlight w:val="none"/>
        </w:rPr>
        <w:t>。</w:t>
      </w:r>
    </w:p>
    <w:p w14:paraId="4B3F2A90">
      <w:pPr>
        <w:adjustRightInd w:val="0"/>
        <w:snapToGrid w:val="0"/>
        <w:spacing w:line="360" w:lineRule="auto"/>
        <w:ind w:firstLine="480" w:firstLineChars="200"/>
        <w:rPr>
          <w:rFonts w:hint="eastAsia" w:cs="宋体"/>
          <w:color w:val="auto"/>
          <w:sz w:val="24"/>
          <w:szCs w:val="24"/>
          <w:highlight w:val="none"/>
          <w:u w:val="single"/>
        </w:rPr>
      </w:pPr>
      <w:r>
        <w:rPr>
          <w:rFonts w:hint="eastAsia" w:cs="宋体"/>
          <w:color w:val="auto"/>
          <w:sz w:val="24"/>
          <w:szCs w:val="24"/>
          <w:highlight w:val="none"/>
        </w:rPr>
        <w:t>（2）因</w:t>
      </w:r>
      <w:r>
        <w:rPr>
          <w:rFonts w:hint="eastAsia" w:cs="宋体"/>
          <w:color w:val="auto"/>
          <w:sz w:val="24"/>
          <w:szCs w:val="24"/>
          <w:highlight w:val="none"/>
          <w:lang w:eastAsia="zh-CN"/>
        </w:rPr>
        <w:t>甲方</w:t>
      </w:r>
      <w:r>
        <w:rPr>
          <w:rFonts w:hint="eastAsia" w:cs="宋体"/>
          <w:color w:val="auto"/>
          <w:sz w:val="24"/>
          <w:szCs w:val="24"/>
          <w:highlight w:val="none"/>
        </w:rPr>
        <w:t>原因未能按合同约定支付合同价款的违约责任：</w:t>
      </w:r>
      <w:r>
        <w:rPr>
          <w:rFonts w:hint="eastAsia" w:cs="宋体"/>
          <w:color w:val="auto"/>
          <w:sz w:val="24"/>
          <w:szCs w:val="24"/>
          <w:highlight w:val="none"/>
          <w:u w:val="single"/>
        </w:rPr>
        <w:t xml:space="preserve"> 双方协商</w:t>
      </w:r>
    </w:p>
    <w:p w14:paraId="4665C43B">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u w:val="single"/>
        </w:rPr>
        <w:t xml:space="preserve">解决 </w:t>
      </w:r>
      <w:r>
        <w:rPr>
          <w:rFonts w:hint="eastAsia" w:cs="宋体"/>
          <w:color w:val="auto"/>
          <w:sz w:val="24"/>
          <w:szCs w:val="24"/>
          <w:highlight w:val="none"/>
        </w:rPr>
        <w:t>。</w:t>
      </w:r>
    </w:p>
    <w:p w14:paraId="07F933AC">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（3）</w:t>
      </w:r>
      <w:r>
        <w:rPr>
          <w:rFonts w:hint="eastAsia" w:cs="宋体"/>
          <w:color w:val="auto"/>
          <w:sz w:val="24"/>
          <w:szCs w:val="24"/>
          <w:highlight w:val="none"/>
          <w:lang w:eastAsia="zh-CN"/>
        </w:rPr>
        <w:t>甲方</w:t>
      </w:r>
      <w:r>
        <w:rPr>
          <w:rFonts w:hint="eastAsia" w:cs="宋体"/>
          <w:color w:val="auto"/>
          <w:sz w:val="24"/>
          <w:szCs w:val="24"/>
          <w:highlight w:val="none"/>
        </w:rPr>
        <w:t>违反第10.1款〔变更的范围〕第（2）项约定，自行实施被取消的工作或转由他人实施的违约责任：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262CA12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（4）</w:t>
      </w:r>
      <w:r>
        <w:rPr>
          <w:rFonts w:hint="eastAsia" w:cs="宋体"/>
          <w:color w:val="auto"/>
          <w:sz w:val="24"/>
          <w:szCs w:val="24"/>
          <w:highlight w:val="none"/>
          <w:lang w:eastAsia="zh-CN"/>
        </w:rPr>
        <w:t>甲方</w:t>
      </w:r>
      <w:r>
        <w:rPr>
          <w:rFonts w:hint="eastAsia" w:cs="宋体"/>
          <w:color w:val="auto"/>
          <w:sz w:val="24"/>
          <w:szCs w:val="24"/>
          <w:highlight w:val="none"/>
        </w:rPr>
        <w:t>提供的材料、工程设备的规格、数量或质量不符合合同约定，或因</w:t>
      </w:r>
      <w:r>
        <w:rPr>
          <w:rFonts w:hint="eastAsia" w:cs="宋体"/>
          <w:color w:val="auto"/>
          <w:sz w:val="24"/>
          <w:szCs w:val="24"/>
          <w:highlight w:val="none"/>
          <w:lang w:eastAsia="zh-CN"/>
        </w:rPr>
        <w:t>甲方</w:t>
      </w:r>
      <w:r>
        <w:rPr>
          <w:rFonts w:hint="eastAsia" w:cs="宋体"/>
          <w:color w:val="auto"/>
          <w:sz w:val="24"/>
          <w:szCs w:val="24"/>
          <w:highlight w:val="none"/>
        </w:rPr>
        <w:t>原因导致交货日期延误或交货地点变更等情况的违约责任：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3EA733E7">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（5）因</w:t>
      </w:r>
      <w:r>
        <w:rPr>
          <w:rFonts w:hint="eastAsia" w:cs="宋体"/>
          <w:color w:val="auto"/>
          <w:sz w:val="24"/>
          <w:szCs w:val="24"/>
          <w:highlight w:val="none"/>
          <w:lang w:eastAsia="zh-CN"/>
        </w:rPr>
        <w:t>甲方</w:t>
      </w:r>
      <w:r>
        <w:rPr>
          <w:rFonts w:hint="eastAsia" w:cs="宋体"/>
          <w:color w:val="auto"/>
          <w:sz w:val="24"/>
          <w:szCs w:val="24"/>
          <w:highlight w:val="none"/>
        </w:rPr>
        <w:t>违反合同约定造成暂停施工的违约责任：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77F0B899">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（6）</w:t>
      </w:r>
      <w:r>
        <w:rPr>
          <w:rFonts w:hint="eastAsia" w:cs="宋体"/>
          <w:color w:val="auto"/>
          <w:sz w:val="24"/>
          <w:szCs w:val="24"/>
          <w:highlight w:val="none"/>
          <w:lang w:eastAsia="zh-CN"/>
        </w:rPr>
        <w:t>甲方</w:t>
      </w:r>
      <w:r>
        <w:rPr>
          <w:rFonts w:hint="eastAsia" w:cs="宋体"/>
          <w:color w:val="auto"/>
          <w:sz w:val="24"/>
          <w:szCs w:val="24"/>
          <w:highlight w:val="none"/>
        </w:rPr>
        <w:t>无正当理由没有在约定期限内发出复工指示，导致</w:t>
      </w:r>
      <w:r>
        <w:rPr>
          <w:rFonts w:hint="eastAsia" w:cs="宋体"/>
          <w:color w:val="auto"/>
          <w:sz w:val="24"/>
          <w:szCs w:val="24"/>
          <w:highlight w:val="none"/>
          <w:lang w:eastAsia="zh-CN"/>
        </w:rPr>
        <w:t>乙方</w:t>
      </w:r>
      <w:r>
        <w:rPr>
          <w:rFonts w:hint="eastAsia" w:cs="宋体"/>
          <w:color w:val="auto"/>
          <w:sz w:val="24"/>
          <w:szCs w:val="24"/>
          <w:highlight w:val="none"/>
        </w:rPr>
        <w:t>无法复工的违约责任：</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7A8ED9F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（7）其他：</w:t>
      </w:r>
      <w:r>
        <w:rPr>
          <w:rFonts w:hint="eastAsia" w:cs="宋体"/>
          <w:color w:val="auto"/>
          <w:sz w:val="24"/>
          <w:szCs w:val="24"/>
          <w:highlight w:val="none"/>
          <w:u w:val="single"/>
        </w:rPr>
        <w:t xml:space="preserve"> 双方协商解决  </w:t>
      </w:r>
      <w:r>
        <w:rPr>
          <w:rFonts w:hint="eastAsia" w:cs="宋体"/>
          <w:color w:val="auto"/>
          <w:sz w:val="24"/>
          <w:szCs w:val="24"/>
          <w:highlight w:val="none"/>
        </w:rPr>
        <w:t>。</w:t>
      </w:r>
    </w:p>
    <w:p w14:paraId="1CEB5D4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16.1.3 因</w:t>
      </w:r>
      <w:r>
        <w:rPr>
          <w:rFonts w:hint="eastAsia" w:cs="宋体"/>
          <w:color w:val="auto"/>
          <w:sz w:val="24"/>
          <w:szCs w:val="24"/>
          <w:highlight w:val="none"/>
          <w:lang w:eastAsia="zh-CN"/>
        </w:rPr>
        <w:t>甲方</w:t>
      </w:r>
      <w:r>
        <w:rPr>
          <w:rFonts w:hint="eastAsia" w:cs="宋体"/>
          <w:color w:val="auto"/>
          <w:sz w:val="24"/>
          <w:szCs w:val="24"/>
          <w:highlight w:val="none"/>
        </w:rPr>
        <w:t>违约解除合同</w:t>
      </w:r>
    </w:p>
    <w:p w14:paraId="619187E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按16.1.1项〔</w:t>
      </w:r>
      <w:r>
        <w:rPr>
          <w:rFonts w:hint="eastAsia" w:cs="宋体"/>
          <w:color w:val="auto"/>
          <w:sz w:val="24"/>
          <w:szCs w:val="24"/>
          <w:highlight w:val="none"/>
          <w:lang w:eastAsia="zh-CN"/>
        </w:rPr>
        <w:t>甲方</w:t>
      </w:r>
      <w:r>
        <w:rPr>
          <w:rFonts w:hint="eastAsia" w:cs="宋体"/>
          <w:color w:val="auto"/>
          <w:sz w:val="24"/>
          <w:szCs w:val="24"/>
          <w:highlight w:val="none"/>
        </w:rPr>
        <w:t>违约的情形〕约定暂停施工满</w:t>
      </w:r>
      <w:r>
        <w:rPr>
          <w:rFonts w:hint="eastAsia" w:cs="宋体"/>
          <w:color w:val="auto"/>
          <w:sz w:val="24"/>
          <w:szCs w:val="24"/>
          <w:highlight w:val="none"/>
          <w:u w:val="single"/>
        </w:rPr>
        <w:t>28</w:t>
      </w:r>
      <w:r>
        <w:rPr>
          <w:rFonts w:hint="eastAsia" w:cs="宋体"/>
          <w:color w:val="auto"/>
          <w:sz w:val="24"/>
          <w:szCs w:val="24"/>
          <w:highlight w:val="none"/>
        </w:rPr>
        <w:t>天后</w:t>
      </w:r>
      <w:r>
        <w:rPr>
          <w:rFonts w:hint="eastAsia" w:cs="宋体"/>
          <w:color w:val="auto"/>
          <w:sz w:val="24"/>
          <w:szCs w:val="24"/>
          <w:highlight w:val="none"/>
          <w:lang w:eastAsia="zh-CN"/>
        </w:rPr>
        <w:t>甲方</w:t>
      </w:r>
      <w:r>
        <w:rPr>
          <w:rFonts w:hint="eastAsia" w:cs="宋体"/>
          <w:color w:val="auto"/>
          <w:sz w:val="24"/>
          <w:szCs w:val="24"/>
          <w:highlight w:val="none"/>
        </w:rPr>
        <w:t>仍不纠正其违约行为并致使合同目的不能实现的，</w:t>
      </w:r>
      <w:r>
        <w:rPr>
          <w:rFonts w:hint="eastAsia" w:cs="宋体"/>
          <w:color w:val="auto"/>
          <w:sz w:val="24"/>
          <w:szCs w:val="24"/>
          <w:highlight w:val="none"/>
          <w:lang w:eastAsia="zh-CN"/>
        </w:rPr>
        <w:t>乙方</w:t>
      </w:r>
      <w:r>
        <w:rPr>
          <w:rFonts w:hint="eastAsia" w:cs="宋体"/>
          <w:color w:val="auto"/>
          <w:sz w:val="24"/>
          <w:szCs w:val="24"/>
          <w:highlight w:val="none"/>
        </w:rPr>
        <w:t>有权解除合同。</w:t>
      </w:r>
    </w:p>
    <w:p w14:paraId="0EE8DAFD">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 xml:space="preserve">16.2 </w:t>
      </w:r>
      <w:r>
        <w:rPr>
          <w:rFonts w:hint="eastAsia" w:cs="宋体"/>
          <w:bCs/>
          <w:color w:val="auto"/>
          <w:sz w:val="24"/>
          <w:szCs w:val="24"/>
          <w:highlight w:val="none"/>
          <w:lang w:eastAsia="zh-CN"/>
        </w:rPr>
        <w:t>乙方</w:t>
      </w:r>
      <w:r>
        <w:rPr>
          <w:rFonts w:hint="eastAsia" w:cs="宋体"/>
          <w:bCs/>
          <w:color w:val="auto"/>
          <w:sz w:val="24"/>
          <w:szCs w:val="24"/>
          <w:highlight w:val="none"/>
        </w:rPr>
        <w:t>违约</w:t>
      </w:r>
    </w:p>
    <w:p w14:paraId="0DEDB250">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16.2.1 </w:t>
      </w:r>
      <w:r>
        <w:rPr>
          <w:rFonts w:hint="eastAsia" w:cs="宋体"/>
          <w:color w:val="auto"/>
          <w:sz w:val="24"/>
          <w:szCs w:val="24"/>
          <w:highlight w:val="none"/>
          <w:lang w:eastAsia="zh-CN"/>
        </w:rPr>
        <w:t>乙方</w:t>
      </w:r>
      <w:r>
        <w:rPr>
          <w:rFonts w:hint="eastAsia" w:cs="宋体"/>
          <w:color w:val="auto"/>
          <w:sz w:val="24"/>
          <w:szCs w:val="24"/>
          <w:highlight w:val="none"/>
        </w:rPr>
        <w:t>违约的情形</w:t>
      </w:r>
    </w:p>
    <w:p w14:paraId="6E25105C">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违约的其他情形：</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F31A783">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16.2.2 </w:t>
      </w:r>
      <w:r>
        <w:rPr>
          <w:rFonts w:hint="eastAsia" w:cs="宋体"/>
          <w:color w:val="auto"/>
          <w:sz w:val="24"/>
          <w:szCs w:val="24"/>
          <w:highlight w:val="none"/>
          <w:lang w:eastAsia="zh-CN"/>
        </w:rPr>
        <w:t>乙方</w:t>
      </w:r>
      <w:r>
        <w:rPr>
          <w:rFonts w:hint="eastAsia" w:cs="宋体"/>
          <w:color w:val="auto"/>
          <w:sz w:val="24"/>
          <w:szCs w:val="24"/>
          <w:highlight w:val="none"/>
        </w:rPr>
        <w:t>违约的责任</w:t>
      </w:r>
    </w:p>
    <w:p w14:paraId="09B3EEC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违约责任的承担方式和计算方法：</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C01E08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16.2.3 因</w:t>
      </w:r>
      <w:r>
        <w:rPr>
          <w:rFonts w:hint="eastAsia" w:cs="宋体"/>
          <w:color w:val="auto"/>
          <w:sz w:val="24"/>
          <w:szCs w:val="24"/>
          <w:highlight w:val="none"/>
          <w:lang w:eastAsia="zh-CN"/>
        </w:rPr>
        <w:t>乙方</w:t>
      </w:r>
      <w:r>
        <w:rPr>
          <w:rFonts w:hint="eastAsia" w:cs="宋体"/>
          <w:color w:val="auto"/>
          <w:sz w:val="24"/>
          <w:szCs w:val="24"/>
          <w:highlight w:val="none"/>
        </w:rPr>
        <w:t>违约解除合同</w:t>
      </w:r>
    </w:p>
    <w:p w14:paraId="5D099944">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关于</w:t>
      </w:r>
      <w:r>
        <w:rPr>
          <w:rFonts w:hint="eastAsia" w:cs="宋体"/>
          <w:color w:val="auto"/>
          <w:sz w:val="24"/>
          <w:szCs w:val="24"/>
          <w:highlight w:val="none"/>
          <w:lang w:eastAsia="zh-CN"/>
        </w:rPr>
        <w:t>乙方</w:t>
      </w:r>
      <w:r>
        <w:rPr>
          <w:rFonts w:hint="eastAsia" w:cs="宋体"/>
          <w:color w:val="auto"/>
          <w:sz w:val="24"/>
          <w:szCs w:val="24"/>
          <w:highlight w:val="none"/>
        </w:rPr>
        <w:t>违约解除合同的特别约定：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498AB1B">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继续使用</w:t>
      </w:r>
      <w:r>
        <w:rPr>
          <w:rFonts w:hint="eastAsia" w:cs="宋体"/>
          <w:color w:val="auto"/>
          <w:sz w:val="24"/>
          <w:szCs w:val="24"/>
          <w:highlight w:val="none"/>
          <w:lang w:eastAsia="zh-CN"/>
        </w:rPr>
        <w:t>乙方</w:t>
      </w:r>
      <w:r>
        <w:rPr>
          <w:rFonts w:hint="eastAsia" w:cs="宋体"/>
          <w:color w:val="auto"/>
          <w:sz w:val="24"/>
          <w:szCs w:val="24"/>
          <w:highlight w:val="none"/>
        </w:rPr>
        <w:t>在施工现场的材料、设备、临时工程、</w:t>
      </w:r>
      <w:r>
        <w:rPr>
          <w:rFonts w:hint="eastAsia" w:cs="宋体"/>
          <w:color w:val="auto"/>
          <w:sz w:val="24"/>
          <w:szCs w:val="24"/>
          <w:highlight w:val="none"/>
          <w:lang w:eastAsia="zh-CN"/>
        </w:rPr>
        <w:t>乙方</w:t>
      </w:r>
      <w:r>
        <w:rPr>
          <w:rFonts w:hint="eastAsia" w:cs="宋体"/>
          <w:color w:val="auto"/>
          <w:sz w:val="24"/>
          <w:szCs w:val="24"/>
          <w:highlight w:val="none"/>
        </w:rPr>
        <w:t>文件和由</w:t>
      </w:r>
      <w:r>
        <w:rPr>
          <w:rFonts w:hint="eastAsia" w:cs="宋体"/>
          <w:color w:val="auto"/>
          <w:sz w:val="24"/>
          <w:szCs w:val="24"/>
          <w:highlight w:val="none"/>
          <w:lang w:eastAsia="zh-CN"/>
        </w:rPr>
        <w:t>乙方</w:t>
      </w:r>
      <w:r>
        <w:rPr>
          <w:rFonts w:hint="eastAsia" w:cs="宋体"/>
          <w:color w:val="auto"/>
          <w:sz w:val="24"/>
          <w:szCs w:val="24"/>
          <w:highlight w:val="none"/>
        </w:rPr>
        <w:t>或以其名义编制的其他文件的费用承担方式：</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87E3ED6">
      <w:pPr>
        <w:snapToGrid w:val="0"/>
        <w:spacing w:before="312" w:beforeLines="100" w:after="312" w:afterLines="100" w:line="360" w:lineRule="auto"/>
        <w:outlineLvl w:val="2"/>
        <w:rPr>
          <w:rFonts w:cs="宋体"/>
          <w:color w:val="auto"/>
          <w:sz w:val="24"/>
          <w:szCs w:val="24"/>
          <w:highlight w:val="none"/>
        </w:rPr>
      </w:pPr>
      <w:bookmarkStart w:id="646" w:name="_Toc351203649"/>
      <w:r>
        <w:rPr>
          <w:rFonts w:hint="eastAsia" w:cs="宋体"/>
          <w:color w:val="auto"/>
          <w:sz w:val="24"/>
          <w:szCs w:val="24"/>
          <w:highlight w:val="none"/>
        </w:rPr>
        <w:t>17. 不可抗力</w:t>
      </w:r>
      <w:bookmarkEnd w:id="646"/>
      <w:r>
        <w:rPr>
          <w:rFonts w:hint="eastAsia" w:cs="宋体"/>
          <w:color w:val="auto"/>
          <w:sz w:val="24"/>
          <w:szCs w:val="24"/>
          <w:highlight w:val="none"/>
        </w:rPr>
        <w:t xml:space="preserve"> </w:t>
      </w:r>
      <w:bookmarkEnd w:id="644"/>
    </w:p>
    <w:p w14:paraId="2225010A">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17.1 不可抗力的确认</w:t>
      </w:r>
    </w:p>
    <w:p w14:paraId="78D00178">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除通用合同条款约定的不可抗力事件之外，视为不可抗力的其他情形：</w:t>
      </w:r>
      <w:r>
        <w:rPr>
          <w:rFonts w:hint="eastAsia" w:cs="宋体"/>
          <w:color w:val="auto"/>
          <w:sz w:val="24"/>
          <w:szCs w:val="24"/>
          <w:highlight w:val="none"/>
          <w:u w:val="single"/>
        </w:rPr>
        <w:t>执行通用条款</w:t>
      </w:r>
      <w:r>
        <w:rPr>
          <w:rFonts w:hint="eastAsia" w:cs="宋体"/>
          <w:color w:val="auto"/>
          <w:sz w:val="24"/>
          <w:szCs w:val="24"/>
          <w:highlight w:val="none"/>
        </w:rPr>
        <w:t>。</w:t>
      </w:r>
    </w:p>
    <w:p w14:paraId="2F47AD8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17.4 因不可抗力解除合同</w:t>
      </w:r>
    </w:p>
    <w:p w14:paraId="39C0B0F4">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合同解除后，</w:t>
      </w:r>
      <w:r>
        <w:rPr>
          <w:rFonts w:hint="eastAsia" w:cs="宋体"/>
          <w:color w:val="auto"/>
          <w:sz w:val="24"/>
          <w:szCs w:val="24"/>
          <w:highlight w:val="none"/>
          <w:lang w:eastAsia="zh-CN"/>
        </w:rPr>
        <w:t>甲方</w:t>
      </w:r>
      <w:r>
        <w:rPr>
          <w:rFonts w:hint="eastAsia" w:cs="宋体"/>
          <w:color w:val="auto"/>
          <w:sz w:val="24"/>
          <w:szCs w:val="24"/>
          <w:highlight w:val="none"/>
        </w:rPr>
        <w:t>应在商定或确定</w:t>
      </w:r>
      <w:r>
        <w:rPr>
          <w:rFonts w:hint="eastAsia" w:cs="宋体"/>
          <w:color w:val="auto"/>
          <w:sz w:val="24"/>
          <w:szCs w:val="24"/>
          <w:highlight w:val="none"/>
          <w:lang w:eastAsia="zh-CN"/>
        </w:rPr>
        <w:t>甲方</w:t>
      </w:r>
      <w:r>
        <w:rPr>
          <w:rFonts w:hint="eastAsia" w:cs="宋体"/>
          <w:color w:val="auto"/>
          <w:sz w:val="24"/>
          <w:szCs w:val="24"/>
          <w:highlight w:val="none"/>
        </w:rPr>
        <w:t>应支付款项后</w:t>
      </w:r>
      <w:r>
        <w:rPr>
          <w:rFonts w:hint="eastAsia" w:cs="宋体"/>
          <w:color w:val="auto"/>
          <w:sz w:val="24"/>
          <w:szCs w:val="24"/>
          <w:highlight w:val="none"/>
          <w:u w:val="single"/>
        </w:rPr>
        <w:t>28</w:t>
      </w:r>
      <w:r>
        <w:rPr>
          <w:rFonts w:hint="eastAsia" w:cs="宋体"/>
          <w:color w:val="auto"/>
          <w:sz w:val="24"/>
          <w:szCs w:val="24"/>
          <w:highlight w:val="none"/>
        </w:rPr>
        <w:t>天内完成款项的支付。</w:t>
      </w:r>
    </w:p>
    <w:p w14:paraId="574F0765">
      <w:pPr>
        <w:snapToGrid w:val="0"/>
        <w:spacing w:before="312" w:beforeLines="100" w:after="312" w:afterLines="100" w:line="360" w:lineRule="auto"/>
        <w:outlineLvl w:val="2"/>
        <w:rPr>
          <w:rFonts w:cs="宋体"/>
          <w:color w:val="auto"/>
          <w:sz w:val="24"/>
          <w:szCs w:val="24"/>
          <w:highlight w:val="none"/>
        </w:rPr>
      </w:pPr>
      <w:bookmarkStart w:id="647" w:name="_Toc351203650"/>
      <w:r>
        <w:rPr>
          <w:rFonts w:hint="eastAsia" w:cs="宋体"/>
          <w:color w:val="auto"/>
          <w:sz w:val="24"/>
          <w:szCs w:val="24"/>
          <w:highlight w:val="none"/>
        </w:rPr>
        <w:t>18. 保险</w:t>
      </w:r>
      <w:bookmarkEnd w:id="647"/>
    </w:p>
    <w:bookmarkEnd w:id="645"/>
    <w:p w14:paraId="77D23F38">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18.1 工程保险</w:t>
      </w:r>
    </w:p>
    <w:p w14:paraId="31C6FD5D">
      <w:pPr>
        <w:adjustRightInd w:val="0"/>
        <w:snapToGrid w:val="0"/>
        <w:spacing w:line="360" w:lineRule="auto"/>
        <w:ind w:firstLine="480" w:firstLineChars="200"/>
        <w:rPr>
          <w:rFonts w:cs="宋体"/>
          <w:b/>
          <w:color w:val="auto"/>
          <w:sz w:val="24"/>
          <w:szCs w:val="24"/>
          <w:highlight w:val="none"/>
        </w:rPr>
      </w:pPr>
      <w:r>
        <w:rPr>
          <w:rFonts w:hint="eastAsia" w:cs="宋体"/>
          <w:color w:val="auto"/>
          <w:sz w:val="24"/>
          <w:szCs w:val="24"/>
          <w:highlight w:val="none"/>
        </w:rPr>
        <w:t>关于工程保险的特别约定：</w:t>
      </w:r>
      <w:r>
        <w:rPr>
          <w:rFonts w:hint="eastAsia" w:cs="宋体"/>
          <w:b/>
          <w:color w:val="auto"/>
          <w:sz w:val="24"/>
          <w:szCs w:val="24"/>
          <w:highlight w:val="none"/>
          <w:u w:val="single"/>
        </w:rPr>
        <w:t xml:space="preserve">  </w:t>
      </w:r>
      <w:r>
        <w:rPr>
          <w:rFonts w:hint="eastAsia" w:cs="宋体"/>
          <w:b/>
          <w:color w:val="auto"/>
          <w:sz w:val="24"/>
          <w:szCs w:val="24"/>
          <w:highlight w:val="none"/>
          <w:u w:val="single"/>
          <w:lang w:eastAsia="zh-CN"/>
        </w:rPr>
        <w:t>乙方</w:t>
      </w:r>
      <w:r>
        <w:rPr>
          <w:rFonts w:hint="eastAsia" w:cs="宋体"/>
          <w:b/>
          <w:color w:val="auto"/>
          <w:sz w:val="24"/>
          <w:szCs w:val="24"/>
          <w:highlight w:val="none"/>
          <w:u w:val="single"/>
        </w:rPr>
        <w:t>应投保</w:t>
      </w:r>
      <w:r>
        <w:rPr>
          <w:rFonts w:hint="eastAsia" w:cs="宋体"/>
          <w:b/>
          <w:color w:val="auto"/>
          <w:sz w:val="24"/>
          <w:szCs w:val="24"/>
          <w:highlight w:val="none"/>
          <w:u w:val="single"/>
          <w:lang w:val="en-US" w:eastAsia="zh-CN"/>
        </w:rPr>
        <w:t>建筑</w:t>
      </w:r>
      <w:r>
        <w:rPr>
          <w:rFonts w:hint="eastAsia" w:cs="宋体"/>
          <w:b/>
          <w:color w:val="auto"/>
          <w:sz w:val="24"/>
          <w:szCs w:val="24"/>
          <w:highlight w:val="none"/>
          <w:u w:val="single"/>
        </w:rPr>
        <w:t xml:space="preserve">工程一切险或安装工程一切险  </w:t>
      </w:r>
      <w:r>
        <w:rPr>
          <w:rFonts w:hint="eastAsia" w:cs="宋体"/>
          <w:b/>
          <w:color w:val="auto"/>
          <w:sz w:val="24"/>
          <w:szCs w:val="24"/>
          <w:highlight w:val="none"/>
        </w:rPr>
        <w:t>。</w:t>
      </w:r>
    </w:p>
    <w:p w14:paraId="5E12166E">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18.3 其他保险</w:t>
      </w:r>
    </w:p>
    <w:p w14:paraId="4D56A5B6">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cs="宋体"/>
          <w:color w:val="auto"/>
          <w:sz w:val="24"/>
          <w:szCs w:val="24"/>
          <w:highlight w:val="none"/>
        </w:rPr>
        <w:t>关于其他保险的约定：</w:t>
      </w:r>
      <w:r>
        <w:rPr>
          <w:rFonts w:hint="eastAsia" w:ascii="宋体" w:hAnsi="宋体" w:eastAsia="宋体" w:cs="宋体"/>
          <w:b/>
          <w:bCs/>
          <w:color w:val="auto"/>
          <w:sz w:val="24"/>
          <w:szCs w:val="24"/>
          <w:highlight w:val="none"/>
          <w:u w:val="single"/>
          <w:lang w:eastAsia="zh-CN"/>
        </w:rPr>
        <w:t>乙方</w:t>
      </w:r>
      <w:r>
        <w:rPr>
          <w:rFonts w:hint="eastAsia" w:ascii="宋体" w:hAnsi="宋体" w:eastAsia="宋体" w:cs="宋体"/>
          <w:b/>
          <w:bCs/>
          <w:color w:val="auto"/>
          <w:sz w:val="24"/>
          <w:szCs w:val="24"/>
          <w:highlight w:val="none"/>
          <w:u w:val="single"/>
        </w:rPr>
        <w:t>须为</w:t>
      </w:r>
      <w:r>
        <w:rPr>
          <w:rFonts w:hint="eastAsia" w:cs="宋体"/>
          <w:b/>
          <w:bCs/>
          <w:color w:val="auto"/>
          <w:sz w:val="24"/>
          <w:szCs w:val="24"/>
          <w:highlight w:val="none"/>
          <w:u w:val="single"/>
          <w:lang w:val="en-US" w:eastAsia="zh-CN"/>
        </w:rPr>
        <w:t>本项目</w:t>
      </w:r>
      <w:r>
        <w:rPr>
          <w:rFonts w:hint="eastAsia" w:cs="宋体"/>
          <w:b/>
          <w:bCs/>
          <w:color w:val="auto"/>
          <w:sz w:val="24"/>
          <w:szCs w:val="24"/>
          <w:highlight w:val="none"/>
          <w:u w:val="single"/>
        </w:rPr>
        <w:t>所有从业人员购买以下保险（二者任选其一）：雇主责任险或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rPr>
        <w:t>，其保险费已包含在签约合同价中。</w:t>
      </w:r>
    </w:p>
    <w:p w14:paraId="39D18A89">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lang w:eastAsia="zh-CN"/>
        </w:rPr>
        <w:t>乙方</w:t>
      </w:r>
      <w:r>
        <w:rPr>
          <w:rFonts w:hint="eastAsia" w:cs="宋体"/>
          <w:color w:val="auto"/>
          <w:sz w:val="24"/>
          <w:szCs w:val="24"/>
          <w:highlight w:val="none"/>
        </w:rPr>
        <w:t>是否应为其施工设备等办理财产保险：</w:t>
      </w:r>
      <w:r>
        <w:rPr>
          <w:rFonts w:hint="eastAsia" w:cs="宋体"/>
          <w:color w:val="auto"/>
          <w:sz w:val="24"/>
          <w:szCs w:val="24"/>
          <w:highlight w:val="none"/>
          <w:u w:val="single"/>
        </w:rPr>
        <w:t>执行通用条款</w:t>
      </w:r>
      <w:r>
        <w:rPr>
          <w:rFonts w:hint="eastAsia" w:cs="宋体"/>
          <w:color w:val="auto"/>
          <w:sz w:val="24"/>
          <w:szCs w:val="24"/>
          <w:highlight w:val="none"/>
        </w:rPr>
        <w:t>。</w:t>
      </w:r>
    </w:p>
    <w:p w14:paraId="5CC3CC7D">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18.7 通知义务</w:t>
      </w:r>
    </w:p>
    <w:p w14:paraId="06E72200">
      <w:pPr>
        <w:adjustRightInd w:val="0"/>
        <w:snapToGrid w:val="0"/>
        <w:spacing w:line="360" w:lineRule="auto"/>
        <w:ind w:firstLine="480" w:firstLineChars="200"/>
        <w:rPr>
          <w:rFonts w:cs="宋体"/>
          <w:b/>
          <w:color w:val="auto"/>
          <w:sz w:val="24"/>
          <w:szCs w:val="24"/>
          <w:highlight w:val="none"/>
          <w:u w:val="single"/>
        </w:rPr>
      </w:pPr>
      <w:r>
        <w:rPr>
          <w:rFonts w:hint="eastAsia" w:cs="宋体"/>
          <w:color w:val="auto"/>
          <w:sz w:val="24"/>
          <w:szCs w:val="24"/>
          <w:highlight w:val="none"/>
        </w:rPr>
        <w:t>关于变更保险合同时的通知义务的约定：</w:t>
      </w:r>
      <w:r>
        <w:rPr>
          <w:rFonts w:hint="eastAsia" w:cs="宋体"/>
          <w:color w:val="auto"/>
          <w:sz w:val="24"/>
          <w:szCs w:val="24"/>
          <w:highlight w:val="none"/>
          <w:u w:val="single"/>
        </w:rPr>
        <w:t>执行通用条款</w:t>
      </w:r>
      <w:r>
        <w:rPr>
          <w:rFonts w:hint="eastAsia" w:cs="宋体"/>
          <w:color w:val="auto"/>
          <w:sz w:val="24"/>
          <w:szCs w:val="24"/>
          <w:highlight w:val="none"/>
        </w:rPr>
        <w:t>。</w:t>
      </w:r>
    </w:p>
    <w:bookmarkEnd w:id="621"/>
    <w:bookmarkEnd w:id="622"/>
    <w:bookmarkEnd w:id="623"/>
    <w:bookmarkEnd w:id="624"/>
    <w:bookmarkEnd w:id="625"/>
    <w:bookmarkEnd w:id="626"/>
    <w:bookmarkEnd w:id="627"/>
    <w:bookmarkEnd w:id="628"/>
    <w:bookmarkEnd w:id="629"/>
    <w:bookmarkEnd w:id="630"/>
    <w:bookmarkEnd w:id="631"/>
    <w:bookmarkEnd w:id="632"/>
    <w:p w14:paraId="3563C9DB">
      <w:pPr>
        <w:snapToGrid w:val="0"/>
        <w:spacing w:before="312" w:beforeLines="100" w:after="312" w:afterLines="100" w:line="360" w:lineRule="auto"/>
        <w:outlineLvl w:val="2"/>
        <w:rPr>
          <w:rFonts w:cs="宋体"/>
          <w:color w:val="auto"/>
          <w:sz w:val="24"/>
          <w:szCs w:val="24"/>
          <w:highlight w:val="none"/>
        </w:rPr>
      </w:pPr>
      <w:bookmarkStart w:id="648" w:name="_Toc351203651"/>
      <w:r>
        <w:rPr>
          <w:rFonts w:hint="eastAsia" w:cs="宋体"/>
          <w:color w:val="auto"/>
          <w:sz w:val="24"/>
          <w:szCs w:val="24"/>
          <w:highlight w:val="none"/>
        </w:rPr>
        <w:t>20. 争议解决</w:t>
      </w:r>
      <w:bookmarkEnd w:id="648"/>
    </w:p>
    <w:bookmarkEnd w:id="633"/>
    <w:bookmarkEnd w:id="634"/>
    <w:p w14:paraId="7D9F1652">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20.3 争</w:t>
      </w:r>
      <w:bookmarkEnd w:id="635"/>
      <w:r>
        <w:rPr>
          <w:rFonts w:hint="eastAsia" w:cs="宋体"/>
          <w:bCs/>
          <w:color w:val="auto"/>
          <w:sz w:val="24"/>
          <w:szCs w:val="24"/>
          <w:highlight w:val="none"/>
        </w:rPr>
        <w:t>议评审</w:t>
      </w:r>
    </w:p>
    <w:p w14:paraId="2C52B37E">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合同当事人是否同意将工程争议提交争议评审小组决定：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0A8E368">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20.3.1 争议评审小组的确定</w:t>
      </w:r>
    </w:p>
    <w:p w14:paraId="2DBC0828">
      <w:pPr>
        <w:adjustRightInd w:val="0"/>
        <w:snapToGrid w:val="0"/>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争议评审小组成员的确定：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EA02A4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选定争议评审员的期限：</w:t>
      </w:r>
      <w:r>
        <w:rPr>
          <w:rFonts w:hint="eastAsia" w:cs="宋体"/>
          <w:color w:val="auto"/>
          <w:sz w:val="24"/>
          <w:szCs w:val="24"/>
          <w:highlight w:val="none"/>
          <w:u w:val="single"/>
        </w:rPr>
        <w:t xml:space="preserve">                               </w:t>
      </w:r>
      <w:r>
        <w:rPr>
          <w:rFonts w:hint="eastAsia" w:cs="宋体"/>
          <w:color w:val="auto"/>
          <w:sz w:val="24"/>
          <w:szCs w:val="24"/>
          <w:highlight w:val="none"/>
        </w:rPr>
        <w:t>。</w:t>
      </w:r>
    </w:p>
    <w:p w14:paraId="2AF31E1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争议评审小组成员的报酬承担方式：</w:t>
      </w:r>
      <w:r>
        <w:rPr>
          <w:rFonts w:hint="eastAsia" w:cs="宋体"/>
          <w:color w:val="auto"/>
          <w:sz w:val="24"/>
          <w:szCs w:val="24"/>
          <w:highlight w:val="none"/>
          <w:u w:val="single"/>
        </w:rPr>
        <w:t xml:space="preserve">                     </w:t>
      </w:r>
      <w:r>
        <w:rPr>
          <w:rFonts w:hint="eastAsia" w:cs="宋体"/>
          <w:color w:val="auto"/>
          <w:sz w:val="24"/>
          <w:szCs w:val="24"/>
          <w:highlight w:val="none"/>
        </w:rPr>
        <w:t>。</w:t>
      </w:r>
    </w:p>
    <w:p w14:paraId="1FC4969F">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其他事项的约定：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EE143E7">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20.3.2 争议评审小组的决定</w:t>
      </w:r>
    </w:p>
    <w:p w14:paraId="4D6ABF9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合同当事人关于本项的约定：</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7F22997">
      <w:pPr>
        <w:keepNext/>
        <w:keepLines/>
        <w:snapToGrid w:val="0"/>
        <w:spacing w:before="120" w:after="120" w:line="360" w:lineRule="auto"/>
        <w:ind w:firstLine="480" w:firstLineChars="200"/>
        <w:outlineLvl w:val="3"/>
        <w:rPr>
          <w:rFonts w:cs="宋体"/>
          <w:bCs/>
          <w:color w:val="auto"/>
          <w:sz w:val="24"/>
          <w:szCs w:val="24"/>
          <w:highlight w:val="none"/>
        </w:rPr>
      </w:pPr>
      <w:r>
        <w:rPr>
          <w:rFonts w:hint="eastAsia" w:cs="宋体"/>
          <w:bCs/>
          <w:color w:val="auto"/>
          <w:sz w:val="24"/>
          <w:szCs w:val="24"/>
          <w:highlight w:val="none"/>
        </w:rPr>
        <w:t>20.4 仲裁或诉讼</w:t>
      </w:r>
      <w:bookmarkEnd w:id="636"/>
    </w:p>
    <w:bookmarkEnd w:id="637"/>
    <w:bookmarkEnd w:id="638"/>
    <w:bookmarkEnd w:id="639"/>
    <w:bookmarkEnd w:id="640"/>
    <w:bookmarkEnd w:id="641"/>
    <w:bookmarkEnd w:id="642"/>
    <w:p w14:paraId="4CE25AE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因合同及合同有关事项发生的争议，按下列</w:t>
      </w:r>
      <w:r>
        <w:rPr>
          <w:rFonts w:hint="eastAsia" w:cs="宋体"/>
          <w:b/>
          <w:bCs/>
          <w:color w:val="auto"/>
          <w:sz w:val="24"/>
          <w:szCs w:val="24"/>
          <w:highlight w:val="none"/>
        </w:rPr>
        <w:t>第</w:t>
      </w:r>
      <w:r>
        <w:rPr>
          <w:rFonts w:hint="eastAsia" w:cs="宋体"/>
          <w:b/>
          <w:bCs/>
          <w:color w:val="auto"/>
          <w:sz w:val="24"/>
          <w:szCs w:val="24"/>
          <w:highlight w:val="none"/>
          <w:u w:val="single"/>
        </w:rPr>
        <w:t xml:space="preserve"> 2 </w:t>
      </w:r>
      <w:r>
        <w:rPr>
          <w:rFonts w:hint="eastAsia" w:cs="宋体"/>
          <w:b/>
          <w:bCs/>
          <w:color w:val="auto"/>
          <w:sz w:val="24"/>
          <w:szCs w:val="24"/>
          <w:highlight w:val="none"/>
        </w:rPr>
        <w:t>种</w:t>
      </w:r>
      <w:r>
        <w:rPr>
          <w:rFonts w:hint="eastAsia" w:cs="宋体"/>
          <w:color w:val="auto"/>
          <w:sz w:val="24"/>
          <w:szCs w:val="24"/>
          <w:highlight w:val="none"/>
        </w:rPr>
        <w:t>方式解决：</w:t>
      </w:r>
    </w:p>
    <w:p w14:paraId="31B57D7C">
      <w:pPr>
        <w:numPr>
          <w:ilvl w:val="0"/>
          <w:numId w:val="6"/>
        </w:num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向</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 xml:space="preserve">法人证书登记的住所地 </w:t>
      </w:r>
      <w:r>
        <w:rPr>
          <w:rFonts w:hint="eastAsia" w:cs="宋体"/>
          <w:color w:val="auto"/>
          <w:sz w:val="24"/>
          <w:szCs w:val="24"/>
          <w:highlight w:val="none"/>
        </w:rPr>
        <w:t>仲裁委员会申请仲裁；</w:t>
      </w:r>
    </w:p>
    <w:p w14:paraId="2174F7B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（2）向</w:t>
      </w:r>
      <w:r>
        <w:rPr>
          <w:rFonts w:hint="eastAsia"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val="en-US" w:eastAsia="zh-CN"/>
        </w:rPr>
        <w:t>法人证书登记的住所地</w:t>
      </w:r>
      <w:r>
        <w:rPr>
          <w:rFonts w:hint="eastAsia" w:cs="宋体"/>
          <w:color w:val="auto"/>
          <w:sz w:val="24"/>
          <w:szCs w:val="24"/>
          <w:highlight w:val="none"/>
        </w:rPr>
        <w:t>人民法院起诉。</w:t>
      </w:r>
    </w:p>
    <w:p w14:paraId="5229FE01">
      <w:pPr>
        <w:snapToGrid w:val="0"/>
        <w:spacing w:before="312" w:beforeLines="100" w:after="312" w:afterLines="100" w:line="360" w:lineRule="auto"/>
        <w:outlineLvl w:val="2"/>
        <w:rPr>
          <w:rFonts w:hint="eastAsia" w:cs="宋体"/>
          <w:color w:val="auto"/>
          <w:sz w:val="24"/>
          <w:szCs w:val="24"/>
          <w:highlight w:val="none"/>
        </w:rPr>
      </w:pPr>
      <w:r>
        <w:rPr>
          <w:rFonts w:hint="eastAsia" w:cs="宋体"/>
          <w:color w:val="auto"/>
          <w:sz w:val="24"/>
          <w:szCs w:val="24"/>
          <w:highlight w:val="none"/>
        </w:rPr>
        <w:t xml:space="preserve">21. 补充条款 </w:t>
      </w:r>
    </w:p>
    <w:p w14:paraId="791ABA82">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微软简标宋"/>
          <w:color w:val="auto"/>
          <w:sz w:val="24"/>
          <w:szCs w:val="24"/>
          <w:highlight w:val="none"/>
          <w:lang w:val="en-US" w:eastAsia="zh-CN"/>
        </w:rPr>
      </w:pP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2A67CC7D">
      <w:pPr>
        <w:snapToGrid w:val="0"/>
        <w:spacing w:line="360" w:lineRule="auto"/>
        <w:rPr>
          <w:rFonts w:cs="宋体"/>
          <w:b/>
          <w:color w:val="auto"/>
          <w:sz w:val="24"/>
          <w:szCs w:val="24"/>
          <w:highlight w:val="none"/>
        </w:rPr>
      </w:pPr>
    </w:p>
    <w:p w14:paraId="1DA65DC6">
      <w:pPr>
        <w:snapToGrid w:val="0"/>
        <w:spacing w:line="360" w:lineRule="auto"/>
        <w:rPr>
          <w:rFonts w:cs="宋体"/>
          <w:color w:val="auto"/>
          <w:sz w:val="24"/>
          <w:szCs w:val="24"/>
          <w:highlight w:val="none"/>
        </w:rPr>
      </w:pPr>
      <w:r>
        <w:rPr>
          <w:rFonts w:hint="eastAsia" w:cs="宋体"/>
          <w:color w:val="auto"/>
          <w:sz w:val="24"/>
          <w:szCs w:val="24"/>
          <w:highlight w:val="none"/>
          <w:lang w:eastAsia="zh-CN"/>
        </w:rPr>
        <w:t>甲方</w:t>
      </w:r>
      <w:r>
        <w:rPr>
          <w:rFonts w:hint="eastAsia" w:cs="宋体"/>
          <w:color w:val="auto"/>
          <w:sz w:val="24"/>
          <w:szCs w:val="24"/>
          <w:highlight w:val="none"/>
        </w:rPr>
        <w:t xml:space="preserve">：  （公章）                           </w:t>
      </w:r>
      <w:r>
        <w:rPr>
          <w:rFonts w:hint="eastAsia" w:cs="宋体"/>
          <w:color w:val="auto"/>
          <w:sz w:val="24"/>
          <w:szCs w:val="24"/>
          <w:highlight w:val="none"/>
          <w:lang w:eastAsia="zh-CN"/>
        </w:rPr>
        <w:t>乙方</w:t>
      </w:r>
      <w:r>
        <w:rPr>
          <w:rFonts w:hint="eastAsia" w:cs="宋体"/>
          <w:color w:val="auto"/>
          <w:sz w:val="24"/>
          <w:szCs w:val="24"/>
          <w:highlight w:val="none"/>
        </w:rPr>
        <w:t>：  （公章）</w:t>
      </w:r>
    </w:p>
    <w:p w14:paraId="6AF6C62D">
      <w:pPr>
        <w:snapToGrid w:val="0"/>
        <w:spacing w:line="360" w:lineRule="auto"/>
        <w:rPr>
          <w:rFonts w:cs="宋体"/>
          <w:color w:val="auto"/>
          <w:sz w:val="24"/>
          <w:szCs w:val="24"/>
          <w:highlight w:val="none"/>
        </w:rPr>
      </w:pPr>
      <w:r>
        <w:rPr>
          <w:rFonts w:hint="eastAsia" w:cs="宋体"/>
          <w:color w:val="auto"/>
          <w:sz w:val="24"/>
          <w:szCs w:val="24"/>
          <w:highlight w:val="none"/>
        </w:rPr>
        <w:t>法定代表人或其委托代理人：                 法定代表人或其委托代理人：</w:t>
      </w:r>
    </w:p>
    <w:p w14:paraId="153D82E9">
      <w:pPr>
        <w:snapToGrid w:val="0"/>
        <w:spacing w:line="360" w:lineRule="auto"/>
        <w:rPr>
          <w:rFonts w:cs="宋体"/>
          <w:color w:val="auto"/>
          <w:sz w:val="24"/>
          <w:szCs w:val="24"/>
          <w:highlight w:val="none"/>
        </w:rPr>
      </w:pPr>
      <w:r>
        <w:rPr>
          <w:rFonts w:hint="eastAsia" w:cs="宋体"/>
          <w:color w:val="auto"/>
          <w:sz w:val="24"/>
          <w:szCs w:val="24"/>
          <w:highlight w:val="none"/>
        </w:rPr>
        <w:t>（签字）                                  （签字）</w:t>
      </w:r>
    </w:p>
    <w:p w14:paraId="3BD0418E">
      <w:pPr>
        <w:snapToGrid w:val="0"/>
        <w:spacing w:line="360" w:lineRule="auto"/>
        <w:rPr>
          <w:rFonts w:cs="宋体"/>
          <w:color w:val="auto"/>
          <w:sz w:val="24"/>
          <w:szCs w:val="24"/>
          <w:highlight w:val="none"/>
        </w:rPr>
      </w:pPr>
      <w:r>
        <w:rPr>
          <w:rFonts w:hint="eastAsia" w:cs="宋体"/>
          <w:color w:val="auto"/>
          <w:sz w:val="24"/>
          <w:szCs w:val="24"/>
          <w:highlight w:val="none"/>
        </w:rPr>
        <w:t>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组织机构代码：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w:t>
      </w:r>
    </w:p>
    <w:p w14:paraId="267ADC96">
      <w:pPr>
        <w:snapToGrid w:val="0"/>
        <w:spacing w:line="360" w:lineRule="auto"/>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      </w:t>
      </w:r>
    </w:p>
    <w:p w14:paraId="67FFDA14">
      <w:pPr>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7E8649E6">
      <w:pPr>
        <w:snapToGrid w:val="0"/>
        <w:spacing w:line="360" w:lineRule="auto"/>
        <w:rPr>
          <w:rFonts w:cs="宋体"/>
          <w:color w:val="auto"/>
          <w:sz w:val="24"/>
          <w:szCs w:val="24"/>
          <w:highlight w:val="none"/>
        </w:rPr>
      </w:pPr>
      <w:r>
        <w:rPr>
          <w:rFonts w:hint="eastAsia" w:cs="宋体"/>
          <w:color w:val="auto"/>
          <w:sz w:val="24"/>
          <w:szCs w:val="24"/>
          <w:highlight w:val="none"/>
        </w:rPr>
        <w:t>法定代表人：</w:t>
      </w:r>
      <w:r>
        <w:rPr>
          <w:rFonts w:hint="eastAsia" w:cs="宋体"/>
          <w:color w:val="auto"/>
          <w:sz w:val="24"/>
          <w:szCs w:val="24"/>
          <w:highlight w:val="none"/>
          <w:u w:val="single"/>
        </w:rPr>
        <w:t xml:space="preserve">           </w:t>
      </w:r>
      <w:r>
        <w:rPr>
          <w:rFonts w:hint="eastAsia" w:cs="宋体"/>
          <w:color w:val="auto"/>
          <w:sz w:val="24"/>
          <w:szCs w:val="24"/>
          <w:highlight w:val="none"/>
        </w:rPr>
        <w:t xml:space="preserve">                法定代表人：</w:t>
      </w:r>
      <w:r>
        <w:rPr>
          <w:rFonts w:hint="eastAsia" w:cs="宋体"/>
          <w:color w:val="auto"/>
          <w:sz w:val="24"/>
          <w:szCs w:val="24"/>
          <w:highlight w:val="none"/>
          <w:u w:val="single"/>
        </w:rPr>
        <w:t xml:space="preserve">             </w:t>
      </w:r>
    </w:p>
    <w:p w14:paraId="056E03B9">
      <w:pPr>
        <w:snapToGrid w:val="0"/>
        <w:spacing w:line="360" w:lineRule="auto"/>
        <w:rPr>
          <w:rFonts w:cs="宋体"/>
          <w:color w:val="auto"/>
          <w:sz w:val="24"/>
          <w:szCs w:val="24"/>
          <w:highlight w:val="none"/>
        </w:rPr>
      </w:pPr>
      <w:r>
        <w:rPr>
          <w:rFonts w:hint="eastAsia" w:cs="宋体"/>
          <w:color w:val="auto"/>
          <w:sz w:val="24"/>
          <w:szCs w:val="24"/>
          <w:highlight w:val="none"/>
        </w:rPr>
        <w:t>委托代理人：</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w:t>
      </w:r>
      <w:r>
        <w:rPr>
          <w:rFonts w:hint="eastAsia" w:cs="宋体"/>
          <w:color w:val="auto"/>
          <w:sz w:val="24"/>
          <w:szCs w:val="24"/>
          <w:highlight w:val="none"/>
          <w:u w:val="single"/>
        </w:rPr>
        <w:t xml:space="preserve">             </w:t>
      </w:r>
    </w:p>
    <w:p w14:paraId="2C0EF81B">
      <w:pPr>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16A906DC">
      <w:pPr>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5A608D9C">
      <w:pPr>
        <w:snapToGrid w:val="0"/>
        <w:spacing w:line="360" w:lineRule="auto"/>
        <w:rPr>
          <w:rFonts w:cs="宋体"/>
          <w:color w:val="auto"/>
          <w:sz w:val="24"/>
          <w:szCs w:val="24"/>
          <w:highlight w:val="none"/>
        </w:rPr>
      </w:pPr>
      <w:r>
        <w:rPr>
          <w:rFonts w:hint="eastAsia" w:cs="宋体"/>
          <w:color w:val="auto"/>
          <w:sz w:val="24"/>
          <w:szCs w:val="24"/>
          <w:highlight w:val="none"/>
        </w:rPr>
        <w:t>电子信箱：</w:t>
      </w:r>
      <w:r>
        <w:rPr>
          <w:rFonts w:hint="eastAsia" w:cs="宋体"/>
          <w:color w:val="auto"/>
          <w:sz w:val="24"/>
          <w:szCs w:val="24"/>
          <w:highlight w:val="none"/>
          <w:u w:val="single"/>
        </w:rPr>
        <w:t xml:space="preserve">                 </w:t>
      </w:r>
      <w:r>
        <w:rPr>
          <w:rFonts w:hint="eastAsia" w:cs="宋体"/>
          <w:color w:val="auto"/>
          <w:sz w:val="24"/>
          <w:szCs w:val="24"/>
          <w:highlight w:val="none"/>
        </w:rPr>
        <w:t xml:space="preserve">                电子信箱：</w:t>
      </w:r>
      <w:r>
        <w:rPr>
          <w:rFonts w:hint="eastAsia" w:cs="宋体"/>
          <w:color w:val="auto"/>
          <w:sz w:val="24"/>
          <w:szCs w:val="24"/>
          <w:highlight w:val="none"/>
          <w:u w:val="single"/>
        </w:rPr>
        <w:t xml:space="preserve">   </w:t>
      </w:r>
    </w:p>
    <w:p w14:paraId="70F82839">
      <w:pPr>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0DF88786">
      <w:pPr>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bookmarkEnd w:id="115"/>
    <w:p w14:paraId="58BF583D">
      <w:pPr>
        <w:spacing w:before="312" w:beforeLines="100" w:after="312" w:afterLines="100"/>
        <w:outlineLvl w:val="2"/>
        <w:rPr>
          <w:rFonts w:ascii="Times New Roman" w:eastAsia="黑体"/>
          <w:color w:val="auto"/>
          <w:sz w:val="24"/>
          <w:szCs w:val="24"/>
          <w:highlight w:val="none"/>
        </w:rPr>
      </w:pPr>
      <w:r>
        <w:rPr>
          <w:rFonts w:hint="eastAsia" w:cs="宋体"/>
          <w:bCs/>
          <w:color w:val="auto"/>
          <w:sz w:val="24"/>
          <w:szCs w:val="24"/>
          <w:highlight w:val="none"/>
        </w:rPr>
        <w:br w:type="page"/>
      </w:r>
      <w:bookmarkStart w:id="649" w:name="_Toc128950236"/>
      <w:r>
        <w:rPr>
          <w:rFonts w:hint="eastAsia" w:ascii="Times New Roman" w:eastAsia="黑体"/>
          <w:color w:val="auto"/>
          <w:sz w:val="24"/>
          <w:szCs w:val="24"/>
          <w:highlight w:val="none"/>
        </w:rPr>
        <w:t>附</w:t>
      </w:r>
      <w:bookmarkStart w:id="650" w:name="_Toc296891053"/>
      <w:bookmarkStart w:id="651" w:name="_Toc296347224"/>
      <w:bookmarkStart w:id="652" w:name="_Toc267261692"/>
      <w:bookmarkStart w:id="653" w:name="_Toc296503225"/>
      <w:bookmarkStart w:id="654" w:name="_Toc296944564"/>
      <w:bookmarkStart w:id="655" w:name="_Toc296891265"/>
      <w:bookmarkStart w:id="656" w:name="_Toc296346726"/>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w:t>
      </w:r>
      <w:bookmarkEnd w:id="649"/>
      <w:bookmarkEnd w:id="650"/>
      <w:bookmarkEnd w:id="651"/>
      <w:bookmarkEnd w:id="652"/>
      <w:bookmarkEnd w:id="653"/>
      <w:bookmarkEnd w:id="654"/>
      <w:bookmarkEnd w:id="655"/>
      <w:bookmarkEnd w:id="656"/>
      <w:bookmarkStart w:id="657" w:name="_Toc128950238"/>
      <w:bookmarkStart w:id="658" w:name="_Toc128950243"/>
      <w:r>
        <w:rPr>
          <w:rFonts w:hint="eastAsia" w:ascii="Times New Roman" w:eastAsia="黑体"/>
          <w:color w:val="auto"/>
          <w:sz w:val="24"/>
          <w:szCs w:val="24"/>
          <w:highlight w:val="none"/>
        </w:rPr>
        <w:t>廉政协议</w:t>
      </w:r>
    </w:p>
    <w:p w14:paraId="091B709F">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0B07099A">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659" w:name="OLE_LINK10"/>
      <w:bookmarkStart w:id="660" w:name="OLE_LINK11"/>
    </w:p>
    <w:bookmarkEnd w:id="659"/>
    <w:bookmarkEnd w:id="660"/>
    <w:p w14:paraId="3C2B293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0E81CBE6">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03377BE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F0C4A9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24A5F18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12D89EA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1DA2405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0273F18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17963696">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4C0CEC3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18E97A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4032802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43883D4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04551106">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139A1366">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736AAC7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4EFD11E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1CB67ECE">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79AEC4A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4832FF7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04E7392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532EB91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61AAFDB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48E7BF4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0664241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66E39D4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ECC3A2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46664088">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6CA041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1D1F371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40453D9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2F6A8F1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12F07B2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4DF74D5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6E33CC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0BF8986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150090C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19CD3C2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bookmarkStart w:id="661" w:name="OLE_LINK26"/>
      <w:r>
        <w:rPr>
          <w:rFonts w:hint="eastAsia" w:cs="宋体"/>
          <w:color w:val="auto"/>
          <w:sz w:val="24"/>
          <w:szCs w:val="24"/>
          <w:highlight w:val="none"/>
        </w:rPr>
        <w:t>乙方（盖章）：</w:t>
      </w:r>
      <w:r>
        <w:rPr>
          <w:rFonts w:hint="eastAsia" w:cs="宋体"/>
          <w:color w:val="auto"/>
          <w:sz w:val="24"/>
          <w:szCs w:val="24"/>
          <w:highlight w:val="none"/>
          <w:u w:val="single"/>
        </w:rPr>
        <w:t xml:space="preserve">             </w:t>
      </w:r>
    </w:p>
    <w:p w14:paraId="24A1CA7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08A4F9E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bookmarkEnd w:id="661"/>
    <w:p w14:paraId="52926282">
      <w:pPr>
        <w:widowControl/>
        <w:spacing w:line="360" w:lineRule="auto"/>
        <w:ind w:firstLine="5040" w:firstLineChars="2100"/>
        <w:jc w:val="left"/>
        <w:rPr>
          <w:rFonts w:hint="eastAsia" w:cs="宋体"/>
          <w:color w:val="auto"/>
          <w:sz w:val="24"/>
          <w:szCs w:val="24"/>
          <w:highlight w:val="none"/>
        </w:rPr>
      </w:pPr>
    </w:p>
    <w:p w14:paraId="261277D1">
      <w:pPr>
        <w:widowControl/>
        <w:spacing w:line="360" w:lineRule="auto"/>
        <w:ind w:firstLine="5040" w:firstLineChars="2100"/>
        <w:jc w:val="left"/>
        <w:rPr>
          <w:rFonts w:hint="eastAsia" w:cs="宋体"/>
          <w:color w:val="auto"/>
          <w:sz w:val="24"/>
          <w:szCs w:val="24"/>
          <w:highlight w:val="none"/>
        </w:rPr>
      </w:pPr>
    </w:p>
    <w:p w14:paraId="60F6B5C1">
      <w:pPr>
        <w:rPr>
          <w:highlight w:val="none"/>
        </w:rPr>
      </w:pPr>
    </w:p>
    <w:p w14:paraId="3FD9442C">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4E55908B">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662" w:name="_Toc11475"/>
      <w:bookmarkStart w:id="663" w:name="_Toc23792"/>
      <w:bookmarkStart w:id="664" w:name="bookmark1864"/>
    </w:p>
    <w:p w14:paraId="40A8E110">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bookmarkEnd w:id="662"/>
      <w:bookmarkEnd w:id="663"/>
    </w:p>
    <w:p w14:paraId="1FFA6CC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664"/>
    <w:p w14:paraId="6C3C4C00">
      <w:pPr>
        <w:widowControl/>
        <w:adjustRightInd w:val="0"/>
        <w:snapToGrid w:val="0"/>
        <w:spacing w:line="360" w:lineRule="auto"/>
        <w:ind w:firstLine="480" w:firstLineChars="200"/>
        <w:jc w:val="left"/>
        <w:rPr>
          <w:rFonts w:hint="eastAsia" w:asciiTheme="minorEastAsia" w:hAnsiTheme="minorEastAsia" w:eastAsiaTheme="minorEastAsia" w:cstheme="minorEastAsia"/>
          <w:bCs/>
          <w:sz w:val="24"/>
          <w:szCs w:val="24"/>
          <w:highlight w:val="none"/>
        </w:rPr>
      </w:pPr>
      <w:bookmarkStart w:id="665" w:name="bookmark1868"/>
      <w:r>
        <w:rPr>
          <w:rFonts w:hint="eastAsia" w:asciiTheme="minorEastAsia" w:hAnsiTheme="minorEastAsia" w:eastAsiaTheme="minorEastAsia" w:cstheme="minorEastAsia"/>
          <w:bCs/>
          <w:sz w:val="24"/>
          <w:szCs w:val="24"/>
          <w:highlight w:val="none"/>
          <w:lang w:eastAsia="zh-CN"/>
        </w:rPr>
        <w:t>一</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05D19647">
      <w:pPr>
        <w:widowControl/>
        <w:adjustRightInd w:val="0"/>
        <w:snapToGrid w:val="0"/>
        <w:spacing w:line="360" w:lineRule="auto"/>
        <w:ind w:firstLine="480" w:firstLineChars="20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lang w:eastAsia="zh-CN"/>
        </w:rPr>
        <w:t>甲方</w:t>
      </w:r>
      <w:r>
        <w:rPr>
          <w:rFonts w:hint="eastAsia" w:asciiTheme="minorEastAsia" w:hAnsiTheme="minorEastAsia" w:eastAsiaTheme="minorEastAsia" w:cstheme="minorEastAsia"/>
          <w:bCs/>
          <w:sz w:val="24"/>
          <w:szCs w:val="24"/>
          <w:highlight w:val="none"/>
        </w:rPr>
        <w:t>依据《中华人民共和国安全生产法》等法律法规规定责任，全面履行自己应有的权利和义务。</w:t>
      </w:r>
    </w:p>
    <w:p w14:paraId="54081B88">
      <w:pPr>
        <w:widowControl/>
        <w:adjustRightInd w:val="0"/>
        <w:snapToGrid w:val="0"/>
        <w:spacing w:line="360" w:lineRule="auto"/>
        <w:ind w:firstLine="480" w:firstLineChars="20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w:t>
      </w:r>
      <w:r>
        <w:rPr>
          <w:rFonts w:hint="eastAsia" w:asciiTheme="minorEastAsia" w:hAnsiTheme="minorEastAsia" w:eastAsiaTheme="minorEastAsia" w:cstheme="minorEastAsia"/>
          <w:bCs/>
          <w:sz w:val="24"/>
          <w:szCs w:val="24"/>
          <w:highlight w:val="none"/>
          <w:lang w:eastAsia="zh-CN"/>
        </w:rPr>
        <w:t>甲方</w:t>
      </w:r>
      <w:r>
        <w:rPr>
          <w:rFonts w:hint="eastAsia" w:asciiTheme="minorEastAsia" w:hAnsiTheme="minorEastAsia" w:eastAsiaTheme="minorEastAsia" w:cstheme="minorEastAsia"/>
          <w:bCs/>
          <w:sz w:val="24"/>
          <w:szCs w:val="24"/>
          <w:highlight w:val="none"/>
        </w:rPr>
        <w:t>对</w:t>
      </w:r>
      <w:r>
        <w:rPr>
          <w:rFonts w:hint="eastAsia" w:asciiTheme="minorEastAsia" w:hAnsiTheme="minorEastAsia" w:eastAsiaTheme="minorEastAsia" w:cstheme="minorEastAsia"/>
          <w:bCs/>
          <w:sz w:val="24"/>
          <w:szCs w:val="24"/>
          <w:highlight w:val="none"/>
          <w:lang w:eastAsia="zh-CN"/>
        </w:rPr>
        <w:t>乙方施工</w:t>
      </w:r>
      <w:r>
        <w:rPr>
          <w:rFonts w:hint="eastAsia" w:asciiTheme="minorEastAsia" w:hAnsiTheme="minorEastAsia" w:eastAsiaTheme="minorEastAsia" w:cstheme="minorEastAsia"/>
          <w:bCs/>
          <w:sz w:val="24"/>
          <w:szCs w:val="24"/>
          <w:highlight w:val="none"/>
        </w:rPr>
        <w:t>安全具有监督、检查和指导的权利。</w:t>
      </w:r>
    </w:p>
    <w:bookmarkEnd w:id="665"/>
    <w:p w14:paraId="3547A5A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666" w:name="bookmark1869"/>
      <w:bookmarkEnd w:id="666"/>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20B27A16">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2F73952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color w:val="auto"/>
          <w:sz w:val="24"/>
          <w:szCs w:val="24"/>
          <w:highlight w:val="none"/>
          <w:lang w:val="en-US" w:eastAsia="zh-CN"/>
        </w:rPr>
        <w:t>严格</w:t>
      </w:r>
      <w:r>
        <w:rPr>
          <w:rFonts w:hint="eastAsia" w:asciiTheme="minorEastAsia" w:hAnsiTheme="minorEastAsia" w:eastAsiaTheme="minorEastAsia" w:cstheme="minorEastAsia"/>
          <w:b w:val="0"/>
          <w:bCs w:val="0"/>
          <w:color w:val="auto"/>
          <w:sz w:val="24"/>
          <w:szCs w:val="24"/>
          <w:highlight w:val="none"/>
          <w:lang w:val="en-US" w:eastAsia="zh-CN"/>
        </w:rPr>
        <w:t>执行安全技术交底</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4FEE055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26D6E58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2C6D6555">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乙方现场临时用电，严格执行国家相关标准规定。清洁电气设备时停电作业，电源箱或开关握柄挂“有人操作，严禁合闸”的警示牌，并设专人看管，现场临时架设的线路，严禁搭在钢筋、脚手架上，必须安设绝缘支承物。</w:t>
      </w:r>
    </w:p>
    <w:p w14:paraId="51BB9F8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p>
    <w:p w14:paraId="16191D8B">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14D89E1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2189E90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0E664E07">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31F6EE50">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525AEE53">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12.项目实施前，本项目所有从业人员购买以下保险（二者任选其一）：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asciiTheme="minorEastAsia" w:hAnsiTheme="minorEastAsia" w:eastAsiaTheme="minorEastAsia" w:cstheme="minorEastAsia"/>
          <w:b/>
          <w:bCs/>
          <w:color w:val="auto"/>
          <w:sz w:val="24"/>
          <w:szCs w:val="24"/>
          <w:highlight w:val="none"/>
          <w:lang w:val="en-US" w:eastAsia="zh-CN"/>
        </w:rPr>
        <w:t>，其保险费已包含在签约合同价中。</w:t>
      </w:r>
    </w:p>
    <w:p w14:paraId="5A6BEEB7">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防护等安全防护用品，发生不安全行为的，每出现一次，从完工结算价中自愿核减1000元，减完为止。</w:t>
      </w:r>
    </w:p>
    <w:p w14:paraId="433D393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4299D9B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4CCED53B">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5074A86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3E5510AA">
      <w:pPr>
        <w:spacing w:line="360" w:lineRule="auto"/>
        <w:ind w:firstLine="840"/>
        <w:rPr>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5D9554A9">
      <w:pPr>
        <w:widowControl/>
        <w:spacing w:line="360" w:lineRule="auto"/>
        <w:ind w:firstLine="5040" w:firstLineChars="2100"/>
        <w:jc w:val="left"/>
        <w:rPr>
          <w:rFonts w:hint="eastAsia" w:cs="宋体"/>
          <w:color w:val="auto"/>
          <w:sz w:val="24"/>
          <w:szCs w:val="24"/>
          <w:highlight w:val="none"/>
        </w:rPr>
      </w:pPr>
    </w:p>
    <w:p w14:paraId="52821835">
      <w:pPr>
        <w:spacing w:before="312" w:beforeLines="100" w:after="312" w:afterLines="100"/>
        <w:outlineLvl w:val="9"/>
        <w:rPr>
          <w:rFonts w:hint="default" w:ascii="Times New Roman" w:eastAsia="黑体"/>
          <w:color w:val="auto"/>
          <w:sz w:val="24"/>
          <w:szCs w:val="24"/>
          <w:highlight w:val="none"/>
          <w:lang w:val="en-US" w:eastAsia="zh-CN"/>
        </w:rPr>
      </w:pPr>
    </w:p>
    <w:p w14:paraId="0EB13C47">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73DE952B">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w:t>
      </w:r>
      <w:bookmarkStart w:id="667" w:name="_Toc296891266"/>
      <w:bookmarkStart w:id="668" w:name="_Toc296346727"/>
      <w:bookmarkStart w:id="669" w:name="_Toc296347225"/>
      <w:bookmarkStart w:id="670" w:name="_Toc296944565"/>
      <w:bookmarkStart w:id="671" w:name="_Toc296503226"/>
      <w:bookmarkStart w:id="672" w:name="_Toc296891054"/>
      <w:bookmarkStart w:id="673" w:name="_Toc267261693"/>
      <w:r>
        <w:rPr>
          <w:rFonts w:hint="eastAsia" w:ascii="Times New Roman" w:hAnsi="宋体" w:eastAsia="黑体" w:cs="宋体"/>
          <w:color w:val="auto"/>
          <w:sz w:val="24"/>
          <w:szCs w:val="24"/>
          <w:highlight w:val="none"/>
          <w:lang w:val="en-US" w:eastAsia="zh-CN"/>
        </w:rPr>
        <w:t>件3：</w:t>
      </w:r>
      <w:bookmarkEnd w:id="667"/>
      <w:bookmarkEnd w:id="668"/>
      <w:bookmarkEnd w:id="669"/>
      <w:bookmarkEnd w:id="670"/>
      <w:bookmarkEnd w:id="671"/>
      <w:bookmarkEnd w:id="672"/>
      <w:bookmarkEnd w:id="673"/>
      <w:r>
        <w:rPr>
          <w:rFonts w:hint="eastAsia" w:ascii="Times New Roman" w:hAnsi="宋体" w:eastAsia="黑体" w:cs="宋体"/>
          <w:color w:val="auto"/>
          <w:sz w:val="24"/>
          <w:szCs w:val="24"/>
          <w:highlight w:val="none"/>
          <w:lang w:val="en-US" w:eastAsia="zh-CN"/>
        </w:rPr>
        <w:t>工程质量保修书</w:t>
      </w:r>
      <w:bookmarkEnd w:id="657"/>
    </w:p>
    <w:p w14:paraId="40D296C4">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29C36526">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1E4C6966">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7A4C1F93">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4E6A5B92">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02E0C8ED">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160CEBF2">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75A89E9C">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10CAB936">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15B22D54">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C51F86F">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78F980E">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DECAE21">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2FFC1808">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14DB1692">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5F56CC81">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7A19FAF6">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7B56E159">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574ED67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000D03CE">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57828A09">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7B34D651">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417E76E8">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627F1FAB">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587BD904">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6F34338C">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10011F88">
      <w:pPr>
        <w:adjustRightInd w:val="0"/>
        <w:snapToGrid w:val="0"/>
        <w:spacing w:line="360" w:lineRule="auto"/>
        <w:ind w:firstLine="420"/>
        <w:rPr>
          <w:rFonts w:cs="宋体"/>
          <w:color w:val="auto"/>
          <w:sz w:val="24"/>
          <w:szCs w:val="24"/>
          <w:highlight w:val="none"/>
        </w:rPr>
      </w:pPr>
    </w:p>
    <w:p w14:paraId="522C8485">
      <w:pPr>
        <w:adjustRightInd w:val="0"/>
        <w:snapToGrid w:val="0"/>
        <w:spacing w:line="360" w:lineRule="auto"/>
        <w:rPr>
          <w:rFonts w:cs="宋体"/>
          <w:color w:val="auto"/>
          <w:sz w:val="24"/>
          <w:szCs w:val="24"/>
          <w:highlight w:val="none"/>
          <w:u w:val="single"/>
        </w:rPr>
      </w:pPr>
      <w:bookmarkStart w:id="674" w:name="OLE_LINK28"/>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2DE0BE90">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1808794E">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39489C62">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7CF6F115">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6869D7FB">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704C815D">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6B492BAC">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3895E48D">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bookmarkEnd w:id="674"/>
    <w:p w14:paraId="6281A510">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w:t>
      </w:r>
      <w:bookmarkStart w:id="675" w:name="_Toc296891059"/>
      <w:bookmarkStart w:id="676" w:name="_Toc296347230"/>
      <w:bookmarkStart w:id="677" w:name="_Toc296944570"/>
      <w:bookmarkStart w:id="678" w:name="_Toc296346732"/>
      <w:bookmarkStart w:id="679" w:name="_Toc296503231"/>
      <w:bookmarkStart w:id="680" w:name="_Toc296891271"/>
      <w:r>
        <w:rPr>
          <w:rFonts w:hint="eastAsia" w:ascii="Times New Roman" w:hAnsi="宋体" w:eastAsia="黑体" w:cs="宋体"/>
          <w:color w:val="auto"/>
          <w:sz w:val="24"/>
          <w:szCs w:val="24"/>
          <w:highlight w:val="none"/>
          <w:lang w:val="en-US" w:eastAsia="zh-CN" w:bidi="ar-SA"/>
        </w:rPr>
        <w:t>件4：</w:t>
      </w:r>
      <w:bookmarkEnd w:id="658"/>
      <w:bookmarkEnd w:id="675"/>
      <w:bookmarkEnd w:id="676"/>
      <w:bookmarkEnd w:id="677"/>
      <w:bookmarkEnd w:id="678"/>
      <w:bookmarkEnd w:id="679"/>
      <w:bookmarkEnd w:id="680"/>
      <w:r>
        <w:rPr>
          <w:rFonts w:hint="eastAsia" w:ascii="Times New Roman" w:eastAsia="黑体"/>
          <w:color w:val="auto"/>
          <w:sz w:val="24"/>
          <w:szCs w:val="24"/>
          <w:highlight w:val="none"/>
        </w:rPr>
        <w:t>项目经理质量终身责任制承诺</w:t>
      </w:r>
    </w:p>
    <w:p w14:paraId="1F57F71F">
      <w:pPr>
        <w:spacing w:before="156" w:beforeLines="50" w:after="156" w:afterLines="50" w:line="360" w:lineRule="auto"/>
        <w:jc w:val="center"/>
        <w:rPr>
          <w:rFonts w:cs="宋体"/>
          <w:b/>
          <w:color w:val="auto"/>
          <w:sz w:val="24"/>
          <w:szCs w:val="24"/>
          <w:highlight w:val="none"/>
        </w:rPr>
      </w:pPr>
      <w:bookmarkStart w:id="681" w:name="_Toc14540"/>
      <w:bookmarkStart w:id="682" w:name="_Toc19417"/>
      <w:bookmarkStart w:id="683" w:name="_Toc128950250"/>
      <w:r>
        <w:rPr>
          <w:rFonts w:hint="eastAsia" w:cs="宋体"/>
          <w:b/>
          <w:color w:val="auto"/>
          <w:sz w:val="24"/>
          <w:szCs w:val="24"/>
          <w:highlight w:val="none"/>
        </w:rPr>
        <w:t>项目经理质量终身责任制承诺</w:t>
      </w:r>
      <w:bookmarkEnd w:id="681"/>
      <w:bookmarkEnd w:id="682"/>
      <w:bookmarkEnd w:id="683"/>
    </w:p>
    <w:p w14:paraId="344DEEEC">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2520ADFA">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02FA1B4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7E71D8D5">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5D361002">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29F5486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5E629B3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0239FC4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6D1A4C3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239437F4">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0B4C83A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75D9598F">
      <w:pPr>
        <w:spacing w:line="360" w:lineRule="auto"/>
        <w:ind w:left="342" w:leftChars="171" w:firstLine="720" w:firstLineChars="300"/>
        <w:rPr>
          <w:rFonts w:cs="宋体"/>
          <w:bCs/>
          <w:color w:val="auto"/>
          <w:sz w:val="24"/>
          <w:szCs w:val="24"/>
          <w:highlight w:val="none"/>
        </w:rPr>
      </w:pPr>
    </w:p>
    <w:p w14:paraId="205A2636">
      <w:pPr>
        <w:spacing w:line="360" w:lineRule="auto"/>
        <w:ind w:left="342" w:leftChars="171" w:firstLine="720" w:firstLineChars="300"/>
        <w:rPr>
          <w:rFonts w:cs="宋体"/>
          <w:bCs/>
          <w:color w:val="auto"/>
          <w:sz w:val="24"/>
          <w:szCs w:val="24"/>
          <w:highlight w:val="none"/>
        </w:rPr>
      </w:pPr>
    </w:p>
    <w:p w14:paraId="6E63B412">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53E62263">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53C82CAC">
      <w:pPr>
        <w:pStyle w:val="2"/>
        <w:rPr>
          <w:rFonts w:ascii="宋体" w:hAnsi="宋体" w:eastAsia="宋体" w:cs="宋体"/>
          <w:bCs/>
          <w:color w:val="auto"/>
          <w:sz w:val="24"/>
          <w:szCs w:val="24"/>
          <w:highlight w:val="none"/>
        </w:rPr>
      </w:pPr>
    </w:p>
    <w:p w14:paraId="3D98B150">
      <w:pPr>
        <w:pStyle w:val="272"/>
        <w:ind w:left="210" w:right="210" w:firstLine="210"/>
        <w:rPr>
          <w:rFonts w:hint="eastAsia" w:ascii="宋体" w:hAnsi="宋体" w:eastAsia="宋体" w:cs="宋体"/>
          <w:sz w:val="24"/>
          <w:szCs w:val="24"/>
          <w:highlight w:val="none"/>
        </w:rPr>
        <w:sectPr>
          <w:footerReference r:id="rId5" w:type="default"/>
          <w:pgSz w:w="11906" w:h="16838"/>
          <w:pgMar w:top="1361" w:right="1361" w:bottom="1361" w:left="1361" w:header="851" w:footer="992" w:gutter="0"/>
          <w:pgNumType w:fmt="decimal" w:start="1"/>
          <w:cols w:space="720" w:num="1"/>
          <w:docGrid w:type="lines" w:linePitch="312" w:charSpace="0"/>
        </w:sectPr>
      </w:pPr>
    </w:p>
    <w:p w14:paraId="2F11FED7">
      <w:pPr>
        <w:spacing w:before="312" w:beforeLines="100" w:after="312" w:afterLines="100"/>
        <w:outlineLvl w:val="2"/>
        <w:rPr>
          <w:rFonts w:hint="eastAsia" w:ascii="Times New Roman" w:hAnsi="宋体" w:eastAsia="黑体" w:cs="宋体"/>
          <w:color w:val="auto"/>
          <w:sz w:val="24"/>
          <w:szCs w:val="24"/>
          <w:highlight w:val="none"/>
        </w:rPr>
      </w:pPr>
      <w:bookmarkStart w:id="684" w:name="_Toc128950244"/>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33CE1415">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09BD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45F7421D">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3958577B">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23791151">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3CA4DE89">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6661AB62">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72F17ED9">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7F017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FA8D347">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14C3CA7B">
            <w:pPr>
              <w:keepNext/>
              <w:spacing w:line="360" w:lineRule="auto"/>
              <w:jc w:val="center"/>
              <w:rPr>
                <w:rFonts w:cs="宋体"/>
                <w:color w:val="auto"/>
                <w:sz w:val="24"/>
                <w:szCs w:val="24"/>
                <w:highlight w:val="none"/>
              </w:rPr>
            </w:pPr>
          </w:p>
        </w:tc>
      </w:tr>
      <w:tr w14:paraId="5011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7ACABF9B">
            <w:pPr>
              <w:spacing w:line="360" w:lineRule="auto"/>
              <w:jc w:val="center"/>
              <w:rPr>
                <w:rFonts w:cs="宋体"/>
                <w:color w:val="auto"/>
                <w:sz w:val="24"/>
                <w:szCs w:val="24"/>
                <w:highlight w:val="none"/>
              </w:rPr>
            </w:pPr>
            <w:r>
              <w:rPr>
                <w:rFonts w:hint="eastAsia" w:cs="宋体"/>
                <w:color w:val="auto"/>
                <w:sz w:val="24"/>
                <w:szCs w:val="24"/>
                <w:highlight w:val="none"/>
              </w:rPr>
              <w:t>项目主管</w:t>
            </w:r>
          </w:p>
        </w:tc>
        <w:tc>
          <w:tcPr>
            <w:tcW w:w="627" w:type="pct"/>
            <w:tcBorders>
              <w:top w:val="nil"/>
            </w:tcBorders>
            <w:vAlign w:val="center"/>
          </w:tcPr>
          <w:p w14:paraId="496B0474">
            <w:pPr>
              <w:keepNext/>
              <w:spacing w:line="360" w:lineRule="auto"/>
              <w:jc w:val="center"/>
              <w:rPr>
                <w:rFonts w:cs="宋体"/>
                <w:color w:val="auto"/>
                <w:sz w:val="24"/>
                <w:szCs w:val="24"/>
                <w:highlight w:val="none"/>
              </w:rPr>
            </w:pPr>
          </w:p>
        </w:tc>
        <w:tc>
          <w:tcPr>
            <w:tcW w:w="502" w:type="pct"/>
            <w:tcBorders>
              <w:top w:val="nil"/>
            </w:tcBorders>
            <w:vAlign w:val="center"/>
          </w:tcPr>
          <w:p w14:paraId="003C2A4D">
            <w:pPr>
              <w:keepNext/>
              <w:spacing w:line="360" w:lineRule="auto"/>
              <w:jc w:val="center"/>
              <w:rPr>
                <w:rFonts w:cs="宋体"/>
                <w:color w:val="auto"/>
                <w:sz w:val="24"/>
                <w:szCs w:val="24"/>
                <w:highlight w:val="none"/>
              </w:rPr>
            </w:pPr>
          </w:p>
        </w:tc>
        <w:tc>
          <w:tcPr>
            <w:tcW w:w="502" w:type="pct"/>
            <w:tcBorders>
              <w:top w:val="nil"/>
            </w:tcBorders>
            <w:vAlign w:val="center"/>
          </w:tcPr>
          <w:p w14:paraId="2635E6AB">
            <w:pPr>
              <w:keepNext/>
              <w:spacing w:line="360" w:lineRule="auto"/>
              <w:jc w:val="center"/>
              <w:rPr>
                <w:rFonts w:cs="宋体"/>
                <w:color w:val="auto"/>
                <w:sz w:val="24"/>
                <w:szCs w:val="24"/>
                <w:highlight w:val="none"/>
              </w:rPr>
            </w:pPr>
          </w:p>
        </w:tc>
        <w:tc>
          <w:tcPr>
            <w:tcW w:w="1281" w:type="pct"/>
            <w:tcBorders>
              <w:top w:val="nil"/>
            </w:tcBorders>
            <w:vAlign w:val="center"/>
          </w:tcPr>
          <w:p w14:paraId="40A01F7E">
            <w:pPr>
              <w:keepNext/>
              <w:spacing w:line="360" w:lineRule="auto"/>
              <w:jc w:val="center"/>
              <w:rPr>
                <w:rFonts w:cs="宋体"/>
                <w:color w:val="auto"/>
                <w:sz w:val="24"/>
                <w:szCs w:val="24"/>
                <w:highlight w:val="none"/>
              </w:rPr>
            </w:pPr>
          </w:p>
        </w:tc>
        <w:tc>
          <w:tcPr>
            <w:tcW w:w="1151" w:type="pct"/>
            <w:tcBorders>
              <w:top w:val="nil"/>
            </w:tcBorders>
            <w:vAlign w:val="center"/>
          </w:tcPr>
          <w:p w14:paraId="1EB95D21">
            <w:pPr>
              <w:keepNext/>
              <w:spacing w:line="360" w:lineRule="auto"/>
              <w:jc w:val="center"/>
              <w:rPr>
                <w:rFonts w:cs="宋体"/>
                <w:color w:val="auto"/>
                <w:sz w:val="24"/>
                <w:szCs w:val="24"/>
                <w:highlight w:val="none"/>
              </w:rPr>
            </w:pPr>
          </w:p>
        </w:tc>
      </w:tr>
      <w:tr w14:paraId="08433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44799227">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6CDAD7DF">
            <w:pPr>
              <w:keepNext/>
              <w:spacing w:line="360" w:lineRule="auto"/>
              <w:jc w:val="center"/>
              <w:rPr>
                <w:rFonts w:cs="宋体"/>
                <w:color w:val="auto"/>
                <w:sz w:val="24"/>
                <w:szCs w:val="24"/>
                <w:highlight w:val="none"/>
              </w:rPr>
            </w:pPr>
          </w:p>
        </w:tc>
        <w:tc>
          <w:tcPr>
            <w:tcW w:w="502" w:type="pct"/>
            <w:vAlign w:val="center"/>
          </w:tcPr>
          <w:p w14:paraId="7A05B68B">
            <w:pPr>
              <w:keepNext/>
              <w:spacing w:line="360" w:lineRule="auto"/>
              <w:jc w:val="center"/>
              <w:rPr>
                <w:rFonts w:cs="宋体"/>
                <w:color w:val="auto"/>
                <w:sz w:val="24"/>
                <w:szCs w:val="24"/>
                <w:highlight w:val="none"/>
              </w:rPr>
            </w:pPr>
          </w:p>
        </w:tc>
        <w:tc>
          <w:tcPr>
            <w:tcW w:w="502" w:type="pct"/>
            <w:vAlign w:val="center"/>
          </w:tcPr>
          <w:p w14:paraId="1D11AD56">
            <w:pPr>
              <w:keepNext/>
              <w:spacing w:line="360" w:lineRule="auto"/>
              <w:jc w:val="center"/>
              <w:rPr>
                <w:rFonts w:cs="宋体"/>
                <w:color w:val="auto"/>
                <w:sz w:val="24"/>
                <w:szCs w:val="24"/>
                <w:highlight w:val="none"/>
              </w:rPr>
            </w:pPr>
          </w:p>
        </w:tc>
        <w:tc>
          <w:tcPr>
            <w:tcW w:w="1281" w:type="pct"/>
            <w:vAlign w:val="center"/>
          </w:tcPr>
          <w:p w14:paraId="2CF56EFB">
            <w:pPr>
              <w:keepNext/>
              <w:spacing w:line="360" w:lineRule="auto"/>
              <w:jc w:val="center"/>
              <w:rPr>
                <w:rFonts w:cs="宋体"/>
                <w:color w:val="auto"/>
                <w:sz w:val="24"/>
                <w:szCs w:val="24"/>
                <w:highlight w:val="none"/>
              </w:rPr>
            </w:pPr>
          </w:p>
        </w:tc>
        <w:tc>
          <w:tcPr>
            <w:tcW w:w="1151" w:type="pct"/>
            <w:vAlign w:val="center"/>
          </w:tcPr>
          <w:p w14:paraId="491AE7DB">
            <w:pPr>
              <w:keepNext/>
              <w:spacing w:line="360" w:lineRule="auto"/>
              <w:jc w:val="center"/>
              <w:rPr>
                <w:rFonts w:cs="宋体"/>
                <w:color w:val="auto"/>
                <w:sz w:val="24"/>
                <w:szCs w:val="24"/>
                <w:highlight w:val="none"/>
              </w:rPr>
            </w:pPr>
          </w:p>
        </w:tc>
      </w:tr>
      <w:tr w14:paraId="5D7AA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EA47476">
            <w:pPr>
              <w:spacing w:line="360" w:lineRule="auto"/>
              <w:jc w:val="center"/>
              <w:rPr>
                <w:rFonts w:cs="宋体"/>
                <w:color w:val="auto"/>
                <w:sz w:val="24"/>
                <w:szCs w:val="24"/>
                <w:highlight w:val="none"/>
              </w:rPr>
            </w:pPr>
          </w:p>
        </w:tc>
        <w:tc>
          <w:tcPr>
            <w:tcW w:w="627" w:type="pct"/>
            <w:vAlign w:val="center"/>
          </w:tcPr>
          <w:p w14:paraId="109E5AB8">
            <w:pPr>
              <w:keepNext/>
              <w:spacing w:line="360" w:lineRule="auto"/>
              <w:jc w:val="center"/>
              <w:rPr>
                <w:rFonts w:cs="宋体"/>
                <w:color w:val="auto"/>
                <w:sz w:val="24"/>
                <w:szCs w:val="24"/>
                <w:highlight w:val="none"/>
              </w:rPr>
            </w:pPr>
          </w:p>
        </w:tc>
        <w:tc>
          <w:tcPr>
            <w:tcW w:w="502" w:type="pct"/>
            <w:vAlign w:val="center"/>
          </w:tcPr>
          <w:p w14:paraId="2BA3AE06">
            <w:pPr>
              <w:keepNext/>
              <w:spacing w:line="360" w:lineRule="auto"/>
              <w:jc w:val="center"/>
              <w:rPr>
                <w:rFonts w:cs="宋体"/>
                <w:color w:val="auto"/>
                <w:sz w:val="24"/>
                <w:szCs w:val="24"/>
                <w:highlight w:val="none"/>
              </w:rPr>
            </w:pPr>
          </w:p>
        </w:tc>
        <w:tc>
          <w:tcPr>
            <w:tcW w:w="502" w:type="pct"/>
            <w:vAlign w:val="center"/>
          </w:tcPr>
          <w:p w14:paraId="213CB6F3">
            <w:pPr>
              <w:keepNext/>
              <w:spacing w:line="360" w:lineRule="auto"/>
              <w:jc w:val="center"/>
              <w:rPr>
                <w:rFonts w:cs="宋体"/>
                <w:color w:val="auto"/>
                <w:sz w:val="24"/>
                <w:szCs w:val="24"/>
                <w:highlight w:val="none"/>
              </w:rPr>
            </w:pPr>
          </w:p>
        </w:tc>
        <w:tc>
          <w:tcPr>
            <w:tcW w:w="1281" w:type="pct"/>
            <w:vAlign w:val="center"/>
          </w:tcPr>
          <w:p w14:paraId="63EEB1D4">
            <w:pPr>
              <w:keepNext/>
              <w:spacing w:line="360" w:lineRule="auto"/>
              <w:jc w:val="center"/>
              <w:rPr>
                <w:rFonts w:cs="宋体"/>
                <w:color w:val="auto"/>
                <w:sz w:val="24"/>
                <w:szCs w:val="24"/>
                <w:highlight w:val="none"/>
              </w:rPr>
            </w:pPr>
          </w:p>
        </w:tc>
        <w:tc>
          <w:tcPr>
            <w:tcW w:w="1151" w:type="pct"/>
            <w:vAlign w:val="center"/>
          </w:tcPr>
          <w:p w14:paraId="565009F2">
            <w:pPr>
              <w:keepNext/>
              <w:spacing w:line="360" w:lineRule="auto"/>
              <w:jc w:val="center"/>
              <w:rPr>
                <w:rFonts w:cs="宋体"/>
                <w:color w:val="auto"/>
                <w:sz w:val="24"/>
                <w:szCs w:val="24"/>
                <w:highlight w:val="none"/>
              </w:rPr>
            </w:pPr>
          </w:p>
        </w:tc>
      </w:tr>
      <w:tr w14:paraId="46534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B3FBCE9">
            <w:pPr>
              <w:spacing w:line="360" w:lineRule="auto"/>
              <w:jc w:val="center"/>
              <w:rPr>
                <w:rFonts w:cs="宋体"/>
                <w:color w:val="auto"/>
                <w:sz w:val="24"/>
                <w:szCs w:val="24"/>
                <w:highlight w:val="none"/>
              </w:rPr>
            </w:pPr>
          </w:p>
        </w:tc>
        <w:tc>
          <w:tcPr>
            <w:tcW w:w="627" w:type="pct"/>
            <w:vAlign w:val="center"/>
          </w:tcPr>
          <w:p w14:paraId="7BF5AEE3">
            <w:pPr>
              <w:keepNext/>
              <w:spacing w:line="360" w:lineRule="auto"/>
              <w:jc w:val="center"/>
              <w:rPr>
                <w:rFonts w:cs="宋体"/>
                <w:color w:val="auto"/>
                <w:sz w:val="24"/>
                <w:szCs w:val="24"/>
                <w:highlight w:val="none"/>
              </w:rPr>
            </w:pPr>
          </w:p>
        </w:tc>
        <w:tc>
          <w:tcPr>
            <w:tcW w:w="502" w:type="pct"/>
            <w:vAlign w:val="center"/>
          </w:tcPr>
          <w:p w14:paraId="3FC4B993">
            <w:pPr>
              <w:keepNext/>
              <w:spacing w:line="360" w:lineRule="auto"/>
              <w:jc w:val="center"/>
              <w:rPr>
                <w:rFonts w:cs="宋体"/>
                <w:color w:val="auto"/>
                <w:sz w:val="24"/>
                <w:szCs w:val="24"/>
                <w:highlight w:val="none"/>
              </w:rPr>
            </w:pPr>
          </w:p>
        </w:tc>
        <w:tc>
          <w:tcPr>
            <w:tcW w:w="502" w:type="pct"/>
            <w:vAlign w:val="center"/>
          </w:tcPr>
          <w:p w14:paraId="30485C36">
            <w:pPr>
              <w:keepNext/>
              <w:spacing w:line="360" w:lineRule="auto"/>
              <w:jc w:val="center"/>
              <w:rPr>
                <w:rFonts w:cs="宋体"/>
                <w:color w:val="auto"/>
                <w:sz w:val="24"/>
                <w:szCs w:val="24"/>
                <w:highlight w:val="none"/>
              </w:rPr>
            </w:pPr>
          </w:p>
        </w:tc>
        <w:tc>
          <w:tcPr>
            <w:tcW w:w="1281" w:type="pct"/>
            <w:vAlign w:val="center"/>
          </w:tcPr>
          <w:p w14:paraId="7B443287">
            <w:pPr>
              <w:keepNext/>
              <w:spacing w:line="360" w:lineRule="auto"/>
              <w:jc w:val="center"/>
              <w:rPr>
                <w:rFonts w:cs="宋体"/>
                <w:color w:val="auto"/>
                <w:sz w:val="24"/>
                <w:szCs w:val="24"/>
                <w:highlight w:val="none"/>
              </w:rPr>
            </w:pPr>
          </w:p>
        </w:tc>
        <w:tc>
          <w:tcPr>
            <w:tcW w:w="1151" w:type="pct"/>
            <w:vAlign w:val="center"/>
          </w:tcPr>
          <w:p w14:paraId="296163F9">
            <w:pPr>
              <w:keepNext/>
              <w:spacing w:line="360" w:lineRule="auto"/>
              <w:jc w:val="center"/>
              <w:rPr>
                <w:rFonts w:cs="宋体"/>
                <w:color w:val="auto"/>
                <w:sz w:val="24"/>
                <w:szCs w:val="24"/>
                <w:highlight w:val="none"/>
              </w:rPr>
            </w:pPr>
          </w:p>
        </w:tc>
      </w:tr>
      <w:tr w14:paraId="04511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7F1FDFFF">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3C7810AC">
            <w:pPr>
              <w:keepNext/>
              <w:spacing w:line="360" w:lineRule="auto"/>
              <w:jc w:val="center"/>
              <w:rPr>
                <w:rFonts w:cs="宋体"/>
                <w:color w:val="auto"/>
                <w:sz w:val="24"/>
                <w:szCs w:val="24"/>
                <w:highlight w:val="none"/>
              </w:rPr>
            </w:pPr>
          </w:p>
        </w:tc>
      </w:tr>
      <w:tr w14:paraId="266C5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7229409">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01052786">
            <w:pPr>
              <w:keepNext/>
              <w:spacing w:line="360" w:lineRule="auto"/>
              <w:jc w:val="center"/>
              <w:rPr>
                <w:rFonts w:cs="宋体"/>
                <w:color w:val="auto"/>
                <w:sz w:val="24"/>
                <w:szCs w:val="24"/>
                <w:highlight w:val="none"/>
              </w:rPr>
            </w:pPr>
          </w:p>
        </w:tc>
        <w:tc>
          <w:tcPr>
            <w:tcW w:w="502" w:type="pct"/>
            <w:vAlign w:val="center"/>
          </w:tcPr>
          <w:p w14:paraId="2304D8E4">
            <w:pPr>
              <w:keepNext/>
              <w:spacing w:line="360" w:lineRule="auto"/>
              <w:jc w:val="center"/>
              <w:rPr>
                <w:rFonts w:cs="宋体"/>
                <w:color w:val="auto"/>
                <w:sz w:val="24"/>
                <w:szCs w:val="24"/>
                <w:highlight w:val="none"/>
              </w:rPr>
            </w:pPr>
          </w:p>
        </w:tc>
        <w:tc>
          <w:tcPr>
            <w:tcW w:w="502" w:type="pct"/>
            <w:vAlign w:val="center"/>
          </w:tcPr>
          <w:p w14:paraId="07210362">
            <w:pPr>
              <w:keepNext/>
              <w:spacing w:line="360" w:lineRule="auto"/>
              <w:jc w:val="center"/>
              <w:rPr>
                <w:rFonts w:cs="宋体"/>
                <w:color w:val="auto"/>
                <w:sz w:val="24"/>
                <w:szCs w:val="24"/>
                <w:highlight w:val="none"/>
              </w:rPr>
            </w:pPr>
          </w:p>
        </w:tc>
        <w:tc>
          <w:tcPr>
            <w:tcW w:w="1281" w:type="pct"/>
            <w:vAlign w:val="center"/>
          </w:tcPr>
          <w:p w14:paraId="6EA2324D">
            <w:pPr>
              <w:keepNext/>
              <w:spacing w:line="360" w:lineRule="auto"/>
              <w:jc w:val="center"/>
              <w:rPr>
                <w:rFonts w:cs="宋体"/>
                <w:color w:val="auto"/>
                <w:sz w:val="24"/>
                <w:szCs w:val="24"/>
                <w:highlight w:val="none"/>
              </w:rPr>
            </w:pPr>
          </w:p>
        </w:tc>
        <w:tc>
          <w:tcPr>
            <w:tcW w:w="1151" w:type="pct"/>
            <w:vAlign w:val="center"/>
          </w:tcPr>
          <w:p w14:paraId="09A63D05">
            <w:pPr>
              <w:keepNext/>
              <w:spacing w:line="360" w:lineRule="auto"/>
              <w:jc w:val="center"/>
              <w:rPr>
                <w:rFonts w:cs="宋体"/>
                <w:color w:val="auto"/>
                <w:sz w:val="24"/>
                <w:szCs w:val="24"/>
                <w:highlight w:val="none"/>
              </w:rPr>
            </w:pPr>
          </w:p>
        </w:tc>
      </w:tr>
      <w:tr w14:paraId="6DEBA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A400CFE">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2461854F">
            <w:pPr>
              <w:keepNext/>
              <w:spacing w:line="360" w:lineRule="auto"/>
              <w:jc w:val="center"/>
              <w:rPr>
                <w:rFonts w:cs="宋体"/>
                <w:color w:val="auto"/>
                <w:sz w:val="24"/>
                <w:szCs w:val="24"/>
                <w:highlight w:val="none"/>
              </w:rPr>
            </w:pPr>
          </w:p>
        </w:tc>
        <w:tc>
          <w:tcPr>
            <w:tcW w:w="502" w:type="pct"/>
            <w:vAlign w:val="center"/>
          </w:tcPr>
          <w:p w14:paraId="0EBB4478">
            <w:pPr>
              <w:keepNext/>
              <w:spacing w:line="360" w:lineRule="auto"/>
              <w:jc w:val="center"/>
              <w:rPr>
                <w:rFonts w:cs="宋体"/>
                <w:color w:val="auto"/>
                <w:sz w:val="24"/>
                <w:szCs w:val="24"/>
                <w:highlight w:val="none"/>
              </w:rPr>
            </w:pPr>
          </w:p>
        </w:tc>
        <w:tc>
          <w:tcPr>
            <w:tcW w:w="502" w:type="pct"/>
            <w:vAlign w:val="center"/>
          </w:tcPr>
          <w:p w14:paraId="0C5B3C37">
            <w:pPr>
              <w:keepNext/>
              <w:spacing w:line="360" w:lineRule="auto"/>
              <w:jc w:val="center"/>
              <w:rPr>
                <w:rFonts w:cs="宋体"/>
                <w:color w:val="auto"/>
                <w:sz w:val="24"/>
                <w:szCs w:val="24"/>
                <w:highlight w:val="none"/>
              </w:rPr>
            </w:pPr>
          </w:p>
        </w:tc>
        <w:tc>
          <w:tcPr>
            <w:tcW w:w="1281" w:type="pct"/>
            <w:vAlign w:val="center"/>
          </w:tcPr>
          <w:p w14:paraId="3E2FF9ED">
            <w:pPr>
              <w:keepNext/>
              <w:spacing w:line="360" w:lineRule="auto"/>
              <w:jc w:val="center"/>
              <w:rPr>
                <w:rFonts w:cs="宋体"/>
                <w:color w:val="auto"/>
                <w:sz w:val="24"/>
                <w:szCs w:val="24"/>
                <w:highlight w:val="none"/>
              </w:rPr>
            </w:pPr>
          </w:p>
        </w:tc>
        <w:tc>
          <w:tcPr>
            <w:tcW w:w="1151" w:type="pct"/>
            <w:vAlign w:val="center"/>
          </w:tcPr>
          <w:p w14:paraId="7594BC1D">
            <w:pPr>
              <w:keepNext/>
              <w:spacing w:line="360" w:lineRule="auto"/>
              <w:jc w:val="center"/>
              <w:rPr>
                <w:rFonts w:cs="宋体"/>
                <w:color w:val="auto"/>
                <w:sz w:val="24"/>
                <w:szCs w:val="24"/>
                <w:highlight w:val="none"/>
              </w:rPr>
            </w:pPr>
          </w:p>
        </w:tc>
      </w:tr>
      <w:tr w14:paraId="11BFE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BD5CCDD">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6F7BD649">
            <w:pPr>
              <w:keepNext/>
              <w:spacing w:line="360" w:lineRule="auto"/>
              <w:jc w:val="center"/>
              <w:rPr>
                <w:rFonts w:cs="宋体"/>
                <w:color w:val="auto"/>
                <w:sz w:val="24"/>
                <w:szCs w:val="24"/>
                <w:highlight w:val="none"/>
              </w:rPr>
            </w:pPr>
          </w:p>
        </w:tc>
        <w:tc>
          <w:tcPr>
            <w:tcW w:w="502" w:type="pct"/>
            <w:vAlign w:val="center"/>
          </w:tcPr>
          <w:p w14:paraId="7E23131B">
            <w:pPr>
              <w:keepNext/>
              <w:spacing w:line="360" w:lineRule="auto"/>
              <w:jc w:val="center"/>
              <w:rPr>
                <w:rFonts w:cs="宋体"/>
                <w:color w:val="auto"/>
                <w:sz w:val="24"/>
                <w:szCs w:val="24"/>
                <w:highlight w:val="none"/>
              </w:rPr>
            </w:pPr>
          </w:p>
        </w:tc>
        <w:tc>
          <w:tcPr>
            <w:tcW w:w="502" w:type="pct"/>
            <w:vAlign w:val="center"/>
          </w:tcPr>
          <w:p w14:paraId="38319F59">
            <w:pPr>
              <w:keepNext/>
              <w:spacing w:line="360" w:lineRule="auto"/>
              <w:jc w:val="center"/>
              <w:rPr>
                <w:rFonts w:cs="宋体"/>
                <w:color w:val="auto"/>
                <w:sz w:val="24"/>
                <w:szCs w:val="24"/>
                <w:highlight w:val="none"/>
              </w:rPr>
            </w:pPr>
          </w:p>
        </w:tc>
        <w:tc>
          <w:tcPr>
            <w:tcW w:w="1281" w:type="pct"/>
            <w:vAlign w:val="center"/>
          </w:tcPr>
          <w:p w14:paraId="09CA6F23">
            <w:pPr>
              <w:keepNext/>
              <w:spacing w:line="360" w:lineRule="auto"/>
              <w:jc w:val="center"/>
              <w:rPr>
                <w:rFonts w:cs="宋体"/>
                <w:color w:val="auto"/>
                <w:sz w:val="24"/>
                <w:szCs w:val="24"/>
                <w:highlight w:val="none"/>
              </w:rPr>
            </w:pPr>
          </w:p>
        </w:tc>
        <w:tc>
          <w:tcPr>
            <w:tcW w:w="1151" w:type="pct"/>
            <w:vAlign w:val="center"/>
          </w:tcPr>
          <w:p w14:paraId="199B6F59">
            <w:pPr>
              <w:keepNext/>
              <w:spacing w:line="360" w:lineRule="auto"/>
              <w:jc w:val="center"/>
              <w:rPr>
                <w:rFonts w:cs="宋体"/>
                <w:color w:val="auto"/>
                <w:sz w:val="24"/>
                <w:szCs w:val="24"/>
                <w:highlight w:val="none"/>
              </w:rPr>
            </w:pPr>
          </w:p>
        </w:tc>
      </w:tr>
      <w:tr w14:paraId="1560C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509B3AA">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119475D0">
            <w:pPr>
              <w:keepNext/>
              <w:spacing w:line="360" w:lineRule="auto"/>
              <w:jc w:val="center"/>
              <w:rPr>
                <w:rFonts w:cs="宋体"/>
                <w:color w:val="auto"/>
                <w:sz w:val="24"/>
                <w:szCs w:val="24"/>
                <w:highlight w:val="none"/>
              </w:rPr>
            </w:pPr>
          </w:p>
        </w:tc>
        <w:tc>
          <w:tcPr>
            <w:tcW w:w="502" w:type="pct"/>
            <w:vAlign w:val="center"/>
          </w:tcPr>
          <w:p w14:paraId="67ED3D85">
            <w:pPr>
              <w:keepNext/>
              <w:spacing w:line="360" w:lineRule="auto"/>
              <w:jc w:val="center"/>
              <w:rPr>
                <w:rFonts w:cs="宋体"/>
                <w:color w:val="auto"/>
                <w:sz w:val="24"/>
                <w:szCs w:val="24"/>
                <w:highlight w:val="none"/>
              </w:rPr>
            </w:pPr>
          </w:p>
        </w:tc>
        <w:tc>
          <w:tcPr>
            <w:tcW w:w="502" w:type="pct"/>
            <w:vAlign w:val="center"/>
          </w:tcPr>
          <w:p w14:paraId="4C4E4693">
            <w:pPr>
              <w:keepNext/>
              <w:spacing w:line="360" w:lineRule="auto"/>
              <w:jc w:val="center"/>
              <w:rPr>
                <w:rFonts w:cs="宋体"/>
                <w:color w:val="auto"/>
                <w:sz w:val="24"/>
                <w:szCs w:val="24"/>
                <w:highlight w:val="none"/>
              </w:rPr>
            </w:pPr>
          </w:p>
        </w:tc>
        <w:tc>
          <w:tcPr>
            <w:tcW w:w="1281" w:type="pct"/>
            <w:vAlign w:val="center"/>
          </w:tcPr>
          <w:p w14:paraId="15B9BB58">
            <w:pPr>
              <w:keepNext/>
              <w:spacing w:line="360" w:lineRule="auto"/>
              <w:jc w:val="center"/>
              <w:rPr>
                <w:rFonts w:cs="宋体"/>
                <w:color w:val="auto"/>
                <w:sz w:val="24"/>
                <w:szCs w:val="24"/>
                <w:highlight w:val="none"/>
              </w:rPr>
            </w:pPr>
          </w:p>
        </w:tc>
        <w:tc>
          <w:tcPr>
            <w:tcW w:w="1151" w:type="pct"/>
            <w:vAlign w:val="center"/>
          </w:tcPr>
          <w:p w14:paraId="1C35E799">
            <w:pPr>
              <w:keepNext/>
              <w:spacing w:line="360" w:lineRule="auto"/>
              <w:jc w:val="center"/>
              <w:rPr>
                <w:rFonts w:cs="宋体"/>
                <w:color w:val="auto"/>
                <w:sz w:val="24"/>
                <w:szCs w:val="24"/>
                <w:highlight w:val="none"/>
              </w:rPr>
            </w:pPr>
          </w:p>
        </w:tc>
      </w:tr>
      <w:tr w14:paraId="5C8F7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5CA8137">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4EAD9866">
            <w:pPr>
              <w:keepNext/>
              <w:spacing w:line="360" w:lineRule="auto"/>
              <w:jc w:val="center"/>
              <w:rPr>
                <w:rFonts w:cs="宋体"/>
                <w:color w:val="auto"/>
                <w:sz w:val="24"/>
                <w:szCs w:val="24"/>
                <w:highlight w:val="none"/>
              </w:rPr>
            </w:pPr>
          </w:p>
        </w:tc>
        <w:tc>
          <w:tcPr>
            <w:tcW w:w="502" w:type="pct"/>
            <w:vAlign w:val="center"/>
          </w:tcPr>
          <w:p w14:paraId="38B382F6">
            <w:pPr>
              <w:keepNext/>
              <w:spacing w:line="360" w:lineRule="auto"/>
              <w:jc w:val="center"/>
              <w:rPr>
                <w:rFonts w:cs="宋体"/>
                <w:color w:val="auto"/>
                <w:sz w:val="24"/>
                <w:szCs w:val="24"/>
                <w:highlight w:val="none"/>
              </w:rPr>
            </w:pPr>
          </w:p>
        </w:tc>
        <w:tc>
          <w:tcPr>
            <w:tcW w:w="502" w:type="pct"/>
            <w:vAlign w:val="center"/>
          </w:tcPr>
          <w:p w14:paraId="0996E038">
            <w:pPr>
              <w:keepNext/>
              <w:spacing w:line="360" w:lineRule="auto"/>
              <w:jc w:val="center"/>
              <w:rPr>
                <w:rFonts w:cs="宋体"/>
                <w:color w:val="auto"/>
                <w:sz w:val="24"/>
                <w:szCs w:val="24"/>
                <w:highlight w:val="none"/>
              </w:rPr>
            </w:pPr>
          </w:p>
        </w:tc>
        <w:tc>
          <w:tcPr>
            <w:tcW w:w="1281" w:type="pct"/>
            <w:vAlign w:val="center"/>
          </w:tcPr>
          <w:p w14:paraId="000489DB">
            <w:pPr>
              <w:keepNext/>
              <w:spacing w:line="360" w:lineRule="auto"/>
              <w:jc w:val="center"/>
              <w:rPr>
                <w:rFonts w:cs="宋体"/>
                <w:color w:val="auto"/>
                <w:sz w:val="24"/>
                <w:szCs w:val="24"/>
                <w:highlight w:val="none"/>
              </w:rPr>
            </w:pPr>
          </w:p>
        </w:tc>
        <w:tc>
          <w:tcPr>
            <w:tcW w:w="1151" w:type="pct"/>
            <w:vAlign w:val="center"/>
          </w:tcPr>
          <w:p w14:paraId="3F66AB46">
            <w:pPr>
              <w:keepNext/>
              <w:spacing w:line="360" w:lineRule="auto"/>
              <w:jc w:val="center"/>
              <w:rPr>
                <w:rFonts w:cs="宋体"/>
                <w:color w:val="auto"/>
                <w:sz w:val="24"/>
                <w:szCs w:val="24"/>
                <w:highlight w:val="none"/>
              </w:rPr>
            </w:pPr>
          </w:p>
        </w:tc>
      </w:tr>
      <w:tr w14:paraId="7CB63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2136AFD">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078CB774">
            <w:pPr>
              <w:keepNext/>
              <w:spacing w:line="360" w:lineRule="auto"/>
              <w:jc w:val="center"/>
              <w:rPr>
                <w:rFonts w:cs="宋体"/>
                <w:color w:val="auto"/>
                <w:sz w:val="24"/>
                <w:szCs w:val="24"/>
                <w:highlight w:val="none"/>
              </w:rPr>
            </w:pPr>
          </w:p>
        </w:tc>
        <w:tc>
          <w:tcPr>
            <w:tcW w:w="502" w:type="pct"/>
            <w:vAlign w:val="center"/>
          </w:tcPr>
          <w:p w14:paraId="55B8CB99">
            <w:pPr>
              <w:keepNext/>
              <w:spacing w:line="360" w:lineRule="auto"/>
              <w:jc w:val="center"/>
              <w:rPr>
                <w:rFonts w:cs="宋体"/>
                <w:color w:val="auto"/>
                <w:sz w:val="24"/>
                <w:szCs w:val="24"/>
                <w:highlight w:val="none"/>
              </w:rPr>
            </w:pPr>
          </w:p>
        </w:tc>
        <w:tc>
          <w:tcPr>
            <w:tcW w:w="502" w:type="pct"/>
            <w:vAlign w:val="center"/>
          </w:tcPr>
          <w:p w14:paraId="1D50025F">
            <w:pPr>
              <w:keepNext/>
              <w:spacing w:line="360" w:lineRule="auto"/>
              <w:jc w:val="center"/>
              <w:rPr>
                <w:rFonts w:cs="宋体"/>
                <w:color w:val="auto"/>
                <w:sz w:val="24"/>
                <w:szCs w:val="24"/>
                <w:highlight w:val="none"/>
              </w:rPr>
            </w:pPr>
          </w:p>
        </w:tc>
        <w:tc>
          <w:tcPr>
            <w:tcW w:w="1281" w:type="pct"/>
            <w:vAlign w:val="center"/>
          </w:tcPr>
          <w:p w14:paraId="78E1E836">
            <w:pPr>
              <w:keepNext/>
              <w:spacing w:line="360" w:lineRule="auto"/>
              <w:jc w:val="center"/>
              <w:rPr>
                <w:rFonts w:cs="宋体"/>
                <w:color w:val="auto"/>
                <w:sz w:val="24"/>
                <w:szCs w:val="24"/>
                <w:highlight w:val="none"/>
              </w:rPr>
            </w:pPr>
          </w:p>
        </w:tc>
        <w:tc>
          <w:tcPr>
            <w:tcW w:w="1151" w:type="pct"/>
            <w:vAlign w:val="center"/>
          </w:tcPr>
          <w:p w14:paraId="18B7B410">
            <w:pPr>
              <w:keepNext/>
              <w:spacing w:line="360" w:lineRule="auto"/>
              <w:jc w:val="center"/>
              <w:rPr>
                <w:rFonts w:cs="宋体"/>
                <w:color w:val="auto"/>
                <w:sz w:val="24"/>
                <w:szCs w:val="24"/>
                <w:highlight w:val="none"/>
              </w:rPr>
            </w:pPr>
          </w:p>
        </w:tc>
      </w:tr>
      <w:tr w14:paraId="71A08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0FAF348">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1BE1ABE6">
            <w:pPr>
              <w:keepNext/>
              <w:spacing w:line="360" w:lineRule="auto"/>
              <w:jc w:val="center"/>
              <w:rPr>
                <w:rFonts w:cs="宋体"/>
                <w:color w:val="auto"/>
                <w:sz w:val="24"/>
                <w:szCs w:val="24"/>
                <w:highlight w:val="none"/>
              </w:rPr>
            </w:pPr>
          </w:p>
        </w:tc>
        <w:tc>
          <w:tcPr>
            <w:tcW w:w="502" w:type="pct"/>
            <w:vAlign w:val="center"/>
          </w:tcPr>
          <w:p w14:paraId="7486D7ED">
            <w:pPr>
              <w:keepNext/>
              <w:spacing w:line="360" w:lineRule="auto"/>
              <w:jc w:val="center"/>
              <w:rPr>
                <w:rFonts w:cs="宋体"/>
                <w:color w:val="auto"/>
                <w:sz w:val="24"/>
                <w:szCs w:val="24"/>
                <w:highlight w:val="none"/>
              </w:rPr>
            </w:pPr>
          </w:p>
        </w:tc>
        <w:tc>
          <w:tcPr>
            <w:tcW w:w="502" w:type="pct"/>
            <w:vAlign w:val="center"/>
          </w:tcPr>
          <w:p w14:paraId="733B9AD4">
            <w:pPr>
              <w:keepNext/>
              <w:spacing w:line="360" w:lineRule="auto"/>
              <w:jc w:val="center"/>
              <w:rPr>
                <w:rFonts w:cs="宋体"/>
                <w:color w:val="auto"/>
                <w:sz w:val="24"/>
                <w:szCs w:val="24"/>
                <w:highlight w:val="none"/>
              </w:rPr>
            </w:pPr>
          </w:p>
        </w:tc>
        <w:tc>
          <w:tcPr>
            <w:tcW w:w="1281" w:type="pct"/>
            <w:vAlign w:val="center"/>
          </w:tcPr>
          <w:p w14:paraId="769982EC">
            <w:pPr>
              <w:keepNext/>
              <w:spacing w:line="360" w:lineRule="auto"/>
              <w:jc w:val="center"/>
              <w:rPr>
                <w:rFonts w:cs="宋体"/>
                <w:color w:val="auto"/>
                <w:sz w:val="24"/>
                <w:szCs w:val="24"/>
                <w:highlight w:val="none"/>
              </w:rPr>
            </w:pPr>
          </w:p>
        </w:tc>
        <w:tc>
          <w:tcPr>
            <w:tcW w:w="1151" w:type="pct"/>
            <w:vAlign w:val="center"/>
          </w:tcPr>
          <w:p w14:paraId="6C80365A">
            <w:pPr>
              <w:keepNext/>
              <w:spacing w:line="360" w:lineRule="auto"/>
              <w:jc w:val="center"/>
              <w:rPr>
                <w:rFonts w:cs="宋体"/>
                <w:color w:val="auto"/>
                <w:sz w:val="24"/>
                <w:szCs w:val="24"/>
                <w:highlight w:val="none"/>
              </w:rPr>
            </w:pPr>
          </w:p>
        </w:tc>
      </w:tr>
      <w:tr w14:paraId="12BC0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B4FAFD3">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6C7CB677">
            <w:pPr>
              <w:keepNext/>
              <w:spacing w:line="360" w:lineRule="auto"/>
              <w:jc w:val="center"/>
              <w:rPr>
                <w:rFonts w:cs="宋体"/>
                <w:color w:val="auto"/>
                <w:sz w:val="24"/>
                <w:szCs w:val="24"/>
                <w:highlight w:val="none"/>
              </w:rPr>
            </w:pPr>
          </w:p>
        </w:tc>
        <w:tc>
          <w:tcPr>
            <w:tcW w:w="502" w:type="pct"/>
            <w:vAlign w:val="center"/>
          </w:tcPr>
          <w:p w14:paraId="657C715E">
            <w:pPr>
              <w:keepNext/>
              <w:spacing w:line="360" w:lineRule="auto"/>
              <w:jc w:val="center"/>
              <w:rPr>
                <w:rFonts w:cs="宋体"/>
                <w:color w:val="auto"/>
                <w:sz w:val="24"/>
                <w:szCs w:val="24"/>
                <w:highlight w:val="none"/>
              </w:rPr>
            </w:pPr>
          </w:p>
        </w:tc>
        <w:tc>
          <w:tcPr>
            <w:tcW w:w="502" w:type="pct"/>
            <w:vAlign w:val="center"/>
          </w:tcPr>
          <w:p w14:paraId="39A9B6B2">
            <w:pPr>
              <w:keepNext/>
              <w:spacing w:line="360" w:lineRule="auto"/>
              <w:jc w:val="center"/>
              <w:rPr>
                <w:rFonts w:cs="宋体"/>
                <w:color w:val="auto"/>
                <w:sz w:val="24"/>
                <w:szCs w:val="24"/>
                <w:highlight w:val="none"/>
              </w:rPr>
            </w:pPr>
          </w:p>
        </w:tc>
        <w:tc>
          <w:tcPr>
            <w:tcW w:w="1281" w:type="pct"/>
            <w:vAlign w:val="center"/>
          </w:tcPr>
          <w:p w14:paraId="5674BE28">
            <w:pPr>
              <w:keepNext/>
              <w:spacing w:line="360" w:lineRule="auto"/>
              <w:jc w:val="center"/>
              <w:rPr>
                <w:rFonts w:cs="宋体"/>
                <w:color w:val="auto"/>
                <w:sz w:val="24"/>
                <w:szCs w:val="24"/>
                <w:highlight w:val="none"/>
              </w:rPr>
            </w:pPr>
          </w:p>
        </w:tc>
        <w:tc>
          <w:tcPr>
            <w:tcW w:w="1151" w:type="pct"/>
            <w:vAlign w:val="center"/>
          </w:tcPr>
          <w:p w14:paraId="442483D4">
            <w:pPr>
              <w:keepNext/>
              <w:spacing w:line="360" w:lineRule="auto"/>
              <w:jc w:val="center"/>
              <w:rPr>
                <w:rFonts w:cs="宋体"/>
                <w:color w:val="auto"/>
                <w:sz w:val="24"/>
                <w:szCs w:val="24"/>
                <w:highlight w:val="none"/>
              </w:rPr>
            </w:pPr>
          </w:p>
        </w:tc>
      </w:tr>
      <w:tr w14:paraId="0BCE9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FD75B5C">
            <w:pPr>
              <w:keepNext/>
              <w:spacing w:line="360" w:lineRule="auto"/>
              <w:jc w:val="center"/>
              <w:rPr>
                <w:rFonts w:cs="宋体"/>
                <w:color w:val="auto"/>
                <w:sz w:val="24"/>
                <w:szCs w:val="24"/>
                <w:highlight w:val="none"/>
              </w:rPr>
            </w:pPr>
          </w:p>
        </w:tc>
        <w:tc>
          <w:tcPr>
            <w:tcW w:w="627" w:type="pct"/>
            <w:tcBorders>
              <w:bottom w:val="nil"/>
            </w:tcBorders>
            <w:vAlign w:val="center"/>
          </w:tcPr>
          <w:p w14:paraId="0FE59FFA">
            <w:pPr>
              <w:keepNext/>
              <w:spacing w:line="360" w:lineRule="auto"/>
              <w:jc w:val="center"/>
              <w:rPr>
                <w:rFonts w:cs="宋体"/>
                <w:color w:val="auto"/>
                <w:sz w:val="24"/>
                <w:szCs w:val="24"/>
                <w:highlight w:val="none"/>
              </w:rPr>
            </w:pPr>
          </w:p>
        </w:tc>
        <w:tc>
          <w:tcPr>
            <w:tcW w:w="502" w:type="pct"/>
            <w:tcBorders>
              <w:bottom w:val="nil"/>
            </w:tcBorders>
            <w:vAlign w:val="center"/>
          </w:tcPr>
          <w:p w14:paraId="364508DD">
            <w:pPr>
              <w:keepNext/>
              <w:spacing w:line="360" w:lineRule="auto"/>
              <w:jc w:val="center"/>
              <w:rPr>
                <w:rFonts w:cs="宋体"/>
                <w:color w:val="auto"/>
                <w:sz w:val="24"/>
                <w:szCs w:val="24"/>
                <w:highlight w:val="none"/>
              </w:rPr>
            </w:pPr>
          </w:p>
        </w:tc>
        <w:tc>
          <w:tcPr>
            <w:tcW w:w="502" w:type="pct"/>
            <w:tcBorders>
              <w:bottom w:val="nil"/>
            </w:tcBorders>
            <w:vAlign w:val="center"/>
          </w:tcPr>
          <w:p w14:paraId="2EB5310E">
            <w:pPr>
              <w:keepNext/>
              <w:spacing w:line="360" w:lineRule="auto"/>
              <w:jc w:val="center"/>
              <w:rPr>
                <w:rFonts w:cs="宋体"/>
                <w:color w:val="auto"/>
                <w:sz w:val="24"/>
                <w:szCs w:val="24"/>
                <w:highlight w:val="none"/>
              </w:rPr>
            </w:pPr>
          </w:p>
        </w:tc>
        <w:tc>
          <w:tcPr>
            <w:tcW w:w="1281" w:type="pct"/>
            <w:tcBorders>
              <w:bottom w:val="nil"/>
            </w:tcBorders>
            <w:vAlign w:val="center"/>
          </w:tcPr>
          <w:p w14:paraId="2A638C90">
            <w:pPr>
              <w:keepNext/>
              <w:spacing w:line="360" w:lineRule="auto"/>
              <w:jc w:val="center"/>
              <w:rPr>
                <w:rFonts w:cs="宋体"/>
                <w:color w:val="auto"/>
                <w:sz w:val="24"/>
                <w:szCs w:val="24"/>
                <w:highlight w:val="none"/>
              </w:rPr>
            </w:pPr>
          </w:p>
        </w:tc>
        <w:tc>
          <w:tcPr>
            <w:tcW w:w="1151" w:type="pct"/>
            <w:tcBorders>
              <w:bottom w:val="nil"/>
            </w:tcBorders>
            <w:vAlign w:val="center"/>
          </w:tcPr>
          <w:p w14:paraId="0C1F33F9">
            <w:pPr>
              <w:keepNext/>
              <w:spacing w:line="360" w:lineRule="auto"/>
              <w:jc w:val="center"/>
              <w:rPr>
                <w:rFonts w:cs="宋体"/>
                <w:color w:val="auto"/>
                <w:sz w:val="24"/>
                <w:szCs w:val="24"/>
                <w:highlight w:val="none"/>
              </w:rPr>
            </w:pPr>
          </w:p>
        </w:tc>
      </w:tr>
      <w:tr w14:paraId="49E8E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4702357D">
            <w:pPr>
              <w:keepNext/>
              <w:spacing w:line="360" w:lineRule="auto"/>
              <w:jc w:val="center"/>
              <w:rPr>
                <w:rFonts w:cs="宋体"/>
                <w:color w:val="auto"/>
                <w:sz w:val="24"/>
                <w:szCs w:val="24"/>
                <w:highlight w:val="none"/>
              </w:rPr>
            </w:pPr>
          </w:p>
        </w:tc>
        <w:tc>
          <w:tcPr>
            <w:tcW w:w="627" w:type="pct"/>
            <w:vAlign w:val="center"/>
          </w:tcPr>
          <w:p w14:paraId="4CC01633">
            <w:pPr>
              <w:keepNext/>
              <w:spacing w:line="360" w:lineRule="auto"/>
              <w:jc w:val="center"/>
              <w:rPr>
                <w:rFonts w:cs="宋体"/>
                <w:color w:val="auto"/>
                <w:sz w:val="24"/>
                <w:szCs w:val="24"/>
                <w:highlight w:val="none"/>
              </w:rPr>
            </w:pPr>
          </w:p>
        </w:tc>
        <w:tc>
          <w:tcPr>
            <w:tcW w:w="502" w:type="pct"/>
            <w:vAlign w:val="center"/>
          </w:tcPr>
          <w:p w14:paraId="566EF452">
            <w:pPr>
              <w:keepNext/>
              <w:spacing w:line="360" w:lineRule="auto"/>
              <w:jc w:val="center"/>
              <w:rPr>
                <w:rFonts w:cs="宋体"/>
                <w:color w:val="auto"/>
                <w:sz w:val="24"/>
                <w:szCs w:val="24"/>
                <w:highlight w:val="none"/>
              </w:rPr>
            </w:pPr>
          </w:p>
        </w:tc>
        <w:tc>
          <w:tcPr>
            <w:tcW w:w="502" w:type="pct"/>
            <w:vAlign w:val="center"/>
          </w:tcPr>
          <w:p w14:paraId="64345E1C">
            <w:pPr>
              <w:keepNext/>
              <w:spacing w:line="360" w:lineRule="auto"/>
              <w:jc w:val="center"/>
              <w:rPr>
                <w:rFonts w:cs="宋体"/>
                <w:color w:val="auto"/>
                <w:sz w:val="24"/>
                <w:szCs w:val="24"/>
                <w:highlight w:val="none"/>
              </w:rPr>
            </w:pPr>
          </w:p>
        </w:tc>
        <w:tc>
          <w:tcPr>
            <w:tcW w:w="1281" w:type="pct"/>
            <w:vAlign w:val="center"/>
          </w:tcPr>
          <w:p w14:paraId="16765604">
            <w:pPr>
              <w:keepNext/>
              <w:spacing w:line="360" w:lineRule="auto"/>
              <w:jc w:val="center"/>
              <w:rPr>
                <w:rFonts w:cs="宋体"/>
                <w:color w:val="auto"/>
                <w:sz w:val="24"/>
                <w:szCs w:val="24"/>
                <w:highlight w:val="none"/>
              </w:rPr>
            </w:pPr>
          </w:p>
        </w:tc>
        <w:tc>
          <w:tcPr>
            <w:tcW w:w="1151" w:type="pct"/>
            <w:vAlign w:val="center"/>
          </w:tcPr>
          <w:p w14:paraId="433EADA9">
            <w:pPr>
              <w:keepNext/>
              <w:spacing w:line="360" w:lineRule="auto"/>
              <w:jc w:val="center"/>
              <w:rPr>
                <w:rFonts w:cs="宋体"/>
                <w:color w:val="auto"/>
                <w:sz w:val="24"/>
                <w:szCs w:val="24"/>
                <w:highlight w:val="none"/>
              </w:rPr>
            </w:pPr>
          </w:p>
        </w:tc>
      </w:tr>
      <w:tr w14:paraId="5296E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69AB32F">
            <w:pPr>
              <w:keepNext/>
              <w:spacing w:line="360" w:lineRule="auto"/>
              <w:jc w:val="center"/>
              <w:rPr>
                <w:rFonts w:cs="宋体"/>
                <w:color w:val="auto"/>
                <w:sz w:val="24"/>
                <w:szCs w:val="24"/>
                <w:highlight w:val="none"/>
              </w:rPr>
            </w:pPr>
          </w:p>
        </w:tc>
        <w:tc>
          <w:tcPr>
            <w:tcW w:w="627" w:type="pct"/>
            <w:vAlign w:val="center"/>
          </w:tcPr>
          <w:p w14:paraId="4492FE46">
            <w:pPr>
              <w:keepNext/>
              <w:spacing w:line="360" w:lineRule="auto"/>
              <w:jc w:val="center"/>
              <w:rPr>
                <w:rFonts w:cs="宋体"/>
                <w:color w:val="auto"/>
                <w:sz w:val="24"/>
                <w:szCs w:val="24"/>
                <w:highlight w:val="none"/>
              </w:rPr>
            </w:pPr>
          </w:p>
        </w:tc>
        <w:tc>
          <w:tcPr>
            <w:tcW w:w="502" w:type="pct"/>
            <w:vAlign w:val="center"/>
          </w:tcPr>
          <w:p w14:paraId="01CA608D">
            <w:pPr>
              <w:keepNext/>
              <w:spacing w:line="360" w:lineRule="auto"/>
              <w:jc w:val="center"/>
              <w:rPr>
                <w:rFonts w:cs="宋体"/>
                <w:color w:val="auto"/>
                <w:sz w:val="24"/>
                <w:szCs w:val="24"/>
                <w:highlight w:val="none"/>
              </w:rPr>
            </w:pPr>
          </w:p>
        </w:tc>
        <w:tc>
          <w:tcPr>
            <w:tcW w:w="502" w:type="pct"/>
            <w:vAlign w:val="center"/>
          </w:tcPr>
          <w:p w14:paraId="4D8DD603">
            <w:pPr>
              <w:keepNext/>
              <w:spacing w:line="360" w:lineRule="auto"/>
              <w:jc w:val="center"/>
              <w:rPr>
                <w:rFonts w:cs="宋体"/>
                <w:color w:val="auto"/>
                <w:sz w:val="24"/>
                <w:szCs w:val="24"/>
                <w:highlight w:val="none"/>
              </w:rPr>
            </w:pPr>
          </w:p>
        </w:tc>
        <w:tc>
          <w:tcPr>
            <w:tcW w:w="1281" w:type="pct"/>
            <w:vAlign w:val="center"/>
          </w:tcPr>
          <w:p w14:paraId="2F4DDFAB">
            <w:pPr>
              <w:keepNext/>
              <w:spacing w:line="360" w:lineRule="auto"/>
              <w:jc w:val="center"/>
              <w:rPr>
                <w:rFonts w:cs="宋体"/>
                <w:color w:val="auto"/>
                <w:sz w:val="24"/>
                <w:szCs w:val="24"/>
                <w:highlight w:val="none"/>
              </w:rPr>
            </w:pPr>
          </w:p>
        </w:tc>
        <w:tc>
          <w:tcPr>
            <w:tcW w:w="1151" w:type="pct"/>
            <w:vAlign w:val="center"/>
          </w:tcPr>
          <w:p w14:paraId="7FE59397">
            <w:pPr>
              <w:keepNext/>
              <w:spacing w:line="360" w:lineRule="auto"/>
              <w:jc w:val="center"/>
              <w:rPr>
                <w:rFonts w:cs="宋体"/>
                <w:color w:val="auto"/>
                <w:sz w:val="24"/>
                <w:szCs w:val="24"/>
                <w:highlight w:val="none"/>
              </w:rPr>
            </w:pPr>
          </w:p>
        </w:tc>
      </w:tr>
      <w:tr w14:paraId="34C6E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61FB172D">
            <w:pPr>
              <w:keepNext/>
              <w:spacing w:line="360" w:lineRule="auto"/>
              <w:jc w:val="center"/>
              <w:rPr>
                <w:rFonts w:cs="宋体"/>
                <w:color w:val="auto"/>
                <w:sz w:val="24"/>
                <w:szCs w:val="24"/>
                <w:highlight w:val="none"/>
              </w:rPr>
            </w:pPr>
          </w:p>
        </w:tc>
        <w:tc>
          <w:tcPr>
            <w:tcW w:w="627" w:type="pct"/>
            <w:vAlign w:val="center"/>
          </w:tcPr>
          <w:p w14:paraId="457277E9">
            <w:pPr>
              <w:keepNext/>
              <w:spacing w:line="360" w:lineRule="auto"/>
              <w:jc w:val="center"/>
              <w:rPr>
                <w:rFonts w:cs="宋体"/>
                <w:color w:val="auto"/>
                <w:sz w:val="24"/>
                <w:szCs w:val="24"/>
                <w:highlight w:val="none"/>
              </w:rPr>
            </w:pPr>
          </w:p>
        </w:tc>
        <w:tc>
          <w:tcPr>
            <w:tcW w:w="502" w:type="pct"/>
            <w:vAlign w:val="center"/>
          </w:tcPr>
          <w:p w14:paraId="64D098A6">
            <w:pPr>
              <w:keepNext/>
              <w:spacing w:line="360" w:lineRule="auto"/>
              <w:jc w:val="center"/>
              <w:rPr>
                <w:rFonts w:cs="宋体"/>
                <w:color w:val="auto"/>
                <w:sz w:val="24"/>
                <w:szCs w:val="24"/>
                <w:highlight w:val="none"/>
              </w:rPr>
            </w:pPr>
          </w:p>
        </w:tc>
        <w:tc>
          <w:tcPr>
            <w:tcW w:w="502" w:type="pct"/>
            <w:vAlign w:val="center"/>
          </w:tcPr>
          <w:p w14:paraId="6E611BC1">
            <w:pPr>
              <w:keepNext/>
              <w:spacing w:line="360" w:lineRule="auto"/>
              <w:jc w:val="center"/>
              <w:rPr>
                <w:rFonts w:cs="宋体"/>
                <w:color w:val="auto"/>
                <w:sz w:val="24"/>
                <w:szCs w:val="24"/>
                <w:highlight w:val="none"/>
              </w:rPr>
            </w:pPr>
          </w:p>
        </w:tc>
        <w:tc>
          <w:tcPr>
            <w:tcW w:w="1281" w:type="pct"/>
            <w:vAlign w:val="center"/>
          </w:tcPr>
          <w:p w14:paraId="1FCFA6AE">
            <w:pPr>
              <w:keepNext/>
              <w:spacing w:line="360" w:lineRule="auto"/>
              <w:jc w:val="center"/>
              <w:rPr>
                <w:rFonts w:cs="宋体"/>
                <w:color w:val="auto"/>
                <w:sz w:val="24"/>
                <w:szCs w:val="24"/>
                <w:highlight w:val="none"/>
              </w:rPr>
            </w:pPr>
          </w:p>
        </w:tc>
        <w:tc>
          <w:tcPr>
            <w:tcW w:w="1151" w:type="pct"/>
            <w:vAlign w:val="center"/>
          </w:tcPr>
          <w:p w14:paraId="093BF19E">
            <w:pPr>
              <w:keepNext/>
              <w:spacing w:line="360" w:lineRule="auto"/>
              <w:jc w:val="center"/>
              <w:rPr>
                <w:rFonts w:cs="宋体"/>
                <w:color w:val="auto"/>
                <w:sz w:val="24"/>
                <w:szCs w:val="24"/>
                <w:highlight w:val="none"/>
              </w:rPr>
            </w:pPr>
          </w:p>
        </w:tc>
      </w:tr>
      <w:tr w14:paraId="4E8A8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615A89E9">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5994CCFA">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3588E6ED">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714FC8F5">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61B6C8D6">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6DDE0125">
            <w:pPr>
              <w:keepNext/>
              <w:spacing w:line="360" w:lineRule="auto"/>
              <w:jc w:val="center"/>
              <w:rPr>
                <w:rFonts w:cs="宋体"/>
                <w:color w:val="auto"/>
                <w:sz w:val="24"/>
                <w:szCs w:val="24"/>
                <w:highlight w:val="none"/>
              </w:rPr>
            </w:pPr>
          </w:p>
        </w:tc>
      </w:tr>
    </w:tbl>
    <w:p w14:paraId="1242C8E6">
      <w:pPr>
        <w:spacing w:before="312" w:beforeLines="100" w:after="312" w:afterLines="100"/>
        <w:outlineLvl w:val="9"/>
        <w:rPr>
          <w:rFonts w:hint="eastAsia" w:ascii="Times New Roman" w:eastAsia="黑体"/>
          <w:color w:val="auto"/>
          <w:sz w:val="24"/>
          <w:szCs w:val="24"/>
          <w:highlight w:val="none"/>
        </w:rPr>
      </w:pPr>
    </w:p>
    <w:p w14:paraId="2CE8EC92">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504B1FF2">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bookmarkEnd w:id="684"/>
      <w:r>
        <w:rPr>
          <w:rFonts w:hint="eastAsia" w:ascii="Times New Roman" w:eastAsia="黑体"/>
          <w:color w:val="auto"/>
          <w:sz w:val="24"/>
          <w:szCs w:val="24"/>
          <w:highlight w:val="none"/>
          <w:lang w:val="en-US" w:eastAsia="zh-CN"/>
        </w:rPr>
        <w:t>格式</w:t>
      </w:r>
    </w:p>
    <w:p w14:paraId="0B0500AB">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366D943D">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0303BBC7">
      <w:pPr>
        <w:spacing w:line="360" w:lineRule="auto"/>
        <w:rPr>
          <w:rFonts w:ascii="Times New Roman"/>
          <w:color w:val="auto"/>
          <w:sz w:val="24"/>
          <w:szCs w:val="24"/>
          <w:highlight w:val="none"/>
        </w:rPr>
      </w:pPr>
    </w:p>
    <w:p w14:paraId="1119EE5B">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F00B155">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，基于申请人的请求，开立人同意就申请人履行与受益人签订的基础合同项下的义务，向受益人提供不可撤销、不可转让的见索即付独立保函（以下简称“本保函”）。 </w:t>
      </w:r>
    </w:p>
    <w:p w14:paraId="7D08052F">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6CC70DB0">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2452A3E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22423EB4">
      <w:pPr>
        <w:spacing w:line="360" w:lineRule="auto"/>
        <w:ind w:firstLine="480"/>
        <w:rPr>
          <w:rFonts w:cs="宋体"/>
          <w:color w:val="auto"/>
          <w:sz w:val="24"/>
          <w:szCs w:val="24"/>
          <w:highlight w:val="none"/>
        </w:rPr>
      </w:pPr>
      <w:bookmarkStart w:id="685" w:name="_Hlk40302764"/>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bookmarkEnd w:id="685"/>
    <w:p w14:paraId="4DF53DC8">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5F9143FC">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78F542C5">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337DBE34">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5BFDC6D5">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5FDEDF0C">
      <w:pPr>
        <w:spacing w:line="360" w:lineRule="auto"/>
        <w:ind w:firstLine="480" w:firstLineChars="200"/>
        <w:rPr>
          <w:rFonts w:cs="宋体"/>
          <w:color w:val="auto"/>
          <w:sz w:val="24"/>
          <w:szCs w:val="24"/>
          <w:highlight w:val="none"/>
        </w:rPr>
      </w:pPr>
      <w:bookmarkStart w:id="686" w:name="_Hlk40303486"/>
      <w:r>
        <w:rPr>
          <w:rFonts w:hint="eastAsia" w:cs="宋体"/>
          <w:color w:val="auto"/>
          <w:sz w:val="24"/>
          <w:szCs w:val="24"/>
          <w:highlight w:val="none"/>
        </w:rPr>
        <w:t>受益人发出的书面付款通知应由其法定代表人（负责人）或授权代理人签字并加盖公章。</w:t>
      </w:r>
      <w:bookmarkEnd w:id="686"/>
    </w:p>
    <w:p w14:paraId="3B766D63">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46B3E7BC">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1658D7A0">
      <w:pPr>
        <w:spacing w:line="360" w:lineRule="auto"/>
        <w:ind w:firstLine="480" w:firstLineChars="200"/>
        <w:rPr>
          <w:rFonts w:cs="宋体"/>
          <w:color w:val="auto"/>
          <w:sz w:val="24"/>
          <w:szCs w:val="24"/>
          <w:highlight w:val="none"/>
        </w:rPr>
      </w:pPr>
      <w:bookmarkStart w:id="687" w:name="_Hlk40303383"/>
      <w:bookmarkStart w:id="688" w:name="_Hlk40354981"/>
      <w:r>
        <w:rPr>
          <w:rFonts w:hint="eastAsia" w:cs="宋体"/>
          <w:color w:val="auto"/>
          <w:sz w:val="24"/>
          <w:szCs w:val="24"/>
          <w:highlight w:val="none"/>
        </w:rPr>
        <w:t xml:space="preserve">七、本保函项下的义务和责任均在保函有效期到期后自动消灭。 </w:t>
      </w:r>
    </w:p>
    <w:p w14:paraId="40B54A53">
      <w:pPr>
        <w:spacing w:line="360" w:lineRule="auto"/>
        <w:ind w:firstLine="480" w:firstLineChars="200"/>
        <w:rPr>
          <w:rFonts w:cs="宋体"/>
          <w:color w:val="auto"/>
          <w:sz w:val="24"/>
          <w:szCs w:val="24"/>
          <w:highlight w:val="none"/>
        </w:rPr>
      </w:pPr>
      <w:r>
        <w:rPr>
          <w:rFonts w:hint="eastAsia" w:cs="宋体"/>
          <w:color w:val="auto"/>
          <w:sz w:val="24"/>
          <w:szCs w:val="24"/>
          <w:highlight w:val="none"/>
        </w:rPr>
        <w:t>八、本保函适用的法律为中华人民共和国法律，因本保函产生的纠纷案件，</w:t>
      </w:r>
      <w:bookmarkEnd w:id="687"/>
      <w:r>
        <w:rPr>
          <w:rFonts w:hint="eastAsia" w:cs="宋体"/>
          <w:color w:val="auto"/>
          <w:sz w:val="24"/>
          <w:szCs w:val="24"/>
          <w:highlight w:val="none"/>
        </w:rPr>
        <w:t xml:space="preserve">由受益人所在地人民法院管辖。 </w:t>
      </w:r>
    </w:p>
    <w:bookmarkEnd w:id="688"/>
    <w:p w14:paraId="2CB3E254">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58CD9606">
      <w:pPr>
        <w:spacing w:line="360" w:lineRule="auto"/>
        <w:ind w:firstLine="480" w:firstLineChars="200"/>
        <w:rPr>
          <w:rFonts w:cs="宋体"/>
          <w:color w:val="auto"/>
          <w:sz w:val="24"/>
          <w:szCs w:val="24"/>
          <w:highlight w:val="none"/>
        </w:rPr>
      </w:pPr>
    </w:p>
    <w:p w14:paraId="2A63FBB4">
      <w:pPr>
        <w:spacing w:line="360" w:lineRule="auto"/>
        <w:ind w:firstLine="480" w:firstLineChars="200"/>
        <w:rPr>
          <w:rFonts w:cs="宋体"/>
          <w:color w:val="auto"/>
          <w:sz w:val="24"/>
          <w:szCs w:val="24"/>
          <w:highlight w:val="none"/>
        </w:rPr>
      </w:pPr>
    </w:p>
    <w:p w14:paraId="59C19B0C">
      <w:pPr>
        <w:spacing w:line="360" w:lineRule="auto"/>
        <w:ind w:firstLine="480" w:firstLineChars="200"/>
        <w:rPr>
          <w:rFonts w:cs="宋体"/>
          <w:color w:val="auto"/>
          <w:sz w:val="24"/>
          <w:szCs w:val="24"/>
          <w:highlight w:val="none"/>
        </w:rPr>
      </w:pPr>
    </w:p>
    <w:p w14:paraId="232452F6">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311F8F3A">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5C6B0246">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0E8AEE11">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50558571">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00B6B4A3">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78813D93">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96C1F36">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bookmarkStart w:id="689" w:name="_Toc128950245"/>
      <w:bookmarkStart w:id="690" w:name="_Toc296346733"/>
      <w:bookmarkStart w:id="691" w:name="_Toc296944571"/>
      <w:bookmarkStart w:id="692" w:name="_Toc296503232"/>
      <w:bookmarkStart w:id="693" w:name="_Toc296347231"/>
      <w:bookmarkStart w:id="694" w:name="_Toc267261702"/>
      <w:bookmarkStart w:id="695" w:name="_Toc296891060"/>
      <w:bookmarkStart w:id="696" w:name="_Toc296891272"/>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bookmarkEnd w:id="689"/>
      <w:r>
        <w:rPr>
          <w:rFonts w:hint="eastAsia" w:ascii="Times New Roman" w:eastAsia="黑体"/>
          <w:color w:val="auto"/>
          <w:sz w:val="24"/>
          <w:szCs w:val="24"/>
          <w:highlight w:val="none"/>
          <w:lang w:val="en-US" w:eastAsia="zh-CN"/>
        </w:rPr>
        <w:t>格式</w:t>
      </w:r>
    </w:p>
    <w:bookmarkEnd w:id="690"/>
    <w:bookmarkEnd w:id="691"/>
    <w:bookmarkEnd w:id="692"/>
    <w:bookmarkEnd w:id="693"/>
    <w:bookmarkEnd w:id="694"/>
    <w:bookmarkEnd w:id="695"/>
    <w:bookmarkEnd w:id="696"/>
    <w:p w14:paraId="27094BC4">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5765CF02">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7AA73772">
      <w:pPr>
        <w:spacing w:line="360" w:lineRule="auto"/>
        <w:rPr>
          <w:rFonts w:ascii="Times New Roman"/>
          <w:color w:val="auto"/>
          <w:sz w:val="24"/>
          <w:szCs w:val="24"/>
          <w:highlight w:val="none"/>
        </w:rPr>
      </w:pPr>
    </w:p>
    <w:p w14:paraId="09AF1DFA">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1AB6D68C">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，基于申请人的请求，开立人同意就申请人按照合同约定正确和合理地为合同目的使用预付款，向受益人提供不可撤销、不可转让的见索即付独立保函（以下简称“本保函”）。 </w:t>
      </w:r>
    </w:p>
    <w:p w14:paraId="4F0F4B08">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7D8245A7">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4C0693D4">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3D4B8111">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031F0253">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1908CD56">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705E0DB6">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05238D8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5FF4CCB2">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604C10C3">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20341BF7">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6103A9BC">
      <w:pPr>
        <w:spacing w:line="400" w:lineRule="exact"/>
        <w:ind w:firstLine="480" w:firstLineChars="200"/>
        <w:rPr>
          <w:rStyle w:val="64"/>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6A8BBFF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13071F0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6A78A79D">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51351D28">
      <w:pPr>
        <w:spacing w:line="360" w:lineRule="auto"/>
        <w:ind w:firstLine="480" w:firstLineChars="200"/>
        <w:rPr>
          <w:rFonts w:cs="宋体"/>
          <w:color w:val="auto"/>
          <w:sz w:val="24"/>
          <w:szCs w:val="24"/>
          <w:highlight w:val="none"/>
        </w:rPr>
      </w:pPr>
    </w:p>
    <w:p w14:paraId="04AF272B">
      <w:pPr>
        <w:spacing w:line="360" w:lineRule="auto"/>
        <w:ind w:firstLine="480" w:firstLineChars="200"/>
        <w:rPr>
          <w:rFonts w:cs="宋体"/>
          <w:color w:val="auto"/>
          <w:sz w:val="24"/>
          <w:szCs w:val="24"/>
          <w:highlight w:val="none"/>
        </w:rPr>
      </w:pPr>
    </w:p>
    <w:p w14:paraId="5D6028C2">
      <w:pPr>
        <w:spacing w:line="360" w:lineRule="auto"/>
        <w:ind w:firstLine="480" w:firstLineChars="200"/>
        <w:rPr>
          <w:rFonts w:cs="宋体"/>
          <w:color w:val="auto"/>
          <w:sz w:val="24"/>
          <w:szCs w:val="24"/>
          <w:highlight w:val="none"/>
        </w:rPr>
      </w:pPr>
    </w:p>
    <w:p w14:paraId="064053D5">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6E42AF59">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42C6D4A1">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5122D91F">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280570FF">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596BC135">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70173F8E">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4E0722E0">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bookmarkStart w:id="697" w:name="_Toc128950246"/>
      <w:r>
        <w:rPr>
          <w:rFonts w:hint="eastAsia" w:ascii="Times New Roman" w:eastAsia="黑体"/>
          <w:color w:val="auto"/>
          <w:sz w:val="24"/>
          <w:szCs w:val="24"/>
          <w:highlight w:val="none"/>
        </w:rPr>
        <w:t>附</w:t>
      </w:r>
      <w:bookmarkStart w:id="698" w:name="_Toc296346734"/>
      <w:bookmarkStart w:id="699" w:name="_Toc296944572"/>
      <w:bookmarkStart w:id="700" w:name="_Toc296891273"/>
      <w:bookmarkStart w:id="701" w:name="_Toc296503233"/>
      <w:bookmarkStart w:id="702" w:name="_Toc296891061"/>
      <w:bookmarkStart w:id="703" w:name="_Toc296347232"/>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bookmarkEnd w:id="697"/>
      <w:bookmarkEnd w:id="698"/>
      <w:bookmarkEnd w:id="699"/>
      <w:bookmarkEnd w:id="700"/>
      <w:bookmarkEnd w:id="701"/>
      <w:bookmarkEnd w:id="702"/>
      <w:bookmarkEnd w:id="703"/>
      <w:r>
        <w:rPr>
          <w:rFonts w:hint="eastAsia" w:ascii="Times New Roman" w:eastAsia="黑体"/>
          <w:color w:val="auto"/>
          <w:sz w:val="24"/>
          <w:szCs w:val="24"/>
          <w:highlight w:val="none"/>
          <w:lang w:val="en-US" w:eastAsia="zh-CN"/>
        </w:rPr>
        <w:t>格式</w:t>
      </w:r>
    </w:p>
    <w:p w14:paraId="67FAB261">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763F47FE">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27336870">
      <w:pPr>
        <w:spacing w:line="360" w:lineRule="auto"/>
        <w:rPr>
          <w:rFonts w:ascii="Times New Roman"/>
          <w:color w:val="auto"/>
          <w:sz w:val="24"/>
          <w:szCs w:val="24"/>
          <w:highlight w:val="none"/>
        </w:rPr>
      </w:pPr>
    </w:p>
    <w:p w14:paraId="06F8CC05">
      <w:pPr>
        <w:spacing w:line="360" w:lineRule="auto"/>
        <w:rPr>
          <w:rFonts w:cs="宋体"/>
          <w:color w:val="auto"/>
          <w:sz w:val="24"/>
          <w:szCs w:val="24"/>
          <w:highlight w:val="none"/>
        </w:rPr>
      </w:pPr>
      <w:bookmarkStart w:id="704" w:name="_Hlk40355074"/>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bookmarkEnd w:id="704"/>
    <w:p w14:paraId="54893876">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5EED4D48">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560A8517">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24E8A9D4">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44686C5D">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38B42257">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4522C015">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1A06CF0F">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11CB2A85">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56C01935">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FD99F14">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7E0FAB7B">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5EC26A70">
      <w:pPr>
        <w:spacing w:line="400" w:lineRule="exact"/>
        <w:ind w:firstLine="480" w:firstLineChars="200"/>
        <w:rPr>
          <w:rStyle w:val="64"/>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4525755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525DE13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15536F7F">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7DCE7C72">
      <w:pPr>
        <w:spacing w:line="360" w:lineRule="auto"/>
        <w:ind w:firstLine="480" w:firstLineChars="200"/>
        <w:rPr>
          <w:rFonts w:cs="宋体"/>
          <w:color w:val="auto"/>
          <w:sz w:val="24"/>
          <w:szCs w:val="24"/>
          <w:highlight w:val="none"/>
        </w:rPr>
      </w:pPr>
    </w:p>
    <w:p w14:paraId="4BBF0E88">
      <w:pPr>
        <w:spacing w:line="360" w:lineRule="auto"/>
        <w:ind w:firstLine="480" w:firstLineChars="200"/>
        <w:rPr>
          <w:rFonts w:cs="宋体"/>
          <w:color w:val="auto"/>
          <w:sz w:val="24"/>
          <w:szCs w:val="24"/>
          <w:highlight w:val="none"/>
        </w:rPr>
      </w:pPr>
    </w:p>
    <w:p w14:paraId="1C743E77">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47630066">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35C94589">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718AE5BE">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2F3CD37D">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07928597">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0F6D8B2E">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2107F8A0">
      <w:pPr>
        <w:rPr>
          <w:b/>
          <w:color w:val="auto"/>
          <w:sz w:val="24"/>
          <w:szCs w:val="24"/>
          <w:highlight w:val="none"/>
        </w:rPr>
      </w:pPr>
      <w:r>
        <w:rPr>
          <w:rFonts w:ascii="Times New Roman" w:eastAsia="黑体"/>
          <w:bCs/>
          <w:color w:val="auto"/>
          <w:sz w:val="24"/>
          <w:szCs w:val="24"/>
          <w:highlight w:val="none"/>
        </w:rPr>
        <w:br w:type="page"/>
      </w:r>
    </w:p>
    <w:p w14:paraId="412BA0C1">
      <w:pPr>
        <w:spacing w:line="360" w:lineRule="auto"/>
        <w:jc w:val="center"/>
        <w:outlineLvl w:val="0"/>
        <w:rPr>
          <w:rFonts w:ascii="宋体" w:hAnsi="宋体" w:eastAsia="宋体"/>
          <w:b/>
          <w:color w:val="auto"/>
          <w:sz w:val="24"/>
          <w:szCs w:val="24"/>
          <w:highlight w:val="none"/>
        </w:rPr>
      </w:pPr>
      <w:bookmarkStart w:id="705" w:name="_Toc22734"/>
      <w:r>
        <w:rPr>
          <w:rFonts w:hint="eastAsia" w:ascii="宋体" w:hAnsi="宋体" w:eastAsia="宋体"/>
          <w:b/>
          <w:color w:val="auto"/>
          <w:sz w:val="24"/>
          <w:szCs w:val="24"/>
          <w:highlight w:val="none"/>
        </w:rPr>
        <w:t>第六章  响应文件格式</w:t>
      </w:r>
      <w:bookmarkEnd w:id="705"/>
    </w:p>
    <w:p w14:paraId="0C5F212A">
      <w:pPr>
        <w:spacing w:line="900" w:lineRule="exact"/>
        <w:jc w:val="center"/>
        <w:rPr>
          <w:rFonts w:ascii="宋体" w:hAnsi="宋体" w:eastAsia="宋体"/>
          <w:b/>
          <w:color w:val="auto"/>
          <w:sz w:val="24"/>
          <w:szCs w:val="24"/>
          <w:highlight w:val="none"/>
        </w:rPr>
      </w:pPr>
    </w:p>
    <w:p w14:paraId="723A8CAA">
      <w:pPr>
        <w:spacing w:line="900" w:lineRule="exact"/>
        <w:jc w:val="center"/>
        <w:outlineLvl w:val="9"/>
        <w:rPr>
          <w:rFonts w:ascii="宋体" w:hAnsi="宋体" w:eastAsia="宋体"/>
          <w:b/>
          <w:color w:val="auto"/>
          <w:sz w:val="72"/>
          <w:szCs w:val="72"/>
          <w:highlight w:val="none"/>
        </w:rPr>
      </w:pPr>
      <w:r>
        <w:rPr>
          <w:rFonts w:hint="eastAsia" w:ascii="宋体" w:hAnsi="宋体" w:eastAsia="宋体"/>
          <w:b/>
          <w:color w:val="auto"/>
          <w:sz w:val="72"/>
          <w:szCs w:val="72"/>
          <w:highlight w:val="none"/>
        </w:rPr>
        <w:t>响</w:t>
      </w:r>
    </w:p>
    <w:p w14:paraId="382DA4B3">
      <w:pPr>
        <w:spacing w:line="900" w:lineRule="exact"/>
        <w:jc w:val="center"/>
        <w:rPr>
          <w:rFonts w:ascii="宋体" w:hAnsi="宋体" w:eastAsia="宋体"/>
          <w:b/>
          <w:color w:val="auto"/>
          <w:sz w:val="72"/>
          <w:szCs w:val="72"/>
          <w:highlight w:val="none"/>
        </w:rPr>
      </w:pPr>
    </w:p>
    <w:p w14:paraId="4BA75D7E">
      <w:pPr>
        <w:spacing w:line="900" w:lineRule="exact"/>
        <w:jc w:val="center"/>
        <w:outlineLvl w:val="9"/>
        <w:rPr>
          <w:rFonts w:ascii="宋体" w:hAnsi="宋体" w:eastAsia="宋体"/>
          <w:b/>
          <w:color w:val="auto"/>
          <w:sz w:val="72"/>
          <w:szCs w:val="72"/>
          <w:highlight w:val="none"/>
        </w:rPr>
      </w:pPr>
      <w:r>
        <w:rPr>
          <w:rFonts w:hint="eastAsia" w:ascii="宋体" w:hAnsi="宋体" w:eastAsia="宋体"/>
          <w:b/>
          <w:color w:val="auto"/>
          <w:sz w:val="72"/>
          <w:szCs w:val="72"/>
          <w:highlight w:val="none"/>
        </w:rPr>
        <w:t>应</w:t>
      </w:r>
    </w:p>
    <w:p w14:paraId="0123C2F5">
      <w:pPr>
        <w:spacing w:line="900" w:lineRule="exact"/>
        <w:jc w:val="center"/>
        <w:rPr>
          <w:rFonts w:ascii="宋体" w:hAnsi="宋体" w:eastAsia="宋体"/>
          <w:b/>
          <w:color w:val="auto"/>
          <w:sz w:val="72"/>
          <w:szCs w:val="72"/>
          <w:highlight w:val="none"/>
        </w:rPr>
      </w:pPr>
    </w:p>
    <w:p w14:paraId="656F5493">
      <w:pPr>
        <w:spacing w:line="900" w:lineRule="exact"/>
        <w:jc w:val="center"/>
        <w:outlineLvl w:val="9"/>
        <w:rPr>
          <w:rFonts w:ascii="宋体" w:hAnsi="宋体" w:eastAsia="宋体"/>
          <w:b/>
          <w:color w:val="auto"/>
          <w:sz w:val="72"/>
          <w:szCs w:val="72"/>
          <w:highlight w:val="none"/>
        </w:rPr>
      </w:pPr>
      <w:r>
        <w:rPr>
          <w:rFonts w:hint="eastAsia" w:ascii="宋体" w:hAnsi="宋体" w:eastAsia="宋体"/>
          <w:b/>
          <w:color w:val="auto"/>
          <w:sz w:val="72"/>
          <w:szCs w:val="72"/>
          <w:highlight w:val="none"/>
        </w:rPr>
        <w:t>文</w:t>
      </w:r>
    </w:p>
    <w:p w14:paraId="78927E0E">
      <w:pPr>
        <w:spacing w:line="900" w:lineRule="exact"/>
        <w:jc w:val="center"/>
        <w:rPr>
          <w:rFonts w:ascii="宋体" w:hAnsi="宋体" w:eastAsia="宋体"/>
          <w:b/>
          <w:color w:val="auto"/>
          <w:sz w:val="72"/>
          <w:szCs w:val="72"/>
          <w:highlight w:val="none"/>
        </w:rPr>
      </w:pPr>
    </w:p>
    <w:p w14:paraId="699ABBBF">
      <w:pPr>
        <w:jc w:val="center"/>
        <w:outlineLvl w:val="9"/>
        <w:rPr>
          <w:rFonts w:ascii="宋体" w:hAnsi="宋体" w:eastAsia="宋体"/>
          <w:b/>
          <w:color w:val="auto"/>
          <w:sz w:val="72"/>
          <w:szCs w:val="72"/>
          <w:highlight w:val="none"/>
        </w:rPr>
      </w:pPr>
      <w:r>
        <w:rPr>
          <w:rFonts w:hint="eastAsia" w:ascii="宋体" w:hAnsi="宋体" w:eastAsia="宋体"/>
          <w:b/>
          <w:color w:val="auto"/>
          <w:sz w:val="72"/>
          <w:szCs w:val="72"/>
          <w:highlight w:val="none"/>
        </w:rPr>
        <w:t>件</w:t>
      </w:r>
    </w:p>
    <w:p w14:paraId="5A0F81B2">
      <w:pPr>
        <w:spacing w:after="156" w:afterLines="50"/>
        <w:jc w:val="center"/>
        <w:rPr>
          <w:rFonts w:ascii="宋体" w:hAnsi="宋体" w:eastAsia="宋体"/>
          <w:b/>
          <w:color w:val="auto"/>
          <w:sz w:val="24"/>
          <w:szCs w:val="24"/>
          <w:highlight w:val="none"/>
        </w:rPr>
      </w:pPr>
    </w:p>
    <w:p w14:paraId="1F0C6358">
      <w:pPr>
        <w:spacing w:after="156" w:afterLines="50" w:line="500" w:lineRule="exact"/>
        <w:jc w:val="center"/>
        <w:rPr>
          <w:rFonts w:ascii="宋体" w:hAnsi="宋体" w:eastAsia="宋体"/>
          <w:b/>
          <w:color w:val="auto"/>
          <w:sz w:val="28"/>
          <w:szCs w:val="28"/>
          <w:highlight w:val="none"/>
        </w:rPr>
      </w:pPr>
    </w:p>
    <w:p w14:paraId="0DEACFB4">
      <w:pPr>
        <w:tabs>
          <w:tab w:val="left" w:pos="2410"/>
        </w:tabs>
        <w:autoSpaceDE w:val="0"/>
        <w:autoSpaceDN w:val="0"/>
        <w:adjustRightInd w:val="0"/>
        <w:snapToGrid w:val="0"/>
        <w:spacing w:line="360" w:lineRule="auto"/>
        <w:ind w:firstLine="1687" w:firstLineChars="600"/>
        <w:jc w:val="both"/>
        <w:outlineLvl w:val="9"/>
        <w:rPr>
          <w:rFonts w:hint="default" w:ascii="宋体" w:hAnsi="宋体" w:eastAsia="宋体"/>
          <w:b/>
          <w:color w:val="auto"/>
          <w:spacing w:val="20"/>
          <w:kern w:val="0"/>
          <w:sz w:val="28"/>
          <w:szCs w:val="28"/>
          <w:highlight w:val="none"/>
          <w:lang w:val="en-US" w:eastAsia="zh-CN"/>
        </w:rPr>
      </w:pPr>
      <w:r>
        <w:rPr>
          <w:rFonts w:hint="eastAsia" w:ascii="宋体" w:hAnsi="宋体" w:eastAsia="宋体"/>
          <w:b/>
          <w:color w:val="auto"/>
          <w:sz w:val="28"/>
          <w:szCs w:val="28"/>
          <w:highlight w:val="none"/>
        </w:rPr>
        <w:t>项目名称：</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u w:val="single"/>
          <w:lang w:val="en-US" w:eastAsia="zh-CN"/>
        </w:rPr>
        <w:t xml:space="preserve">   </w:t>
      </w:r>
      <w:r>
        <w:rPr>
          <w:rFonts w:hint="eastAsia" w:ascii="宋体" w:hAnsi="宋体" w:eastAsia="宋体"/>
          <w:b/>
          <w:color w:val="auto"/>
          <w:sz w:val="28"/>
          <w:szCs w:val="28"/>
          <w:highlight w:val="none"/>
          <w:u w:val="single"/>
        </w:rPr>
        <w:t xml:space="preserve">    </w:t>
      </w:r>
    </w:p>
    <w:p w14:paraId="209E2127">
      <w:pPr>
        <w:tabs>
          <w:tab w:val="left" w:pos="2410"/>
        </w:tabs>
        <w:autoSpaceDE w:val="0"/>
        <w:autoSpaceDN w:val="0"/>
        <w:adjustRightInd w:val="0"/>
        <w:snapToGrid w:val="0"/>
        <w:spacing w:line="360" w:lineRule="auto"/>
        <w:ind w:firstLine="1687" w:firstLineChars="600"/>
        <w:jc w:val="both"/>
        <w:outlineLvl w:val="9"/>
        <w:rPr>
          <w:rFonts w:hint="eastAsia" w:ascii="宋体" w:hAnsi="宋体" w:eastAsia="宋体"/>
          <w:b/>
          <w:color w:val="auto"/>
          <w:sz w:val="28"/>
          <w:szCs w:val="28"/>
          <w:highlight w:val="none"/>
          <w:u w:val="single"/>
        </w:rPr>
      </w:pPr>
      <w:r>
        <w:rPr>
          <w:rFonts w:hint="eastAsia" w:ascii="宋体" w:hAnsi="宋体" w:eastAsia="宋体"/>
          <w:b/>
          <w:color w:val="auto"/>
          <w:sz w:val="28"/>
          <w:szCs w:val="28"/>
          <w:highlight w:val="none"/>
        </w:rPr>
        <w:t>项目编号：</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u w:val="single"/>
          <w:lang w:val="en-US" w:eastAsia="zh-CN"/>
        </w:rPr>
        <w:t xml:space="preserve">   </w:t>
      </w:r>
      <w:r>
        <w:rPr>
          <w:rFonts w:hint="eastAsia" w:ascii="宋体" w:hAnsi="宋体" w:eastAsia="宋体"/>
          <w:b/>
          <w:color w:val="auto"/>
          <w:sz w:val="28"/>
          <w:szCs w:val="28"/>
          <w:highlight w:val="none"/>
          <w:u w:val="single"/>
        </w:rPr>
        <w:t xml:space="preserve">  </w:t>
      </w:r>
    </w:p>
    <w:p w14:paraId="53B4FCE1">
      <w:pPr>
        <w:tabs>
          <w:tab w:val="left" w:pos="2410"/>
        </w:tabs>
        <w:autoSpaceDE w:val="0"/>
        <w:autoSpaceDN w:val="0"/>
        <w:adjustRightInd w:val="0"/>
        <w:snapToGrid w:val="0"/>
        <w:spacing w:line="360" w:lineRule="auto"/>
        <w:ind w:firstLine="1687" w:firstLineChars="600"/>
        <w:jc w:val="both"/>
        <w:outlineLvl w:val="9"/>
        <w:rPr>
          <w:rFonts w:ascii="宋体" w:hAnsi="宋体" w:eastAsia="宋体"/>
          <w:b/>
          <w:color w:val="auto"/>
          <w:sz w:val="28"/>
          <w:szCs w:val="28"/>
          <w:highlight w:val="none"/>
          <w:u w:val="single"/>
        </w:rPr>
      </w:pPr>
      <w:r>
        <w:rPr>
          <w:rFonts w:hint="eastAsia" w:ascii="宋体" w:hAnsi="宋体" w:eastAsia="宋体"/>
          <w:b/>
          <w:color w:val="auto"/>
          <w:sz w:val="28"/>
          <w:szCs w:val="28"/>
          <w:highlight w:val="none"/>
          <w:lang w:val="en-US" w:eastAsia="zh-CN"/>
        </w:rPr>
        <w:t>供 应 商</w:t>
      </w:r>
      <w:r>
        <w:rPr>
          <w:rFonts w:hint="eastAsia" w:ascii="宋体" w:hAnsi="宋体" w:eastAsia="宋体"/>
          <w:b/>
          <w:color w:val="auto"/>
          <w:sz w:val="28"/>
          <w:szCs w:val="28"/>
          <w:highlight w:val="none"/>
        </w:rPr>
        <w:t>：</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u w:val="single"/>
          <w:lang w:val="en-US" w:eastAsia="zh-CN"/>
        </w:rPr>
        <w:t xml:space="preserve">   </w:t>
      </w:r>
      <w:r>
        <w:rPr>
          <w:rFonts w:hint="eastAsia" w:ascii="宋体" w:hAnsi="宋体" w:eastAsia="宋体"/>
          <w:b/>
          <w:color w:val="auto"/>
          <w:sz w:val="28"/>
          <w:szCs w:val="28"/>
          <w:highlight w:val="none"/>
          <w:u w:val="single"/>
        </w:rPr>
        <w:t xml:space="preserve">    </w:t>
      </w:r>
    </w:p>
    <w:p w14:paraId="481CE323">
      <w:pPr>
        <w:spacing w:after="156" w:afterLines="50" w:line="500" w:lineRule="exact"/>
        <w:jc w:val="center"/>
        <w:outlineLvl w:val="9"/>
        <w:rPr>
          <w:rFonts w:ascii="宋体" w:hAnsi="宋体" w:eastAsia="宋体"/>
          <w:b/>
          <w:color w:val="auto"/>
          <w:sz w:val="28"/>
          <w:szCs w:val="28"/>
          <w:highlight w:val="none"/>
        </w:rPr>
      </w:pPr>
      <w:r>
        <w:rPr>
          <w:rFonts w:hint="eastAsia" w:ascii="宋体" w:hAnsi="宋体" w:eastAsia="宋体"/>
          <w:b/>
          <w:color w:val="auto"/>
          <w:sz w:val="28"/>
          <w:szCs w:val="28"/>
          <w:highlight w:val="none"/>
          <w:u w:val="single"/>
        </w:rPr>
        <w:t xml:space="preserve">    </w:t>
      </w:r>
      <w:bookmarkStart w:id="706" w:name="_Toc19892"/>
      <w:bookmarkStart w:id="707" w:name="_Toc24911"/>
      <w:r>
        <w:rPr>
          <w:rFonts w:hint="eastAsia" w:ascii="宋体" w:hAnsi="宋体" w:eastAsia="宋体"/>
          <w:b/>
          <w:color w:val="auto"/>
          <w:sz w:val="28"/>
          <w:szCs w:val="28"/>
          <w:highlight w:val="none"/>
        </w:rPr>
        <w:t>年</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rPr>
        <w:t>月</w:t>
      </w:r>
      <w:r>
        <w:rPr>
          <w:rFonts w:hint="eastAsia"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rPr>
        <w:t>日</w:t>
      </w:r>
      <w:bookmarkEnd w:id="706"/>
      <w:bookmarkEnd w:id="707"/>
    </w:p>
    <w:p w14:paraId="266511AC">
      <w:pPr>
        <w:widowControl/>
        <w:jc w:val="left"/>
        <w:rPr>
          <w:rFonts w:ascii="宋体" w:hAnsi="宋体" w:eastAsia="宋体"/>
          <w:b/>
          <w:color w:val="auto"/>
          <w:sz w:val="24"/>
          <w:szCs w:val="24"/>
          <w:highlight w:val="none"/>
        </w:rPr>
      </w:pPr>
      <w:r>
        <w:rPr>
          <w:rFonts w:ascii="宋体" w:hAnsi="宋体" w:eastAsia="宋体"/>
          <w:b/>
          <w:color w:val="auto"/>
          <w:sz w:val="24"/>
          <w:szCs w:val="24"/>
          <w:highlight w:val="none"/>
        </w:rPr>
        <w:br w:type="page"/>
      </w:r>
    </w:p>
    <w:p w14:paraId="69ACC270">
      <w:pPr>
        <w:spacing w:line="360" w:lineRule="auto"/>
        <w:jc w:val="center"/>
        <w:outlineLvl w:val="1"/>
        <w:rPr>
          <w:rFonts w:ascii="宋体" w:hAnsi="宋体" w:eastAsia="宋体"/>
          <w:b/>
          <w:color w:val="auto"/>
          <w:sz w:val="24"/>
          <w:szCs w:val="24"/>
          <w:highlight w:val="none"/>
        </w:rPr>
      </w:pPr>
      <w:bookmarkStart w:id="708" w:name="_Toc461056631"/>
      <w:bookmarkStart w:id="709" w:name="_Toc461053086"/>
      <w:bookmarkStart w:id="710" w:name="_Toc520983587"/>
      <w:bookmarkStart w:id="711" w:name="_Toc21496"/>
      <w:bookmarkStart w:id="712" w:name="_Toc28280"/>
      <w:r>
        <w:rPr>
          <w:rFonts w:hint="eastAsia" w:ascii="宋体" w:hAnsi="宋体" w:eastAsia="宋体"/>
          <w:b/>
          <w:color w:val="auto"/>
          <w:sz w:val="24"/>
          <w:szCs w:val="24"/>
          <w:highlight w:val="none"/>
        </w:rPr>
        <w:t>一</w:t>
      </w:r>
      <w:bookmarkEnd w:id="708"/>
      <w:bookmarkEnd w:id="709"/>
      <w:r>
        <w:rPr>
          <w:rFonts w:hint="eastAsia" w:ascii="宋体" w:hAnsi="宋体" w:eastAsia="宋体"/>
          <w:b/>
          <w:color w:val="auto"/>
          <w:sz w:val="24"/>
          <w:szCs w:val="24"/>
          <w:highlight w:val="none"/>
        </w:rPr>
        <w:t>、报价表格式</w:t>
      </w:r>
      <w:bookmarkEnd w:id="710"/>
      <w:bookmarkEnd w:id="711"/>
      <w:bookmarkEnd w:id="712"/>
    </w:p>
    <w:p w14:paraId="32DA5259">
      <w:pPr>
        <w:spacing w:before="156" w:beforeLines="50" w:after="156" w:afterLines="50" w:line="360" w:lineRule="auto"/>
        <w:jc w:val="left"/>
        <w:outlineLvl w:val="9"/>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1-1 报价表</w:t>
      </w:r>
    </w:p>
    <w:p w14:paraId="10FF5543">
      <w:pPr>
        <w:snapToGrid w:val="0"/>
        <w:spacing w:line="360" w:lineRule="auto"/>
        <w:jc w:val="lef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项目名称：</w:t>
      </w:r>
      <w:r>
        <w:rPr>
          <w:rFonts w:hint="eastAsia" w:cs="宋体"/>
          <w:b/>
          <w:color w:val="auto"/>
          <w:kern w:val="2"/>
          <w:sz w:val="24"/>
          <w:szCs w:val="24"/>
          <w:highlight w:val="none"/>
          <w:lang w:eastAsia="zh-CN"/>
        </w:rPr>
        <w:t>2025年省淮河局水闸监测设施等维修改造（第4包）</w:t>
      </w:r>
    </w:p>
    <w:p w14:paraId="698A5242">
      <w:pPr>
        <w:snapToGrid w:val="0"/>
        <w:spacing w:after="156" w:afterLines="50" w:line="360" w:lineRule="auto"/>
        <w:jc w:val="left"/>
        <w:rPr>
          <w:rFonts w:hint="eastAsia" w:ascii="宋体" w:hAnsi="宋体" w:eastAsia="宋体" w:cs="宋体"/>
          <w:b/>
          <w:bCs/>
          <w:color w:val="auto"/>
          <w:kern w:val="2"/>
          <w:sz w:val="24"/>
          <w:szCs w:val="24"/>
          <w:highlight w:val="none"/>
          <w:u w:val="single"/>
          <w:lang w:eastAsia="zh-CN"/>
        </w:rPr>
      </w:pPr>
      <w:r>
        <w:rPr>
          <w:rFonts w:hint="eastAsia" w:ascii="宋体" w:hAnsi="宋体" w:eastAsia="宋体" w:cs="宋体"/>
          <w:b/>
          <w:color w:val="auto"/>
          <w:kern w:val="2"/>
          <w:sz w:val="24"/>
          <w:szCs w:val="24"/>
          <w:highlight w:val="none"/>
        </w:rPr>
        <w:t>项目编号：</w:t>
      </w:r>
      <w:r>
        <w:rPr>
          <w:rFonts w:hint="eastAsia" w:cs="宋体"/>
          <w:b/>
          <w:color w:val="auto"/>
          <w:kern w:val="2"/>
          <w:sz w:val="24"/>
          <w:szCs w:val="24"/>
          <w:highlight w:val="none"/>
          <w:lang w:eastAsia="zh-CN"/>
        </w:rPr>
        <w:t>FSSD34000120251317号004</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90B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CCB60A5">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557" w:type="pct"/>
            <w:tcBorders>
              <w:left w:val="single" w:color="auto" w:sz="4" w:space="0"/>
            </w:tcBorders>
          </w:tcPr>
          <w:p w14:paraId="6FF8220D">
            <w:pPr>
              <w:rPr>
                <w:rFonts w:ascii="宋体" w:hAnsi="宋体" w:eastAsia="宋体" w:cs="宋体"/>
                <w:b/>
                <w:color w:val="auto"/>
                <w:kern w:val="2"/>
                <w:sz w:val="24"/>
                <w:szCs w:val="24"/>
                <w:highlight w:val="none"/>
              </w:rPr>
            </w:pPr>
          </w:p>
        </w:tc>
      </w:tr>
      <w:tr w14:paraId="56E3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509A819">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557" w:type="pct"/>
            <w:tcBorders>
              <w:left w:val="single" w:color="auto" w:sz="4" w:space="0"/>
            </w:tcBorders>
            <w:vAlign w:val="center"/>
          </w:tcPr>
          <w:p w14:paraId="62C39251">
            <w:pPr>
              <w:widowControl/>
              <w:rPr>
                <w:rFonts w:hint="default" w:ascii="宋体" w:hAnsi="宋体" w:eastAsia="宋体" w:cs="宋体"/>
                <w:b/>
                <w:color w:val="auto"/>
                <w:kern w:val="2"/>
                <w:sz w:val="24"/>
                <w:szCs w:val="24"/>
                <w:highlight w:val="none"/>
                <w:lang w:val="en-US" w:eastAsia="zh-CN"/>
              </w:rPr>
            </w:pPr>
            <w:r>
              <w:rPr>
                <w:rFonts w:hint="eastAsia" w:ascii="宋体" w:hAnsi="宋体" w:eastAsia="宋体" w:cs="@仿宋_GB2312"/>
                <w:color w:val="auto"/>
                <w:kern w:val="2"/>
                <w:sz w:val="24"/>
                <w:szCs w:val="24"/>
                <w:highlight w:val="none"/>
              </w:rPr>
              <w:t>全部</w:t>
            </w:r>
            <w:r>
              <w:rPr>
                <w:rFonts w:hint="eastAsia" w:cs="@仿宋_GB2312"/>
                <w:color w:val="auto"/>
                <w:kern w:val="2"/>
                <w:sz w:val="24"/>
                <w:szCs w:val="24"/>
                <w:highlight w:val="none"/>
                <w:lang w:val="en-US" w:eastAsia="zh-CN"/>
              </w:rPr>
              <w:t>施工内容</w:t>
            </w:r>
          </w:p>
        </w:tc>
      </w:tr>
      <w:tr w14:paraId="1FF6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E26ABCA">
            <w:pPr>
              <w:spacing w:line="360" w:lineRule="auto"/>
              <w:jc w:val="center"/>
              <w:rPr>
                <w:rFonts w:cs="@仿宋_GB2312"/>
                <w:b/>
                <w:color w:val="auto"/>
                <w:kern w:val="2"/>
                <w:sz w:val="24"/>
                <w:szCs w:val="24"/>
                <w:highlight w:val="none"/>
              </w:rPr>
            </w:pPr>
            <w:r>
              <w:rPr>
                <w:rFonts w:hint="eastAsia" w:cs="@仿宋_GB2312"/>
                <w:b/>
                <w:color w:val="auto"/>
                <w:kern w:val="2"/>
                <w:sz w:val="24"/>
                <w:szCs w:val="24"/>
                <w:highlight w:val="none"/>
              </w:rPr>
              <w:t>报价</w:t>
            </w:r>
          </w:p>
          <w:p w14:paraId="163A347E">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557" w:type="pct"/>
            <w:vAlign w:val="center"/>
          </w:tcPr>
          <w:p w14:paraId="0498F2FB">
            <w:pPr>
              <w:snapToGrid w:val="0"/>
              <w:rPr>
                <w:rFonts w:ascii="宋体" w:hAnsi="宋体" w:eastAsia="宋体" w:cs="宋体"/>
                <w:color w:val="auto"/>
                <w:kern w:val="2"/>
                <w:sz w:val="24"/>
                <w:szCs w:val="24"/>
                <w:highlight w:val="none"/>
              </w:rPr>
            </w:pPr>
          </w:p>
          <w:p w14:paraId="7864C550">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C7C5AD0">
            <w:pPr>
              <w:spacing w:line="360" w:lineRule="auto"/>
              <w:ind w:right="-670"/>
              <w:rPr>
                <w:rFonts w:hint="eastAsia" w:ascii="宋体" w:hAnsi="宋体" w:eastAsia="宋体"/>
                <w:color w:val="auto"/>
                <w:sz w:val="24"/>
                <w:szCs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35FFA93B">
            <w:pPr>
              <w:snapToGrid w:val="0"/>
              <w:rPr>
                <w:rFonts w:ascii="宋体" w:hAnsi="宋体" w:eastAsia="宋体" w:cs="宋体"/>
                <w:b/>
                <w:color w:val="auto"/>
                <w:kern w:val="2"/>
                <w:sz w:val="24"/>
                <w:szCs w:val="24"/>
                <w:highlight w:val="none"/>
              </w:rPr>
            </w:pPr>
          </w:p>
        </w:tc>
      </w:tr>
      <w:tr w14:paraId="4A4B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65892A9A">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557" w:type="pct"/>
            <w:vAlign w:val="center"/>
          </w:tcPr>
          <w:p w14:paraId="27E99FC9">
            <w:pPr>
              <w:snapToGrid w:val="0"/>
              <w:rPr>
                <w:rFonts w:ascii="宋体" w:hAnsi="宋体" w:eastAsia="宋体" w:cs="宋体"/>
                <w:b/>
                <w:color w:val="auto"/>
                <w:kern w:val="2"/>
                <w:sz w:val="24"/>
                <w:szCs w:val="24"/>
                <w:highlight w:val="none"/>
              </w:rPr>
            </w:pPr>
          </w:p>
        </w:tc>
      </w:tr>
      <w:tr w14:paraId="7DA3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73944A4">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557" w:type="pct"/>
            <w:vAlign w:val="center"/>
          </w:tcPr>
          <w:p w14:paraId="08B379A3">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日历天完工</w:t>
            </w:r>
          </w:p>
        </w:tc>
      </w:tr>
      <w:tr w14:paraId="657D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7F091F70">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557" w:type="pct"/>
            <w:vAlign w:val="center"/>
          </w:tcPr>
          <w:p w14:paraId="5DA5D284">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1CDF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43" w:type="pct"/>
            <w:vAlign w:val="center"/>
          </w:tcPr>
          <w:p w14:paraId="525B5E02">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557" w:type="pct"/>
          </w:tcPr>
          <w:p w14:paraId="3D0C17D1">
            <w:pPr>
              <w:rPr>
                <w:rFonts w:ascii="宋体" w:hAnsi="宋体" w:eastAsia="宋体" w:cs="宋体"/>
                <w:b/>
                <w:color w:val="auto"/>
                <w:kern w:val="2"/>
                <w:sz w:val="24"/>
                <w:szCs w:val="24"/>
                <w:highlight w:val="none"/>
              </w:rPr>
            </w:pPr>
          </w:p>
        </w:tc>
      </w:tr>
    </w:tbl>
    <w:p w14:paraId="292CF534">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361FE0A">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3DBD5A3">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C8F3B9A">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1554647F">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797FE530">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505D0714">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175E4A7E">
      <w:pPr>
        <w:adjustRightInd w:val="0"/>
        <w:snapToGrid w:val="0"/>
        <w:spacing w:line="360" w:lineRule="auto"/>
        <w:outlineLvl w:val="9"/>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1-2 工程量清单报价书</w:t>
      </w:r>
    </w:p>
    <w:p w14:paraId="3086CD33">
      <w:pPr>
        <w:autoSpaceDE w:val="0"/>
        <w:autoSpaceDN w:val="0"/>
        <w:adjustRightInd w:val="0"/>
        <w:spacing w:before="20" w:after="20" w:line="360" w:lineRule="auto"/>
        <w:jc w:val="center"/>
        <w:rPr>
          <w:rFonts w:ascii="宋体" w:hAnsi="宋体" w:eastAsia="宋体" w:cs="宋体"/>
          <w:b/>
          <w:color w:val="auto"/>
          <w:sz w:val="24"/>
          <w:szCs w:val="24"/>
          <w:highlight w:val="none"/>
        </w:rPr>
      </w:pPr>
    </w:p>
    <w:p w14:paraId="666EB218">
      <w:pPr>
        <w:autoSpaceDE w:val="0"/>
        <w:autoSpaceDN w:val="0"/>
        <w:adjustRightInd w:val="0"/>
        <w:spacing w:before="20" w:after="20" w:line="360" w:lineRule="auto"/>
        <w:jc w:val="center"/>
        <w:outlineLvl w:val="9"/>
        <w:rPr>
          <w:rFonts w:ascii="宋体" w:hAnsi="宋体" w:eastAsia="宋体" w:cs="宋体"/>
          <w:b/>
          <w:color w:val="auto"/>
          <w:sz w:val="24"/>
          <w:szCs w:val="24"/>
          <w:highlight w:val="none"/>
        </w:rPr>
      </w:pPr>
      <w:bookmarkStart w:id="713" w:name="_Toc26702"/>
      <w:bookmarkStart w:id="714" w:name="_Toc1874"/>
      <w:r>
        <w:rPr>
          <w:rFonts w:hint="eastAsia" w:ascii="宋体" w:hAnsi="宋体" w:eastAsia="宋体" w:cs="宋体"/>
          <w:b/>
          <w:color w:val="auto"/>
          <w:sz w:val="24"/>
          <w:szCs w:val="24"/>
          <w:highlight w:val="none"/>
        </w:rPr>
        <w:t>工程量清单报价书</w:t>
      </w:r>
      <w:bookmarkEnd w:id="713"/>
      <w:bookmarkEnd w:id="714"/>
    </w:p>
    <w:p w14:paraId="23BE4CA8">
      <w:pPr>
        <w:adjustRightInd w:val="0"/>
        <w:snapToGrid w:val="0"/>
        <w:spacing w:line="360" w:lineRule="auto"/>
        <w:ind w:firstLine="482" w:firstLineChars="200"/>
        <w:jc w:val="center"/>
        <w:outlineLvl w:val="9"/>
        <w:rPr>
          <w:b/>
          <w:bCs/>
          <w:color w:val="auto"/>
          <w:sz w:val="24"/>
          <w:szCs w:val="24"/>
          <w:highlight w:val="none"/>
        </w:rPr>
      </w:pPr>
      <w:r>
        <w:rPr>
          <w:rFonts w:hint="eastAsia" w:ascii="宋体" w:hAnsi="宋体" w:eastAsia="宋体" w:cs="宋体"/>
          <w:b/>
          <w:color w:val="auto"/>
          <w:kern w:val="2"/>
          <w:sz w:val="24"/>
          <w:szCs w:val="24"/>
          <w:highlight w:val="none"/>
        </w:rPr>
        <w:t>（格式详见工程量清单）</w:t>
      </w:r>
    </w:p>
    <w:p w14:paraId="70B66687">
      <w:pPr>
        <w:widowControl/>
        <w:jc w:val="left"/>
        <w:rPr>
          <w:b/>
          <w:bCs/>
          <w:color w:val="auto"/>
          <w:sz w:val="24"/>
          <w:szCs w:val="24"/>
          <w:highlight w:val="none"/>
        </w:rPr>
      </w:pPr>
      <w:r>
        <w:rPr>
          <w:b/>
          <w:bCs/>
          <w:color w:val="auto"/>
          <w:sz w:val="24"/>
          <w:szCs w:val="24"/>
          <w:highlight w:val="none"/>
        </w:rPr>
        <w:br w:type="page"/>
      </w:r>
    </w:p>
    <w:p w14:paraId="26D5A8E0">
      <w:pPr>
        <w:spacing w:line="360" w:lineRule="auto"/>
        <w:jc w:val="center"/>
        <w:outlineLvl w:val="9"/>
        <w:rPr>
          <w:rFonts w:ascii="宋体" w:hAnsi="宋体" w:eastAsia="宋体"/>
          <w:b/>
          <w:color w:val="auto"/>
          <w:sz w:val="24"/>
          <w:szCs w:val="24"/>
          <w:highlight w:val="none"/>
        </w:rPr>
      </w:pPr>
      <w:bookmarkStart w:id="715" w:name="_Toc520983588"/>
      <w:bookmarkStart w:id="716" w:name="_Toc20879"/>
      <w:bookmarkStart w:id="717" w:name="_Toc22341"/>
      <w:r>
        <w:rPr>
          <w:rFonts w:hint="eastAsia" w:ascii="宋体" w:hAnsi="宋体" w:eastAsia="宋体"/>
          <w:b/>
          <w:color w:val="auto"/>
          <w:sz w:val="24"/>
          <w:szCs w:val="24"/>
          <w:highlight w:val="none"/>
          <w:lang w:val="en-US" w:eastAsia="zh-CN"/>
        </w:rPr>
        <w:t>1-3</w:t>
      </w:r>
      <w:r>
        <w:rPr>
          <w:rFonts w:hint="eastAsia" w:ascii="宋体" w:hAnsi="宋体" w:eastAsia="宋体"/>
          <w:b/>
          <w:color w:val="auto"/>
          <w:sz w:val="24"/>
          <w:szCs w:val="24"/>
          <w:highlight w:val="none"/>
        </w:rPr>
        <w:t>最后承诺报价表</w:t>
      </w:r>
      <w:bookmarkEnd w:id="715"/>
      <w:bookmarkEnd w:id="716"/>
      <w:bookmarkEnd w:id="717"/>
    </w:p>
    <w:p w14:paraId="5D421C6D">
      <w:pPr>
        <w:spacing w:before="156" w:beforeLines="50" w:after="156" w:afterLines="50" w:line="360" w:lineRule="auto"/>
        <w:ind w:firstLine="236" w:firstLineChars="98"/>
        <w:jc w:val="center"/>
        <w:outlineLvl w:val="9"/>
        <w:rPr>
          <w:b/>
          <w:color w:val="auto"/>
          <w:sz w:val="24"/>
          <w:szCs w:val="24"/>
          <w:highlight w:val="none"/>
        </w:rPr>
      </w:pPr>
      <w:bookmarkStart w:id="718" w:name="_Toc13333"/>
      <w:bookmarkStart w:id="719" w:name="_Toc8562"/>
      <w:r>
        <w:rPr>
          <w:rFonts w:hint="eastAsia"/>
          <w:b/>
          <w:color w:val="auto"/>
          <w:sz w:val="24"/>
          <w:szCs w:val="24"/>
          <w:highlight w:val="none"/>
        </w:rPr>
        <w:t>（第</w:t>
      </w:r>
      <w:r>
        <w:rPr>
          <w:rFonts w:hint="eastAsia"/>
          <w:b/>
          <w:color w:val="auto"/>
          <w:sz w:val="24"/>
          <w:szCs w:val="24"/>
          <w:highlight w:val="none"/>
          <w:u w:val="single"/>
        </w:rPr>
        <w:t xml:space="preserve">   </w:t>
      </w:r>
      <w:r>
        <w:rPr>
          <w:rFonts w:hint="eastAsia"/>
          <w:b/>
          <w:color w:val="auto"/>
          <w:sz w:val="24"/>
          <w:szCs w:val="24"/>
          <w:highlight w:val="none"/>
        </w:rPr>
        <w:t>次报价书）</w:t>
      </w:r>
      <w:bookmarkEnd w:id="718"/>
      <w:bookmarkEnd w:id="719"/>
    </w:p>
    <w:p w14:paraId="3EE4326A">
      <w:pPr>
        <w:snapToGrid w:val="0"/>
        <w:spacing w:line="360" w:lineRule="auto"/>
        <w:jc w:val="lef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项目名称：</w:t>
      </w:r>
      <w:r>
        <w:rPr>
          <w:rFonts w:hint="eastAsia" w:cs="宋体"/>
          <w:b/>
          <w:color w:val="auto"/>
          <w:kern w:val="2"/>
          <w:sz w:val="24"/>
          <w:szCs w:val="24"/>
          <w:highlight w:val="none"/>
          <w:lang w:eastAsia="zh-CN"/>
        </w:rPr>
        <w:t>2025年省淮河局水闸监测设施等维修改造（第4包）</w:t>
      </w:r>
    </w:p>
    <w:p w14:paraId="7092F442">
      <w:pPr>
        <w:snapToGrid w:val="0"/>
        <w:spacing w:after="156" w:afterLines="50" w:line="360" w:lineRule="auto"/>
        <w:jc w:val="left"/>
        <w:rPr>
          <w:rFonts w:hint="eastAsia" w:ascii="宋体" w:hAnsi="宋体" w:eastAsia="宋体" w:cs="宋体"/>
          <w:b/>
          <w:bCs/>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rPr>
        <w:t>项目编号：</w:t>
      </w:r>
      <w:r>
        <w:rPr>
          <w:rFonts w:hint="eastAsia" w:cs="宋体"/>
          <w:b/>
          <w:color w:val="auto"/>
          <w:kern w:val="2"/>
          <w:sz w:val="24"/>
          <w:szCs w:val="24"/>
          <w:highlight w:val="none"/>
          <w:lang w:eastAsia="zh-CN"/>
        </w:rPr>
        <w:t>FSSD34000120251317号004</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15DB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16435F5">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491" w:type="pct"/>
            <w:tcBorders>
              <w:left w:val="single" w:color="auto" w:sz="4" w:space="0"/>
            </w:tcBorders>
          </w:tcPr>
          <w:p w14:paraId="549F388C">
            <w:pPr>
              <w:rPr>
                <w:rFonts w:ascii="宋体" w:hAnsi="宋体" w:eastAsia="宋体" w:cs="宋体"/>
                <w:b/>
                <w:color w:val="auto"/>
                <w:kern w:val="2"/>
                <w:sz w:val="24"/>
                <w:szCs w:val="24"/>
                <w:highlight w:val="none"/>
              </w:rPr>
            </w:pPr>
          </w:p>
        </w:tc>
      </w:tr>
      <w:tr w14:paraId="7543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16EDF31">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491" w:type="pct"/>
            <w:tcBorders>
              <w:left w:val="single" w:color="auto" w:sz="4" w:space="0"/>
            </w:tcBorders>
            <w:vAlign w:val="center"/>
          </w:tcPr>
          <w:p w14:paraId="6F014B13">
            <w:pPr>
              <w:widowControl/>
              <w:rPr>
                <w:rFonts w:hint="default" w:ascii="宋体" w:hAnsi="宋体" w:eastAsia="宋体" w:cs="宋体"/>
                <w:b/>
                <w:color w:val="auto"/>
                <w:kern w:val="2"/>
                <w:sz w:val="24"/>
                <w:szCs w:val="24"/>
                <w:highlight w:val="none"/>
                <w:lang w:val="en-US" w:eastAsia="zh-CN"/>
              </w:rPr>
            </w:pPr>
            <w:r>
              <w:rPr>
                <w:rFonts w:hint="eastAsia" w:cs="@仿宋_GB2312"/>
                <w:color w:val="auto"/>
                <w:kern w:val="2"/>
                <w:sz w:val="24"/>
                <w:szCs w:val="24"/>
                <w:highlight w:val="none"/>
                <w:lang w:val="en-US" w:eastAsia="zh-CN"/>
              </w:rPr>
              <w:t>全部工作内容</w:t>
            </w:r>
          </w:p>
        </w:tc>
      </w:tr>
      <w:tr w14:paraId="777F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4FD7B90F">
            <w:pPr>
              <w:spacing w:line="360" w:lineRule="auto"/>
              <w:jc w:val="center"/>
              <w:rPr>
                <w:rFonts w:cs="@仿宋_GB2312"/>
                <w:b/>
                <w:color w:val="auto"/>
                <w:kern w:val="2"/>
                <w:sz w:val="24"/>
                <w:szCs w:val="24"/>
                <w:highlight w:val="none"/>
              </w:rPr>
            </w:pPr>
            <w:r>
              <w:rPr>
                <w:rFonts w:hint="eastAsia" w:cs="@仿宋_GB2312"/>
                <w:b/>
                <w:bCs/>
                <w:color w:val="auto"/>
                <w:kern w:val="2"/>
                <w:sz w:val="24"/>
                <w:szCs w:val="24"/>
                <w:highlight w:val="none"/>
              </w:rPr>
              <w:t>最后报价</w:t>
            </w:r>
          </w:p>
          <w:p w14:paraId="77F8AC11">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491" w:type="pct"/>
            <w:vAlign w:val="center"/>
          </w:tcPr>
          <w:p w14:paraId="0299BD17">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4332B53">
            <w:pPr>
              <w:spacing w:line="360" w:lineRule="auto"/>
              <w:ind w:right="-670"/>
              <w:rPr>
                <w:rFonts w:ascii="宋体" w:hAnsi="宋体" w:eastAsia="宋体" w:cs="宋体"/>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5A26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0E522DB8">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491" w:type="pct"/>
            <w:vAlign w:val="center"/>
          </w:tcPr>
          <w:p w14:paraId="617486CC">
            <w:pPr>
              <w:snapToGrid w:val="0"/>
              <w:rPr>
                <w:rFonts w:ascii="宋体" w:hAnsi="宋体" w:eastAsia="宋体" w:cs="宋体"/>
                <w:b/>
                <w:color w:val="auto"/>
                <w:kern w:val="2"/>
                <w:sz w:val="24"/>
                <w:szCs w:val="24"/>
                <w:highlight w:val="none"/>
              </w:rPr>
            </w:pPr>
          </w:p>
        </w:tc>
      </w:tr>
      <w:tr w14:paraId="30FD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8DCE5BD">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491" w:type="pct"/>
            <w:vAlign w:val="center"/>
          </w:tcPr>
          <w:p w14:paraId="31910C4B">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日历天完工</w:t>
            </w:r>
          </w:p>
        </w:tc>
      </w:tr>
      <w:tr w14:paraId="346F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7A0822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491" w:type="pct"/>
            <w:vAlign w:val="center"/>
          </w:tcPr>
          <w:p w14:paraId="3146BD1E">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048E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08796D99">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491" w:type="pct"/>
          </w:tcPr>
          <w:p w14:paraId="6252221C">
            <w:pPr>
              <w:rPr>
                <w:rFonts w:ascii="宋体" w:hAnsi="宋体" w:eastAsia="宋体" w:cs="宋体"/>
                <w:b/>
                <w:color w:val="auto"/>
                <w:kern w:val="2"/>
                <w:sz w:val="24"/>
                <w:szCs w:val="24"/>
                <w:highlight w:val="none"/>
              </w:rPr>
            </w:pPr>
            <w:r>
              <w:rPr>
                <w:rFonts w:hint="eastAsia" w:ascii="宋体" w:hAnsi="宋体" w:eastAsia="宋体" w:cs="宋体"/>
                <w:b/>
                <w:i/>
                <w:color w:val="auto"/>
                <w:kern w:val="2"/>
                <w:sz w:val="24"/>
                <w:szCs w:val="24"/>
                <w:highlight w:val="none"/>
              </w:rPr>
              <w:t>（此处可补充磋商小组根据与供应商磋商情况变动的磋商文件的内容，包括采购需求中的技术、服务要求以及合同草案条款。）</w:t>
            </w:r>
          </w:p>
        </w:tc>
      </w:tr>
      <w:tr w14:paraId="14B9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09" w:type="pct"/>
            <w:vAlign w:val="center"/>
          </w:tcPr>
          <w:p w14:paraId="3AADC177">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磋商小组签字</w:t>
            </w:r>
          </w:p>
        </w:tc>
        <w:tc>
          <w:tcPr>
            <w:tcW w:w="3491" w:type="pct"/>
          </w:tcPr>
          <w:p w14:paraId="0F37AAEE">
            <w:pPr>
              <w:rPr>
                <w:rFonts w:ascii="宋体" w:hAnsi="宋体" w:eastAsia="宋体" w:cs="宋体"/>
                <w:b/>
                <w:color w:val="auto"/>
                <w:kern w:val="2"/>
                <w:sz w:val="24"/>
                <w:szCs w:val="24"/>
                <w:highlight w:val="none"/>
              </w:rPr>
            </w:pPr>
          </w:p>
        </w:tc>
      </w:tr>
    </w:tbl>
    <w:p w14:paraId="6C14F38E">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527634FF">
      <w:pPr>
        <w:spacing w:line="440" w:lineRule="exact"/>
        <w:ind w:firstLine="4800" w:firstLineChars="2000"/>
        <w:rPr>
          <w:rFonts w:ascii="宋体" w:hAnsi="宋体" w:eastAsia="宋体" w:cs="宋体"/>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6A0F4016">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1CD55C60">
      <w:pPr>
        <w:spacing w:line="360" w:lineRule="auto"/>
        <w:ind w:firstLine="482" w:firstLineChars="200"/>
        <w:jc w:val="left"/>
        <w:rPr>
          <w:rFonts w:ascii="宋体" w:hAnsi="宋体" w:eastAsia="宋体"/>
          <w:bCs/>
          <w:sz w:val="24"/>
          <w:szCs w:val="24"/>
          <w:highlight w:val="none"/>
        </w:rPr>
      </w:pPr>
      <w:r>
        <w:rPr>
          <w:rFonts w:hint="eastAsia" w:ascii="宋体" w:hAnsi="宋体" w:eastAsia="宋体"/>
          <w:b/>
          <w:bCs/>
          <w:sz w:val="24"/>
          <w:szCs w:val="24"/>
          <w:highlight w:val="none"/>
        </w:rPr>
        <w:t>1.本页《报价表》由供应商在接到报价通知后依据磋商情况填写,并在规定</w:t>
      </w:r>
      <w:r>
        <w:rPr>
          <w:rFonts w:hint="eastAsia"/>
          <w:b/>
          <w:bCs/>
          <w:sz w:val="24"/>
          <w:szCs w:val="24"/>
          <w:highlight w:val="none"/>
          <w:lang w:val="en-US" w:eastAsia="zh-CN"/>
        </w:rPr>
        <w:t>30分钟</w:t>
      </w:r>
      <w:r>
        <w:rPr>
          <w:rFonts w:hint="eastAsia" w:ascii="宋体" w:hAnsi="宋体" w:eastAsia="宋体"/>
          <w:b/>
          <w:bCs/>
          <w:sz w:val="24"/>
          <w:szCs w:val="24"/>
          <w:highlight w:val="none"/>
        </w:rPr>
        <w:t>内提交。</w:t>
      </w:r>
      <w:r>
        <w:rPr>
          <w:rFonts w:hint="eastAsia" w:ascii="宋体" w:hAnsi="宋体" w:eastAsia="宋体"/>
          <w:sz w:val="24"/>
          <w:szCs w:val="24"/>
          <w:highlight w:val="none"/>
        </w:rPr>
        <w:t>考虑磋商报价的方便，供应商在填写最后承诺报价后，（第一次报价-最后承诺报价）除以第一次报价后得出的优惠率视同为需求表中全部分项设备、</w:t>
      </w:r>
      <w:r>
        <w:rPr>
          <w:rFonts w:hint="eastAsia"/>
          <w:sz w:val="24"/>
          <w:szCs w:val="24"/>
          <w:highlight w:val="none"/>
          <w:lang w:val="en-US" w:eastAsia="zh-CN"/>
        </w:rPr>
        <w:t>工作量的</w:t>
      </w:r>
      <w:r>
        <w:rPr>
          <w:rFonts w:hint="eastAsia" w:ascii="宋体" w:hAnsi="宋体" w:eastAsia="宋体"/>
          <w:sz w:val="24"/>
          <w:szCs w:val="24"/>
          <w:highlight w:val="none"/>
        </w:rPr>
        <w:t>优惠浮动值（特定分项优惠除外），而不考虑措施项目清单和规费税金清单的金额改变。</w:t>
      </w:r>
      <w:r>
        <w:rPr>
          <w:rFonts w:hint="eastAsia" w:ascii="宋体" w:hAnsi="宋体" w:eastAsia="宋体"/>
          <w:bCs/>
          <w:sz w:val="24"/>
          <w:szCs w:val="24"/>
          <w:highlight w:val="none"/>
        </w:rPr>
        <w:t>此优惠率调整原则适用于合同内价格的计算及项目增减、变更时价格的计算。</w:t>
      </w:r>
    </w:p>
    <w:p w14:paraId="1BAF04F8">
      <w:pPr>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2.如按照上述原则存在部分分项报价无法取整，合同价格按照最终承诺报价不变双方协商后修正部分分项报价单价</w:t>
      </w:r>
      <w:r>
        <w:rPr>
          <w:rFonts w:hint="eastAsia" w:cs="宋体"/>
          <w:b/>
          <w:bCs/>
          <w:sz w:val="24"/>
          <w:szCs w:val="24"/>
          <w:highlight w:val="none"/>
          <w:lang w:eastAsia="zh-CN"/>
        </w:rPr>
        <w:t>，</w:t>
      </w:r>
      <w:r>
        <w:rPr>
          <w:rFonts w:hint="eastAsia" w:cs="宋体"/>
          <w:b/>
          <w:bCs/>
          <w:sz w:val="24"/>
          <w:szCs w:val="24"/>
          <w:highlight w:val="none"/>
          <w:lang w:val="en-US" w:eastAsia="zh-CN"/>
        </w:rPr>
        <w:t>并将调整后的分项单价作为结算依据</w:t>
      </w:r>
      <w:r>
        <w:rPr>
          <w:rFonts w:hint="eastAsia" w:ascii="宋体" w:hAnsi="宋体" w:eastAsia="宋体" w:cs="宋体"/>
          <w:b/>
          <w:bCs/>
          <w:sz w:val="24"/>
          <w:szCs w:val="24"/>
          <w:highlight w:val="none"/>
        </w:rPr>
        <w:t>。</w:t>
      </w:r>
    </w:p>
    <w:p w14:paraId="6DD6CE13">
      <w:pPr>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3.表中大写金额与小写金额不一致的，以大写金额为准。</w:t>
      </w:r>
    </w:p>
    <w:p w14:paraId="13186EC5">
      <w:pPr>
        <w:spacing w:line="360" w:lineRule="auto"/>
        <w:ind w:firstLine="482" w:firstLineChars="200"/>
        <w:jc w:val="left"/>
        <w:rPr>
          <w:bCs/>
          <w:color w:val="auto"/>
          <w:sz w:val="24"/>
          <w:szCs w:val="24"/>
          <w:highlight w:val="none"/>
        </w:rPr>
      </w:pPr>
      <w:r>
        <w:rPr>
          <w:rFonts w:hint="eastAsia" w:ascii="宋体" w:hAnsi="宋体" w:eastAsia="宋体" w:cs="宋体"/>
          <w:b/>
          <w:bCs/>
          <w:sz w:val="24"/>
          <w:szCs w:val="24"/>
          <w:highlight w:val="none"/>
        </w:rPr>
        <w:t>4.</w:t>
      </w:r>
      <w:r>
        <w:rPr>
          <w:rFonts w:ascii="宋体" w:hAnsi="宋体" w:eastAsia="宋体" w:cs="宋体"/>
          <w:b/>
          <w:bCs/>
          <w:sz w:val="24"/>
          <w:szCs w:val="24"/>
          <w:highlight w:val="none"/>
        </w:rPr>
        <w:t>供应商没有参与下一轮报价的，其上一轮报价视为下一轮报价。</w:t>
      </w:r>
      <w:r>
        <w:rPr>
          <w:bCs/>
          <w:color w:val="auto"/>
          <w:sz w:val="24"/>
          <w:szCs w:val="24"/>
          <w:highlight w:val="none"/>
        </w:rPr>
        <w:br w:type="page"/>
      </w:r>
    </w:p>
    <w:p w14:paraId="7C1BF312">
      <w:pPr>
        <w:keepNext/>
        <w:keepLines/>
        <w:spacing w:before="260" w:after="260" w:line="416" w:lineRule="auto"/>
        <w:jc w:val="center"/>
        <w:outlineLvl w:val="1"/>
        <w:rPr>
          <w:rFonts w:ascii="宋体" w:hAnsi="宋体" w:eastAsia="宋体" w:cs="@仿宋_GB2312"/>
          <w:b/>
          <w:bCs/>
          <w:color w:val="auto"/>
          <w:kern w:val="2"/>
          <w:sz w:val="24"/>
          <w:szCs w:val="24"/>
          <w:highlight w:val="none"/>
        </w:rPr>
      </w:pPr>
      <w:bookmarkStart w:id="720" w:name="_Toc7943"/>
      <w:bookmarkStart w:id="721" w:name="_Toc22429"/>
      <w:bookmarkStart w:id="722" w:name="_Toc520983591"/>
      <w:r>
        <w:rPr>
          <w:rFonts w:hint="eastAsia" w:ascii="宋体" w:hAnsi="宋体" w:eastAsia="宋体" w:cs="@仿宋_GB2312"/>
          <w:b/>
          <w:bCs/>
          <w:color w:val="auto"/>
          <w:kern w:val="2"/>
          <w:sz w:val="24"/>
          <w:szCs w:val="24"/>
          <w:highlight w:val="none"/>
          <w:lang w:val="en-US" w:eastAsia="zh-CN"/>
        </w:rPr>
        <w:t>二</w:t>
      </w:r>
      <w:r>
        <w:rPr>
          <w:rFonts w:hint="eastAsia" w:ascii="宋体" w:hAnsi="宋体" w:eastAsia="宋体" w:cs="@仿宋_GB2312"/>
          <w:b/>
          <w:bCs/>
          <w:color w:val="auto"/>
          <w:kern w:val="2"/>
          <w:sz w:val="24"/>
          <w:szCs w:val="24"/>
          <w:highlight w:val="none"/>
        </w:rPr>
        <w:t>、供应商综合情况简介</w:t>
      </w:r>
      <w:bookmarkEnd w:id="720"/>
      <w:bookmarkEnd w:id="721"/>
    </w:p>
    <w:p w14:paraId="6E25BED0">
      <w:pPr>
        <w:spacing w:before="156" w:beforeLines="50" w:after="156" w:afterLines="50" w:line="360" w:lineRule="auto"/>
        <w:ind w:firstLine="235" w:firstLineChars="98"/>
        <w:jc w:val="center"/>
        <w:rPr>
          <w:color w:val="auto"/>
          <w:sz w:val="24"/>
          <w:szCs w:val="24"/>
          <w:highlight w:val="none"/>
        </w:rPr>
      </w:pPr>
      <w:r>
        <w:rPr>
          <w:rFonts w:hint="eastAsia"/>
          <w:color w:val="auto"/>
          <w:sz w:val="24"/>
          <w:szCs w:val="24"/>
          <w:highlight w:val="none"/>
        </w:rPr>
        <w:t>（供应商可自行制作格式）</w:t>
      </w:r>
    </w:p>
    <w:p w14:paraId="7874D8C8">
      <w:pPr>
        <w:widowControl/>
        <w:jc w:val="left"/>
        <w:rPr>
          <w:rFonts w:ascii="宋体" w:hAnsi="宋体" w:eastAsia="宋体"/>
          <w:b/>
          <w:color w:val="auto"/>
          <w:sz w:val="24"/>
          <w:szCs w:val="24"/>
          <w:highlight w:val="none"/>
        </w:rPr>
      </w:pPr>
      <w:r>
        <w:rPr>
          <w:rFonts w:ascii="宋体" w:hAnsi="宋体" w:eastAsia="宋体"/>
          <w:b/>
          <w:color w:val="auto"/>
          <w:sz w:val="24"/>
          <w:szCs w:val="24"/>
          <w:highlight w:val="none"/>
        </w:rPr>
        <w:br w:type="page"/>
      </w:r>
    </w:p>
    <w:p w14:paraId="4910518B">
      <w:pPr>
        <w:spacing w:line="360" w:lineRule="auto"/>
        <w:jc w:val="center"/>
        <w:outlineLvl w:val="1"/>
        <w:rPr>
          <w:rFonts w:ascii="宋体" w:hAnsi="宋体" w:eastAsia="宋体"/>
          <w:b/>
          <w:color w:val="auto"/>
          <w:sz w:val="24"/>
          <w:szCs w:val="24"/>
          <w:highlight w:val="none"/>
        </w:rPr>
      </w:pPr>
      <w:bookmarkStart w:id="723" w:name="_Toc28160"/>
      <w:bookmarkStart w:id="724" w:name="_Toc8006"/>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、磋商响应函</w:t>
      </w:r>
      <w:bookmarkEnd w:id="722"/>
      <w:bookmarkEnd w:id="723"/>
      <w:bookmarkEnd w:id="724"/>
    </w:p>
    <w:p w14:paraId="5A78630A">
      <w:pPr>
        <w:spacing w:line="360" w:lineRule="auto"/>
        <w:rPr>
          <w:rFonts w:hint="eastAsia" w:ascii="宋体" w:hAnsi="宋体" w:eastAsia="宋体" w:cs="宋体"/>
          <w:b/>
          <w:color w:val="auto"/>
          <w:kern w:val="2"/>
          <w:sz w:val="24"/>
          <w:szCs w:val="24"/>
          <w:highlight w:val="none"/>
          <w:u w:val="singl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eastAsia="zh-CN"/>
        </w:rPr>
        <w:t>采购人</w:t>
      </w:r>
    </w:p>
    <w:p w14:paraId="75A3BC85">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根据贵方的竞争性磋商公告和磋商邀请，我方兹宣布同意如下：</w:t>
      </w:r>
    </w:p>
    <w:p w14:paraId="47EC2F6F">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ascii="宋体" w:hAnsi="宋体" w:eastAsia="宋体" w:cs="宋体"/>
          <w:bCs/>
          <w:color w:val="auto"/>
          <w:kern w:val="2"/>
          <w:sz w:val="24"/>
          <w:szCs w:val="24"/>
          <w:highlight w:val="none"/>
        </w:rPr>
        <w:t>承诺按本磋商文件、施工图纸、合同条款和工程建设技术标准的条件、</w:t>
      </w:r>
      <w:r>
        <w:rPr>
          <w:rFonts w:hint="eastAsia" w:ascii="宋体" w:hAnsi="宋体" w:eastAsia="宋体" w:cs="宋体"/>
          <w:color w:val="auto"/>
          <w:kern w:val="2"/>
          <w:sz w:val="24"/>
          <w:szCs w:val="24"/>
          <w:highlight w:val="none"/>
        </w:rPr>
        <w:t>承担</w:t>
      </w:r>
      <w:r>
        <w:rPr>
          <w:rFonts w:hint="eastAsia" w:ascii="宋体" w:hAnsi="宋体" w:eastAsia="宋体" w:cs="宋体"/>
          <w:bCs/>
          <w:color w:val="auto"/>
          <w:kern w:val="2"/>
          <w:sz w:val="24"/>
          <w:szCs w:val="24"/>
          <w:highlight w:val="none"/>
        </w:rPr>
        <w:t>上述工程的施工、</w:t>
      </w:r>
      <w:r>
        <w:rPr>
          <w:rFonts w:hint="eastAsia" w:cs="宋体"/>
          <w:bCs/>
          <w:color w:val="auto"/>
          <w:kern w:val="2"/>
          <w:sz w:val="24"/>
          <w:szCs w:val="24"/>
          <w:highlight w:val="none"/>
          <w:lang w:eastAsia="zh-CN"/>
        </w:rPr>
        <w:t>完工</w:t>
      </w:r>
      <w:r>
        <w:rPr>
          <w:rFonts w:hint="eastAsia" w:ascii="宋体" w:hAnsi="宋体" w:eastAsia="宋体" w:cs="宋体"/>
          <w:bCs/>
          <w:color w:val="auto"/>
          <w:kern w:val="2"/>
          <w:sz w:val="24"/>
          <w:szCs w:val="24"/>
          <w:highlight w:val="none"/>
        </w:rPr>
        <w:t>，并承担任何质量缺陷保修责任。</w:t>
      </w:r>
    </w:p>
    <w:p w14:paraId="463AC9B1">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08AFDB5B">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w:t>
      </w:r>
      <w:r>
        <w:rPr>
          <w:rFonts w:hint="eastAsia" w:cs="宋体"/>
          <w:color w:val="auto"/>
          <w:sz w:val="24"/>
          <w:szCs w:val="24"/>
          <w:highlight w:val="none"/>
          <w:lang w:eastAsia="zh-CN"/>
        </w:rPr>
        <w:t>完工</w:t>
      </w:r>
      <w:r>
        <w:rPr>
          <w:rFonts w:hint="eastAsia" w:ascii="宋体" w:hAnsi="宋体" w:eastAsia="宋体" w:cs="宋体"/>
          <w:color w:val="auto"/>
          <w:sz w:val="24"/>
          <w:szCs w:val="24"/>
          <w:highlight w:val="none"/>
        </w:rPr>
        <w:t>并移交整个工程。</w:t>
      </w:r>
    </w:p>
    <w:p w14:paraId="644D703A">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0E3D519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3582AAE7">
      <w:pPr>
        <w:spacing w:line="360" w:lineRule="auto"/>
        <w:ind w:firstLine="435"/>
        <w:rPr>
          <w:rFonts w:hint="eastAsia" w:ascii="宋体" w:hAnsi="宋体" w:eastAsia="宋体"/>
          <w:b/>
          <w:bCs/>
          <w:color w:val="auto"/>
          <w:sz w:val="24"/>
          <w:szCs w:val="24"/>
          <w:highlight w:val="non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ascii="宋体" w:hAnsi="宋体" w:eastAsia="宋体" w:cs="宋体"/>
          <w:b/>
          <w:bCs/>
          <w:sz w:val="24"/>
          <w:szCs w:val="24"/>
          <w:highlight w:val="none"/>
        </w:rPr>
        <w:t>我方在本项目响应中提供的投标授权委托代理人，以及投标文件中确定的项目管理人员，均与我单位具有劳动合同关系、且已依法缴纳社会保险。</w:t>
      </w:r>
    </w:p>
    <w:p w14:paraId="3C2C8FDB">
      <w:pPr>
        <w:pStyle w:val="54"/>
        <w:ind w:firstLine="200"/>
        <w:rPr>
          <w:color w:val="auto"/>
          <w:sz w:val="24"/>
          <w:szCs w:val="24"/>
          <w:highlight w:val="none"/>
          <w:lang w:val="en-US"/>
        </w:rPr>
      </w:pPr>
    </w:p>
    <w:p w14:paraId="775C9597">
      <w:pPr>
        <w:spacing w:line="360" w:lineRule="auto"/>
        <w:ind w:firstLine="4800" w:firstLineChars="2000"/>
        <w:rPr>
          <w:rFonts w:cs="@仿宋_GB2312"/>
          <w:color w:val="auto"/>
          <w:kern w:val="2"/>
          <w:sz w:val="24"/>
          <w:szCs w:val="24"/>
          <w:highlight w:val="non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p>
    <w:p w14:paraId="38549786">
      <w:pPr>
        <w:spacing w:line="360" w:lineRule="auto"/>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日          期：</w:t>
      </w:r>
      <w:r>
        <w:rPr>
          <w:rFonts w:hint="eastAsia" w:cs="@仿宋_GB2312"/>
          <w:color w:val="auto"/>
          <w:kern w:val="2"/>
          <w:sz w:val="24"/>
          <w:szCs w:val="24"/>
          <w:highlight w:val="none"/>
          <w:u w:val="single"/>
        </w:rPr>
        <w:t xml:space="preserve">             </w:t>
      </w:r>
    </w:p>
    <w:p w14:paraId="5AA62DA6">
      <w:pPr>
        <w:widowControl/>
        <w:jc w:val="left"/>
        <w:rPr>
          <w:color w:val="auto"/>
          <w:sz w:val="24"/>
          <w:szCs w:val="24"/>
          <w:highlight w:val="none"/>
        </w:rPr>
      </w:pPr>
      <w:r>
        <w:rPr>
          <w:color w:val="auto"/>
          <w:sz w:val="24"/>
          <w:szCs w:val="24"/>
          <w:highlight w:val="none"/>
        </w:rPr>
        <w:br w:type="page"/>
      </w:r>
    </w:p>
    <w:p w14:paraId="554FCF7B">
      <w:pPr>
        <w:spacing w:line="360" w:lineRule="auto"/>
        <w:jc w:val="center"/>
        <w:outlineLvl w:val="1"/>
        <w:rPr>
          <w:b/>
          <w:i/>
          <w:color w:val="auto"/>
          <w:sz w:val="24"/>
          <w:szCs w:val="24"/>
          <w:highlight w:val="none"/>
        </w:rPr>
      </w:pPr>
      <w:bookmarkStart w:id="725" w:name="_Toc2947"/>
      <w:bookmarkStart w:id="726" w:name="_Toc20728"/>
      <w:r>
        <w:rPr>
          <w:rFonts w:hint="eastAsia" w:ascii="宋体" w:hAnsi="宋体" w:eastAsia="宋体"/>
          <w:b/>
          <w:color w:val="auto"/>
          <w:sz w:val="24"/>
          <w:szCs w:val="24"/>
          <w:highlight w:val="none"/>
          <w:lang w:val="en-US" w:eastAsia="zh-CN"/>
        </w:rPr>
        <w:t>四</w:t>
      </w:r>
      <w:r>
        <w:rPr>
          <w:rFonts w:hint="eastAsia" w:ascii="宋体" w:hAnsi="宋体" w:eastAsia="宋体"/>
          <w:b/>
          <w:color w:val="auto"/>
          <w:sz w:val="24"/>
          <w:szCs w:val="24"/>
          <w:highlight w:val="none"/>
        </w:rPr>
        <w:t>、</w:t>
      </w:r>
      <w:bookmarkEnd w:id="725"/>
      <w:bookmarkStart w:id="727" w:name="_Toc8658"/>
      <w:r>
        <w:rPr>
          <w:rFonts w:hint="eastAsia" w:ascii="宋体" w:hAnsi="宋体" w:eastAsia="宋体"/>
          <w:b/>
          <w:color w:val="auto"/>
          <w:sz w:val="24"/>
          <w:szCs w:val="24"/>
          <w:highlight w:val="none"/>
          <w:lang w:val="en-US" w:eastAsia="zh-CN"/>
        </w:rPr>
        <w:t>供应商资格声明书</w:t>
      </w:r>
      <w:bookmarkEnd w:id="726"/>
      <w:r>
        <w:rPr>
          <w:rFonts w:hint="eastAsia" w:ascii="宋体" w:hAnsi="宋体" w:eastAsia="宋体"/>
          <w:b/>
          <w:color w:val="auto"/>
          <w:sz w:val="24"/>
          <w:szCs w:val="24"/>
          <w:highlight w:val="none"/>
          <w:lang w:val="en-US" w:eastAsia="zh-CN"/>
        </w:rPr>
        <w:t xml:space="preserve"> </w:t>
      </w:r>
    </w:p>
    <w:p w14:paraId="2767A034">
      <w:pPr>
        <w:pStyle w:val="31"/>
        <w:spacing w:line="360" w:lineRule="auto"/>
        <w:rPr>
          <w:rFonts w:hint="eastAsia" w:ascii="宋体" w:hAnsi="宋体" w:eastAsia="宋体" w:cs="宋体"/>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u w:val="single"/>
          <w:lang w:eastAsia="zh-CN"/>
        </w:rPr>
        <w:t>采购人</w:t>
      </w:r>
    </w:p>
    <w:p w14:paraId="25D9DE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在参与本次项目磋商中，我单位承诺：</w:t>
      </w:r>
    </w:p>
    <w:p w14:paraId="7943D7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E4C1B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w:t>
      </w:r>
      <w:r>
        <w:rPr>
          <w:rFonts w:hint="eastAsia" w:cs="宋体"/>
          <w:color w:val="000000"/>
          <w:kern w:val="0"/>
          <w:sz w:val="24"/>
          <w:szCs w:val="24"/>
          <w:highlight w:val="none"/>
          <w:lang w:val="en-US" w:eastAsia="zh-CN"/>
        </w:rPr>
        <w:t>必需的</w:t>
      </w:r>
      <w:r>
        <w:rPr>
          <w:rFonts w:hint="eastAsia" w:ascii="宋体" w:hAnsi="宋体" w:eastAsia="宋体" w:cs="宋体"/>
          <w:color w:val="000000"/>
          <w:kern w:val="0"/>
          <w:sz w:val="24"/>
          <w:szCs w:val="24"/>
          <w:highlight w:val="none"/>
          <w:lang w:val="en-US" w:eastAsia="zh-CN"/>
        </w:rPr>
        <w:t>设备和专业技术能力；</w:t>
      </w:r>
    </w:p>
    <w:p w14:paraId="23471A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5B3790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F32C9E4">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6BA94A5D">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2D4A0A7C">
      <w:pPr>
        <w:spacing w:line="360" w:lineRule="auto"/>
        <w:rPr>
          <w:rFonts w:hint="eastAsia"/>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41B88A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（八）我单位不存在为采购项目提供整体设计、规范编制或者项目管理、检测等服务后，再参加该采购项目的其他采购活动的情形（单一来源采购项目除外）；</w:t>
      </w:r>
    </w:p>
    <w:p w14:paraId="5806A6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（九）与我单位存在单位负责人为同一人或者存在直接控股、管理关系的其他法人单位信息如下（如有，不论其是否参加同一合同项下的政府采购活动均须填写）：</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89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55FEA3F">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42D26DC8">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6C7B32EA">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6DCA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A6828E4">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70FE86B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58796F0">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FA8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E9D809E">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7AD0FDE6">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6ACC3B9">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41542B65">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本单位对上述声明的真实性负责。如有虚假，将依法承担相应责任。</w:t>
      </w:r>
    </w:p>
    <w:p w14:paraId="63E8F6F3">
      <w:pPr>
        <w:spacing w:line="360" w:lineRule="auto"/>
        <w:ind w:firstLine="4800" w:firstLineChars="2000"/>
        <w:rPr>
          <w:rFonts w:ascii="宋体" w:hAnsi="宋体" w:eastAsia="宋体"/>
          <w:color w:val="auto"/>
          <w:sz w:val="24"/>
          <w:szCs w:val="24"/>
          <w:highlight w:val="none"/>
          <w:u w:val="single"/>
        </w:rPr>
      </w:pPr>
      <w:r>
        <w:rPr>
          <w:rFonts w:hint="eastAsia"/>
          <w:color w:val="auto"/>
          <w:sz w:val="24"/>
          <w:szCs w:val="24"/>
          <w:highlight w:val="none"/>
          <w:lang w:val="en-US" w:eastAsia="zh-CN"/>
        </w:rPr>
        <w:t>供应商</w:t>
      </w:r>
      <w:r>
        <w:rPr>
          <w:rFonts w:hint="eastAsia" w:ascii="宋体" w:hAnsi="宋体" w:eastAsia="宋体"/>
          <w:color w:val="auto"/>
          <w:sz w:val="24"/>
          <w:szCs w:val="24"/>
          <w:highlight w:val="none"/>
        </w:rPr>
        <w:t>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5E8542B">
      <w:pPr>
        <w:spacing w:line="360" w:lineRule="auto"/>
        <w:jc w:val="center"/>
        <w:outlineLvl w:val="9"/>
        <w:rPr>
          <w:rFonts w:hint="eastAsia" w:ascii="宋体" w:hAnsi="宋体" w:eastAsia="宋体"/>
          <w:b/>
          <w:color w:val="auto"/>
          <w:sz w:val="24"/>
          <w:szCs w:val="24"/>
          <w:highlight w:val="none"/>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r>
        <w:rPr>
          <w:rFonts w:hint="eastAsia"/>
          <w:color w:val="auto"/>
          <w:sz w:val="24"/>
          <w:szCs w:val="24"/>
          <w:highlight w:val="none"/>
          <w:lang w:val="en-US" w:eastAsia="zh-CN"/>
        </w:rPr>
        <w:t xml:space="preserve">                           </w:t>
      </w:r>
      <w:r>
        <w:rPr>
          <w:rFonts w:hint="eastAsia" w:ascii="宋体" w:hAnsi="宋体" w:eastAsia="宋体"/>
          <w:color w:val="auto"/>
          <w:sz w:val="24"/>
          <w:szCs w:val="24"/>
          <w:highlight w:val="none"/>
        </w:rPr>
        <w:t>日          期：</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bookmarkEnd w:id="727"/>
    </w:p>
    <w:p w14:paraId="30833B5D">
      <w:pPr>
        <w:widowControl/>
        <w:jc w:val="center"/>
        <w:outlineLvl w:val="1"/>
        <w:rPr>
          <w:rFonts w:hint="default" w:ascii="宋体" w:hAnsi="宋体" w:eastAsia="宋体"/>
          <w:b/>
          <w:color w:val="auto"/>
          <w:sz w:val="24"/>
          <w:szCs w:val="24"/>
          <w:highlight w:val="none"/>
          <w:u w:val="none"/>
          <w:lang w:val="en-US" w:eastAsia="zh-CN"/>
        </w:rPr>
      </w:pPr>
      <w:bookmarkStart w:id="728" w:name="_Toc520983594"/>
      <w:bookmarkStart w:id="729" w:name="_Toc909"/>
      <w:bookmarkStart w:id="730" w:name="_Toc25503"/>
      <w:bookmarkStart w:id="731" w:name="_Toc121626298"/>
      <w:bookmarkStart w:id="732" w:name="_Toc516969106"/>
      <w:bookmarkStart w:id="733" w:name="_Toc204594911"/>
      <w:r>
        <w:rPr>
          <w:rFonts w:hint="eastAsia" w:ascii="宋体" w:hAnsi="宋体" w:eastAsia="宋体"/>
          <w:b/>
          <w:color w:val="auto"/>
          <w:sz w:val="24"/>
          <w:szCs w:val="24"/>
          <w:highlight w:val="none"/>
          <w:u w:val="none"/>
          <w:lang w:val="en-US" w:eastAsia="zh-CN"/>
        </w:rPr>
        <w:t>五</w:t>
      </w:r>
      <w:r>
        <w:rPr>
          <w:rFonts w:hint="eastAsia" w:ascii="宋体" w:hAnsi="宋体" w:eastAsia="宋体"/>
          <w:b/>
          <w:color w:val="auto"/>
          <w:sz w:val="24"/>
          <w:szCs w:val="24"/>
          <w:highlight w:val="none"/>
          <w:u w:val="none"/>
        </w:rPr>
        <w:t>、授权书</w:t>
      </w:r>
      <w:bookmarkEnd w:id="728"/>
      <w:bookmarkEnd w:id="729"/>
      <w:bookmarkEnd w:id="730"/>
      <w:bookmarkEnd w:id="731"/>
      <w:bookmarkEnd w:id="732"/>
      <w:bookmarkEnd w:id="733"/>
      <w:r>
        <w:rPr>
          <w:rFonts w:hint="eastAsia"/>
          <w:b/>
          <w:color w:val="auto"/>
          <w:sz w:val="24"/>
          <w:szCs w:val="24"/>
          <w:highlight w:val="none"/>
          <w:u w:val="none"/>
          <w:lang w:eastAsia="zh-CN"/>
        </w:rPr>
        <w:t>（</w:t>
      </w:r>
      <w:r>
        <w:rPr>
          <w:rFonts w:hint="eastAsia"/>
          <w:b/>
          <w:color w:val="auto"/>
          <w:sz w:val="24"/>
          <w:szCs w:val="24"/>
          <w:highlight w:val="none"/>
          <w:u w:val="none"/>
          <w:lang w:val="en-US" w:eastAsia="zh-CN"/>
        </w:rPr>
        <w:t>非联合体采用）</w:t>
      </w:r>
    </w:p>
    <w:p w14:paraId="4352A4F5">
      <w:pPr>
        <w:spacing w:line="360" w:lineRule="auto"/>
        <w:jc w:val="center"/>
        <w:rPr>
          <w:rFonts w:ascii="宋体" w:hAnsi="宋体" w:eastAsia="宋体"/>
          <w:b/>
          <w:color w:val="auto"/>
          <w:sz w:val="24"/>
          <w:szCs w:val="24"/>
          <w:highlight w:val="none"/>
        </w:rPr>
      </w:pPr>
    </w:p>
    <w:p w14:paraId="41228253">
      <w:pPr>
        <w:pStyle w:val="29"/>
        <w:snapToGrid w:val="0"/>
        <w:spacing w:line="360" w:lineRule="auto"/>
        <w:ind w:firstLine="480" w:firstLineChars="200"/>
        <w:jc w:val="left"/>
        <w:rPr>
          <w:rFonts w:hAnsi="宋体" w:eastAsia="宋体"/>
          <w:color w:val="auto"/>
          <w:sz w:val="24"/>
          <w:szCs w:val="24"/>
          <w:highlight w:val="none"/>
        </w:rPr>
      </w:pPr>
      <w:r>
        <w:rPr>
          <w:rFonts w:hint="eastAsia" w:hAnsi="宋体" w:eastAsia="宋体"/>
          <w:color w:val="auto"/>
          <w:sz w:val="24"/>
          <w:szCs w:val="24"/>
          <w:highlight w:val="none"/>
        </w:rPr>
        <w:t>本授权书声明：</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（供应商名称）授权</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（供应商授权代表姓名）代表我方参加本项目</w:t>
      </w:r>
      <w:r>
        <w:rPr>
          <w:rFonts w:hint="eastAsia" w:hAnsi="宋体" w:eastAsia="宋体"/>
          <w:bCs/>
          <w:color w:val="auto"/>
          <w:sz w:val="24"/>
          <w:szCs w:val="24"/>
          <w:highlight w:val="none"/>
        </w:rPr>
        <w:t>采购活动</w:t>
      </w:r>
      <w:r>
        <w:rPr>
          <w:rFonts w:hint="eastAsia" w:hAnsi="宋体" w:eastAsia="宋体"/>
          <w:color w:val="auto"/>
          <w:sz w:val="24"/>
          <w:szCs w:val="24"/>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CB299F1">
      <w:pPr>
        <w:pStyle w:val="29"/>
        <w:snapToGrid w:val="0"/>
        <w:spacing w:line="360" w:lineRule="auto"/>
        <w:ind w:firstLine="480" w:firstLineChars="200"/>
        <w:jc w:val="left"/>
        <w:rPr>
          <w:rFonts w:hAnsi="宋体" w:eastAsia="宋体"/>
          <w:color w:val="auto"/>
          <w:sz w:val="24"/>
          <w:szCs w:val="24"/>
          <w:highlight w:val="none"/>
        </w:rPr>
      </w:pPr>
      <w:r>
        <w:rPr>
          <w:rFonts w:hint="eastAsia" w:hAnsi="宋体" w:eastAsia="宋体"/>
          <w:color w:val="auto"/>
          <w:sz w:val="24"/>
          <w:szCs w:val="24"/>
          <w:highlight w:val="none"/>
        </w:rPr>
        <w:t>本授权书自出具之日起生效。</w:t>
      </w:r>
    </w:p>
    <w:p w14:paraId="34ED1667">
      <w:pPr>
        <w:pStyle w:val="29"/>
        <w:snapToGrid w:val="0"/>
        <w:spacing w:line="360" w:lineRule="auto"/>
        <w:ind w:firstLine="480" w:firstLineChars="200"/>
        <w:jc w:val="left"/>
        <w:rPr>
          <w:rFonts w:hAnsi="宋体" w:eastAsia="宋体"/>
          <w:color w:val="auto"/>
          <w:sz w:val="24"/>
          <w:szCs w:val="24"/>
          <w:highlight w:val="none"/>
        </w:rPr>
      </w:pPr>
      <w:r>
        <w:rPr>
          <w:rFonts w:hint="eastAsia" w:hAnsi="宋体" w:eastAsia="宋体"/>
          <w:color w:val="auto"/>
          <w:sz w:val="24"/>
          <w:szCs w:val="24"/>
          <w:highlight w:val="none"/>
        </w:rPr>
        <w:t>授权代表身份证明扫描件：</w:t>
      </w:r>
    </w:p>
    <w:p w14:paraId="35EB0C37">
      <w:pPr>
        <w:pStyle w:val="29"/>
        <w:snapToGrid w:val="0"/>
        <w:spacing w:line="360" w:lineRule="auto"/>
        <w:ind w:firstLine="480" w:firstLineChars="200"/>
        <w:jc w:val="left"/>
        <w:rPr>
          <w:rFonts w:hAnsi="宋体" w:eastAsia="宋体"/>
          <w:color w:val="auto"/>
          <w:sz w:val="24"/>
          <w:szCs w:val="24"/>
          <w:highlight w:val="none"/>
        </w:rPr>
      </w:pPr>
    </w:p>
    <w:p w14:paraId="108BAD69">
      <w:pPr>
        <w:pStyle w:val="29"/>
        <w:snapToGrid w:val="0"/>
        <w:spacing w:line="360" w:lineRule="auto"/>
        <w:ind w:firstLine="480" w:firstLineChars="200"/>
        <w:jc w:val="left"/>
        <w:rPr>
          <w:rFonts w:hAnsi="宋体" w:eastAsia="宋体"/>
          <w:color w:val="auto"/>
          <w:sz w:val="24"/>
          <w:szCs w:val="24"/>
          <w:highlight w:val="none"/>
        </w:rPr>
      </w:pPr>
    </w:p>
    <w:p w14:paraId="69C4B366">
      <w:pPr>
        <w:pStyle w:val="29"/>
        <w:snapToGrid w:val="0"/>
        <w:spacing w:line="360" w:lineRule="auto"/>
        <w:ind w:firstLine="480" w:firstLineChars="200"/>
        <w:jc w:val="left"/>
        <w:rPr>
          <w:rFonts w:hAnsi="宋体" w:eastAsia="宋体"/>
          <w:color w:val="auto"/>
          <w:sz w:val="24"/>
          <w:szCs w:val="24"/>
          <w:highlight w:val="none"/>
        </w:rPr>
      </w:pPr>
    </w:p>
    <w:p w14:paraId="1A45D6F8">
      <w:pPr>
        <w:pStyle w:val="29"/>
        <w:snapToGrid w:val="0"/>
        <w:spacing w:line="360" w:lineRule="auto"/>
        <w:ind w:firstLine="480" w:firstLineChars="200"/>
        <w:jc w:val="left"/>
        <w:rPr>
          <w:rFonts w:hAnsi="宋体" w:eastAsia="宋体"/>
          <w:color w:val="auto"/>
          <w:sz w:val="24"/>
          <w:szCs w:val="24"/>
          <w:highlight w:val="none"/>
        </w:rPr>
      </w:pPr>
    </w:p>
    <w:p w14:paraId="2AD913E6">
      <w:pPr>
        <w:pStyle w:val="29"/>
        <w:snapToGrid w:val="0"/>
        <w:spacing w:line="360" w:lineRule="auto"/>
        <w:ind w:firstLine="480" w:firstLineChars="200"/>
        <w:jc w:val="left"/>
        <w:rPr>
          <w:rFonts w:hAnsi="宋体" w:eastAsia="宋体"/>
          <w:color w:val="auto"/>
          <w:sz w:val="24"/>
          <w:szCs w:val="24"/>
          <w:highlight w:val="none"/>
          <w:u w:val="single"/>
        </w:rPr>
      </w:pPr>
      <w:r>
        <w:rPr>
          <w:rFonts w:hint="eastAsia" w:hAnsi="宋体" w:eastAsia="宋体"/>
          <w:color w:val="auto"/>
          <w:sz w:val="24"/>
          <w:szCs w:val="24"/>
          <w:highlight w:val="none"/>
        </w:rPr>
        <w:t>授权代表联系方式：</w:t>
      </w:r>
      <w:r>
        <w:rPr>
          <w:rFonts w:hint="eastAsia" w:hAnsi="宋体" w:eastAsia="宋体"/>
          <w:color w:val="auto"/>
          <w:sz w:val="24"/>
          <w:szCs w:val="24"/>
          <w:highlight w:val="none"/>
          <w:u w:val="single"/>
        </w:rPr>
        <w:t xml:space="preserve">          （请填写手机号码）</w:t>
      </w:r>
    </w:p>
    <w:p w14:paraId="19DA2059">
      <w:pPr>
        <w:pStyle w:val="29"/>
        <w:snapToGrid w:val="0"/>
        <w:spacing w:line="360" w:lineRule="auto"/>
        <w:ind w:firstLine="480" w:firstLineChars="200"/>
        <w:jc w:val="left"/>
        <w:rPr>
          <w:rFonts w:hAnsi="宋体" w:eastAsia="宋体"/>
          <w:color w:val="auto"/>
          <w:sz w:val="24"/>
          <w:szCs w:val="24"/>
          <w:highlight w:val="none"/>
        </w:rPr>
      </w:pPr>
    </w:p>
    <w:p w14:paraId="5F4458AA">
      <w:pPr>
        <w:spacing w:line="360" w:lineRule="auto"/>
        <w:ind w:firstLine="360" w:firstLineChars="150"/>
        <w:rPr>
          <w:color w:val="auto"/>
          <w:sz w:val="24"/>
          <w:szCs w:val="24"/>
          <w:highlight w:val="none"/>
        </w:rPr>
      </w:pPr>
      <w:r>
        <w:rPr>
          <w:rFonts w:hint="eastAsia"/>
          <w:color w:val="auto"/>
          <w:sz w:val="24"/>
          <w:szCs w:val="24"/>
          <w:highlight w:val="none"/>
        </w:rPr>
        <w:t>特此声明。</w:t>
      </w:r>
    </w:p>
    <w:p w14:paraId="50371516">
      <w:pPr>
        <w:spacing w:line="360" w:lineRule="auto"/>
        <w:rPr>
          <w:color w:val="auto"/>
          <w:sz w:val="24"/>
          <w:szCs w:val="24"/>
          <w:highlight w:val="none"/>
        </w:rPr>
      </w:pPr>
    </w:p>
    <w:p w14:paraId="69F16F5B">
      <w:pPr>
        <w:spacing w:line="360" w:lineRule="auto"/>
        <w:jc w:val="center"/>
        <w:rPr>
          <w:bCs/>
          <w:color w:val="auto"/>
          <w:sz w:val="24"/>
          <w:szCs w:val="24"/>
          <w:highlight w:val="none"/>
        </w:rPr>
      </w:pPr>
      <w:r>
        <w:rPr>
          <w:rFonts w:hint="eastAsia"/>
          <w:bCs/>
          <w:color w:val="auto"/>
          <w:sz w:val="24"/>
          <w:szCs w:val="24"/>
          <w:highlight w:val="none"/>
          <w:lang w:val="en-US" w:eastAsia="zh-CN"/>
        </w:rPr>
        <w:t xml:space="preserve">                    </w:t>
      </w:r>
      <w:r>
        <w:rPr>
          <w:rFonts w:hint="eastAsia"/>
          <w:bCs/>
          <w:color w:val="auto"/>
          <w:sz w:val="24"/>
          <w:szCs w:val="24"/>
          <w:highlight w:val="none"/>
        </w:rPr>
        <w:t>供应商电子签章：</w:t>
      </w:r>
      <w:r>
        <w:rPr>
          <w:rFonts w:hint="eastAsia"/>
          <w:bCs/>
          <w:color w:val="auto"/>
          <w:sz w:val="24"/>
          <w:szCs w:val="24"/>
          <w:highlight w:val="none"/>
          <w:u w:val="single"/>
        </w:rPr>
        <w:t xml:space="preserve">                    </w:t>
      </w:r>
    </w:p>
    <w:p w14:paraId="593451A6">
      <w:pPr>
        <w:spacing w:line="360" w:lineRule="auto"/>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日          期：</w:t>
      </w:r>
      <w:r>
        <w:rPr>
          <w:rFonts w:hint="eastAsia"/>
          <w:color w:val="auto"/>
          <w:sz w:val="24"/>
          <w:szCs w:val="24"/>
          <w:highlight w:val="none"/>
          <w:u w:val="single"/>
        </w:rPr>
        <w:t xml:space="preserve">                    </w:t>
      </w:r>
    </w:p>
    <w:p w14:paraId="217A0869">
      <w:pPr>
        <w:spacing w:line="360" w:lineRule="auto"/>
        <w:rPr>
          <w:color w:val="auto"/>
          <w:sz w:val="24"/>
          <w:szCs w:val="24"/>
          <w:highlight w:val="none"/>
        </w:rPr>
      </w:pPr>
    </w:p>
    <w:p w14:paraId="3D6128AF">
      <w:pPr>
        <w:pStyle w:val="29"/>
        <w:snapToGrid w:val="0"/>
        <w:spacing w:line="360" w:lineRule="auto"/>
        <w:jc w:val="left"/>
        <w:rPr>
          <w:rFonts w:hAnsi="宋体" w:eastAsia="宋体"/>
          <w:color w:val="auto"/>
          <w:sz w:val="24"/>
          <w:szCs w:val="24"/>
          <w:highlight w:val="none"/>
        </w:rPr>
      </w:pPr>
      <w:r>
        <w:rPr>
          <w:rFonts w:hint="eastAsia" w:hAnsi="宋体" w:eastAsia="宋体"/>
          <w:color w:val="auto"/>
          <w:sz w:val="24"/>
          <w:szCs w:val="24"/>
          <w:highlight w:val="none"/>
        </w:rPr>
        <w:t>注：</w:t>
      </w:r>
    </w:p>
    <w:p w14:paraId="2DBEFC6B">
      <w:pPr>
        <w:pStyle w:val="29"/>
        <w:snapToGrid w:val="0"/>
        <w:spacing w:line="360" w:lineRule="auto"/>
        <w:jc w:val="left"/>
        <w:rPr>
          <w:rFonts w:hAnsi="宋体" w:eastAsia="宋体"/>
          <w:color w:val="auto"/>
          <w:sz w:val="24"/>
          <w:szCs w:val="24"/>
          <w:highlight w:val="none"/>
        </w:rPr>
      </w:pPr>
      <w:r>
        <w:rPr>
          <w:rFonts w:hint="eastAsia" w:hAnsi="宋体" w:eastAsia="宋体"/>
          <w:color w:val="auto"/>
          <w:sz w:val="24"/>
          <w:szCs w:val="24"/>
          <w:highlight w:val="none"/>
        </w:rPr>
        <w:t>1.本项目只允许有唯一的供应商授权代表，提供身份证明扫描件；</w:t>
      </w:r>
    </w:p>
    <w:p w14:paraId="0CFA234A">
      <w:pPr>
        <w:spacing w:line="360" w:lineRule="auto"/>
        <w:jc w:val="left"/>
        <w:rPr>
          <w:color w:val="auto"/>
          <w:sz w:val="24"/>
          <w:szCs w:val="24"/>
          <w:highlight w:val="none"/>
        </w:rPr>
      </w:pPr>
      <w:r>
        <w:rPr>
          <w:rFonts w:hint="eastAsia"/>
          <w:color w:val="auto"/>
          <w:sz w:val="24"/>
          <w:szCs w:val="24"/>
          <w:highlight w:val="none"/>
        </w:rPr>
        <w:t>2.法定代表人参加磋商的无需提供授权书，仅提供身份证明扫描件。</w:t>
      </w:r>
    </w:p>
    <w:p w14:paraId="16C9CA11">
      <w:pPr>
        <w:widowControl/>
        <w:jc w:val="left"/>
        <w:rPr>
          <w:color w:val="auto"/>
          <w:sz w:val="24"/>
          <w:szCs w:val="24"/>
          <w:highlight w:val="none"/>
        </w:rPr>
      </w:pPr>
      <w:r>
        <w:rPr>
          <w:color w:val="auto"/>
          <w:sz w:val="24"/>
          <w:szCs w:val="24"/>
          <w:highlight w:val="none"/>
        </w:rPr>
        <w:br w:type="page"/>
      </w:r>
    </w:p>
    <w:p w14:paraId="24C7D74F">
      <w:pPr>
        <w:keepNext/>
        <w:keepLines/>
        <w:spacing w:before="260" w:after="260" w:line="416" w:lineRule="auto"/>
        <w:jc w:val="center"/>
        <w:outlineLvl w:val="9"/>
        <w:rPr>
          <w:rFonts w:ascii="宋体" w:hAnsi="宋体" w:eastAsia="宋体" w:cs="@仿宋_GB2312"/>
          <w:b/>
          <w:bCs/>
          <w:color w:val="auto"/>
          <w:kern w:val="2"/>
          <w:sz w:val="24"/>
          <w:szCs w:val="24"/>
          <w:highlight w:val="none"/>
        </w:rPr>
      </w:pPr>
      <w:bookmarkStart w:id="734" w:name="_Toc12223"/>
      <w:bookmarkStart w:id="735" w:name="_Toc32351"/>
      <w:r>
        <w:rPr>
          <w:rFonts w:hint="eastAsia" w:ascii="宋体" w:hAnsi="宋体" w:eastAsia="宋体" w:cs="@仿宋_GB2312"/>
          <w:b/>
          <w:bCs/>
          <w:color w:val="auto"/>
          <w:kern w:val="2"/>
          <w:sz w:val="24"/>
          <w:szCs w:val="24"/>
          <w:highlight w:val="none"/>
        </w:rPr>
        <w:t>法定代表人身份证明书</w:t>
      </w:r>
      <w:bookmarkEnd w:id="734"/>
      <w:bookmarkEnd w:id="735"/>
      <w:r>
        <w:rPr>
          <w:rFonts w:hint="eastAsia"/>
          <w:b/>
          <w:color w:val="auto"/>
          <w:sz w:val="24"/>
          <w:szCs w:val="24"/>
          <w:highlight w:val="none"/>
          <w:u w:val="none"/>
          <w:lang w:eastAsia="zh-CN"/>
        </w:rPr>
        <w:t>（</w:t>
      </w:r>
      <w:r>
        <w:rPr>
          <w:rFonts w:hint="eastAsia"/>
          <w:b/>
          <w:color w:val="auto"/>
          <w:sz w:val="24"/>
          <w:szCs w:val="24"/>
          <w:highlight w:val="none"/>
          <w:u w:val="none"/>
          <w:lang w:val="en-US" w:eastAsia="zh-CN"/>
        </w:rPr>
        <w:t>非联合体采用）</w:t>
      </w:r>
    </w:p>
    <w:p w14:paraId="5BE8806D">
      <w:pPr>
        <w:autoSpaceDE w:val="0"/>
        <w:autoSpaceDN w:val="0"/>
        <w:adjustRightInd w:val="0"/>
        <w:spacing w:line="360" w:lineRule="auto"/>
        <w:jc w:val="center"/>
        <w:rPr>
          <w:rFonts w:ascii="@仿宋_GB2312" w:eastAsia="@仿宋_GB2312" w:cs="宋体"/>
          <w:b/>
          <w:color w:val="auto"/>
          <w:kern w:val="2"/>
          <w:sz w:val="24"/>
          <w:szCs w:val="24"/>
          <w:highlight w:val="none"/>
          <w:lang w:val="zh-CN"/>
        </w:rPr>
      </w:pPr>
    </w:p>
    <w:p w14:paraId="5982A333">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单位名称：</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1D8890F8">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单位性质：</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6A63FB14">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地    址：</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5E442919">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成立时间：</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年</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月</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日</w:t>
      </w:r>
    </w:p>
    <w:p w14:paraId="58AE174F">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经营期限：</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42F738FA">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姓    名：</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性 </w:t>
      </w:r>
      <w:r>
        <w:rPr>
          <w:rFonts w:ascii="Calibri" w:hAnsi="Calibri" w:cs="Times New Roman"/>
          <w:color w:val="auto"/>
          <w:kern w:val="2"/>
          <w:sz w:val="24"/>
          <w:szCs w:val="24"/>
          <w:highlight w:val="none"/>
        </w:rPr>
        <w:t xml:space="preserve">  </w:t>
      </w:r>
      <w:r>
        <w:rPr>
          <w:rFonts w:hint="eastAsia" w:ascii="Calibri" w:hAnsi="Calibri" w:cs="Times New Roman"/>
          <w:color w:val="auto"/>
          <w:kern w:val="2"/>
          <w:sz w:val="24"/>
          <w:szCs w:val="24"/>
          <w:highlight w:val="none"/>
        </w:rPr>
        <w:t xml:space="preserve"> 别：</w:t>
      </w:r>
      <w:r>
        <w:rPr>
          <w:rFonts w:hint="eastAsia" w:ascii="Calibri" w:hAnsi="Calibri" w:cs="Times New Roman"/>
          <w:color w:val="auto"/>
          <w:kern w:val="2"/>
          <w:sz w:val="24"/>
          <w:szCs w:val="24"/>
          <w:highlight w:val="none"/>
          <w:u w:val="single"/>
        </w:rPr>
        <w:t xml:space="preserve">             </w:t>
      </w:r>
    </w:p>
    <w:p w14:paraId="47A74878">
      <w:pPr>
        <w:snapToGrid w:val="0"/>
        <w:spacing w:line="360" w:lineRule="auto"/>
        <w:ind w:firstLine="480" w:firstLineChars="200"/>
        <w:jc w:val="left"/>
        <w:rPr>
          <w:rFonts w:ascii="Calibri" w:hAnsi="Calibri" w:cs="Times New Roman"/>
          <w:color w:val="auto"/>
          <w:kern w:val="2"/>
          <w:sz w:val="24"/>
          <w:szCs w:val="24"/>
          <w:highlight w:val="none"/>
          <w:u w:val="single"/>
        </w:rPr>
      </w:pPr>
      <w:r>
        <w:rPr>
          <w:rFonts w:hint="eastAsia" w:ascii="Calibri" w:hAnsi="Calibri" w:cs="Times New Roman"/>
          <w:color w:val="auto"/>
          <w:kern w:val="2"/>
          <w:sz w:val="24"/>
          <w:szCs w:val="24"/>
          <w:highlight w:val="none"/>
        </w:rPr>
        <w:t>年    龄：</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职    务：</w:t>
      </w:r>
      <w:r>
        <w:rPr>
          <w:rFonts w:hint="eastAsia" w:ascii="Calibri" w:hAnsi="Calibri" w:cs="Times New Roman"/>
          <w:color w:val="auto"/>
          <w:kern w:val="2"/>
          <w:sz w:val="24"/>
          <w:szCs w:val="24"/>
          <w:highlight w:val="none"/>
          <w:u w:val="single"/>
        </w:rPr>
        <w:t xml:space="preserve">             </w:t>
      </w:r>
    </w:p>
    <w:p w14:paraId="303619B9">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联系</w:t>
      </w:r>
      <w:r>
        <w:rPr>
          <w:rFonts w:ascii="Calibri" w:hAnsi="Calibri" w:cs="Times New Roman"/>
          <w:color w:val="auto"/>
          <w:kern w:val="2"/>
          <w:sz w:val="24"/>
          <w:szCs w:val="24"/>
          <w:highlight w:val="none"/>
        </w:rPr>
        <w:t>电话</w:t>
      </w:r>
      <w:r>
        <w:rPr>
          <w:rFonts w:hint="eastAsia" w:ascii="Calibri" w:hAnsi="Calibri" w:cs="Times New Roman"/>
          <w:color w:val="auto"/>
          <w:kern w:val="2"/>
          <w:sz w:val="24"/>
          <w:szCs w:val="24"/>
          <w:highlight w:val="none"/>
        </w:rPr>
        <w:t>：</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手机号码：</w:t>
      </w:r>
      <w:r>
        <w:rPr>
          <w:rFonts w:hint="eastAsia" w:ascii="Calibri" w:hAnsi="Calibri" w:cs="Times New Roman"/>
          <w:color w:val="auto"/>
          <w:kern w:val="2"/>
          <w:sz w:val="24"/>
          <w:szCs w:val="24"/>
          <w:highlight w:val="none"/>
          <w:u w:val="single"/>
        </w:rPr>
        <w:t xml:space="preserve">             </w:t>
      </w:r>
    </w:p>
    <w:p w14:paraId="5CD01668">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系  </w:t>
      </w:r>
      <w:r>
        <w:rPr>
          <w:rFonts w:hint="eastAsia" w:ascii="Calibri" w:hAnsi="Calibri" w:cs="Times New Roman"/>
          <w:color w:val="auto"/>
          <w:kern w:val="2"/>
          <w:sz w:val="24"/>
          <w:szCs w:val="24"/>
          <w:highlight w:val="none"/>
          <w:u w:val="single"/>
        </w:rPr>
        <w:t xml:space="preserve">   （供应商单位名称）       </w:t>
      </w:r>
      <w:r>
        <w:rPr>
          <w:rFonts w:hint="eastAsia" w:ascii="Calibri" w:hAnsi="Calibri" w:cs="Times New Roman"/>
          <w:color w:val="auto"/>
          <w:kern w:val="2"/>
          <w:sz w:val="24"/>
          <w:szCs w:val="24"/>
          <w:highlight w:val="none"/>
        </w:rPr>
        <w:t>的法定代表人。</w:t>
      </w:r>
    </w:p>
    <w:p w14:paraId="311A2B4B">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0631C787">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0C239617">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9B2B72B">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513F31D9">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172279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C33749A">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571C8F0">
      <w:pPr>
        <w:jc w:val="center"/>
        <w:outlineLvl w:val="9"/>
        <w:rPr>
          <w:rFonts w:hint="eastAsia" w:ascii="宋体" w:hAnsi="宋体" w:eastAsia="宋体"/>
          <w:b/>
          <w:color w:val="auto"/>
          <w:sz w:val="24"/>
          <w:szCs w:val="24"/>
          <w:highlight w:val="none"/>
          <w:u w:val="none"/>
        </w:rPr>
      </w:pPr>
      <w:r>
        <w:rPr>
          <w:rFonts w:ascii="宋体" w:hAnsi="宋体" w:eastAsia="宋体" w:cs="@仿宋_GB2312"/>
          <w:color w:val="auto"/>
          <w:kern w:val="2"/>
          <w:sz w:val="24"/>
          <w:szCs w:val="24"/>
          <w:highlight w:val="none"/>
        </w:rPr>
        <w:br w:type="page"/>
      </w:r>
      <w:r>
        <w:rPr>
          <w:rFonts w:hint="eastAsia" w:ascii="宋体" w:hAnsi="宋体" w:eastAsia="宋体"/>
          <w:b/>
          <w:color w:val="auto"/>
          <w:sz w:val="24"/>
          <w:szCs w:val="24"/>
          <w:highlight w:val="none"/>
          <w:u w:val="none"/>
        </w:rPr>
        <w:t>联合体授权委托书（联合体采用）</w:t>
      </w:r>
    </w:p>
    <w:p w14:paraId="7DA1CB14">
      <w:pPr>
        <w:pStyle w:val="293"/>
        <w:tabs>
          <w:tab w:val="left" w:pos="0"/>
        </w:tabs>
        <w:autoSpaceDE w:val="0"/>
        <w:autoSpaceDN w:val="0"/>
        <w:adjustRightInd/>
        <w:spacing w:before="0" w:after="0" w:line="360" w:lineRule="auto"/>
        <w:ind w:left="1134" w:right="2" w:rightChars="1" w:firstLine="420"/>
        <w:textAlignment w:val="bottom"/>
        <w:rPr>
          <w:rFonts w:ascii="宋体" w:hAnsi="宋体" w:eastAsia="宋体"/>
          <w:kern w:val="2"/>
          <w:sz w:val="21"/>
          <w:szCs w:val="21"/>
          <w:highlight w:val="none"/>
        </w:rPr>
      </w:pPr>
    </w:p>
    <w:p w14:paraId="12CE9309">
      <w:pPr>
        <w:pStyle w:val="29"/>
        <w:snapToGrid w:val="0"/>
        <w:spacing w:line="360" w:lineRule="auto"/>
        <w:ind w:firstLine="480" w:firstLineChars="200"/>
        <w:jc w:val="left"/>
        <w:rPr>
          <w:rFonts w:hint="eastAsia" w:ascii="宋体" w:hAnsi="宋体" w:eastAsia="宋体"/>
          <w:color w:val="auto"/>
          <w:sz w:val="24"/>
          <w:szCs w:val="24"/>
          <w:highlight w:val="none"/>
          <w:lang w:val="en-US" w:eastAsia="zh-CN"/>
        </w:rPr>
      </w:pPr>
      <w:r>
        <w:rPr>
          <w:rFonts w:hint="eastAsia" w:hAnsi="宋体" w:eastAsia="宋体"/>
          <w:color w:val="auto"/>
          <w:sz w:val="24"/>
          <w:szCs w:val="24"/>
          <w:highlight w:val="none"/>
        </w:rPr>
        <w:t>本</w:t>
      </w:r>
      <w:r>
        <w:rPr>
          <w:rFonts w:hint="eastAsia" w:hAnsi="宋体" w:eastAsia="宋体"/>
          <w:color w:val="auto"/>
          <w:sz w:val="24"/>
          <w:szCs w:val="24"/>
          <w:highlight w:val="none"/>
          <w:lang w:val="en-US" w:eastAsia="zh-CN"/>
        </w:rPr>
        <w:t>联合体</w:t>
      </w:r>
      <w:bookmarkStart w:id="770" w:name="_GoBack"/>
      <w:bookmarkEnd w:id="770"/>
      <w:r>
        <w:rPr>
          <w:rFonts w:hint="eastAsia" w:hAnsi="宋体" w:eastAsia="宋体"/>
          <w:color w:val="auto"/>
          <w:sz w:val="24"/>
          <w:szCs w:val="24"/>
          <w:highlight w:val="none"/>
        </w:rPr>
        <w:t>授权书声明：</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w:t>
      </w:r>
      <w:r>
        <w:rPr>
          <w:rFonts w:hint="eastAsia" w:hAnsi="宋体" w:eastAsia="宋体"/>
          <w:color w:val="auto"/>
          <w:sz w:val="24"/>
          <w:szCs w:val="24"/>
          <w:highlight w:val="none"/>
          <w:lang w:val="en-US" w:eastAsia="zh-CN"/>
        </w:rPr>
        <w:t>联合体牵头人</w:t>
      </w:r>
      <w:r>
        <w:rPr>
          <w:rFonts w:hint="eastAsia" w:hAnsi="宋体" w:eastAsia="宋体"/>
          <w:color w:val="auto"/>
          <w:sz w:val="24"/>
          <w:szCs w:val="24"/>
          <w:highlight w:val="none"/>
        </w:rPr>
        <w:t>）</w:t>
      </w:r>
      <w:r>
        <w:rPr>
          <w:rFonts w:hint="eastAsia" w:hAnsi="宋体" w:eastAsia="宋体"/>
          <w:color w:val="auto"/>
          <w:sz w:val="24"/>
          <w:szCs w:val="24"/>
          <w:highlight w:val="none"/>
          <w:lang w:val="en-US" w:eastAsia="zh-CN"/>
        </w:rPr>
        <w:t>与</w:t>
      </w:r>
      <w:r>
        <w:rPr>
          <w:rFonts w:hint="eastAsia" w:hAnsi="宋体" w:eastAsia="宋体"/>
          <w:color w:val="auto"/>
          <w:sz w:val="24"/>
          <w:szCs w:val="24"/>
          <w:highlight w:val="none"/>
          <w:u w:val="single"/>
        </w:rPr>
        <w:t xml:space="preserve">           </w:t>
      </w:r>
      <w:r>
        <w:rPr>
          <w:rFonts w:hint="eastAsia" w:ascii="宋体" w:hAnsi="宋体" w:eastAsia="宋体"/>
          <w:color w:val="auto"/>
          <w:sz w:val="24"/>
          <w:szCs w:val="24"/>
          <w:highlight w:val="none"/>
          <w:lang w:val="en-US" w:eastAsia="zh-CN"/>
        </w:rPr>
        <w:t>（联合体成员名称）现共同授权委托</w:t>
      </w:r>
      <w:r>
        <w:rPr>
          <w:rFonts w:hint="eastAsia" w:hAnsi="宋体" w:eastAsia="宋体"/>
          <w:color w:val="auto"/>
          <w:sz w:val="24"/>
          <w:szCs w:val="24"/>
          <w:highlight w:val="none"/>
          <w:u w:val="single"/>
        </w:rPr>
        <w:t xml:space="preserve">           </w:t>
      </w:r>
      <w:r>
        <w:rPr>
          <w:rFonts w:hint="eastAsia" w:ascii="宋体" w:hAnsi="宋体" w:eastAsia="宋体"/>
          <w:color w:val="auto"/>
          <w:sz w:val="24"/>
          <w:szCs w:val="24"/>
          <w:highlight w:val="none"/>
          <w:lang w:val="en-US" w:eastAsia="zh-CN"/>
        </w:rPr>
        <w:t>（联合体牵头人授权代表姓名）为代表我们组成的磋商联合体参加本项目采购活动，全权代表本联合体处理磋商过程的一切事宜，包括但不限于：提交响应文件、参与磋商、签约等。本联合体授权代表在采购活动过程中所签署的一切文件和处理与之有关的一切事务，本联合体均予以认可并对此承担责任。联合体授权代表无转委托权。特此授权。</w:t>
      </w:r>
    </w:p>
    <w:p w14:paraId="012FB937">
      <w:pPr>
        <w:pStyle w:val="29"/>
        <w:snapToGrid w:val="0"/>
        <w:spacing w:line="360" w:lineRule="auto"/>
        <w:ind w:firstLine="480" w:firstLineChars="200"/>
        <w:jc w:val="left"/>
        <w:rPr>
          <w:rFonts w:hAnsi="宋体" w:eastAsia="宋体"/>
          <w:color w:val="auto"/>
          <w:sz w:val="24"/>
          <w:szCs w:val="24"/>
          <w:highlight w:val="none"/>
        </w:rPr>
      </w:pPr>
      <w:r>
        <w:rPr>
          <w:rFonts w:hint="eastAsia" w:hAnsi="宋体" w:eastAsia="宋体"/>
          <w:color w:val="auto"/>
          <w:sz w:val="24"/>
          <w:szCs w:val="24"/>
          <w:highlight w:val="none"/>
        </w:rPr>
        <w:t>本授权书自出具之日起生效。</w:t>
      </w:r>
    </w:p>
    <w:p w14:paraId="6AC38FF7">
      <w:pPr>
        <w:pStyle w:val="29"/>
        <w:snapToGrid w:val="0"/>
        <w:spacing w:line="360" w:lineRule="auto"/>
        <w:ind w:firstLine="480" w:firstLineChars="200"/>
        <w:jc w:val="left"/>
        <w:rPr>
          <w:rFonts w:hAnsi="宋体" w:eastAsia="宋体"/>
          <w:color w:val="auto"/>
          <w:sz w:val="24"/>
          <w:szCs w:val="24"/>
          <w:highlight w:val="none"/>
        </w:rPr>
      </w:pPr>
      <w:r>
        <w:rPr>
          <w:rFonts w:hint="eastAsia" w:ascii="宋体" w:hAnsi="宋体" w:eastAsia="宋体"/>
          <w:color w:val="auto"/>
          <w:sz w:val="24"/>
          <w:szCs w:val="24"/>
          <w:highlight w:val="none"/>
          <w:lang w:val="en-US" w:eastAsia="zh-CN"/>
        </w:rPr>
        <w:t>联合体</w:t>
      </w:r>
      <w:r>
        <w:rPr>
          <w:rFonts w:hint="eastAsia" w:hAnsi="宋体" w:eastAsia="宋体"/>
          <w:color w:val="auto"/>
          <w:sz w:val="24"/>
          <w:szCs w:val="24"/>
          <w:highlight w:val="none"/>
        </w:rPr>
        <w:t>授权代表身份证明扫描件：</w:t>
      </w:r>
    </w:p>
    <w:p w14:paraId="09432187">
      <w:pPr>
        <w:pStyle w:val="29"/>
        <w:snapToGrid w:val="0"/>
        <w:spacing w:line="360" w:lineRule="auto"/>
        <w:jc w:val="left"/>
        <w:rPr>
          <w:rFonts w:hAnsi="宋体" w:eastAsia="宋体"/>
          <w:color w:val="auto"/>
          <w:sz w:val="24"/>
          <w:szCs w:val="24"/>
          <w:highlight w:val="none"/>
        </w:rPr>
      </w:pPr>
    </w:p>
    <w:p w14:paraId="65141FD3">
      <w:pPr>
        <w:pStyle w:val="29"/>
        <w:snapToGrid w:val="0"/>
        <w:spacing w:line="360" w:lineRule="auto"/>
        <w:jc w:val="left"/>
        <w:rPr>
          <w:rFonts w:hAnsi="宋体" w:eastAsia="宋体"/>
          <w:color w:val="auto"/>
          <w:sz w:val="24"/>
          <w:szCs w:val="24"/>
          <w:highlight w:val="none"/>
        </w:rPr>
      </w:pPr>
    </w:p>
    <w:p w14:paraId="791616B1">
      <w:pPr>
        <w:pStyle w:val="29"/>
        <w:snapToGrid w:val="0"/>
        <w:spacing w:line="360" w:lineRule="auto"/>
        <w:jc w:val="left"/>
        <w:rPr>
          <w:rFonts w:hAnsi="宋体" w:eastAsia="宋体"/>
          <w:color w:val="auto"/>
          <w:sz w:val="24"/>
          <w:szCs w:val="24"/>
          <w:highlight w:val="none"/>
        </w:rPr>
      </w:pPr>
    </w:p>
    <w:p w14:paraId="7C4DBC84">
      <w:pPr>
        <w:pStyle w:val="29"/>
        <w:snapToGrid w:val="0"/>
        <w:spacing w:line="360" w:lineRule="auto"/>
        <w:jc w:val="left"/>
        <w:rPr>
          <w:rFonts w:hAnsi="宋体" w:eastAsia="宋体"/>
          <w:color w:val="auto"/>
          <w:sz w:val="24"/>
          <w:szCs w:val="24"/>
          <w:highlight w:val="none"/>
        </w:rPr>
      </w:pPr>
    </w:p>
    <w:p w14:paraId="66BEF4B0">
      <w:pPr>
        <w:pStyle w:val="29"/>
        <w:snapToGrid w:val="0"/>
        <w:spacing w:line="360" w:lineRule="auto"/>
        <w:jc w:val="left"/>
        <w:rPr>
          <w:rFonts w:hAnsi="宋体" w:eastAsia="宋体"/>
          <w:color w:val="auto"/>
          <w:sz w:val="24"/>
          <w:szCs w:val="24"/>
          <w:highlight w:val="none"/>
        </w:rPr>
      </w:pPr>
    </w:p>
    <w:p w14:paraId="7E5F62D1">
      <w:pPr>
        <w:pStyle w:val="29"/>
        <w:snapToGrid w:val="0"/>
        <w:spacing w:line="360" w:lineRule="auto"/>
        <w:ind w:firstLine="480" w:firstLineChars="200"/>
        <w:jc w:val="left"/>
        <w:rPr>
          <w:rFonts w:hAnsi="宋体" w:eastAsia="宋体"/>
          <w:color w:val="auto"/>
          <w:sz w:val="24"/>
          <w:szCs w:val="24"/>
          <w:highlight w:val="none"/>
        </w:rPr>
      </w:pPr>
    </w:p>
    <w:p w14:paraId="092199CD">
      <w:pPr>
        <w:pStyle w:val="29"/>
        <w:snapToGrid w:val="0"/>
        <w:spacing w:line="360" w:lineRule="auto"/>
        <w:ind w:firstLine="480" w:firstLineChars="200"/>
        <w:jc w:val="left"/>
        <w:rPr>
          <w:rFonts w:hAnsi="宋体" w:eastAsia="宋体"/>
          <w:color w:val="auto"/>
          <w:sz w:val="24"/>
          <w:szCs w:val="24"/>
          <w:highlight w:val="none"/>
          <w:u w:val="single"/>
        </w:rPr>
      </w:pPr>
      <w:r>
        <w:rPr>
          <w:rFonts w:hint="eastAsia" w:ascii="宋体" w:hAnsi="宋体" w:eastAsia="宋体"/>
          <w:color w:val="auto"/>
          <w:sz w:val="24"/>
          <w:szCs w:val="24"/>
          <w:highlight w:val="none"/>
          <w:lang w:val="en-US" w:eastAsia="zh-CN"/>
        </w:rPr>
        <w:t>联合体</w:t>
      </w:r>
      <w:r>
        <w:rPr>
          <w:rFonts w:hint="eastAsia" w:hAnsi="宋体" w:eastAsia="宋体"/>
          <w:color w:val="auto"/>
          <w:sz w:val="24"/>
          <w:szCs w:val="24"/>
          <w:highlight w:val="none"/>
        </w:rPr>
        <w:t>授权代表联系方式：</w:t>
      </w:r>
      <w:r>
        <w:rPr>
          <w:rFonts w:hint="eastAsia" w:hAnsi="宋体" w:eastAsia="宋体"/>
          <w:color w:val="auto"/>
          <w:sz w:val="24"/>
          <w:szCs w:val="24"/>
          <w:highlight w:val="none"/>
          <w:u w:val="single"/>
        </w:rPr>
        <w:t xml:space="preserve">          （请填写手机号码）</w:t>
      </w:r>
    </w:p>
    <w:p w14:paraId="524E80FC">
      <w:pPr>
        <w:pStyle w:val="29"/>
        <w:snapToGrid w:val="0"/>
        <w:spacing w:line="360" w:lineRule="auto"/>
        <w:ind w:firstLine="480" w:firstLineChars="200"/>
        <w:jc w:val="left"/>
        <w:rPr>
          <w:rFonts w:hAnsi="宋体" w:eastAsia="宋体"/>
          <w:color w:val="auto"/>
          <w:sz w:val="24"/>
          <w:szCs w:val="24"/>
          <w:highlight w:val="none"/>
        </w:rPr>
      </w:pPr>
    </w:p>
    <w:p w14:paraId="62BC5C2D">
      <w:pPr>
        <w:spacing w:line="360" w:lineRule="auto"/>
        <w:ind w:firstLine="360" w:firstLineChars="150"/>
        <w:rPr>
          <w:color w:val="auto"/>
          <w:sz w:val="24"/>
          <w:szCs w:val="24"/>
          <w:highlight w:val="none"/>
        </w:rPr>
      </w:pPr>
      <w:r>
        <w:rPr>
          <w:rFonts w:hint="eastAsia"/>
          <w:color w:val="auto"/>
          <w:sz w:val="24"/>
          <w:szCs w:val="24"/>
          <w:highlight w:val="none"/>
        </w:rPr>
        <w:t>特此声明。</w:t>
      </w:r>
    </w:p>
    <w:p w14:paraId="589735F5">
      <w:pPr>
        <w:spacing w:line="360" w:lineRule="auto"/>
        <w:rPr>
          <w:color w:val="auto"/>
          <w:sz w:val="24"/>
          <w:szCs w:val="24"/>
          <w:highlight w:val="none"/>
        </w:rPr>
      </w:pPr>
    </w:p>
    <w:p w14:paraId="7AC24597">
      <w:pPr>
        <w:spacing w:line="360" w:lineRule="auto"/>
        <w:jc w:val="center"/>
        <w:rPr>
          <w:bCs/>
          <w:color w:val="auto"/>
          <w:sz w:val="24"/>
          <w:szCs w:val="24"/>
          <w:highlight w:val="none"/>
        </w:rPr>
      </w:pPr>
      <w:r>
        <w:rPr>
          <w:rFonts w:hint="eastAsia"/>
          <w:bCs/>
          <w:color w:val="auto"/>
          <w:sz w:val="24"/>
          <w:szCs w:val="24"/>
          <w:highlight w:val="none"/>
          <w:lang w:val="en-US" w:eastAsia="zh-CN"/>
        </w:rPr>
        <w:t xml:space="preserve">                    </w:t>
      </w:r>
      <w:r>
        <w:rPr>
          <w:rFonts w:hint="eastAsia" w:hAnsi="宋体" w:eastAsia="宋体"/>
          <w:color w:val="auto"/>
          <w:sz w:val="24"/>
          <w:szCs w:val="24"/>
          <w:highlight w:val="none"/>
          <w:lang w:val="en-US" w:eastAsia="zh-CN"/>
        </w:rPr>
        <w:t>联合体牵头人</w:t>
      </w:r>
      <w:r>
        <w:rPr>
          <w:rFonts w:hint="eastAsia"/>
          <w:bCs/>
          <w:color w:val="auto"/>
          <w:sz w:val="24"/>
          <w:szCs w:val="24"/>
          <w:highlight w:val="none"/>
        </w:rPr>
        <w:t>电子签章：</w:t>
      </w:r>
      <w:r>
        <w:rPr>
          <w:rFonts w:hint="eastAsia"/>
          <w:bCs/>
          <w:color w:val="auto"/>
          <w:sz w:val="24"/>
          <w:szCs w:val="24"/>
          <w:highlight w:val="none"/>
          <w:u w:val="single"/>
        </w:rPr>
        <w:t xml:space="preserve">                    </w:t>
      </w:r>
    </w:p>
    <w:p w14:paraId="1D12BF37">
      <w:pPr>
        <w:spacing w:line="360" w:lineRule="auto"/>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日          期：</w:t>
      </w:r>
      <w:r>
        <w:rPr>
          <w:rFonts w:hint="eastAsia"/>
          <w:color w:val="auto"/>
          <w:sz w:val="24"/>
          <w:szCs w:val="24"/>
          <w:highlight w:val="none"/>
          <w:u w:val="single"/>
        </w:rPr>
        <w:t xml:space="preserve">                    </w:t>
      </w:r>
    </w:p>
    <w:p w14:paraId="0DFA4883">
      <w:pPr>
        <w:spacing w:line="360" w:lineRule="auto"/>
        <w:jc w:val="center"/>
        <w:rPr>
          <w:rFonts w:hint="eastAsia" w:hAnsi="宋体" w:eastAsia="宋体"/>
          <w:color w:val="auto"/>
          <w:sz w:val="24"/>
          <w:szCs w:val="24"/>
          <w:highlight w:val="none"/>
          <w:lang w:val="en-US" w:eastAsia="zh-CN"/>
        </w:rPr>
      </w:pPr>
    </w:p>
    <w:p w14:paraId="04DCF986">
      <w:pPr>
        <w:spacing w:line="360" w:lineRule="auto"/>
        <w:jc w:val="center"/>
        <w:rPr>
          <w:rFonts w:hint="eastAsia" w:hAnsi="宋体" w:eastAsia="宋体"/>
          <w:color w:val="auto"/>
          <w:sz w:val="24"/>
          <w:szCs w:val="24"/>
          <w:highlight w:val="none"/>
          <w:lang w:val="en-US" w:eastAsia="zh-CN"/>
        </w:rPr>
      </w:pPr>
    </w:p>
    <w:p w14:paraId="13F1F4B5">
      <w:pPr>
        <w:spacing w:line="360" w:lineRule="auto"/>
        <w:jc w:val="center"/>
        <w:rPr>
          <w:bCs/>
          <w:color w:val="auto"/>
          <w:sz w:val="24"/>
          <w:szCs w:val="24"/>
          <w:highlight w:val="none"/>
        </w:rPr>
      </w:pPr>
      <w:r>
        <w:rPr>
          <w:rFonts w:hint="eastAsia" w:hAnsi="宋体" w:eastAsia="宋体"/>
          <w:color w:val="auto"/>
          <w:sz w:val="24"/>
          <w:szCs w:val="24"/>
          <w:highlight w:val="none"/>
          <w:lang w:val="en-US" w:eastAsia="zh-CN"/>
        </w:rPr>
        <w:t xml:space="preserve">              联合体成员</w:t>
      </w:r>
      <w:r>
        <w:rPr>
          <w:rFonts w:hint="eastAsia"/>
          <w:bCs/>
          <w:color w:val="auto"/>
          <w:sz w:val="24"/>
          <w:szCs w:val="24"/>
          <w:highlight w:val="none"/>
        </w:rPr>
        <w:t>电子签章：</w:t>
      </w:r>
      <w:r>
        <w:rPr>
          <w:rFonts w:hint="eastAsia"/>
          <w:bCs/>
          <w:color w:val="auto"/>
          <w:sz w:val="24"/>
          <w:szCs w:val="24"/>
          <w:highlight w:val="none"/>
          <w:u w:val="single"/>
        </w:rPr>
        <w:t xml:space="preserve">                    </w:t>
      </w:r>
    </w:p>
    <w:p w14:paraId="4E75E931">
      <w:pPr>
        <w:spacing w:line="360" w:lineRule="auto"/>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日          期：</w:t>
      </w:r>
      <w:r>
        <w:rPr>
          <w:rFonts w:hint="eastAsia"/>
          <w:color w:val="auto"/>
          <w:sz w:val="24"/>
          <w:szCs w:val="24"/>
          <w:highlight w:val="none"/>
          <w:u w:val="single"/>
        </w:rPr>
        <w:t xml:space="preserve">                </w:t>
      </w:r>
    </w:p>
    <w:p w14:paraId="4170691B">
      <w:pPr>
        <w:pStyle w:val="2"/>
        <w:rPr>
          <w:color w:val="auto"/>
          <w:sz w:val="24"/>
          <w:szCs w:val="24"/>
          <w:highlight w:val="none"/>
        </w:rPr>
      </w:pPr>
    </w:p>
    <w:p w14:paraId="4F5A9884">
      <w:pPr>
        <w:pStyle w:val="3"/>
        <w:rPr>
          <w:color w:val="auto"/>
          <w:sz w:val="24"/>
          <w:szCs w:val="24"/>
          <w:highlight w:val="none"/>
        </w:rPr>
      </w:pPr>
    </w:p>
    <w:p w14:paraId="1AC36311">
      <w:pPr>
        <w:pStyle w:val="3"/>
        <w:rPr>
          <w:color w:val="auto"/>
          <w:sz w:val="24"/>
          <w:szCs w:val="24"/>
          <w:highlight w:val="none"/>
        </w:rPr>
      </w:pPr>
    </w:p>
    <w:p w14:paraId="0E521C78">
      <w:pPr>
        <w:pStyle w:val="29"/>
        <w:snapToGrid w:val="0"/>
        <w:spacing w:line="360" w:lineRule="auto"/>
        <w:jc w:val="left"/>
        <w:rPr>
          <w:rFonts w:hAnsi="宋体" w:eastAsia="宋体"/>
          <w:color w:val="auto"/>
          <w:sz w:val="24"/>
          <w:szCs w:val="24"/>
          <w:highlight w:val="none"/>
        </w:rPr>
      </w:pPr>
      <w:r>
        <w:rPr>
          <w:rFonts w:hint="eastAsia" w:hAnsi="宋体" w:eastAsia="宋体"/>
          <w:color w:val="auto"/>
          <w:sz w:val="24"/>
          <w:szCs w:val="24"/>
          <w:highlight w:val="none"/>
        </w:rPr>
        <w:t>注：</w:t>
      </w:r>
    </w:p>
    <w:p w14:paraId="22455E84">
      <w:pPr>
        <w:pStyle w:val="29"/>
        <w:snapToGrid w:val="0"/>
        <w:spacing w:line="360" w:lineRule="auto"/>
        <w:jc w:val="left"/>
        <w:rPr>
          <w:rFonts w:hAnsi="宋体" w:eastAsia="宋体"/>
          <w:color w:val="auto"/>
          <w:sz w:val="24"/>
          <w:szCs w:val="24"/>
          <w:highlight w:val="none"/>
        </w:rPr>
      </w:pPr>
      <w:r>
        <w:rPr>
          <w:rFonts w:hint="eastAsia" w:hAnsi="宋体" w:eastAsia="宋体"/>
          <w:color w:val="auto"/>
          <w:sz w:val="24"/>
          <w:szCs w:val="24"/>
          <w:highlight w:val="none"/>
        </w:rPr>
        <w:t>1.本项目只允许有唯一的</w:t>
      </w:r>
      <w:r>
        <w:rPr>
          <w:rFonts w:hint="eastAsia" w:hAnsi="宋体" w:eastAsia="宋体"/>
          <w:color w:val="auto"/>
          <w:sz w:val="24"/>
          <w:szCs w:val="24"/>
          <w:highlight w:val="none"/>
          <w:lang w:val="en-US" w:eastAsia="zh-CN"/>
        </w:rPr>
        <w:t>联合体</w:t>
      </w:r>
      <w:r>
        <w:rPr>
          <w:rFonts w:hint="eastAsia" w:hAnsi="宋体" w:eastAsia="宋体"/>
          <w:color w:val="auto"/>
          <w:sz w:val="24"/>
          <w:szCs w:val="24"/>
          <w:highlight w:val="none"/>
        </w:rPr>
        <w:t>授权代表，提供身份证明扫描件；</w:t>
      </w:r>
    </w:p>
    <w:p w14:paraId="0091E6D3">
      <w:pPr>
        <w:spacing w:line="360" w:lineRule="auto"/>
        <w:jc w:val="left"/>
        <w:rPr>
          <w:color w:val="auto"/>
          <w:sz w:val="24"/>
          <w:szCs w:val="24"/>
          <w:highlight w:val="none"/>
        </w:rPr>
      </w:pPr>
      <w:r>
        <w:rPr>
          <w:rFonts w:hint="eastAsia"/>
          <w:color w:val="auto"/>
          <w:sz w:val="24"/>
          <w:szCs w:val="24"/>
          <w:highlight w:val="none"/>
        </w:rPr>
        <w:t>2.法定代表人参加磋商的无需提供授权书，仅提供身份证明扫描件。</w:t>
      </w:r>
    </w:p>
    <w:p w14:paraId="5A1DB559">
      <w:pPr>
        <w:widowControl/>
        <w:jc w:val="left"/>
        <w:rPr>
          <w:color w:val="auto"/>
          <w:sz w:val="24"/>
          <w:szCs w:val="24"/>
          <w:highlight w:val="none"/>
        </w:rPr>
      </w:pPr>
      <w:r>
        <w:rPr>
          <w:color w:val="auto"/>
          <w:sz w:val="24"/>
          <w:szCs w:val="24"/>
          <w:highlight w:val="none"/>
        </w:rPr>
        <w:br w:type="page"/>
      </w:r>
    </w:p>
    <w:p w14:paraId="010B4B43">
      <w:pPr>
        <w:keepNext/>
        <w:keepLines/>
        <w:spacing w:before="260" w:after="260" w:line="416" w:lineRule="auto"/>
        <w:jc w:val="center"/>
        <w:outlineLvl w:val="9"/>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法定代表人身份证明书</w:t>
      </w:r>
      <w:r>
        <w:rPr>
          <w:rFonts w:hint="eastAsia" w:ascii="宋体" w:hAnsi="宋体" w:eastAsia="宋体"/>
          <w:b/>
          <w:color w:val="auto"/>
          <w:sz w:val="24"/>
          <w:szCs w:val="24"/>
          <w:highlight w:val="none"/>
          <w:u w:val="none"/>
        </w:rPr>
        <w:t>（联合体</w:t>
      </w:r>
      <w:r>
        <w:rPr>
          <w:rFonts w:hint="eastAsia" w:ascii="宋体" w:hAnsi="宋体" w:eastAsia="宋体"/>
          <w:b/>
          <w:color w:val="auto"/>
          <w:sz w:val="24"/>
          <w:szCs w:val="24"/>
          <w:highlight w:val="none"/>
          <w:u w:val="none"/>
          <w:lang w:val="en-US" w:eastAsia="zh-CN"/>
        </w:rPr>
        <w:t>牵头人</w:t>
      </w:r>
      <w:r>
        <w:rPr>
          <w:rFonts w:hint="eastAsia" w:ascii="宋体" w:hAnsi="宋体" w:eastAsia="宋体"/>
          <w:b/>
          <w:color w:val="auto"/>
          <w:sz w:val="24"/>
          <w:szCs w:val="24"/>
          <w:highlight w:val="none"/>
          <w:u w:val="none"/>
        </w:rPr>
        <w:t>）</w:t>
      </w:r>
    </w:p>
    <w:p w14:paraId="10B21388">
      <w:pPr>
        <w:autoSpaceDE w:val="0"/>
        <w:autoSpaceDN w:val="0"/>
        <w:adjustRightInd w:val="0"/>
        <w:spacing w:line="360" w:lineRule="auto"/>
        <w:jc w:val="center"/>
        <w:rPr>
          <w:rFonts w:ascii="@仿宋_GB2312" w:eastAsia="@仿宋_GB2312" w:cs="宋体"/>
          <w:b/>
          <w:color w:val="auto"/>
          <w:kern w:val="2"/>
          <w:sz w:val="24"/>
          <w:szCs w:val="24"/>
          <w:highlight w:val="none"/>
          <w:lang w:val="zh-CN"/>
        </w:rPr>
      </w:pPr>
    </w:p>
    <w:p w14:paraId="1B6140DD">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单位名称：</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32674F80">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单位性质：</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151687CF">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地    址：</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693B4173">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成立时间：</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年</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月</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日</w:t>
      </w:r>
    </w:p>
    <w:p w14:paraId="06A1A58A">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经营期限：</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670F2993">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姓    名：</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性 </w:t>
      </w:r>
      <w:r>
        <w:rPr>
          <w:rFonts w:ascii="Calibri" w:hAnsi="Calibri" w:cs="Times New Roman"/>
          <w:color w:val="auto"/>
          <w:kern w:val="2"/>
          <w:sz w:val="24"/>
          <w:szCs w:val="24"/>
          <w:highlight w:val="none"/>
        </w:rPr>
        <w:t xml:space="preserve">  </w:t>
      </w:r>
      <w:r>
        <w:rPr>
          <w:rFonts w:hint="eastAsia" w:ascii="Calibri" w:hAnsi="Calibri" w:cs="Times New Roman"/>
          <w:color w:val="auto"/>
          <w:kern w:val="2"/>
          <w:sz w:val="24"/>
          <w:szCs w:val="24"/>
          <w:highlight w:val="none"/>
        </w:rPr>
        <w:t xml:space="preserve"> 别：</w:t>
      </w:r>
      <w:r>
        <w:rPr>
          <w:rFonts w:hint="eastAsia" w:ascii="Calibri" w:hAnsi="Calibri" w:cs="Times New Roman"/>
          <w:color w:val="auto"/>
          <w:kern w:val="2"/>
          <w:sz w:val="24"/>
          <w:szCs w:val="24"/>
          <w:highlight w:val="none"/>
          <w:u w:val="single"/>
        </w:rPr>
        <w:t xml:space="preserve">             </w:t>
      </w:r>
    </w:p>
    <w:p w14:paraId="45918EE1">
      <w:pPr>
        <w:snapToGrid w:val="0"/>
        <w:spacing w:line="360" w:lineRule="auto"/>
        <w:ind w:firstLine="480" w:firstLineChars="200"/>
        <w:jc w:val="left"/>
        <w:rPr>
          <w:rFonts w:ascii="Calibri" w:hAnsi="Calibri" w:cs="Times New Roman"/>
          <w:color w:val="auto"/>
          <w:kern w:val="2"/>
          <w:sz w:val="24"/>
          <w:szCs w:val="24"/>
          <w:highlight w:val="none"/>
          <w:u w:val="single"/>
        </w:rPr>
      </w:pPr>
      <w:r>
        <w:rPr>
          <w:rFonts w:hint="eastAsia" w:ascii="Calibri" w:hAnsi="Calibri" w:cs="Times New Roman"/>
          <w:color w:val="auto"/>
          <w:kern w:val="2"/>
          <w:sz w:val="24"/>
          <w:szCs w:val="24"/>
          <w:highlight w:val="none"/>
        </w:rPr>
        <w:t>年    龄：</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职    务：</w:t>
      </w:r>
      <w:r>
        <w:rPr>
          <w:rFonts w:hint="eastAsia" w:ascii="Calibri" w:hAnsi="Calibri" w:cs="Times New Roman"/>
          <w:color w:val="auto"/>
          <w:kern w:val="2"/>
          <w:sz w:val="24"/>
          <w:szCs w:val="24"/>
          <w:highlight w:val="none"/>
          <w:u w:val="single"/>
        </w:rPr>
        <w:t xml:space="preserve">             </w:t>
      </w:r>
    </w:p>
    <w:p w14:paraId="0B4DF732">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联系</w:t>
      </w:r>
      <w:r>
        <w:rPr>
          <w:rFonts w:ascii="Calibri" w:hAnsi="Calibri" w:cs="Times New Roman"/>
          <w:color w:val="auto"/>
          <w:kern w:val="2"/>
          <w:sz w:val="24"/>
          <w:szCs w:val="24"/>
          <w:highlight w:val="none"/>
        </w:rPr>
        <w:t>电话</w:t>
      </w:r>
      <w:r>
        <w:rPr>
          <w:rFonts w:hint="eastAsia" w:ascii="Calibri" w:hAnsi="Calibri" w:cs="Times New Roman"/>
          <w:color w:val="auto"/>
          <w:kern w:val="2"/>
          <w:sz w:val="24"/>
          <w:szCs w:val="24"/>
          <w:highlight w:val="none"/>
        </w:rPr>
        <w:t>：</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手机号码：</w:t>
      </w:r>
      <w:r>
        <w:rPr>
          <w:rFonts w:hint="eastAsia" w:ascii="Calibri" w:hAnsi="Calibri" w:cs="Times New Roman"/>
          <w:color w:val="auto"/>
          <w:kern w:val="2"/>
          <w:sz w:val="24"/>
          <w:szCs w:val="24"/>
          <w:highlight w:val="none"/>
          <w:u w:val="single"/>
        </w:rPr>
        <w:t xml:space="preserve">             </w:t>
      </w:r>
    </w:p>
    <w:p w14:paraId="046BA2F7">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系  </w:t>
      </w:r>
      <w:r>
        <w:rPr>
          <w:rFonts w:hint="eastAsia" w:ascii="Calibri" w:hAnsi="Calibri" w:cs="Times New Roman"/>
          <w:color w:val="auto"/>
          <w:kern w:val="2"/>
          <w:sz w:val="24"/>
          <w:szCs w:val="24"/>
          <w:highlight w:val="none"/>
          <w:u w:val="single"/>
        </w:rPr>
        <w:t xml:space="preserve">   （联合体牵头人）       </w:t>
      </w:r>
      <w:r>
        <w:rPr>
          <w:rFonts w:hint="eastAsia" w:ascii="Calibri" w:hAnsi="Calibri" w:cs="Times New Roman"/>
          <w:color w:val="auto"/>
          <w:kern w:val="2"/>
          <w:sz w:val="24"/>
          <w:szCs w:val="24"/>
          <w:highlight w:val="none"/>
        </w:rPr>
        <w:t>的法定代表人。</w:t>
      </w:r>
    </w:p>
    <w:p w14:paraId="5BEB27B4">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78827D51">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211F06F7">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3CD15669">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AAD85BE">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58FE4B47">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联合体牵头人电子签章：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4DEC5EF4">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4337129">
      <w:pPr>
        <w:keepNext/>
        <w:keepLines/>
        <w:spacing w:before="260" w:after="260" w:line="416" w:lineRule="auto"/>
        <w:jc w:val="center"/>
        <w:outlineLvl w:val="9"/>
        <w:rPr>
          <w:rFonts w:ascii="宋体" w:hAnsi="宋体" w:eastAsia="宋体" w:cs="@仿宋_GB2312"/>
          <w:b/>
          <w:bCs/>
          <w:color w:val="auto"/>
          <w:kern w:val="2"/>
          <w:sz w:val="24"/>
          <w:szCs w:val="24"/>
          <w:highlight w:val="none"/>
        </w:rPr>
      </w:pPr>
      <w:r>
        <w:rPr>
          <w:rFonts w:ascii="宋体" w:hAnsi="宋体" w:eastAsia="宋体" w:cs="@仿宋_GB2312"/>
          <w:color w:val="auto"/>
          <w:kern w:val="2"/>
          <w:sz w:val="24"/>
          <w:szCs w:val="24"/>
          <w:highlight w:val="none"/>
        </w:rPr>
        <w:br w:type="page"/>
      </w:r>
      <w:r>
        <w:rPr>
          <w:rFonts w:hint="eastAsia" w:ascii="宋体" w:hAnsi="宋体" w:eastAsia="宋体" w:cs="@仿宋_GB2312"/>
          <w:b/>
          <w:bCs/>
          <w:color w:val="auto"/>
          <w:kern w:val="2"/>
          <w:sz w:val="24"/>
          <w:szCs w:val="24"/>
          <w:highlight w:val="none"/>
        </w:rPr>
        <w:t>法定代表人身份证明书</w:t>
      </w:r>
      <w:r>
        <w:rPr>
          <w:rFonts w:hint="eastAsia" w:ascii="宋体" w:hAnsi="宋体" w:eastAsia="宋体"/>
          <w:b/>
          <w:color w:val="auto"/>
          <w:sz w:val="24"/>
          <w:szCs w:val="24"/>
          <w:highlight w:val="none"/>
          <w:u w:val="none"/>
        </w:rPr>
        <w:t>（联合体</w:t>
      </w:r>
      <w:r>
        <w:rPr>
          <w:rFonts w:hint="eastAsia" w:ascii="宋体" w:hAnsi="宋体" w:eastAsia="宋体"/>
          <w:b/>
          <w:color w:val="auto"/>
          <w:sz w:val="24"/>
          <w:szCs w:val="24"/>
          <w:highlight w:val="none"/>
          <w:u w:val="none"/>
          <w:lang w:val="en-US" w:eastAsia="zh-CN"/>
        </w:rPr>
        <w:t>成员</w:t>
      </w:r>
      <w:r>
        <w:rPr>
          <w:rFonts w:hint="eastAsia" w:ascii="宋体" w:hAnsi="宋体" w:eastAsia="宋体"/>
          <w:b/>
          <w:color w:val="auto"/>
          <w:sz w:val="24"/>
          <w:szCs w:val="24"/>
          <w:highlight w:val="none"/>
          <w:u w:val="none"/>
        </w:rPr>
        <w:t>）</w:t>
      </w:r>
    </w:p>
    <w:p w14:paraId="175688FD">
      <w:pPr>
        <w:autoSpaceDE w:val="0"/>
        <w:autoSpaceDN w:val="0"/>
        <w:adjustRightInd w:val="0"/>
        <w:spacing w:line="360" w:lineRule="auto"/>
        <w:jc w:val="center"/>
        <w:rPr>
          <w:rFonts w:ascii="@仿宋_GB2312" w:eastAsia="@仿宋_GB2312" w:cs="宋体"/>
          <w:b/>
          <w:color w:val="auto"/>
          <w:kern w:val="2"/>
          <w:sz w:val="24"/>
          <w:szCs w:val="24"/>
          <w:highlight w:val="none"/>
          <w:lang w:val="zh-CN"/>
        </w:rPr>
      </w:pPr>
    </w:p>
    <w:p w14:paraId="106C055B">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单位名称：</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72478811">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单位性质：</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5355433E">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地    址：</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05E779B4">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成立时间：</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年</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月</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日</w:t>
      </w:r>
    </w:p>
    <w:p w14:paraId="596DB3AF">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经营期限：</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r>
        <w:rPr>
          <w:rFonts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u w:val="single"/>
        </w:rPr>
        <w:t xml:space="preserve">     </w:t>
      </w:r>
    </w:p>
    <w:p w14:paraId="6399D12F">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姓    名：</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性 </w:t>
      </w:r>
      <w:r>
        <w:rPr>
          <w:rFonts w:ascii="Calibri" w:hAnsi="Calibri" w:cs="Times New Roman"/>
          <w:color w:val="auto"/>
          <w:kern w:val="2"/>
          <w:sz w:val="24"/>
          <w:szCs w:val="24"/>
          <w:highlight w:val="none"/>
        </w:rPr>
        <w:t xml:space="preserve">  </w:t>
      </w:r>
      <w:r>
        <w:rPr>
          <w:rFonts w:hint="eastAsia" w:ascii="Calibri" w:hAnsi="Calibri" w:cs="Times New Roman"/>
          <w:color w:val="auto"/>
          <w:kern w:val="2"/>
          <w:sz w:val="24"/>
          <w:szCs w:val="24"/>
          <w:highlight w:val="none"/>
        </w:rPr>
        <w:t xml:space="preserve"> 别：</w:t>
      </w:r>
      <w:r>
        <w:rPr>
          <w:rFonts w:hint="eastAsia" w:ascii="Calibri" w:hAnsi="Calibri" w:cs="Times New Roman"/>
          <w:color w:val="auto"/>
          <w:kern w:val="2"/>
          <w:sz w:val="24"/>
          <w:szCs w:val="24"/>
          <w:highlight w:val="none"/>
          <w:u w:val="single"/>
        </w:rPr>
        <w:t xml:space="preserve">             </w:t>
      </w:r>
    </w:p>
    <w:p w14:paraId="484978DD">
      <w:pPr>
        <w:snapToGrid w:val="0"/>
        <w:spacing w:line="360" w:lineRule="auto"/>
        <w:ind w:firstLine="480" w:firstLineChars="200"/>
        <w:jc w:val="left"/>
        <w:rPr>
          <w:rFonts w:ascii="Calibri" w:hAnsi="Calibri" w:cs="Times New Roman"/>
          <w:color w:val="auto"/>
          <w:kern w:val="2"/>
          <w:sz w:val="24"/>
          <w:szCs w:val="24"/>
          <w:highlight w:val="none"/>
          <w:u w:val="single"/>
        </w:rPr>
      </w:pPr>
      <w:r>
        <w:rPr>
          <w:rFonts w:hint="eastAsia" w:ascii="Calibri" w:hAnsi="Calibri" w:cs="Times New Roman"/>
          <w:color w:val="auto"/>
          <w:kern w:val="2"/>
          <w:sz w:val="24"/>
          <w:szCs w:val="24"/>
          <w:highlight w:val="none"/>
        </w:rPr>
        <w:t>年    龄：</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职    务：</w:t>
      </w:r>
      <w:r>
        <w:rPr>
          <w:rFonts w:hint="eastAsia" w:ascii="Calibri" w:hAnsi="Calibri" w:cs="Times New Roman"/>
          <w:color w:val="auto"/>
          <w:kern w:val="2"/>
          <w:sz w:val="24"/>
          <w:szCs w:val="24"/>
          <w:highlight w:val="none"/>
          <w:u w:val="single"/>
        </w:rPr>
        <w:t xml:space="preserve">             </w:t>
      </w:r>
    </w:p>
    <w:p w14:paraId="783391F0">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联系</w:t>
      </w:r>
      <w:r>
        <w:rPr>
          <w:rFonts w:ascii="Calibri" w:hAnsi="Calibri" w:cs="Times New Roman"/>
          <w:color w:val="auto"/>
          <w:kern w:val="2"/>
          <w:sz w:val="24"/>
          <w:szCs w:val="24"/>
          <w:highlight w:val="none"/>
        </w:rPr>
        <w:t>电话</w:t>
      </w:r>
      <w:r>
        <w:rPr>
          <w:rFonts w:hint="eastAsia" w:ascii="Calibri" w:hAnsi="Calibri" w:cs="Times New Roman"/>
          <w:color w:val="auto"/>
          <w:kern w:val="2"/>
          <w:sz w:val="24"/>
          <w:szCs w:val="24"/>
          <w:highlight w:val="none"/>
        </w:rPr>
        <w:t>：</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 手机号码：</w:t>
      </w:r>
      <w:r>
        <w:rPr>
          <w:rFonts w:hint="eastAsia" w:ascii="Calibri" w:hAnsi="Calibri" w:cs="Times New Roman"/>
          <w:color w:val="auto"/>
          <w:kern w:val="2"/>
          <w:sz w:val="24"/>
          <w:szCs w:val="24"/>
          <w:highlight w:val="none"/>
          <w:u w:val="single"/>
        </w:rPr>
        <w:t xml:space="preserve">             </w:t>
      </w:r>
    </w:p>
    <w:p w14:paraId="3C0D1C12">
      <w:pPr>
        <w:snapToGrid w:val="0"/>
        <w:spacing w:line="360" w:lineRule="auto"/>
        <w:ind w:firstLine="480" w:firstLineChars="200"/>
        <w:jc w:val="left"/>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 xml:space="preserve">系  </w:t>
      </w:r>
      <w:r>
        <w:rPr>
          <w:rFonts w:hint="eastAsia" w:ascii="Calibri" w:hAnsi="Calibri" w:cs="Times New Roman"/>
          <w:color w:val="auto"/>
          <w:kern w:val="2"/>
          <w:sz w:val="24"/>
          <w:szCs w:val="24"/>
          <w:highlight w:val="none"/>
          <w:u w:val="single"/>
        </w:rPr>
        <w:t xml:space="preserve">   （联合体</w:t>
      </w:r>
      <w:r>
        <w:rPr>
          <w:rFonts w:hint="eastAsia" w:ascii="Calibri" w:hAnsi="Calibri" w:cs="Times New Roman"/>
          <w:color w:val="auto"/>
          <w:kern w:val="2"/>
          <w:sz w:val="24"/>
          <w:szCs w:val="24"/>
          <w:highlight w:val="none"/>
          <w:u w:val="single"/>
          <w:lang w:val="en-US" w:eastAsia="zh-CN"/>
        </w:rPr>
        <w:t>成员</w:t>
      </w:r>
      <w:r>
        <w:rPr>
          <w:rFonts w:hint="eastAsia" w:ascii="Calibri" w:hAnsi="Calibri" w:cs="Times New Roman"/>
          <w:color w:val="auto"/>
          <w:kern w:val="2"/>
          <w:sz w:val="24"/>
          <w:szCs w:val="24"/>
          <w:highlight w:val="none"/>
          <w:u w:val="single"/>
        </w:rPr>
        <w:t xml:space="preserve">）       </w:t>
      </w:r>
      <w:r>
        <w:rPr>
          <w:rFonts w:hint="eastAsia" w:ascii="Calibri" w:hAnsi="Calibri" w:cs="Times New Roman"/>
          <w:color w:val="auto"/>
          <w:kern w:val="2"/>
          <w:sz w:val="24"/>
          <w:szCs w:val="24"/>
          <w:highlight w:val="none"/>
        </w:rPr>
        <w:t>的法定代表人。</w:t>
      </w:r>
    </w:p>
    <w:p w14:paraId="5C56879B">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1399C9B2">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0408251E">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3F0B121A">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06C6680B">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764B8F8">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联合体成员电子签章：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3001036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C8656C1">
      <w:pPr>
        <w:widowControl/>
        <w:jc w:val="left"/>
        <w:rPr>
          <w:rFonts w:ascii="宋体" w:hAnsi="宋体" w:eastAsia="宋体" w:cs="@仿宋_GB2312"/>
          <w:b/>
          <w:bCs/>
          <w:color w:val="auto"/>
          <w:kern w:val="2"/>
          <w:sz w:val="24"/>
          <w:szCs w:val="24"/>
          <w:highlight w:val="none"/>
        </w:rPr>
      </w:pPr>
      <w:r>
        <w:rPr>
          <w:rFonts w:ascii="宋体" w:hAnsi="宋体" w:eastAsia="宋体" w:cs="@仿宋_GB2312"/>
          <w:color w:val="auto"/>
          <w:kern w:val="2"/>
          <w:sz w:val="24"/>
          <w:szCs w:val="24"/>
          <w:highlight w:val="none"/>
        </w:rPr>
        <w:br w:type="page"/>
      </w:r>
    </w:p>
    <w:p w14:paraId="123F18A4">
      <w:pPr>
        <w:widowControl/>
        <w:jc w:val="left"/>
        <w:rPr>
          <w:rFonts w:ascii="宋体" w:hAnsi="宋体" w:eastAsia="宋体" w:cs="@仿宋_GB2312"/>
          <w:b/>
          <w:bCs/>
          <w:color w:val="auto"/>
          <w:kern w:val="2"/>
          <w:sz w:val="24"/>
          <w:szCs w:val="24"/>
          <w:highlight w:val="none"/>
        </w:rPr>
      </w:pPr>
    </w:p>
    <w:p w14:paraId="0A6409DF">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rPr>
      </w:pPr>
      <w:bookmarkStart w:id="736" w:name="_Toc4373"/>
      <w:bookmarkStart w:id="737" w:name="_Toc20099"/>
      <w:r>
        <w:rPr>
          <w:rFonts w:hint="eastAsia" w:ascii="宋体" w:hAnsi="宋体" w:eastAsia="宋体" w:cs="@仿宋_GB2312"/>
          <w:b/>
          <w:bCs/>
          <w:color w:val="auto"/>
          <w:kern w:val="2"/>
          <w:sz w:val="24"/>
          <w:szCs w:val="24"/>
          <w:highlight w:val="none"/>
          <w:lang w:val="en-US" w:eastAsia="zh-CN"/>
        </w:rPr>
        <w:t>六</w:t>
      </w:r>
      <w:r>
        <w:rPr>
          <w:rFonts w:hint="eastAsia" w:ascii="宋体" w:hAnsi="宋体" w:eastAsia="宋体" w:cs="@仿宋_GB2312"/>
          <w:b/>
          <w:bCs/>
          <w:color w:val="auto"/>
          <w:kern w:val="2"/>
          <w:sz w:val="24"/>
          <w:szCs w:val="24"/>
          <w:highlight w:val="none"/>
        </w:rPr>
        <w:t>、项目经理承诺书</w:t>
      </w:r>
      <w:bookmarkEnd w:id="736"/>
      <w:bookmarkEnd w:id="737"/>
    </w:p>
    <w:p w14:paraId="59D40B47">
      <w:p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none"/>
          <w:lang w:eastAsia="zh-CN"/>
        </w:rPr>
        <w:t>采购人</w:t>
      </w:r>
    </w:p>
    <w:p w14:paraId="32154E6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64ABC0D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w:t>
      </w:r>
      <w:r>
        <w:rPr>
          <w:rFonts w:hint="eastAsia" w:cs="宋体"/>
          <w:color w:val="auto"/>
          <w:kern w:val="2"/>
          <w:sz w:val="24"/>
          <w:szCs w:val="24"/>
          <w:highlight w:val="none"/>
          <w:lang w:eastAsia="zh-CN"/>
        </w:rPr>
        <w:t>完工</w:t>
      </w:r>
      <w:r>
        <w:rPr>
          <w:rFonts w:hint="eastAsia" w:cs="宋体"/>
          <w:color w:val="auto"/>
          <w:kern w:val="2"/>
          <w:sz w:val="24"/>
          <w:szCs w:val="24"/>
          <w:highlight w:val="none"/>
        </w:rPr>
        <w:t>相关资料证明）的本人签字均为该工程实施时段所签，真实无误，不存在虚假和挂靠现象，也不存在为磋商而造假的行为。</w:t>
      </w:r>
    </w:p>
    <w:p w14:paraId="176E99F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601B6B4E">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285E9D71">
      <w:pPr>
        <w:spacing w:line="360" w:lineRule="auto"/>
        <w:ind w:firstLine="482" w:firstLineChars="200"/>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四、</w:t>
      </w:r>
      <w:r>
        <w:rPr>
          <w:rFonts w:hint="eastAsia" w:cs="宋体"/>
          <w:b/>
          <w:bCs/>
          <w:color w:val="auto"/>
          <w:kern w:val="2"/>
          <w:sz w:val="24"/>
          <w:szCs w:val="24"/>
          <w:highlight w:val="none"/>
        </w:rPr>
        <w:t>本人声明</w:t>
      </w:r>
      <w:r>
        <w:rPr>
          <w:rFonts w:hint="eastAsia" w:cs="宋体"/>
          <w:b/>
          <w:bCs/>
          <w:color w:val="auto"/>
          <w:kern w:val="2"/>
          <w:sz w:val="24"/>
          <w:szCs w:val="24"/>
          <w:highlight w:val="none"/>
          <w:lang w:val="en-US" w:eastAsia="zh-CN"/>
        </w:rPr>
        <w:t>与我单位具有劳动合同关系、且已依法缴纳社会保险。</w:t>
      </w:r>
    </w:p>
    <w:p w14:paraId="4FFC7504">
      <w:pPr>
        <w:spacing w:line="360" w:lineRule="auto"/>
        <w:ind w:firstLine="480" w:firstLineChars="200"/>
        <w:rPr>
          <w:rFonts w:cs="宋体"/>
          <w:color w:val="auto"/>
          <w:kern w:val="2"/>
          <w:sz w:val="24"/>
          <w:szCs w:val="24"/>
          <w:highlight w:val="none"/>
        </w:rPr>
      </w:pPr>
    </w:p>
    <w:p w14:paraId="3BFCABF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28685EC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7E7FFAE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48BC3983">
      <w:pPr>
        <w:spacing w:line="360" w:lineRule="auto"/>
        <w:ind w:firstLine="480" w:firstLineChars="200"/>
        <w:rPr>
          <w:rFonts w:cs="宋体"/>
          <w:color w:val="auto"/>
          <w:kern w:val="2"/>
          <w:sz w:val="24"/>
          <w:szCs w:val="24"/>
          <w:highlight w:val="none"/>
        </w:rPr>
      </w:pPr>
    </w:p>
    <w:p w14:paraId="00A6A462">
      <w:pPr>
        <w:spacing w:line="360" w:lineRule="auto"/>
        <w:ind w:firstLine="480" w:firstLineChars="200"/>
        <w:rPr>
          <w:rFonts w:ascii="宋体" w:hAnsi="宋体" w:eastAsia="宋体" w:cs="宋体"/>
          <w:color w:val="auto"/>
          <w:kern w:val="2"/>
          <w:sz w:val="24"/>
          <w:szCs w:val="24"/>
          <w:highlight w:val="none"/>
        </w:rPr>
      </w:pPr>
      <w:r>
        <w:rPr>
          <w:rFonts w:hint="eastAsia" w:cs="宋体"/>
          <w:color w:val="auto"/>
          <w:kern w:val="2"/>
          <w:sz w:val="24"/>
          <w:szCs w:val="24"/>
          <w:highlight w:val="none"/>
        </w:rPr>
        <w:t>注：本页后附项目经理身份证明扫描件。</w:t>
      </w:r>
    </w:p>
    <w:p w14:paraId="728504AD">
      <w:pPr>
        <w:rPr>
          <w:rFonts w:hint="eastAsia" w:asciiTheme="minorEastAsia" w:hAnsiTheme="minorEastAsia" w:eastAsiaTheme="minorEastAsia"/>
          <w:b/>
          <w:color w:val="auto"/>
          <w:sz w:val="24"/>
          <w:highlight w:val="none"/>
          <w:lang w:val="en-US" w:eastAsia="zh-CN"/>
        </w:rPr>
      </w:pPr>
      <w:bookmarkStart w:id="738" w:name="_Toc3604"/>
      <w:bookmarkStart w:id="739" w:name="_Toc31386"/>
      <w:bookmarkStart w:id="740" w:name="_Toc438648628"/>
      <w:r>
        <w:rPr>
          <w:rFonts w:hint="eastAsia" w:asciiTheme="minorEastAsia" w:hAnsiTheme="minorEastAsia" w:eastAsiaTheme="minorEastAsia"/>
          <w:b/>
          <w:color w:val="auto"/>
          <w:sz w:val="24"/>
          <w:highlight w:val="none"/>
          <w:lang w:val="en-US" w:eastAsia="zh-CN"/>
        </w:rPr>
        <w:br w:type="page"/>
      </w:r>
    </w:p>
    <w:p w14:paraId="65FE9268">
      <w:pPr>
        <w:spacing w:line="360" w:lineRule="auto"/>
        <w:jc w:val="center"/>
        <w:outlineLvl w:val="1"/>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738"/>
      <w:bookmarkEnd w:id="739"/>
    </w:p>
    <w:p w14:paraId="2FB7FD3F">
      <w:pP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8751D08">
      <w:pP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5227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17FD9B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298F5E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DF85E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52523E3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F2DF8F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2EEE30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4708FF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7F9155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02D71D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FD7ED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A5B2E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E3EB9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008A43A">
      <w:pPr>
        <w:pStyle w:val="40"/>
        <w:spacing w:line="360" w:lineRule="auto"/>
        <w:rPr>
          <w:rFonts w:asciiTheme="minorEastAsia" w:hAnsiTheme="minorEastAsia" w:eastAsiaTheme="minorEastAsia"/>
          <w:color w:val="auto"/>
          <w:sz w:val="24"/>
          <w:highlight w:val="none"/>
        </w:rPr>
      </w:pPr>
    </w:p>
    <w:p w14:paraId="6BD8C437">
      <w:pPr>
        <w:spacing w:line="360" w:lineRule="auto"/>
        <w:ind w:right="480" w:firstLine="4680" w:firstLineChars="1950"/>
        <w:rPr>
          <w:rFonts w:ascii="@仿宋_GB2312" w:eastAsia="@仿宋_GB2312" w:cs="宋体"/>
          <w:color w:val="auto"/>
          <w:kern w:val="2"/>
          <w:sz w:val="24"/>
          <w:szCs w:val="24"/>
          <w:highlight w:val="none"/>
          <w:lang w:val="zh-CN"/>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bookmarkEnd w:id="740"/>
    </w:p>
    <w:p w14:paraId="062283B6">
      <w:pPr>
        <w:numPr>
          <w:ilvl w:val="0"/>
          <w:numId w:val="0"/>
        </w:numPr>
        <w:spacing w:line="360" w:lineRule="auto"/>
        <w:jc w:val="center"/>
        <w:outlineLvl w:val="1"/>
        <w:rPr>
          <w:rFonts w:hint="eastAsia" w:ascii="宋体" w:hAnsi="宋体" w:eastAsia="宋体"/>
          <w:b/>
          <w:color w:val="auto"/>
          <w:sz w:val="24"/>
          <w:szCs w:val="24"/>
          <w:highlight w:val="none"/>
        </w:rPr>
      </w:pPr>
      <w:bookmarkStart w:id="741" w:name="_Toc28359"/>
      <w:bookmarkStart w:id="742" w:name="_Toc31589"/>
      <w:r>
        <w:rPr>
          <w:rFonts w:hint="eastAsia"/>
          <w:b/>
          <w:color w:val="auto"/>
          <w:sz w:val="24"/>
          <w:szCs w:val="24"/>
          <w:highlight w:val="none"/>
          <w:lang w:val="en-US" w:eastAsia="zh-CN"/>
        </w:rPr>
        <w:t>八、</w:t>
      </w:r>
      <w:r>
        <w:rPr>
          <w:rFonts w:hint="eastAsia" w:ascii="宋体" w:hAnsi="宋体" w:eastAsia="宋体"/>
          <w:b/>
          <w:color w:val="auto"/>
          <w:sz w:val="24"/>
          <w:szCs w:val="24"/>
          <w:highlight w:val="none"/>
        </w:rPr>
        <w:t>中小企业声明函</w:t>
      </w:r>
      <w:bookmarkEnd w:id="741"/>
      <w:bookmarkEnd w:id="742"/>
    </w:p>
    <w:p w14:paraId="31A140BF">
      <w:pPr>
        <w:pStyle w:val="2"/>
        <w:spacing w:line="360" w:lineRule="auto"/>
        <w:jc w:val="center"/>
        <w:rPr>
          <w:highlight w:val="none"/>
        </w:rPr>
      </w:pPr>
      <w:r>
        <w:rPr>
          <w:rFonts w:hint="eastAsia" w:ascii="宋体" w:hAnsi="宋体" w:eastAsia="宋体"/>
          <w:i/>
          <w:sz w:val="24"/>
          <w:highlight w:val="none"/>
          <w:lang w:val="en-US"/>
        </w:rPr>
        <w:t>（</w:t>
      </w:r>
      <w:r>
        <w:rPr>
          <w:rFonts w:hint="eastAsia" w:ascii="宋体" w:hAnsi="宋体" w:eastAsia="宋体"/>
          <w:i/>
          <w:sz w:val="24"/>
          <w:highlight w:val="none"/>
        </w:rPr>
        <w:t>非中小企业</w:t>
      </w:r>
      <w:r>
        <w:rPr>
          <w:rFonts w:hint="eastAsia" w:ascii="宋体" w:hAnsi="宋体" w:eastAsia="宋体"/>
          <w:i/>
          <w:sz w:val="24"/>
          <w:highlight w:val="none"/>
          <w:lang w:val="en-US"/>
        </w:rPr>
        <w:t>磋商，不需此件，请删去“中小企业声明函”）</w:t>
      </w:r>
    </w:p>
    <w:p w14:paraId="2138E05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b/>
          <w:bCs/>
          <w:color w:val="auto"/>
          <w:kern w:val="2"/>
          <w:sz w:val="24"/>
          <w:szCs w:val="24"/>
          <w:highlight w:val="none"/>
          <w:u w:val="single"/>
          <w:lang w:val="en-US" w:eastAsia="zh-CN"/>
        </w:rPr>
        <w:t>安徽省淮河河道管理局</w:t>
      </w:r>
      <w:r>
        <w:rPr>
          <w:rFonts w:hint="eastAsia" w:cs="@仿宋_GB2312"/>
          <w:color w:val="auto"/>
          <w:kern w:val="2"/>
          <w:sz w:val="24"/>
          <w:szCs w:val="24"/>
          <w:highlight w:val="none"/>
          <w:lang w:val="zh-CN"/>
        </w:rPr>
        <w:t>的</w:t>
      </w:r>
      <w:r>
        <w:rPr>
          <w:rFonts w:hint="eastAsia" w:cs="@仿宋_GB2312"/>
          <w:b/>
          <w:bCs/>
          <w:color w:val="auto"/>
          <w:kern w:val="2"/>
          <w:sz w:val="24"/>
          <w:szCs w:val="24"/>
          <w:highlight w:val="none"/>
          <w:u w:val="single"/>
          <w:lang w:val="zh-CN"/>
        </w:rPr>
        <w:t>2025年省淮河局水闸监测设施等维修改造（第4包）</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0A229A34">
      <w:pPr>
        <w:spacing w:line="360" w:lineRule="auto"/>
        <w:ind w:firstLine="435"/>
        <w:rPr>
          <w:rFonts w:cs="@仿宋_GB2312"/>
          <w:color w:val="auto"/>
          <w:kern w:val="2"/>
          <w:sz w:val="24"/>
          <w:szCs w:val="24"/>
          <w:highlight w:val="none"/>
          <w:lang w:val="zh-CN"/>
        </w:rPr>
      </w:pPr>
      <w:bookmarkStart w:id="743" w:name="OLE_LINK7"/>
      <w:r>
        <w:rPr>
          <w:rFonts w:hint="eastAsia" w:cs="@仿宋_GB2312"/>
          <w:color w:val="auto"/>
          <w:kern w:val="2"/>
          <w:sz w:val="24"/>
          <w:szCs w:val="24"/>
          <w:highlight w:val="none"/>
          <w:lang w:val="zh-CN"/>
        </w:rPr>
        <w:t>1.</w:t>
      </w:r>
      <w:r>
        <w:rPr>
          <w:rFonts w:hint="eastAsia" w:cs="@仿宋_GB2312"/>
          <w:b/>
          <w:bCs/>
          <w:color w:val="auto"/>
          <w:kern w:val="2"/>
          <w:sz w:val="24"/>
          <w:szCs w:val="24"/>
          <w:highlight w:val="none"/>
          <w:u w:val="single"/>
          <w:lang w:val="zh-CN"/>
        </w:rPr>
        <w:t>2025年省淮河局水闸监测设施等维修改造（第4包）</w:t>
      </w:r>
      <w:r>
        <w:rPr>
          <w:rFonts w:hint="eastAsia" w:cs="@仿宋_GB2312"/>
          <w:color w:val="auto"/>
          <w:kern w:val="2"/>
          <w:sz w:val="24"/>
          <w:szCs w:val="24"/>
          <w:highlight w:val="none"/>
          <w:lang w:val="zh-CN"/>
        </w:rPr>
        <w:t>，属于</w:t>
      </w:r>
      <w:r>
        <w:rPr>
          <w:rFonts w:hint="eastAsia" w:cs="@仿宋_GB2312"/>
          <w:b/>
          <w:bCs/>
          <w:color w:val="auto"/>
          <w:kern w:val="2"/>
          <w:sz w:val="24"/>
          <w:szCs w:val="24"/>
          <w:highlight w:val="none"/>
          <w:u w:val="single"/>
          <w:lang w:val="en-US" w:eastAsia="zh-CN"/>
        </w:rPr>
        <w:t>建筑业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w:t>
      </w:r>
      <w:bookmarkEnd w:id="743"/>
      <w:r>
        <w:rPr>
          <w:rFonts w:hint="eastAsia" w:cs="@仿宋_GB2312"/>
          <w:color w:val="auto"/>
          <w:kern w:val="2"/>
          <w:sz w:val="24"/>
          <w:szCs w:val="24"/>
          <w:highlight w:val="none"/>
          <w:lang w:val="zh-CN"/>
        </w:rPr>
        <w:t xml:space="preserve"> </w:t>
      </w:r>
    </w:p>
    <w:p w14:paraId="470CB35F">
      <w:pPr>
        <w:spacing w:line="360" w:lineRule="auto"/>
        <w:ind w:firstLine="435"/>
        <w:rPr>
          <w:rFonts w:hint="eastAsia" w:cs="@仿宋_GB2312"/>
          <w:color w:val="auto"/>
          <w:kern w:val="2"/>
          <w:sz w:val="24"/>
          <w:szCs w:val="24"/>
          <w:highlight w:val="none"/>
          <w:lang w:val="zh-CN"/>
        </w:rPr>
      </w:pPr>
      <w:r>
        <w:rPr>
          <w:rFonts w:hint="eastAsia" w:cs="@仿宋_GB2312"/>
          <w:color w:val="auto"/>
          <w:kern w:val="2"/>
          <w:sz w:val="24"/>
          <w:szCs w:val="24"/>
          <w:highlight w:val="none"/>
          <w:lang w:val="en-US" w:eastAsia="zh-CN"/>
        </w:rPr>
        <w:t>2</w:t>
      </w:r>
      <w:r>
        <w:rPr>
          <w:rFonts w:hint="eastAsia" w:cs="@仿宋_GB2312"/>
          <w:color w:val="auto"/>
          <w:kern w:val="2"/>
          <w:sz w:val="24"/>
          <w:szCs w:val="24"/>
          <w:highlight w:val="none"/>
          <w:lang w:val="zh-CN"/>
        </w:rPr>
        <w:t>.</w:t>
      </w:r>
      <w:r>
        <w:rPr>
          <w:rFonts w:hint="eastAsia" w:cs="@仿宋_GB2312"/>
          <w:b/>
          <w:bCs/>
          <w:color w:val="auto"/>
          <w:kern w:val="2"/>
          <w:sz w:val="24"/>
          <w:szCs w:val="24"/>
          <w:highlight w:val="none"/>
          <w:u w:val="single"/>
          <w:lang w:val="zh-CN"/>
        </w:rPr>
        <w:t>2025年省淮河局水闸监测设施等维修改造（第4包）</w:t>
      </w:r>
      <w:r>
        <w:rPr>
          <w:rFonts w:hint="eastAsia" w:cs="@仿宋_GB2312"/>
          <w:color w:val="auto"/>
          <w:kern w:val="2"/>
          <w:sz w:val="24"/>
          <w:szCs w:val="24"/>
          <w:highlight w:val="none"/>
          <w:lang w:val="zh-CN"/>
        </w:rPr>
        <w:t>，属于</w:t>
      </w:r>
      <w:r>
        <w:rPr>
          <w:rFonts w:hint="eastAsia" w:cs="@仿宋_GB2312"/>
          <w:b/>
          <w:bCs/>
          <w:color w:val="auto"/>
          <w:kern w:val="2"/>
          <w:sz w:val="24"/>
          <w:szCs w:val="24"/>
          <w:highlight w:val="none"/>
          <w:u w:val="single"/>
          <w:lang w:val="en-US" w:eastAsia="zh-CN"/>
        </w:rPr>
        <w:t>建筑业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w:t>
      </w:r>
    </w:p>
    <w:p w14:paraId="1086C33B">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0C1BB45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74232EF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10CB8689">
      <w:pPr>
        <w:spacing w:line="360" w:lineRule="auto"/>
        <w:ind w:firstLine="435"/>
        <w:rPr>
          <w:rFonts w:ascii="宋体" w:hAnsi="宋体" w:eastAsia="宋体" w:cs="@仿宋_GB2312"/>
          <w:color w:val="auto"/>
          <w:kern w:val="2"/>
          <w:sz w:val="24"/>
          <w:szCs w:val="24"/>
          <w:highlight w:val="none"/>
        </w:rPr>
      </w:pPr>
    </w:p>
    <w:p w14:paraId="79D72618">
      <w:pPr>
        <w:spacing w:line="360" w:lineRule="auto"/>
        <w:ind w:firstLine="435"/>
        <w:rPr>
          <w:rFonts w:ascii="宋体" w:hAnsi="宋体" w:eastAsia="宋体" w:cs="@仿宋_GB2312"/>
          <w:color w:val="auto"/>
          <w:kern w:val="2"/>
          <w:sz w:val="24"/>
          <w:szCs w:val="24"/>
          <w:highlight w:val="none"/>
        </w:rPr>
      </w:pPr>
    </w:p>
    <w:p w14:paraId="2FA7129D">
      <w:pPr>
        <w:spacing w:line="360" w:lineRule="auto"/>
        <w:ind w:firstLine="4228" w:firstLineChars="176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w:t>
      </w:r>
      <w:r>
        <w:rPr>
          <w:rFonts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rPr>
        <w:t>：</w:t>
      </w:r>
      <w:r>
        <w:rPr>
          <w:rFonts w:ascii="宋体" w:hAnsi="宋体" w:eastAsia="宋体" w:cs="@仿宋_GB2312"/>
          <w:color w:val="auto"/>
          <w:kern w:val="2"/>
          <w:sz w:val="24"/>
          <w:szCs w:val="24"/>
          <w:highlight w:val="none"/>
          <w:u w:val="single"/>
        </w:rPr>
        <w:t xml:space="preserve">             </w:t>
      </w:r>
    </w:p>
    <w:p w14:paraId="1C132ACE">
      <w:pPr>
        <w:tabs>
          <w:tab w:val="left" w:pos="4620"/>
        </w:tabs>
        <w:spacing w:line="360" w:lineRule="auto"/>
        <w:ind w:firstLine="4252" w:firstLineChars="177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日</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ascii="宋体" w:hAnsi="宋体" w:eastAsia="宋体" w:cs="@仿宋_GB2312"/>
          <w:color w:val="auto"/>
          <w:kern w:val="2"/>
          <w:sz w:val="24"/>
          <w:szCs w:val="24"/>
          <w:highlight w:val="none"/>
          <w:u w:val="single"/>
        </w:rPr>
        <w:t xml:space="preserve">             </w:t>
      </w:r>
    </w:p>
    <w:p w14:paraId="4A00B481">
      <w:pPr>
        <w:tabs>
          <w:tab w:val="left" w:pos="4620"/>
        </w:tabs>
        <w:spacing w:line="360" w:lineRule="auto"/>
        <w:jc w:val="left"/>
        <w:rPr>
          <w:rFonts w:ascii="宋体" w:hAnsi="宋体" w:eastAsia="宋体" w:cs="@仿宋_GB2312"/>
          <w:color w:val="auto"/>
          <w:kern w:val="2"/>
          <w:sz w:val="24"/>
          <w:szCs w:val="24"/>
          <w:highlight w:val="none"/>
        </w:rPr>
      </w:pPr>
    </w:p>
    <w:p w14:paraId="159A8B9D">
      <w:pPr>
        <w:tabs>
          <w:tab w:val="left" w:pos="4620"/>
        </w:tabs>
        <w:spacing w:line="360" w:lineRule="auto"/>
        <w:jc w:val="left"/>
        <w:rPr>
          <w:rFonts w:ascii="宋体" w:hAnsi="宋体" w:eastAsia="宋体" w:cs="@仿宋_GB2312"/>
          <w:color w:val="auto"/>
          <w:kern w:val="2"/>
          <w:sz w:val="24"/>
          <w:szCs w:val="24"/>
          <w:highlight w:val="none"/>
        </w:rPr>
      </w:pPr>
    </w:p>
    <w:p w14:paraId="72289435">
      <w:pPr>
        <w:tabs>
          <w:tab w:val="left" w:pos="4620"/>
        </w:tabs>
        <w:spacing w:line="360" w:lineRule="auto"/>
        <w:jc w:val="left"/>
        <w:rPr>
          <w:rFonts w:hint="eastAsia" w:ascii="宋体" w:hAnsi="宋体" w:eastAsia="宋体" w:cs="@仿宋_GB2312"/>
          <w:b/>
          <w:color w:val="auto"/>
          <w:kern w:val="2"/>
          <w:sz w:val="24"/>
          <w:szCs w:val="24"/>
          <w:highlight w:val="none"/>
          <w:lang w:eastAsia="zh-CN"/>
        </w:rPr>
      </w:pPr>
      <w:r>
        <w:rPr>
          <w:rFonts w:hint="eastAsia" w:ascii="宋体" w:hAnsi="宋体" w:eastAsia="宋体" w:cs="@仿宋_GB2312"/>
          <w:b/>
          <w:color w:val="auto"/>
          <w:kern w:val="2"/>
          <w:sz w:val="24"/>
          <w:szCs w:val="24"/>
          <w:highlight w:val="none"/>
          <w:lang w:eastAsia="zh-CN"/>
        </w:rPr>
        <w:t>注：</w:t>
      </w:r>
    </w:p>
    <w:p w14:paraId="6C0C0C9E">
      <w:pPr>
        <w:tabs>
          <w:tab w:val="left" w:pos="4620"/>
        </w:tabs>
        <w:spacing w:line="360" w:lineRule="auto"/>
        <w:jc w:val="left"/>
        <w:rPr>
          <w:rFonts w:ascii="宋体" w:hAnsi="宋体" w:eastAsia="宋体" w:cs="@仿宋_GB2312"/>
          <w:color w:val="auto"/>
          <w:kern w:val="2"/>
          <w:sz w:val="24"/>
          <w:szCs w:val="24"/>
          <w:highlight w:val="none"/>
        </w:rPr>
      </w:pPr>
      <w:r>
        <w:rPr>
          <w:rFonts w:ascii="宋体" w:hAnsi="宋体" w:eastAsia="宋体" w:cs="@仿宋_GB2312"/>
          <w:color w:val="auto"/>
          <w:kern w:val="2"/>
          <w:sz w:val="24"/>
          <w:szCs w:val="24"/>
          <w:highlight w:val="none"/>
        </w:rPr>
        <w:t>1.从业人员、营业收入、资产总额填报上一年数据，无上一年数据的新成立企业可不填报。</w:t>
      </w:r>
    </w:p>
    <w:p w14:paraId="08E599B0">
      <w:pPr>
        <w:tabs>
          <w:tab w:val="left" w:pos="4620"/>
        </w:tabs>
        <w:spacing w:line="360" w:lineRule="auto"/>
        <w:jc w:val="left"/>
        <w:rPr>
          <w:rFonts w:cs="宋体"/>
          <w:b/>
          <w:bCs/>
          <w:color w:val="auto"/>
          <w:kern w:val="2"/>
          <w:sz w:val="24"/>
          <w:szCs w:val="24"/>
          <w:highlight w:val="none"/>
        </w:rPr>
      </w:pPr>
      <w:r>
        <w:rPr>
          <w:rFonts w:hint="eastAsia" w:cs="宋体"/>
          <w:b/>
          <w:bCs/>
          <w:color w:val="auto"/>
          <w:sz w:val="24"/>
          <w:szCs w:val="24"/>
          <w:highlight w:val="none"/>
        </w:rPr>
        <w:t>2.</w:t>
      </w:r>
      <w:r>
        <w:rPr>
          <w:rFonts w:hint="eastAsia" w:cs="宋体"/>
          <w:b/>
          <w:bCs/>
          <w:color w:val="auto"/>
          <w:kern w:val="2"/>
          <w:sz w:val="24"/>
          <w:szCs w:val="24"/>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4"/>
          <w:szCs w:val="24"/>
          <w:highlight w:val="none"/>
          <w:lang w:val="zh-CN"/>
        </w:rPr>
        <w:t>如有虚假，将依法承担相应责任。</w:t>
      </w:r>
      <w:r>
        <w:rPr>
          <w:rFonts w:hint="eastAsia" w:cs="宋体"/>
          <w:b/>
          <w:bCs/>
          <w:color w:val="auto"/>
          <w:kern w:val="2"/>
          <w:sz w:val="24"/>
          <w:szCs w:val="24"/>
          <w:highlight w:val="none"/>
        </w:rPr>
        <w:t>供应商自行登录工业和信息化部官网进行中小企业规模类型自测（查询网址https://www.miit.gov.cn/）。</w:t>
      </w:r>
    </w:p>
    <w:p w14:paraId="62B78AEA">
      <w:pPr>
        <w:tabs>
          <w:tab w:val="left" w:pos="4620"/>
        </w:tabs>
        <w:spacing w:line="360" w:lineRule="auto"/>
        <w:jc w:val="left"/>
        <w:rPr>
          <w:rFonts w:cs="宋体"/>
          <w:b/>
          <w:bCs/>
          <w:color w:val="auto"/>
          <w:kern w:val="2"/>
          <w:sz w:val="24"/>
          <w:szCs w:val="24"/>
          <w:highlight w:val="none"/>
        </w:rPr>
      </w:pPr>
      <w:r>
        <w:rPr>
          <w:rFonts w:hint="eastAsia" w:cs="宋体"/>
          <w:b/>
          <w:bCs/>
          <w:color w:val="auto"/>
          <w:kern w:val="2"/>
          <w:sz w:val="24"/>
          <w:szCs w:val="24"/>
          <w:highlight w:val="none"/>
        </w:rPr>
        <w:t>3.上述“</w:t>
      </w:r>
      <w:r>
        <w:rPr>
          <w:rFonts w:hint="eastAsia" w:cs="宋体"/>
          <w:b/>
          <w:bCs/>
          <w:color w:val="auto"/>
          <w:kern w:val="2"/>
          <w:sz w:val="24"/>
          <w:szCs w:val="24"/>
          <w:highlight w:val="none"/>
          <w:u w:val="single"/>
          <w:lang w:val="zh-CN"/>
        </w:rPr>
        <w:t>标的名称</w:t>
      </w:r>
      <w:r>
        <w:rPr>
          <w:rFonts w:hint="eastAsia" w:cs="宋体"/>
          <w:b/>
          <w:bCs/>
          <w:color w:val="auto"/>
          <w:kern w:val="2"/>
          <w:sz w:val="24"/>
          <w:szCs w:val="24"/>
          <w:highlight w:val="none"/>
        </w:rPr>
        <w:t>”，详见第三章采购需求前附表中明确的“标的名称”。</w:t>
      </w:r>
    </w:p>
    <w:p w14:paraId="4ADB1C57">
      <w:pPr>
        <w:tabs>
          <w:tab w:val="left" w:pos="4620"/>
        </w:tabs>
        <w:spacing w:line="360" w:lineRule="auto"/>
        <w:jc w:val="left"/>
        <w:rPr>
          <w:rFonts w:cs="宋体"/>
          <w:b/>
          <w:bCs/>
          <w:color w:val="auto"/>
          <w:kern w:val="2"/>
          <w:sz w:val="24"/>
          <w:szCs w:val="24"/>
          <w:highlight w:val="none"/>
        </w:rPr>
      </w:pPr>
      <w:r>
        <w:rPr>
          <w:rFonts w:hint="eastAsia" w:cs="宋体"/>
          <w:b/>
          <w:bCs/>
          <w:color w:val="auto"/>
          <w:kern w:val="2"/>
          <w:sz w:val="24"/>
          <w:szCs w:val="24"/>
          <w:highlight w:val="none"/>
        </w:rPr>
        <w:t>4.上述“</w:t>
      </w:r>
      <w:r>
        <w:rPr>
          <w:rFonts w:hint="eastAsia" w:cs="宋体"/>
          <w:b/>
          <w:bCs/>
          <w:color w:val="auto"/>
          <w:kern w:val="2"/>
          <w:sz w:val="24"/>
          <w:szCs w:val="24"/>
          <w:highlight w:val="none"/>
          <w:u w:val="single"/>
        </w:rPr>
        <w:t>采购文件中明确的所属行业</w:t>
      </w:r>
      <w:r>
        <w:rPr>
          <w:rFonts w:hint="eastAsia" w:cs="宋体"/>
          <w:b/>
          <w:bCs/>
          <w:color w:val="auto"/>
          <w:kern w:val="2"/>
          <w:sz w:val="24"/>
          <w:szCs w:val="24"/>
          <w:highlight w:val="none"/>
        </w:rPr>
        <w:t>”，详见第三章采购需求前附表中明确的“所属行业”。</w:t>
      </w:r>
    </w:p>
    <w:p w14:paraId="5A3AE0FD">
      <w:pPr>
        <w:tabs>
          <w:tab w:val="left" w:pos="4620"/>
        </w:tabs>
        <w:spacing w:line="360" w:lineRule="auto"/>
        <w:jc w:val="left"/>
        <w:rPr>
          <w:rFonts w:cs="宋体"/>
          <w:b/>
          <w:bCs/>
          <w:color w:val="auto"/>
          <w:kern w:val="2"/>
          <w:sz w:val="24"/>
          <w:szCs w:val="24"/>
          <w:highlight w:val="none"/>
        </w:rPr>
      </w:pPr>
      <w:r>
        <w:rPr>
          <w:rFonts w:hint="eastAsia" w:cs="宋体"/>
          <w:b/>
          <w:bCs/>
          <w:color w:val="auto"/>
          <w:kern w:val="2"/>
          <w:sz w:val="24"/>
          <w:szCs w:val="24"/>
          <w:highlight w:val="none"/>
        </w:rPr>
        <w:t>5．</w:t>
      </w:r>
      <w:r>
        <w:rPr>
          <w:rFonts w:hint="eastAsia" w:cs="宋体"/>
          <w:b/>
          <w:bCs/>
          <w:color w:val="auto"/>
          <w:sz w:val="24"/>
          <w:szCs w:val="24"/>
          <w:highlight w:val="none"/>
        </w:rPr>
        <w:t>填写示例：</w:t>
      </w:r>
      <w:r>
        <w:rPr>
          <w:rFonts w:hint="eastAsia" w:cs="宋体"/>
          <w:b/>
          <w:bCs/>
          <w:color w:val="auto"/>
          <w:sz w:val="24"/>
          <w:szCs w:val="24"/>
          <w:highlight w:val="none"/>
          <w:u w:val="single"/>
        </w:rPr>
        <w:t>某标的名称</w:t>
      </w:r>
      <w:r>
        <w:rPr>
          <w:rFonts w:hint="eastAsia" w:cs="宋体"/>
          <w:b/>
          <w:bCs/>
          <w:color w:val="auto"/>
          <w:sz w:val="24"/>
          <w:szCs w:val="24"/>
          <w:highlight w:val="none"/>
        </w:rPr>
        <w:t>（</w:t>
      </w:r>
      <w:r>
        <w:rPr>
          <w:rFonts w:hint="eastAsia" w:cs="宋体"/>
          <w:b/>
          <w:bCs/>
          <w:color w:val="auto"/>
          <w:sz w:val="24"/>
          <w:szCs w:val="24"/>
          <w:highlight w:val="none"/>
          <w:u w:val="single"/>
        </w:rPr>
        <w:t>填写第三章采购需求前附表中明确的“标的名称”</w:t>
      </w:r>
      <w:r>
        <w:rPr>
          <w:rFonts w:hint="eastAsia" w:cs="宋体"/>
          <w:b/>
          <w:bCs/>
          <w:color w:val="auto"/>
          <w:sz w:val="24"/>
          <w:szCs w:val="24"/>
          <w:highlight w:val="none"/>
        </w:rPr>
        <w:t>），属于</w:t>
      </w:r>
      <w:r>
        <w:rPr>
          <w:rFonts w:hint="eastAsia" w:cs="宋体"/>
          <w:b/>
          <w:bCs/>
          <w:color w:val="auto"/>
          <w:sz w:val="24"/>
          <w:szCs w:val="24"/>
          <w:highlight w:val="none"/>
          <w:u w:val="single"/>
        </w:rPr>
        <w:t>（填写第三章采购需求前附表中明确的“所属行业”，如建筑业）</w:t>
      </w:r>
      <w:r>
        <w:rPr>
          <w:rFonts w:hint="eastAsia" w:cs="宋体"/>
          <w:b/>
          <w:bCs/>
          <w:color w:val="auto"/>
          <w:sz w:val="24"/>
          <w:szCs w:val="24"/>
          <w:highlight w:val="none"/>
        </w:rPr>
        <w:t>行业；承接企业为</w:t>
      </w:r>
      <w:r>
        <w:rPr>
          <w:rFonts w:hint="eastAsia" w:cs="宋体"/>
          <w:b/>
          <w:bCs/>
          <w:color w:val="auto"/>
          <w:sz w:val="24"/>
          <w:szCs w:val="24"/>
          <w:highlight w:val="none"/>
          <w:u w:val="single"/>
          <w:lang w:val="zh-CN"/>
        </w:rPr>
        <w:t>某公司</w:t>
      </w:r>
      <w:r>
        <w:rPr>
          <w:rFonts w:hint="eastAsia" w:cs="宋体"/>
          <w:b/>
          <w:bCs/>
          <w:color w:val="auto"/>
          <w:sz w:val="24"/>
          <w:szCs w:val="24"/>
          <w:highlight w:val="none"/>
        </w:rPr>
        <w:t>，</w:t>
      </w:r>
      <w:r>
        <w:rPr>
          <w:rFonts w:hint="eastAsia" w:cs="宋体"/>
          <w:b/>
          <w:bCs/>
          <w:color w:val="auto"/>
          <w:sz w:val="24"/>
          <w:szCs w:val="24"/>
          <w:highlight w:val="none"/>
          <w:lang w:val="zh-CN"/>
        </w:rPr>
        <w:t>从业人员</w:t>
      </w:r>
      <w:r>
        <w:rPr>
          <w:rFonts w:hint="eastAsia" w:cs="宋体"/>
          <w:b/>
          <w:bCs/>
          <w:color w:val="auto"/>
          <w:sz w:val="24"/>
          <w:szCs w:val="24"/>
          <w:highlight w:val="none"/>
          <w:u w:val="single"/>
        </w:rPr>
        <w:t>100</w:t>
      </w:r>
      <w:r>
        <w:rPr>
          <w:rFonts w:hint="eastAsia" w:cs="宋体"/>
          <w:b/>
          <w:bCs/>
          <w:color w:val="auto"/>
          <w:sz w:val="24"/>
          <w:szCs w:val="24"/>
          <w:highlight w:val="none"/>
          <w:lang w:val="zh-CN"/>
        </w:rPr>
        <w:t>人</w:t>
      </w:r>
      <w:r>
        <w:rPr>
          <w:rFonts w:hint="eastAsia" w:cs="宋体"/>
          <w:b/>
          <w:bCs/>
          <w:color w:val="auto"/>
          <w:sz w:val="24"/>
          <w:szCs w:val="24"/>
          <w:highlight w:val="none"/>
        </w:rPr>
        <w:t>，</w:t>
      </w:r>
      <w:r>
        <w:rPr>
          <w:rFonts w:hint="eastAsia" w:cs="宋体"/>
          <w:b/>
          <w:bCs/>
          <w:color w:val="auto"/>
          <w:sz w:val="24"/>
          <w:szCs w:val="24"/>
          <w:highlight w:val="none"/>
          <w:lang w:val="zh-CN"/>
        </w:rPr>
        <w:t>营业收入为</w:t>
      </w:r>
      <w:r>
        <w:rPr>
          <w:rFonts w:hint="eastAsia" w:cs="宋体"/>
          <w:b/>
          <w:bCs/>
          <w:color w:val="auto"/>
          <w:sz w:val="24"/>
          <w:szCs w:val="24"/>
          <w:highlight w:val="none"/>
          <w:u w:val="single"/>
        </w:rPr>
        <w:t>10000</w:t>
      </w:r>
      <w:r>
        <w:rPr>
          <w:rFonts w:hint="eastAsia" w:cs="宋体"/>
          <w:b/>
          <w:bCs/>
          <w:color w:val="auto"/>
          <w:sz w:val="24"/>
          <w:szCs w:val="24"/>
          <w:highlight w:val="none"/>
          <w:lang w:val="zh-CN"/>
        </w:rPr>
        <w:t>万元</w:t>
      </w:r>
      <w:r>
        <w:rPr>
          <w:rFonts w:hint="eastAsia" w:cs="宋体"/>
          <w:b/>
          <w:bCs/>
          <w:color w:val="auto"/>
          <w:sz w:val="24"/>
          <w:szCs w:val="24"/>
          <w:highlight w:val="none"/>
        </w:rPr>
        <w:t>，</w:t>
      </w:r>
      <w:r>
        <w:rPr>
          <w:rFonts w:hint="eastAsia" w:cs="宋体"/>
          <w:b/>
          <w:bCs/>
          <w:color w:val="auto"/>
          <w:sz w:val="24"/>
          <w:szCs w:val="24"/>
          <w:highlight w:val="none"/>
          <w:lang w:val="zh-CN"/>
        </w:rPr>
        <w:t>资产总额为</w:t>
      </w:r>
      <w:r>
        <w:rPr>
          <w:rFonts w:hint="eastAsia" w:cs="宋体"/>
          <w:b/>
          <w:bCs/>
          <w:color w:val="auto"/>
          <w:sz w:val="24"/>
          <w:szCs w:val="24"/>
          <w:highlight w:val="none"/>
          <w:u w:val="single"/>
        </w:rPr>
        <w:t>5000</w:t>
      </w:r>
      <w:r>
        <w:rPr>
          <w:rFonts w:hint="eastAsia" w:cs="宋体"/>
          <w:b/>
          <w:bCs/>
          <w:color w:val="auto"/>
          <w:sz w:val="24"/>
          <w:szCs w:val="24"/>
          <w:highlight w:val="none"/>
          <w:lang w:val="zh-CN"/>
        </w:rPr>
        <w:t>万元</w:t>
      </w:r>
      <w:r>
        <w:rPr>
          <w:rFonts w:hint="eastAsia" w:cs="宋体"/>
          <w:b/>
          <w:bCs/>
          <w:color w:val="auto"/>
          <w:sz w:val="24"/>
          <w:szCs w:val="24"/>
          <w:highlight w:val="none"/>
        </w:rPr>
        <w:t>，</w:t>
      </w:r>
      <w:r>
        <w:rPr>
          <w:rFonts w:hint="eastAsia" w:cs="宋体"/>
          <w:b/>
          <w:bCs/>
          <w:color w:val="auto"/>
          <w:sz w:val="24"/>
          <w:szCs w:val="24"/>
          <w:highlight w:val="none"/>
          <w:lang w:val="zh-CN"/>
        </w:rPr>
        <w:t>属于</w:t>
      </w:r>
      <w:r>
        <w:rPr>
          <w:rFonts w:hint="eastAsia" w:cs="宋体"/>
          <w:b/>
          <w:bCs/>
          <w:color w:val="auto"/>
          <w:sz w:val="24"/>
          <w:szCs w:val="24"/>
          <w:highlight w:val="none"/>
        </w:rPr>
        <w:t>中</w:t>
      </w:r>
      <w:r>
        <w:rPr>
          <w:rFonts w:hint="eastAsia" w:cs="宋体"/>
          <w:b/>
          <w:bCs/>
          <w:color w:val="auto"/>
          <w:sz w:val="24"/>
          <w:szCs w:val="24"/>
          <w:highlight w:val="none"/>
          <w:u w:val="single"/>
          <w:lang w:val="zh-CN"/>
        </w:rPr>
        <w:t>型</w:t>
      </w:r>
      <w:r>
        <w:rPr>
          <w:rFonts w:hint="eastAsia" w:cs="宋体"/>
          <w:b/>
          <w:bCs/>
          <w:color w:val="auto"/>
          <w:sz w:val="24"/>
          <w:szCs w:val="24"/>
          <w:highlight w:val="none"/>
          <w:lang w:val="zh-CN"/>
        </w:rPr>
        <w:t>企业</w:t>
      </w:r>
      <w:r>
        <w:rPr>
          <w:rFonts w:hint="eastAsia" w:cs="宋体"/>
          <w:b/>
          <w:bCs/>
          <w:color w:val="auto"/>
          <w:sz w:val="24"/>
          <w:szCs w:val="24"/>
          <w:highlight w:val="none"/>
        </w:rPr>
        <w:t>[供应商自行登录工业和信息化部官网进行中小企业规模类型自测（查询网址https://www.miit.gov.cn/）]</w:t>
      </w:r>
      <w:r>
        <w:rPr>
          <w:rFonts w:hint="eastAsia" w:cs="宋体"/>
          <w:b/>
          <w:bCs/>
          <w:color w:val="auto"/>
          <w:kern w:val="2"/>
          <w:sz w:val="24"/>
          <w:szCs w:val="24"/>
          <w:highlight w:val="none"/>
          <w:lang w:val="zh-CN"/>
        </w:rPr>
        <w:t>。</w:t>
      </w:r>
    </w:p>
    <w:p w14:paraId="05DD0220">
      <w:pPr>
        <w:widowControl/>
        <w:jc w:val="left"/>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16AB06B2">
      <w:pPr>
        <w:spacing w:line="360" w:lineRule="auto"/>
        <w:jc w:val="center"/>
        <w:outlineLvl w:val="9"/>
        <w:rPr>
          <w:rFonts w:ascii="宋体" w:hAnsi="宋体" w:eastAsia="宋体"/>
          <w:b/>
          <w:color w:val="auto"/>
          <w:sz w:val="24"/>
          <w:szCs w:val="24"/>
          <w:highlight w:val="none"/>
        </w:rPr>
      </w:pPr>
      <w:bookmarkStart w:id="744" w:name="_Toc17154"/>
      <w:bookmarkStart w:id="745" w:name="_Toc17813"/>
      <w:r>
        <w:rPr>
          <w:rFonts w:hint="eastAsia" w:ascii="宋体" w:hAnsi="宋体" w:eastAsia="宋体"/>
          <w:b/>
          <w:color w:val="auto"/>
          <w:sz w:val="24"/>
          <w:szCs w:val="24"/>
          <w:highlight w:val="none"/>
        </w:rPr>
        <w:t>残疾人福利性单位声明函</w:t>
      </w:r>
      <w:bookmarkEnd w:id="744"/>
      <w:bookmarkEnd w:id="745"/>
    </w:p>
    <w:p w14:paraId="11B9105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szCs w:val="24"/>
          <w:highlight w:val="none"/>
          <w:lang w:val="en-US" w:eastAsia="zh-CN"/>
        </w:rPr>
      </w:pPr>
      <w:r>
        <w:rPr>
          <w:rFonts w:hint="eastAsia" w:ascii="宋体" w:hAnsi="宋体" w:eastAsia="宋体"/>
          <w:b w:val="0"/>
          <w:i/>
          <w:color w:val="auto"/>
          <w:sz w:val="24"/>
          <w:szCs w:val="24"/>
          <w:highlight w:val="none"/>
          <w:lang w:val="en-US" w:eastAsia="zh-CN"/>
        </w:rPr>
        <w:t>（非残疾人福利性单位磋商，请删去“残疾人福利性单位声明函”）</w:t>
      </w:r>
    </w:p>
    <w:p w14:paraId="479805C6">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4"/>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宋体" w:hAnsi="宋体" w:eastAsia="宋体"/>
          <w:color w:val="auto"/>
          <w:spacing w:val="6"/>
          <w:sz w:val="24"/>
          <w:szCs w:val="24"/>
          <w:highlight w:val="none"/>
        </w:rPr>
        <w:t>本单位为</w:t>
      </w:r>
      <w:r>
        <w:rPr>
          <w:rFonts w:hint="eastAsia" w:ascii="宋体" w:hAnsi="宋体" w:eastAsia="宋体"/>
          <w:bCs/>
          <w:color w:val="auto"/>
          <w:sz w:val="24"/>
          <w:szCs w:val="24"/>
          <w:highlight w:val="none"/>
        </w:rPr>
        <w:t>符合</w:t>
      </w:r>
      <w:r>
        <w:rPr>
          <w:rFonts w:hint="eastAsia" w:ascii="宋体" w:hAnsi="宋体" w:eastAsia="宋体"/>
          <w:color w:val="auto"/>
          <w:spacing w:val="6"/>
          <w:sz w:val="24"/>
          <w:szCs w:val="24"/>
          <w:highlight w:val="none"/>
        </w:rPr>
        <w:t>条件的残疾人福利性单位，且本单位参加</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单位的</w:t>
      </w:r>
      <w:r>
        <w:rPr>
          <w:rFonts w:hint="eastAsia" w:ascii="宋体" w:hAnsi="宋体" w:eastAsia="宋体"/>
          <w:color w:val="auto"/>
          <w:spacing w:val="6"/>
          <w:sz w:val="24"/>
          <w:szCs w:val="24"/>
          <w:highlight w:val="none"/>
          <w:u w:val="single"/>
        </w:rPr>
        <w:t xml:space="preserve">      </w:t>
      </w:r>
      <w:r>
        <w:rPr>
          <w:rFonts w:hint="eastAsia" w:ascii="宋体" w:hAnsi="宋体" w:eastAsia="宋体"/>
          <w:color w:val="auto"/>
          <w:spacing w:val="6"/>
          <w:sz w:val="24"/>
          <w:szCs w:val="24"/>
          <w:highlight w:val="none"/>
        </w:rPr>
        <w:t>项目采购活动提供本单位制造的货物</w:t>
      </w:r>
      <w:r>
        <w:rPr>
          <w:rFonts w:hint="eastAsia" w:ascii="宋体" w:hAnsi="宋体" w:eastAsia="宋体"/>
          <w:color w:val="auto"/>
          <w:spacing w:val="6"/>
          <w:sz w:val="24"/>
          <w:szCs w:val="24"/>
          <w:highlight w:val="none"/>
          <w:lang w:eastAsia="zh-CN"/>
        </w:rPr>
        <w:t>（</w:t>
      </w:r>
      <w:r>
        <w:rPr>
          <w:rFonts w:hint="eastAsia" w:ascii="宋体" w:hAnsi="宋体" w:eastAsia="宋体"/>
          <w:color w:val="auto"/>
          <w:spacing w:val="6"/>
          <w:sz w:val="24"/>
          <w:szCs w:val="24"/>
          <w:highlight w:val="none"/>
          <w:lang w:val="en-US" w:eastAsia="zh-CN"/>
        </w:rPr>
        <w:t>由本单位承担工程/提供服务</w:t>
      </w:r>
      <w:r>
        <w:rPr>
          <w:rFonts w:hint="eastAsia" w:ascii="宋体" w:hAnsi="宋体" w:eastAsia="宋体"/>
          <w:color w:val="auto"/>
          <w:spacing w:val="6"/>
          <w:sz w:val="24"/>
          <w:szCs w:val="24"/>
          <w:highlight w:val="none"/>
          <w:lang w:eastAsia="zh-CN"/>
        </w:rPr>
        <w:t>）</w:t>
      </w:r>
      <w:r>
        <w:rPr>
          <w:rFonts w:hint="eastAsia" w:ascii="宋体" w:hAnsi="宋体" w:eastAsia="宋体"/>
          <w:color w:val="auto"/>
          <w:spacing w:val="6"/>
          <w:sz w:val="24"/>
          <w:szCs w:val="24"/>
          <w:highlight w:val="none"/>
        </w:rPr>
        <w:t>，或者提供其他残疾人福利性单位制造的货物（不包括使用非残疾人福利性单位注册商标的货物）。</w:t>
      </w:r>
    </w:p>
    <w:p w14:paraId="2EB640E6">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470FC53C">
      <w:pPr>
        <w:spacing w:line="360" w:lineRule="auto"/>
        <w:ind w:firstLine="4228" w:firstLineChars="1762"/>
        <w:rPr>
          <w:rFonts w:cs="Times New Roman"/>
          <w:color w:val="auto"/>
          <w:kern w:val="2"/>
          <w:sz w:val="24"/>
          <w:szCs w:val="24"/>
          <w:highlight w:val="none"/>
        </w:rPr>
      </w:pPr>
    </w:p>
    <w:p w14:paraId="7A86AC05">
      <w:pPr>
        <w:spacing w:line="360" w:lineRule="auto"/>
        <w:ind w:firstLine="4228" w:firstLineChars="1762"/>
        <w:rPr>
          <w:rFonts w:cs="Times New Roman"/>
          <w:color w:val="auto"/>
          <w:kern w:val="2"/>
          <w:sz w:val="24"/>
          <w:szCs w:val="24"/>
          <w:highlight w:val="none"/>
        </w:rPr>
      </w:pPr>
    </w:p>
    <w:p w14:paraId="284E97D0">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7440D09">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4D35E2BE">
      <w:pPr>
        <w:widowControl/>
        <w:jc w:val="left"/>
        <w:rPr>
          <w:rFonts w:ascii="宋体" w:hAnsi="宋体" w:eastAsia="宋体"/>
          <w:color w:val="auto"/>
          <w:sz w:val="24"/>
          <w:szCs w:val="24"/>
          <w:highlight w:val="none"/>
        </w:rPr>
      </w:pPr>
      <w:r>
        <w:rPr>
          <w:rFonts w:ascii="宋体" w:hAnsi="宋体" w:eastAsia="宋体"/>
          <w:color w:val="auto"/>
          <w:sz w:val="24"/>
          <w:szCs w:val="24"/>
          <w:highlight w:val="none"/>
        </w:rPr>
        <w:br w:type="page"/>
      </w:r>
    </w:p>
    <w:p w14:paraId="1959A6AE">
      <w:pPr>
        <w:spacing w:line="360" w:lineRule="auto"/>
        <w:jc w:val="center"/>
        <w:outlineLvl w:val="1"/>
        <w:rPr>
          <w:rFonts w:asciiTheme="minorEastAsia" w:hAnsiTheme="minorEastAsia" w:eastAsiaTheme="minorEastAsia"/>
          <w:b/>
          <w:bCs/>
          <w:sz w:val="24"/>
          <w:highlight w:val="none"/>
        </w:rPr>
      </w:pPr>
      <w:bookmarkStart w:id="746" w:name="_Toc20592"/>
      <w:bookmarkStart w:id="747" w:name="_Toc2278"/>
      <w:bookmarkStart w:id="748" w:name="_Hlk44283088"/>
      <w:bookmarkStart w:id="749" w:name="_Toc28645"/>
      <w:bookmarkStart w:id="750" w:name="_Toc8176"/>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供应商</w:t>
      </w:r>
      <w:r>
        <w:rPr>
          <w:rFonts w:hint="eastAsia" w:asciiTheme="minorEastAsia" w:hAnsiTheme="minorEastAsia" w:eastAsiaTheme="minorEastAsia"/>
          <w:b/>
          <w:sz w:val="24"/>
          <w:highlight w:val="none"/>
        </w:rPr>
        <w:t>诚信履约承诺函</w:t>
      </w:r>
      <w:bookmarkEnd w:id="746"/>
      <w:bookmarkEnd w:id="747"/>
    </w:p>
    <w:p w14:paraId="1CFBFD06">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u w:val="single"/>
        </w:rPr>
        <w:t>致：采购人</w:t>
      </w:r>
    </w:p>
    <w:p w14:paraId="1A16DBA2">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lang w:val="en-US" w:eastAsia="zh-CN"/>
        </w:rPr>
        <w:t>若</w:t>
      </w:r>
      <w:r>
        <w:rPr>
          <w:rFonts w:hint="eastAsia" w:asciiTheme="minorEastAsia" w:hAnsiTheme="minorEastAsia" w:eastAsiaTheme="minorEastAsia"/>
          <w:bCs/>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sz w:val="24"/>
          <w:highlight w:val="none"/>
          <w:lang w:val="en-US" w:eastAsia="zh-CN"/>
        </w:rPr>
        <w:t>的</w:t>
      </w:r>
      <w:r>
        <w:rPr>
          <w:rFonts w:hint="eastAsia" w:asciiTheme="minorEastAsia" w:hAnsiTheme="minorEastAsia" w:eastAsiaTheme="minorEastAsia"/>
          <w:bCs/>
          <w:sz w:val="24"/>
          <w:highlight w:val="none"/>
        </w:rPr>
        <w:t>相关规定，</w:t>
      </w:r>
      <w:r>
        <w:rPr>
          <w:rFonts w:hint="eastAsia" w:asciiTheme="minorEastAsia" w:hAnsiTheme="minorEastAsia" w:eastAsiaTheme="minorEastAsia"/>
          <w:bCs/>
          <w:sz w:val="24"/>
          <w:highlight w:val="none"/>
          <w:lang w:val="en-US" w:eastAsia="zh-CN"/>
        </w:rPr>
        <w:t>并郑重承诺如下</w:t>
      </w:r>
      <w:r>
        <w:rPr>
          <w:rFonts w:hint="eastAsia" w:asciiTheme="minorEastAsia" w:hAnsiTheme="minorEastAsia" w:eastAsiaTheme="minorEastAsia"/>
          <w:bCs/>
          <w:sz w:val="24"/>
          <w:highlight w:val="none"/>
        </w:rPr>
        <w:t>：</w:t>
      </w:r>
    </w:p>
    <w:p w14:paraId="1B748A32">
      <w:pPr>
        <w:numPr>
          <w:ilvl w:val="0"/>
          <w:numId w:val="0"/>
        </w:numPr>
        <w:spacing w:line="360" w:lineRule="auto"/>
        <w:ind w:firstLine="480" w:firstLineChars="200"/>
        <w:rPr>
          <w:rFonts w:hint="default" w:cs="@仿宋_GB2312" w:asciiTheme="minorEastAsia" w:hAnsiTheme="minorEastAsia" w:eastAsiaTheme="minorEastAsia"/>
          <w:bCs/>
          <w:kern w:val="2"/>
          <w:sz w:val="24"/>
          <w:highlight w:val="none"/>
          <w:lang w:val="en-US" w:eastAsia="zh-CN" w:bidi="ar-SA"/>
        </w:rPr>
      </w:pPr>
      <w:r>
        <w:rPr>
          <w:rFonts w:hint="eastAsia" w:cs="@仿宋_GB2312" w:asciiTheme="minorEastAsia" w:hAnsiTheme="minorEastAsia" w:eastAsiaTheme="minorEastAsia"/>
          <w:bCs/>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38D9115E">
      <w:pPr>
        <w:numPr>
          <w:ilvl w:val="0"/>
          <w:numId w:val="0"/>
        </w:numPr>
        <w:spacing w:line="360" w:lineRule="auto"/>
        <w:ind w:firstLine="480" w:firstLineChars="200"/>
        <w:rPr>
          <w:rFonts w:hint="eastAsia" w:asciiTheme="minorEastAsia" w:hAnsiTheme="minorEastAsia" w:eastAsiaTheme="minorEastAsia"/>
          <w:bCs/>
          <w:sz w:val="24"/>
          <w:highlight w:val="none"/>
          <w:lang w:val="en-US" w:eastAsia="zh-CN"/>
        </w:rPr>
      </w:pPr>
      <w:r>
        <w:rPr>
          <w:rFonts w:hint="eastAsia" w:cs="@仿宋_GB2312" w:asciiTheme="minorEastAsia" w:hAnsiTheme="minorEastAsia" w:eastAsiaTheme="minorEastAsia"/>
          <w:bCs/>
          <w:kern w:val="2"/>
          <w:sz w:val="24"/>
          <w:highlight w:val="none"/>
          <w:lang w:val="en-US" w:eastAsia="zh-CN" w:bidi="ar-SA"/>
        </w:rPr>
        <w:t>（2）</w:t>
      </w:r>
      <w:r>
        <w:rPr>
          <w:rFonts w:hint="eastAsia" w:asciiTheme="minorEastAsia" w:hAnsiTheme="minorEastAsia" w:eastAsiaTheme="minorEastAsia"/>
          <w:b/>
          <w:bCs w:val="0"/>
          <w:sz w:val="24"/>
          <w:highlight w:val="none"/>
          <w:lang w:val="en-US" w:eastAsia="zh-CN"/>
        </w:rPr>
        <w:t>成交通知书发送之日起10日历天内，</w:t>
      </w:r>
      <w:r>
        <w:rPr>
          <w:rFonts w:hint="eastAsia" w:asciiTheme="minorEastAsia" w:hAnsiTheme="minorEastAsia" w:eastAsiaTheme="minorEastAsia"/>
          <w:bCs/>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asciiTheme="minorEastAsia" w:hAnsiTheme="minorEastAsia" w:eastAsiaTheme="minorEastAsia"/>
          <w:bCs/>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kern w:val="2"/>
          <w:sz w:val="24"/>
          <w:highlight w:val="none"/>
          <w:lang w:val="en-US" w:eastAsia="zh-CN" w:bidi="ar-SA"/>
        </w:rPr>
        <w:t>我单位</w:t>
      </w:r>
      <w:r>
        <w:rPr>
          <w:rFonts w:hint="eastAsia" w:asciiTheme="minorEastAsia" w:hAnsiTheme="minorEastAsia" w:eastAsiaTheme="minorEastAsia"/>
          <w:bCs/>
          <w:sz w:val="24"/>
          <w:highlight w:val="none"/>
          <w:lang w:val="en-US" w:eastAsia="zh-CN"/>
        </w:rPr>
        <w:t>成交资格或合同甲方解除合同，同时愿意承担因此造成的一切损失和处罚，包括但不限于信用惩戒、限制响应资格等。</w:t>
      </w:r>
    </w:p>
    <w:p w14:paraId="2CC3823E">
      <w:pPr>
        <w:numPr>
          <w:ilvl w:val="0"/>
          <w:numId w:val="0"/>
        </w:numPr>
        <w:spacing w:line="360" w:lineRule="auto"/>
        <w:ind w:left="0" w:leftChars="0" w:firstLine="480" w:firstLineChars="200"/>
        <w:rPr>
          <w:rFonts w:hint="eastAsia" w:asciiTheme="minorEastAsia" w:hAnsiTheme="minorEastAsia" w:eastAsiaTheme="minorEastAsia"/>
          <w:bCs/>
          <w:sz w:val="24"/>
          <w:highlight w:val="none"/>
          <w:lang w:val="en-US" w:eastAsia="zh-CN"/>
        </w:rPr>
      </w:pPr>
      <w:r>
        <w:rPr>
          <w:rFonts w:hint="eastAsia" w:cs="@仿宋_GB2312" w:asciiTheme="minorEastAsia" w:hAnsiTheme="minorEastAsia" w:eastAsiaTheme="minorEastAsia"/>
          <w:bCs/>
          <w:kern w:val="2"/>
          <w:sz w:val="24"/>
          <w:highlight w:val="none"/>
          <w:lang w:val="en-US" w:eastAsia="zh-CN" w:bidi="ar-SA"/>
        </w:rPr>
        <w:t>（3）</w:t>
      </w:r>
      <w:r>
        <w:rPr>
          <w:rFonts w:hint="eastAsia" w:asciiTheme="minorEastAsia" w:hAnsiTheme="minorEastAsia" w:eastAsiaTheme="minorEastAsia"/>
          <w:bCs/>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kern w:val="2"/>
          <w:sz w:val="24"/>
          <w:highlight w:val="none"/>
          <w:lang w:val="en-US" w:eastAsia="zh-CN" w:bidi="ar-SA"/>
        </w:rPr>
        <w:t>我单位</w:t>
      </w:r>
      <w:r>
        <w:rPr>
          <w:rFonts w:hint="eastAsia" w:asciiTheme="minorEastAsia" w:hAnsiTheme="minorEastAsia" w:eastAsiaTheme="minorEastAsia"/>
          <w:bCs/>
          <w:sz w:val="24"/>
          <w:highlight w:val="none"/>
          <w:lang w:val="en-US" w:eastAsia="zh-CN"/>
        </w:rPr>
        <w:t>成交资格或合同甲方解除合同，并愿意承担因此造成的一切损失和处罚，包括但不限于信用惩戒、限制响应资格等。</w:t>
      </w:r>
    </w:p>
    <w:p w14:paraId="5836A055">
      <w:pPr>
        <w:spacing w:line="360" w:lineRule="auto"/>
        <w:ind w:firstLine="480" w:firstLineChars="200"/>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eastAsia="zh-CN"/>
        </w:rPr>
        <w:t>（</w:t>
      </w:r>
      <w:r>
        <w:rPr>
          <w:rFonts w:hint="eastAsia" w:asciiTheme="minorEastAsia" w:hAnsiTheme="minorEastAsia" w:eastAsiaTheme="minorEastAsia"/>
          <w:bCs/>
          <w:sz w:val="24"/>
          <w:highlight w:val="none"/>
          <w:lang w:val="en-US" w:eastAsia="zh-CN"/>
        </w:rPr>
        <w:t>4</w:t>
      </w:r>
      <w:r>
        <w:rPr>
          <w:rFonts w:hint="eastAsia" w:asciiTheme="minorEastAsia" w:hAnsiTheme="minorEastAsia" w:eastAsiaTheme="minorEastAsia"/>
          <w:bCs/>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sz w:val="24"/>
          <w:highlight w:val="none"/>
          <w:lang w:val="en-US" w:eastAsia="zh-CN"/>
        </w:rPr>
        <w:t>项目</w:t>
      </w:r>
      <w:r>
        <w:rPr>
          <w:rFonts w:hint="eastAsia" w:asciiTheme="minorEastAsia" w:hAnsiTheme="minorEastAsia" w:eastAsiaTheme="minorEastAsia"/>
          <w:bCs/>
          <w:sz w:val="24"/>
          <w:highlight w:val="none"/>
          <w:lang w:eastAsia="zh-CN"/>
        </w:rPr>
        <w:t>结算价中自愿核减1000元，减完为止。</w:t>
      </w:r>
    </w:p>
    <w:p w14:paraId="15524DF7">
      <w:pPr>
        <w:spacing w:line="360" w:lineRule="auto"/>
        <w:ind w:firstLine="480" w:firstLineChars="200"/>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eastAsia="zh-CN"/>
        </w:rPr>
        <w:t>（</w:t>
      </w:r>
      <w:r>
        <w:rPr>
          <w:rFonts w:hint="eastAsia" w:asciiTheme="minorEastAsia" w:hAnsiTheme="minorEastAsia" w:eastAsiaTheme="minorEastAsia"/>
          <w:bCs/>
          <w:sz w:val="24"/>
          <w:highlight w:val="none"/>
          <w:lang w:val="en-US" w:eastAsia="zh-CN"/>
        </w:rPr>
        <w:t>5</w:t>
      </w:r>
      <w:r>
        <w:rPr>
          <w:rFonts w:hint="eastAsia" w:asciiTheme="minorEastAsia" w:hAnsiTheme="minorEastAsia" w:eastAsiaTheme="minorEastAsia"/>
          <w:bCs/>
          <w:sz w:val="24"/>
          <w:highlight w:val="none"/>
          <w:lang w:eastAsia="zh-CN"/>
        </w:rPr>
        <w:t>）</w:t>
      </w:r>
      <w:r>
        <w:rPr>
          <w:rFonts w:hint="eastAsia" w:asciiTheme="minorEastAsia" w:hAnsiTheme="minorEastAsia" w:eastAsiaTheme="minorEastAsia"/>
          <w:bCs/>
          <w:sz w:val="24"/>
          <w:highlight w:val="none"/>
        </w:rPr>
        <w:t>合同履约期间，</w:t>
      </w:r>
      <w:r>
        <w:rPr>
          <w:rFonts w:hint="eastAsia" w:asciiTheme="minorEastAsia" w:hAnsiTheme="minorEastAsia" w:eastAsiaTheme="minorEastAsia"/>
          <w:bCs/>
          <w:sz w:val="24"/>
          <w:highlight w:val="none"/>
          <w:lang w:val="en-US" w:eastAsia="zh-CN"/>
        </w:rPr>
        <w:t>所有项目</w:t>
      </w:r>
      <w:r>
        <w:rPr>
          <w:rFonts w:hint="eastAsia" w:asciiTheme="minorEastAsia" w:hAnsiTheme="minorEastAsia" w:eastAsiaTheme="minorEastAsia"/>
          <w:bCs/>
          <w:sz w:val="24"/>
          <w:highlight w:val="none"/>
        </w:rPr>
        <w:t>人员突发疾病、意外等造成的人员伤亡及财产损失均由</w:t>
      </w:r>
      <w:r>
        <w:rPr>
          <w:rFonts w:hint="eastAsia" w:asciiTheme="minorEastAsia" w:hAnsiTheme="minorEastAsia" w:eastAsiaTheme="minorEastAsia"/>
          <w:bCs/>
          <w:sz w:val="24"/>
          <w:highlight w:val="none"/>
          <w:lang w:val="en-US" w:eastAsia="zh-CN"/>
        </w:rPr>
        <w:t>我单位</w:t>
      </w:r>
      <w:r>
        <w:rPr>
          <w:rFonts w:hint="eastAsia" w:asciiTheme="minorEastAsia" w:hAnsiTheme="minorEastAsia" w:eastAsiaTheme="minorEastAsia"/>
          <w:bCs/>
          <w:sz w:val="24"/>
          <w:highlight w:val="none"/>
        </w:rPr>
        <w:t>负责</w:t>
      </w:r>
      <w:r>
        <w:rPr>
          <w:rFonts w:hint="eastAsia" w:asciiTheme="minorEastAsia" w:hAnsiTheme="minorEastAsia" w:eastAsiaTheme="minorEastAsia"/>
          <w:bCs/>
          <w:sz w:val="24"/>
          <w:highlight w:val="none"/>
          <w:lang w:val="en-US" w:eastAsia="zh-CN"/>
        </w:rPr>
        <w:t>承担，并全额赔偿因此给采购人或第三方造成的损失。</w:t>
      </w:r>
    </w:p>
    <w:p w14:paraId="3F1E40C2">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w:t>
      </w:r>
      <w:r>
        <w:rPr>
          <w:rFonts w:hint="eastAsia" w:asciiTheme="minorEastAsia" w:hAnsiTheme="minorEastAsia" w:eastAsiaTheme="minorEastAsia"/>
          <w:bCs/>
          <w:sz w:val="24"/>
          <w:highlight w:val="none"/>
          <w:lang w:val="en-US" w:eastAsia="zh-CN"/>
        </w:rPr>
        <w:t>6</w:t>
      </w:r>
      <w:r>
        <w:rPr>
          <w:rFonts w:hint="eastAsia" w:asciiTheme="minorEastAsia" w:hAnsiTheme="minorEastAsia" w:eastAsiaTheme="minorEastAsia"/>
          <w:bCs/>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kern w:val="2"/>
          <w:sz w:val="24"/>
          <w:highlight w:val="none"/>
          <w:lang w:val="en-US" w:eastAsia="zh-CN" w:bidi="ar-SA"/>
        </w:rPr>
        <w:t>我单位</w:t>
      </w:r>
      <w:r>
        <w:rPr>
          <w:rFonts w:hint="eastAsia" w:asciiTheme="minorEastAsia" w:hAnsiTheme="minorEastAsia" w:eastAsiaTheme="minorEastAsia"/>
          <w:bCs/>
          <w:sz w:val="24"/>
          <w:highlight w:val="none"/>
        </w:rPr>
        <w:t>成交资格或</w:t>
      </w:r>
      <w:r>
        <w:rPr>
          <w:rFonts w:hint="eastAsia" w:asciiTheme="minorEastAsia" w:hAnsiTheme="minorEastAsia" w:eastAsiaTheme="minorEastAsia"/>
          <w:bCs/>
          <w:sz w:val="24"/>
          <w:highlight w:val="none"/>
          <w:lang w:eastAsia="zh-CN"/>
        </w:rPr>
        <w:t>合同甲方解除合同</w:t>
      </w:r>
      <w:r>
        <w:rPr>
          <w:rFonts w:hint="eastAsia" w:asciiTheme="minorEastAsia" w:hAnsiTheme="minorEastAsia" w:eastAsiaTheme="minorEastAsia"/>
          <w:bCs/>
          <w:sz w:val="24"/>
          <w:highlight w:val="none"/>
        </w:rPr>
        <w:t>，并愿意承担因此造成的一切损失和处罚，包括但不限于信用惩戒、限制响应资格等。</w:t>
      </w:r>
    </w:p>
    <w:p w14:paraId="4974698D">
      <w:pPr>
        <w:spacing w:line="360" w:lineRule="auto"/>
        <w:rPr>
          <w:rFonts w:asciiTheme="minorEastAsia" w:hAnsiTheme="minorEastAsia" w:eastAsiaTheme="minorEastAsia"/>
          <w:bCs/>
          <w:sz w:val="24"/>
          <w:highlight w:val="none"/>
        </w:rPr>
      </w:pPr>
    </w:p>
    <w:p w14:paraId="24FB49D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供应商电子签章：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5263474A">
      <w:pPr>
        <w:spacing w:line="360" w:lineRule="auto"/>
        <w:ind w:firstLine="4320" w:firstLineChars="1800"/>
        <w:rPr>
          <w:rFonts w:asciiTheme="minorEastAsia" w:hAnsiTheme="minorEastAsia" w:eastAsiaTheme="minorEastAsia"/>
          <w:b/>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bookmarkEnd w:id="748"/>
    <w:p w14:paraId="77DEED45">
      <w:pPr>
        <w:rPr>
          <w:highlight w:val="none"/>
        </w:rPr>
      </w:pPr>
    </w:p>
    <w:p w14:paraId="28C4DE2F">
      <w:pPr>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br w:type="page"/>
      </w:r>
    </w:p>
    <w:p w14:paraId="4D3093CE">
      <w:pPr>
        <w:spacing w:line="360" w:lineRule="auto"/>
        <w:jc w:val="center"/>
        <w:outlineLvl w:val="1"/>
        <w:rPr>
          <w:rFonts w:ascii="宋体" w:hAnsi="宋体" w:eastAsia="宋体"/>
          <w:b/>
          <w:color w:val="auto"/>
          <w:sz w:val="24"/>
          <w:szCs w:val="24"/>
          <w:highlight w:val="none"/>
        </w:rPr>
      </w:pPr>
      <w:r>
        <w:rPr>
          <w:rFonts w:hint="eastAsia"/>
          <w:b/>
          <w:color w:val="auto"/>
          <w:sz w:val="24"/>
          <w:szCs w:val="24"/>
          <w:highlight w:val="none"/>
          <w:lang w:val="en-US" w:eastAsia="zh-CN"/>
        </w:rPr>
        <w:t>十</w:t>
      </w:r>
      <w:r>
        <w:rPr>
          <w:rFonts w:hint="eastAsia" w:ascii="宋体" w:hAnsi="宋体" w:eastAsia="宋体"/>
          <w:b/>
          <w:color w:val="auto"/>
          <w:sz w:val="24"/>
          <w:szCs w:val="24"/>
          <w:highlight w:val="none"/>
        </w:rPr>
        <w:t>、其他相关证明材料</w:t>
      </w:r>
      <w:bookmarkEnd w:id="749"/>
      <w:bookmarkEnd w:id="750"/>
    </w:p>
    <w:p w14:paraId="5EDEA047">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提供符合</w:t>
      </w:r>
      <w:r>
        <w:rPr>
          <w:rFonts w:hint="eastAsia" w:ascii="宋体" w:hAnsi="宋体" w:eastAsia="宋体"/>
          <w:color w:val="auto"/>
          <w:sz w:val="24"/>
          <w:szCs w:val="24"/>
          <w:highlight w:val="none"/>
          <w:lang w:val="en-US" w:eastAsia="zh-CN"/>
        </w:rPr>
        <w:t>磋商</w:t>
      </w:r>
      <w:r>
        <w:rPr>
          <w:rFonts w:hint="eastAsia" w:ascii="宋体" w:hAnsi="宋体" w:eastAsia="宋体"/>
          <w:color w:val="auto"/>
          <w:sz w:val="24"/>
          <w:szCs w:val="24"/>
          <w:highlight w:val="none"/>
        </w:rPr>
        <w:t>邀请、采购需求及评标方法和标准规定的相关证明文件。</w:t>
      </w:r>
    </w:p>
    <w:p w14:paraId="5889BBB1">
      <w:pPr>
        <w:spacing w:line="360" w:lineRule="auto"/>
        <w:ind w:firstLine="480" w:firstLineChars="200"/>
        <w:rPr>
          <w:rFonts w:ascii="宋体" w:hAnsi="宋体" w:eastAsia="宋体"/>
          <w:color w:val="auto"/>
          <w:sz w:val="24"/>
          <w:szCs w:val="24"/>
          <w:highlight w:val="none"/>
        </w:rPr>
      </w:pPr>
    </w:p>
    <w:p w14:paraId="5CD9884C">
      <w:pPr>
        <w:spacing w:line="360" w:lineRule="auto"/>
        <w:ind w:firstLine="435"/>
        <w:rPr>
          <w:rFonts w:ascii="宋体" w:hAnsi="宋体" w:eastAsia="宋体"/>
          <w:b/>
          <w:color w:val="auto"/>
          <w:sz w:val="24"/>
          <w:szCs w:val="24"/>
          <w:highlight w:val="none"/>
        </w:rPr>
      </w:pPr>
      <w:r>
        <w:rPr>
          <w:rFonts w:hint="eastAsia" w:ascii="宋体" w:hAnsi="宋体" w:eastAsia="宋体"/>
          <w:b/>
          <w:color w:val="auto"/>
          <w:sz w:val="24"/>
          <w:szCs w:val="24"/>
          <w:highlight w:val="none"/>
        </w:rPr>
        <w:t>特别提示：</w:t>
      </w:r>
    </w:p>
    <w:p w14:paraId="509151F2">
      <w:pPr>
        <w:spacing w:line="360" w:lineRule="auto"/>
        <w:ind w:firstLine="435"/>
        <w:rPr>
          <w:rFonts w:ascii="宋体" w:hAnsi="宋体" w:eastAsia="宋体"/>
          <w:color w:val="auto"/>
          <w:sz w:val="24"/>
          <w:szCs w:val="24"/>
          <w:highlight w:val="none"/>
        </w:rPr>
      </w:pPr>
      <w:r>
        <w:rPr>
          <w:rFonts w:hint="eastAsia" w:ascii="宋体" w:hAnsi="宋体" w:eastAsia="宋体"/>
          <w:color w:val="auto"/>
          <w:sz w:val="24"/>
          <w:szCs w:val="24"/>
          <w:highlight w:val="none"/>
        </w:rPr>
        <w:t>供应商在响应文件制作时可在此栏内上传磋商文件</w:t>
      </w:r>
      <w:r>
        <w:rPr>
          <w:rFonts w:ascii="宋体" w:hAnsi="宋体" w:eastAsia="宋体"/>
          <w:color w:val="auto"/>
          <w:sz w:val="24"/>
          <w:szCs w:val="24"/>
          <w:highlight w:val="none"/>
        </w:rPr>
        <w:t>要求上传的证明资料</w:t>
      </w:r>
      <w:r>
        <w:rPr>
          <w:rFonts w:hint="eastAsia" w:ascii="宋体" w:hAnsi="宋体" w:eastAsia="宋体"/>
          <w:color w:val="auto"/>
          <w:sz w:val="24"/>
          <w:szCs w:val="24"/>
          <w:highlight w:val="none"/>
        </w:rPr>
        <w:t>，如营业执照、证书</w:t>
      </w:r>
      <w:r>
        <w:rPr>
          <w:rFonts w:ascii="宋体" w:hAnsi="宋体" w:eastAsia="宋体"/>
          <w:color w:val="auto"/>
          <w:sz w:val="24"/>
          <w:szCs w:val="24"/>
          <w:highlight w:val="none"/>
        </w:rPr>
        <w:t>等，应将上述证明材料制作成扫描件上传。</w:t>
      </w:r>
    </w:p>
    <w:p w14:paraId="3BD08184">
      <w:pPr>
        <w:pStyle w:val="51"/>
        <w:spacing w:before="0" w:beforeAutospacing="0" w:after="0" w:afterAutospacing="0" w:line="360" w:lineRule="auto"/>
        <w:ind w:firstLine="640"/>
        <w:jc w:val="both"/>
        <w:rPr>
          <w:color w:val="auto"/>
          <w:sz w:val="24"/>
          <w:szCs w:val="24"/>
          <w:highlight w:val="none"/>
        </w:rPr>
      </w:pPr>
      <w:r>
        <w:rPr>
          <w:rFonts w:ascii="宋体" w:hAnsi="宋体" w:eastAsia="宋体"/>
          <w:color w:val="auto"/>
          <w:sz w:val="24"/>
          <w:szCs w:val="24"/>
          <w:highlight w:val="none"/>
        </w:rPr>
        <w:br w:type="page"/>
      </w:r>
    </w:p>
    <w:p w14:paraId="1DD3181A">
      <w:pPr>
        <w:widowControl/>
        <w:jc w:val="center"/>
        <w:outlineLvl w:val="0"/>
        <w:rPr>
          <w:b/>
          <w:bCs/>
          <w:color w:val="auto"/>
          <w:sz w:val="24"/>
          <w:szCs w:val="24"/>
          <w:highlight w:val="none"/>
        </w:rPr>
      </w:pPr>
      <w:bookmarkStart w:id="751" w:name="_Toc24879"/>
      <w:r>
        <w:rPr>
          <w:rFonts w:hint="eastAsia"/>
          <w:b/>
          <w:bCs/>
          <w:color w:val="auto"/>
          <w:sz w:val="24"/>
          <w:szCs w:val="24"/>
          <w:highlight w:val="none"/>
        </w:rPr>
        <w:t>第</w:t>
      </w:r>
      <w:r>
        <w:rPr>
          <w:rFonts w:hint="eastAsia"/>
          <w:b/>
          <w:bCs/>
          <w:color w:val="auto"/>
          <w:sz w:val="24"/>
          <w:szCs w:val="24"/>
          <w:highlight w:val="none"/>
          <w:lang w:val="en-US" w:eastAsia="zh-CN"/>
        </w:rPr>
        <w:t>七</w:t>
      </w:r>
      <w:r>
        <w:rPr>
          <w:rFonts w:hint="eastAsia"/>
          <w:b/>
          <w:bCs/>
          <w:color w:val="auto"/>
          <w:sz w:val="24"/>
          <w:szCs w:val="24"/>
          <w:highlight w:val="none"/>
        </w:rPr>
        <w:t>章  政府采购</w:t>
      </w:r>
      <w:r>
        <w:rPr>
          <w:rFonts w:hint="eastAsia" w:ascii="宋体" w:hAnsi="宋体" w:eastAsia="宋体"/>
          <w:b/>
          <w:color w:val="auto"/>
          <w:sz w:val="24"/>
          <w:szCs w:val="24"/>
          <w:highlight w:val="none"/>
        </w:rPr>
        <w:t>供应</w:t>
      </w:r>
      <w:r>
        <w:rPr>
          <w:rFonts w:hint="eastAsia"/>
          <w:b/>
          <w:bCs/>
          <w:color w:val="auto"/>
          <w:sz w:val="24"/>
          <w:szCs w:val="24"/>
          <w:highlight w:val="none"/>
        </w:rPr>
        <w:t>商询问函和质疑函范本</w:t>
      </w:r>
      <w:bookmarkEnd w:id="751"/>
    </w:p>
    <w:p w14:paraId="006D67C9">
      <w:pPr>
        <w:spacing w:line="360" w:lineRule="auto"/>
        <w:jc w:val="center"/>
        <w:outlineLvl w:val="9"/>
        <w:rPr>
          <w:rFonts w:ascii="仿宋" w:hAnsi="仿宋" w:eastAsia="仿宋" w:cs="仿宋"/>
          <w:b/>
          <w:bCs/>
          <w:color w:val="auto"/>
          <w:sz w:val="24"/>
          <w:szCs w:val="24"/>
          <w:highlight w:val="none"/>
        </w:rPr>
      </w:pPr>
      <w:bookmarkStart w:id="752" w:name="_Toc26448"/>
      <w:bookmarkStart w:id="753" w:name="_Toc2290"/>
      <w:r>
        <w:rPr>
          <w:rFonts w:hint="eastAsia" w:ascii="仿宋" w:hAnsi="仿宋" w:eastAsia="仿宋" w:cs="仿宋"/>
          <w:b/>
          <w:bCs/>
          <w:color w:val="auto"/>
          <w:sz w:val="24"/>
          <w:szCs w:val="24"/>
          <w:highlight w:val="none"/>
        </w:rPr>
        <w:t>询问函范本</w:t>
      </w:r>
      <w:bookmarkEnd w:id="752"/>
      <w:bookmarkEnd w:id="753"/>
    </w:p>
    <w:p w14:paraId="06F837EE">
      <w:pPr>
        <w:adjustRightInd w:val="0"/>
        <w:snapToGrid w:val="0"/>
        <w:spacing w:line="360" w:lineRule="auto"/>
        <w:ind w:firstLine="480" w:firstLineChars="200"/>
        <w:jc w:val="center"/>
        <w:outlineLvl w:val="9"/>
        <w:rPr>
          <w:rFonts w:ascii="仿宋" w:hAnsi="仿宋" w:eastAsia="仿宋" w:cs="仿宋"/>
          <w:b/>
          <w:bCs/>
          <w:color w:val="auto"/>
          <w:sz w:val="24"/>
          <w:szCs w:val="24"/>
          <w:highlight w:val="none"/>
        </w:rPr>
      </w:pPr>
      <w:r>
        <w:rPr>
          <w:rFonts w:hint="eastAsia" w:ascii="宋体" w:hAnsi="宋体" w:eastAsia="宋体" w:cs="仿宋"/>
          <w:i/>
          <w:iCs/>
          <w:color w:val="auto"/>
          <w:sz w:val="24"/>
          <w:szCs w:val="24"/>
          <w:highlight w:val="none"/>
        </w:rPr>
        <w:t>（如为对采购文件或采购程序的询问或疑问，请按询问函范本或电子交易系统中网上询问格式附件进行提交）</w:t>
      </w:r>
    </w:p>
    <w:p w14:paraId="5E4F72A0">
      <w:pPr>
        <w:adjustRightInd w:val="0"/>
        <w:snapToGrid w:val="0"/>
        <w:spacing w:line="360" w:lineRule="auto"/>
        <w:outlineLvl w:val="9"/>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lang w:val="en-US" w:eastAsia="zh-CN"/>
        </w:rPr>
        <w:t>致：</w:t>
      </w:r>
      <w:r>
        <w:rPr>
          <w:rFonts w:hint="eastAsia" w:ascii="宋体" w:hAnsi="宋体" w:eastAsia="宋体" w:cs="仿宋"/>
          <w:color w:val="auto"/>
          <w:sz w:val="24"/>
          <w:szCs w:val="24"/>
          <w:highlight w:val="none"/>
          <w:lang w:eastAsia="zh-CN"/>
        </w:rPr>
        <w:t>采购人</w:t>
      </w:r>
    </w:p>
    <w:p w14:paraId="79C52CE7">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17FE6221">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54" w:name="_Toc32070"/>
      <w:bookmarkStart w:id="755" w:name="_Toc14234"/>
      <w:r>
        <w:rPr>
          <w:rFonts w:hint="eastAsia" w:ascii="宋体" w:hAnsi="宋体" w:eastAsia="宋体" w:cs="仿宋"/>
          <w:color w:val="auto"/>
          <w:sz w:val="24"/>
          <w:szCs w:val="24"/>
          <w:highlight w:val="none"/>
        </w:rPr>
        <w:t>一、(事项一)</w:t>
      </w:r>
      <w:bookmarkEnd w:id="754"/>
      <w:bookmarkEnd w:id="755"/>
    </w:p>
    <w:p w14:paraId="290ADE1F">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E779B9B">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F779AD3">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5DA23EFD">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56" w:name="_Toc6489"/>
      <w:bookmarkStart w:id="757" w:name="_Toc16507"/>
      <w:r>
        <w:rPr>
          <w:rFonts w:hint="eastAsia" w:ascii="宋体" w:hAnsi="宋体" w:eastAsia="宋体" w:cs="仿宋"/>
          <w:color w:val="auto"/>
          <w:sz w:val="24"/>
          <w:szCs w:val="24"/>
          <w:highlight w:val="none"/>
        </w:rPr>
        <w:t>二、(事项二)</w:t>
      </w:r>
      <w:bookmarkEnd w:id="756"/>
      <w:bookmarkEnd w:id="757"/>
    </w:p>
    <w:p w14:paraId="0FEE0EEC">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1AC33562">
      <w:pPr>
        <w:adjustRightInd w:val="0"/>
        <w:snapToGrid w:val="0"/>
        <w:spacing w:line="360" w:lineRule="auto"/>
        <w:ind w:firstLine="480" w:firstLineChars="200"/>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65229A95">
      <w:pPr>
        <w:spacing w:line="360" w:lineRule="auto"/>
        <w:ind w:firstLine="4228" w:firstLineChars="1762"/>
        <w:outlineLvl w:val="9"/>
        <w:rPr>
          <w:rFonts w:ascii="宋体" w:hAnsi="宋体" w:eastAsia="宋体"/>
          <w:color w:val="auto"/>
          <w:sz w:val="24"/>
          <w:szCs w:val="24"/>
          <w:highlight w:val="none"/>
          <w:u w:val="single"/>
        </w:rPr>
      </w:pPr>
      <w:r>
        <w:rPr>
          <w:rFonts w:hint="eastAsia" w:ascii="宋体" w:hAnsi="宋体" w:eastAsia="宋体"/>
          <w:color w:val="auto"/>
          <w:sz w:val="24"/>
          <w:szCs w:val="24"/>
          <w:highlight w:val="none"/>
        </w:rPr>
        <w:t>联 系 人：</w:t>
      </w:r>
      <w:r>
        <w:rPr>
          <w:rFonts w:hint="eastAsia" w:ascii="宋体" w:hAnsi="宋体" w:eastAsia="宋体"/>
          <w:color w:val="auto"/>
          <w:sz w:val="24"/>
          <w:szCs w:val="24"/>
          <w:highlight w:val="none"/>
          <w:u w:val="single"/>
        </w:rPr>
        <w:t xml:space="preserve">              </w:t>
      </w:r>
    </w:p>
    <w:p w14:paraId="1894D6F5">
      <w:pPr>
        <w:spacing w:line="360" w:lineRule="auto"/>
        <w:ind w:firstLine="4228" w:firstLineChars="1762"/>
        <w:outlineLvl w:val="9"/>
        <w:rPr>
          <w:rFonts w:ascii="宋体" w:hAnsi="宋体" w:eastAsia="宋体"/>
          <w:color w:val="auto"/>
          <w:sz w:val="24"/>
          <w:szCs w:val="24"/>
          <w:highlight w:val="none"/>
          <w:u w:val="single"/>
        </w:rPr>
      </w:pPr>
      <w:r>
        <w:rPr>
          <w:rFonts w:hint="eastAsia" w:ascii="宋体" w:hAnsi="宋体" w:eastAsia="宋体"/>
          <w:color w:val="auto"/>
          <w:sz w:val="24"/>
          <w:szCs w:val="24"/>
          <w:highlight w:val="none"/>
        </w:rPr>
        <w:t>联系电话：</w:t>
      </w:r>
      <w:r>
        <w:rPr>
          <w:rFonts w:hint="eastAsia" w:ascii="宋体" w:hAnsi="宋体" w:eastAsia="宋体"/>
          <w:color w:val="auto"/>
          <w:sz w:val="24"/>
          <w:szCs w:val="24"/>
          <w:highlight w:val="none"/>
          <w:u w:val="single"/>
        </w:rPr>
        <w:t xml:space="preserve">              </w:t>
      </w:r>
    </w:p>
    <w:p w14:paraId="273B3EF0">
      <w:pPr>
        <w:tabs>
          <w:tab w:val="left" w:pos="630"/>
        </w:tabs>
        <w:spacing w:line="360" w:lineRule="auto"/>
        <w:ind w:firstLine="4228" w:firstLineChars="1762"/>
        <w:outlineLvl w:val="9"/>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    期：</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F2296FF">
      <w:pPr>
        <w:outlineLvl w:val="9"/>
        <w:rPr>
          <w:rFonts w:ascii="宋体" w:hAnsi="宋体" w:eastAsia="宋体"/>
          <w:b/>
          <w:color w:val="auto"/>
          <w:sz w:val="24"/>
          <w:szCs w:val="24"/>
          <w:highlight w:val="none"/>
        </w:rPr>
      </w:pPr>
      <w:r>
        <w:rPr>
          <w:rFonts w:hint="eastAsia" w:ascii="仿宋" w:hAnsi="仿宋" w:eastAsia="仿宋" w:cs="仿宋"/>
          <w:b/>
          <w:bCs/>
          <w:color w:val="auto"/>
          <w:sz w:val="24"/>
          <w:szCs w:val="24"/>
          <w:highlight w:val="none"/>
        </w:rPr>
        <w:br w:type="page"/>
      </w:r>
    </w:p>
    <w:p w14:paraId="3AD376F6">
      <w:pPr>
        <w:jc w:val="center"/>
        <w:outlineLvl w:val="9"/>
        <w:rPr>
          <w:rFonts w:ascii="仿宋" w:hAnsi="仿宋" w:eastAsia="仿宋" w:cs="仿宋"/>
          <w:b/>
          <w:bCs/>
          <w:color w:val="auto"/>
          <w:sz w:val="24"/>
          <w:szCs w:val="24"/>
          <w:highlight w:val="none"/>
        </w:rPr>
      </w:pPr>
      <w:bookmarkStart w:id="758" w:name="_Toc4923"/>
      <w:bookmarkStart w:id="759" w:name="_Toc26224"/>
      <w:r>
        <w:rPr>
          <w:rFonts w:hint="eastAsia" w:ascii="仿宋" w:hAnsi="仿宋" w:eastAsia="仿宋" w:cs="仿宋"/>
          <w:b/>
          <w:bCs/>
          <w:color w:val="auto"/>
          <w:sz w:val="24"/>
          <w:szCs w:val="24"/>
          <w:highlight w:val="none"/>
        </w:rPr>
        <w:t>质疑函范本</w:t>
      </w:r>
      <w:bookmarkEnd w:id="758"/>
      <w:bookmarkEnd w:id="759"/>
    </w:p>
    <w:p w14:paraId="50FB59F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60" w:name="_Toc3847"/>
      <w:bookmarkStart w:id="761" w:name="_Toc10663"/>
      <w:r>
        <w:rPr>
          <w:rFonts w:hint="eastAsia" w:ascii="宋体" w:hAnsi="宋体" w:eastAsia="宋体" w:cs="仿宋"/>
          <w:b/>
          <w:bCs/>
          <w:color w:val="auto"/>
          <w:sz w:val="24"/>
          <w:szCs w:val="24"/>
          <w:highlight w:val="none"/>
        </w:rPr>
        <w:t>一、质疑供应商基本信息</w:t>
      </w:r>
      <w:bookmarkEnd w:id="760"/>
      <w:bookmarkEnd w:id="761"/>
    </w:p>
    <w:p w14:paraId="722832C9">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51D3A93D">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1D275F5">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331A3988">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FCF5141">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7E788974">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D6C7A4E">
      <w:pPr>
        <w:adjustRightInd w:val="0"/>
        <w:snapToGrid w:val="0"/>
        <w:spacing w:line="360" w:lineRule="auto"/>
        <w:outlineLvl w:val="9"/>
        <w:rPr>
          <w:rFonts w:ascii="宋体" w:hAnsi="宋体" w:eastAsia="宋体" w:cs="仿宋"/>
          <w:b/>
          <w:bCs/>
          <w:color w:val="auto"/>
          <w:sz w:val="24"/>
          <w:szCs w:val="24"/>
          <w:highlight w:val="none"/>
        </w:rPr>
      </w:pPr>
      <w:bookmarkStart w:id="762" w:name="_Toc30012"/>
      <w:bookmarkStart w:id="763" w:name="_Toc19182"/>
      <w:r>
        <w:rPr>
          <w:rFonts w:hint="eastAsia" w:ascii="宋体" w:hAnsi="宋体" w:eastAsia="宋体" w:cs="仿宋"/>
          <w:b/>
          <w:bCs/>
          <w:color w:val="auto"/>
          <w:sz w:val="24"/>
          <w:szCs w:val="24"/>
          <w:highlight w:val="none"/>
        </w:rPr>
        <w:t>二、质疑项目基本情况</w:t>
      </w:r>
      <w:bookmarkEnd w:id="762"/>
      <w:bookmarkEnd w:id="763"/>
    </w:p>
    <w:p w14:paraId="6591B20A">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11FC4189">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F0ECB26">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6165CA80">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08D0CCDF">
      <w:pPr>
        <w:adjustRightInd w:val="0"/>
        <w:snapToGrid w:val="0"/>
        <w:spacing w:line="360" w:lineRule="auto"/>
        <w:outlineLvl w:val="9"/>
        <w:rPr>
          <w:rFonts w:ascii="宋体" w:hAnsi="宋体" w:eastAsia="宋体" w:cs="仿宋"/>
          <w:b/>
          <w:bCs/>
          <w:color w:val="auto"/>
          <w:sz w:val="24"/>
          <w:szCs w:val="24"/>
          <w:highlight w:val="none"/>
        </w:rPr>
      </w:pPr>
      <w:bookmarkStart w:id="764" w:name="_Toc21700"/>
      <w:bookmarkStart w:id="765" w:name="_Toc9989"/>
      <w:r>
        <w:rPr>
          <w:rFonts w:hint="eastAsia" w:ascii="宋体" w:hAnsi="宋体" w:eastAsia="宋体" w:cs="仿宋"/>
          <w:b/>
          <w:bCs/>
          <w:color w:val="auto"/>
          <w:sz w:val="24"/>
          <w:szCs w:val="24"/>
          <w:highlight w:val="none"/>
        </w:rPr>
        <w:t>三、质疑事项具体内容</w:t>
      </w:r>
      <w:bookmarkEnd w:id="764"/>
      <w:bookmarkEnd w:id="765"/>
    </w:p>
    <w:p w14:paraId="664183AA">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990DECA">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3F43D917">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36CCDEA4">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384BCB70">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9380B98">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2F57D318">
      <w:pPr>
        <w:adjustRightInd w:val="0"/>
        <w:snapToGrid w:val="0"/>
        <w:spacing w:line="360" w:lineRule="auto"/>
        <w:outlineLvl w:val="9"/>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43C9F604">
      <w:pPr>
        <w:adjustRightInd w:val="0"/>
        <w:snapToGrid w:val="0"/>
        <w:spacing w:line="360" w:lineRule="auto"/>
        <w:outlineLvl w:val="9"/>
        <w:rPr>
          <w:rFonts w:ascii="宋体" w:hAnsi="宋体" w:eastAsia="宋体" w:cs="仿宋"/>
          <w:b/>
          <w:bCs/>
          <w:color w:val="auto"/>
          <w:sz w:val="24"/>
          <w:szCs w:val="24"/>
          <w:highlight w:val="none"/>
        </w:rPr>
      </w:pPr>
      <w:bookmarkStart w:id="766" w:name="_Toc10625"/>
      <w:bookmarkStart w:id="767" w:name="_Toc19016"/>
      <w:r>
        <w:rPr>
          <w:rFonts w:hint="eastAsia" w:ascii="宋体" w:hAnsi="宋体" w:eastAsia="宋体" w:cs="仿宋"/>
          <w:b/>
          <w:bCs/>
          <w:color w:val="auto"/>
          <w:sz w:val="24"/>
          <w:szCs w:val="24"/>
          <w:highlight w:val="none"/>
        </w:rPr>
        <w:t>四、与质疑事项相关的质疑请求</w:t>
      </w:r>
      <w:bookmarkEnd w:id="766"/>
      <w:bookmarkEnd w:id="767"/>
    </w:p>
    <w:p w14:paraId="68AF9177">
      <w:pPr>
        <w:adjustRightInd w:val="0"/>
        <w:snapToGrid w:val="0"/>
        <w:spacing w:line="360" w:lineRule="auto"/>
        <w:outlineLvl w:val="9"/>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71F740B5">
      <w:pPr>
        <w:spacing w:line="360" w:lineRule="auto"/>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57FBEB49">
      <w:pPr>
        <w:spacing w:line="360" w:lineRule="auto"/>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4452A3ED">
      <w:pPr>
        <w:widowControl/>
        <w:jc w:val="left"/>
        <w:outlineLvl w:val="9"/>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546F0181">
      <w:pPr>
        <w:outlineLvl w:val="9"/>
        <w:rPr>
          <w:rFonts w:ascii="宋体" w:hAnsi="宋体" w:eastAsia="宋体"/>
          <w:b/>
          <w:color w:val="auto"/>
          <w:sz w:val="24"/>
          <w:szCs w:val="24"/>
          <w:highlight w:val="none"/>
        </w:rPr>
      </w:pPr>
      <w:bookmarkStart w:id="768" w:name="_Toc17684"/>
      <w:bookmarkStart w:id="769" w:name="_Toc25274"/>
      <w:r>
        <w:rPr>
          <w:rFonts w:hint="eastAsia" w:ascii="宋体" w:hAnsi="宋体" w:eastAsia="宋体"/>
          <w:b/>
          <w:color w:val="auto"/>
          <w:sz w:val="24"/>
          <w:szCs w:val="24"/>
          <w:highlight w:val="none"/>
        </w:rPr>
        <w:t>质疑函制作说明：</w:t>
      </w:r>
      <w:bookmarkEnd w:id="768"/>
      <w:bookmarkEnd w:id="769"/>
    </w:p>
    <w:p w14:paraId="07BC50F1">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1.供应商提出质疑时，应提交质疑函和必要的证明材料。</w:t>
      </w:r>
    </w:p>
    <w:p w14:paraId="55631007">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9F5106">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3.质疑供应商若对项目的某一分包进行质疑，质疑函中应列明具体分包号。</w:t>
      </w:r>
    </w:p>
    <w:p w14:paraId="43E198B7">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4.质疑函的质疑事项应具体、明确，并有必要的事实依据和法律依据。</w:t>
      </w:r>
    </w:p>
    <w:p w14:paraId="339BF585">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5.质疑函的质疑请求应与质疑事项相关。</w:t>
      </w:r>
    </w:p>
    <w:p w14:paraId="0D1C0DB7">
      <w:pPr>
        <w:spacing w:line="360" w:lineRule="auto"/>
        <w:ind w:firstLine="435"/>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81B116B">
      <w:pPr>
        <w:spacing w:line="360" w:lineRule="auto"/>
        <w:ind w:firstLine="435"/>
        <w:outlineLvl w:val="9"/>
        <w:rPr>
          <w:rFonts w:asciiTheme="minorEastAsia" w:hAnsiTheme="minorEastAsia" w:eastAsiaTheme="minorEastAsia"/>
          <w:color w:val="auto"/>
          <w:sz w:val="24"/>
          <w:highlight w:val="none"/>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F01FB">
    <w:pPr>
      <w:pStyle w:val="34"/>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90B7">
    <w:pPr>
      <w:pStyle w:val="34"/>
      <w:tabs>
        <w:tab w:val="clear" w:pos="4153"/>
      </w:tabs>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8A5A4">
                          <w:pPr>
                            <w:pStyle w:val="3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38A5A4">
                    <w:pPr>
                      <w:pStyle w:val="3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2596">
    <w:pPr>
      <w:pStyle w:val="34"/>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3C937">
                          <w:pPr>
                            <w:pStyle w:val="3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03C937">
                    <w:pPr>
                      <w:pStyle w:val="3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B17F">
    <w:pPr>
      <w:pStyle w:val="34"/>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D82DD">
                          <w:pPr>
                            <w:pStyle w:val="34"/>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ED82DD">
                    <w:pPr>
                      <w:pStyle w:val="34"/>
                    </w:pPr>
                    <w:r>
                      <w:fldChar w:fldCharType="begin"/>
                    </w:r>
                    <w:r>
                      <w:instrText xml:space="preserve"> PAGE  \* MERGEFORMAT </w:instrText>
                    </w:r>
                    <w:r>
                      <w:fldChar w:fldCharType="separate"/>
                    </w:r>
                    <w:r>
                      <w:t>92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3DB7D">
    <w:pPr>
      <w:pStyle w:val="35"/>
      <w:jc w:val="left"/>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DF11">
    <w:pPr>
      <w:pStyle w:val="35"/>
      <w:jc w:val="both"/>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13D9">
    <w:pPr>
      <w:pStyle w:val="35"/>
      <w:jc w:val="left"/>
      <w:rPr>
        <w:rFonts w:hint="eastAsia" w:eastAsia="宋体"/>
        <w:lang w:eastAsia="zh-CN"/>
      </w:rPr>
    </w:pPr>
    <w:r>
      <w:rPr>
        <w:rFonts w:hint="eastAsia"/>
        <w:lang w:eastAsia="zh-CN"/>
      </w:rPr>
      <w:t>2025年省淮河局水闸监测设施等维修改造（第4包）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07183"/>
    <w:multiLevelType w:val="singleLevel"/>
    <w:tmpl w:val="B7407183"/>
    <w:lvl w:ilvl="0" w:tentative="0">
      <w:start w:val="3"/>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lvlText w:val="%1"/>
      <w:lvlJc w:val="left"/>
      <w:pPr>
        <w:tabs>
          <w:tab w:val="left" w:pos="420"/>
        </w:tabs>
        <w:ind w:left="425" w:hanging="425"/>
      </w:pPr>
      <w:rPr>
        <w:rFonts w:hint="default"/>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0D0D"/>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688"/>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124"/>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2C24DE"/>
    <w:rsid w:val="035241C7"/>
    <w:rsid w:val="03BC09EC"/>
    <w:rsid w:val="060D5ED0"/>
    <w:rsid w:val="06703553"/>
    <w:rsid w:val="06EE74DB"/>
    <w:rsid w:val="072015CC"/>
    <w:rsid w:val="085B1D6F"/>
    <w:rsid w:val="08617CF0"/>
    <w:rsid w:val="08B66F9A"/>
    <w:rsid w:val="08BF11F2"/>
    <w:rsid w:val="08EE6740"/>
    <w:rsid w:val="090D3BAB"/>
    <w:rsid w:val="093E5132"/>
    <w:rsid w:val="097C7D74"/>
    <w:rsid w:val="0983157E"/>
    <w:rsid w:val="099C3247"/>
    <w:rsid w:val="0ADD370A"/>
    <w:rsid w:val="0B202D61"/>
    <w:rsid w:val="0B34273F"/>
    <w:rsid w:val="0B3F2B0D"/>
    <w:rsid w:val="0B5759D8"/>
    <w:rsid w:val="0B584B6B"/>
    <w:rsid w:val="0B756CA4"/>
    <w:rsid w:val="0B7F6595"/>
    <w:rsid w:val="0B9A6428"/>
    <w:rsid w:val="0BC76A6E"/>
    <w:rsid w:val="0BD0037E"/>
    <w:rsid w:val="0BD069A1"/>
    <w:rsid w:val="0C0B76AE"/>
    <w:rsid w:val="0C381902"/>
    <w:rsid w:val="0C695EBF"/>
    <w:rsid w:val="0C764D16"/>
    <w:rsid w:val="0CA451DC"/>
    <w:rsid w:val="0CAC4A7F"/>
    <w:rsid w:val="0D3E7892"/>
    <w:rsid w:val="0D9D04B1"/>
    <w:rsid w:val="0DB72352"/>
    <w:rsid w:val="0DFC12FE"/>
    <w:rsid w:val="0DFF1A91"/>
    <w:rsid w:val="0E30091C"/>
    <w:rsid w:val="0EB116DF"/>
    <w:rsid w:val="0EB9796D"/>
    <w:rsid w:val="0ED93BBF"/>
    <w:rsid w:val="0F095358"/>
    <w:rsid w:val="0F200EDF"/>
    <w:rsid w:val="0F6C165A"/>
    <w:rsid w:val="0FAC1216"/>
    <w:rsid w:val="0FC76BB7"/>
    <w:rsid w:val="10A50CAE"/>
    <w:rsid w:val="10F935A7"/>
    <w:rsid w:val="11095C2A"/>
    <w:rsid w:val="11160873"/>
    <w:rsid w:val="111D60C5"/>
    <w:rsid w:val="122B668A"/>
    <w:rsid w:val="12E83133"/>
    <w:rsid w:val="13607801"/>
    <w:rsid w:val="1375778E"/>
    <w:rsid w:val="144E09DA"/>
    <w:rsid w:val="146A5814"/>
    <w:rsid w:val="14E43199"/>
    <w:rsid w:val="150B6FA5"/>
    <w:rsid w:val="15B36D47"/>
    <w:rsid w:val="15C342FB"/>
    <w:rsid w:val="16007AB2"/>
    <w:rsid w:val="167209B0"/>
    <w:rsid w:val="16B1209E"/>
    <w:rsid w:val="16F15C51"/>
    <w:rsid w:val="17146EEB"/>
    <w:rsid w:val="1835334D"/>
    <w:rsid w:val="18A85F98"/>
    <w:rsid w:val="18D47700"/>
    <w:rsid w:val="1A711A93"/>
    <w:rsid w:val="1BC33A5C"/>
    <w:rsid w:val="1C441C98"/>
    <w:rsid w:val="1C5F19D6"/>
    <w:rsid w:val="1CC81FA3"/>
    <w:rsid w:val="1D015171"/>
    <w:rsid w:val="1D191BE5"/>
    <w:rsid w:val="1D3B78BE"/>
    <w:rsid w:val="1D3F35B6"/>
    <w:rsid w:val="1DEC70E9"/>
    <w:rsid w:val="1E0250BA"/>
    <w:rsid w:val="1E0B00F8"/>
    <w:rsid w:val="1E112FC8"/>
    <w:rsid w:val="1E195BB5"/>
    <w:rsid w:val="1EAC6868"/>
    <w:rsid w:val="1EDB113A"/>
    <w:rsid w:val="1EFB350D"/>
    <w:rsid w:val="1F106802"/>
    <w:rsid w:val="1F2E6A6D"/>
    <w:rsid w:val="1F46080D"/>
    <w:rsid w:val="1F6B0692"/>
    <w:rsid w:val="20191E9C"/>
    <w:rsid w:val="20923F96"/>
    <w:rsid w:val="20A10803"/>
    <w:rsid w:val="20A200E4"/>
    <w:rsid w:val="20F01A78"/>
    <w:rsid w:val="211A1D05"/>
    <w:rsid w:val="21326E5F"/>
    <w:rsid w:val="21A12912"/>
    <w:rsid w:val="22B22E21"/>
    <w:rsid w:val="23783A1C"/>
    <w:rsid w:val="237C053F"/>
    <w:rsid w:val="237C1D35"/>
    <w:rsid w:val="241D3932"/>
    <w:rsid w:val="24620099"/>
    <w:rsid w:val="247E2DFD"/>
    <w:rsid w:val="24B623B0"/>
    <w:rsid w:val="24C7636B"/>
    <w:rsid w:val="25453733"/>
    <w:rsid w:val="25F5515A"/>
    <w:rsid w:val="265B0373"/>
    <w:rsid w:val="26AE3B4C"/>
    <w:rsid w:val="27217425"/>
    <w:rsid w:val="273C2EE6"/>
    <w:rsid w:val="274D5052"/>
    <w:rsid w:val="27651D6D"/>
    <w:rsid w:val="27984A2D"/>
    <w:rsid w:val="27E85AF1"/>
    <w:rsid w:val="288E11CC"/>
    <w:rsid w:val="28A96E2F"/>
    <w:rsid w:val="29592FEA"/>
    <w:rsid w:val="29AF73CD"/>
    <w:rsid w:val="29C00348"/>
    <w:rsid w:val="29FA0F90"/>
    <w:rsid w:val="2A1534D2"/>
    <w:rsid w:val="2A9767DF"/>
    <w:rsid w:val="2ABC5A31"/>
    <w:rsid w:val="2AF92FF6"/>
    <w:rsid w:val="2B5044AE"/>
    <w:rsid w:val="2B89414F"/>
    <w:rsid w:val="2C860FA7"/>
    <w:rsid w:val="2D1633EB"/>
    <w:rsid w:val="2D611D48"/>
    <w:rsid w:val="2E772ADD"/>
    <w:rsid w:val="2E992065"/>
    <w:rsid w:val="2EB60132"/>
    <w:rsid w:val="2ECC626C"/>
    <w:rsid w:val="2F1F0B51"/>
    <w:rsid w:val="2F656EAC"/>
    <w:rsid w:val="2F850E2A"/>
    <w:rsid w:val="2F8779B7"/>
    <w:rsid w:val="2FAF45CB"/>
    <w:rsid w:val="30085A89"/>
    <w:rsid w:val="3215051D"/>
    <w:rsid w:val="323872D7"/>
    <w:rsid w:val="32CE3A83"/>
    <w:rsid w:val="32FB0E7D"/>
    <w:rsid w:val="34152599"/>
    <w:rsid w:val="344062C5"/>
    <w:rsid w:val="344B33D7"/>
    <w:rsid w:val="34B65AB4"/>
    <w:rsid w:val="3544508A"/>
    <w:rsid w:val="35646BA9"/>
    <w:rsid w:val="362A056A"/>
    <w:rsid w:val="36AD04C3"/>
    <w:rsid w:val="36E71BB0"/>
    <w:rsid w:val="37682E3F"/>
    <w:rsid w:val="37920A5A"/>
    <w:rsid w:val="385414FE"/>
    <w:rsid w:val="386A108F"/>
    <w:rsid w:val="38A3454E"/>
    <w:rsid w:val="38CD4FE1"/>
    <w:rsid w:val="399D4D9D"/>
    <w:rsid w:val="3A5B004D"/>
    <w:rsid w:val="3AF15A98"/>
    <w:rsid w:val="3B5006E0"/>
    <w:rsid w:val="3B9A011E"/>
    <w:rsid w:val="3BCA5FCC"/>
    <w:rsid w:val="3C2546B9"/>
    <w:rsid w:val="3C405D4D"/>
    <w:rsid w:val="3C4E6EAD"/>
    <w:rsid w:val="3C9227B9"/>
    <w:rsid w:val="3D770652"/>
    <w:rsid w:val="3F1E2BD3"/>
    <w:rsid w:val="3FAB6278"/>
    <w:rsid w:val="408B49F8"/>
    <w:rsid w:val="408D59ED"/>
    <w:rsid w:val="40B54BA9"/>
    <w:rsid w:val="41474664"/>
    <w:rsid w:val="416C5E78"/>
    <w:rsid w:val="417633B7"/>
    <w:rsid w:val="41EE0F83"/>
    <w:rsid w:val="42D7590D"/>
    <w:rsid w:val="42E77C3D"/>
    <w:rsid w:val="431C659A"/>
    <w:rsid w:val="43406525"/>
    <w:rsid w:val="436B215F"/>
    <w:rsid w:val="44913E48"/>
    <w:rsid w:val="44CC5046"/>
    <w:rsid w:val="44F243AD"/>
    <w:rsid w:val="44FD4773"/>
    <w:rsid w:val="45B649C6"/>
    <w:rsid w:val="45FA4C13"/>
    <w:rsid w:val="469C3FEF"/>
    <w:rsid w:val="46D629D1"/>
    <w:rsid w:val="46DC3AA0"/>
    <w:rsid w:val="46F36160"/>
    <w:rsid w:val="47092B28"/>
    <w:rsid w:val="47C27D6C"/>
    <w:rsid w:val="47C95C07"/>
    <w:rsid w:val="47DA3EE8"/>
    <w:rsid w:val="4838270D"/>
    <w:rsid w:val="48672E04"/>
    <w:rsid w:val="486A27C1"/>
    <w:rsid w:val="48E76711"/>
    <w:rsid w:val="48EC3373"/>
    <w:rsid w:val="48F007C1"/>
    <w:rsid w:val="492E6984"/>
    <w:rsid w:val="493B64BB"/>
    <w:rsid w:val="495E0E6D"/>
    <w:rsid w:val="49635DB3"/>
    <w:rsid w:val="49C21CE8"/>
    <w:rsid w:val="49CD7090"/>
    <w:rsid w:val="49D55251"/>
    <w:rsid w:val="4AA1606D"/>
    <w:rsid w:val="4BBA3C84"/>
    <w:rsid w:val="4BE87A98"/>
    <w:rsid w:val="4C041E93"/>
    <w:rsid w:val="4C0D23E9"/>
    <w:rsid w:val="4C1743E7"/>
    <w:rsid w:val="4C2E43AC"/>
    <w:rsid w:val="4C955DA5"/>
    <w:rsid w:val="4DFA480C"/>
    <w:rsid w:val="4E616C92"/>
    <w:rsid w:val="4E697B81"/>
    <w:rsid w:val="4E6F2E5D"/>
    <w:rsid w:val="4F1162B1"/>
    <w:rsid w:val="4F7F76BE"/>
    <w:rsid w:val="4F9B25B3"/>
    <w:rsid w:val="4FDA2B47"/>
    <w:rsid w:val="4FE14544"/>
    <w:rsid w:val="50595F65"/>
    <w:rsid w:val="508A5A0C"/>
    <w:rsid w:val="50B13DEA"/>
    <w:rsid w:val="50BC224C"/>
    <w:rsid w:val="515C5909"/>
    <w:rsid w:val="516528E4"/>
    <w:rsid w:val="51AC0B8B"/>
    <w:rsid w:val="51C6711C"/>
    <w:rsid w:val="526919EB"/>
    <w:rsid w:val="52A32C1B"/>
    <w:rsid w:val="534772C3"/>
    <w:rsid w:val="53586FCB"/>
    <w:rsid w:val="538602EC"/>
    <w:rsid w:val="53F16F9E"/>
    <w:rsid w:val="5407371F"/>
    <w:rsid w:val="55076EDB"/>
    <w:rsid w:val="55676C2B"/>
    <w:rsid w:val="557F62EE"/>
    <w:rsid w:val="55C4407D"/>
    <w:rsid w:val="563C00B7"/>
    <w:rsid w:val="565019E7"/>
    <w:rsid w:val="56591A8F"/>
    <w:rsid w:val="56660086"/>
    <w:rsid w:val="56734E41"/>
    <w:rsid w:val="56861129"/>
    <w:rsid w:val="568941E7"/>
    <w:rsid w:val="569861B6"/>
    <w:rsid w:val="56B6493F"/>
    <w:rsid w:val="56D26221"/>
    <w:rsid w:val="570120E9"/>
    <w:rsid w:val="573A1D0D"/>
    <w:rsid w:val="576A0C54"/>
    <w:rsid w:val="57AE4348"/>
    <w:rsid w:val="5809250B"/>
    <w:rsid w:val="58946959"/>
    <w:rsid w:val="589E1721"/>
    <w:rsid w:val="5946407A"/>
    <w:rsid w:val="5A5113C2"/>
    <w:rsid w:val="5AA7003C"/>
    <w:rsid w:val="5AE470AA"/>
    <w:rsid w:val="5AE80636"/>
    <w:rsid w:val="5B7A55FF"/>
    <w:rsid w:val="5BA41B06"/>
    <w:rsid w:val="5C5F065B"/>
    <w:rsid w:val="5C8F7148"/>
    <w:rsid w:val="5D5B355A"/>
    <w:rsid w:val="5D8C4430"/>
    <w:rsid w:val="5D8D6756"/>
    <w:rsid w:val="5DD4473E"/>
    <w:rsid w:val="5E9C4B81"/>
    <w:rsid w:val="5F6103C2"/>
    <w:rsid w:val="5FBF1411"/>
    <w:rsid w:val="5FC44C79"/>
    <w:rsid w:val="5FCD130C"/>
    <w:rsid w:val="5FD07FE9"/>
    <w:rsid w:val="60613CC2"/>
    <w:rsid w:val="61672DB2"/>
    <w:rsid w:val="61737CE0"/>
    <w:rsid w:val="617A62BB"/>
    <w:rsid w:val="62450E0A"/>
    <w:rsid w:val="6270505E"/>
    <w:rsid w:val="62764509"/>
    <w:rsid w:val="62A2790D"/>
    <w:rsid w:val="62EB49FC"/>
    <w:rsid w:val="62FA10DE"/>
    <w:rsid w:val="631F0B45"/>
    <w:rsid w:val="632B05B6"/>
    <w:rsid w:val="63D905AD"/>
    <w:rsid w:val="645F3309"/>
    <w:rsid w:val="647A03AB"/>
    <w:rsid w:val="64B73164"/>
    <w:rsid w:val="652674EA"/>
    <w:rsid w:val="653760AD"/>
    <w:rsid w:val="65413C71"/>
    <w:rsid w:val="65B46500"/>
    <w:rsid w:val="65B5753E"/>
    <w:rsid w:val="65CD2ADA"/>
    <w:rsid w:val="667318A7"/>
    <w:rsid w:val="66E2747D"/>
    <w:rsid w:val="66F7550A"/>
    <w:rsid w:val="670E33AA"/>
    <w:rsid w:val="673047EC"/>
    <w:rsid w:val="67FE07B6"/>
    <w:rsid w:val="6833421D"/>
    <w:rsid w:val="683B31A6"/>
    <w:rsid w:val="68921DB9"/>
    <w:rsid w:val="69132462"/>
    <w:rsid w:val="69692A60"/>
    <w:rsid w:val="6A4A545B"/>
    <w:rsid w:val="6A4B69A3"/>
    <w:rsid w:val="6A9874AE"/>
    <w:rsid w:val="6AAD1A41"/>
    <w:rsid w:val="6AF659BA"/>
    <w:rsid w:val="6B05397E"/>
    <w:rsid w:val="6B1D005F"/>
    <w:rsid w:val="6B3F6B11"/>
    <w:rsid w:val="6B8D45D7"/>
    <w:rsid w:val="6B9C042B"/>
    <w:rsid w:val="6B9C347D"/>
    <w:rsid w:val="6BAC18E9"/>
    <w:rsid w:val="6BC946AA"/>
    <w:rsid w:val="6C193642"/>
    <w:rsid w:val="6D2F1B21"/>
    <w:rsid w:val="6DE97CF1"/>
    <w:rsid w:val="6E5F172B"/>
    <w:rsid w:val="6EBF31DC"/>
    <w:rsid w:val="6ECC3D93"/>
    <w:rsid w:val="6F5D0B2F"/>
    <w:rsid w:val="6F6117F5"/>
    <w:rsid w:val="6F84274A"/>
    <w:rsid w:val="6FBE314B"/>
    <w:rsid w:val="6FDC216E"/>
    <w:rsid w:val="70217AAF"/>
    <w:rsid w:val="707E6069"/>
    <w:rsid w:val="70A0444C"/>
    <w:rsid w:val="70FA674D"/>
    <w:rsid w:val="719402E3"/>
    <w:rsid w:val="719F0332"/>
    <w:rsid w:val="71E7396A"/>
    <w:rsid w:val="72BD23C2"/>
    <w:rsid w:val="72F86CBC"/>
    <w:rsid w:val="730613D9"/>
    <w:rsid w:val="737516C5"/>
    <w:rsid w:val="74076F38"/>
    <w:rsid w:val="740F250F"/>
    <w:rsid w:val="74ED6401"/>
    <w:rsid w:val="74FC2405"/>
    <w:rsid w:val="752123C2"/>
    <w:rsid w:val="75D72064"/>
    <w:rsid w:val="763174AC"/>
    <w:rsid w:val="78373BAC"/>
    <w:rsid w:val="784D463C"/>
    <w:rsid w:val="78D4376C"/>
    <w:rsid w:val="791505C8"/>
    <w:rsid w:val="79263707"/>
    <w:rsid w:val="793D7B1F"/>
    <w:rsid w:val="79775D93"/>
    <w:rsid w:val="799B26EC"/>
    <w:rsid w:val="79DA107C"/>
    <w:rsid w:val="7ABB4B7A"/>
    <w:rsid w:val="7B055AA2"/>
    <w:rsid w:val="7B853EC3"/>
    <w:rsid w:val="7BBF7C17"/>
    <w:rsid w:val="7C47612F"/>
    <w:rsid w:val="7CAE2B9E"/>
    <w:rsid w:val="7D18299B"/>
    <w:rsid w:val="7D600510"/>
    <w:rsid w:val="7D962CF5"/>
    <w:rsid w:val="7DD56578"/>
    <w:rsid w:val="7DE22A43"/>
    <w:rsid w:val="7DE84520"/>
    <w:rsid w:val="7E1C1252"/>
    <w:rsid w:val="7E2F5732"/>
    <w:rsid w:val="7E9E2E0E"/>
    <w:rsid w:val="7F0317CE"/>
    <w:rsid w:val="7F3D2627"/>
    <w:rsid w:val="7F941F56"/>
    <w:rsid w:val="7FC76394"/>
    <w:rsid w:val="7FD7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4">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8"/>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6">
    <w:name w:val="heading 3"/>
    <w:basedOn w:val="1"/>
    <w:next w:val="1"/>
    <w:link w:val="87"/>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92"/>
    <w:qFormat/>
    <w:uiPriority w:val="0"/>
    <w:pPr>
      <w:keepNext/>
      <w:keepLines/>
      <w:spacing w:before="280" w:after="290" w:line="376" w:lineRule="auto"/>
      <w:outlineLvl w:val="3"/>
    </w:pPr>
    <w:rPr>
      <w:b/>
      <w:bCs/>
      <w:sz w:val="28"/>
      <w:szCs w:val="28"/>
    </w:rPr>
  </w:style>
  <w:style w:type="paragraph" w:styleId="8">
    <w:name w:val="heading 5"/>
    <w:basedOn w:val="1"/>
    <w:next w:val="1"/>
    <w:link w:val="99"/>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9">
    <w:name w:val="heading 6"/>
    <w:basedOn w:val="8"/>
    <w:next w:val="1"/>
    <w:link w:val="10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101"/>
    <w:qFormat/>
    <w:uiPriority w:val="0"/>
    <w:pPr>
      <w:tabs>
        <w:tab w:val="left" w:pos="1800"/>
        <w:tab w:val="clear" w:pos="1440"/>
      </w:tabs>
      <w:ind w:left="1276" w:hanging="1276"/>
      <w:outlineLvl w:val="6"/>
    </w:pPr>
  </w:style>
  <w:style w:type="paragraph" w:styleId="11">
    <w:name w:val="heading 8"/>
    <w:basedOn w:val="1"/>
    <w:next w:val="1"/>
    <w:link w:val="102"/>
    <w:qFormat/>
    <w:uiPriority w:val="0"/>
    <w:pPr>
      <w:keepNext/>
      <w:keepLines/>
      <w:spacing w:line="400" w:lineRule="exact"/>
      <w:jc w:val="center"/>
      <w:outlineLvl w:val="7"/>
    </w:pPr>
    <w:rPr>
      <w:rFonts w:eastAsia="黑体" w:cs="Times New Roman"/>
      <w:kern w:val="2"/>
      <w:sz w:val="32"/>
      <w:szCs w:val="32"/>
      <w:lang w:val="zh-CN"/>
    </w:rPr>
  </w:style>
  <w:style w:type="paragraph" w:styleId="12">
    <w:name w:val="heading 9"/>
    <w:basedOn w:val="1"/>
    <w:next w:val="1"/>
    <w:link w:val="103"/>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spacing w:after="120"/>
    </w:pPr>
    <w:rPr>
      <w:rFonts w:ascii="@微软简标宋" w:hAnsi="@微软简标宋" w:eastAsia="@微软简标宋" w:cs="@微软简标宋"/>
      <w:szCs w:val="24"/>
      <w:lang w:val="zh-CN"/>
    </w:rPr>
  </w:style>
  <w:style w:type="paragraph" w:customStyle="1" w:styleId="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3">
    <w:name w:val="List 3"/>
    <w:basedOn w:val="1"/>
    <w:qFormat/>
    <w:uiPriority w:val="0"/>
    <w:pPr>
      <w:ind w:left="100" w:leftChars="400" w:hanging="200" w:hangingChars="200"/>
    </w:pPr>
    <w:rPr>
      <w:rFonts w:ascii="Calibri" w:hAnsi="Calibri" w:cs="Times New Roman"/>
      <w:kern w:val="2"/>
      <w:sz w:val="21"/>
      <w:szCs w:val="22"/>
    </w:rPr>
  </w:style>
  <w:style w:type="paragraph" w:styleId="14">
    <w:name w:val="toc 7"/>
    <w:basedOn w:val="1"/>
    <w:next w:val="1"/>
    <w:unhideWhenUsed/>
    <w:qFormat/>
    <w:uiPriority w:val="39"/>
    <w:pPr>
      <w:ind w:left="1260"/>
      <w:jc w:val="left"/>
    </w:pPr>
    <w:rPr>
      <w:rFonts w:ascii="Calibri" w:hAnsi="Calibri" w:cs="Calibri"/>
      <w:kern w:val="2"/>
      <w:sz w:val="18"/>
      <w:szCs w:val="18"/>
    </w:rPr>
  </w:style>
  <w:style w:type="paragraph" w:styleId="15">
    <w:name w:val="Normal Indent"/>
    <w:basedOn w:val="1"/>
    <w:qFormat/>
    <w:uiPriority w:val="0"/>
    <w:pPr>
      <w:autoSpaceDE w:val="0"/>
      <w:autoSpaceDN w:val="0"/>
      <w:adjustRightInd w:val="0"/>
      <w:ind w:firstLine="420"/>
      <w:jc w:val="left"/>
    </w:pPr>
    <w:rPr>
      <w:rFonts w:hAnsi="Times New Roman" w:cs="Times New Roman"/>
      <w:sz w:val="24"/>
    </w:rPr>
  </w:style>
  <w:style w:type="paragraph" w:styleId="16">
    <w:name w:val="caption"/>
    <w:basedOn w:val="1"/>
    <w:next w:val="1"/>
    <w:qFormat/>
    <w:uiPriority w:val="0"/>
    <w:pPr>
      <w:spacing w:before="152" w:after="160"/>
    </w:pPr>
    <w:rPr>
      <w:rFonts w:ascii="Arial" w:hAnsi="Arial" w:eastAsia="黑体" w:cs="Arial"/>
      <w:kern w:val="2"/>
    </w:rPr>
  </w:style>
  <w:style w:type="paragraph" w:styleId="17">
    <w:name w:val="Document Map"/>
    <w:basedOn w:val="1"/>
    <w:link w:val="147"/>
    <w:qFormat/>
    <w:uiPriority w:val="0"/>
    <w:pPr>
      <w:shd w:val="clear" w:color="auto" w:fill="000080"/>
    </w:pPr>
    <w:rPr>
      <w:rFonts w:ascii="Calibri" w:hAnsi="Calibri" w:cs="Times New Roman"/>
      <w:bCs/>
      <w:kern w:val="2"/>
      <w:sz w:val="21"/>
      <w:szCs w:val="32"/>
      <w:lang w:val="zh-CN"/>
    </w:rPr>
  </w:style>
  <w:style w:type="paragraph" w:styleId="18">
    <w:name w:val="annotation text"/>
    <w:basedOn w:val="1"/>
    <w:link w:val="84"/>
    <w:qFormat/>
    <w:uiPriority w:val="0"/>
    <w:pPr>
      <w:jc w:val="left"/>
    </w:pPr>
    <w:rPr>
      <w:rFonts w:ascii="Arial" w:hAnsi="Arial" w:eastAsia="黑体" w:cs="Arial"/>
    </w:rPr>
  </w:style>
  <w:style w:type="paragraph" w:styleId="19">
    <w:name w:val="Salutation"/>
    <w:basedOn w:val="1"/>
    <w:next w:val="1"/>
    <w:link w:val="114"/>
    <w:qFormat/>
    <w:uiPriority w:val="0"/>
    <w:rPr>
      <w:rFonts w:ascii="仿宋_GB2312" w:hAnsi="Times New Roman" w:eastAsia="仿宋_GB2312" w:cs="Times New Roman"/>
      <w:kern w:val="2"/>
      <w:sz w:val="28"/>
      <w:lang w:val="zh-CN"/>
    </w:rPr>
  </w:style>
  <w:style w:type="paragraph" w:styleId="20">
    <w:name w:val="Body Text 3"/>
    <w:basedOn w:val="1"/>
    <w:link w:val="133"/>
    <w:qFormat/>
    <w:uiPriority w:val="0"/>
    <w:pPr>
      <w:adjustRightInd w:val="0"/>
      <w:snapToGrid w:val="0"/>
    </w:pPr>
    <w:rPr>
      <w:rFonts w:ascii="仿宋_GB2312" w:eastAsia="仿宋_GB2312" w:cs="Times New Roman"/>
      <w:bCs/>
      <w:color w:val="000000"/>
      <w:kern w:val="2"/>
      <w:sz w:val="24"/>
      <w:szCs w:val="32"/>
      <w:lang w:val="zh-CN"/>
    </w:rPr>
  </w:style>
  <w:style w:type="paragraph" w:styleId="21">
    <w:name w:val="Body Text Indent"/>
    <w:basedOn w:val="1"/>
    <w:next w:val="22"/>
    <w:link w:val="108"/>
    <w:unhideWhenUsed/>
    <w:qFormat/>
    <w:uiPriority w:val="0"/>
    <w:pPr>
      <w:spacing w:after="120"/>
      <w:ind w:left="420" w:leftChars="200"/>
    </w:pPr>
    <w:rPr>
      <w:rFonts w:asciiTheme="minorHAnsi" w:hAnsiTheme="minorHAnsi"/>
      <w:kern w:val="2"/>
      <w:sz w:val="21"/>
      <w:szCs w:val="22"/>
    </w:r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100" w:leftChars="200" w:hanging="200" w:hangingChars="200"/>
    </w:pPr>
    <w:rPr>
      <w:rFonts w:ascii="Calibri" w:hAnsi="Calibri" w:cs="Times New Roman"/>
      <w:kern w:val="2"/>
      <w:sz w:val="21"/>
      <w:szCs w:val="22"/>
    </w:rPr>
  </w:style>
  <w:style w:type="paragraph" w:styleId="24">
    <w:name w:val="List Continue"/>
    <w:basedOn w:val="1"/>
    <w:qFormat/>
    <w:uiPriority w:val="0"/>
    <w:pPr>
      <w:spacing w:after="120"/>
      <w:ind w:left="420" w:leftChars="200"/>
    </w:pPr>
    <w:rPr>
      <w:rFonts w:ascii="Calibri" w:hAnsi="Calibri" w:cs="Times New Roman"/>
      <w:kern w:val="2"/>
      <w:sz w:val="21"/>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qFormat/>
    <w:uiPriority w:val="0"/>
    <w:pPr>
      <w:ind w:left="600" w:leftChars="600"/>
    </w:pPr>
    <w:rPr>
      <w:rFonts w:ascii="Times New Roman" w:hAnsi="Times New Roman" w:cs="Times New Roman"/>
      <w:kern w:val="2"/>
      <w:sz w:val="21"/>
      <w:szCs w:val="24"/>
    </w:rPr>
  </w:style>
  <w:style w:type="paragraph" w:styleId="27">
    <w:name w:val="toc 5"/>
    <w:basedOn w:val="1"/>
    <w:next w:val="1"/>
    <w:unhideWhenUsed/>
    <w:qFormat/>
    <w:uiPriority w:val="39"/>
    <w:pPr>
      <w:ind w:left="840"/>
      <w:jc w:val="left"/>
    </w:pPr>
    <w:rPr>
      <w:rFonts w:ascii="Calibri" w:hAnsi="Calibri" w:cs="Calibri"/>
      <w:kern w:val="2"/>
      <w:sz w:val="18"/>
      <w:szCs w:val="18"/>
    </w:rPr>
  </w:style>
  <w:style w:type="paragraph" w:styleId="28">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3"/>
    <w:qFormat/>
    <w:uiPriority w:val="0"/>
    <w:rPr>
      <w:rFonts w:hAnsi="Courier New" w:eastAsiaTheme="minorEastAsia"/>
      <w:szCs w:val="22"/>
    </w:rPr>
  </w:style>
  <w:style w:type="paragraph" w:styleId="30">
    <w:name w:val="toc 8"/>
    <w:basedOn w:val="1"/>
    <w:next w:val="1"/>
    <w:unhideWhenUsed/>
    <w:qFormat/>
    <w:uiPriority w:val="39"/>
    <w:pPr>
      <w:ind w:left="1470"/>
      <w:jc w:val="left"/>
    </w:pPr>
    <w:rPr>
      <w:rFonts w:ascii="Calibri" w:hAnsi="Calibri" w:cs="Calibri"/>
      <w:kern w:val="2"/>
      <w:sz w:val="18"/>
      <w:szCs w:val="18"/>
    </w:rPr>
  </w:style>
  <w:style w:type="paragraph" w:styleId="31">
    <w:name w:val="Date"/>
    <w:basedOn w:val="1"/>
    <w:next w:val="1"/>
    <w:link w:val="80"/>
    <w:qFormat/>
    <w:uiPriority w:val="0"/>
    <w:rPr>
      <w:rFonts w:ascii="Arial" w:hAnsi="Arial" w:cs="Arial"/>
      <w:b/>
      <w:sz w:val="28"/>
    </w:rPr>
  </w:style>
  <w:style w:type="paragraph" w:styleId="32">
    <w:name w:val="Body Text Indent 2"/>
    <w:basedOn w:val="1"/>
    <w:link w:val="129"/>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7"/>
    <w:unhideWhenUsed/>
    <w:qFormat/>
    <w:uiPriority w:val="0"/>
    <w:rPr>
      <w:sz w:val="18"/>
      <w:szCs w:val="18"/>
    </w:rPr>
  </w:style>
  <w:style w:type="paragraph" w:styleId="34">
    <w:name w:val="footer"/>
    <w:basedOn w:val="1"/>
    <w:link w:val="72"/>
    <w:unhideWhenUsed/>
    <w:qFormat/>
    <w:uiPriority w:val="99"/>
    <w:pPr>
      <w:tabs>
        <w:tab w:val="center" w:pos="4153"/>
        <w:tab w:val="right" w:pos="8306"/>
      </w:tabs>
      <w:snapToGrid w:val="0"/>
      <w:jc w:val="left"/>
    </w:pPr>
    <w:rPr>
      <w:sz w:val="18"/>
      <w:szCs w:val="18"/>
    </w:rPr>
  </w:style>
  <w:style w:type="paragraph" w:styleId="35">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qFormat/>
    <w:uiPriority w:val="0"/>
    <w:pPr>
      <w:spacing w:after="120"/>
      <w:ind w:left="1680" w:leftChars="800"/>
    </w:pPr>
    <w:rPr>
      <w:rFonts w:ascii="Calibri" w:hAnsi="Calibri" w:cs="Times New Roman"/>
      <w:kern w:val="2"/>
      <w:sz w:val="21"/>
      <w:szCs w:val="22"/>
    </w:rPr>
  </w:style>
  <w:style w:type="paragraph" w:styleId="38">
    <w:name w:val="toc 4"/>
    <w:basedOn w:val="1"/>
    <w:next w:val="1"/>
    <w:unhideWhenUsed/>
    <w:qFormat/>
    <w:uiPriority w:val="39"/>
    <w:pPr>
      <w:ind w:left="630"/>
      <w:jc w:val="left"/>
    </w:pPr>
    <w:rPr>
      <w:rFonts w:ascii="Calibri" w:hAnsi="Calibri" w:cs="Calibri"/>
      <w:kern w:val="2"/>
      <w:sz w:val="18"/>
      <w:szCs w:val="18"/>
    </w:rPr>
  </w:style>
  <w:style w:type="paragraph" w:styleId="39">
    <w:name w:val="index heading"/>
    <w:basedOn w:val="1"/>
    <w:next w:val="40"/>
    <w:semiHidden/>
    <w:qFormat/>
    <w:uiPriority w:val="0"/>
    <w:rPr>
      <w:rFonts w:ascii="Times New Roman" w:hAnsi="Times New Roman" w:cs="Times New Roman"/>
      <w:kern w:val="2"/>
      <w:sz w:val="21"/>
      <w:szCs w:val="24"/>
    </w:rPr>
  </w:style>
  <w:style w:type="paragraph" w:styleId="40">
    <w:name w:val="index 1"/>
    <w:basedOn w:val="1"/>
    <w:next w:val="1"/>
    <w:qFormat/>
    <w:uiPriority w:val="0"/>
    <w:pPr>
      <w:jc w:val="center"/>
    </w:pPr>
    <w:rPr>
      <w:rFonts w:ascii="Arial" w:hAnsi="Arial" w:eastAsia="Arial" w:cs="Arial"/>
      <w:b/>
      <w:bCs/>
      <w:sz w:val="28"/>
    </w:rPr>
  </w:style>
  <w:style w:type="paragraph" w:styleId="41">
    <w:name w:val="Subtitle"/>
    <w:basedOn w:val="1"/>
    <w:link w:val="221"/>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qFormat/>
    <w:uiPriority w:val="0"/>
    <w:pPr>
      <w:ind w:left="200" w:hanging="200" w:hangingChars="200"/>
    </w:pPr>
    <w:rPr>
      <w:rFonts w:ascii="Calibri" w:hAnsi="Calibri" w:cs="Times New Roman"/>
      <w:kern w:val="2"/>
      <w:sz w:val="21"/>
      <w:szCs w:val="22"/>
    </w:rPr>
  </w:style>
  <w:style w:type="paragraph" w:styleId="43">
    <w:name w:val="footnote text"/>
    <w:basedOn w:val="1"/>
    <w:link w:val="110"/>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unhideWhenUsed/>
    <w:qFormat/>
    <w:uiPriority w:val="39"/>
    <w:pPr>
      <w:ind w:left="1050"/>
      <w:jc w:val="left"/>
    </w:pPr>
    <w:rPr>
      <w:rFonts w:ascii="Calibri" w:hAnsi="Calibri" w:cs="Calibri"/>
      <w:kern w:val="2"/>
      <w:sz w:val="18"/>
      <w:szCs w:val="18"/>
    </w:rPr>
  </w:style>
  <w:style w:type="paragraph" w:styleId="45">
    <w:name w:val="Body Text Indent 3"/>
    <w:basedOn w:val="1"/>
    <w:link w:val="128"/>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unhideWhenUsed/>
    <w:qFormat/>
    <w:uiPriority w:val="39"/>
    <w:pPr>
      <w:ind w:left="1680"/>
      <w:jc w:val="left"/>
    </w:pPr>
    <w:rPr>
      <w:rFonts w:ascii="Calibri" w:hAnsi="Calibri" w:cs="Calibri"/>
      <w:kern w:val="2"/>
      <w:sz w:val="18"/>
      <w:szCs w:val="18"/>
    </w:rPr>
  </w:style>
  <w:style w:type="paragraph" w:styleId="48">
    <w:name w:val="Body Text 2"/>
    <w:basedOn w:val="1"/>
    <w:link w:val="132"/>
    <w:qFormat/>
    <w:uiPriority w:val="0"/>
    <w:pPr>
      <w:spacing w:line="360" w:lineRule="auto"/>
    </w:pPr>
    <w:rPr>
      <w:rFonts w:hAnsi="Times New Roman" w:cs="Times New Roman"/>
      <w:spacing w:val="-20"/>
      <w:kern w:val="2"/>
      <w:sz w:val="28"/>
      <w:lang w:val="zh-CN"/>
    </w:rPr>
  </w:style>
  <w:style w:type="paragraph" w:styleId="49">
    <w:name w:val="List 4"/>
    <w:basedOn w:val="1"/>
    <w:qFormat/>
    <w:uiPriority w:val="0"/>
    <w:pPr>
      <w:ind w:left="100" w:leftChars="600" w:hanging="200" w:hangingChars="200"/>
    </w:pPr>
    <w:rPr>
      <w:rFonts w:ascii="Calibri" w:hAnsi="Calibri" w:cs="Times New Roman"/>
      <w:kern w:val="2"/>
      <w:sz w:val="21"/>
      <w:szCs w:val="22"/>
    </w:rPr>
  </w:style>
  <w:style w:type="paragraph" w:styleId="50">
    <w:name w:val="List Continue 2"/>
    <w:basedOn w:val="1"/>
    <w:qFormat/>
    <w:uiPriority w:val="0"/>
    <w:pPr>
      <w:spacing w:after="120"/>
      <w:ind w:left="840" w:leftChars="400"/>
    </w:pPr>
    <w:rPr>
      <w:rFonts w:ascii="Calibri" w:hAnsi="Calibri" w:cs="Times New Roman"/>
      <w:kern w:val="2"/>
      <w:sz w:val="21"/>
      <w:szCs w:val="22"/>
    </w:rPr>
  </w:style>
  <w:style w:type="paragraph" w:styleId="51">
    <w:name w:val="Normal (Web)"/>
    <w:basedOn w:val="1"/>
    <w:qFormat/>
    <w:uiPriority w:val="0"/>
    <w:pPr>
      <w:widowControl/>
      <w:spacing w:before="100" w:beforeAutospacing="1" w:after="100" w:afterAutospacing="1"/>
      <w:jc w:val="left"/>
    </w:pPr>
    <w:rPr>
      <w:rFonts w:cs="宋体"/>
      <w:color w:val="0066CC"/>
      <w:sz w:val="24"/>
      <w:szCs w:val="24"/>
    </w:rPr>
  </w:style>
  <w:style w:type="paragraph" w:styleId="52">
    <w:name w:val="Title"/>
    <w:basedOn w:val="5"/>
    <w:next w:val="1"/>
    <w:link w:val="136"/>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8"/>
    <w:next w:val="18"/>
    <w:link w:val="95"/>
    <w:unhideWhenUsed/>
    <w:qFormat/>
    <w:uiPriority w:val="0"/>
    <w:rPr>
      <w:rFonts w:ascii="宋体" w:hAnsi="宋体" w:eastAsia="宋体" w:cstheme="minorBidi"/>
      <w:b/>
      <w:bCs/>
    </w:rPr>
  </w:style>
  <w:style w:type="paragraph" w:styleId="54">
    <w:name w:val="Body Text First Indent"/>
    <w:basedOn w:val="2"/>
    <w:semiHidden/>
    <w:unhideWhenUsed/>
    <w:qFormat/>
    <w:uiPriority w:val="99"/>
    <w:pPr>
      <w:ind w:firstLine="420" w:firstLineChars="100"/>
    </w:pPr>
  </w:style>
  <w:style w:type="paragraph" w:styleId="55">
    <w:name w:val="Body Text First Indent 2"/>
    <w:basedOn w:val="21"/>
    <w:qFormat/>
    <w:uiPriority w:val="0"/>
    <w:pPr>
      <w:ind w:left="0" w:leftChars="0" w:firstLine="210"/>
    </w:pPr>
    <w:rPr>
      <w:rFonts w:ascii="宋体"/>
      <w:color w:val="auto"/>
      <w:sz w:val="24"/>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qFormat/>
    <w:uiPriority w:val="0"/>
    <w:rPr>
      <w:color w:val="CC0033"/>
    </w:rPr>
  </w:style>
  <w:style w:type="character" w:styleId="63">
    <w:name w:val="Hyperlink"/>
    <w:basedOn w:val="58"/>
    <w:unhideWhenUsed/>
    <w:qFormat/>
    <w:uiPriority w:val="99"/>
    <w:rPr>
      <w:color w:val="0000FF" w:themeColor="hyperlink"/>
      <w:u w:val="single"/>
      <w14:textFill>
        <w14:solidFill>
          <w14:schemeClr w14:val="hlink"/>
        </w14:solidFill>
      </w14:textFill>
    </w:rPr>
  </w:style>
  <w:style w:type="character" w:styleId="64">
    <w:name w:val="annotation reference"/>
    <w:basedOn w:val="58"/>
    <w:unhideWhenUsed/>
    <w:qFormat/>
    <w:uiPriority w:val="0"/>
    <w:rPr>
      <w:sz w:val="21"/>
      <w:szCs w:val="21"/>
    </w:rPr>
  </w:style>
  <w:style w:type="character" w:styleId="65">
    <w:name w:val="footnote reference"/>
    <w:unhideWhenUsed/>
    <w:qFormat/>
    <w:uiPriority w:val="0"/>
    <w:rPr>
      <w:vertAlign w:val="superscript"/>
    </w:rPr>
  </w:style>
  <w:style w:type="character" w:styleId="66">
    <w:name w:val="HTML Sample"/>
    <w:qFormat/>
    <w:uiPriority w:val="0"/>
    <w:rPr>
      <w:rFonts w:hint="default" w:ascii="monospace" w:hAnsi="monospace" w:eastAsia="monospace" w:cs="monospace"/>
      <w:sz w:val="21"/>
      <w:szCs w:val="21"/>
    </w:rPr>
  </w:style>
  <w:style w:type="character" w:customStyle="1" w:styleId="67">
    <w:name w:val="批注框文本 Char"/>
    <w:basedOn w:val="58"/>
    <w:link w:val="33"/>
    <w:qFormat/>
    <w:uiPriority w:val="0"/>
    <w:rPr>
      <w:rFonts w:ascii="@仿宋_GB2312" w:hAnsi="@仿宋_GB2312" w:eastAsia="@仿宋_GB2312" w:cs="@仿宋_GB2312"/>
      <w:sz w:val="18"/>
      <w:szCs w:val="18"/>
    </w:rPr>
  </w:style>
  <w:style w:type="paragraph" w:customStyle="1" w:styleId="68">
    <w:name w:val="正文（缩进）"/>
    <w:basedOn w:val="1"/>
    <w:qFormat/>
    <w:uiPriority w:val="0"/>
    <w:pPr>
      <w:widowControl/>
      <w:spacing w:before="156" w:after="156"/>
      <w:ind w:firstLine="480" w:firstLineChars="200"/>
      <w:jc w:val="left"/>
    </w:pPr>
    <w:rPr>
      <w:sz w:val="24"/>
      <w:szCs w:val="24"/>
    </w:rPr>
  </w:style>
  <w:style w:type="paragraph" w:customStyle="1" w:styleId="69">
    <w:name w:val="xl31"/>
    <w:basedOn w:val="1"/>
    <w:qFormat/>
    <w:uiPriority w:val="0"/>
    <w:pPr>
      <w:widowControl/>
      <w:spacing w:before="100" w:beforeAutospacing="1" w:after="100" w:afterAutospacing="1"/>
      <w:jc w:val="center"/>
    </w:pPr>
    <w:rPr>
      <w:b/>
      <w:bCs/>
      <w:sz w:val="28"/>
      <w:szCs w:val="28"/>
    </w:rPr>
  </w:style>
  <w:style w:type="paragraph" w:customStyle="1" w:styleId="70">
    <w:name w:val="D&amp;L"/>
    <w:basedOn w:val="35"/>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5"/>
    <w:qFormat/>
    <w:uiPriority w:val="99"/>
    <w:rPr>
      <w:rFonts w:ascii="@仿宋_GB2312" w:hAnsi="@仿宋_GB2312" w:eastAsia="@仿宋_GB2312" w:cs="@仿宋_GB2312"/>
      <w:sz w:val="18"/>
      <w:szCs w:val="18"/>
    </w:rPr>
  </w:style>
  <w:style w:type="character" w:customStyle="1" w:styleId="72">
    <w:name w:val="页脚 Char"/>
    <w:basedOn w:val="58"/>
    <w:link w:val="34"/>
    <w:qFormat/>
    <w:uiPriority w:val="99"/>
    <w:rPr>
      <w:rFonts w:ascii="@仿宋_GB2312" w:hAnsi="@仿宋_GB2312" w:eastAsia="@仿宋_GB2312" w:cs="@仿宋_GB2312"/>
      <w:sz w:val="18"/>
      <w:szCs w:val="18"/>
    </w:rPr>
  </w:style>
  <w:style w:type="character" w:customStyle="1" w:styleId="73">
    <w:name w:val="纯文本 Char"/>
    <w:link w:val="29"/>
    <w:qFormat/>
    <w:uiPriority w:val="0"/>
    <w:rPr>
      <w:rFonts w:ascii="宋体" w:hAnsi="Courier New"/>
    </w:rPr>
  </w:style>
  <w:style w:type="character" w:customStyle="1" w:styleId="74">
    <w:name w:val="纯文本 字符1"/>
    <w:basedOn w:val="58"/>
    <w:semiHidden/>
    <w:qFormat/>
    <w:uiPriority w:val="99"/>
    <w:rPr>
      <w:rFonts w:hAnsi="Courier New" w:cs="Courier New" w:asciiTheme="minorEastAsia"/>
      <w:szCs w:val="20"/>
    </w:rPr>
  </w:style>
  <w:style w:type="character" w:customStyle="1" w:styleId="75">
    <w:name w:val="未处理的提及1"/>
    <w:basedOn w:val="58"/>
    <w:semiHidden/>
    <w:unhideWhenUsed/>
    <w:qFormat/>
    <w:uiPriority w:val="99"/>
    <w:rPr>
      <w:color w:val="605E5C"/>
      <w:shd w:val="clear" w:color="auto" w:fill="E1DFDD"/>
    </w:rPr>
  </w:style>
  <w:style w:type="paragraph" w:styleId="76">
    <w:name w:val="List Paragraph"/>
    <w:basedOn w:val="1"/>
    <w:qFormat/>
    <w:uiPriority w:val="34"/>
    <w:pPr>
      <w:ind w:firstLine="420" w:firstLineChars="200"/>
    </w:pPr>
  </w:style>
  <w:style w:type="paragraph" w:customStyle="1" w:styleId="77">
    <w:name w:val="Char Char Char Char Char Char Char1 Char"/>
    <w:basedOn w:val="1"/>
    <w:qFormat/>
    <w:uiPriority w:val="0"/>
    <w:rPr>
      <w:rFonts w:ascii="Arial" w:hAnsi="Arial" w:cs="Arial"/>
      <w:sz w:val="24"/>
    </w:rPr>
  </w:style>
  <w:style w:type="table" w:customStyle="1" w:styleId="78">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semiHidden/>
    <w:qFormat/>
    <w:uiPriority w:val="99"/>
    <w:rPr>
      <w:rFonts w:ascii="@仿宋_GB2312" w:hAnsi="@仿宋_GB2312" w:eastAsia="@仿宋_GB2312" w:cs="@仿宋_GB2312"/>
      <w:szCs w:val="20"/>
    </w:rPr>
  </w:style>
  <w:style w:type="character" w:customStyle="1" w:styleId="80">
    <w:name w:val="日期 Char"/>
    <w:link w:val="31"/>
    <w:qFormat/>
    <w:uiPriority w:val="0"/>
    <w:rPr>
      <w:rFonts w:ascii="Arial" w:hAnsi="Arial" w:eastAsia="宋体" w:cs="Arial"/>
      <w:b/>
      <w:sz w:val="28"/>
      <w:szCs w:val="20"/>
    </w:rPr>
  </w:style>
  <w:style w:type="character" w:customStyle="1" w:styleId="81">
    <w:name w:val="纯文本 Char1"/>
    <w:link w:val="82"/>
    <w:qFormat/>
    <w:locked/>
    <w:uiPriority w:val="99"/>
    <w:rPr>
      <w:rFonts w:ascii="Arial" w:hAnsi="Arial" w:eastAsia="Arial"/>
      <w:kern w:val="2"/>
      <w:sz w:val="21"/>
      <w:lang w:val="en-US" w:eastAsia="zh-CN" w:bidi="ar-SA"/>
    </w:rPr>
  </w:style>
  <w:style w:type="paragraph" w:customStyle="1" w:styleId="82">
    <w:name w:val="纯文本1"/>
    <w:basedOn w:val="1"/>
    <w:link w:val="81"/>
    <w:qFormat/>
    <w:uiPriority w:val="0"/>
    <w:rPr>
      <w:rFonts w:ascii="Arial" w:hAnsi="Arial" w:eastAsia="Arial"/>
    </w:rPr>
  </w:style>
  <w:style w:type="character" w:customStyle="1" w:styleId="83">
    <w:name w:val="批注文字 Char"/>
    <w:basedOn w:val="58"/>
    <w:qFormat/>
    <w:uiPriority w:val="0"/>
    <w:rPr>
      <w:rFonts w:ascii="@仿宋_GB2312" w:hAnsi="@仿宋_GB2312" w:eastAsia="@仿宋_GB2312" w:cs="@仿宋_GB2312"/>
      <w:szCs w:val="20"/>
    </w:rPr>
  </w:style>
  <w:style w:type="character" w:customStyle="1" w:styleId="84">
    <w:name w:val="批注文字 Char1"/>
    <w:link w:val="18"/>
    <w:qFormat/>
    <w:uiPriority w:val="99"/>
    <w:rPr>
      <w:rFonts w:ascii="Arial" w:hAnsi="Arial" w:eastAsia="黑体" w:cs="Arial"/>
      <w:szCs w:val="20"/>
    </w:rPr>
  </w:style>
  <w:style w:type="character" w:customStyle="1" w:styleId="85">
    <w:name w:val="标题 1 Char"/>
    <w:basedOn w:val="58"/>
    <w:link w:val="4"/>
    <w:qFormat/>
    <w:uiPriority w:val="0"/>
    <w:rPr>
      <w:rFonts w:ascii="@仿宋_GB2312" w:hAnsi="@仿宋_GB2312" w:eastAsia="@仿宋_GB2312" w:cs="@仿宋_GB2312"/>
      <w:b/>
      <w:bCs/>
      <w:kern w:val="44"/>
      <w:sz w:val="44"/>
      <w:szCs w:val="44"/>
    </w:rPr>
  </w:style>
  <w:style w:type="paragraph" w:customStyle="1" w:styleId="86">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6"/>
    <w:qFormat/>
    <w:uiPriority w:val="0"/>
    <w:rPr>
      <w:rFonts w:ascii="@仿宋_GB2312" w:hAnsi="@仿宋_GB2312" w:eastAsia="@仿宋_GB2312" w:cs="@仿宋_GB2312"/>
      <w:b/>
      <w:bCs/>
      <w:sz w:val="32"/>
      <w:szCs w:val="32"/>
    </w:rPr>
  </w:style>
  <w:style w:type="character" w:customStyle="1" w:styleId="88">
    <w:name w:val="fontstyle01"/>
    <w:basedOn w:val="58"/>
    <w:qFormat/>
    <w:uiPriority w:val="0"/>
    <w:rPr>
      <w:rFonts w:hint="eastAsia" w:ascii="宋体" w:hAnsi="宋体" w:eastAsia="宋体"/>
      <w:color w:val="000000"/>
      <w:sz w:val="22"/>
      <w:szCs w:val="22"/>
    </w:rPr>
  </w:style>
  <w:style w:type="character" w:customStyle="1" w:styleId="89">
    <w:name w:val="fontstyle21"/>
    <w:basedOn w:val="58"/>
    <w:qFormat/>
    <w:uiPriority w:val="0"/>
    <w:rPr>
      <w:rFonts w:hint="default" w:ascii="TimesNewRomanPSMT" w:hAnsi="TimesNewRomanPSMT"/>
      <w:color w:val="000000"/>
      <w:sz w:val="22"/>
      <w:szCs w:val="22"/>
    </w:rPr>
  </w:style>
  <w:style w:type="character" w:customStyle="1" w:styleId="9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semiHidden/>
    <w:qFormat/>
    <w:uiPriority w:val="9"/>
    <w:rPr>
      <w:rFonts w:asciiTheme="majorHAnsi" w:hAnsiTheme="majorHAnsi" w:eastAsiaTheme="majorEastAsia" w:cstheme="majorBidi"/>
      <w:b/>
      <w:bCs/>
      <w:sz w:val="28"/>
      <w:szCs w:val="28"/>
    </w:rPr>
  </w:style>
  <w:style w:type="character" w:customStyle="1" w:styleId="92">
    <w:name w:val="标题 4 Char"/>
    <w:link w:val="7"/>
    <w:qFormat/>
    <w:uiPriority w:val="0"/>
    <w:rPr>
      <w:rFonts w:ascii="@仿宋_GB2312" w:hAnsi="@仿宋_GB2312" w:eastAsia="@仿宋_GB2312" w:cs="@仿宋_GB2312"/>
      <w:b/>
      <w:bCs/>
      <w:sz w:val="28"/>
      <w:szCs w:val="28"/>
    </w:rPr>
  </w:style>
  <w:style w:type="character" w:customStyle="1" w:styleId="93">
    <w:name w:val="正文文本 Char"/>
    <w:basedOn w:val="58"/>
    <w:link w:val="2"/>
    <w:qFormat/>
    <w:uiPriority w:val="0"/>
    <w:rPr>
      <w:rFonts w:ascii="@微软简标宋" w:hAnsi="@微软简标宋" w:eastAsia="@微软简标宋" w:cs="@微软简标宋"/>
      <w:szCs w:val="24"/>
      <w:lang w:val="zh-CN" w:eastAsia="zh-CN"/>
    </w:rPr>
  </w:style>
  <w:style w:type="table" w:customStyle="1" w:styleId="94">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3"/>
    <w:qFormat/>
    <w:uiPriority w:val="0"/>
    <w:rPr>
      <w:rFonts w:ascii="Arial" w:hAnsi="Arial" w:eastAsia="黑体" w:cs="Arial"/>
      <w:b/>
      <w:bCs/>
      <w:szCs w:val="20"/>
    </w:rPr>
  </w:style>
  <w:style w:type="paragraph" w:customStyle="1" w:styleId="96">
    <w:name w:val="普通 (Web)"/>
    <w:basedOn w:val="1"/>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5"/>
    <w:qFormat/>
    <w:uiPriority w:val="0"/>
    <w:rPr>
      <w:rFonts w:ascii="Cambria" w:hAnsi="Cambria" w:cs="Times New Roman"/>
      <w:b/>
      <w:bCs/>
      <w:kern w:val="2"/>
      <w:sz w:val="32"/>
      <w:szCs w:val="32"/>
      <w:lang w:val="zh-CN" w:eastAsia="zh-CN"/>
    </w:rPr>
  </w:style>
  <w:style w:type="character" w:customStyle="1" w:styleId="99">
    <w:name w:val="标题 5 Char"/>
    <w:basedOn w:val="58"/>
    <w:link w:val="8"/>
    <w:qFormat/>
    <w:uiPriority w:val="0"/>
    <w:rPr>
      <w:rFonts w:ascii="Calibri" w:hAnsi="Calibri" w:cs="Times New Roman"/>
      <w:b/>
      <w:bCs/>
      <w:kern w:val="2"/>
      <w:sz w:val="28"/>
      <w:szCs w:val="28"/>
      <w:lang w:val="zh-CN" w:eastAsia="zh-CN"/>
    </w:rPr>
  </w:style>
  <w:style w:type="character" w:customStyle="1" w:styleId="100">
    <w:name w:val="标题 6 Char"/>
    <w:basedOn w:val="58"/>
    <w:link w:val="9"/>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10"/>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11"/>
    <w:qFormat/>
    <w:uiPriority w:val="0"/>
    <w:rPr>
      <w:rFonts w:eastAsia="黑体" w:cs="Times New Roman"/>
      <w:kern w:val="2"/>
      <w:sz w:val="32"/>
      <w:szCs w:val="32"/>
      <w:lang w:val="zh-CN" w:eastAsia="zh-CN"/>
    </w:rPr>
  </w:style>
  <w:style w:type="character" w:customStyle="1" w:styleId="103">
    <w:name w:val="标题 9 Char"/>
    <w:basedOn w:val="58"/>
    <w:link w:val="12"/>
    <w:qFormat/>
    <w:uiPriority w:val="0"/>
    <w:rPr>
      <w:rFonts w:ascii="Cambria" w:hAnsi="Cambria" w:cs="Times New Roman"/>
      <w:kern w:val="2"/>
      <w:sz w:val="21"/>
      <w:szCs w:val="21"/>
      <w:lang w:val="zh-CN" w:eastAsia="zh-CN"/>
    </w:rPr>
  </w:style>
  <w:style w:type="character" w:customStyle="1" w:styleId="104">
    <w:name w:val="纯文本 Char2"/>
    <w:qFormat/>
    <w:uiPriority w:val="0"/>
    <w:rPr>
      <w:rFonts w:ascii="宋体" w:hAnsi="Courier New"/>
    </w:rPr>
  </w:style>
  <w:style w:type="table" w:customStyle="1" w:styleId="105">
    <w:name w:val="网格型3"/>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21"/>
    <w:qFormat/>
    <w:uiPriority w:val="0"/>
    <w:rPr>
      <w:rFonts w:asciiTheme="minorHAnsi" w:hAnsiTheme="minorHAnsi"/>
      <w:kern w:val="2"/>
      <w:sz w:val="21"/>
      <w:szCs w:val="22"/>
    </w:rPr>
  </w:style>
  <w:style w:type="paragraph" w:customStyle="1" w:styleId="109">
    <w:name w:val="Char"/>
    <w:basedOn w:val="1"/>
    <w:qFormat/>
    <w:uiPriority w:val="0"/>
    <w:rPr>
      <w:rFonts w:ascii="Tahoma" w:hAnsi="Tahoma" w:cs="Times New Roman"/>
      <w:sz w:val="24"/>
    </w:rPr>
  </w:style>
  <w:style w:type="character" w:customStyle="1" w:styleId="110">
    <w:name w:val="脚注文本 Char"/>
    <w:basedOn w:val="58"/>
    <w:link w:val="43"/>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6"/>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19"/>
    <w:qFormat/>
    <w:uiPriority w:val="0"/>
    <w:rPr>
      <w:rFonts w:ascii="仿宋_GB2312" w:hAnsi="Times New Roman" w:eastAsia="仿宋_GB2312" w:cs="Times New Roman"/>
      <w:kern w:val="2"/>
      <w:sz w:val="28"/>
      <w:lang w:val="zh-CN" w:eastAsia="zh-CN"/>
    </w:rPr>
  </w:style>
  <w:style w:type="paragraph" w:customStyle="1" w:styleId="11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qFormat/>
    <w:uiPriority w:val="0"/>
    <w:rPr>
      <w:rFonts w:ascii="Times New Roman" w:hAnsi="Times New Roman" w:eastAsia="Times New Roman" w:cs="Times New Roman"/>
      <w:sz w:val="24"/>
      <w:szCs w:val="24"/>
      <w:lang w:val="en-US" w:eastAsia="zh-CN" w:bidi="ar-SA"/>
    </w:rPr>
  </w:style>
  <w:style w:type="paragraph" w:customStyle="1" w:styleId="120">
    <w:name w:val="Normal_3"/>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qFormat/>
    <w:uiPriority w:val="0"/>
    <w:rPr>
      <w:rFonts w:ascii="Tahoma" w:hAnsi="Tahoma" w:cs="Times New Roman"/>
      <w:kern w:val="2"/>
      <w:sz w:val="24"/>
    </w:rPr>
  </w:style>
  <w:style w:type="paragraph" w:customStyle="1" w:styleId="122">
    <w:name w:val="Blockquote"/>
    <w:basedOn w:val="1"/>
    <w:link w:val="123"/>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qFormat/>
    <w:uiPriority w:val="0"/>
    <w:rPr>
      <w:rFonts w:ascii="Times New Roman" w:hAnsi="Times New Roman" w:cs="Times New Roman"/>
      <w:sz w:val="24"/>
      <w:lang w:val="zh-CN" w:eastAsia="zh-CN"/>
    </w:rPr>
  </w:style>
  <w:style w:type="paragraph" w:customStyle="1" w:styleId="12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7"/>
    <w:qFormat/>
    <w:uiPriority w:val="0"/>
    <w:pPr>
      <w:spacing w:line="360" w:lineRule="auto"/>
      <w:ind w:firstLine="420" w:firstLineChars="200"/>
    </w:pPr>
    <w:rPr>
      <w:rFonts w:cs="Times New Roman"/>
      <w:kern w:val="2"/>
      <w:sz w:val="21"/>
      <w:szCs w:val="21"/>
    </w:rPr>
  </w:style>
  <w:style w:type="character" w:customStyle="1" w:styleId="126">
    <w:name w:val="tdrownotice1"/>
    <w:qFormat/>
    <w:uiPriority w:val="0"/>
    <w:rPr>
      <w:sz w:val="22"/>
    </w:rPr>
  </w:style>
  <w:style w:type="paragraph" w:customStyle="1" w:styleId="127">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8"/>
    <w:link w:val="45"/>
    <w:qFormat/>
    <w:uiPriority w:val="0"/>
    <w:rPr>
      <w:rFonts w:hAnsi="MS Sans Serif" w:cs="Times New Roman"/>
      <w:bCs/>
      <w:color w:val="000000"/>
      <w:sz w:val="24"/>
      <w:lang w:val="zh-CN" w:eastAsia="zh-CN"/>
    </w:rPr>
  </w:style>
  <w:style w:type="character" w:customStyle="1" w:styleId="129">
    <w:name w:val="正文文本缩进 2 Char"/>
    <w:basedOn w:val="58"/>
    <w:link w:val="32"/>
    <w:qFormat/>
    <w:uiPriority w:val="0"/>
    <w:rPr>
      <w:rFonts w:hAnsi="MS Sans Serif" w:cs="Times New Roman"/>
      <w:bCs/>
      <w:spacing w:val="12"/>
      <w:sz w:val="24"/>
      <w:lang w:val="zh-CN" w:eastAsia="zh-CN"/>
    </w:rPr>
  </w:style>
  <w:style w:type="paragraph" w:customStyle="1" w:styleId="130">
    <w:name w:val="目录"/>
    <w:basedOn w:val="1"/>
    <w:qFormat/>
    <w:uiPriority w:val="0"/>
    <w:pPr>
      <w:widowControl/>
      <w:jc w:val="center"/>
    </w:pPr>
    <w:rPr>
      <w:rFonts w:hAnsi="Calibri" w:cs="Times New Roman"/>
      <w:b/>
      <w:sz w:val="36"/>
    </w:rPr>
  </w:style>
  <w:style w:type="paragraph" w:customStyle="1" w:styleId="131">
    <w:name w:val="目录文字"/>
    <w:basedOn w:val="1"/>
    <w:qFormat/>
    <w:uiPriority w:val="0"/>
    <w:pPr>
      <w:widowControl/>
      <w:spacing w:line="480" w:lineRule="auto"/>
      <w:jc w:val="left"/>
    </w:pPr>
    <w:rPr>
      <w:rFonts w:cs="Times New Roman"/>
      <w:sz w:val="24"/>
    </w:rPr>
  </w:style>
  <w:style w:type="character" w:customStyle="1" w:styleId="132">
    <w:name w:val="正文文本 2 Char"/>
    <w:basedOn w:val="58"/>
    <w:link w:val="48"/>
    <w:qFormat/>
    <w:uiPriority w:val="0"/>
    <w:rPr>
      <w:rFonts w:hAnsi="Times New Roman" w:cs="Times New Roman"/>
      <w:spacing w:val="-20"/>
      <w:kern w:val="2"/>
      <w:sz w:val="28"/>
      <w:lang w:val="zh-CN" w:eastAsia="zh-CN"/>
    </w:rPr>
  </w:style>
  <w:style w:type="character" w:customStyle="1" w:styleId="133">
    <w:name w:val="正文文本 3 Char"/>
    <w:basedOn w:val="58"/>
    <w:link w:val="20"/>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8"/>
    <w:link w:val="52"/>
    <w:qFormat/>
    <w:uiPriority w:val="0"/>
    <w:rPr>
      <w:rFonts w:eastAsia="黑体" w:cs="Times New Roman"/>
      <w:b/>
      <w:smallCaps/>
      <w:snapToGrid w:val="0"/>
      <w:kern w:val="2"/>
      <w:sz w:val="44"/>
      <w:szCs w:val="24"/>
      <w:lang w:val="zh-CN" w:eastAsia="zh-CN"/>
    </w:rPr>
  </w:style>
  <w:style w:type="paragraph" w:customStyle="1" w:styleId="137">
    <w:name w:val="段落1 Char"/>
    <w:basedOn w:val="29"/>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qFormat/>
    <w:uiPriority w:val="0"/>
    <w:rPr>
      <w:rFonts w:ascii="Calibri" w:hAnsi="Calibri" w:cs="Times New Roman"/>
      <w:kern w:val="2"/>
      <w:sz w:val="21"/>
      <w:szCs w:val="22"/>
    </w:rPr>
  </w:style>
  <w:style w:type="paragraph" w:customStyle="1" w:styleId="140">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2">
    <w:name w:val="t_tag"/>
    <w:basedOn w:val="58"/>
    <w:qFormat/>
    <w:uiPriority w:val="0"/>
  </w:style>
  <w:style w:type="table" w:customStyle="1" w:styleId="143">
    <w:name w:val="网格型11"/>
    <w:basedOn w:val="56"/>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8"/>
    <w:qFormat/>
    <w:uiPriority w:val="0"/>
    <w:rPr>
      <w:rFonts w:ascii="Times New Roman" w:hAnsi="Times New Roman" w:eastAsia="宋体" w:cs="Times New Roman"/>
      <w:sz w:val="18"/>
      <w:szCs w:val="18"/>
    </w:rPr>
  </w:style>
  <w:style w:type="character" w:customStyle="1" w:styleId="145">
    <w:name w:val="批注主题 Char1"/>
    <w:basedOn w:val="84"/>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qFormat/>
    <w:uiPriority w:val="0"/>
    <w:rPr>
      <w:rFonts w:ascii="Calibri" w:hAnsi="Calibri" w:cs="Times New Roman"/>
      <w:kern w:val="2"/>
      <w:sz w:val="21"/>
      <w:szCs w:val="22"/>
    </w:rPr>
  </w:style>
  <w:style w:type="character" w:customStyle="1" w:styleId="147">
    <w:name w:val="文档结构图 Char"/>
    <w:basedOn w:val="58"/>
    <w:link w:val="17"/>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qFormat/>
    <w:uiPriority w:val="0"/>
    <w:rPr>
      <w:rFonts w:ascii="Calibri" w:hAnsi="Calibri" w:eastAsia="宋体"/>
      <w:b/>
      <w:kern w:val="44"/>
      <w:sz w:val="44"/>
      <w:szCs w:val="44"/>
    </w:rPr>
  </w:style>
  <w:style w:type="character" w:customStyle="1" w:styleId="149">
    <w:name w:val="标题 3 Char1"/>
    <w:semiHidden/>
    <w:qFormat/>
    <w:uiPriority w:val="0"/>
    <w:rPr>
      <w:rFonts w:ascii="Calibri" w:hAnsi="Calibri" w:eastAsia="宋体"/>
      <w:b/>
      <w:kern w:val="2"/>
      <w:sz w:val="32"/>
    </w:rPr>
  </w:style>
  <w:style w:type="character" w:customStyle="1" w:styleId="150">
    <w:name w:val="标题 4 Char1"/>
    <w:semiHidden/>
    <w:qFormat/>
    <w:uiPriority w:val="0"/>
    <w:rPr>
      <w:rFonts w:ascii="Cambria" w:hAnsi="Cambria" w:eastAsia="宋体"/>
      <w:b/>
      <w:kern w:val="2"/>
      <w:sz w:val="28"/>
      <w:szCs w:val="28"/>
    </w:rPr>
  </w:style>
  <w:style w:type="character" w:customStyle="1" w:styleId="151">
    <w:name w:val="标题 5 Char1"/>
    <w:semiHidden/>
    <w:qFormat/>
    <w:uiPriority w:val="0"/>
    <w:rPr>
      <w:rFonts w:ascii="Calibri" w:hAnsi="Calibri" w:eastAsia="宋体"/>
      <w:b/>
      <w:kern w:val="2"/>
      <w:sz w:val="28"/>
      <w:szCs w:val="28"/>
    </w:rPr>
  </w:style>
  <w:style w:type="character" w:customStyle="1" w:styleId="152">
    <w:name w:val="标题 6 Char1"/>
    <w:semiHidden/>
    <w:qFormat/>
    <w:uiPriority w:val="0"/>
    <w:rPr>
      <w:rFonts w:ascii="Cambria" w:hAnsi="Cambria" w:eastAsia="宋体"/>
      <w:b/>
      <w:kern w:val="2"/>
      <w:sz w:val="24"/>
      <w:szCs w:val="24"/>
    </w:rPr>
  </w:style>
  <w:style w:type="character" w:customStyle="1" w:styleId="153">
    <w:name w:val="标题 7 Char1"/>
    <w:semiHidden/>
    <w:qFormat/>
    <w:uiPriority w:val="0"/>
    <w:rPr>
      <w:rFonts w:ascii="Calibri" w:hAnsi="Calibri" w:eastAsia="宋体"/>
      <w:b/>
      <w:kern w:val="2"/>
      <w:sz w:val="24"/>
      <w:szCs w:val="24"/>
    </w:rPr>
  </w:style>
  <w:style w:type="character" w:customStyle="1" w:styleId="154">
    <w:name w:val="标题 8 Char1"/>
    <w:semiHidden/>
    <w:qFormat/>
    <w:uiPriority w:val="0"/>
    <w:rPr>
      <w:rFonts w:ascii="Cambria" w:hAnsi="Cambria" w:eastAsia="宋体"/>
      <w:kern w:val="2"/>
      <w:sz w:val="24"/>
      <w:szCs w:val="24"/>
    </w:rPr>
  </w:style>
  <w:style w:type="character" w:customStyle="1" w:styleId="155">
    <w:name w:val="标题 9 Char1"/>
    <w:semiHidden/>
    <w:qFormat/>
    <w:uiPriority w:val="0"/>
    <w:rPr>
      <w:rFonts w:ascii="Cambria" w:hAnsi="Cambria" w:eastAsia="宋体"/>
      <w:kern w:val="2"/>
      <w:sz w:val="21"/>
      <w:szCs w:val="21"/>
    </w:rPr>
  </w:style>
  <w:style w:type="paragraph" w:customStyle="1" w:styleId="156">
    <w:name w:val="MsoNormal"/>
    <w:basedOn w:val="157"/>
    <w:qFormat/>
    <w:uiPriority w:val="0"/>
    <w:rPr>
      <w:rFonts w:ascii="Calibri" w:hAnsi="Calibri" w:eastAsia="Calibri"/>
      <w:sz w:val="21"/>
    </w:rPr>
  </w:style>
  <w:style w:type="paragraph" w:customStyle="1" w:styleId="157">
    <w:name w:val="Normal_0"/>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qFormat/>
    <w:uiPriority w:val="99"/>
    <w:rPr>
      <w:rFonts w:ascii="宋体" w:hAnsi="Courier New"/>
      <w:szCs w:val="21"/>
    </w:rPr>
  </w:style>
  <w:style w:type="character" w:customStyle="1" w:styleId="163">
    <w:name w:val="Texte Char1"/>
    <w:link w:val="162"/>
    <w:qFormat/>
    <w:uiPriority w:val="99"/>
    <w:rPr>
      <w:rFonts w:hAnsi="Courier New" w:cs="Times New Roman"/>
      <w:kern w:val="2"/>
      <w:sz w:val="21"/>
      <w:szCs w:val="21"/>
    </w:rPr>
  </w:style>
  <w:style w:type="paragraph" w:customStyle="1" w:styleId="164">
    <w:name w:val="纯文本_1"/>
    <w:basedOn w:val="165"/>
    <w:link w:val="166"/>
    <w:qFormat/>
    <w:uiPriority w:val="0"/>
    <w:rPr>
      <w:rFonts w:ascii="宋体" w:hAnsi="Courier New"/>
      <w:szCs w:val="21"/>
      <w:lang w:val="zh-CN"/>
    </w:rPr>
  </w:style>
  <w:style w:type="paragraph" w:customStyle="1" w:styleId="16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qFormat/>
    <w:uiPriority w:val="0"/>
    <w:rPr>
      <w:rFonts w:hAnsi="Courier New" w:cs="Times New Roman"/>
      <w:kern w:val="2"/>
      <w:sz w:val="21"/>
      <w:szCs w:val="21"/>
      <w:lang w:val="zh-CN" w:eastAsia="zh-CN"/>
    </w:rPr>
  </w:style>
  <w:style w:type="paragraph" w:customStyle="1" w:styleId="167">
    <w:name w:val="标题 3_0"/>
    <w:basedOn w:val="168"/>
    <w:next w:val="169"/>
    <w:link w:val="180"/>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unhideWhenUsed/>
    <w:qFormat/>
    <w:uiPriority w:val="0"/>
    <w:pPr>
      <w:ind w:firstLine="420" w:firstLineChars="200"/>
    </w:pPr>
    <w:rPr>
      <w:rFonts w:ascii="Calibri" w:hAnsi="Calibri"/>
      <w:bCs/>
      <w:szCs w:val="32"/>
    </w:rPr>
  </w:style>
  <w:style w:type="paragraph" w:customStyle="1" w:styleId="170">
    <w:name w:val="标题 1_0"/>
    <w:basedOn w:val="168"/>
    <w:next w:val="168"/>
    <w:link w:val="171"/>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qFormat/>
    <w:uiPriority w:val="0"/>
    <w:rPr>
      <w:rFonts w:ascii="黑体" w:hAnsi="Times New Roman" w:eastAsia="黑体" w:cs="Times New Roman"/>
      <w:sz w:val="52"/>
      <w:lang w:val="zh-CN" w:eastAsia="zh-CN"/>
    </w:rPr>
  </w:style>
  <w:style w:type="paragraph" w:customStyle="1" w:styleId="172">
    <w:name w:val="标题 6_0"/>
    <w:basedOn w:val="168"/>
    <w:next w:val="168"/>
    <w:link w:val="17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qFormat/>
    <w:uiPriority w:val="0"/>
    <w:rPr>
      <w:rFonts w:ascii="Arial" w:hAnsi="Arial" w:eastAsia="黑体" w:cs="Times New Roman"/>
      <w:sz w:val="21"/>
      <w:szCs w:val="21"/>
      <w:lang w:val="zh-CN" w:eastAsia="zh-CN"/>
    </w:rPr>
  </w:style>
  <w:style w:type="character" w:customStyle="1" w:styleId="180">
    <w:name w:val="标题 3 Char_0"/>
    <w:link w:val="167"/>
    <w:qFormat/>
    <w:uiPriority w:val="0"/>
    <w:rPr>
      <w:rFonts w:ascii="Times New Roman" w:hAnsi="Times New Roman" w:cs="Times New Roman"/>
      <w:b/>
      <w:sz w:val="32"/>
      <w:lang w:val="zh-CN" w:eastAsia="zh-CN"/>
    </w:rPr>
  </w:style>
  <w:style w:type="paragraph" w:customStyle="1" w:styleId="181">
    <w:name w:val="Blockquote_0"/>
    <w:basedOn w:val="168"/>
    <w:link w:val="182"/>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qFormat/>
    <w:locked/>
    <w:uiPriority w:val="0"/>
    <w:rPr>
      <w:rFonts w:ascii="Times New Roman" w:hAnsi="Times New Roman" w:cs="Times New Roman"/>
      <w:sz w:val="24"/>
      <w:lang w:val="zh-CN" w:eastAsia="zh-CN"/>
    </w:rPr>
  </w:style>
  <w:style w:type="paragraph" w:customStyle="1" w:styleId="183">
    <w:name w:val="标题 4_0"/>
    <w:basedOn w:val="168"/>
    <w:next w:val="168"/>
    <w:link w:val="184"/>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qFormat/>
    <w:uiPriority w:val="0"/>
    <w:rPr>
      <w:rFonts w:ascii="Arial" w:hAnsi="Arial" w:eastAsia="黑体" w:cs="Times New Roman"/>
      <w:sz w:val="28"/>
      <w:lang w:val="zh-CN" w:eastAsia="zh-CN"/>
    </w:rPr>
  </w:style>
  <w:style w:type="paragraph" w:customStyle="1" w:styleId="185">
    <w:name w:val="纯文本_2"/>
    <w:basedOn w:val="168"/>
    <w:link w:val="186"/>
    <w:qFormat/>
    <w:uiPriority w:val="0"/>
    <w:rPr>
      <w:rFonts w:ascii="宋体" w:hAnsi="Courier New"/>
      <w:szCs w:val="21"/>
      <w:lang w:val="zh-CN"/>
    </w:rPr>
  </w:style>
  <w:style w:type="character" w:customStyle="1" w:styleId="186">
    <w:name w:val="纯文本 Char1_1"/>
    <w:link w:val="185"/>
    <w:qFormat/>
    <w:uiPriority w:val="0"/>
    <w:rPr>
      <w:rFonts w:hAnsi="Courier New" w:cs="Times New Roman"/>
      <w:kern w:val="2"/>
      <w:sz w:val="21"/>
      <w:szCs w:val="21"/>
      <w:lang w:val="zh-CN" w:eastAsia="zh-CN"/>
    </w:rPr>
  </w:style>
  <w:style w:type="paragraph" w:customStyle="1" w:styleId="187">
    <w:name w:val="Blockquote_0_1"/>
    <w:basedOn w:val="188"/>
    <w:link w:val="189"/>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qFormat/>
    <w:locked/>
    <w:uiPriority w:val="0"/>
    <w:rPr>
      <w:rFonts w:ascii="Times New Roman" w:hAnsi="Times New Roman" w:cs="Times New Roman"/>
      <w:sz w:val="24"/>
      <w:lang w:val="zh-CN" w:eastAsia="zh-CN"/>
    </w:rPr>
  </w:style>
  <w:style w:type="paragraph" w:customStyle="1" w:styleId="190">
    <w:name w:val="正文文本_0"/>
    <w:basedOn w:val="168"/>
    <w:link w:val="191"/>
    <w:qFormat/>
    <w:uiPriority w:val="0"/>
    <w:pPr>
      <w:spacing w:after="120"/>
    </w:pPr>
    <w:rPr>
      <w:lang w:val="zh-CN"/>
    </w:rPr>
  </w:style>
  <w:style w:type="character" w:customStyle="1" w:styleId="191">
    <w:name w:val="正文文本 Char_0"/>
    <w:link w:val="190"/>
    <w:qFormat/>
    <w:uiPriority w:val="0"/>
    <w:rPr>
      <w:rFonts w:ascii="Times New Roman" w:hAnsi="Times New Roman" w:cs="Times New Roman"/>
      <w:kern w:val="2"/>
      <w:sz w:val="21"/>
      <w:szCs w:val="24"/>
      <w:lang w:val="zh-CN" w:eastAsia="zh-CN"/>
    </w:rPr>
  </w:style>
  <w:style w:type="paragraph" w:customStyle="1" w:styleId="192">
    <w:name w:val="普通(网站)_0"/>
    <w:basedOn w:val="168"/>
    <w:qFormat/>
    <w:uiPriority w:val="0"/>
    <w:pPr>
      <w:widowControl/>
      <w:spacing w:before="100" w:beforeAutospacing="1" w:after="100" w:afterAutospacing="1"/>
      <w:jc w:val="left"/>
    </w:pPr>
    <w:rPr>
      <w:rFonts w:ascii="宋体" w:hAnsi="宋体"/>
      <w:kern w:val="0"/>
      <w:sz w:val="24"/>
    </w:rPr>
  </w:style>
  <w:style w:type="paragraph" w:customStyle="1" w:styleId="1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qFormat/>
    <w:uiPriority w:val="0"/>
    <w:rPr>
      <w:rFonts w:ascii="Times New Roman" w:hAnsi="Times New Roman" w:cs="Times New Roman"/>
      <w:sz w:val="18"/>
      <w:lang w:val="zh-CN" w:eastAsia="zh-CN"/>
    </w:rPr>
  </w:style>
  <w:style w:type="paragraph" w:customStyle="1" w:styleId="197">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qFormat/>
    <w:uiPriority w:val="0"/>
    <w:rPr>
      <w:rFonts w:ascii="Tahoma" w:hAnsi="Tahoma" w:cs="Times New Roman"/>
      <w:kern w:val="2"/>
      <w:sz w:val="24"/>
    </w:rPr>
  </w:style>
  <w:style w:type="paragraph" w:customStyle="1" w:styleId="220">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8"/>
    <w:link w:val="41"/>
    <w:qFormat/>
    <w:uiPriority w:val="0"/>
    <w:rPr>
      <w:rFonts w:ascii="Arial" w:hAnsi="Arial" w:cs="Times New Roman"/>
      <w:b/>
      <w:bCs/>
      <w:kern w:val="28"/>
      <w:sz w:val="32"/>
      <w:szCs w:val="32"/>
      <w:lang w:val="zh-CN" w:eastAsia="zh-CN"/>
    </w:rPr>
  </w:style>
  <w:style w:type="character" w:customStyle="1" w:styleId="222">
    <w:name w:val="Char Char"/>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qFormat/>
    <w:uiPriority w:val="0"/>
    <w:rPr>
      <w:rFonts w:ascii="Arial" w:hAnsi="Arial"/>
      <w:b/>
      <w:bCs/>
      <w:sz w:val="24"/>
      <w:szCs w:val="32"/>
    </w:rPr>
  </w:style>
  <w:style w:type="paragraph" w:customStyle="1" w:styleId="224">
    <w:name w:val="标题4"/>
    <w:basedOn w:val="5"/>
    <w:next w:val="26"/>
    <w:link w:val="223"/>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qFormat/>
    <w:uiPriority w:val="0"/>
    <w:rPr>
      <w:b/>
      <w:bCs/>
      <w:i/>
      <w:iCs/>
      <w:color w:val="4F81BD"/>
    </w:rPr>
  </w:style>
  <w:style w:type="paragraph" w:styleId="226">
    <w:name w:val="Intense Quote"/>
    <w:basedOn w:val="1"/>
    <w:next w:val="1"/>
    <w:link w:val="225"/>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8"/>
    <w:qFormat/>
    <w:uiPriority w:val="30"/>
    <w:rPr>
      <w:rFonts w:ascii="Times New Roman" w:hAnsi="Times New Roman" w:eastAsia="宋体" w:cs="Times New Roman"/>
      <w:i/>
      <w:iCs/>
      <w:color w:val="5B9BD5"/>
      <w:szCs w:val="24"/>
    </w:rPr>
  </w:style>
  <w:style w:type="character" w:customStyle="1" w:styleId="229">
    <w:name w:val="标题5 Char Char"/>
    <w:link w:val="230"/>
    <w:qFormat/>
    <w:uiPriority w:val="0"/>
    <w:rPr>
      <w:rFonts w:ascii="Arial" w:hAnsi="Arial"/>
      <w:b/>
      <w:bCs/>
      <w:sz w:val="24"/>
      <w:szCs w:val="32"/>
    </w:rPr>
  </w:style>
  <w:style w:type="paragraph" w:customStyle="1" w:styleId="230">
    <w:name w:val="标题5"/>
    <w:basedOn w:val="6"/>
    <w:link w:val="229"/>
    <w:qFormat/>
    <w:uiPriority w:val="0"/>
    <w:pPr>
      <w:spacing w:line="413" w:lineRule="auto"/>
      <w:jc w:val="left"/>
    </w:pPr>
    <w:rPr>
      <w:rFonts w:ascii="Arial" w:hAnsi="Arial"/>
      <w:sz w:val="24"/>
    </w:rPr>
  </w:style>
  <w:style w:type="character" w:customStyle="1" w:styleId="231">
    <w:name w:val="引用 Char"/>
    <w:link w:val="232"/>
    <w:qFormat/>
    <w:uiPriority w:val="0"/>
    <w:rPr>
      <w:i/>
      <w:iCs/>
      <w:color w:val="000000"/>
    </w:rPr>
  </w:style>
  <w:style w:type="paragraph" w:styleId="232">
    <w:name w:val="Quote"/>
    <w:basedOn w:val="1"/>
    <w:next w:val="1"/>
    <w:link w:val="231"/>
    <w:qFormat/>
    <w:uiPriority w:val="0"/>
    <w:rPr>
      <w:i/>
      <w:iCs/>
      <w:color w:val="000000"/>
    </w:rPr>
  </w:style>
  <w:style w:type="paragraph" w:customStyle="1" w:styleId="233">
    <w:name w:val="引用1"/>
    <w:basedOn w:val="1"/>
    <w:next w:val="1"/>
    <w:qFormat/>
    <w:uiPriority w:val="0"/>
    <w:rPr>
      <w:rFonts w:ascii="Calibri" w:hAnsi="Calibri" w:cs="Times New Roman"/>
      <w:i/>
      <w:iCs/>
      <w:color w:val="000000"/>
      <w:kern w:val="2"/>
      <w:sz w:val="21"/>
      <w:szCs w:val="22"/>
    </w:rPr>
  </w:style>
  <w:style w:type="character" w:customStyle="1" w:styleId="234">
    <w:name w:val="引用 Char1"/>
    <w:basedOn w:val="58"/>
    <w:qFormat/>
    <w:uiPriority w:val="29"/>
    <w:rPr>
      <w:rFonts w:ascii="Times New Roman" w:hAnsi="Times New Roman" w:eastAsia="宋体" w:cs="Times New Roman"/>
      <w:i/>
      <w:iCs/>
      <w:color w:val="404040"/>
      <w:szCs w:val="24"/>
    </w:rPr>
  </w:style>
  <w:style w:type="character" w:customStyle="1" w:styleId="235">
    <w:name w:val="ask-title2"/>
    <w:qFormat/>
    <w:uiPriority w:val="0"/>
  </w:style>
  <w:style w:type="character" w:customStyle="1" w:styleId="236">
    <w:name w:val="正文文本 Char1"/>
    <w:qFormat/>
    <w:uiPriority w:val="0"/>
    <w:rPr>
      <w:kern w:val="2"/>
      <w:sz w:val="21"/>
      <w:szCs w:val="22"/>
    </w:rPr>
  </w:style>
  <w:style w:type="character" w:customStyle="1" w:styleId="237">
    <w:name w:val="不明显强调1"/>
    <w:qFormat/>
    <w:uiPriority w:val="0"/>
    <w:rPr>
      <w:i/>
      <w:iCs/>
      <w:color w:val="808080"/>
    </w:rPr>
  </w:style>
  <w:style w:type="character" w:customStyle="1" w:styleId="238">
    <w:name w:val="明显参考1"/>
    <w:qFormat/>
    <w:uiPriority w:val="0"/>
    <w:rPr>
      <w:b/>
      <w:bCs/>
      <w:smallCaps/>
      <w:color w:val="C0504D"/>
      <w:spacing w:val="5"/>
      <w:u w:val="single"/>
    </w:rPr>
  </w:style>
  <w:style w:type="character" w:customStyle="1" w:styleId="239">
    <w:name w:val="书籍标题1"/>
    <w:qFormat/>
    <w:uiPriority w:val="0"/>
    <w:rPr>
      <w:b/>
      <w:bCs/>
      <w:smallCaps/>
      <w:spacing w:val="5"/>
    </w:rPr>
  </w:style>
  <w:style w:type="character" w:customStyle="1" w:styleId="240">
    <w:name w:val="日期 Char1"/>
    <w:qFormat/>
    <w:uiPriority w:val="0"/>
    <w:rPr>
      <w:kern w:val="2"/>
      <w:sz w:val="21"/>
      <w:szCs w:val="22"/>
    </w:rPr>
  </w:style>
  <w:style w:type="character" w:customStyle="1" w:styleId="241">
    <w:name w:val="明显强调1"/>
    <w:qFormat/>
    <w:uiPriority w:val="0"/>
    <w:rPr>
      <w:b/>
      <w:bCs/>
      <w:i/>
      <w:iCs/>
      <w:color w:val="4F81BD"/>
    </w:rPr>
  </w:style>
  <w:style w:type="character" w:customStyle="1" w:styleId="242">
    <w:name w:val="textcontents"/>
    <w:qFormat/>
    <w:uiPriority w:val="0"/>
    <w:rPr>
      <w:rFonts w:cs="Times New Roman"/>
    </w:rPr>
  </w:style>
  <w:style w:type="character" w:customStyle="1" w:styleId="243">
    <w:name w:val="不明显参考1"/>
    <w:qFormat/>
    <w:uiPriority w:val="0"/>
    <w:rPr>
      <w:smallCaps/>
      <w:color w:val="C0504D"/>
      <w:u w:val="single"/>
    </w:rPr>
  </w:style>
  <w:style w:type="character" w:customStyle="1" w:styleId="244">
    <w:name w:val="批注文字 Char Char"/>
    <w:qFormat/>
    <w:uiPriority w:val="0"/>
    <w:rPr>
      <w:rFonts w:ascii="宋体" w:hAnsi="Times New Roman" w:eastAsia="宋体" w:cs="Times New Roman"/>
      <w:sz w:val="28"/>
      <w:szCs w:val="20"/>
    </w:rPr>
  </w:style>
  <w:style w:type="character" w:customStyle="1" w:styleId="245">
    <w:name w:val="文档结构图 Char1"/>
    <w:qFormat/>
    <w:uiPriority w:val="0"/>
    <w:rPr>
      <w:rFonts w:ascii="宋体"/>
      <w:kern w:val="2"/>
      <w:sz w:val="18"/>
      <w:szCs w:val="18"/>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character" w:customStyle="1" w:styleId="247">
    <w:name w:val="页脚 Char1"/>
    <w:semiHidden/>
    <w:qFormat/>
    <w:uiPriority w:val="99"/>
    <w:rPr>
      <w:kern w:val="2"/>
      <w:sz w:val="18"/>
      <w:szCs w:val="18"/>
    </w:rPr>
  </w:style>
  <w:style w:type="character" w:customStyle="1" w:styleId="248">
    <w:name w:val="批注框文本 Char2"/>
    <w:semiHidden/>
    <w:qFormat/>
    <w:uiPriority w:val="99"/>
    <w:rPr>
      <w:kern w:val="2"/>
      <w:sz w:val="18"/>
      <w:szCs w:val="18"/>
    </w:rPr>
  </w:style>
  <w:style w:type="character" w:customStyle="1" w:styleId="249">
    <w:name w:val="批注主题 Char2"/>
    <w:semiHidden/>
    <w:qFormat/>
    <w:uiPriority w:val="99"/>
    <w:rPr>
      <w:b/>
      <w:bCs/>
      <w:kern w:val="2"/>
      <w:sz w:val="21"/>
      <w:szCs w:val="22"/>
    </w:rPr>
  </w:style>
  <w:style w:type="character" w:customStyle="1" w:styleId="250">
    <w:name w:val="文档结构图 Char2"/>
    <w:semiHidden/>
    <w:qFormat/>
    <w:uiPriority w:val="99"/>
    <w:rPr>
      <w:rFonts w:ascii="宋体"/>
      <w:kern w:val="2"/>
      <w:sz w:val="18"/>
      <w:szCs w:val="18"/>
    </w:rPr>
  </w:style>
  <w:style w:type="character" w:customStyle="1" w:styleId="251">
    <w:name w:val="页眉 Char1"/>
    <w:semiHidden/>
    <w:qFormat/>
    <w:uiPriority w:val="99"/>
    <w:rPr>
      <w:kern w:val="2"/>
      <w:sz w:val="18"/>
      <w:szCs w:val="18"/>
    </w:rPr>
  </w:style>
  <w:style w:type="character" w:customStyle="1" w:styleId="252">
    <w:name w:val="日期 Char2"/>
    <w:semiHidden/>
    <w:qFormat/>
    <w:uiPriority w:val="99"/>
    <w:rPr>
      <w:kern w:val="2"/>
      <w:sz w:val="21"/>
      <w:szCs w:val="22"/>
    </w:rPr>
  </w:style>
  <w:style w:type="character" w:customStyle="1" w:styleId="253">
    <w:name w:val="正文文本 Char2"/>
    <w:semiHidden/>
    <w:qFormat/>
    <w:uiPriority w:val="99"/>
    <w:rPr>
      <w:kern w:val="2"/>
      <w:sz w:val="21"/>
      <w:szCs w:val="22"/>
    </w:rPr>
  </w:style>
  <w:style w:type="character" w:customStyle="1" w:styleId="254">
    <w:name w:val="标题 Char1"/>
    <w:qFormat/>
    <w:uiPriority w:val="10"/>
    <w:rPr>
      <w:rFonts w:ascii="Cambria" w:hAnsi="Cambria" w:cs="Times New Roman"/>
      <w:b/>
      <w:bCs/>
      <w:kern w:val="2"/>
      <w:sz w:val="32"/>
      <w:szCs w:val="32"/>
    </w:rPr>
  </w:style>
  <w:style w:type="character" w:customStyle="1" w:styleId="255">
    <w:name w:val="副标题 Char1"/>
    <w:qFormat/>
    <w:uiPriority w:val="11"/>
    <w:rPr>
      <w:rFonts w:ascii="Cambria" w:hAnsi="Cambria" w:cs="Times New Roman"/>
      <w:b/>
      <w:bCs/>
      <w:kern w:val="28"/>
      <w:sz w:val="32"/>
      <w:szCs w:val="32"/>
    </w:rPr>
  </w:style>
  <w:style w:type="paragraph" w:customStyle="1" w:styleId="256">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qFormat/>
    <w:uiPriority w:val="0"/>
    <w:rPr>
      <w:rFonts w:ascii="楷体" w:eastAsia="楷体"/>
      <w:b/>
      <w:color w:val="0000FF"/>
    </w:rPr>
  </w:style>
  <w:style w:type="paragraph" w:customStyle="1" w:styleId="260">
    <w:name w:val="正文2"/>
    <w:link w:val="259"/>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qFormat/>
    <w:locked/>
    <w:uiPriority w:val="99"/>
    <w:rPr>
      <w:rFonts w:ascii="MingLiU" w:eastAsia="MingLiU" w:cs="MingLiU"/>
      <w:spacing w:val="20"/>
      <w:sz w:val="22"/>
      <w:shd w:val="clear" w:color="auto" w:fill="FFFFFF"/>
    </w:rPr>
  </w:style>
  <w:style w:type="paragraph" w:customStyle="1" w:styleId="263">
    <w:name w:val="正文文本 (2)1"/>
    <w:basedOn w:val="1"/>
    <w:link w:val="262"/>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qFormat/>
    <w:uiPriority w:val="99"/>
    <w:rPr>
      <w:rFonts w:ascii="MingLiU" w:eastAsia="MingLiU" w:cs="MingLiU"/>
      <w:spacing w:val="0"/>
      <w:sz w:val="22"/>
      <w:shd w:val="clear" w:color="auto" w:fill="FFFFFF"/>
    </w:rPr>
  </w:style>
  <w:style w:type="character" w:customStyle="1" w:styleId="265">
    <w:name w:val="访问过的超链接1"/>
    <w:basedOn w:val="58"/>
    <w:semiHidden/>
    <w:unhideWhenUsed/>
    <w:qFormat/>
    <w:uiPriority w:val="99"/>
    <w:rPr>
      <w:color w:val="954F72"/>
      <w:u w:val="single"/>
    </w:rPr>
  </w:style>
  <w:style w:type="character" w:customStyle="1" w:styleId="266">
    <w:name w:val="明显引用 Char2"/>
    <w:basedOn w:val="58"/>
    <w:qFormat/>
    <w:uiPriority w:val="30"/>
    <w:rPr>
      <w:b/>
      <w:bCs/>
      <w:i/>
      <w:iCs/>
      <w:color w:val="4F81BD" w:themeColor="accent1"/>
      <w14:textFill>
        <w14:solidFill>
          <w14:schemeClr w14:val="accent1"/>
        </w14:solidFill>
      </w14:textFill>
    </w:rPr>
  </w:style>
  <w:style w:type="character" w:customStyle="1" w:styleId="267">
    <w:name w:val="引用 Char2"/>
    <w:basedOn w:val="58"/>
    <w:qFormat/>
    <w:uiPriority w:val="29"/>
    <w:rPr>
      <w:i/>
      <w:iCs/>
      <w:color w:val="000000" w:themeColor="text1"/>
      <w14:textFill>
        <w14:solidFill>
          <w14:schemeClr w14:val="tx1"/>
        </w14:solidFill>
      </w14:textFill>
    </w:rPr>
  </w:style>
  <w:style w:type="table" w:customStyle="1" w:styleId="268">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semiHidden/>
    <w:unhideWhenUsed/>
    <w:qFormat/>
    <w:uiPriority w:val="0"/>
    <w:tblPr>
      <w:tblCellMar>
        <w:top w:w="0" w:type="dxa"/>
        <w:left w:w="0" w:type="dxa"/>
        <w:bottom w:w="0" w:type="dxa"/>
        <w:right w:w="0" w:type="dxa"/>
      </w:tblCellMar>
    </w:tblPr>
  </w:style>
  <w:style w:type="paragraph" w:customStyle="1" w:styleId="270">
    <w:name w:val="Table Text"/>
    <w:basedOn w:val="1"/>
    <w:semiHidden/>
    <w:qFormat/>
    <w:uiPriority w:val="0"/>
    <w:rPr>
      <w:rFonts w:ascii="Arial" w:hAnsi="Arial" w:eastAsia="Arial" w:cs="Arial"/>
      <w:sz w:val="21"/>
      <w:szCs w:val="21"/>
      <w:lang w:val="en-US" w:eastAsia="en-US" w:bidi="ar-SA"/>
    </w:rPr>
  </w:style>
  <w:style w:type="character" w:customStyle="1" w:styleId="271">
    <w:name w:val="NormalCharacter"/>
    <w:qFormat/>
    <w:uiPriority w:val="99"/>
  </w:style>
  <w:style w:type="paragraph" w:customStyle="1" w:styleId="272">
    <w:name w:val="样式 样式 正文文本缩进正文文字缩进 + 首行缩进:  2 字符2 + 首行缩进:  2 字符"/>
    <w:basedOn w:val="1"/>
    <w:unhideWhenUsed/>
    <w:qFormat/>
    <w:uiPriority w:val="0"/>
    <w:pPr>
      <w:ind w:left="100" w:leftChars="100" w:right="100" w:rightChars="100" w:firstLine="200" w:firstLineChars="100"/>
    </w:pPr>
    <w:rPr>
      <w:rFonts w:hAnsi="Arial"/>
      <w:szCs w:val="22"/>
    </w:rPr>
  </w:style>
  <w:style w:type="paragraph" w:customStyle="1" w:styleId="273">
    <w:name w:val="Body text|1"/>
    <w:basedOn w:val="1"/>
    <w:qFormat/>
    <w:uiPriority w:val="0"/>
    <w:pPr>
      <w:spacing w:line="398" w:lineRule="auto"/>
      <w:ind w:firstLine="400"/>
    </w:pPr>
    <w:rPr>
      <w:rFonts w:ascii="宋体" w:hAnsi="宋体" w:cs="宋体"/>
      <w:sz w:val="30"/>
      <w:szCs w:val="30"/>
      <w:lang w:val="zh-TW" w:eastAsia="zh-TW" w:bidi="zh-TW"/>
    </w:rPr>
  </w:style>
  <w:style w:type="paragraph" w:customStyle="1" w:styleId="274">
    <w:name w:val="Body text|3"/>
    <w:basedOn w:val="1"/>
    <w:qFormat/>
    <w:uiPriority w:val="0"/>
    <w:pPr>
      <w:spacing w:after="630"/>
      <w:ind w:firstLine="200"/>
      <w:jc w:val="center"/>
    </w:pPr>
    <w:rPr>
      <w:rFonts w:ascii="MingLiU" w:hAnsi="MingLiU" w:eastAsia="MingLiU" w:cs="MingLiU"/>
      <w:kern w:val="0"/>
      <w:sz w:val="28"/>
      <w:szCs w:val="28"/>
      <w:lang w:val="zh-TW" w:eastAsia="zh-TW" w:bidi="zh-TW"/>
    </w:rPr>
  </w:style>
  <w:style w:type="character" w:customStyle="1" w:styleId="275">
    <w:name w:val="font11"/>
    <w:basedOn w:val="58"/>
    <w:qFormat/>
    <w:uiPriority w:val="0"/>
    <w:rPr>
      <w:rFonts w:hint="eastAsia" w:ascii="宋体" w:hAnsi="宋体" w:eastAsia="宋体" w:cs="宋体"/>
      <w:color w:val="000000"/>
      <w:sz w:val="22"/>
      <w:szCs w:val="22"/>
      <w:u w:val="none"/>
    </w:rPr>
  </w:style>
  <w:style w:type="character" w:customStyle="1" w:styleId="276">
    <w:name w:val="font31"/>
    <w:basedOn w:val="58"/>
    <w:qFormat/>
    <w:uiPriority w:val="0"/>
    <w:rPr>
      <w:rFonts w:hint="eastAsia" w:ascii="宋体" w:hAnsi="宋体" w:eastAsia="宋体" w:cs="宋体"/>
      <w:color w:val="366092"/>
      <w:sz w:val="22"/>
      <w:szCs w:val="22"/>
      <w:u w:val="none"/>
    </w:rPr>
  </w:style>
  <w:style w:type="character" w:customStyle="1" w:styleId="277">
    <w:name w:val="font01"/>
    <w:basedOn w:val="58"/>
    <w:qFormat/>
    <w:uiPriority w:val="0"/>
    <w:rPr>
      <w:rFonts w:hint="eastAsia" w:ascii="宋体" w:hAnsi="宋体" w:eastAsia="宋体" w:cs="宋体"/>
      <w:color w:val="000000"/>
      <w:sz w:val="22"/>
      <w:szCs w:val="22"/>
      <w:u w:val="none"/>
    </w:rPr>
  </w:style>
  <w:style w:type="character" w:customStyle="1" w:styleId="278">
    <w:name w:val="font81"/>
    <w:basedOn w:val="58"/>
    <w:qFormat/>
    <w:uiPriority w:val="0"/>
    <w:rPr>
      <w:rFonts w:ascii="Arial" w:hAnsi="Arial" w:cs="Arial"/>
      <w:color w:val="000000"/>
      <w:sz w:val="22"/>
      <w:szCs w:val="22"/>
      <w:u w:val="none"/>
    </w:rPr>
  </w:style>
  <w:style w:type="character" w:customStyle="1" w:styleId="279">
    <w:name w:val="font91"/>
    <w:basedOn w:val="58"/>
    <w:qFormat/>
    <w:uiPriority w:val="0"/>
    <w:rPr>
      <w:rFonts w:hint="eastAsia" w:ascii="宋体" w:hAnsi="宋体" w:eastAsia="宋体" w:cs="宋体"/>
      <w:color w:val="000000"/>
      <w:sz w:val="22"/>
      <w:szCs w:val="22"/>
      <w:u w:val="none"/>
      <w:vertAlign w:val="superscript"/>
    </w:rPr>
  </w:style>
  <w:style w:type="character" w:customStyle="1" w:styleId="280">
    <w:name w:val="font71"/>
    <w:basedOn w:val="58"/>
    <w:qFormat/>
    <w:uiPriority w:val="0"/>
    <w:rPr>
      <w:rFonts w:hint="eastAsia" w:ascii="宋体" w:hAnsi="宋体" w:eastAsia="宋体" w:cs="宋体"/>
      <w:b/>
      <w:bCs/>
      <w:color w:val="FF0000"/>
      <w:sz w:val="22"/>
      <w:szCs w:val="22"/>
      <w:u w:val="none"/>
    </w:rPr>
  </w:style>
  <w:style w:type="character" w:customStyle="1" w:styleId="281">
    <w:name w:val="font101"/>
    <w:basedOn w:val="58"/>
    <w:qFormat/>
    <w:uiPriority w:val="0"/>
    <w:rPr>
      <w:rFonts w:hint="eastAsia" w:ascii="宋体" w:hAnsi="宋体" w:eastAsia="宋体" w:cs="宋体"/>
      <w:color w:val="FF0000"/>
      <w:sz w:val="22"/>
      <w:szCs w:val="22"/>
      <w:u w:val="none"/>
    </w:rPr>
  </w:style>
  <w:style w:type="character" w:customStyle="1" w:styleId="282">
    <w:name w:val="font61"/>
    <w:basedOn w:val="58"/>
    <w:qFormat/>
    <w:uiPriority w:val="0"/>
    <w:rPr>
      <w:rFonts w:hint="eastAsia" w:ascii="宋体" w:hAnsi="宋体" w:eastAsia="宋体" w:cs="宋体"/>
      <w:color w:val="000000"/>
      <w:sz w:val="22"/>
      <w:szCs w:val="22"/>
      <w:u w:val="none"/>
    </w:rPr>
  </w:style>
  <w:style w:type="character" w:customStyle="1" w:styleId="283">
    <w:name w:val="font181"/>
    <w:basedOn w:val="58"/>
    <w:qFormat/>
    <w:uiPriority w:val="0"/>
    <w:rPr>
      <w:rFonts w:hint="eastAsia" w:ascii="宋体" w:hAnsi="宋体" w:eastAsia="宋体" w:cs="宋体"/>
      <w:color w:val="000000"/>
      <w:sz w:val="22"/>
      <w:szCs w:val="22"/>
      <w:u w:val="none"/>
      <w:vertAlign w:val="superscript"/>
    </w:rPr>
  </w:style>
  <w:style w:type="character" w:customStyle="1" w:styleId="284">
    <w:name w:val="font131"/>
    <w:basedOn w:val="58"/>
    <w:qFormat/>
    <w:uiPriority w:val="0"/>
    <w:rPr>
      <w:rFonts w:hint="eastAsia" w:ascii="宋体" w:hAnsi="宋体" w:eastAsia="宋体" w:cs="宋体"/>
      <w:color w:val="FF0000"/>
      <w:sz w:val="22"/>
      <w:szCs w:val="22"/>
      <w:u w:val="none"/>
    </w:rPr>
  </w:style>
  <w:style w:type="character" w:customStyle="1" w:styleId="285">
    <w:name w:val="font191"/>
    <w:basedOn w:val="58"/>
    <w:qFormat/>
    <w:uiPriority w:val="0"/>
    <w:rPr>
      <w:rFonts w:hint="eastAsia" w:ascii="宋体" w:hAnsi="宋体" w:eastAsia="宋体" w:cs="宋体"/>
      <w:color w:val="FF0000"/>
      <w:sz w:val="22"/>
      <w:szCs w:val="22"/>
      <w:u w:val="none"/>
      <w:vertAlign w:val="superscript"/>
    </w:rPr>
  </w:style>
  <w:style w:type="character" w:customStyle="1" w:styleId="286">
    <w:name w:val="font151"/>
    <w:basedOn w:val="58"/>
    <w:qFormat/>
    <w:uiPriority w:val="0"/>
    <w:rPr>
      <w:rFonts w:hint="eastAsia" w:ascii="等线" w:hAnsi="等线" w:eastAsia="等线" w:cs="等线"/>
      <w:color w:val="FF0000"/>
      <w:sz w:val="22"/>
      <w:szCs w:val="22"/>
      <w:u w:val="none"/>
    </w:rPr>
  </w:style>
  <w:style w:type="character" w:customStyle="1" w:styleId="287">
    <w:name w:val="font41"/>
    <w:basedOn w:val="58"/>
    <w:qFormat/>
    <w:uiPriority w:val="0"/>
    <w:rPr>
      <w:rFonts w:hint="eastAsia" w:ascii="等线" w:hAnsi="等线" w:eastAsia="等线" w:cs="等线"/>
      <w:color w:val="FF0000"/>
      <w:sz w:val="22"/>
      <w:szCs w:val="22"/>
      <w:u w:val="none"/>
      <w:vertAlign w:val="superscript"/>
    </w:rPr>
  </w:style>
  <w:style w:type="character" w:customStyle="1" w:styleId="288">
    <w:name w:val="font201"/>
    <w:basedOn w:val="58"/>
    <w:qFormat/>
    <w:uiPriority w:val="0"/>
    <w:rPr>
      <w:rFonts w:hint="default" w:ascii="仿宋_GB2312" w:eastAsia="仿宋_GB2312" w:cs="仿宋_GB2312"/>
      <w:color w:val="000000"/>
      <w:sz w:val="24"/>
      <w:szCs w:val="24"/>
      <w:u w:val="none"/>
      <w:vertAlign w:val="superscript"/>
    </w:rPr>
  </w:style>
  <w:style w:type="character" w:customStyle="1" w:styleId="289">
    <w:name w:val="font141"/>
    <w:basedOn w:val="58"/>
    <w:qFormat/>
    <w:uiPriority w:val="0"/>
    <w:rPr>
      <w:rFonts w:hint="default" w:ascii="仿宋_GB2312" w:eastAsia="仿宋_GB2312" w:cs="仿宋_GB2312"/>
      <w:color w:val="000000"/>
      <w:sz w:val="24"/>
      <w:szCs w:val="24"/>
      <w:u w:val="none"/>
    </w:rPr>
  </w:style>
  <w:style w:type="character" w:customStyle="1" w:styleId="290">
    <w:name w:val="font212"/>
    <w:basedOn w:val="58"/>
    <w:qFormat/>
    <w:uiPriority w:val="0"/>
    <w:rPr>
      <w:rFonts w:hint="default" w:ascii="仿宋_GB2312" w:eastAsia="仿宋_GB2312" w:cs="仿宋_GB2312"/>
      <w:color w:val="000000"/>
      <w:sz w:val="24"/>
      <w:szCs w:val="24"/>
      <w:u w:val="none"/>
      <w:vertAlign w:val="superscript"/>
    </w:rPr>
  </w:style>
  <w:style w:type="character" w:customStyle="1" w:styleId="291">
    <w:name w:val="font171"/>
    <w:basedOn w:val="58"/>
    <w:qFormat/>
    <w:uiPriority w:val="0"/>
    <w:rPr>
      <w:rFonts w:hint="default" w:ascii="仿宋_GB2312" w:eastAsia="仿宋_GB2312" w:cs="仿宋_GB2312"/>
      <w:color w:val="000000"/>
      <w:sz w:val="22"/>
      <w:szCs w:val="22"/>
      <w:u w:val="none"/>
    </w:rPr>
  </w:style>
  <w:style w:type="character" w:customStyle="1" w:styleId="292">
    <w:name w:val="font221"/>
    <w:basedOn w:val="58"/>
    <w:qFormat/>
    <w:uiPriority w:val="0"/>
    <w:rPr>
      <w:rFonts w:hint="default" w:ascii="仿宋_GB2312" w:eastAsia="仿宋_GB2312" w:cs="仿宋_GB2312"/>
      <w:color w:val="000000"/>
      <w:sz w:val="22"/>
      <w:szCs w:val="22"/>
      <w:u w:val="none"/>
      <w:vertAlign w:val="superscript"/>
    </w:rPr>
  </w:style>
  <w:style w:type="paragraph" w:customStyle="1" w:styleId="293">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110</Pages>
  <Words>2438</Words>
  <Characters>2909</Characters>
  <Lines>451</Lines>
  <Paragraphs>127</Paragraphs>
  <TotalTime>1</TotalTime>
  <ScaleCrop>false</ScaleCrop>
  <LinksUpToDate>false</LinksUpToDate>
  <CharactersWithSpaces>2973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cp:lastModifiedBy>
  <cp:lastPrinted>2019-12-07T15:20:00Z</cp:lastPrinted>
  <dcterms:modified xsi:type="dcterms:W3CDTF">2025-04-24T08:28:12Z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76CF8356ED844D95943572B050E3FCB3_13</vt:lpwstr>
  </property>
  <property fmtid="{D5CDD505-2E9C-101B-9397-08002B2CF9AE}" pid="4" name="KSOTemplateDocerSaveRecord">
    <vt:lpwstr>eyJoZGlkIjoiODkyYjc0MzE2ZWExODM3MjhiYjE2YzBhNWFmZTU4YjEiLCJ1c2VySWQiOiIxMjMyMDYzNDI1In0=</vt:lpwstr>
  </property>
</Properties>
</file>