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3334A">
      <w:pPr>
        <w:spacing w:line="360" w:lineRule="auto"/>
        <w:jc w:val="center"/>
        <w:outlineLvl w:val="0"/>
        <w:rPr>
          <w:rFonts w:ascii="宋体" w:hAnsi="宋体" w:eastAsia="宋体" w:cs="Times New Roman"/>
          <w:b/>
          <w:color w:val="auto"/>
          <w:kern w:val="0"/>
          <w:sz w:val="28"/>
          <w:szCs w:val="20"/>
          <w:highlight w:val="none"/>
        </w:rPr>
      </w:pPr>
      <w:bookmarkStart w:id="0" w:name="_Toc30873"/>
      <w:bookmarkStart w:id="1" w:name="_Toc24220"/>
      <w:r>
        <w:rPr>
          <w:rFonts w:hint="eastAsia" w:ascii="宋体" w:hAnsi="宋体" w:eastAsia="宋体" w:cs="Times New Roman"/>
          <w:b/>
          <w:color w:val="auto"/>
          <w:kern w:val="0"/>
          <w:sz w:val="28"/>
          <w:szCs w:val="20"/>
          <w:highlight w:val="none"/>
        </w:rPr>
        <w:t>第三章  采购需求</w:t>
      </w:r>
      <w:bookmarkEnd w:id="0"/>
      <w:bookmarkEnd w:id="1"/>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5957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96E2A78">
            <w:pPr>
              <w:spacing w:line="360" w:lineRule="auto"/>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序号</w:t>
            </w:r>
          </w:p>
        </w:tc>
        <w:tc>
          <w:tcPr>
            <w:tcW w:w="749" w:type="pct"/>
            <w:vAlign w:val="center"/>
          </w:tcPr>
          <w:p w14:paraId="50EC9558">
            <w:pPr>
              <w:spacing w:line="36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内容</w:t>
            </w:r>
          </w:p>
        </w:tc>
        <w:tc>
          <w:tcPr>
            <w:tcW w:w="3688" w:type="pct"/>
            <w:vAlign w:val="center"/>
          </w:tcPr>
          <w:p w14:paraId="08DCBEE6">
            <w:pPr>
              <w:spacing w:line="36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说明和要求</w:t>
            </w:r>
          </w:p>
        </w:tc>
      </w:tr>
      <w:tr w14:paraId="3BD6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118E995">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1</w:t>
            </w:r>
          </w:p>
        </w:tc>
        <w:tc>
          <w:tcPr>
            <w:tcW w:w="749" w:type="pct"/>
            <w:vAlign w:val="center"/>
          </w:tcPr>
          <w:p w14:paraId="57A56AD8">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人员到岗及履约要求</w:t>
            </w:r>
          </w:p>
        </w:tc>
        <w:tc>
          <w:tcPr>
            <w:tcW w:w="3688" w:type="pct"/>
            <w:vAlign w:val="center"/>
          </w:tcPr>
          <w:p w14:paraId="3B6DEEAF">
            <w:p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716250A7">
            <w:p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67214586">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4EBB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CE617A">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2</w:t>
            </w:r>
          </w:p>
        </w:tc>
        <w:tc>
          <w:tcPr>
            <w:tcW w:w="749" w:type="pct"/>
            <w:vAlign w:val="center"/>
          </w:tcPr>
          <w:p w14:paraId="172E3160">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材料要求</w:t>
            </w:r>
          </w:p>
        </w:tc>
        <w:tc>
          <w:tcPr>
            <w:tcW w:w="3688" w:type="pct"/>
            <w:vAlign w:val="center"/>
          </w:tcPr>
          <w:p w14:paraId="3D8CF993">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承包人采购的所有设备、材料进场时要有合格证、检测报告等材料，水电材料需要提供3C认证材料，并符合国家规范要求。所有设备、材料提前送样，且由发包人代表确认后方可进场，否则不支付相应材料的工程款。</w:t>
            </w:r>
          </w:p>
        </w:tc>
      </w:tr>
      <w:tr w14:paraId="1A2C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6D5939B">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3</w:t>
            </w:r>
          </w:p>
        </w:tc>
        <w:tc>
          <w:tcPr>
            <w:tcW w:w="749" w:type="pct"/>
            <w:vAlign w:val="center"/>
          </w:tcPr>
          <w:p w14:paraId="0E7E4201">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工程施工重点难点</w:t>
            </w:r>
          </w:p>
        </w:tc>
        <w:tc>
          <w:tcPr>
            <w:tcW w:w="3688" w:type="pct"/>
            <w:vAlign w:val="center"/>
          </w:tcPr>
          <w:p w14:paraId="4F0EAA5C">
            <w:pPr>
              <w:spacing w:line="360" w:lineRule="auto"/>
              <w:rPr>
                <w:rFonts w:hint="eastAsia" w:ascii="宋体" w:hAnsi="宋体" w:eastAsia="宋体" w:cs="@仿宋_GB2312"/>
                <w:color w:val="auto"/>
                <w:kern w:val="2"/>
                <w:sz w:val="24"/>
                <w:szCs w:val="22"/>
                <w:highlight w:val="none"/>
                <w:lang w:eastAsia="zh-CN"/>
              </w:rPr>
            </w:pPr>
            <w:r>
              <w:rPr>
                <w:rFonts w:hint="eastAsia" w:ascii="宋体" w:hAnsi="宋体" w:eastAsia="宋体" w:cs="@仿宋_GB2312"/>
                <w:color w:val="auto"/>
                <w:kern w:val="2"/>
                <w:sz w:val="24"/>
                <w:szCs w:val="22"/>
                <w:highlight w:val="none"/>
                <w:lang w:val="en-US" w:eastAsia="zh-CN"/>
              </w:rPr>
              <w:t>/</w:t>
            </w:r>
          </w:p>
        </w:tc>
      </w:tr>
      <w:tr w14:paraId="38F2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91906B0">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4</w:t>
            </w:r>
          </w:p>
        </w:tc>
        <w:tc>
          <w:tcPr>
            <w:tcW w:w="749" w:type="pct"/>
            <w:vAlign w:val="center"/>
          </w:tcPr>
          <w:p w14:paraId="77A8FF0C">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报价须知</w:t>
            </w:r>
          </w:p>
        </w:tc>
        <w:tc>
          <w:tcPr>
            <w:tcW w:w="3688" w:type="pct"/>
            <w:vAlign w:val="center"/>
          </w:tcPr>
          <w:p w14:paraId="495571E6">
            <w:pPr>
              <w:numPr>
                <w:ilvl w:val="0"/>
                <w:numId w:val="0"/>
              </w:num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rPr>
              <w:t>供应商最后报价均不得高于磋商文件（公告）列明的项目预算、最高投标限价，否则其响应文件将被认定为响应无效。</w:t>
            </w:r>
          </w:p>
          <w:p w14:paraId="6224D7D1">
            <w:pPr>
              <w:numPr>
                <w:ilvl w:val="0"/>
                <w:numId w:val="0"/>
              </w:num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eastAsia="zh-CN"/>
              </w:rPr>
              <w:t>2</w:t>
            </w:r>
            <w:r>
              <w:rPr>
                <w:rFonts w:hint="eastAsia" w:ascii="宋体" w:hAnsi="宋体" w:eastAsia="宋体" w:cs="@仿宋_GB2312"/>
                <w:color w:val="auto"/>
                <w:kern w:val="2"/>
                <w:sz w:val="24"/>
                <w:szCs w:val="22"/>
                <w:highlight w:val="none"/>
              </w:rPr>
              <w:t>.安全生产费用：不低于最高限价的2.5%，即</w:t>
            </w:r>
            <w:r>
              <w:rPr>
                <w:rFonts w:hint="eastAsia" w:ascii="宋体" w:hAnsi="宋体" w:eastAsia="宋体" w:cs="@仿宋_GB2312"/>
                <w:color w:val="auto"/>
                <w:kern w:val="2"/>
                <w:sz w:val="24"/>
                <w:szCs w:val="22"/>
                <w:highlight w:val="none"/>
                <w:lang w:val="en-US" w:eastAsia="zh-CN"/>
              </w:rPr>
              <w:t>25000.00</w:t>
            </w:r>
            <w:r>
              <w:rPr>
                <w:rFonts w:hint="eastAsia" w:ascii="宋体" w:hAnsi="宋体" w:eastAsia="宋体" w:cs="@仿宋_GB2312"/>
                <w:color w:val="auto"/>
                <w:kern w:val="2"/>
                <w:sz w:val="24"/>
                <w:szCs w:val="22"/>
                <w:highlight w:val="none"/>
              </w:rPr>
              <w:t>元，否则其响应文件将被认定为响应无效。</w:t>
            </w:r>
          </w:p>
          <w:p w14:paraId="3DF1EA09">
            <w:pPr>
              <w:widowControl w:val="0"/>
              <w:spacing w:after="120" w:line="360" w:lineRule="auto"/>
              <w:jc w:val="both"/>
              <w:rPr>
                <w:rFonts w:hint="eastAsia" w:ascii="@微软简标宋" w:hAnsi="@微软简标宋" w:eastAsia="@微软简标宋" w:cs="@微软简标宋"/>
                <w:kern w:val="2"/>
                <w:sz w:val="21"/>
                <w:szCs w:val="24"/>
                <w:lang w:val="zh-CN" w:eastAsia="zh-CN" w:bidi="ar-SA"/>
              </w:rPr>
            </w:pPr>
            <w:r>
              <w:rPr>
                <w:rFonts w:hint="eastAsia" w:ascii="宋体" w:hAnsi="宋体" w:eastAsia="宋体" w:cs="@仿宋_GB2312"/>
                <w:color w:val="auto"/>
                <w:kern w:val="2"/>
                <w:sz w:val="24"/>
                <w:szCs w:val="22"/>
                <w:highlight w:val="none"/>
                <w:lang w:val="en-US" w:eastAsia="zh-CN" w:bidi="ar-SA"/>
              </w:rPr>
              <w:t>（3）除磋商文件另有规定外,供应商不得随意增加、删除或涂改磋商文件工程量清单中的任何内容</w:t>
            </w:r>
            <w:r>
              <w:rPr>
                <w:rFonts w:hint="eastAsia" w:ascii="宋体" w:hAnsi="宋体" w:eastAsia="宋体" w:cs="@仿宋_GB2312"/>
                <w:b w:val="0"/>
                <w:color w:val="auto"/>
                <w:kern w:val="2"/>
                <w:sz w:val="24"/>
                <w:szCs w:val="22"/>
                <w:highlight w:val="none"/>
                <w:lang w:val="en-US" w:eastAsia="zh-CN" w:bidi="ar-SA"/>
              </w:rPr>
              <w:t>，</w:t>
            </w:r>
            <w:r>
              <w:rPr>
                <w:rFonts w:hint="eastAsia" w:ascii="宋体" w:hAnsi="宋体" w:eastAsia="宋体" w:cs="@仿宋_GB2312"/>
                <w:bCs w:val="0"/>
                <w:color w:val="auto"/>
                <w:kern w:val="2"/>
                <w:sz w:val="24"/>
                <w:szCs w:val="22"/>
                <w:highlight w:val="none"/>
                <w:lang w:val="en-US" w:eastAsia="zh-CN" w:bidi="ar-SA"/>
              </w:rPr>
              <w:t>否则其响应文件将被认定为</w:t>
            </w:r>
            <w:r>
              <w:rPr>
                <w:rFonts w:hint="eastAsia" w:ascii="宋体" w:hAnsi="宋体" w:eastAsia="宋体" w:cs="@仿宋_GB2312"/>
                <w:b w:val="0"/>
                <w:color w:val="auto"/>
                <w:kern w:val="2"/>
                <w:sz w:val="24"/>
                <w:szCs w:val="22"/>
                <w:highlight w:val="none"/>
                <w:lang w:val="en-US" w:eastAsia="zh-CN" w:bidi="ar-SA"/>
              </w:rPr>
              <w:t>响应无效</w:t>
            </w:r>
            <w:r>
              <w:rPr>
                <w:rFonts w:hint="eastAsia" w:ascii="宋体" w:hAnsi="宋体" w:eastAsia="宋体" w:cs="@仿宋_GB2312"/>
                <w:color w:val="auto"/>
                <w:kern w:val="2"/>
                <w:sz w:val="24"/>
                <w:szCs w:val="22"/>
                <w:highlight w:val="none"/>
                <w:lang w:val="en-US" w:eastAsia="zh-CN" w:bidi="ar-SA"/>
              </w:rPr>
              <w:t>。</w:t>
            </w:r>
          </w:p>
        </w:tc>
      </w:tr>
      <w:tr w14:paraId="5CD7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A3F4869">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5</w:t>
            </w:r>
          </w:p>
        </w:tc>
        <w:tc>
          <w:tcPr>
            <w:tcW w:w="749" w:type="pct"/>
            <w:vAlign w:val="center"/>
          </w:tcPr>
          <w:p w14:paraId="457314DD">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重要说明</w:t>
            </w:r>
          </w:p>
        </w:tc>
        <w:tc>
          <w:tcPr>
            <w:tcW w:w="3688" w:type="pct"/>
            <w:vAlign w:val="center"/>
          </w:tcPr>
          <w:p w14:paraId="7031CF45">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rPr>
              <w:t>本项目的磋商文件、工程量清单、最高投标限价、澄清、修改、补充等相关资料均通过电子服务系统发布，请供应商自行从网上下载，供应商应当及时查看有无相关澄清、修改、补充等内容。</w:t>
            </w:r>
          </w:p>
          <w:p w14:paraId="2159B6A5">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2.</w:t>
            </w:r>
            <w:r>
              <w:rPr>
                <w:rFonts w:hint="eastAsia" w:ascii="宋体" w:hAnsi="宋体" w:eastAsia="宋体" w:cs="@仿宋_GB2312"/>
                <w:color w:val="auto"/>
                <w:kern w:val="2"/>
                <w:sz w:val="24"/>
                <w:szCs w:val="22"/>
                <w:highlight w:val="none"/>
              </w:rPr>
              <w:t>在工程项目磋商过程中，供应商最后报价与公布的最高投标限价或项目概算相比降幅过小，或供应商最后报价明显缺乏竞争性的，磋商小组可以否决其报价。</w:t>
            </w:r>
          </w:p>
          <w:p w14:paraId="17F4B5E6">
            <w:pPr>
              <w:spacing w:line="360" w:lineRule="auto"/>
              <w:rPr>
                <w:rFonts w:ascii="宋体" w:hAnsi="宋体" w:eastAsia="宋体" w:cs="@仿宋_GB2312"/>
                <w:color w:val="auto"/>
                <w:kern w:val="2"/>
                <w:sz w:val="24"/>
                <w:szCs w:val="22"/>
                <w:highlight w:val="none"/>
              </w:rPr>
            </w:pPr>
            <w:r>
              <w:rPr>
                <w:rFonts w:hint="eastAsia" w:ascii="宋体" w:hAnsi="宋体" w:eastAsia="宋体" w:cs="Times New Roman"/>
                <w:color w:val="auto"/>
                <w:kern w:val="2"/>
                <w:sz w:val="24"/>
                <w:szCs w:val="22"/>
                <w:highlight w:val="none"/>
                <w:lang w:val="en-US" w:eastAsia="zh-CN"/>
              </w:rPr>
              <w:t>3.</w:t>
            </w:r>
            <w:r>
              <w:rPr>
                <w:rFonts w:hint="eastAsia" w:ascii="宋体" w:hAnsi="宋体" w:eastAsia="宋体" w:cs="@仿宋_GB2312"/>
                <w:color w:val="auto"/>
                <w:kern w:val="2"/>
                <w:sz w:val="24"/>
                <w:szCs w:val="22"/>
                <w:highlight w:val="none"/>
              </w:rPr>
              <w:t>供应商在工程实施过程中用工行为，必须严格执行国家及地方政府的有关规定，依法签订劳动合同，并按规定及时足额支付工资。</w:t>
            </w:r>
          </w:p>
          <w:p w14:paraId="229A78B0">
            <w:pPr>
              <w:spacing w:line="360" w:lineRule="auto"/>
              <w:rPr>
                <w:rFonts w:hint="eastAsia" w:ascii="宋体" w:hAnsi="宋体" w:eastAsia="宋体" w:cs="Times New Roman"/>
                <w:color w:val="auto"/>
                <w:kern w:val="2"/>
                <w:sz w:val="24"/>
                <w:szCs w:val="18"/>
                <w:highlight w:val="none"/>
              </w:rPr>
            </w:pPr>
            <w:r>
              <w:rPr>
                <w:rFonts w:hint="eastAsia" w:ascii="宋体" w:hAnsi="宋体" w:eastAsia="宋体" w:cs="宋体"/>
                <w:kern w:val="2"/>
                <w:sz w:val="24"/>
                <w:szCs w:val="24"/>
                <w:highlight w:val="none"/>
                <w:lang w:val="en-US" w:eastAsia="zh-CN"/>
              </w:rPr>
              <w:t>4.</w:t>
            </w:r>
            <w:r>
              <w:rPr>
                <w:rFonts w:ascii="宋体" w:hAnsi="宋体" w:eastAsia="宋体" w:cs="宋体"/>
                <w:kern w:val="2"/>
                <w:sz w:val="24"/>
                <w:szCs w:val="24"/>
                <w:highlight w:val="none"/>
              </w:rPr>
              <w:t>政府采购政策（包括但不限于下列具体政策要求</w:t>
            </w:r>
            <w:r>
              <w:rPr>
                <w:rFonts w:hint="eastAsia" w:ascii="宋体" w:hAnsi="宋体" w:eastAsia="宋体" w:cs="宋体"/>
                <w:kern w:val="2"/>
                <w:sz w:val="24"/>
                <w:szCs w:val="24"/>
                <w:highlight w:val="none"/>
                <w:lang w:eastAsia="zh-CN"/>
              </w:rPr>
              <w:t>）</w:t>
            </w:r>
            <w:r>
              <w:rPr>
                <w:rFonts w:hint="eastAsia" w:ascii="宋体" w:hAnsi="宋体" w:eastAsia="宋体" w:cs="Times New Roman"/>
                <w:color w:val="auto"/>
                <w:kern w:val="2"/>
                <w:sz w:val="24"/>
                <w:szCs w:val="18"/>
                <w:highlight w:val="none"/>
              </w:rPr>
              <w:t>：</w:t>
            </w:r>
          </w:p>
          <w:p w14:paraId="729B77A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21448869">
            <w:pPr>
              <w:spacing w:line="360" w:lineRule="auto"/>
              <w:rPr>
                <w:rFonts w:hint="default" w:ascii="宋体" w:hAnsi="宋体" w:eastAsia="宋体" w:cs="@仿宋_GB2312"/>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4191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6919BC">
            <w:pPr>
              <w:spacing w:line="360" w:lineRule="auto"/>
              <w:jc w:val="center"/>
              <w:rPr>
                <w:rFonts w:ascii="宋体" w:hAnsi="宋体" w:eastAsia="宋体" w:cs="@仿宋_GB2312"/>
                <w:color w:val="auto"/>
                <w:kern w:val="2"/>
                <w:sz w:val="24"/>
                <w:szCs w:val="22"/>
                <w:highlight w:val="none"/>
              </w:rPr>
            </w:pPr>
            <w:r>
              <w:rPr>
                <w:rFonts w:ascii="宋体" w:hAnsi="宋体" w:eastAsia="宋体" w:cs="@仿宋_GB2312"/>
                <w:color w:val="auto"/>
                <w:kern w:val="2"/>
                <w:sz w:val="24"/>
                <w:szCs w:val="22"/>
                <w:highlight w:val="none"/>
              </w:rPr>
              <w:t>6</w:t>
            </w:r>
          </w:p>
        </w:tc>
        <w:tc>
          <w:tcPr>
            <w:tcW w:w="749" w:type="pct"/>
            <w:vAlign w:val="center"/>
          </w:tcPr>
          <w:p w14:paraId="142D8A39">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项目经理</w:t>
            </w:r>
          </w:p>
        </w:tc>
        <w:tc>
          <w:tcPr>
            <w:tcW w:w="3688" w:type="pct"/>
            <w:vAlign w:val="center"/>
          </w:tcPr>
          <w:p w14:paraId="4BF5DCAD">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项目经理须具有水利水电工程专业二级及以上注册建造师执业资格，且具有水行政主管部门颁发的有效的安全生产考核合格证（B证）。提供</w:t>
            </w:r>
            <w:r>
              <w:rPr>
                <w:rFonts w:hint="eastAsia" w:ascii="宋体" w:hAnsi="宋体" w:eastAsia="宋体" w:cs="@仿宋_GB2312"/>
                <w:color w:val="auto"/>
                <w:kern w:val="2"/>
                <w:sz w:val="24"/>
                <w:szCs w:val="22"/>
                <w:highlight w:val="none"/>
                <w:lang w:val="en-US" w:eastAsia="zh-CN"/>
              </w:rPr>
              <w:t>供应商</w:t>
            </w:r>
            <w:r>
              <w:rPr>
                <w:rFonts w:hint="eastAsia" w:ascii="宋体" w:hAnsi="宋体" w:eastAsia="宋体" w:cs="@仿宋_GB2312"/>
                <w:color w:val="auto"/>
                <w:kern w:val="2"/>
                <w:sz w:val="24"/>
                <w:szCs w:val="22"/>
                <w:highlight w:val="none"/>
              </w:rPr>
              <w:t>为其缴纳的202</w:t>
            </w:r>
            <w:r>
              <w:rPr>
                <w:rFonts w:hint="eastAsia" w:ascii="宋体" w:hAnsi="宋体" w:eastAsia="宋体" w:cs="@仿宋_GB2312"/>
                <w:color w:val="auto"/>
                <w:kern w:val="2"/>
                <w:sz w:val="24"/>
                <w:szCs w:val="22"/>
                <w:highlight w:val="none"/>
                <w:lang w:val="en-US" w:eastAsia="zh-CN"/>
              </w:rPr>
              <w:t>4</w:t>
            </w:r>
            <w:r>
              <w:rPr>
                <w:rFonts w:hint="eastAsia" w:ascii="宋体" w:hAnsi="宋体" w:eastAsia="宋体" w:cs="@仿宋_GB2312"/>
                <w:color w:val="auto"/>
                <w:kern w:val="2"/>
                <w:sz w:val="24"/>
                <w:szCs w:val="22"/>
                <w:highlight w:val="none"/>
              </w:rPr>
              <w:t>年</w:t>
            </w:r>
            <w:r>
              <w:rPr>
                <w:rFonts w:hint="eastAsia" w:ascii="宋体" w:hAnsi="宋体" w:eastAsia="宋体" w:cs="@仿宋_GB2312"/>
                <w:color w:val="auto"/>
                <w:kern w:val="2"/>
                <w:sz w:val="24"/>
                <w:szCs w:val="22"/>
                <w:highlight w:val="none"/>
                <w:lang w:val="en-US" w:eastAsia="zh-CN"/>
              </w:rPr>
              <w:t>8</w:t>
            </w:r>
            <w:r>
              <w:rPr>
                <w:rFonts w:hint="eastAsia" w:ascii="宋体" w:hAnsi="宋体" w:eastAsia="宋体" w:cs="@仿宋_GB2312"/>
                <w:color w:val="auto"/>
                <w:kern w:val="2"/>
                <w:sz w:val="24"/>
                <w:szCs w:val="22"/>
                <w:highlight w:val="none"/>
              </w:rPr>
              <w:t>月至今任意一个月社保证明扫描件。</w:t>
            </w:r>
          </w:p>
        </w:tc>
      </w:tr>
      <w:tr w14:paraId="5DD7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DCD637B">
            <w:pPr>
              <w:spacing w:line="360" w:lineRule="auto"/>
              <w:jc w:val="center"/>
              <w:rPr>
                <w:rFonts w:hint="eastAsia"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7</w:t>
            </w:r>
          </w:p>
        </w:tc>
        <w:tc>
          <w:tcPr>
            <w:tcW w:w="749" w:type="pct"/>
            <w:vAlign w:val="center"/>
          </w:tcPr>
          <w:p w14:paraId="3F6DA57C">
            <w:pPr>
              <w:widowControl w:val="0"/>
              <w:spacing w:before="0" w:beforeAutospacing="0" w:after="0" w:afterAutospacing="0" w:line="360" w:lineRule="auto"/>
              <w:jc w:val="center"/>
              <w:rPr>
                <w:rFonts w:ascii="宋体" w:hAnsi="宋体" w:eastAsia="宋体" w:cs="@仿宋_GB2312"/>
                <w:b/>
                <w:bCs/>
                <w:color w:val="auto"/>
                <w:kern w:val="2"/>
                <w:sz w:val="24"/>
                <w:szCs w:val="28"/>
                <w:highlight w:val="none"/>
                <w:lang w:val="en-US" w:eastAsia="zh-CN" w:bidi="ar-SA"/>
              </w:rPr>
            </w:pPr>
            <w:r>
              <w:rPr>
                <w:rFonts w:hint="eastAsia" w:ascii="Calibri" w:hAnsi="Calibri" w:eastAsia="宋体" w:cs="Times New Roman"/>
                <w:b w:val="0"/>
                <w:bCs/>
                <w:color w:val="auto"/>
                <w:kern w:val="2"/>
                <w:sz w:val="24"/>
                <w:szCs w:val="28"/>
                <w:highlight w:val="none"/>
                <w:lang w:val="en-US" w:eastAsia="zh-CN" w:bidi="ar-SA"/>
              </w:rPr>
              <w:t>本项目采购标的名称及所属行业</w:t>
            </w:r>
          </w:p>
        </w:tc>
        <w:tc>
          <w:tcPr>
            <w:tcW w:w="3688" w:type="pct"/>
            <w:vAlign w:val="center"/>
          </w:tcPr>
          <w:p w14:paraId="79991AA7">
            <w:pPr>
              <w:spacing w:line="360" w:lineRule="auto"/>
              <w:jc w:val="left"/>
              <w:rPr>
                <w:rFonts w:hint="eastAsia"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rPr>
              <w:t>标的名称：</w:t>
            </w:r>
            <w:r>
              <w:rPr>
                <w:rFonts w:hint="eastAsia" w:ascii="宋体" w:hAnsi="宋体" w:eastAsia="宋体" w:cs="Times New Roman"/>
                <w:color w:val="auto"/>
                <w:kern w:val="2"/>
                <w:sz w:val="24"/>
                <w:szCs w:val="22"/>
                <w:highlight w:val="none"/>
                <w:lang w:eastAsia="zh-CN"/>
              </w:rPr>
              <w:t>佛子岭污水处理设施维修及排洪入河口环境整治</w:t>
            </w:r>
          </w:p>
          <w:p w14:paraId="4FE7E8B8">
            <w:pPr>
              <w:rPr>
                <w:rFonts w:ascii="Calibri" w:hAnsi="Calibri" w:eastAsia="宋体" w:cs="Times New Roman"/>
                <w:color w:val="auto"/>
                <w:kern w:val="2"/>
                <w:sz w:val="24"/>
                <w:szCs w:val="22"/>
                <w:highlight w:val="none"/>
              </w:rPr>
            </w:pPr>
            <w:r>
              <w:rPr>
                <w:rFonts w:hint="eastAsia" w:ascii="宋体" w:hAnsi="宋体" w:eastAsia="宋体" w:cs="Times New Roman"/>
                <w:color w:val="auto"/>
                <w:kern w:val="2"/>
                <w:sz w:val="24"/>
                <w:szCs w:val="22"/>
                <w:highlight w:val="none"/>
              </w:rPr>
              <w:t>所属行业：建筑业</w:t>
            </w:r>
          </w:p>
        </w:tc>
      </w:tr>
      <w:tr w14:paraId="1F34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9BCC83A">
            <w:pPr>
              <w:spacing w:line="360" w:lineRule="auto"/>
              <w:jc w:val="center"/>
              <w:rPr>
                <w:rFonts w:hint="eastAsia"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8</w:t>
            </w:r>
          </w:p>
        </w:tc>
        <w:tc>
          <w:tcPr>
            <w:tcW w:w="1277" w:type="dxa"/>
            <w:vAlign w:val="center"/>
          </w:tcPr>
          <w:p w14:paraId="090A82E0">
            <w:pPr>
              <w:spacing w:line="360" w:lineRule="auto"/>
              <w:ind w:firstLine="435" w:firstLineChars="0"/>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其他</w:t>
            </w:r>
          </w:p>
        </w:tc>
        <w:tc>
          <w:tcPr>
            <w:tcW w:w="6287" w:type="dxa"/>
            <w:vAlign w:val="center"/>
          </w:tcPr>
          <w:p w14:paraId="3FEE4CD1">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详见工程量清单。</w:t>
            </w:r>
          </w:p>
        </w:tc>
      </w:tr>
    </w:tbl>
    <w:p w14:paraId="571190D0">
      <w:pPr>
        <w:keepNext w:val="0"/>
        <w:keepLines w:val="0"/>
        <w:pageBreakBefore w:val="0"/>
        <w:widowControl w:val="0"/>
        <w:numPr>
          <w:ilvl w:val="0"/>
          <w:numId w:val="0"/>
        </w:numPr>
        <w:kinsoku/>
        <w:wordWrap/>
        <w:overflowPunct/>
        <w:topLinePunct w:val="0"/>
        <w:autoSpaceDE/>
        <w:autoSpaceDN/>
        <w:bidi w:val="0"/>
        <w:adjustRightInd/>
        <w:snapToGrid/>
        <w:spacing w:after="120"/>
        <w:ind w:left="0" w:leftChars="0" w:firstLine="0" w:firstLineChars="0"/>
        <w:jc w:val="both"/>
        <w:textAlignment w:val="auto"/>
        <w:outlineLvl w:val="1"/>
        <w:rPr>
          <w:rFonts w:hint="eastAsia" w:ascii="Times New Roman" w:hAnsi="Times New Roman" w:eastAsia="宋体" w:cs="Times New Roman"/>
          <w:b/>
          <w:bCs/>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一、</w:t>
      </w:r>
      <w:r>
        <w:rPr>
          <w:rFonts w:hint="eastAsia" w:ascii="Times New Roman" w:hAnsi="Times New Roman" w:eastAsia="宋体" w:cs="Times New Roman"/>
          <w:b/>
          <w:bCs/>
          <w:kern w:val="2"/>
          <w:sz w:val="24"/>
          <w:szCs w:val="24"/>
          <w:highlight w:val="none"/>
          <w:lang w:val="en-US" w:eastAsia="zh-CN" w:bidi="ar-SA"/>
        </w:rPr>
        <w:t>项目概况</w:t>
      </w:r>
    </w:p>
    <w:p w14:paraId="166FE3D7">
      <w:pPr>
        <w:spacing w:line="360" w:lineRule="auto"/>
        <w:ind w:firstLine="435"/>
        <w:rPr>
          <w:rFonts w:ascii="宋体" w:hAnsi="宋体" w:eastAsia="宋体" w:cs="@仿宋_GB2312"/>
          <w:b/>
          <w:color w:val="auto"/>
          <w:kern w:val="2"/>
          <w:sz w:val="24"/>
          <w:szCs w:val="18"/>
          <w:highlight w:val="none"/>
        </w:rPr>
      </w:pPr>
      <w:r>
        <w:rPr>
          <w:rFonts w:hint="eastAsia" w:ascii="宋体" w:hAnsi="宋体" w:eastAsia="宋体" w:cs="Times New Roman"/>
          <w:color w:val="auto"/>
          <w:kern w:val="0"/>
          <w:sz w:val="24"/>
          <w:szCs w:val="18"/>
          <w:highlight w:val="none"/>
          <w:u w:val="none"/>
          <w:lang w:eastAsia="zh-CN"/>
        </w:rPr>
        <w:t>开展佛子岭水库管理区污水处理设施维修、排洪入河口环境整治等工作，进一步织密佛子岭水库饮用水水源地“保护网”，提高佛子岭水库水资源管理、保护力度。包括但不限于佛子岭水库河西、河东污水处理设施维修，排洪入河口处环境整治，平整岸坡、修葺护坡、埋设涵管等</w:t>
      </w:r>
      <w:r>
        <w:rPr>
          <w:rFonts w:hint="eastAsia" w:ascii="宋体" w:hAnsi="宋体" w:eastAsia="宋体" w:cs="Times New Roman"/>
          <w:color w:val="auto"/>
          <w:kern w:val="0"/>
          <w:sz w:val="24"/>
          <w:szCs w:val="18"/>
          <w:highlight w:val="none"/>
          <w:u w:val="none"/>
        </w:rPr>
        <w:t>，详见工程量清单。</w:t>
      </w:r>
    </w:p>
    <w:p w14:paraId="76189A29">
      <w:pPr>
        <w:numPr>
          <w:ilvl w:val="-1"/>
          <w:numId w:val="0"/>
        </w:numPr>
        <w:spacing w:line="360" w:lineRule="auto"/>
        <w:ind w:firstLine="0" w:firstLineChars="0"/>
        <w:outlineLvl w:val="1"/>
        <w:rPr>
          <w:rFonts w:hint="eastAsia" w:ascii="宋体" w:hAnsi="宋体" w:eastAsia="宋体" w:cs="Times New Roman"/>
          <w:color w:val="auto"/>
          <w:kern w:val="0"/>
          <w:sz w:val="24"/>
          <w:szCs w:val="20"/>
          <w:highlight w:val="none"/>
          <w:lang w:val="en-US" w:eastAsia="zh-CN"/>
        </w:rPr>
      </w:pPr>
      <w:r>
        <w:rPr>
          <w:rFonts w:hint="eastAsia" w:ascii="Times New Roman" w:hAnsi="Times New Roman" w:eastAsia="宋体" w:cs="Times New Roman"/>
          <w:b/>
          <w:bCs/>
          <w:kern w:val="2"/>
          <w:sz w:val="24"/>
          <w:szCs w:val="24"/>
          <w:highlight w:val="none"/>
          <w:lang w:val="en-US" w:eastAsia="zh-CN"/>
        </w:rPr>
        <w:t>二、</w:t>
      </w:r>
      <w:r>
        <w:rPr>
          <w:rFonts w:hint="eastAsia" w:ascii="Times New Roman" w:hAnsi="Times New Roman" w:eastAsia="宋体" w:cs="Times New Roman"/>
          <w:b/>
          <w:bCs/>
          <w:kern w:val="2"/>
          <w:sz w:val="24"/>
          <w:szCs w:val="24"/>
          <w:highlight w:val="none"/>
          <w:lang w:eastAsia="zh-CN"/>
        </w:rPr>
        <w:t>工程量清单</w:t>
      </w:r>
    </w:p>
    <w:p w14:paraId="59E6746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1.工程量清单</w:t>
      </w:r>
    </w:p>
    <w:tbl>
      <w:tblPr>
        <w:tblStyle w:val="2"/>
        <w:tblW w:w="83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1"/>
        <w:gridCol w:w="2126"/>
        <w:gridCol w:w="1914"/>
        <w:gridCol w:w="1371"/>
        <w:gridCol w:w="1082"/>
        <w:gridCol w:w="1082"/>
      </w:tblGrid>
      <w:tr w14:paraId="6ADA0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blHead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86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CB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DB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D9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1C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74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292E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16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A2A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9A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1.土方开挖</w:t>
            </w:r>
          </w:p>
          <w:p w14:paraId="4F1D54D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2.土壤类别：一二类土，不装车</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C2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3</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473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98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71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34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009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路基夯实</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FB2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1.路基夯实</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97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3B1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F2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F7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2C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4DE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护坡修复</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A9B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1.护坡修复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2.人工清理修复，具实结算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0A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3CB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43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509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FA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B55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平整场地</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813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1.平整场地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56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EE0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8000.000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0C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56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30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D7D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方整石板面层</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88F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1.12cm厚方整石板面层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2.两遍剁斧处理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E1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0DD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79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40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14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47B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桥面铺筑方整石板面层</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CD3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1.方整石板面层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2.30cm厚条石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3.两遍剁斧处理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78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7BA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81.000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B2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6F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6E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F81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一体式污水处理设备</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A89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1.含设备采购、安装、辅材等全部费用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86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76F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2C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8E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3E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B7E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铝合金栏杆</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07E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1.铝合金栏杆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2.型材壁厚2mm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3.栏杆高度1.2m</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56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3A2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58.000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2F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0E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DA1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BC9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栽植柳树</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B2C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1.栽植柳树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2.胸径：6cm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3.成活养护1个月，保存养护11个月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4.养护等级为1级</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E2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5B8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95.000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8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AC7A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05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ACC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回填种植土</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D63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1.回填种植土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ED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3</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846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A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7B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80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6E0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铺种草皮</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4B4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1.混播百慕大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2.含绿地整理及一年养护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3.养护等级为一级</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9F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CDB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2500.000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32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96C2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99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235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模板</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45B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1.模板制作,安装、涂脱模剂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2.模板拆除、修理、整堆。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55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CD5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FC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5E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67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6B3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现浇商砼c25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D66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1.现浇商砼c25</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07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3</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AB9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93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AC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7D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D77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条石台阶</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396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1.15cm*35cm条石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2.两遍剁斧处理，含砂浆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62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B10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81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459F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AB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87B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浆砌石护坡</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1E5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1.浆砌石护坡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BA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3</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DC0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162.500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E2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36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C7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698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标识牌</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03E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1.304不锈钢材质，牌面1*3m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2.含立柱及基础安装等</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F3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E61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10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429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88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42C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智能语音提示箱</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5EE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1.智能语音提示箱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2.太阳能，立杆3m，含基础及安装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9B2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42C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24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FA66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60F5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258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u w:val="none"/>
                <w:lang w:bidi="ar"/>
              </w:rPr>
              <w:t>安全生产费用</w:t>
            </w:r>
          </w:p>
        </w:tc>
        <w:tc>
          <w:tcPr>
            <w:tcW w:w="19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DF3E1">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color w:val="000000"/>
                <w:kern w:val="2"/>
                <w:sz w:val="20"/>
                <w:szCs w:val="20"/>
                <w:u w:val="none"/>
              </w:rPr>
              <w:t>不低于最高限价的2.5%</w:t>
            </w:r>
            <w:r>
              <w:rPr>
                <w:rFonts w:hint="eastAsia" w:ascii="宋体" w:hAnsi="宋体" w:eastAsia="宋体" w:cs="宋体"/>
                <w:color w:val="000000"/>
                <w:kern w:val="2"/>
                <w:sz w:val="20"/>
                <w:szCs w:val="20"/>
                <w:u w:val="none"/>
                <w:lang w:eastAsia="zh-CN"/>
              </w:rPr>
              <w:t>，</w:t>
            </w:r>
            <w:r>
              <w:rPr>
                <w:rFonts w:hint="eastAsia" w:ascii="宋体" w:hAnsi="宋体" w:eastAsia="宋体" w:cs="宋体"/>
                <w:color w:val="000000"/>
                <w:kern w:val="2"/>
                <w:sz w:val="20"/>
                <w:szCs w:val="20"/>
                <w:u w:val="none"/>
                <w:lang w:val="en-US" w:eastAsia="zh-CN"/>
              </w:rPr>
              <w:t>即25000.00元</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624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2A1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top"/>
          </w:tcPr>
          <w:p w14:paraId="54B6ECD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bl>
    <w:p w14:paraId="565BBAC9">
      <w:pPr>
        <w:spacing w:line="360" w:lineRule="auto"/>
        <w:ind w:firstLine="437"/>
        <w:rPr>
          <w:rFonts w:hint="eastAsia" w:ascii="宋体" w:hAnsi="宋体" w:eastAsia="宋体" w:cs="@仿宋_GB2312"/>
          <w:b/>
          <w:color w:val="auto"/>
          <w:kern w:val="2"/>
          <w:sz w:val="24"/>
          <w:szCs w:val="18"/>
          <w:highlight w:val="none"/>
          <w:lang w:val="en-US" w:eastAsia="zh-CN"/>
        </w:rPr>
      </w:pPr>
    </w:p>
    <w:p w14:paraId="0BE56BA3">
      <w:pPr>
        <w:spacing w:line="360" w:lineRule="auto"/>
        <w:ind w:firstLine="437"/>
        <w:rPr>
          <w:rFonts w:hint="eastAsia" w:ascii="宋体" w:hAnsi="宋体" w:eastAsia="宋体" w:cs="@仿宋_GB2312"/>
          <w:b/>
          <w:color w:val="auto"/>
          <w:kern w:val="2"/>
          <w:sz w:val="24"/>
          <w:szCs w:val="18"/>
          <w:highlight w:val="none"/>
          <w:lang w:val="en-US" w:eastAsia="zh-CN"/>
        </w:rPr>
      </w:pPr>
      <w:r>
        <w:rPr>
          <w:rFonts w:hint="eastAsia" w:ascii="宋体" w:hAnsi="宋体" w:eastAsia="宋体" w:cs="@仿宋_GB2312"/>
          <w:b/>
          <w:color w:val="auto"/>
          <w:kern w:val="2"/>
          <w:sz w:val="24"/>
          <w:szCs w:val="18"/>
          <w:highlight w:val="none"/>
          <w:lang w:val="en-US" w:eastAsia="zh-CN"/>
        </w:rPr>
        <w:t>注：</w:t>
      </w:r>
      <w:r>
        <w:rPr>
          <w:rFonts w:hint="eastAsia" w:ascii="宋体" w:hAnsi="宋体" w:eastAsia="宋体" w:cs="@仿宋_GB2312"/>
          <w:b/>
          <w:color w:val="auto"/>
          <w:kern w:val="2"/>
          <w:sz w:val="24"/>
          <w:szCs w:val="18"/>
          <w:highlight w:val="none"/>
        </w:rPr>
        <w:t>本项目临时工程等必要措施费用包含在本项目单价及合价中，不再单独计列。</w:t>
      </w:r>
    </w:p>
    <w:p w14:paraId="0EB0D736">
      <w:pPr>
        <w:spacing w:line="360" w:lineRule="auto"/>
        <w:ind w:firstLine="437"/>
        <w:rPr>
          <w:rFonts w:hint="eastAsia" w:ascii="宋体" w:hAnsi="宋体" w:eastAsia="宋体" w:cs="@仿宋_GB2312"/>
          <w:b/>
          <w:color w:val="auto"/>
          <w:kern w:val="2"/>
          <w:sz w:val="24"/>
          <w:szCs w:val="18"/>
          <w:highlight w:val="none"/>
        </w:rPr>
      </w:pPr>
      <w:r>
        <w:rPr>
          <w:rFonts w:hint="eastAsia" w:ascii="宋体" w:hAnsi="宋体" w:eastAsia="宋体" w:cs="@仿宋_GB2312"/>
          <w:b/>
          <w:color w:val="auto"/>
          <w:kern w:val="2"/>
          <w:sz w:val="24"/>
          <w:szCs w:val="18"/>
          <w:highlight w:val="none"/>
        </w:rPr>
        <w:t>2.报价要求</w:t>
      </w:r>
    </w:p>
    <w:p w14:paraId="2E2A0F1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(1）工程量清单中的每一子目须填入单价或价格，且只允许有一个报价。</w:t>
      </w:r>
    </w:p>
    <w:p w14:paraId="7C05ECB7">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(2）工程量清单中标价的单价或金额，应包括所需人工费、施工机械使用费、材料费、其他（运杂费、质检费、安装费、缺陷修复费、保险费</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安全生产费用</w:t>
      </w:r>
      <w:r>
        <w:rPr>
          <w:rFonts w:hint="eastAsia" w:ascii="宋体" w:hAnsi="宋体" w:eastAsia="宋体" w:cs="Times New Roman"/>
          <w:kern w:val="2"/>
          <w:sz w:val="24"/>
          <w:szCs w:val="22"/>
          <w:highlight w:val="none"/>
        </w:rPr>
        <w:t>，以及合同明示或暗示的风险、责任和义务等），以及管理费、利润</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税金</w:t>
      </w:r>
      <w:r>
        <w:rPr>
          <w:rFonts w:hint="eastAsia" w:ascii="宋体" w:hAnsi="宋体" w:eastAsia="宋体" w:cs="Times New Roman"/>
          <w:kern w:val="2"/>
          <w:sz w:val="24"/>
          <w:szCs w:val="22"/>
          <w:highlight w:val="none"/>
        </w:rPr>
        <w:t>等。</w:t>
      </w:r>
    </w:p>
    <w:p w14:paraId="5A259FF3">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(3）工程量清单中供应商没有填入单价或价格的子目，其费用视为已分摊在工程量清单中其他相关子目的单价或价格之中。</w:t>
      </w:r>
    </w:p>
    <w:p w14:paraId="10B337F4">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(4）暂列金额的数量及拟用子目的说明:</w:t>
      </w:r>
      <w:r>
        <w:rPr>
          <w:rFonts w:hint="eastAsia" w:ascii="宋体" w:hAnsi="宋体" w:eastAsia="宋体" w:cs="Times New Roman"/>
          <w:kern w:val="2"/>
          <w:sz w:val="24"/>
          <w:szCs w:val="22"/>
          <w:highlight w:val="none"/>
          <w:lang w:val="en-US" w:eastAsia="zh-CN"/>
        </w:rPr>
        <w:t>/</w:t>
      </w:r>
      <w:r>
        <w:rPr>
          <w:rFonts w:hint="eastAsia" w:ascii="宋体" w:hAnsi="宋体" w:eastAsia="宋体" w:cs="Times New Roman"/>
          <w:kern w:val="2"/>
          <w:sz w:val="24"/>
          <w:szCs w:val="22"/>
          <w:highlight w:val="none"/>
        </w:rPr>
        <w:t>。</w:t>
      </w:r>
    </w:p>
    <w:p w14:paraId="305A4595">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(5）暂估价的数量及拟用子目的说明:不采用。</w:t>
      </w:r>
    </w:p>
    <w:p w14:paraId="04265B6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(6）计日工的数量:不采用。</w:t>
      </w:r>
    </w:p>
    <w:p w14:paraId="2A33AD51">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w:t>
      </w:r>
      <w:r>
        <w:rPr>
          <w:rFonts w:hint="eastAsia" w:ascii="宋体" w:hAnsi="宋体" w:eastAsia="宋体" w:cs="Times New Roman"/>
          <w:kern w:val="2"/>
          <w:sz w:val="24"/>
          <w:szCs w:val="22"/>
          <w:highlight w:val="none"/>
          <w:lang w:val="en-US" w:eastAsia="zh-CN"/>
        </w:rPr>
        <w:t>7</w:t>
      </w:r>
      <w:r>
        <w:rPr>
          <w:rFonts w:hint="eastAsia" w:ascii="宋体" w:hAnsi="宋体" w:eastAsia="宋体" w:cs="Times New Roman"/>
          <w:kern w:val="2"/>
          <w:sz w:val="24"/>
          <w:szCs w:val="22"/>
          <w:highlight w:val="none"/>
        </w:rPr>
        <w:t>）</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总价应按工程报价汇总表合计金额填写，</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对投标报价的任何优惠均应反映在相应清单项目的综合单价中。</w:t>
      </w:r>
    </w:p>
    <w:p w14:paraId="2A802567">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w:t>
      </w:r>
      <w:r>
        <w:rPr>
          <w:rFonts w:hint="eastAsia" w:ascii="宋体" w:hAnsi="宋体" w:eastAsia="宋体" w:cs="Times New Roman"/>
          <w:kern w:val="2"/>
          <w:sz w:val="24"/>
          <w:szCs w:val="22"/>
          <w:highlight w:val="none"/>
          <w:lang w:val="en-US" w:eastAsia="zh-CN"/>
        </w:rPr>
        <w:t>8</w:t>
      </w:r>
      <w:r>
        <w:rPr>
          <w:rFonts w:hint="eastAsia" w:ascii="宋体" w:hAnsi="宋体" w:eastAsia="宋体" w:cs="Times New Roman"/>
          <w:kern w:val="2"/>
          <w:sz w:val="24"/>
          <w:szCs w:val="22"/>
          <w:highlight w:val="none"/>
        </w:rPr>
        <w:t>）金额（价格）均应以人民币表示;如果</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报价汇总表的投标总价与报价函填报的投标总价不一致，应当以报价函中填写的大写金额为准。</w:t>
      </w:r>
    </w:p>
    <w:p w14:paraId="25768AA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3.其他说明</w:t>
      </w:r>
    </w:p>
    <w:p w14:paraId="3AFA49A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(1）</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可先到工地踏勘以充分了解工地位置、情况、道路、储存空间、装卸限制及任何其他足以影响承包价的情况，任何因忽视或误解工地情况而导致的索赔或工期延长申请将不被批准。</w:t>
      </w:r>
    </w:p>
    <w:p w14:paraId="244F883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(2）因市场变化及法律、法规、规章和政策发生变化等一切可能影响工程造价的因素及其经济风险均已包含在综合单价中，因此合同综合单价不予调整（除因(5)项除外）。</w:t>
      </w:r>
    </w:p>
    <w:p w14:paraId="76F0D320">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(3）与其他工程施工单位发生交叉作业而增加的费用包含在报价内;</w:t>
      </w:r>
    </w:p>
    <w:p w14:paraId="521C304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(4）由于前期不可预见，而新增加的施工内容，经相关部门出具设计变更及处理方案后，方可调整相应费用。</w:t>
      </w:r>
    </w:p>
    <w:p w14:paraId="18F1F1A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(5）因天气、地形、施工环境等条件发生变化，采取临时措施工程增加的费用或场地内可见障碍物清除的费用包含在报价内。</w:t>
      </w:r>
    </w:p>
    <w:p w14:paraId="74A37B1B">
      <w:pPr>
        <w:spacing w:line="360" w:lineRule="auto"/>
        <w:ind w:firstLine="480" w:firstLineChars="200"/>
        <w:rPr>
          <w:rFonts w:ascii="宋体" w:hAnsi="宋体" w:eastAsia="宋体" w:cs="Times New Roman"/>
          <w:color w:val="auto"/>
          <w:kern w:val="0"/>
          <w:sz w:val="24"/>
          <w:szCs w:val="20"/>
          <w:highlight w:val="none"/>
        </w:rPr>
      </w:pPr>
      <w:r>
        <w:rPr>
          <w:rFonts w:hint="eastAsia" w:ascii="宋体" w:hAnsi="宋体" w:eastAsia="宋体" w:cs="Times New Roman"/>
          <w:kern w:val="2"/>
          <w:sz w:val="24"/>
          <w:szCs w:val="22"/>
          <w:highlight w:val="none"/>
        </w:rPr>
        <w:t>(6）本项目代理服务费由成交供应商支付。包含在报价的单价与合价中，不单独列项。</w:t>
      </w:r>
    </w:p>
    <w:p w14:paraId="3AFDE44E">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宋体">
    <w:panose1 w:val="02010600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8771C"/>
    <w:rsid w:val="7C887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2"/>
    <w:autoRedefine/>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2025-03-11T11:45:00Z</dcterms:created>
  <dc:creator>Saudade</dc:creator>
  <cp:lastModifiedBy>Saudade</cp:lastModifiedBy>
  <dcterms:modified xsi:type="dcterms:W3CDTF">2025-03-11T11:45:22Z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B8D4EF6032B147CE99EC5CE00AC7ECE7_11</vt:lpwstr>
  </property>
  <property fmtid="{D5CDD505-2E9C-101B-9397-08002B2CF9AE}" pid="4" name="KSOTemplateDocerSaveRecord">
    <vt:lpwstr>eyJoZGlkIjoiM2Q2ZmU1NjQyZDc0ZmU0MDY2NjdkZTY3NGM2NTk4NGIiLCJ1c2VySWQiOiIxMTI0OTU2OTI0In0=</vt:lpwstr>
  </property>
</Properties>
</file>