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EC6A8">
      <w:pPr>
        <w:spacing w:line="360" w:lineRule="auto"/>
        <w:jc w:val="center"/>
        <w:outlineLvl w:val="0"/>
        <w:rPr>
          <w:rFonts w:ascii="宋体" w:hAnsi="宋体" w:eastAsia="宋体" w:cs="Times New Roman"/>
          <w:b/>
          <w:color w:val="auto"/>
          <w:kern w:val="0"/>
          <w:sz w:val="28"/>
          <w:szCs w:val="20"/>
          <w:highlight w:val="none"/>
        </w:rPr>
      </w:pPr>
      <w:bookmarkStart w:id="0" w:name="_Toc15173"/>
      <w:r>
        <w:rPr>
          <w:rFonts w:hint="eastAsia" w:ascii="宋体" w:hAnsi="宋体" w:eastAsia="宋体" w:cs="Times New Roman"/>
          <w:b/>
          <w:color w:val="auto"/>
          <w:kern w:val="0"/>
          <w:sz w:val="28"/>
          <w:szCs w:val="20"/>
          <w:highlight w:val="none"/>
        </w:rPr>
        <w:t>第三章  采购需求</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3F25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6513D01">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730782AB">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01C229BF">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7EB3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12086D8">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2F85873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688" w:type="pct"/>
            <w:vAlign w:val="center"/>
          </w:tcPr>
          <w:p w14:paraId="4C003CA2">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32401ACD">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5CEE9D3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3654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3BC499">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44E74272">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3688" w:type="pct"/>
            <w:vAlign w:val="center"/>
          </w:tcPr>
          <w:p w14:paraId="234223B9">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268F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820E24E">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7C8D38D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688" w:type="pct"/>
            <w:vAlign w:val="center"/>
          </w:tcPr>
          <w:p w14:paraId="340C5080">
            <w:p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w:t>
            </w:r>
          </w:p>
        </w:tc>
      </w:tr>
      <w:tr w14:paraId="19B1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88B0F51">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5E04AAAA">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57A5C204">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供应商最后报价均不得高于磋商文件（公告）列明的项目预算、最高投标限价，否则其响应文件将被认定为响应无效。</w:t>
            </w:r>
          </w:p>
          <w:p w14:paraId="0C6303F3">
            <w:pPr>
              <w:numPr>
                <w:ilvl w:val="0"/>
                <w:numId w:val="0"/>
              </w:numPr>
              <w:spacing w:line="360" w:lineRule="auto"/>
              <w:rPr>
                <w:rFonts w:hint="eastAsia" w:ascii="宋体" w:hAnsi="宋体" w:eastAsia="@微软简标宋" w:cs="Times New Roman"/>
                <w:kern w:val="2"/>
                <w:sz w:val="21"/>
                <w:szCs w:val="22"/>
                <w:lang w:eastAsia="zh-CN"/>
              </w:rPr>
            </w:pPr>
            <w:r>
              <w:rPr>
                <w:rFonts w:hint="eastAsia" w:ascii="宋体" w:hAnsi="宋体" w:eastAsia="宋体" w:cs="@仿宋_GB2312"/>
                <w:b/>
                <w:bCs/>
                <w:color w:val="auto"/>
                <w:kern w:val="2"/>
                <w:sz w:val="24"/>
                <w:szCs w:val="22"/>
                <w:highlight w:val="none"/>
                <w:lang w:eastAsia="zh-CN"/>
              </w:rPr>
              <w:t>2</w:t>
            </w:r>
            <w:r>
              <w:rPr>
                <w:rFonts w:hint="eastAsia" w:ascii="宋体" w:hAnsi="宋体" w:eastAsia="宋体" w:cs="@仿宋_GB2312"/>
                <w:b/>
                <w:bCs/>
                <w:color w:val="auto"/>
                <w:kern w:val="2"/>
                <w:sz w:val="24"/>
                <w:szCs w:val="22"/>
                <w:highlight w:val="none"/>
              </w:rPr>
              <w:t>.安全生产费用：不低于最高限价的2.5%，即49022.5元，否则其响应文件将被认定为响应无效。</w:t>
            </w:r>
          </w:p>
        </w:tc>
      </w:tr>
      <w:tr w14:paraId="1881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BEF332D">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63BE2E0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2AC47915">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6C8AFEDB">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1AE19F03">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1E03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E94F5A">
            <w:pPr>
              <w:spacing w:line="360" w:lineRule="auto"/>
              <w:jc w:val="center"/>
              <w:rPr>
                <w:rFonts w:ascii="宋体" w:hAnsi="宋体" w:eastAsia="宋体" w:cs="@仿宋_GB2312"/>
                <w:color w:val="auto"/>
                <w:kern w:val="2"/>
                <w:sz w:val="24"/>
                <w:szCs w:val="22"/>
                <w:highlight w:val="none"/>
              </w:rPr>
            </w:pPr>
            <w:r>
              <w:rPr>
                <w:rFonts w:ascii="宋体" w:hAnsi="宋体" w:eastAsia="宋体" w:cs="@仿宋_GB2312"/>
                <w:color w:val="auto"/>
                <w:kern w:val="2"/>
                <w:sz w:val="24"/>
                <w:szCs w:val="22"/>
                <w:highlight w:val="none"/>
              </w:rPr>
              <w:t>6</w:t>
            </w:r>
          </w:p>
        </w:tc>
        <w:tc>
          <w:tcPr>
            <w:tcW w:w="749" w:type="pct"/>
            <w:vAlign w:val="center"/>
          </w:tcPr>
          <w:p w14:paraId="7E9F589F">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w:t>
            </w:r>
          </w:p>
        </w:tc>
        <w:tc>
          <w:tcPr>
            <w:tcW w:w="3688" w:type="pct"/>
            <w:vAlign w:val="center"/>
          </w:tcPr>
          <w:p w14:paraId="5154B52A">
            <w:pPr>
              <w:spacing w:line="360" w:lineRule="auto"/>
              <w:rPr>
                <w:rFonts w:hint="eastAsia" w:ascii="宋体" w:hAnsi="宋体" w:eastAsia="宋体" w:cs="@仿宋_GB2312"/>
                <w:b/>
                <w:bCs/>
                <w:color w:val="auto"/>
                <w:kern w:val="2"/>
                <w:sz w:val="21"/>
                <w:szCs w:val="22"/>
                <w:highlight w:val="none"/>
              </w:rPr>
            </w:pPr>
            <w:r>
              <w:rPr>
                <w:rFonts w:hint="eastAsia" w:ascii="宋体" w:hAnsi="宋体" w:eastAsia="宋体" w:cs="@仿宋_GB2312"/>
                <w:b/>
                <w:bCs/>
                <w:color w:val="auto"/>
                <w:kern w:val="2"/>
                <w:sz w:val="24"/>
                <w:szCs w:val="22"/>
                <w:highlight w:val="none"/>
              </w:rPr>
              <w:t>拟派项目经理须具有水利水电工程专业二级及以上建造师注册证书，且具有水行政主管部门颁发的有效的安全生产考核合格证（B证）。提供供应商为其缴纳的2024年</w:t>
            </w:r>
            <w:r>
              <w:rPr>
                <w:rFonts w:hint="eastAsia" w:ascii="宋体" w:hAnsi="宋体" w:eastAsia="宋体" w:cs="@仿宋_GB2312"/>
                <w:b/>
                <w:bCs/>
                <w:color w:val="auto"/>
                <w:kern w:val="2"/>
                <w:sz w:val="24"/>
                <w:szCs w:val="22"/>
                <w:highlight w:val="none"/>
                <w:lang w:eastAsia="zh-CN"/>
              </w:rPr>
              <w:t>8</w:t>
            </w:r>
            <w:r>
              <w:rPr>
                <w:rFonts w:hint="eastAsia" w:ascii="宋体" w:hAnsi="宋体" w:eastAsia="宋体" w:cs="@仿宋_GB2312"/>
                <w:b/>
                <w:bCs/>
                <w:color w:val="auto"/>
                <w:kern w:val="2"/>
                <w:sz w:val="24"/>
                <w:szCs w:val="22"/>
                <w:highlight w:val="none"/>
              </w:rPr>
              <w:t>月至今任意一个月社保证明扫描件。</w:t>
            </w:r>
          </w:p>
          <w:p w14:paraId="3992F83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注：如拟派项目经理为一级建造师的，应符合《住房和城乡建设部办公厅关于全面实行一级建造师电子注册证书的通知》（建办市〔2021〕40 号）规定，响应文件应提供一级建造师电子注册证书，且应在个人签名处手写本人签名，未手写签名或与签名图像笔迹不一致的，该电子证书无效。</w:t>
            </w:r>
          </w:p>
        </w:tc>
      </w:tr>
      <w:tr w14:paraId="65C0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4D843C">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4FB0C6A7">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68F4E13C">
            <w:pPr>
              <w:spacing w:line="360" w:lineRule="auto"/>
              <w:jc w:val="left"/>
              <w:rPr>
                <w:rFonts w:hint="eastAsia" w:ascii="宋体" w:hAnsi="宋体" w:eastAsia="宋体" w:cs="Times New Roman"/>
                <w:color w:val="auto"/>
                <w:kern w:val="2"/>
                <w:sz w:val="24"/>
                <w:szCs w:val="22"/>
                <w:highlight w:val="none"/>
                <w:lang w:eastAsia="zh-CN"/>
              </w:rPr>
            </w:pPr>
            <w:r>
              <w:rPr>
                <w:rFonts w:hint="eastAsia" w:ascii="宋体" w:hAnsi="宋体" w:eastAsia="宋体" w:cs="Times New Roman"/>
                <w:color w:val="auto"/>
                <w:kern w:val="2"/>
                <w:sz w:val="24"/>
                <w:szCs w:val="22"/>
                <w:highlight w:val="none"/>
              </w:rPr>
              <w:t>标的名称：</w:t>
            </w:r>
            <w:r>
              <w:rPr>
                <w:rFonts w:hint="eastAsia" w:ascii="宋体" w:hAnsi="宋体" w:eastAsia="宋体" w:cs="Times New Roman"/>
                <w:color w:val="auto"/>
                <w:kern w:val="2"/>
                <w:sz w:val="24"/>
                <w:szCs w:val="22"/>
                <w:highlight w:val="none"/>
                <w:lang w:eastAsia="zh-CN"/>
              </w:rPr>
              <w:t>到老泄洪洞工作门防汛道路（运行小楼至F2平硐段）临山高边坡治理、右坝头边坡防护及管理区围墙道路加固改造</w:t>
            </w:r>
          </w:p>
          <w:p w14:paraId="0CBA14B3">
            <w:pPr>
              <w:rPr>
                <w:rFonts w:hint="eastAsia" w:ascii="Calibri" w:hAnsi="Calibri" w:eastAsia="宋体" w:cs="Times New Roman"/>
                <w:color w:val="auto"/>
                <w:kern w:val="2"/>
                <w:sz w:val="24"/>
                <w:szCs w:val="22"/>
                <w:highlight w:val="none"/>
                <w:lang w:val="en-US" w:eastAsia="zh-CN"/>
              </w:rPr>
            </w:pPr>
            <w:r>
              <w:rPr>
                <w:rFonts w:hint="eastAsia" w:ascii="宋体" w:hAnsi="宋体" w:eastAsia="宋体" w:cs="Times New Roman"/>
                <w:color w:val="auto"/>
                <w:kern w:val="2"/>
                <w:sz w:val="24"/>
                <w:szCs w:val="22"/>
                <w:highlight w:val="none"/>
              </w:rPr>
              <w:t>所属行业：</w:t>
            </w:r>
            <w:r>
              <w:rPr>
                <w:rFonts w:hint="eastAsia" w:ascii="宋体" w:hAnsi="宋体" w:eastAsia="宋体" w:cs="Times New Roman"/>
                <w:color w:val="auto"/>
                <w:kern w:val="2"/>
                <w:sz w:val="24"/>
                <w:szCs w:val="22"/>
                <w:highlight w:val="none"/>
                <w:lang w:val="en-US" w:eastAsia="zh-CN"/>
              </w:rPr>
              <w:t>建筑业</w:t>
            </w:r>
          </w:p>
        </w:tc>
      </w:tr>
    </w:tbl>
    <w:p w14:paraId="59E0760E">
      <w:pPr>
        <w:spacing w:line="360" w:lineRule="auto"/>
        <w:rPr>
          <w:rFonts w:hint="default"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rPr>
        <w:t>二、</w:t>
      </w:r>
      <w:r>
        <w:rPr>
          <w:rFonts w:hint="eastAsia" w:ascii="宋体" w:hAnsi="宋体" w:eastAsia="宋体" w:cs="@仿宋_GB2312"/>
          <w:b/>
          <w:color w:val="auto"/>
          <w:kern w:val="2"/>
          <w:sz w:val="24"/>
          <w:szCs w:val="18"/>
          <w:highlight w:val="none"/>
          <w:lang w:val="en-US" w:eastAsia="zh-CN"/>
        </w:rPr>
        <w:t>工作内容</w:t>
      </w:r>
    </w:p>
    <w:p w14:paraId="01A85101">
      <w:pPr>
        <w:spacing w:line="360" w:lineRule="auto"/>
        <w:ind w:firstLine="437"/>
        <w:rPr>
          <w:rFonts w:ascii="宋体" w:hAnsi="宋体" w:eastAsia="宋体" w:cs="@仿宋_GB2312"/>
          <w:b/>
          <w:color w:val="auto"/>
          <w:kern w:val="2"/>
          <w:sz w:val="24"/>
          <w:szCs w:val="18"/>
          <w:highlight w:val="none"/>
        </w:rPr>
      </w:pPr>
      <w:r>
        <w:rPr>
          <w:rFonts w:hint="eastAsia" w:ascii="宋体" w:hAnsi="宋体" w:eastAsia="宋体" w:cs="@仿宋_GB2312"/>
          <w:b w:val="0"/>
          <w:bCs/>
          <w:color w:val="auto"/>
          <w:kern w:val="0"/>
          <w:sz w:val="24"/>
          <w:szCs w:val="28"/>
          <w:highlight w:val="none"/>
          <w:lang w:val="en-US" w:eastAsia="zh-CN" w:bidi="ar-SA"/>
        </w:rPr>
        <w:t xml:space="preserve">到老泄洪洞工作门防汛道路（运行小楼至F2平硐段）临山高边坡治理、右坝头边坡防护及管理区围墙道路加固改造项目工作内容包括高边坡治理，排洪沟整治、植被措施防护，防汛应急物料场地新建等；沿山崖侧浇筑钢筋混凝土挡墙并结合水文化建设，防止山崖落石造成防汛道路及设施损坏等其他安全隐患治理，进行排水沟整治，浇筑混凝土排水沟及加装盖板，围墙粉刷层破损铲除，钉钢丝网后粉刷修补，围墙双面刷白色外墙涂料。人行道塌陷区修补，破碎人行道砖拆除，素砼垫层，铺设块状面层，路灯移装等，具体详见工程量清单。 </w:t>
      </w:r>
    </w:p>
    <w:p w14:paraId="324AE046">
      <w:pPr>
        <w:spacing w:line="360" w:lineRule="auto"/>
        <w:rPr>
          <w:rFonts w:hint="eastAsia" w:ascii="宋体" w:hAnsi="宋体" w:eastAsia="宋体" w:cs="@仿宋_GB2312"/>
          <w:b/>
          <w:color w:val="auto"/>
          <w:kern w:val="2"/>
          <w:sz w:val="24"/>
          <w:szCs w:val="18"/>
          <w:highlight w:val="none"/>
          <w:lang w:eastAsia="zh-CN"/>
        </w:rPr>
      </w:pPr>
      <w:r>
        <w:rPr>
          <w:rFonts w:hint="eastAsia" w:ascii="宋体" w:hAnsi="宋体" w:eastAsia="宋体" w:cs="@仿宋_GB2312"/>
          <w:b/>
          <w:color w:val="auto"/>
          <w:kern w:val="2"/>
          <w:sz w:val="24"/>
          <w:szCs w:val="18"/>
          <w:highlight w:val="none"/>
        </w:rPr>
        <w:t>三、</w:t>
      </w:r>
      <w:r>
        <w:rPr>
          <w:rFonts w:hint="eastAsia" w:ascii="宋体" w:hAnsi="宋体" w:eastAsia="宋体" w:cs="@仿宋_GB2312"/>
          <w:b/>
          <w:color w:val="auto"/>
          <w:kern w:val="2"/>
          <w:sz w:val="24"/>
          <w:szCs w:val="18"/>
          <w:highlight w:val="none"/>
          <w:lang w:eastAsia="zh-CN"/>
        </w:rPr>
        <w:t>技术标准和要求</w:t>
      </w:r>
    </w:p>
    <w:p w14:paraId="2045AB0A">
      <w:pPr>
        <w:spacing w:line="360" w:lineRule="auto"/>
        <w:ind w:firstLine="437"/>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凡与本项目有关的国家及行业现行施工标准、施工规范、管理标准以及省市相关部门发布的各项技术验收标准以及相关规定等，均适用于本项目。</w:t>
      </w:r>
    </w:p>
    <w:p w14:paraId="3F28E02E">
      <w:pPr>
        <w:numPr>
          <w:ilvl w:val="0"/>
          <w:numId w:val="1"/>
        </w:numPr>
        <w:spacing w:line="360" w:lineRule="auto"/>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lang w:eastAsia="zh-CN"/>
        </w:rPr>
        <w:t>工程量清单及</w:t>
      </w:r>
      <w:r>
        <w:rPr>
          <w:rFonts w:hint="eastAsia" w:ascii="宋体" w:hAnsi="宋体" w:eastAsia="宋体" w:cs="@仿宋_GB2312"/>
          <w:b/>
          <w:color w:val="auto"/>
          <w:kern w:val="2"/>
          <w:sz w:val="24"/>
          <w:szCs w:val="18"/>
          <w:highlight w:val="none"/>
        </w:rPr>
        <w:t>报价要求</w:t>
      </w:r>
    </w:p>
    <w:p w14:paraId="376A1229">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1.工程量清单</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9"/>
        <w:gridCol w:w="1984"/>
        <w:gridCol w:w="2966"/>
        <w:gridCol w:w="1283"/>
        <w:gridCol w:w="1447"/>
      </w:tblGrid>
      <w:tr w14:paraId="012D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blHeader/>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99C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A95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61A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21D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C5A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r>
      <w:tr w14:paraId="2A4B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AB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86E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管理区围墙加固维修</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6AD7">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43B8">
            <w:pPr>
              <w:jc w:val="center"/>
              <w:rPr>
                <w:rFonts w:hint="eastAsia" w:ascii="宋体" w:hAnsi="宋体" w:eastAsia="宋体" w:cs="宋体"/>
                <w:i w:val="0"/>
                <w:iCs w:val="0"/>
                <w:color w:val="000000"/>
                <w:kern w:val="2"/>
                <w:sz w:val="18"/>
                <w:szCs w:val="18"/>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53E1">
            <w:pPr>
              <w:jc w:val="center"/>
              <w:rPr>
                <w:rFonts w:hint="eastAsia" w:ascii="宋体" w:hAnsi="宋体" w:eastAsia="宋体" w:cs="宋体"/>
                <w:i w:val="0"/>
                <w:iCs w:val="0"/>
                <w:color w:val="000000"/>
                <w:kern w:val="2"/>
                <w:sz w:val="18"/>
                <w:szCs w:val="18"/>
                <w:u w:val="none"/>
              </w:rPr>
            </w:pPr>
          </w:p>
        </w:tc>
      </w:tr>
      <w:tr w14:paraId="4C35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75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2DB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道路围墙柱旧粉刷层铲除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497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共计36根柱子，含垃圾清运</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8E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57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3F73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B1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C6E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破损围墙更换</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D8B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“刀片式”混凝土围墙破损更换</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4B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31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777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FA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A9B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围墙柱钉钢丝网</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0A42">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AC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4D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7B69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4B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CE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混凝土梁</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AA0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围墙柱之间C20混凝土梁浇筑，总长220m、高度10cm、宽度20cm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42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42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15F9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53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C60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混凝土支模</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0DA4">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E9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BB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88</w:t>
            </w:r>
          </w:p>
        </w:tc>
      </w:tr>
      <w:tr w14:paraId="3E21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95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049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混凝土梁配筋</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441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直径0.8cm螺纹钢筋</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52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D8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4B52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DE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8D1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道路围墙柱水泥砂浆抹灰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0C4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共计36根柱子，柱高2m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0E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E3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19A9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CA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AF9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道路围墙柱刮腻子</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854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共计36根柱子，柱高2m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49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18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70A3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73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7E5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道路围墙柱多层外墙乳胶漆粉刷</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42E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共计36根柱子，乳胶漆多层粉刷</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CA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89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64CE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92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8F9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道路围墙粉刷修补</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C67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破损修补，</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9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FC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14:paraId="4254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3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AF2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道路围墙粉刷乳胶漆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47D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表面清理双面乳胶漆多层粉刷</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AD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75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14:paraId="01C0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B2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C63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围墙瓦顶</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B1C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仿古琉璃瓦双面落水，含瓦脊、柱头收口、卷尾等样式由业主选定。</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F4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2F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220</w:t>
            </w:r>
          </w:p>
        </w:tc>
      </w:tr>
      <w:tr w14:paraId="6D7A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8B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BC9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棚房及货物拆除移位和恢复</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44D7">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04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B4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1A9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05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07B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667F">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C6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CC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640</w:t>
            </w:r>
          </w:p>
        </w:tc>
      </w:tr>
      <w:tr w14:paraId="3F2B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53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74A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围墙两边水沟清理及垃圾运输</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4B66">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05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69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2DB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B1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84B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管理区防汛道路</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20BF">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530B">
            <w:pPr>
              <w:jc w:val="center"/>
              <w:rPr>
                <w:rFonts w:hint="eastAsia" w:ascii="宋体" w:hAnsi="宋体" w:eastAsia="宋体" w:cs="宋体"/>
                <w:i w:val="0"/>
                <w:iCs w:val="0"/>
                <w:color w:val="000000"/>
                <w:kern w:val="2"/>
                <w:sz w:val="18"/>
                <w:szCs w:val="18"/>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6234">
            <w:pPr>
              <w:jc w:val="center"/>
              <w:rPr>
                <w:rFonts w:hint="eastAsia" w:ascii="宋体" w:hAnsi="宋体" w:eastAsia="宋体" w:cs="宋体"/>
                <w:i w:val="0"/>
                <w:iCs w:val="0"/>
                <w:color w:val="000000"/>
                <w:kern w:val="2"/>
                <w:sz w:val="18"/>
                <w:szCs w:val="18"/>
                <w:u w:val="none"/>
              </w:rPr>
            </w:pPr>
          </w:p>
        </w:tc>
      </w:tr>
      <w:tr w14:paraId="5158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17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976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原混凝土侧石拆除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B65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破损混凝土侧石拆除，含弃渣装运等</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3F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00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32AC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6A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3C1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原人行道砖拆除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107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破损人行道砖拆除，含弃渣装运等</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C5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06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5ED9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E2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903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游泳池边混凝土路面处理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51A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游泳池边混凝土路面打毛处理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1B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9C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0A4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5A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D1C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灯箱宣传栏移位</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ADB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灯箱宣传栏移位、安装</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8E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00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007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57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661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指示牌移位</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F1B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指示牌移位，含C25砼基础</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1D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F8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E4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F1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1FF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路灯拆除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837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路灯拆除，含C25砼基础</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7F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CC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6AA5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A8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34E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路灯安装（利旧）</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33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路灯安装</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05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FA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70F9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6D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BAA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挖树根（蔸）</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00E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原行道树连根挖出，含清运</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B9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44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5593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38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826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土方回（换）填</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BC1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树池回填土，耕植土,人行道路填土，包括购置、运输、填土</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FF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82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56D7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54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C94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台阶基础</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365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铺设碎石垫层5cm碎石垫层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C7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19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54DE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79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47C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安装踏步台阶</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646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砖石C20混凝土台阶，长50m,高度15cm，宽30cm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4B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AB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5.4</w:t>
            </w:r>
          </w:p>
        </w:tc>
      </w:tr>
      <w:tr w14:paraId="6B56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A3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3BD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踏步台阶贴装</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ADE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1.块料品种：白芝麻灰花岗岩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2.垫层品种、规格：干硬性水泥砂浆厚30mm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5F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38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36.25</w:t>
            </w:r>
          </w:p>
        </w:tc>
      </w:tr>
      <w:tr w14:paraId="01A5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0A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2AB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安砌花岗岩侧石</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3E6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800×300×120mm，颜色与仓库处一致，含混凝土垫层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8E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51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540</w:t>
            </w:r>
          </w:p>
        </w:tc>
      </w:tr>
      <w:tr w14:paraId="4322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25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8D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人行道垫层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AE5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碎石垫层厚8cm，C20混凝土垫层厚10cm，含模板制安及拆除</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BE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84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63</w:t>
            </w:r>
          </w:p>
        </w:tc>
      </w:tr>
      <w:tr w14:paraId="5FCD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5E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F0D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人行道砖铺设</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BF7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大理石颜色与仓库处一致，厚3cm。垫层为干硬性水泥砂浆厚50mm，拐角为一次成型大理石</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CC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54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42FB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31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967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砌筑树池</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A8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大理石，砂浆基础1500×300×120mm（直角处45o拼缝）</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60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1A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2423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C0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5F8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BE2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φ25PE管，埋地敷设</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EE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1C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6F75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FC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056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路灯电缆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6EE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YJV-3*4铜芯电缆穿线管埋地敷设（含电缆头等）</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BE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1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13A7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81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5A0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下水管道修补及井盖提升</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0E3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人行道板砖下面下水管道整理、修补</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74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A2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F92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52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FA5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栽植桂花</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1A9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直径：9~10cm；冠径：300-350cm，带土球起挖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养护期：二年（含支撑、栽植土）月桂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4E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1D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4BD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77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3AA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破损路面开挖</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43B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破损路面开挖1m、下水管道处理、垃圾清运</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78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EE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4CCD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77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626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开挖路面回填</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769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回填土（夯填）40cm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5B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F7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A5A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3B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8A0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开挖路面垫层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51C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碎石垫层厚10cm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88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4A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14:paraId="0C6F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D1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F88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排水沟</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3F6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C25混凝土排水沟（净宽300mm，深300mm，沟壁厚150mm，沟底厚200mm，500mm钢筋混凝土盖板）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含模板制安及拆除等</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DA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10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2D6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6B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BAD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塑料管铺设</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D88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PE输水管，胶圈接口，管径：300mm，含砂垫层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D8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C5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9EA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2E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CE5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沥青路面修补</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F83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路面开挖后沥青修补</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D0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A6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EAB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2B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795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应急物料场地改造</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23BB">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37C5">
            <w:pPr>
              <w:jc w:val="center"/>
              <w:rPr>
                <w:rFonts w:hint="eastAsia" w:ascii="宋体" w:hAnsi="宋体" w:eastAsia="宋体" w:cs="宋体"/>
                <w:i w:val="0"/>
                <w:iCs w:val="0"/>
                <w:color w:val="000000"/>
                <w:kern w:val="2"/>
                <w:sz w:val="18"/>
                <w:szCs w:val="18"/>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E25D">
            <w:pPr>
              <w:jc w:val="center"/>
              <w:rPr>
                <w:rFonts w:hint="eastAsia" w:ascii="宋体" w:hAnsi="宋体" w:eastAsia="宋体" w:cs="宋体"/>
                <w:i w:val="0"/>
                <w:iCs w:val="0"/>
                <w:color w:val="000000"/>
                <w:kern w:val="2"/>
                <w:sz w:val="18"/>
                <w:szCs w:val="18"/>
                <w:u w:val="none"/>
              </w:rPr>
            </w:pPr>
          </w:p>
        </w:tc>
      </w:tr>
      <w:tr w14:paraId="2169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5C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816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AF0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原破损混凝土地面拆除</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9C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C6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481.14</w:t>
            </w:r>
          </w:p>
        </w:tc>
      </w:tr>
      <w:tr w14:paraId="1E43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CF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D85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地砖拆除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D87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人行道砖拆除</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71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F0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1191.39</w:t>
            </w:r>
          </w:p>
        </w:tc>
      </w:tr>
      <w:tr w14:paraId="721B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44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096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混凝土垫层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929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C15混凝土，厚度10cm</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54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52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50.114</w:t>
            </w:r>
          </w:p>
        </w:tc>
      </w:tr>
      <w:tr w14:paraId="42A2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9A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13F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地砖铺装</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948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透水砖面层300mm×150mm×65mm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砂浆粘贴，套色</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28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A0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1652.53</w:t>
            </w:r>
          </w:p>
        </w:tc>
      </w:tr>
      <w:tr w14:paraId="409E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0D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E7F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原破损路侧石拆除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B6EF">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DE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59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310</w:t>
            </w:r>
          </w:p>
        </w:tc>
      </w:tr>
      <w:tr w14:paraId="10F8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35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845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安砌花岗岩侧石</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E95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1、花岗岩侧石芝麻白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2、规格：800mm×200mm×120mm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3、侧石沟槽开挖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4、C15混凝土垫层</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0F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FC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310</w:t>
            </w:r>
          </w:p>
        </w:tc>
      </w:tr>
      <w:tr w14:paraId="595E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83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773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场地整理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9AF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清除杂草，场地平整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FF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A4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185</w:t>
            </w:r>
          </w:p>
        </w:tc>
      </w:tr>
      <w:tr w14:paraId="475A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2D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003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4246">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A6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96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21E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32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3DE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绿化整治</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AB3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杂树等清理，清理后土地进行平整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14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11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430A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55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8A4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青砖砌筑挡墙</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71C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起槽，基础，砂浆，勾缝花岗岩板压顶等</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4D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E8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04CF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BB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AE6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挖树坑</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B439">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60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B7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14:paraId="2409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D1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FD4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回填栽植土</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73A6">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8D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19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64E4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D2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687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杜鹃花、黄杨球等</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C85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套栽，养护期2年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85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36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110</w:t>
            </w:r>
          </w:p>
        </w:tc>
      </w:tr>
      <w:tr w14:paraId="6B50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A7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73B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单杆桂花（月桂）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C03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地径10cm ，H200-300cm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带土球，养护期2年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28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F2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2D1A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64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A5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映山红</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E90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苗高100cm，冠幅20-40cm</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B7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A0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0CEB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CC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831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细叶芒</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740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叶片线形，长20—70cm，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宽5—15mm；种植密度2株/平方，集中种植</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DD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F7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29EB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71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63A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萱草花</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CC8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苗高10-20cm，冠幅10-20cm</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B9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D2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5C88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53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AD5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中叶麦冬草</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E75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行距15-20cm，株距8-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10cm， 深0.2-0.3cm左右，每穴2-3棵， 每平方60-80株</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CF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1E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110</w:t>
            </w:r>
          </w:p>
        </w:tc>
      </w:tr>
      <w:tr w14:paraId="4D14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B0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B67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宣传刻字</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D72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刻字</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E4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DA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9EB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7E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03C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围墙原面漆清除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1565">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D5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89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210</w:t>
            </w:r>
          </w:p>
        </w:tc>
      </w:tr>
      <w:tr w14:paraId="5A7D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82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A4A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围墙粉刷外墙乳胶漆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13D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裂缝处理、批腻、刷两遍面漆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BC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80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210</w:t>
            </w:r>
          </w:p>
        </w:tc>
      </w:tr>
      <w:tr w14:paraId="7F7C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36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035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排水沟旁碎石等垃圾清运</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3F8B">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D9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9A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90E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17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14F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宣传标牌</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D0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长15m，高2.5m，厚度6mm，不锈钢材质，腐刻字，立柱及立柱C30基础</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23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F0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37.5</w:t>
            </w:r>
          </w:p>
        </w:tc>
      </w:tr>
      <w:tr w14:paraId="0237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75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A38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沿河防汛检查道路防护栏维修</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17E4">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1761">
            <w:pPr>
              <w:jc w:val="center"/>
              <w:rPr>
                <w:rFonts w:hint="eastAsia" w:ascii="宋体" w:hAnsi="宋体" w:eastAsia="宋体" w:cs="宋体"/>
                <w:i w:val="0"/>
                <w:iCs w:val="0"/>
                <w:color w:val="000000"/>
                <w:kern w:val="2"/>
                <w:sz w:val="18"/>
                <w:szCs w:val="18"/>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3585">
            <w:pPr>
              <w:jc w:val="center"/>
              <w:rPr>
                <w:rFonts w:hint="eastAsia" w:ascii="宋体" w:hAnsi="宋体" w:eastAsia="宋体" w:cs="宋体"/>
                <w:i w:val="0"/>
                <w:iCs w:val="0"/>
                <w:color w:val="000000"/>
                <w:kern w:val="2"/>
                <w:sz w:val="18"/>
                <w:szCs w:val="18"/>
                <w:u w:val="none"/>
              </w:rPr>
            </w:pPr>
          </w:p>
        </w:tc>
      </w:tr>
      <w:tr w14:paraId="552A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20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208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损坏立柱拆除、更换</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D87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立柱与栏板连接勾缝处拆除，拆除破损立柱，拆下与立柱连接的两边栏板，破损立柱底部重新打孔，立柱基础孔清理，更换新立柱，安装原栏板，调整立柱与栏板，保证垂直及水平度，新立柱与栏板重新勾缝，更换完成后重新喷涂真石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F4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15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141</w:t>
            </w:r>
          </w:p>
        </w:tc>
      </w:tr>
      <w:tr w14:paraId="4B41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BF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56D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损坏栏板更换</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1EB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立柱与栏板连接勾缝处拆除，拆除一端立柱，破损栏板拆除，立柱底部重新打孔，立柱基础孔清理，更换新立柱，立柱与栏板连接处重新清理打磨，新栏板调整水平及垂直度后重新勾缝，更换完成重新喷涂真石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0A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15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1955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50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279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破损立柱修补</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EC4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表面开裂破损但主体结构未破坏的立柱修补：清除立柱松动掉块的部位，将外墙胶水与水泥混合均匀，涂抹修补损缺部位，待凝固后进行二次外观打磨，打磨无问题后重新喷涂真石漆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CA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82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79</w:t>
            </w:r>
          </w:p>
        </w:tc>
      </w:tr>
      <w:tr w14:paraId="4072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B2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91D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破损栏板修补</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E61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表面开裂破损但主体结构未破坏的栏板修补：清除栏板松动掉块的部位，将外墙胶水与水泥混合均匀，涂抹修补损缺部位，待凝固后进行二次外观打磨，打磨无问题后重新喷涂真石漆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91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87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1474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EE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967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立柱与栏板勾缝处开裂处理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F6D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所有漆膜开裂，鼓包，起皮处用铲刀将原来漆膜全部铲除，砂纸重新打磨清理浮灰，铲除部位凹陷处用水泥及胶水重新抹平，带水泥凝固后重新喷涂真石漆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9D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29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14:paraId="1FDC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62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BFD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立柱及栏板表面清理、喷涂真石漆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F0C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将原立柱与栏板表面开裂松动、鼓包，起皮处水泥及油漆铲除，将外墙胶水与水泥砂浆混合涂抹损坏表面，待水泥砂浆凝固后进行外观打磨，栏板和立柱表面喷涂底漆、真石漆。喷涂真石漆期间需用塑料薄膜全程做好防护</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0E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27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1710</w:t>
            </w:r>
          </w:p>
        </w:tc>
      </w:tr>
      <w:tr w14:paraId="66DE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BA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D4E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材料二次转运</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B04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现场线路长，材料需人工二次搬运</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17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E1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3FE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25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D17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垃圾清理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AE8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护栏更换维修结束后需用人工将原有栏板及立柱搬运至农用车上，转运至甲方指定垃圾处理点，并将现场清理干净</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48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BF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A59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B6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D3E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右坝头临山崖边坡防护及排水整治</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ABBB">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94A6">
            <w:pPr>
              <w:jc w:val="center"/>
              <w:rPr>
                <w:rFonts w:hint="eastAsia" w:ascii="宋体" w:hAnsi="宋体" w:eastAsia="宋体" w:cs="宋体"/>
                <w:i w:val="0"/>
                <w:iCs w:val="0"/>
                <w:color w:val="000000"/>
                <w:kern w:val="2"/>
                <w:sz w:val="18"/>
                <w:szCs w:val="18"/>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E79C">
            <w:pPr>
              <w:jc w:val="center"/>
              <w:rPr>
                <w:rFonts w:hint="eastAsia" w:ascii="宋体" w:hAnsi="宋体" w:eastAsia="宋体" w:cs="宋体"/>
                <w:i w:val="0"/>
                <w:iCs w:val="0"/>
                <w:color w:val="000000"/>
                <w:kern w:val="2"/>
                <w:sz w:val="18"/>
                <w:szCs w:val="18"/>
                <w:u w:val="none"/>
              </w:rPr>
            </w:pPr>
          </w:p>
        </w:tc>
      </w:tr>
      <w:tr w14:paraId="6970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E4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281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C25混凝土</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A3F1">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65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FD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67.34</w:t>
            </w:r>
          </w:p>
        </w:tc>
      </w:tr>
      <w:tr w14:paraId="4FB7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AC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D1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50mm大理石浮雕</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312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含干挂、雕刻、铜漆喷涂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1D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76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215</w:t>
            </w:r>
          </w:p>
        </w:tc>
      </w:tr>
      <w:tr w14:paraId="18A8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71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0EB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50mm花岗岩基础勒脚</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CA7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含干挂、雕刻、铜漆喷涂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D5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65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64.8</w:t>
            </w:r>
          </w:p>
        </w:tc>
      </w:tr>
      <w:tr w14:paraId="4FEB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35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A29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B83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φ18、φ12、φ8钢筋（含锚筋）</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7E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7A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8.72259</w:t>
            </w:r>
          </w:p>
        </w:tc>
      </w:tr>
      <w:tr w14:paraId="1C0C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98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228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FAC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φ18锚筋植筋</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20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B8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1200</w:t>
            </w:r>
          </w:p>
        </w:tc>
      </w:tr>
      <w:tr w14:paraId="670C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76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B4E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混凝土凿毛（人工）</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5D90">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15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42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36.75</w:t>
            </w:r>
          </w:p>
        </w:tc>
      </w:tr>
      <w:tr w14:paraId="3032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F2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E78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石方开挖（人工）</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241A">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E3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E8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2.25</w:t>
            </w:r>
          </w:p>
        </w:tc>
      </w:tr>
      <w:tr w14:paraId="6524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2C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872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山体凿毛（人工）</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7F4E">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44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42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45</w:t>
            </w:r>
          </w:p>
        </w:tc>
      </w:tr>
      <w:tr w14:paraId="611A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49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330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模板</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730">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DE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BC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420</w:t>
            </w:r>
          </w:p>
        </w:tc>
      </w:tr>
      <w:tr w14:paraId="1867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D3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52C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排水管制安</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793E">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22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28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9AE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80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180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排水管打孔制安</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B095">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CD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14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562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CF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114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材料二次转运</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07C5">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F0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C4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2C7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DB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591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垃圾清理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AD5F">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C5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0B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A60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93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08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安全生产费用</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B92A">
            <w:pPr>
              <w:rPr>
                <w:rFonts w:hint="eastAsia" w:ascii="宋体" w:hAnsi="宋体" w:eastAsia="宋体" w:cs="宋体"/>
                <w:i w:val="0"/>
                <w:iCs w:val="0"/>
                <w:color w:val="000000"/>
                <w:kern w:val="2"/>
                <w:sz w:val="18"/>
                <w:szCs w:val="18"/>
                <w:u w:val="none"/>
              </w:rPr>
            </w:pPr>
            <w:r>
              <w:rPr>
                <w:rFonts w:hint="eastAsia" w:ascii="宋体" w:hAnsi="宋体" w:eastAsia="宋体" w:cs="宋体"/>
                <w:color w:val="000000"/>
                <w:kern w:val="2"/>
                <w:sz w:val="18"/>
                <w:szCs w:val="18"/>
                <w:u w:val="none"/>
              </w:rPr>
              <w:t>不低于最高限价的2.5%，即49022.5元</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2D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93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9BD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D3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3FE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暂列金</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3CEF">
            <w:pP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2"/>
                <w:sz w:val="18"/>
                <w:szCs w:val="18"/>
                <w:u w:val="none"/>
              </w:rPr>
              <w:t>150181.54元（不可竞争）</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88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BE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4FB1FDEB">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568CD41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(1）工程量清单中的每一子目须填入单价或价格，且只允许有一个报价。</w:t>
      </w:r>
    </w:p>
    <w:p w14:paraId="5BCDA96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71CE8B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(3）本项目临时工程等必要措施费用不单独计列（包含在综合单价内）。</w:t>
      </w:r>
    </w:p>
    <w:p w14:paraId="2B89289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(4）工程量清单中供应商没有填入单价或价格的子目，其费用视为已分摊在工程量清单中其他相关子目的单价或价格之中。</w:t>
      </w:r>
    </w:p>
    <w:p w14:paraId="67E9F24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(5）暂列金额的数量及拟用子目的说明:</w:t>
      </w:r>
      <w:r>
        <w:rPr>
          <w:rFonts w:hint="eastAsia" w:ascii="宋体" w:hAnsi="宋体" w:eastAsia="宋体" w:cs="Times New Roman"/>
          <w:kern w:val="2"/>
          <w:sz w:val="24"/>
          <w:szCs w:val="22"/>
          <w:highlight w:val="none"/>
          <w:lang w:val="en-US" w:eastAsia="zh-CN"/>
        </w:rPr>
        <w:t>本项目设暂列金</w:t>
      </w:r>
      <w:r>
        <w:rPr>
          <w:rFonts w:hint="eastAsia" w:ascii="宋体" w:hAnsi="宋体" w:eastAsia="宋体" w:cs="Times New Roman"/>
          <w:kern w:val="2"/>
          <w:sz w:val="24"/>
          <w:szCs w:val="22"/>
          <w:highlight w:val="none"/>
        </w:rPr>
        <w:t>150181.54元（不可竞争）。</w:t>
      </w:r>
    </w:p>
    <w:p w14:paraId="1D9F22F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(6）暂估价的数量及拟用子目的说明:不采用。</w:t>
      </w:r>
    </w:p>
    <w:p w14:paraId="1CC495FB">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(7）计日工的数量:不采用。</w:t>
      </w:r>
    </w:p>
    <w:p w14:paraId="572CFEC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(8）安全生产费用应单独计列(含与安全生产有关的文明施工、标准化工地建设费用)，由采购人根据施工单位实施过程中措施的落实情况进行支付。</w:t>
      </w:r>
    </w:p>
    <w:p w14:paraId="0A845EE2">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(9）投标总价应按工程报价汇总表合计金额填写，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3E4E11FB">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(10）金额（价格）均应以人民币表示;如果投标报价汇总表的投标总价与报价函填报的投标总价不一致，应当以报价函中填写的大写金额为准。</w:t>
      </w:r>
    </w:p>
    <w:p w14:paraId="33C00B6C">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1D83C71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6926A70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(2）因市场变化及法律、法规、规章和政策发生变化等一切可能影响工程造价的因素及其经济风险均已包含在综合单价中，因此合同综合单价不予调整（除因(5)项除外）。</w:t>
      </w:r>
    </w:p>
    <w:p w14:paraId="69982E72">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(3）与其他工程施工单位发生交叉作业而增加的费用包含在报价内;</w:t>
      </w:r>
    </w:p>
    <w:p w14:paraId="40A1E242">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222663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561CBA4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(6）本项目代理服务费由成交供应商支付。包含在报价的单价与合价中，不单独列项。</w:t>
      </w:r>
    </w:p>
    <w:p w14:paraId="2F49EDC3">
      <w:pPr>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仿宋_GB2312"/>
          <w:b/>
          <w:color w:val="auto"/>
          <w:kern w:val="2"/>
          <w:sz w:val="24"/>
          <w:szCs w:val="18"/>
          <w:highlight w:val="none"/>
          <w:lang w:eastAsia="zh-CN"/>
        </w:rPr>
      </w:pPr>
      <w:r>
        <w:rPr>
          <w:rFonts w:hint="eastAsia" w:ascii="宋体" w:hAnsi="宋体" w:eastAsia="宋体" w:cs="@仿宋_GB2312"/>
          <w:b/>
          <w:color w:val="auto"/>
          <w:kern w:val="2"/>
          <w:sz w:val="24"/>
          <w:szCs w:val="18"/>
          <w:highlight w:val="none"/>
          <w:lang w:val="en-US" w:eastAsia="zh-CN" w:bidi="ar-SA"/>
        </w:rPr>
        <w:t>五、</w:t>
      </w:r>
      <w:r>
        <w:rPr>
          <w:rFonts w:hint="eastAsia" w:ascii="宋体" w:hAnsi="宋体" w:eastAsia="宋体" w:cs="@仿宋_GB2312"/>
          <w:b/>
          <w:color w:val="auto"/>
          <w:kern w:val="2"/>
          <w:sz w:val="24"/>
          <w:szCs w:val="18"/>
          <w:highlight w:val="none"/>
          <w:lang w:eastAsia="zh-CN"/>
        </w:rPr>
        <w:t>采购人提供的图纸</w:t>
      </w:r>
    </w:p>
    <w:p w14:paraId="3F02A3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kern w:val="2"/>
          <w:sz w:val="21"/>
          <w:szCs w:val="20"/>
          <w:highlight w:val="none"/>
          <w:lang w:val="en-US" w:eastAsia="zh-CN"/>
        </w:rPr>
      </w:pPr>
      <w:r>
        <w:rPr>
          <w:rFonts w:hint="eastAsia" w:ascii="宋体" w:hAnsi="宋体" w:eastAsia="宋体" w:cs="@仿宋_GB2312"/>
          <w:b w:val="0"/>
          <w:bCs/>
          <w:color w:val="auto"/>
          <w:kern w:val="0"/>
          <w:sz w:val="24"/>
          <w:szCs w:val="28"/>
          <w:highlight w:val="none"/>
          <w:lang w:val="en-US" w:eastAsia="zh-CN" w:bidi="ar-SA"/>
        </w:rPr>
        <w:t xml:space="preserve">无。  </w:t>
      </w:r>
      <w:r>
        <w:rPr>
          <w:rFonts w:hint="eastAsia" w:ascii="@仿宋_GB2312" w:hAnsi="@仿宋_GB2312" w:eastAsia="@仿宋_GB2312" w:cs="@仿宋_GB2312"/>
          <w:color w:val="auto"/>
          <w:kern w:val="2"/>
          <w:sz w:val="21"/>
          <w:szCs w:val="20"/>
          <w:highlight w:val="none"/>
          <w:lang w:val="en-US" w:eastAsia="zh-CN"/>
        </w:rPr>
        <w:t xml:space="preserve">  </w:t>
      </w:r>
    </w:p>
    <w:p w14:paraId="52FA93BF">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仿宋_GB2312"/>
          <w:b/>
          <w:color w:val="auto"/>
          <w:kern w:val="2"/>
          <w:sz w:val="24"/>
          <w:szCs w:val="18"/>
          <w:highlight w:val="none"/>
          <w:lang w:val="en-US" w:eastAsia="zh-CN" w:bidi="ar-SA"/>
        </w:rPr>
      </w:pPr>
      <w:r>
        <w:rPr>
          <w:rFonts w:hint="eastAsia" w:ascii="宋体" w:hAnsi="宋体" w:eastAsia="宋体" w:cs="@仿宋_GB2312"/>
          <w:b/>
          <w:color w:val="auto"/>
          <w:kern w:val="2"/>
          <w:sz w:val="24"/>
          <w:szCs w:val="18"/>
          <w:highlight w:val="none"/>
          <w:lang w:val="en-US" w:eastAsia="zh-CN" w:bidi="ar-SA"/>
        </w:rPr>
        <w:t>六、其他要求</w:t>
      </w:r>
    </w:p>
    <w:p w14:paraId="225A09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Times New Roman" w:eastAsia="宋体" w:cs="Times New Roman"/>
          <w:color w:val="auto"/>
          <w:kern w:val="0"/>
          <w:sz w:val="24"/>
          <w:szCs w:val="24"/>
          <w:highlight w:val="none"/>
          <w:lang w:val="en-US" w:eastAsia="zh-CN" w:bidi="ar-SA"/>
        </w:rPr>
      </w:pPr>
      <w:r>
        <w:rPr>
          <w:rFonts w:hint="eastAsia" w:ascii="宋体" w:hAnsi="Times New Roman" w:eastAsia="宋体" w:cs="Times New Roman"/>
          <w:color w:val="auto"/>
          <w:kern w:val="0"/>
          <w:sz w:val="24"/>
          <w:szCs w:val="24"/>
          <w:highlight w:val="none"/>
          <w:lang w:val="en-US" w:eastAsia="zh-CN" w:bidi="ar-SA"/>
        </w:rPr>
        <w:t>无。</w:t>
      </w:r>
    </w:p>
    <w:p w14:paraId="1D0DC64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2F46C"/>
    <w:multiLevelType w:val="singleLevel"/>
    <w:tmpl w:val="9F12F46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02E6A"/>
    <w:rsid w:val="3BC0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2025-03-03T08:34:00Z</dcterms:created>
  <dc:creator>Saudade</dc:creator>
  <cp:lastModifiedBy>Saudade</cp:lastModifiedBy>
  <dcterms:modified xsi:type="dcterms:W3CDTF">2025-03-03T08:34:46Z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0FE16DF5A2D041C8B0F673C7F6A48CBC_11</vt:lpwstr>
  </property>
  <property fmtid="{D5CDD505-2E9C-101B-9397-08002B2CF9AE}" pid="4" name="KSOTemplateDocerSaveRecord">
    <vt:lpwstr>eyJoZGlkIjoiM2Q2ZmU1NjQyZDc0ZmU0MDY2NjdkZTY3NGM2NTk4NGIiLCJ1c2VySWQiOiIxMTI0OTU2OTI0In0=</vt:lpwstr>
  </property>
</Properties>
</file>