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334A">
      <w:pPr>
        <w:spacing w:line="360" w:lineRule="auto"/>
        <w:jc w:val="center"/>
        <w:outlineLvl w:val="0"/>
        <w:rPr>
          <w:rFonts w:ascii="宋体" w:hAnsi="宋体" w:eastAsia="宋体" w:cs="Times New Roman"/>
          <w:b/>
          <w:color w:val="auto"/>
          <w:kern w:val="0"/>
          <w:sz w:val="28"/>
          <w:szCs w:val="20"/>
          <w:highlight w:val="none"/>
        </w:rPr>
      </w:pPr>
      <w:bookmarkStart w:id="0" w:name="_Toc30873"/>
      <w:bookmarkStart w:id="1" w:name="_Toc24220"/>
      <w:r>
        <w:rPr>
          <w:rFonts w:hint="eastAsia" w:ascii="宋体" w:hAnsi="宋体" w:eastAsia="宋体" w:cs="Times New Roman"/>
          <w:b/>
          <w:color w:val="auto"/>
          <w:kern w:val="0"/>
          <w:sz w:val="28"/>
          <w:szCs w:val="20"/>
          <w:highlight w:val="none"/>
        </w:rPr>
        <w:t>第三章  采购需求</w:t>
      </w:r>
      <w:bookmarkEnd w:id="0"/>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50EC9558">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08DCBEE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57A56AD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3B6DEEAF">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172E3160">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D8CF993">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E7E420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4F0EAA5C">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77A8FF0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5CAF801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供应商最后报价不得高于磋商文件（公告）列明的项目预算、最高限价；第一次报价</w:t>
            </w:r>
            <w:r>
              <w:rPr>
                <w:rFonts w:hint="eastAsia" w:ascii="宋体" w:hAnsi="宋体" w:eastAsia="宋体" w:cs="@仿宋_GB2312"/>
                <w:color w:val="auto"/>
                <w:kern w:val="2"/>
                <w:sz w:val="24"/>
                <w:szCs w:val="22"/>
                <w:highlight w:val="none"/>
                <w:lang w:val="en-US" w:eastAsia="zh-CN"/>
              </w:rPr>
              <w:t>及</w:t>
            </w:r>
            <w:r>
              <w:rPr>
                <w:rFonts w:hint="eastAsia" w:ascii="宋体" w:hAnsi="宋体" w:eastAsia="宋体" w:cs="@仿宋_GB2312"/>
                <w:color w:val="auto"/>
                <w:kern w:val="2"/>
                <w:sz w:val="24"/>
                <w:szCs w:val="22"/>
                <w:highlight w:val="none"/>
              </w:rPr>
              <w:t>最后报价中</w:t>
            </w:r>
            <w:r>
              <w:rPr>
                <w:rFonts w:hint="eastAsia" w:ascii="宋体" w:hAnsi="宋体" w:eastAsia="宋体" w:cs="@仿宋_GB2312"/>
                <w:color w:val="auto"/>
                <w:kern w:val="2"/>
                <w:sz w:val="24"/>
                <w:szCs w:val="22"/>
                <w:highlight w:val="none"/>
                <w:lang w:val="en-US" w:eastAsia="zh-CN"/>
              </w:rPr>
              <w:t>的</w:t>
            </w:r>
            <w:r>
              <w:rPr>
                <w:rFonts w:hint="eastAsia" w:ascii="宋体" w:hAnsi="宋体" w:eastAsia="宋体" w:cs="@仿宋_GB2312"/>
                <w:color w:val="auto"/>
                <w:kern w:val="2"/>
                <w:sz w:val="24"/>
                <w:szCs w:val="22"/>
                <w:highlight w:val="none"/>
              </w:rPr>
              <w:t>分项报价均不得高于供应商须知前附表35.</w:t>
            </w:r>
            <w:r>
              <w:rPr>
                <w:rFonts w:hint="eastAsia" w:ascii="宋体" w:hAnsi="宋体" w:eastAsia="宋体" w:cs="@仿宋_GB2312"/>
                <w:color w:val="auto"/>
                <w:kern w:val="2"/>
                <w:sz w:val="24"/>
                <w:szCs w:val="22"/>
                <w:highlight w:val="none"/>
                <w:lang w:val="en-US" w:eastAsia="zh-CN"/>
              </w:rPr>
              <w:t>14</w:t>
            </w:r>
            <w:bookmarkStart w:id="2" w:name="_GoBack"/>
            <w:bookmarkEnd w:id="2"/>
            <w:r>
              <w:rPr>
                <w:rFonts w:hint="eastAsia" w:ascii="宋体" w:hAnsi="宋体" w:eastAsia="宋体" w:cs="@仿宋_GB2312"/>
                <w:color w:val="auto"/>
                <w:kern w:val="2"/>
                <w:sz w:val="24"/>
                <w:szCs w:val="22"/>
                <w:highlight w:val="none"/>
              </w:rPr>
              <w:t>列明的分项最高限价（具体详见工程量清单），否则其响应文件将被认定为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43AB917">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eastAsia="zh-CN"/>
              </w:rPr>
              <w:t>2</w:t>
            </w:r>
            <w:r>
              <w:rPr>
                <w:rFonts w:hint="eastAsia" w:ascii="宋体" w:hAnsi="宋体" w:eastAsia="宋体" w:cs="@仿宋_GB2312"/>
                <w:color w:val="auto"/>
                <w:kern w:val="2"/>
                <w:sz w:val="24"/>
                <w:szCs w:val="22"/>
                <w:highlight w:val="none"/>
              </w:rPr>
              <w:t>.安全生产费用：不低于最高限价的2.5%，即</w:t>
            </w:r>
            <w:r>
              <w:rPr>
                <w:rFonts w:hint="eastAsia" w:ascii="宋体" w:hAnsi="宋体" w:eastAsia="宋体" w:cs="@仿宋_GB2312"/>
                <w:color w:val="auto"/>
                <w:kern w:val="2"/>
                <w:sz w:val="24"/>
                <w:szCs w:val="22"/>
                <w:highlight w:val="none"/>
                <w:lang w:val="en-US" w:eastAsia="zh-CN"/>
              </w:rPr>
              <w:t>30750</w:t>
            </w:r>
            <w:r>
              <w:rPr>
                <w:rFonts w:hint="eastAsia" w:ascii="宋体" w:hAnsi="宋体" w:eastAsia="宋体" w:cs="@仿宋_GB2312"/>
                <w:color w:val="auto"/>
                <w:kern w:val="2"/>
                <w:sz w:val="24"/>
                <w:szCs w:val="22"/>
                <w:highlight w:val="none"/>
              </w:rPr>
              <w:t>.00元，否则其响应文件将被认定为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DF1EA09">
            <w:pPr>
              <w:widowControl w:val="0"/>
              <w:spacing w:after="120" w:line="360" w:lineRule="auto"/>
              <w:jc w:val="both"/>
              <w:rPr>
                <w:rFonts w:hint="eastAsia" w:ascii="@微软简标宋" w:hAnsi="@微软简标宋" w:eastAsia="@微软简标宋" w:cs="@微软简标宋"/>
                <w:kern w:val="2"/>
                <w:sz w:val="21"/>
                <w:szCs w:val="24"/>
                <w:lang w:val="zh-CN" w:eastAsia="zh-CN" w:bidi="ar-SA"/>
              </w:rPr>
            </w:pPr>
            <w:r>
              <w:rPr>
                <w:rFonts w:hint="eastAsia" w:ascii="宋体" w:hAnsi="宋体" w:eastAsia="宋体" w:cs="@仿宋_GB2312"/>
                <w:color w:val="auto"/>
                <w:kern w:val="2"/>
                <w:sz w:val="24"/>
                <w:szCs w:val="22"/>
                <w:highlight w:val="none"/>
                <w:lang w:val="en-US" w:eastAsia="zh-CN" w:bidi="ar-SA"/>
              </w:rPr>
              <w:t>（3）除磋商文件另有规定外,供应商不得随意增加、删除或涂改磋商文件工程量清单中的任何内容</w:t>
            </w:r>
            <w:r>
              <w:rPr>
                <w:rFonts w:hint="eastAsia" w:ascii="宋体" w:hAnsi="宋体" w:eastAsia="宋体" w:cs="@仿宋_GB2312"/>
                <w:b w:val="0"/>
                <w:color w:val="auto"/>
                <w:kern w:val="2"/>
                <w:sz w:val="24"/>
                <w:szCs w:val="22"/>
                <w:highlight w:val="none"/>
                <w:lang w:val="en-US" w:eastAsia="zh-CN" w:bidi="ar-SA"/>
              </w:rPr>
              <w:t>，</w:t>
            </w:r>
            <w:r>
              <w:rPr>
                <w:rFonts w:hint="eastAsia" w:ascii="宋体" w:hAnsi="宋体" w:eastAsia="宋体" w:cs="@仿宋_GB2312"/>
                <w:bCs w:val="0"/>
                <w:color w:val="auto"/>
                <w:kern w:val="2"/>
                <w:sz w:val="24"/>
                <w:szCs w:val="22"/>
                <w:highlight w:val="none"/>
                <w:lang w:val="en-US" w:eastAsia="zh-CN" w:bidi="ar-SA"/>
              </w:rPr>
              <w:t>否则其响应文件将被认定为</w:t>
            </w:r>
            <w:r>
              <w:rPr>
                <w:rFonts w:hint="eastAsia" w:ascii="宋体" w:hAnsi="宋体" w:eastAsia="宋体" w:cs="@仿宋_GB2312"/>
                <w:b/>
                <w:bCs/>
                <w:color w:val="auto"/>
                <w:kern w:val="2"/>
                <w:sz w:val="24"/>
                <w:szCs w:val="22"/>
                <w:highlight w:val="none"/>
                <w:lang w:val="en-US" w:eastAsia="zh-CN" w:bidi="ar-SA"/>
              </w:rPr>
              <w:t>响应无效</w:t>
            </w:r>
            <w:r>
              <w:rPr>
                <w:rFonts w:hint="eastAsia" w:ascii="宋体" w:hAnsi="宋体" w:eastAsia="宋体" w:cs="@仿宋_GB2312"/>
                <w:color w:val="auto"/>
                <w:kern w:val="2"/>
                <w:sz w:val="24"/>
                <w:szCs w:val="22"/>
                <w:highlight w:val="none"/>
                <w:lang w:val="en-US" w:eastAsia="zh-CN" w:bidi="ar-SA"/>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457314D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142D8A3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4BF5DCA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8</w:t>
            </w:r>
            <w:r>
              <w:rPr>
                <w:rFonts w:hint="eastAsia" w:ascii="宋体" w:hAnsi="宋体" w:eastAsia="宋体" w:cs="@仿宋_GB2312"/>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3F6DA57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lang w:eastAsia="zh-CN"/>
              </w:rPr>
            </w:pPr>
            <w:r>
              <w:rPr>
                <w:rFonts w:hint="eastAsia" w:ascii="宋体" w:hAnsi="宋体" w:eastAsia="宋体" w:cs="Times New Roman"/>
                <w:color w:val="auto"/>
                <w:kern w:val="2"/>
                <w:sz w:val="24"/>
                <w:szCs w:val="22"/>
                <w:highlight w:val="none"/>
              </w:rPr>
              <w:t>标的名称：</w:t>
            </w:r>
            <w:r>
              <w:rPr>
                <w:rFonts w:hint="eastAsia" w:ascii="宋体" w:hAnsi="宋体" w:eastAsia="宋体" w:cs="Times New Roman"/>
                <w:color w:val="auto"/>
                <w:kern w:val="2"/>
                <w:sz w:val="24"/>
                <w:szCs w:val="22"/>
                <w:highlight w:val="none"/>
                <w:lang w:eastAsia="zh-CN"/>
              </w:rPr>
              <w:t>梅山水库日常维修维护</w:t>
            </w:r>
          </w:p>
          <w:p w14:paraId="4FE7E8B8">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3FEE4CD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66429042">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（一）水库概况</w:t>
      </w:r>
    </w:p>
    <w:p w14:paraId="236B68B9">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梅山水库位于淮河支流史河上游、安徽省金寨县境内，是一座以防洪、灌溉为主，结合发电等综合利用的大（1）型水利工程。水库大坝坐落在县城梅山镇南1km处，工程于1954年3月动工兴建，1956年4月大坝竣工。2008年4月～2010年12月实施除险加固。2016年11月被鉴定为二类坝。</w:t>
      </w:r>
    </w:p>
    <w:p w14:paraId="4E4ABF5E">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水库按500年一遇洪水标准设计，5000年一遇洪水标准校核，总库容22.63亿立方米，控制流域面积1970平方千米，水库校核洪水位139.93m，正常蓄水位128.00m。枢纽工程由大坝、溢洪道、泄洪隧洞、灌溉补水隧洞、放水底孔、发电厂等组成。</w:t>
      </w:r>
    </w:p>
    <w:p w14:paraId="3BA9C8F4">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（二）项目内容</w:t>
      </w:r>
    </w:p>
    <w:p w14:paraId="1BFE4D9F">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梅山水库2025年日常维修维护项目为省水利厅下达的2025年度梅山水库水利工程运行维护项目经费中“日常运行维护管理经费”的一部分内容打捆，主要内容包括大坝运行维护、水库工程维修、闸门机电设备维护、应急管理设施完善、工程设施设备保洁维护等。项目主要内容包括：</w:t>
      </w:r>
    </w:p>
    <w:p w14:paraId="7C90C42A">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1、大坝等建筑物运行维护</w:t>
      </w:r>
    </w:p>
    <w:p w14:paraId="40B1DB97">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主要为大坝东岸接拱重力坝至溢洪道段坝顶安全护栏改造，包括原护栏木扶手、铁杆件拆除，定制安装不锈钢杆件、连接件、竹木扶手，防浪墙表面氟硅涂料装饰层修补等内容。护栏全长约210米。</w:t>
      </w:r>
    </w:p>
    <w:p w14:paraId="248348D5">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2、水库工程维修</w:t>
      </w:r>
    </w:p>
    <w:p w14:paraId="0133C872">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主要针对历次大坝安全鉴定、检查指出的部分混凝土钢筋锈胀问题，开展维修处理，包括：</w:t>
      </w:r>
    </w:p>
    <w:p w14:paraId="1193DE8F">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（1）溢洪道工作桥梁板两侧、底面锈胀外露钢筋除锈防护、混凝土修补处理、排水管改造等工程施工及措施费，防护面积约700平方米，桥面排水维修等。</w:t>
      </w:r>
    </w:p>
    <w:p w14:paraId="4455E9DB">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（2）灌溉补水隧洞事故门启闭机房部分构架梁柱，以及放水底孔等进口启闭机房等共8处启闭机房架柱防护处理。</w:t>
      </w:r>
    </w:p>
    <w:p w14:paraId="48064147">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（3）大坝拱垛加固混凝土外露钢筋处理，2-15号垛内加固面板及两侧部位，1号垛东墙、13垛东墙等加固部位混凝土钢筋锈胀处理，面积约1200平方米。</w:t>
      </w:r>
    </w:p>
    <w:p w14:paraId="522F1774">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3、闸门及机电设备维护</w:t>
      </w:r>
    </w:p>
    <w:p w14:paraId="6A81B06B">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主要包括水库溢洪道、泄洪隧洞、灌溉补水洞、放水底孔等闸门、启闭机及金属结构、机电设备、配电等设备常规运行维护，设备防腐、备品备件等，按照相关技术规范要求开展调试、试运行、检测等；柴油发电机及底座维护、油漆，隧洞液压启闭机油缸油漆、风车更换（脚手架等措施费）；9号拱内走道地面维修等。</w:t>
      </w:r>
    </w:p>
    <w:p w14:paraId="236B3BDA">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4、应急管理设施完善</w:t>
      </w:r>
    </w:p>
    <w:p w14:paraId="1378EEC9">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（1）水旱灾害防御及应急管理调度设施维修完善，设置调度及应急管理显示屏，配备操作台等设施设备，室内部分墙、地面、强弱电布线改造等；</w:t>
      </w:r>
    </w:p>
    <w:p w14:paraId="2439367A">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（2）泄洪设施防汛电源T接问题整改，增加开关柜2台及相应的送配电装置设备；</w:t>
      </w:r>
    </w:p>
    <w:p w14:paraId="3FEBBBF7">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（3）日常安全生产检查、演练、安全生产月活动配合，以及临时安全隐患整改等。</w:t>
      </w:r>
    </w:p>
    <w:p w14:paraId="46EE8F10">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5、工程设施设备保洁等维护</w:t>
      </w:r>
    </w:p>
    <w:p w14:paraId="5DEFA144">
      <w:pPr>
        <w:spacing w:line="360" w:lineRule="auto"/>
        <w:ind w:firstLine="435"/>
        <w:rPr>
          <w:rFonts w:hint="eastAsia" w:ascii="宋体" w:hAnsi="宋体" w:eastAsia="宋体" w:cs="Times New Roman"/>
          <w:color w:val="auto"/>
          <w:kern w:val="0"/>
          <w:sz w:val="24"/>
          <w:szCs w:val="18"/>
          <w:highlight w:val="none"/>
          <w:u w:val="none"/>
          <w:lang w:eastAsia="zh-CN"/>
        </w:rPr>
      </w:pPr>
      <w:r>
        <w:rPr>
          <w:rFonts w:hint="eastAsia" w:ascii="宋体" w:hAnsi="宋体" w:eastAsia="宋体" w:cs="Times New Roman"/>
          <w:color w:val="auto"/>
          <w:kern w:val="0"/>
          <w:sz w:val="24"/>
          <w:szCs w:val="18"/>
          <w:highlight w:val="none"/>
          <w:u w:val="none"/>
          <w:lang w:eastAsia="zh-CN"/>
        </w:rPr>
        <w:t>工程设施设备2025年年度保洁，水库上下游水面漂浮物打捞、拱内及两岸护坡地面等冲洗，以及日常零星维护、调工等。具体包括溢洪道、泄洪隧洞等各类启闭机房及室内外设备日常维护保洁，坝垛内所有观测房、廊道、坝垛内走地面等保洁维护，室外拱内卫生清扫、工程区检查观测通道、坝肩、溢洪道护坦等部位卫生保洁，库面漂浮物打捞清理、拱内水面卫生清理及日常检查用船只、零星调工等，维护期为2025年度。</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详见项目工程量清单。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(5）暂估价的数量及拟用子目的说明:不采用。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(6）计日工的数量:不采用。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(2）因市场变化及法律、法规、规章和政策发生变化等一切可能影响工程造价的因素及其经济风险均已包含在综合单价中，因此合同综合单价不予调整（除因(5)项除外）。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(3）与其他工程施工单位发生交叉作业而增加的费用包含在报价内;</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13F539B8">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rPr>
        <w:t>(6）本项目代理服务费由成交供应商支付。包含在报价的单价与合价中，不单独列项。</w:t>
      </w:r>
    </w:p>
    <w:p w14:paraId="70B56D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5320B"/>
    <w:rsid w:val="10AB3F52"/>
    <w:rsid w:val="1555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3275</Words>
  <Characters>3395</Characters>
  <Lines>0</Lines>
  <Paragraphs>0</Paragraphs>
  <TotalTime>0</TotalTime>
  <ScaleCrop>false</ScaleCrop>
  <LinksUpToDate>false</LinksUpToDate>
  <CharactersWithSpaces>3397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2025-04-09T11:39:00Z</dcterms:created>
  <dc:creator>Saudade</dc:creator>
  <cp:lastModifiedBy>Saudade</cp:lastModifiedBy>
  <dcterms:modified xsi:type="dcterms:W3CDTF">2025-04-09T12:27:58Z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23E6E269E06643A38804DC55A1FD8045_11</vt:lpwstr>
  </property>
  <property fmtid="{D5CDD505-2E9C-101B-9397-08002B2CF9AE}" pid="4" name="KSOTemplateDocerSaveRecord">
    <vt:lpwstr>eyJoZGlkIjoiM2Q2ZmU1NjQyZDc0ZmU0MDY2NjdkZTY3NGM2NTk4NGIiLCJ1c2VySWQiOiIxMTI0OTU2OTI0In0=</vt:lpwstr>
  </property>
</Properties>
</file>