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3F0896">
      <w:pPr>
        <w:spacing w:line="360" w:lineRule="auto"/>
        <w:jc w:val="center"/>
        <w:outlineLvl w:val="0"/>
        <w:rPr>
          <w:rFonts w:asciiTheme="minorEastAsia" w:hAnsiTheme="minorEastAsia" w:eastAsiaTheme="minorEastAsia"/>
          <w:b/>
          <w:color w:val="auto"/>
          <w:sz w:val="28"/>
          <w:highlight w:val="none"/>
        </w:rPr>
      </w:pPr>
      <w:bookmarkStart w:id="0" w:name="_Toc19440"/>
      <w:r>
        <w:rPr>
          <w:rFonts w:hint="eastAsia" w:asciiTheme="minorEastAsia" w:hAnsiTheme="minorEastAsia" w:eastAsiaTheme="minorEastAsia"/>
          <w:b/>
          <w:color w:val="auto"/>
          <w:sz w:val="28"/>
          <w:highlight w:val="none"/>
        </w:rPr>
        <w:t>采购需求</w:t>
      </w:r>
      <w:bookmarkEnd w:id="0"/>
    </w:p>
    <w:p w14:paraId="60796819">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前注：</w:t>
      </w:r>
    </w:p>
    <w:p w14:paraId="0A426EEB">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本采购需求中提出的服务方案仅为参考，如无明确限制，</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可以进行优化，提供满足采购人实际需要的更优（或者性能实质上不低于的）服务方案，且此方案须经</w:t>
      </w:r>
      <w:r>
        <w:rPr>
          <w:rFonts w:hint="eastAsia" w:ascii="宋体" w:hAnsi="宋体" w:eastAsia="宋体" w:cs="宋体"/>
          <w:color w:val="auto"/>
          <w:sz w:val="24"/>
          <w:szCs w:val="24"/>
          <w:highlight w:val="none"/>
          <w:lang w:eastAsia="zh-CN"/>
        </w:rPr>
        <w:t>磋商小组</w:t>
      </w:r>
      <w:r>
        <w:rPr>
          <w:rFonts w:hint="eastAsia" w:ascii="宋体" w:hAnsi="宋体" w:eastAsia="宋体" w:cs="宋体"/>
          <w:color w:val="auto"/>
          <w:sz w:val="24"/>
          <w:szCs w:val="24"/>
          <w:highlight w:val="none"/>
        </w:rPr>
        <w:t>评审认可。</w:t>
      </w:r>
    </w:p>
    <w:p w14:paraId="140E45AD">
      <w:pPr>
        <w:spacing w:line="360" w:lineRule="auto"/>
        <w:ind w:firstLine="435"/>
        <w:rPr>
          <w:rFonts w:hint="eastAsia" w:ascii="宋体" w:hAnsi="宋体" w:eastAsia="宋体"/>
          <w:color w:val="auto"/>
          <w:sz w:val="24"/>
          <w:szCs w:val="18"/>
          <w:highlight w:val="none"/>
        </w:rPr>
      </w:pPr>
      <w:r>
        <w:rPr>
          <w:rFonts w:hint="eastAsia" w:ascii="宋体" w:hAnsi="宋体" w:eastAsia="宋体"/>
          <w:color w:val="auto"/>
          <w:sz w:val="24"/>
          <w:szCs w:val="18"/>
          <w:highlight w:val="none"/>
        </w:rPr>
        <w:t>2.下列采购需求中</w:t>
      </w:r>
      <w:r>
        <w:rPr>
          <w:rFonts w:ascii="宋体" w:hAnsi="宋体" w:eastAsia="宋体" w:cs="宋体"/>
          <w:sz w:val="24"/>
          <w:szCs w:val="24"/>
          <w:highlight w:val="none"/>
        </w:rPr>
        <w:t>（包括但不限于下列具体政策要求</w:t>
      </w:r>
      <w:r>
        <w:rPr>
          <w:rFonts w:hint="eastAsia" w:ascii="宋体" w:hAnsi="宋体" w:eastAsia="宋体" w:cs="宋体"/>
          <w:sz w:val="24"/>
          <w:szCs w:val="24"/>
          <w:highlight w:val="none"/>
          <w:lang w:eastAsia="zh-CN"/>
        </w:rPr>
        <w:t>）</w:t>
      </w:r>
      <w:r>
        <w:rPr>
          <w:rFonts w:hint="eastAsia" w:ascii="宋体" w:hAnsi="宋体" w:eastAsia="宋体"/>
          <w:color w:val="auto"/>
          <w:sz w:val="24"/>
          <w:szCs w:val="18"/>
          <w:highlight w:val="none"/>
        </w:rPr>
        <w:t>：</w:t>
      </w:r>
    </w:p>
    <w:p w14:paraId="3F33F66A">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（1）如属于《节能产品政府采购品目清单》中政府强制采购的节能产品，则</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所投产品须具有市场监管总局公布的《参与实施政府采购节能产品认证机构目录》中的认证机构出具的、处于有效期内的节能产品认证证书。</w:t>
      </w:r>
    </w:p>
    <w:p w14:paraId="0BFC05BF">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（2）如涉及商品包装和快递包装，</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应当执行《关于印发〈商品包装政府采购需求标准（试行）〉、〈快递包装政府采购需求标准（试行）〉的通知》（财办库〔2020〕123 号）、《安徽省财政厅关于贯彻落实政府绿色采购有关政策的通知》（皖财购〔2023〕853号）的要求，提供符合需求标准的绿色包装、绿色运输，同时，采购人将对包装材料和运输环节作为履约验收条款进行验收。</w:t>
      </w:r>
    </w:p>
    <w:p w14:paraId="6B9528A9">
      <w:pPr>
        <w:spacing w:line="360" w:lineRule="auto"/>
        <w:ind w:firstLine="435"/>
        <w:rPr>
          <w:rFonts w:asciiTheme="minorEastAsia" w:hAnsiTheme="minorEastAsia" w:eastAsiaTheme="minorEastAsia"/>
          <w:color w:val="auto"/>
          <w:sz w:val="24"/>
          <w:highlight w:val="none"/>
        </w:rPr>
      </w:pPr>
      <w:r>
        <w:rPr>
          <w:rFonts w:hint="eastAsia" w:ascii="宋体" w:hAnsi="宋体" w:eastAsia="宋体"/>
          <w:color w:val="auto"/>
          <w:sz w:val="24"/>
          <w:szCs w:val="18"/>
          <w:highlight w:val="none"/>
        </w:rPr>
        <w:t>3.如采购人允许采用分包方式履行合同的，应当明确可以分包履行的相关内容。</w:t>
      </w:r>
    </w:p>
    <w:p w14:paraId="4D9FA264">
      <w:pPr>
        <w:spacing w:line="360" w:lineRule="auto"/>
        <w:ind w:firstLine="437"/>
        <w:outlineLvl w:val="1"/>
        <w:rPr>
          <w:rFonts w:ascii="宋体" w:hAnsi="宋体" w:eastAsia="宋体"/>
          <w:b/>
          <w:color w:val="auto"/>
          <w:sz w:val="24"/>
          <w:szCs w:val="18"/>
          <w:highlight w:val="none"/>
        </w:rPr>
      </w:pPr>
      <w:bookmarkStart w:id="1" w:name="_Toc7699"/>
      <w:bookmarkStart w:id="2" w:name="_Toc26349"/>
      <w:r>
        <w:rPr>
          <w:rFonts w:hint="eastAsia" w:ascii="宋体" w:hAnsi="宋体" w:eastAsia="宋体"/>
          <w:b/>
          <w:color w:val="auto"/>
          <w:sz w:val="24"/>
          <w:szCs w:val="18"/>
          <w:highlight w:val="none"/>
        </w:rPr>
        <w:t>一、采购需求前附表</w:t>
      </w:r>
      <w:bookmarkEnd w:id="1"/>
      <w:bookmarkEnd w:id="2"/>
    </w:p>
    <w:tbl>
      <w:tblPr>
        <w:tblStyle w:val="20"/>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6"/>
        <w:gridCol w:w="2032"/>
        <w:gridCol w:w="5484"/>
      </w:tblGrid>
      <w:tr w14:paraId="6F7B0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vAlign w:val="center"/>
          </w:tcPr>
          <w:p w14:paraId="5F5B5FFE">
            <w:pPr>
              <w:pStyle w:val="38"/>
              <w:pBdr>
                <w:bottom w:val="none" w:color="auto" w:sz="0" w:space="0"/>
              </w:pBdr>
              <w:tabs>
                <w:tab w:val="clear" w:pos="4153"/>
                <w:tab w:val="clear" w:pos="8306"/>
              </w:tabs>
              <w:adjustRightInd/>
              <w:spacing w:line="240" w:lineRule="auto"/>
              <w:textAlignment w:val="auto"/>
              <w:rPr>
                <w:rFonts w:ascii="宋体" w:hAnsi="宋体" w:eastAsia="宋体"/>
                <w:b/>
                <w:color w:val="auto"/>
                <w:kern w:val="2"/>
                <w:highlight w:val="none"/>
              </w:rPr>
            </w:pPr>
            <w:bookmarkStart w:id="3" w:name="_Hlk16461016"/>
            <w:r>
              <w:rPr>
                <w:rFonts w:hint="eastAsia" w:ascii="宋体" w:hAnsi="宋体" w:eastAsia="宋体"/>
                <w:b/>
                <w:color w:val="auto"/>
                <w:kern w:val="2"/>
                <w:highlight w:val="none"/>
              </w:rPr>
              <w:t>序号</w:t>
            </w:r>
          </w:p>
        </w:tc>
        <w:tc>
          <w:tcPr>
            <w:tcW w:w="1192" w:type="pct"/>
            <w:vAlign w:val="center"/>
          </w:tcPr>
          <w:p w14:paraId="1BF9D2CD">
            <w:pPr>
              <w:pStyle w:val="37"/>
              <w:widowControl w:val="0"/>
              <w:spacing w:before="0" w:beforeAutospacing="0" w:after="0" w:afterAutospacing="0" w:line="360" w:lineRule="auto"/>
              <w:rPr>
                <w:rFonts w:ascii="宋体" w:hAnsi="宋体" w:eastAsia="宋体"/>
                <w:bCs w:val="0"/>
                <w:color w:val="auto"/>
                <w:sz w:val="24"/>
                <w:highlight w:val="none"/>
              </w:rPr>
            </w:pPr>
            <w:r>
              <w:rPr>
                <w:rFonts w:hint="eastAsia" w:ascii="宋体" w:hAnsi="宋体" w:eastAsia="宋体"/>
                <w:bCs w:val="0"/>
                <w:color w:val="auto"/>
                <w:sz w:val="24"/>
                <w:highlight w:val="none"/>
              </w:rPr>
              <w:t>条款名称</w:t>
            </w:r>
          </w:p>
        </w:tc>
        <w:tc>
          <w:tcPr>
            <w:tcW w:w="3217" w:type="pct"/>
            <w:vAlign w:val="center"/>
          </w:tcPr>
          <w:p w14:paraId="67FECF57">
            <w:pPr>
              <w:pStyle w:val="37"/>
              <w:widowControl w:val="0"/>
              <w:spacing w:before="0" w:beforeAutospacing="0" w:after="0" w:afterAutospacing="0" w:line="360" w:lineRule="auto"/>
              <w:rPr>
                <w:rFonts w:ascii="宋体" w:hAnsi="宋体" w:eastAsia="宋体"/>
                <w:bCs w:val="0"/>
                <w:color w:val="auto"/>
                <w:sz w:val="24"/>
                <w:highlight w:val="none"/>
              </w:rPr>
            </w:pPr>
            <w:r>
              <w:rPr>
                <w:rFonts w:hint="eastAsia" w:ascii="宋体" w:hAnsi="宋体" w:eastAsia="宋体"/>
                <w:bCs w:val="0"/>
                <w:color w:val="auto"/>
                <w:sz w:val="24"/>
                <w:highlight w:val="none"/>
              </w:rPr>
              <w:t>内容、说明与要求</w:t>
            </w:r>
          </w:p>
        </w:tc>
      </w:tr>
      <w:tr w14:paraId="534E7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vAlign w:val="center"/>
          </w:tcPr>
          <w:p w14:paraId="7DC833D7">
            <w:pPr>
              <w:pStyle w:val="38"/>
              <w:pBdr>
                <w:bottom w:val="none" w:color="auto" w:sz="0" w:space="0"/>
              </w:pBdr>
              <w:tabs>
                <w:tab w:val="clear" w:pos="4153"/>
                <w:tab w:val="clear" w:pos="8306"/>
              </w:tabs>
              <w:adjustRightInd/>
              <w:spacing w:line="240" w:lineRule="auto"/>
              <w:textAlignment w:val="auto"/>
              <w:rPr>
                <w:rFonts w:ascii="宋体" w:hAnsi="宋体" w:eastAsia="宋体"/>
                <w:bCs/>
                <w:color w:val="auto"/>
                <w:kern w:val="2"/>
                <w:highlight w:val="none"/>
              </w:rPr>
            </w:pPr>
            <w:r>
              <w:rPr>
                <w:rFonts w:hint="eastAsia" w:ascii="宋体" w:hAnsi="宋体" w:eastAsia="宋体"/>
                <w:bCs/>
                <w:color w:val="auto"/>
                <w:kern w:val="2"/>
                <w:highlight w:val="none"/>
              </w:rPr>
              <w:t>1</w:t>
            </w:r>
          </w:p>
        </w:tc>
        <w:tc>
          <w:tcPr>
            <w:tcW w:w="1192" w:type="pct"/>
            <w:vAlign w:val="center"/>
          </w:tcPr>
          <w:p w14:paraId="40FDED0C">
            <w:pPr>
              <w:pStyle w:val="37"/>
              <w:widowControl w:val="0"/>
              <w:spacing w:before="0" w:beforeAutospacing="0" w:after="0" w:afterAutospacing="0" w:line="360" w:lineRule="auto"/>
              <w:rPr>
                <w:rFonts w:ascii="宋体" w:hAnsi="宋体" w:eastAsia="宋体"/>
                <w:b w:val="0"/>
                <w:color w:val="auto"/>
                <w:sz w:val="24"/>
                <w:highlight w:val="none"/>
              </w:rPr>
            </w:pPr>
            <w:r>
              <w:rPr>
                <w:rFonts w:hint="eastAsia" w:ascii="宋体" w:hAnsi="宋体" w:eastAsia="宋体"/>
                <w:b w:val="0"/>
                <w:color w:val="auto"/>
                <w:sz w:val="24"/>
                <w:highlight w:val="none"/>
              </w:rPr>
              <w:t>付款方式</w:t>
            </w:r>
          </w:p>
        </w:tc>
        <w:tc>
          <w:tcPr>
            <w:tcW w:w="3217" w:type="pct"/>
            <w:vAlign w:val="center"/>
          </w:tcPr>
          <w:p w14:paraId="08B4F285">
            <w:pPr>
              <w:pStyle w:val="37"/>
              <w:widowControl w:val="0"/>
              <w:spacing w:before="0" w:beforeAutospacing="0" w:after="0" w:afterAutospacing="0" w:line="360" w:lineRule="auto"/>
              <w:jc w:val="both"/>
              <w:rPr>
                <w:rFonts w:hint="eastAsia" w:ascii="宋体" w:hAnsi="宋体" w:eastAsia="宋体"/>
                <w:b w:val="0"/>
                <w:color w:val="auto"/>
                <w:sz w:val="24"/>
                <w:highlight w:val="none"/>
                <w:u w:val="single"/>
                <w:lang w:eastAsia="zh-CN"/>
              </w:rPr>
            </w:pPr>
            <w:r>
              <w:rPr>
                <w:rFonts w:hint="eastAsia" w:ascii="宋体" w:hAnsi="宋体" w:eastAsia="宋体"/>
                <w:b w:val="0"/>
                <w:sz w:val="24"/>
                <w:highlight w:val="none"/>
                <w:u w:val="none"/>
                <w:lang w:eastAsia="zh-CN"/>
              </w:rPr>
              <w:t>合同签订生效并具备实施条件后</w:t>
            </w:r>
            <w:r>
              <w:rPr>
                <w:rFonts w:hint="eastAsia" w:ascii="宋体" w:hAnsi="宋体" w:eastAsia="宋体"/>
                <w:b w:val="0"/>
                <w:sz w:val="24"/>
                <w:highlight w:val="none"/>
                <w:u w:val="none"/>
                <w:lang w:val="en-US" w:eastAsia="zh-CN"/>
              </w:rPr>
              <w:t>5个工作日内</w:t>
            </w:r>
            <w:r>
              <w:rPr>
                <w:rFonts w:hint="eastAsia" w:ascii="宋体" w:hAnsi="宋体" w:eastAsia="宋体"/>
                <w:b w:val="0"/>
                <w:sz w:val="24"/>
                <w:highlight w:val="none"/>
                <w:u w:val="none"/>
                <w:lang w:eastAsia="zh-CN"/>
              </w:rPr>
              <w:t>预付</w:t>
            </w:r>
            <w:r>
              <w:rPr>
                <w:rFonts w:hint="eastAsia" w:ascii="宋体" w:hAnsi="宋体" w:eastAsia="宋体"/>
                <w:b w:val="0"/>
                <w:sz w:val="24"/>
                <w:highlight w:val="none"/>
                <w:u w:val="none"/>
                <w:lang w:val="en-US" w:eastAsia="zh-CN"/>
              </w:rPr>
              <w:t>70%，剩余款项验收合格后支付。</w:t>
            </w:r>
          </w:p>
        </w:tc>
      </w:tr>
      <w:tr w14:paraId="11AD6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vAlign w:val="center"/>
          </w:tcPr>
          <w:p w14:paraId="1158FF45">
            <w:pPr>
              <w:pStyle w:val="38"/>
              <w:pBdr>
                <w:bottom w:val="none" w:color="auto" w:sz="0" w:space="0"/>
              </w:pBdr>
              <w:tabs>
                <w:tab w:val="clear" w:pos="4153"/>
                <w:tab w:val="clear" w:pos="8306"/>
              </w:tabs>
              <w:adjustRightInd/>
              <w:spacing w:line="240" w:lineRule="auto"/>
              <w:textAlignment w:val="auto"/>
              <w:rPr>
                <w:rFonts w:ascii="宋体" w:hAnsi="宋体" w:eastAsia="宋体"/>
                <w:bCs/>
                <w:color w:val="auto"/>
                <w:kern w:val="2"/>
                <w:highlight w:val="none"/>
              </w:rPr>
            </w:pPr>
            <w:r>
              <w:rPr>
                <w:rFonts w:hint="eastAsia" w:ascii="宋体" w:hAnsi="宋体" w:eastAsia="宋体"/>
                <w:bCs/>
                <w:color w:val="auto"/>
                <w:kern w:val="2"/>
                <w:highlight w:val="none"/>
              </w:rPr>
              <w:t>2</w:t>
            </w:r>
          </w:p>
        </w:tc>
        <w:tc>
          <w:tcPr>
            <w:tcW w:w="1192" w:type="pct"/>
            <w:vAlign w:val="center"/>
          </w:tcPr>
          <w:p w14:paraId="3F0B54D7">
            <w:pPr>
              <w:pStyle w:val="37"/>
              <w:widowControl w:val="0"/>
              <w:spacing w:before="0" w:beforeAutospacing="0" w:after="0" w:afterAutospacing="0" w:line="360" w:lineRule="auto"/>
              <w:rPr>
                <w:rFonts w:ascii="宋体" w:hAnsi="宋体" w:eastAsia="宋体"/>
                <w:b w:val="0"/>
                <w:color w:val="auto"/>
                <w:sz w:val="24"/>
                <w:highlight w:val="none"/>
              </w:rPr>
            </w:pPr>
            <w:r>
              <w:rPr>
                <w:rFonts w:hint="eastAsia" w:ascii="宋体" w:hAnsi="宋体" w:eastAsia="宋体"/>
                <w:b w:val="0"/>
                <w:color w:val="auto"/>
                <w:sz w:val="24"/>
                <w:highlight w:val="none"/>
              </w:rPr>
              <w:t>服务地点</w:t>
            </w:r>
          </w:p>
        </w:tc>
        <w:tc>
          <w:tcPr>
            <w:tcW w:w="3217" w:type="pct"/>
            <w:vAlign w:val="center"/>
          </w:tcPr>
          <w:p w14:paraId="6FB5773B">
            <w:pPr>
              <w:pStyle w:val="37"/>
              <w:widowControl w:val="0"/>
              <w:spacing w:before="0" w:beforeAutospacing="0" w:after="0" w:afterAutospacing="0" w:line="360" w:lineRule="auto"/>
              <w:jc w:val="both"/>
              <w:rPr>
                <w:rFonts w:ascii="宋体" w:hAnsi="宋体" w:eastAsia="宋体"/>
                <w:b w:val="0"/>
                <w:color w:val="auto"/>
                <w:sz w:val="24"/>
                <w:highlight w:val="none"/>
              </w:rPr>
            </w:pPr>
            <w:r>
              <w:rPr>
                <w:rFonts w:hint="eastAsia" w:ascii="宋体" w:hAnsi="宋体" w:eastAsia="宋体"/>
                <w:b w:val="0"/>
                <w:sz w:val="24"/>
                <w:highlight w:val="none"/>
                <w:u w:val="none"/>
              </w:rPr>
              <w:t>安徽省</w:t>
            </w:r>
            <w:r>
              <w:rPr>
                <w:rFonts w:ascii="宋体" w:hAnsi="宋体" w:eastAsia="宋体"/>
                <w:b w:val="0"/>
                <w:sz w:val="24"/>
                <w:highlight w:val="none"/>
                <w:u w:val="none"/>
              </w:rPr>
              <w:t>，</w:t>
            </w:r>
            <w:r>
              <w:rPr>
                <w:rFonts w:hint="eastAsia" w:ascii="宋体" w:hAnsi="宋体" w:eastAsia="宋体"/>
                <w:b w:val="0"/>
                <w:sz w:val="24"/>
                <w:highlight w:val="none"/>
                <w:u w:val="none"/>
              </w:rPr>
              <w:t>采</w:t>
            </w:r>
            <w:r>
              <w:rPr>
                <w:rFonts w:ascii="宋体" w:hAnsi="宋体" w:eastAsia="宋体"/>
                <w:b w:val="0"/>
                <w:sz w:val="24"/>
                <w:highlight w:val="none"/>
                <w:u w:val="none"/>
              </w:rPr>
              <w:t>购人指定</w:t>
            </w:r>
            <w:r>
              <w:rPr>
                <w:rFonts w:hint="eastAsia" w:ascii="宋体" w:hAnsi="宋体" w:eastAsia="宋体"/>
                <w:b w:val="0"/>
                <w:sz w:val="24"/>
                <w:highlight w:val="none"/>
                <w:u w:val="none"/>
              </w:rPr>
              <w:t>地点</w:t>
            </w:r>
          </w:p>
        </w:tc>
      </w:tr>
      <w:tr w14:paraId="0EC24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vAlign w:val="center"/>
          </w:tcPr>
          <w:p w14:paraId="355F634E">
            <w:pPr>
              <w:pStyle w:val="38"/>
              <w:pBdr>
                <w:bottom w:val="none" w:color="auto" w:sz="0" w:space="0"/>
              </w:pBdr>
              <w:tabs>
                <w:tab w:val="clear" w:pos="4153"/>
                <w:tab w:val="clear" w:pos="8306"/>
              </w:tabs>
              <w:adjustRightInd/>
              <w:spacing w:line="240" w:lineRule="auto"/>
              <w:textAlignment w:val="auto"/>
              <w:rPr>
                <w:rFonts w:ascii="宋体" w:hAnsi="宋体" w:eastAsia="宋体"/>
                <w:bCs/>
                <w:color w:val="auto"/>
                <w:kern w:val="2"/>
                <w:highlight w:val="none"/>
              </w:rPr>
            </w:pPr>
            <w:r>
              <w:rPr>
                <w:rFonts w:hint="eastAsia" w:ascii="宋体" w:hAnsi="宋体" w:eastAsia="宋体"/>
                <w:bCs/>
                <w:color w:val="auto"/>
                <w:kern w:val="2"/>
                <w:highlight w:val="none"/>
              </w:rPr>
              <w:t>3</w:t>
            </w:r>
          </w:p>
        </w:tc>
        <w:tc>
          <w:tcPr>
            <w:tcW w:w="1192" w:type="pct"/>
            <w:vAlign w:val="center"/>
          </w:tcPr>
          <w:p w14:paraId="2D89A15E">
            <w:pPr>
              <w:pStyle w:val="37"/>
              <w:widowControl w:val="0"/>
              <w:spacing w:before="0" w:beforeAutospacing="0" w:after="0" w:afterAutospacing="0" w:line="360" w:lineRule="auto"/>
              <w:rPr>
                <w:rFonts w:ascii="宋体" w:hAnsi="宋体" w:eastAsia="宋体"/>
                <w:b w:val="0"/>
                <w:color w:val="auto"/>
                <w:sz w:val="24"/>
                <w:highlight w:val="none"/>
              </w:rPr>
            </w:pPr>
            <w:r>
              <w:rPr>
                <w:rFonts w:hint="eastAsia" w:ascii="宋体" w:hAnsi="宋体" w:eastAsia="宋体"/>
                <w:b w:val="0"/>
                <w:color w:val="auto"/>
                <w:sz w:val="24"/>
                <w:highlight w:val="none"/>
              </w:rPr>
              <w:t>服务期限</w:t>
            </w:r>
          </w:p>
        </w:tc>
        <w:tc>
          <w:tcPr>
            <w:tcW w:w="3217" w:type="pct"/>
            <w:vAlign w:val="center"/>
          </w:tcPr>
          <w:p w14:paraId="562E432A">
            <w:pPr>
              <w:pStyle w:val="37"/>
              <w:widowControl w:val="0"/>
              <w:spacing w:before="0" w:beforeAutospacing="0" w:after="0" w:afterAutospacing="0" w:line="360" w:lineRule="auto"/>
              <w:jc w:val="both"/>
              <w:rPr>
                <w:rFonts w:ascii="宋体" w:hAnsi="宋体" w:eastAsia="宋体"/>
                <w:b w:val="0"/>
                <w:color w:val="auto"/>
                <w:sz w:val="24"/>
                <w:highlight w:val="none"/>
              </w:rPr>
            </w:pPr>
            <w:r>
              <w:rPr>
                <w:rFonts w:hint="eastAsia" w:ascii="宋体" w:hAnsi="宋体" w:eastAsia="宋体"/>
                <w:b w:val="0"/>
                <w:color w:val="auto"/>
                <w:sz w:val="24"/>
                <w:highlight w:val="none"/>
              </w:rPr>
              <w:t>第1-3包绩效评价时间为2025年4至9月，</w:t>
            </w:r>
            <w:r>
              <w:rPr>
                <w:rFonts w:hint="eastAsia" w:ascii="宋体" w:hAnsi="宋体" w:eastAsia="宋体"/>
                <w:b w:val="0"/>
                <w:color w:val="auto"/>
                <w:sz w:val="24"/>
                <w:highlight w:val="none"/>
                <w:lang w:val="en-US" w:eastAsia="zh-CN"/>
              </w:rPr>
              <w:t>2025年</w:t>
            </w:r>
            <w:r>
              <w:rPr>
                <w:rFonts w:hint="eastAsia" w:ascii="宋体" w:hAnsi="宋体" w:eastAsia="宋体"/>
                <w:b w:val="0"/>
                <w:color w:val="auto"/>
                <w:sz w:val="24"/>
                <w:highlight w:val="none"/>
              </w:rPr>
              <w:t>8月15日前提交绩效评价报告。第4包绩效管理第三方机构服务时间为一年。</w:t>
            </w:r>
          </w:p>
        </w:tc>
      </w:tr>
      <w:tr w14:paraId="3CFD0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vAlign w:val="center"/>
          </w:tcPr>
          <w:p w14:paraId="40DB69F2">
            <w:pPr>
              <w:pStyle w:val="38"/>
              <w:pBdr>
                <w:bottom w:val="none" w:color="auto" w:sz="0" w:space="0"/>
              </w:pBdr>
              <w:tabs>
                <w:tab w:val="clear" w:pos="4153"/>
                <w:tab w:val="clear" w:pos="8306"/>
              </w:tabs>
              <w:adjustRightInd/>
              <w:spacing w:line="240" w:lineRule="auto"/>
              <w:textAlignment w:val="auto"/>
              <w:rPr>
                <w:rFonts w:hint="eastAsia" w:ascii="宋体" w:hAnsi="宋体" w:eastAsia="宋体"/>
                <w:bCs/>
                <w:color w:val="auto"/>
                <w:kern w:val="2"/>
                <w:highlight w:val="none"/>
                <w:lang w:eastAsia="zh-CN"/>
              </w:rPr>
            </w:pPr>
            <w:r>
              <w:rPr>
                <w:rFonts w:hint="eastAsia" w:ascii="宋体" w:hAnsi="宋体" w:eastAsia="宋体"/>
                <w:bCs/>
                <w:color w:val="auto"/>
                <w:kern w:val="2"/>
                <w:highlight w:val="none"/>
                <w:lang w:val="en-US" w:eastAsia="zh-CN"/>
              </w:rPr>
              <w:t>4</w:t>
            </w:r>
          </w:p>
        </w:tc>
        <w:tc>
          <w:tcPr>
            <w:tcW w:w="1192" w:type="pct"/>
            <w:vAlign w:val="center"/>
          </w:tcPr>
          <w:p w14:paraId="41D57B9C">
            <w:pPr>
              <w:pStyle w:val="37"/>
              <w:widowControl w:val="0"/>
              <w:spacing w:before="0" w:beforeAutospacing="0" w:after="0" w:afterAutospacing="0" w:line="360" w:lineRule="auto"/>
              <w:rPr>
                <w:rFonts w:ascii="宋体" w:hAnsi="宋体" w:eastAsia="宋体"/>
                <w:b w:val="0"/>
                <w:color w:val="auto"/>
                <w:sz w:val="24"/>
                <w:highlight w:val="none"/>
              </w:rPr>
            </w:pPr>
            <w:r>
              <w:rPr>
                <w:rFonts w:hint="eastAsia" w:ascii="宋体" w:hAnsi="宋体" w:eastAsia="宋体"/>
                <w:b w:val="0"/>
                <w:color w:val="auto"/>
                <w:sz w:val="24"/>
                <w:highlight w:val="none"/>
              </w:rPr>
              <w:t>本项目采购标的名称及所属行业</w:t>
            </w:r>
          </w:p>
        </w:tc>
        <w:tc>
          <w:tcPr>
            <w:tcW w:w="3217" w:type="pct"/>
            <w:vAlign w:val="center"/>
          </w:tcPr>
          <w:p w14:paraId="2145F5E4">
            <w:pPr>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标的名称：安徽省交通运输厅2025年绩效评价（绩效管理）第三方机构采购</w:t>
            </w:r>
          </w:p>
          <w:p w14:paraId="13550056">
            <w:pPr>
              <w:rPr>
                <w:rFonts w:ascii="宋体" w:hAnsi="宋体" w:eastAsia="宋体"/>
                <w:b w:val="0"/>
                <w:color w:val="auto"/>
                <w:sz w:val="24"/>
                <w:highlight w:val="none"/>
                <w:u w:val="single"/>
              </w:rPr>
            </w:pPr>
            <w:r>
              <w:rPr>
                <w:rFonts w:hint="eastAsia" w:asciiTheme="minorEastAsia" w:hAnsiTheme="minorEastAsia" w:eastAsiaTheme="minorEastAsia"/>
                <w:color w:val="auto"/>
                <w:sz w:val="24"/>
                <w:highlight w:val="none"/>
              </w:rPr>
              <w:t>所属行业：其他未列明行业</w:t>
            </w:r>
          </w:p>
        </w:tc>
      </w:tr>
    </w:tbl>
    <w:p w14:paraId="511815CD">
      <w:pPr>
        <w:spacing w:line="360" w:lineRule="auto"/>
        <w:ind w:firstLine="437"/>
        <w:outlineLvl w:val="1"/>
        <w:rPr>
          <w:rFonts w:ascii="宋体" w:hAnsi="宋体" w:eastAsia="宋体"/>
          <w:b/>
          <w:color w:val="auto"/>
          <w:sz w:val="24"/>
          <w:szCs w:val="18"/>
          <w:highlight w:val="none"/>
        </w:rPr>
      </w:pPr>
      <w:bookmarkStart w:id="4" w:name="_Toc23116"/>
      <w:bookmarkStart w:id="5" w:name="_Toc25144"/>
      <w:r>
        <w:rPr>
          <w:rFonts w:hint="eastAsia" w:ascii="宋体" w:hAnsi="宋体" w:eastAsia="宋体"/>
          <w:b/>
          <w:color w:val="auto"/>
          <w:sz w:val="24"/>
          <w:szCs w:val="18"/>
          <w:highlight w:val="none"/>
        </w:rPr>
        <w:t>二、项目概况</w:t>
      </w:r>
      <w:bookmarkEnd w:id="4"/>
      <w:bookmarkEnd w:id="5"/>
    </w:p>
    <w:p w14:paraId="6D8BE022">
      <w:pPr>
        <w:keepNext w:val="0"/>
        <w:keepLines w:val="0"/>
        <w:pageBreakBefore w:val="0"/>
        <w:widowControl w:val="0"/>
        <w:kinsoku/>
        <w:wordWrap/>
        <w:overflowPunct/>
        <w:topLinePunct w:val="0"/>
        <w:autoSpaceDE/>
        <w:autoSpaceDN/>
        <w:bidi w:val="0"/>
        <w:snapToGrid/>
        <w:spacing w:line="360" w:lineRule="auto"/>
        <w:ind w:left="0" w:leftChars="0" w:right="0" w:rightChars="0" w:firstLine="480" w:firstLineChars="200"/>
        <w:textAlignment w:val="auto"/>
        <w:outlineLvl w:val="9"/>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按照202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eastAsia="zh-CN"/>
        </w:rPr>
        <w:t>年厅绩效评价工作计划，结合绩效管理工作实际，省厅将开展202</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年度交通预算项目绩效评价，由第三方机构协助实施。现按照《安徽省省级委托第三方机构参与预算绩效管理工作暂行办法（试行）》及政府采购相关要求，制订如下采购方案：</w:t>
      </w:r>
    </w:p>
    <w:p w14:paraId="4AD3AF2B">
      <w:pPr>
        <w:keepNext w:val="0"/>
        <w:keepLines w:val="0"/>
        <w:pageBreakBefore w:val="0"/>
        <w:widowControl w:val="0"/>
        <w:kinsoku/>
        <w:wordWrap/>
        <w:overflowPunct/>
        <w:topLinePunct w:val="0"/>
        <w:autoSpaceDE/>
        <w:autoSpaceDN/>
        <w:bidi w:val="0"/>
        <w:adjustRightInd w:val="0"/>
        <w:snapToGrid/>
        <w:spacing w:line="360" w:lineRule="auto"/>
        <w:ind w:left="0" w:leftChars="0" w:right="0" w:rightChars="0" w:firstLine="482" w:firstLineChars="200"/>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lang w:val="en-US" w:eastAsia="zh-CN"/>
        </w:rPr>
        <w:t>一</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基本情况</w:t>
      </w:r>
    </w:p>
    <w:p w14:paraId="499A5D44">
      <w:pPr>
        <w:pStyle w:val="17"/>
        <w:keepNext w:val="0"/>
        <w:keepLines w:val="0"/>
        <w:pageBreakBefore w:val="0"/>
        <w:widowControl w:val="0"/>
        <w:kinsoku/>
        <w:wordWrap/>
        <w:overflowPunct/>
        <w:topLinePunct w:val="0"/>
        <w:autoSpaceDE/>
        <w:autoSpaceDN/>
        <w:bidi w:val="0"/>
        <w:snapToGrid/>
        <w:spacing w:beforeAutospacing="0" w:afterAutospacing="0" w:line="360" w:lineRule="auto"/>
        <w:ind w:left="0" w:leftChars="0" w:right="0" w:rightChars="0" w:firstLine="482" w:firstLineChars="200"/>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w:t>
      </w:r>
      <w:r>
        <w:rPr>
          <w:rFonts w:hint="eastAsia" w:ascii="宋体" w:hAnsi="宋体" w:eastAsia="宋体" w:cs="宋体"/>
          <w:b/>
          <w:bCs/>
          <w:sz w:val="24"/>
          <w:szCs w:val="24"/>
          <w:highlight w:val="none"/>
        </w:rPr>
        <w:t>项目简介</w:t>
      </w:r>
    </w:p>
    <w:p w14:paraId="37CB437B">
      <w:pPr>
        <w:keepNext w:val="0"/>
        <w:keepLines w:val="0"/>
        <w:pageBreakBefore w:val="0"/>
        <w:widowControl w:val="0"/>
        <w:numPr>
          <w:ilvl w:val="0"/>
          <w:numId w:val="0"/>
        </w:numPr>
        <w:kinsoku/>
        <w:wordWrap/>
        <w:overflowPunct/>
        <w:topLinePunct w:val="0"/>
        <w:autoSpaceDE/>
        <w:autoSpaceDN/>
        <w:bidi w:val="0"/>
        <w:snapToGrid/>
        <w:spacing w:line="360" w:lineRule="auto"/>
        <w:ind w:right="0" w:rightChars="0" w:firstLine="480" w:firstLineChars="200"/>
        <w:textAlignment w:val="auto"/>
        <w:outlineLvl w:val="9"/>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纳入2024年度绩效评价的项目共8个，具体为：</w:t>
      </w:r>
    </w:p>
    <w:p w14:paraId="285C5867">
      <w:pPr>
        <w:keepNext w:val="0"/>
        <w:keepLines w:val="0"/>
        <w:pageBreakBefore w:val="0"/>
        <w:widowControl w:val="0"/>
        <w:numPr>
          <w:ilvl w:val="0"/>
          <w:numId w:val="0"/>
        </w:numPr>
        <w:kinsoku/>
        <w:wordWrap/>
        <w:overflowPunct/>
        <w:topLinePunct w:val="0"/>
        <w:autoSpaceDE/>
        <w:autoSpaceDN/>
        <w:bidi w:val="0"/>
        <w:snapToGrid/>
        <w:spacing w:line="360" w:lineRule="auto"/>
        <w:ind w:right="0" w:rightChars="0" w:firstLine="482" w:firstLineChars="200"/>
        <w:textAlignment w:val="auto"/>
        <w:outlineLvl w:val="9"/>
        <w:rPr>
          <w:rFonts w:hint="eastAsia" w:ascii="宋体" w:hAnsi="宋体" w:eastAsia="宋体" w:cs="宋体"/>
          <w:kern w:val="0"/>
          <w:sz w:val="24"/>
          <w:szCs w:val="24"/>
          <w:highlight w:val="none"/>
          <w:lang w:eastAsia="zh-CN"/>
        </w:rPr>
      </w:pPr>
      <w:r>
        <w:rPr>
          <w:rFonts w:hint="eastAsia" w:ascii="宋体" w:hAnsi="宋体" w:eastAsia="宋体" w:cs="宋体"/>
          <w:b/>
          <w:bCs/>
          <w:kern w:val="0"/>
          <w:sz w:val="24"/>
          <w:szCs w:val="24"/>
          <w:highlight w:val="none"/>
          <w:lang w:eastAsia="zh-CN"/>
        </w:rPr>
        <w:t>（</w:t>
      </w:r>
      <w:r>
        <w:rPr>
          <w:rFonts w:hint="eastAsia" w:ascii="宋体" w:hAnsi="宋体" w:eastAsia="宋体" w:cs="宋体"/>
          <w:b/>
          <w:bCs/>
          <w:kern w:val="0"/>
          <w:sz w:val="24"/>
          <w:szCs w:val="24"/>
          <w:highlight w:val="none"/>
          <w:lang w:val="en-US" w:eastAsia="zh-CN"/>
        </w:rPr>
        <w:t>1</w:t>
      </w:r>
      <w:r>
        <w:rPr>
          <w:rFonts w:hint="eastAsia" w:ascii="宋体" w:hAnsi="宋体" w:eastAsia="宋体" w:cs="宋体"/>
          <w:b/>
          <w:bCs/>
          <w:kern w:val="0"/>
          <w:sz w:val="24"/>
          <w:szCs w:val="24"/>
          <w:highlight w:val="none"/>
          <w:lang w:eastAsia="zh-CN"/>
        </w:rPr>
        <w:t>）普通公路养护工程。</w:t>
      </w:r>
      <w:r>
        <w:rPr>
          <w:rFonts w:hint="eastAsia" w:ascii="宋体" w:hAnsi="宋体" w:eastAsia="宋体" w:cs="宋体"/>
          <w:kern w:val="0"/>
          <w:sz w:val="24"/>
          <w:szCs w:val="24"/>
          <w:highlight w:val="none"/>
          <w:lang w:eastAsia="zh-CN"/>
        </w:rPr>
        <w:t>包含国省干线公路养护工程、农村公路养护工程、乡镇综合运输服务站建设补助项目以及交通应急专项资金。</w:t>
      </w:r>
    </w:p>
    <w:p w14:paraId="12DB1E68">
      <w:pPr>
        <w:keepNext w:val="0"/>
        <w:keepLines w:val="0"/>
        <w:pageBreakBefore w:val="0"/>
        <w:widowControl w:val="0"/>
        <w:numPr>
          <w:ilvl w:val="0"/>
          <w:numId w:val="0"/>
        </w:numPr>
        <w:kinsoku/>
        <w:wordWrap/>
        <w:overflowPunct/>
        <w:topLinePunct w:val="0"/>
        <w:autoSpaceDE/>
        <w:autoSpaceDN/>
        <w:bidi w:val="0"/>
        <w:snapToGrid/>
        <w:spacing w:line="360" w:lineRule="auto"/>
        <w:ind w:right="0" w:rightChars="0" w:firstLine="482" w:firstLineChars="200"/>
        <w:textAlignment w:val="auto"/>
        <w:outlineLvl w:val="9"/>
        <w:rPr>
          <w:rFonts w:hint="eastAsia" w:ascii="宋体" w:hAnsi="宋体" w:eastAsia="宋体" w:cs="宋体"/>
          <w:kern w:val="0"/>
          <w:sz w:val="24"/>
          <w:szCs w:val="24"/>
          <w:highlight w:val="none"/>
          <w:lang w:eastAsia="zh-CN"/>
        </w:rPr>
      </w:pPr>
      <w:r>
        <w:rPr>
          <w:rFonts w:hint="eastAsia" w:ascii="宋体" w:hAnsi="宋体" w:eastAsia="宋体" w:cs="宋体"/>
          <w:b/>
          <w:bCs/>
          <w:kern w:val="0"/>
          <w:sz w:val="24"/>
          <w:szCs w:val="24"/>
          <w:highlight w:val="none"/>
          <w:lang w:eastAsia="zh-CN"/>
        </w:rPr>
        <w:t>（</w:t>
      </w:r>
      <w:r>
        <w:rPr>
          <w:rFonts w:hint="eastAsia" w:ascii="宋体" w:hAnsi="宋体" w:eastAsia="宋体" w:cs="宋体"/>
          <w:b/>
          <w:bCs/>
          <w:kern w:val="0"/>
          <w:sz w:val="24"/>
          <w:szCs w:val="24"/>
          <w:highlight w:val="none"/>
          <w:lang w:val="en-US" w:eastAsia="zh-CN"/>
        </w:rPr>
        <w:t>2</w:t>
      </w:r>
      <w:r>
        <w:rPr>
          <w:rFonts w:hint="eastAsia" w:ascii="宋体" w:hAnsi="宋体" w:eastAsia="宋体" w:cs="宋体"/>
          <w:b/>
          <w:bCs/>
          <w:kern w:val="0"/>
          <w:sz w:val="24"/>
          <w:szCs w:val="24"/>
          <w:highlight w:val="none"/>
          <w:lang w:eastAsia="zh-CN"/>
        </w:rPr>
        <w:t>）道路治超专项资金。</w:t>
      </w:r>
      <w:r>
        <w:rPr>
          <w:rFonts w:hint="eastAsia" w:ascii="宋体" w:hAnsi="宋体" w:eastAsia="宋体" w:cs="宋体"/>
          <w:kern w:val="0"/>
          <w:sz w:val="24"/>
          <w:szCs w:val="24"/>
          <w:highlight w:val="none"/>
          <w:lang w:eastAsia="zh-CN"/>
        </w:rPr>
        <w:t>包含2024年度道路治超专项资金和“四基四化”建设以奖代补资金。</w:t>
      </w:r>
    </w:p>
    <w:p w14:paraId="7B6F8723">
      <w:pPr>
        <w:keepNext w:val="0"/>
        <w:keepLines w:val="0"/>
        <w:pageBreakBefore w:val="0"/>
        <w:widowControl w:val="0"/>
        <w:numPr>
          <w:ilvl w:val="0"/>
          <w:numId w:val="0"/>
        </w:numPr>
        <w:kinsoku/>
        <w:wordWrap/>
        <w:overflowPunct/>
        <w:topLinePunct w:val="0"/>
        <w:autoSpaceDE/>
        <w:autoSpaceDN/>
        <w:bidi w:val="0"/>
        <w:snapToGrid/>
        <w:spacing w:line="360" w:lineRule="auto"/>
        <w:ind w:right="0" w:rightChars="0" w:firstLine="482"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kern w:val="0"/>
          <w:sz w:val="24"/>
          <w:szCs w:val="24"/>
          <w:highlight w:val="none"/>
          <w:lang w:eastAsia="zh-CN"/>
        </w:rPr>
        <w:t>（</w:t>
      </w:r>
      <w:r>
        <w:rPr>
          <w:rFonts w:hint="eastAsia" w:ascii="宋体" w:hAnsi="宋体" w:eastAsia="宋体" w:cs="宋体"/>
          <w:b/>
          <w:bCs/>
          <w:kern w:val="0"/>
          <w:sz w:val="24"/>
          <w:szCs w:val="24"/>
          <w:highlight w:val="none"/>
          <w:lang w:val="en-US" w:eastAsia="zh-CN"/>
        </w:rPr>
        <w:t>3</w:t>
      </w:r>
      <w:r>
        <w:rPr>
          <w:rFonts w:hint="eastAsia" w:ascii="宋体" w:hAnsi="宋体" w:eastAsia="宋体" w:cs="宋体"/>
          <w:b/>
          <w:bCs/>
          <w:kern w:val="0"/>
          <w:sz w:val="24"/>
          <w:szCs w:val="24"/>
          <w:highlight w:val="none"/>
          <w:lang w:eastAsia="zh-CN"/>
        </w:rPr>
        <w:t>）6个PPP项目。</w:t>
      </w:r>
      <w:r>
        <w:rPr>
          <w:rFonts w:hint="eastAsia" w:ascii="宋体" w:hAnsi="宋体" w:eastAsia="宋体" w:cs="宋体"/>
          <w:kern w:val="0"/>
          <w:sz w:val="24"/>
          <w:szCs w:val="24"/>
          <w:highlight w:val="none"/>
          <w:lang w:eastAsia="zh-CN"/>
        </w:rPr>
        <w:t>其中，</w:t>
      </w:r>
      <w:r>
        <w:rPr>
          <w:rFonts w:hint="eastAsia" w:ascii="宋体" w:hAnsi="宋体" w:eastAsia="宋体" w:cs="宋体"/>
          <w:b/>
          <w:bCs/>
          <w:kern w:val="0"/>
          <w:sz w:val="24"/>
          <w:szCs w:val="24"/>
          <w:highlight w:val="none"/>
          <w:lang w:eastAsia="zh-CN"/>
        </w:rPr>
        <w:t>建设期绩效评价项目2个</w:t>
      </w:r>
      <w:r>
        <w:rPr>
          <w:rFonts w:hint="eastAsia" w:ascii="宋体" w:hAnsi="宋体" w:eastAsia="宋体" w:cs="宋体"/>
          <w:kern w:val="0"/>
          <w:sz w:val="24"/>
          <w:szCs w:val="24"/>
          <w:highlight w:val="none"/>
          <w:lang w:eastAsia="zh-CN"/>
        </w:rPr>
        <w:t>（①G42S上海至武汉高速公路无为至岳西段、②G4211宁芜高速公路皖苏省界至芜湖枢纽段改扩建）；</w:t>
      </w:r>
      <w:r>
        <w:rPr>
          <w:rFonts w:hint="eastAsia" w:ascii="宋体" w:hAnsi="宋体" w:eastAsia="宋体" w:cs="宋体"/>
          <w:b/>
          <w:bCs/>
          <w:kern w:val="0"/>
          <w:sz w:val="24"/>
          <w:szCs w:val="24"/>
          <w:highlight w:val="none"/>
          <w:lang w:eastAsia="zh-CN"/>
        </w:rPr>
        <w:t>202</w:t>
      </w:r>
      <w:r>
        <w:rPr>
          <w:rFonts w:hint="eastAsia" w:ascii="宋体" w:hAnsi="宋体" w:eastAsia="宋体" w:cs="宋体"/>
          <w:b/>
          <w:bCs/>
          <w:kern w:val="0"/>
          <w:sz w:val="24"/>
          <w:szCs w:val="24"/>
          <w:highlight w:val="none"/>
          <w:lang w:val="en-US" w:eastAsia="zh-CN"/>
        </w:rPr>
        <w:t>4</w:t>
      </w:r>
      <w:r>
        <w:rPr>
          <w:rFonts w:hint="eastAsia" w:ascii="宋体" w:hAnsi="宋体" w:eastAsia="宋体" w:cs="宋体"/>
          <w:b/>
          <w:bCs/>
          <w:kern w:val="0"/>
          <w:sz w:val="24"/>
          <w:szCs w:val="24"/>
          <w:highlight w:val="none"/>
          <w:lang w:eastAsia="zh-CN"/>
        </w:rPr>
        <w:t>年运营期绩效评价项目4个</w:t>
      </w:r>
      <w:r>
        <w:rPr>
          <w:rFonts w:hint="eastAsia" w:ascii="宋体" w:hAnsi="宋体" w:eastAsia="宋体" w:cs="宋体"/>
          <w:kern w:val="0"/>
          <w:sz w:val="24"/>
          <w:szCs w:val="24"/>
          <w:highlight w:val="none"/>
          <w:lang w:eastAsia="zh-CN"/>
        </w:rPr>
        <w:t>（①G3W德州至上饶高速公路合肥至枞阳段、②G40沪陕高速公路合肥至大顾店段改扩建、③G5011芜湖至合肥高速公路芜湖至林头段改扩建工程、④G4012溧阳至宁德高速公路黄山至千岛湖段），同步对项目公司各项收入进行确认。采购经费已列年度部门预算。</w:t>
      </w:r>
    </w:p>
    <w:p w14:paraId="031C17AB">
      <w:pPr>
        <w:pStyle w:val="17"/>
        <w:keepNext w:val="0"/>
        <w:keepLines w:val="0"/>
        <w:pageBreakBefore w:val="0"/>
        <w:widowControl w:val="0"/>
        <w:kinsoku/>
        <w:wordWrap/>
        <w:overflowPunct/>
        <w:topLinePunct w:val="0"/>
        <w:autoSpaceDE/>
        <w:autoSpaceDN/>
        <w:bidi w:val="0"/>
        <w:snapToGrid/>
        <w:spacing w:beforeAutospacing="0" w:afterAutospacing="0" w:line="360" w:lineRule="auto"/>
        <w:ind w:left="0" w:leftChars="0" w:right="0" w:rightChars="0" w:firstLine="482" w:firstLineChars="200"/>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rPr>
        <w:t>采购内容</w:t>
      </w:r>
    </w:p>
    <w:p w14:paraId="1A2C646E">
      <w:pPr>
        <w:keepNext w:val="0"/>
        <w:keepLines w:val="0"/>
        <w:pageBreakBefore w:val="0"/>
        <w:widowControl w:val="0"/>
        <w:kinsoku/>
        <w:wordWrap/>
        <w:overflowPunct/>
        <w:topLinePunct w:val="0"/>
        <w:autoSpaceDE/>
        <w:autoSpaceDN/>
        <w:bidi w:val="0"/>
        <w:snapToGrid/>
        <w:spacing w:line="360" w:lineRule="auto"/>
        <w:ind w:left="0" w:leftChars="0" w:right="0" w:rightChars="0" w:firstLine="480" w:firstLineChars="200"/>
        <w:textAlignment w:val="auto"/>
        <w:outlineLvl w:val="9"/>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lang w:eastAsia="zh-CN"/>
        </w:rPr>
        <w:t>）依据《安徽省省级项目支出绩效财政评价和部门评价操作规程》《安徽省财政支出绩效评价指标体系柜架(2024年版）》《安徽省交通运输厅预算绩效管理办法》和省财政厅、省交通运输厅联合制定的相关专项资金管理办法以及财政财务管理规定，重点评价专项资金的使用及管理情况、项目实施情况、内控制度建设和执行情况、资金使用效益效果等情况，以及对绩效评价发现问题整改情况的审核。</w:t>
      </w:r>
    </w:p>
    <w:p w14:paraId="0269AB6E">
      <w:pPr>
        <w:keepNext w:val="0"/>
        <w:keepLines w:val="0"/>
        <w:pageBreakBefore w:val="0"/>
        <w:widowControl w:val="0"/>
        <w:kinsoku/>
        <w:wordWrap/>
        <w:overflowPunct/>
        <w:topLinePunct w:val="0"/>
        <w:autoSpaceDE/>
        <w:autoSpaceDN/>
        <w:bidi w:val="0"/>
        <w:snapToGrid/>
        <w:spacing w:line="360" w:lineRule="auto"/>
        <w:ind w:left="0" w:leftChars="0" w:right="0" w:rightChars="0" w:firstLine="480" w:firstLineChars="200"/>
        <w:textAlignment w:val="auto"/>
        <w:outlineLvl w:val="9"/>
        <w:rPr>
          <w:rFonts w:hint="eastAsia" w:ascii="宋体" w:hAnsi="宋体" w:eastAsia="宋体" w:cs="宋体"/>
          <w:sz w:val="24"/>
          <w:szCs w:val="24"/>
          <w:highlight w:val="none"/>
        </w:rPr>
      </w:pPr>
      <w:r>
        <w:rPr>
          <w:rFonts w:hint="eastAsia" w:ascii="宋体" w:hAnsi="宋体" w:eastAsia="宋体" w:cs="宋体"/>
          <w:kern w:val="0"/>
          <w:sz w:val="24"/>
          <w:szCs w:val="24"/>
          <w:highlight w:val="none"/>
          <w:lang w:eastAsia="zh-CN"/>
        </w:rPr>
        <w:t>（</w:t>
      </w:r>
      <w:r>
        <w:rPr>
          <w:rFonts w:hint="eastAsia" w:ascii="宋体" w:hAnsi="宋体" w:eastAsia="宋体" w:cs="宋体"/>
          <w:kern w:val="0"/>
          <w:sz w:val="24"/>
          <w:szCs w:val="24"/>
          <w:highlight w:val="none"/>
          <w:lang w:val="en-US" w:eastAsia="zh-CN"/>
        </w:rPr>
        <w:t>2</w:t>
      </w:r>
      <w:r>
        <w:rPr>
          <w:rFonts w:hint="eastAsia" w:ascii="宋体" w:hAnsi="宋体" w:eastAsia="宋体" w:cs="宋体"/>
          <w:kern w:val="0"/>
          <w:sz w:val="24"/>
          <w:szCs w:val="24"/>
          <w:highlight w:val="none"/>
          <w:lang w:eastAsia="zh-CN"/>
        </w:rPr>
        <w:t>）绩效管理第三方机构，协助省厅做好事前绩效评估和绩效目标审核，绩效评价或评价结果复核，绩效指标体系修订等工作</w:t>
      </w:r>
      <w:r>
        <w:rPr>
          <w:rFonts w:hint="eastAsia" w:ascii="宋体" w:hAnsi="宋体" w:eastAsia="宋体" w:cs="宋体"/>
          <w:sz w:val="24"/>
          <w:szCs w:val="24"/>
          <w:highlight w:val="none"/>
        </w:rPr>
        <w:t>。</w:t>
      </w:r>
    </w:p>
    <w:p w14:paraId="54059F58">
      <w:pPr>
        <w:pStyle w:val="17"/>
        <w:keepNext w:val="0"/>
        <w:keepLines w:val="0"/>
        <w:pageBreakBefore w:val="0"/>
        <w:widowControl w:val="0"/>
        <w:kinsoku/>
        <w:wordWrap/>
        <w:overflowPunct/>
        <w:topLinePunct w:val="0"/>
        <w:autoSpaceDE/>
        <w:autoSpaceDN/>
        <w:bidi w:val="0"/>
        <w:snapToGrid/>
        <w:spacing w:beforeAutospacing="0" w:afterAutospacing="0" w:line="360" w:lineRule="auto"/>
        <w:ind w:left="0" w:leftChars="0" w:right="0" w:rightChars="0" w:firstLine="482" w:firstLineChars="200"/>
        <w:textAlignment w:val="auto"/>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3、</w:t>
      </w:r>
      <w:r>
        <w:rPr>
          <w:rFonts w:hint="eastAsia" w:ascii="宋体" w:hAnsi="宋体" w:eastAsia="宋体" w:cs="宋体"/>
          <w:b/>
          <w:bCs/>
          <w:sz w:val="24"/>
          <w:szCs w:val="24"/>
          <w:highlight w:val="none"/>
        </w:rPr>
        <w:t>组织方式</w:t>
      </w:r>
    </w:p>
    <w:p w14:paraId="4903AED0">
      <w:pPr>
        <w:pStyle w:val="17"/>
        <w:keepNext w:val="0"/>
        <w:keepLines w:val="0"/>
        <w:pageBreakBefore w:val="0"/>
        <w:widowControl w:val="0"/>
        <w:kinsoku/>
        <w:wordWrap/>
        <w:overflowPunct/>
        <w:topLinePunct w:val="0"/>
        <w:autoSpaceDE/>
        <w:autoSpaceDN/>
        <w:bidi w:val="0"/>
        <w:snapToGrid/>
        <w:spacing w:beforeAutospacing="0" w:afterAutospacing="0" w:line="360" w:lineRule="auto"/>
        <w:ind w:left="0" w:leftChars="0" w:right="0" w:rightChars="0" w:firstLine="480" w:firstLineChars="200"/>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rPr>
        <w:t>绩效评价工作由省厅统一组织，第三方机构</w:t>
      </w:r>
      <w:r>
        <w:rPr>
          <w:rFonts w:hint="eastAsia" w:ascii="宋体" w:hAnsi="宋体" w:eastAsia="宋体" w:cs="宋体"/>
          <w:sz w:val="24"/>
          <w:szCs w:val="24"/>
          <w:highlight w:val="none"/>
          <w:lang w:eastAsia="zh-CN"/>
        </w:rPr>
        <w:t>协助</w:t>
      </w:r>
      <w:r>
        <w:rPr>
          <w:rFonts w:hint="eastAsia" w:ascii="宋体" w:hAnsi="宋体" w:eastAsia="宋体" w:cs="宋体"/>
          <w:sz w:val="24"/>
          <w:szCs w:val="24"/>
          <w:highlight w:val="none"/>
        </w:rPr>
        <w:t>实施</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具体情况如下：</w:t>
      </w:r>
    </w:p>
    <w:tbl>
      <w:tblPr>
        <w:tblStyle w:val="20"/>
        <w:tblW w:w="8881" w:type="dxa"/>
        <w:jc w:val="center"/>
        <w:tblLayout w:type="fixed"/>
        <w:tblCellMar>
          <w:top w:w="15" w:type="dxa"/>
          <w:left w:w="15" w:type="dxa"/>
          <w:bottom w:w="15" w:type="dxa"/>
          <w:right w:w="15" w:type="dxa"/>
        </w:tblCellMar>
      </w:tblPr>
      <w:tblGrid>
        <w:gridCol w:w="706"/>
        <w:gridCol w:w="852"/>
        <w:gridCol w:w="2867"/>
        <w:gridCol w:w="1936"/>
        <w:gridCol w:w="1320"/>
        <w:gridCol w:w="1200"/>
      </w:tblGrid>
      <w:tr w14:paraId="24DC6EC6">
        <w:tblPrEx>
          <w:tblCellMar>
            <w:top w:w="15" w:type="dxa"/>
            <w:left w:w="15" w:type="dxa"/>
            <w:bottom w:w="15" w:type="dxa"/>
            <w:right w:w="15" w:type="dxa"/>
          </w:tblCellMar>
        </w:tblPrEx>
        <w:trPr>
          <w:trHeight w:val="567" w:hRule="atLeast"/>
          <w:tblHeader/>
          <w:jc w:val="center"/>
        </w:trPr>
        <w:tc>
          <w:tcPr>
            <w:tcW w:w="706" w:type="dxa"/>
            <w:tcBorders>
              <w:top w:val="single" w:color="000000" w:sz="4" w:space="0"/>
              <w:left w:val="single" w:color="000000" w:sz="4" w:space="0"/>
              <w:bottom w:val="single" w:color="000000" w:sz="4" w:space="0"/>
              <w:right w:val="single" w:color="000000" w:sz="4" w:space="0"/>
            </w:tcBorders>
            <w:noWrap w:val="0"/>
            <w:vAlign w:val="center"/>
          </w:tcPr>
          <w:p w14:paraId="1325B9EA">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val="0"/>
                <w:sz w:val="24"/>
                <w:szCs w:val="24"/>
                <w:highlight w:val="none"/>
              </w:rPr>
            </w:pPr>
            <w:r>
              <w:rPr>
                <w:rFonts w:hint="eastAsia" w:ascii="宋体" w:hAnsi="宋体" w:eastAsia="宋体" w:cs="宋体"/>
                <w:b/>
                <w:bCs w:val="0"/>
                <w:kern w:val="0"/>
                <w:sz w:val="24"/>
                <w:szCs w:val="24"/>
                <w:highlight w:val="none"/>
              </w:rPr>
              <w:t>序号</w:t>
            </w:r>
          </w:p>
        </w:tc>
        <w:tc>
          <w:tcPr>
            <w:tcW w:w="3719" w:type="dxa"/>
            <w:gridSpan w:val="2"/>
            <w:tcBorders>
              <w:top w:val="single" w:color="000000" w:sz="4" w:space="0"/>
              <w:left w:val="single" w:color="000000" w:sz="4" w:space="0"/>
              <w:bottom w:val="single" w:color="000000" w:sz="4" w:space="0"/>
              <w:right w:val="single" w:color="000000" w:sz="4" w:space="0"/>
            </w:tcBorders>
            <w:noWrap w:val="0"/>
            <w:vAlign w:val="center"/>
          </w:tcPr>
          <w:p w14:paraId="3D3C9DAD">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val="0"/>
                <w:sz w:val="24"/>
                <w:szCs w:val="24"/>
                <w:highlight w:val="none"/>
              </w:rPr>
            </w:pPr>
            <w:r>
              <w:rPr>
                <w:rFonts w:hint="eastAsia" w:ascii="宋体" w:hAnsi="宋体" w:eastAsia="宋体" w:cs="宋体"/>
                <w:b/>
                <w:bCs w:val="0"/>
                <w:kern w:val="0"/>
                <w:sz w:val="24"/>
                <w:szCs w:val="24"/>
                <w:highlight w:val="none"/>
              </w:rPr>
              <w:t>项目名称</w:t>
            </w:r>
          </w:p>
        </w:tc>
        <w:tc>
          <w:tcPr>
            <w:tcW w:w="1936" w:type="dxa"/>
            <w:tcBorders>
              <w:top w:val="single" w:color="000000" w:sz="4" w:space="0"/>
              <w:left w:val="single" w:color="000000" w:sz="4" w:space="0"/>
              <w:bottom w:val="single" w:color="auto" w:sz="4" w:space="0"/>
              <w:right w:val="single" w:color="000000" w:sz="4" w:space="0"/>
            </w:tcBorders>
            <w:noWrap w:val="0"/>
            <w:vAlign w:val="center"/>
          </w:tcPr>
          <w:p w14:paraId="1895DB8E">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val="0"/>
                <w:sz w:val="24"/>
                <w:szCs w:val="24"/>
                <w:highlight w:val="none"/>
              </w:rPr>
            </w:pPr>
            <w:r>
              <w:rPr>
                <w:rFonts w:hint="eastAsia" w:ascii="宋体" w:hAnsi="宋体" w:eastAsia="宋体" w:cs="宋体"/>
                <w:b/>
                <w:bCs w:val="0"/>
                <w:kern w:val="0"/>
                <w:sz w:val="24"/>
                <w:szCs w:val="24"/>
                <w:highlight w:val="none"/>
                <w:lang w:eastAsia="zh-CN"/>
              </w:rPr>
              <w:t>分</w:t>
            </w:r>
            <w:r>
              <w:rPr>
                <w:rFonts w:hint="eastAsia" w:ascii="宋体" w:hAnsi="宋体" w:eastAsia="宋体" w:cs="宋体"/>
                <w:b/>
                <w:bCs w:val="0"/>
                <w:kern w:val="0"/>
                <w:sz w:val="24"/>
                <w:szCs w:val="24"/>
                <w:highlight w:val="none"/>
              </w:rPr>
              <w:t>包情况</w:t>
            </w:r>
          </w:p>
        </w:tc>
        <w:tc>
          <w:tcPr>
            <w:tcW w:w="1320" w:type="dxa"/>
            <w:tcBorders>
              <w:top w:val="single" w:color="000000" w:sz="4" w:space="0"/>
              <w:left w:val="single" w:color="000000" w:sz="4" w:space="0"/>
              <w:bottom w:val="single" w:color="auto" w:sz="4" w:space="0"/>
              <w:right w:val="single" w:color="000000" w:sz="4" w:space="0"/>
            </w:tcBorders>
            <w:noWrap w:val="0"/>
            <w:vAlign w:val="center"/>
          </w:tcPr>
          <w:p w14:paraId="1A02B60F">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val="0"/>
                <w:kern w:val="0"/>
                <w:sz w:val="24"/>
                <w:szCs w:val="24"/>
                <w:highlight w:val="none"/>
              </w:rPr>
            </w:pPr>
            <w:r>
              <w:rPr>
                <w:rFonts w:hint="eastAsia" w:ascii="宋体" w:hAnsi="宋体" w:eastAsia="宋体" w:cs="宋体"/>
                <w:b/>
                <w:bCs w:val="0"/>
                <w:kern w:val="0"/>
                <w:sz w:val="24"/>
                <w:szCs w:val="24"/>
                <w:highlight w:val="none"/>
              </w:rPr>
              <w:t>预算金额（万元）</w:t>
            </w:r>
          </w:p>
        </w:tc>
        <w:tc>
          <w:tcPr>
            <w:tcW w:w="1200" w:type="dxa"/>
            <w:tcBorders>
              <w:top w:val="single" w:color="000000" w:sz="4" w:space="0"/>
              <w:left w:val="single" w:color="000000" w:sz="4" w:space="0"/>
              <w:bottom w:val="single" w:color="auto" w:sz="4" w:space="0"/>
              <w:right w:val="single" w:color="000000" w:sz="4" w:space="0"/>
            </w:tcBorders>
            <w:noWrap w:val="0"/>
            <w:vAlign w:val="center"/>
          </w:tcPr>
          <w:p w14:paraId="55FE9FB6">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val="0"/>
                <w:kern w:val="0"/>
                <w:sz w:val="24"/>
                <w:szCs w:val="24"/>
                <w:highlight w:val="none"/>
              </w:rPr>
            </w:pPr>
            <w:r>
              <w:rPr>
                <w:rFonts w:hint="eastAsia" w:ascii="宋体" w:hAnsi="宋体" w:eastAsia="宋体" w:cs="宋体"/>
                <w:b/>
                <w:bCs w:val="0"/>
                <w:kern w:val="0"/>
                <w:sz w:val="24"/>
                <w:szCs w:val="24"/>
                <w:highlight w:val="none"/>
              </w:rPr>
              <w:t>最低人员配备</w:t>
            </w:r>
          </w:p>
        </w:tc>
      </w:tr>
      <w:tr w14:paraId="2D6BC30E">
        <w:tblPrEx>
          <w:tblCellMar>
            <w:top w:w="15" w:type="dxa"/>
            <w:left w:w="15" w:type="dxa"/>
            <w:bottom w:w="15" w:type="dxa"/>
            <w:right w:w="15" w:type="dxa"/>
          </w:tblCellMar>
        </w:tblPrEx>
        <w:trPr>
          <w:trHeight w:val="567" w:hRule="atLeast"/>
          <w:jc w:val="center"/>
        </w:trPr>
        <w:tc>
          <w:tcPr>
            <w:tcW w:w="8881" w:type="dxa"/>
            <w:gridSpan w:val="6"/>
            <w:tcBorders>
              <w:top w:val="single" w:color="000000" w:sz="4" w:space="0"/>
              <w:left w:val="single" w:color="000000" w:sz="4" w:space="0"/>
              <w:bottom w:val="single" w:color="000000" w:sz="4" w:space="0"/>
              <w:right w:val="single" w:color="auto" w:sz="4" w:space="0"/>
            </w:tcBorders>
            <w:noWrap w:val="0"/>
            <w:vAlign w:val="center"/>
          </w:tcPr>
          <w:p w14:paraId="7FE30B2A">
            <w:pPr>
              <w:keepNext w:val="0"/>
              <w:keepLines w:val="0"/>
              <w:pageBreakBefore w:val="0"/>
              <w:widowControl/>
              <w:kinsoku/>
              <w:wordWrap/>
              <w:overflowPunct/>
              <w:topLinePunct w:val="0"/>
              <w:autoSpaceDE/>
              <w:autoSpaceDN/>
              <w:bidi w:val="0"/>
              <w:adjustRightInd/>
              <w:snapToGrid/>
              <w:spacing w:line="400" w:lineRule="exact"/>
              <w:ind w:firstLine="240" w:firstLineChars="100"/>
              <w:jc w:val="left"/>
              <w:textAlignment w:val="center"/>
              <w:rPr>
                <w:rFonts w:hint="eastAsia" w:ascii="宋体" w:hAnsi="宋体" w:eastAsia="宋体" w:cs="宋体"/>
                <w:b w:val="0"/>
                <w:bCs/>
                <w:color w:val="000000"/>
                <w:kern w:val="0"/>
                <w:sz w:val="24"/>
                <w:szCs w:val="24"/>
                <w:highlight w:val="none"/>
              </w:rPr>
            </w:pPr>
            <w:r>
              <w:rPr>
                <w:rFonts w:hint="eastAsia" w:ascii="宋体" w:hAnsi="宋体" w:eastAsia="宋体" w:cs="宋体"/>
                <w:b w:val="0"/>
                <w:bCs/>
                <w:color w:val="000000"/>
                <w:kern w:val="0"/>
                <w:sz w:val="24"/>
                <w:szCs w:val="24"/>
                <w:highlight w:val="none"/>
                <w:lang w:eastAsia="zh-CN"/>
              </w:rPr>
              <w:t>一、</w:t>
            </w:r>
            <w:r>
              <w:rPr>
                <w:rFonts w:hint="eastAsia" w:ascii="宋体" w:hAnsi="宋体" w:eastAsia="宋体" w:cs="宋体"/>
                <w:b w:val="0"/>
                <w:bCs/>
                <w:sz w:val="24"/>
                <w:szCs w:val="24"/>
                <w:highlight w:val="none"/>
              </w:rPr>
              <w:t>绩效评价</w:t>
            </w:r>
          </w:p>
        </w:tc>
      </w:tr>
      <w:tr w14:paraId="19713026">
        <w:tblPrEx>
          <w:tblCellMar>
            <w:top w:w="15" w:type="dxa"/>
            <w:left w:w="15" w:type="dxa"/>
            <w:bottom w:w="15" w:type="dxa"/>
            <w:right w:w="15" w:type="dxa"/>
          </w:tblCellMar>
        </w:tblPrEx>
        <w:trPr>
          <w:trHeight w:val="731" w:hRule="atLeast"/>
          <w:jc w:val="center"/>
        </w:trPr>
        <w:tc>
          <w:tcPr>
            <w:tcW w:w="706" w:type="dxa"/>
            <w:tcBorders>
              <w:top w:val="single" w:color="000000" w:sz="4" w:space="0"/>
              <w:left w:val="single" w:color="000000" w:sz="4" w:space="0"/>
              <w:bottom w:val="single" w:color="000000" w:sz="4" w:space="0"/>
              <w:right w:val="single" w:color="000000" w:sz="4" w:space="0"/>
            </w:tcBorders>
            <w:noWrap w:val="0"/>
            <w:vAlign w:val="center"/>
          </w:tcPr>
          <w:p w14:paraId="1B00E79A">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1</w:t>
            </w:r>
          </w:p>
        </w:tc>
        <w:tc>
          <w:tcPr>
            <w:tcW w:w="3719" w:type="dxa"/>
            <w:gridSpan w:val="2"/>
            <w:tcBorders>
              <w:top w:val="single" w:color="000000" w:sz="4" w:space="0"/>
              <w:left w:val="single" w:color="000000" w:sz="4" w:space="0"/>
              <w:bottom w:val="single" w:color="000000" w:sz="4" w:space="0"/>
              <w:right w:val="single" w:color="auto" w:sz="4" w:space="0"/>
            </w:tcBorders>
            <w:noWrap w:val="0"/>
            <w:vAlign w:val="center"/>
          </w:tcPr>
          <w:p w14:paraId="65EC1E65">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普通公路养护工程</w:t>
            </w:r>
          </w:p>
        </w:tc>
        <w:tc>
          <w:tcPr>
            <w:tcW w:w="1936" w:type="dxa"/>
            <w:tcBorders>
              <w:top w:val="single" w:color="auto" w:sz="4" w:space="0"/>
              <w:left w:val="single" w:color="auto" w:sz="4" w:space="0"/>
              <w:bottom w:val="single" w:color="auto" w:sz="4" w:space="0"/>
              <w:right w:val="single" w:color="auto" w:sz="4" w:space="0"/>
            </w:tcBorders>
            <w:noWrap w:val="0"/>
            <w:vAlign w:val="center"/>
          </w:tcPr>
          <w:p w14:paraId="7ED03A6A">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第1包</w:t>
            </w:r>
          </w:p>
        </w:tc>
        <w:tc>
          <w:tcPr>
            <w:tcW w:w="1320" w:type="dxa"/>
            <w:tcBorders>
              <w:top w:val="single" w:color="auto" w:sz="4" w:space="0"/>
              <w:left w:val="single" w:color="auto" w:sz="4" w:space="0"/>
              <w:bottom w:val="single" w:color="auto" w:sz="4" w:space="0"/>
              <w:right w:val="single" w:color="auto" w:sz="4" w:space="0"/>
            </w:tcBorders>
            <w:noWrap w:val="0"/>
            <w:vAlign w:val="center"/>
          </w:tcPr>
          <w:p w14:paraId="64FFCF52">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45</w:t>
            </w:r>
          </w:p>
        </w:tc>
        <w:tc>
          <w:tcPr>
            <w:tcW w:w="1200" w:type="dxa"/>
            <w:tcBorders>
              <w:top w:val="single" w:color="auto" w:sz="4" w:space="0"/>
              <w:left w:val="single" w:color="auto" w:sz="4" w:space="0"/>
              <w:bottom w:val="single" w:color="auto" w:sz="4" w:space="0"/>
              <w:right w:val="single" w:color="auto" w:sz="4" w:space="0"/>
            </w:tcBorders>
            <w:noWrap w:val="0"/>
            <w:vAlign w:val="center"/>
          </w:tcPr>
          <w:p w14:paraId="23D3E709">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16人</w:t>
            </w:r>
          </w:p>
        </w:tc>
      </w:tr>
      <w:tr w14:paraId="2BEAA87A">
        <w:tblPrEx>
          <w:tblCellMar>
            <w:top w:w="15" w:type="dxa"/>
            <w:left w:w="15" w:type="dxa"/>
            <w:bottom w:w="15" w:type="dxa"/>
            <w:right w:w="15" w:type="dxa"/>
          </w:tblCellMar>
        </w:tblPrEx>
        <w:trPr>
          <w:trHeight w:val="1080" w:hRule="atLeast"/>
          <w:jc w:val="center"/>
        </w:trPr>
        <w:tc>
          <w:tcPr>
            <w:tcW w:w="706" w:type="dxa"/>
            <w:tcBorders>
              <w:top w:val="single" w:color="000000" w:sz="4" w:space="0"/>
              <w:left w:val="single" w:color="000000" w:sz="4" w:space="0"/>
              <w:bottom w:val="single" w:color="000000" w:sz="4" w:space="0"/>
              <w:right w:val="single" w:color="000000" w:sz="4" w:space="0"/>
            </w:tcBorders>
            <w:noWrap w:val="0"/>
            <w:vAlign w:val="center"/>
          </w:tcPr>
          <w:p w14:paraId="1A2E786B">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2</w:t>
            </w:r>
          </w:p>
        </w:tc>
        <w:tc>
          <w:tcPr>
            <w:tcW w:w="852" w:type="dxa"/>
            <w:vMerge w:val="restart"/>
            <w:tcBorders>
              <w:top w:val="single" w:color="000000" w:sz="4" w:space="0"/>
              <w:left w:val="single" w:color="000000" w:sz="4" w:space="0"/>
              <w:right w:val="single" w:color="auto" w:sz="4" w:space="0"/>
            </w:tcBorders>
            <w:noWrap w:val="0"/>
            <w:vAlign w:val="center"/>
          </w:tcPr>
          <w:p w14:paraId="7CD77A96">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eastAsia="zh-CN"/>
              </w:rPr>
              <w:t>6个PPP项目</w:t>
            </w:r>
          </w:p>
        </w:tc>
        <w:tc>
          <w:tcPr>
            <w:tcW w:w="2867" w:type="dxa"/>
            <w:tcBorders>
              <w:top w:val="single" w:color="000000" w:sz="4" w:space="0"/>
              <w:left w:val="single" w:color="000000" w:sz="4" w:space="0"/>
              <w:bottom w:val="single" w:color="auto" w:sz="4" w:space="0"/>
              <w:right w:val="single" w:color="auto" w:sz="4" w:space="0"/>
            </w:tcBorders>
            <w:noWrap w:val="0"/>
            <w:vAlign w:val="center"/>
          </w:tcPr>
          <w:p w14:paraId="37FF9707">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G42S上海至武汉高速无为至岳西段（建设期）</w:t>
            </w:r>
          </w:p>
        </w:tc>
        <w:tc>
          <w:tcPr>
            <w:tcW w:w="1936" w:type="dxa"/>
            <w:vMerge w:val="restart"/>
            <w:tcBorders>
              <w:top w:val="single" w:color="auto" w:sz="4" w:space="0"/>
              <w:left w:val="single" w:color="auto" w:sz="4" w:space="0"/>
              <w:right w:val="single" w:color="auto" w:sz="4" w:space="0"/>
            </w:tcBorders>
            <w:noWrap w:val="0"/>
            <w:vAlign w:val="center"/>
          </w:tcPr>
          <w:p w14:paraId="4460D075">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p>
          <w:p w14:paraId="62C4918D">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第2包</w:t>
            </w:r>
          </w:p>
          <w:p w14:paraId="6425DB71">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p>
        </w:tc>
        <w:tc>
          <w:tcPr>
            <w:tcW w:w="1320" w:type="dxa"/>
            <w:vMerge w:val="restart"/>
            <w:tcBorders>
              <w:top w:val="single" w:color="auto" w:sz="4" w:space="0"/>
              <w:left w:val="single" w:color="auto" w:sz="4" w:space="0"/>
              <w:right w:val="single" w:color="auto" w:sz="4" w:space="0"/>
            </w:tcBorders>
            <w:noWrap w:val="0"/>
            <w:vAlign w:val="center"/>
          </w:tcPr>
          <w:p w14:paraId="51B566CF">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20</w:t>
            </w:r>
          </w:p>
        </w:tc>
        <w:tc>
          <w:tcPr>
            <w:tcW w:w="1200" w:type="dxa"/>
            <w:vMerge w:val="restart"/>
            <w:tcBorders>
              <w:top w:val="single" w:color="auto" w:sz="4" w:space="0"/>
              <w:left w:val="single" w:color="auto" w:sz="4" w:space="0"/>
              <w:right w:val="single" w:color="auto" w:sz="4" w:space="0"/>
            </w:tcBorders>
            <w:noWrap w:val="0"/>
            <w:vAlign w:val="center"/>
          </w:tcPr>
          <w:p w14:paraId="1D140DEC">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12人</w:t>
            </w:r>
          </w:p>
        </w:tc>
      </w:tr>
      <w:tr w14:paraId="0875BAD5">
        <w:tblPrEx>
          <w:tblCellMar>
            <w:top w:w="15" w:type="dxa"/>
            <w:left w:w="15" w:type="dxa"/>
            <w:bottom w:w="15" w:type="dxa"/>
            <w:right w:w="15" w:type="dxa"/>
          </w:tblCellMar>
        </w:tblPrEx>
        <w:trPr>
          <w:trHeight w:val="567" w:hRule="atLeast"/>
          <w:jc w:val="center"/>
        </w:trPr>
        <w:tc>
          <w:tcPr>
            <w:tcW w:w="706" w:type="dxa"/>
            <w:tcBorders>
              <w:top w:val="single" w:color="000000" w:sz="4" w:space="0"/>
              <w:left w:val="single" w:color="000000" w:sz="4" w:space="0"/>
              <w:bottom w:val="single" w:color="000000" w:sz="4" w:space="0"/>
              <w:right w:val="single" w:color="000000" w:sz="4" w:space="0"/>
            </w:tcBorders>
            <w:noWrap w:val="0"/>
            <w:vAlign w:val="center"/>
          </w:tcPr>
          <w:p w14:paraId="68C32FFA">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3</w:t>
            </w:r>
          </w:p>
        </w:tc>
        <w:tc>
          <w:tcPr>
            <w:tcW w:w="852" w:type="dxa"/>
            <w:vMerge w:val="continue"/>
            <w:tcBorders>
              <w:left w:val="single" w:color="000000" w:sz="4" w:space="0"/>
              <w:right w:val="single" w:color="auto" w:sz="4" w:space="0"/>
            </w:tcBorders>
            <w:noWrap w:val="0"/>
            <w:vAlign w:val="center"/>
          </w:tcPr>
          <w:p w14:paraId="201FB0A1">
            <w:pPr>
              <w:keepNext w:val="0"/>
              <w:keepLines w:val="0"/>
              <w:pageBreakBefore w:val="0"/>
              <w:widowControl/>
              <w:kinsoku/>
              <w:wordWrap/>
              <w:overflowPunct/>
              <w:topLinePunct w:val="0"/>
              <w:autoSpaceDE/>
              <w:autoSpaceDN/>
              <w:bidi w:val="0"/>
              <w:adjustRightInd/>
              <w:snapToGrid/>
              <w:spacing w:line="400" w:lineRule="exact"/>
              <w:jc w:val="left"/>
              <w:textAlignment w:val="center"/>
              <w:rPr>
                <w:rFonts w:hint="eastAsia" w:ascii="宋体" w:hAnsi="宋体" w:eastAsia="宋体" w:cs="宋体"/>
                <w:b w:val="0"/>
                <w:bCs/>
                <w:kern w:val="0"/>
                <w:sz w:val="24"/>
                <w:szCs w:val="24"/>
                <w:highlight w:val="none"/>
                <w:lang w:val="en-US" w:eastAsia="zh-CN" w:bidi="ar-SA"/>
              </w:rPr>
            </w:pPr>
          </w:p>
        </w:tc>
        <w:tc>
          <w:tcPr>
            <w:tcW w:w="2867" w:type="dxa"/>
            <w:tcBorders>
              <w:top w:val="single" w:color="auto" w:sz="4" w:space="0"/>
              <w:left w:val="single" w:color="000000" w:sz="4" w:space="0"/>
              <w:bottom w:val="single" w:color="auto" w:sz="4" w:space="0"/>
              <w:right w:val="single" w:color="auto" w:sz="4" w:space="0"/>
            </w:tcBorders>
            <w:noWrap w:val="0"/>
            <w:vAlign w:val="center"/>
          </w:tcPr>
          <w:p w14:paraId="7915AFA0">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G4211宁芜高速公路皖苏省界至芜湖枢纽段改扩建（建设期）</w:t>
            </w:r>
          </w:p>
        </w:tc>
        <w:tc>
          <w:tcPr>
            <w:tcW w:w="1936" w:type="dxa"/>
            <w:vMerge w:val="continue"/>
            <w:tcBorders>
              <w:left w:val="single" w:color="auto" w:sz="4" w:space="0"/>
              <w:right w:val="single" w:color="auto" w:sz="4" w:space="0"/>
            </w:tcBorders>
            <w:noWrap w:val="0"/>
            <w:vAlign w:val="center"/>
          </w:tcPr>
          <w:p w14:paraId="571C838C">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lang w:val="en-US" w:eastAsia="zh-CN" w:bidi="ar-SA"/>
              </w:rPr>
            </w:pPr>
          </w:p>
        </w:tc>
        <w:tc>
          <w:tcPr>
            <w:tcW w:w="1320" w:type="dxa"/>
            <w:vMerge w:val="continue"/>
            <w:tcBorders>
              <w:left w:val="single" w:color="auto" w:sz="4" w:space="0"/>
              <w:right w:val="single" w:color="auto" w:sz="4" w:space="0"/>
            </w:tcBorders>
            <w:noWrap w:val="0"/>
            <w:vAlign w:val="center"/>
          </w:tcPr>
          <w:p w14:paraId="5DDB6D10">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p>
        </w:tc>
        <w:tc>
          <w:tcPr>
            <w:tcW w:w="1200" w:type="dxa"/>
            <w:vMerge w:val="continue"/>
            <w:tcBorders>
              <w:left w:val="single" w:color="auto" w:sz="4" w:space="0"/>
              <w:right w:val="single" w:color="auto" w:sz="4" w:space="0"/>
            </w:tcBorders>
            <w:noWrap w:val="0"/>
            <w:vAlign w:val="center"/>
          </w:tcPr>
          <w:p w14:paraId="02E6B671">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p>
        </w:tc>
      </w:tr>
      <w:tr w14:paraId="79E2FF01">
        <w:tblPrEx>
          <w:tblCellMar>
            <w:top w:w="15" w:type="dxa"/>
            <w:left w:w="15" w:type="dxa"/>
            <w:bottom w:w="15" w:type="dxa"/>
            <w:right w:w="15" w:type="dxa"/>
          </w:tblCellMar>
        </w:tblPrEx>
        <w:trPr>
          <w:trHeight w:val="567" w:hRule="atLeast"/>
          <w:jc w:val="center"/>
        </w:trPr>
        <w:tc>
          <w:tcPr>
            <w:tcW w:w="706" w:type="dxa"/>
            <w:tcBorders>
              <w:top w:val="single" w:color="000000" w:sz="4" w:space="0"/>
              <w:left w:val="single" w:color="000000" w:sz="4" w:space="0"/>
              <w:bottom w:val="single" w:color="000000" w:sz="4" w:space="0"/>
              <w:right w:val="single" w:color="000000" w:sz="4" w:space="0"/>
            </w:tcBorders>
            <w:noWrap w:val="0"/>
            <w:vAlign w:val="center"/>
          </w:tcPr>
          <w:p w14:paraId="6BA44ABB">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4</w:t>
            </w:r>
          </w:p>
        </w:tc>
        <w:tc>
          <w:tcPr>
            <w:tcW w:w="852" w:type="dxa"/>
            <w:vMerge w:val="continue"/>
            <w:tcBorders>
              <w:left w:val="single" w:color="000000" w:sz="4" w:space="0"/>
              <w:right w:val="single" w:color="auto" w:sz="4" w:space="0"/>
            </w:tcBorders>
            <w:noWrap w:val="0"/>
            <w:vAlign w:val="center"/>
          </w:tcPr>
          <w:p w14:paraId="1EAED1B8">
            <w:pPr>
              <w:keepNext w:val="0"/>
              <w:keepLines w:val="0"/>
              <w:pageBreakBefore w:val="0"/>
              <w:widowControl/>
              <w:kinsoku/>
              <w:wordWrap/>
              <w:overflowPunct/>
              <w:topLinePunct w:val="0"/>
              <w:autoSpaceDE/>
              <w:autoSpaceDN/>
              <w:bidi w:val="0"/>
              <w:adjustRightInd/>
              <w:snapToGrid/>
              <w:spacing w:line="400" w:lineRule="exact"/>
              <w:jc w:val="left"/>
              <w:textAlignment w:val="center"/>
              <w:rPr>
                <w:rFonts w:hint="eastAsia" w:ascii="宋体" w:hAnsi="宋体" w:eastAsia="宋体" w:cs="宋体"/>
                <w:b w:val="0"/>
                <w:bCs/>
                <w:kern w:val="0"/>
                <w:sz w:val="24"/>
                <w:szCs w:val="24"/>
                <w:highlight w:val="none"/>
                <w:lang w:val="en-US" w:eastAsia="zh-CN" w:bidi="ar-SA"/>
              </w:rPr>
            </w:pPr>
          </w:p>
        </w:tc>
        <w:tc>
          <w:tcPr>
            <w:tcW w:w="2867" w:type="dxa"/>
            <w:tcBorders>
              <w:top w:val="single" w:color="auto" w:sz="4" w:space="0"/>
              <w:left w:val="single" w:color="000000" w:sz="4" w:space="0"/>
              <w:bottom w:val="single" w:color="auto" w:sz="4" w:space="0"/>
              <w:right w:val="single" w:color="auto" w:sz="4" w:space="0"/>
            </w:tcBorders>
            <w:noWrap w:val="0"/>
            <w:vAlign w:val="center"/>
          </w:tcPr>
          <w:p w14:paraId="2548E457">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G3W德州至上饶高速公路合肥至枞阳段（运营期）</w:t>
            </w:r>
          </w:p>
        </w:tc>
        <w:tc>
          <w:tcPr>
            <w:tcW w:w="1936" w:type="dxa"/>
            <w:vMerge w:val="continue"/>
            <w:tcBorders>
              <w:left w:val="single" w:color="auto" w:sz="4" w:space="0"/>
              <w:right w:val="single" w:color="auto" w:sz="4" w:space="0"/>
            </w:tcBorders>
            <w:noWrap w:val="0"/>
            <w:vAlign w:val="center"/>
          </w:tcPr>
          <w:p w14:paraId="5C34F459">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lang w:val="en-US" w:eastAsia="zh-CN" w:bidi="ar-SA"/>
              </w:rPr>
            </w:pPr>
          </w:p>
        </w:tc>
        <w:tc>
          <w:tcPr>
            <w:tcW w:w="1320" w:type="dxa"/>
            <w:vMerge w:val="continue"/>
            <w:tcBorders>
              <w:left w:val="single" w:color="auto" w:sz="4" w:space="0"/>
              <w:right w:val="single" w:color="auto" w:sz="4" w:space="0"/>
            </w:tcBorders>
            <w:noWrap w:val="0"/>
            <w:vAlign w:val="center"/>
          </w:tcPr>
          <w:p w14:paraId="758D72B5">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p>
        </w:tc>
        <w:tc>
          <w:tcPr>
            <w:tcW w:w="1200" w:type="dxa"/>
            <w:vMerge w:val="continue"/>
            <w:tcBorders>
              <w:left w:val="single" w:color="auto" w:sz="4" w:space="0"/>
              <w:right w:val="single" w:color="auto" w:sz="4" w:space="0"/>
            </w:tcBorders>
            <w:noWrap w:val="0"/>
            <w:vAlign w:val="center"/>
          </w:tcPr>
          <w:p w14:paraId="380777D6">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p>
        </w:tc>
      </w:tr>
      <w:tr w14:paraId="626E95D4">
        <w:tblPrEx>
          <w:tblCellMar>
            <w:top w:w="15" w:type="dxa"/>
            <w:left w:w="15" w:type="dxa"/>
            <w:bottom w:w="15" w:type="dxa"/>
            <w:right w:w="15" w:type="dxa"/>
          </w:tblCellMar>
        </w:tblPrEx>
        <w:trPr>
          <w:trHeight w:val="801" w:hRule="atLeast"/>
          <w:jc w:val="center"/>
        </w:trPr>
        <w:tc>
          <w:tcPr>
            <w:tcW w:w="706" w:type="dxa"/>
            <w:tcBorders>
              <w:top w:val="single" w:color="000000" w:sz="4" w:space="0"/>
              <w:left w:val="single" w:color="000000" w:sz="4" w:space="0"/>
              <w:bottom w:val="single" w:color="auto" w:sz="4" w:space="0"/>
              <w:right w:val="single" w:color="000000" w:sz="4" w:space="0"/>
            </w:tcBorders>
            <w:noWrap w:val="0"/>
            <w:vAlign w:val="center"/>
          </w:tcPr>
          <w:p w14:paraId="1504BCB3">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5</w:t>
            </w:r>
          </w:p>
        </w:tc>
        <w:tc>
          <w:tcPr>
            <w:tcW w:w="852" w:type="dxa"/>
            <w:vMerge w:val="continue"/>
            <w:tcBorders>
              <w:left w:val="single" w:color="000000" w:sz="4" w:space="0"/>
              <w:right w:val="single" w:color="auto" w:sz="4" w:space="0"/>
            </w:tcBorders>
            <w:noWrap w:val="0"/>
            <w:vAlign w:val="center"/>
          </w:tcPr>
          <w:p w14:paraId="3001FB8A">
            <w:pPr>
              <w:keepNext w:val="0"/>
              <w:keepLines w:val="0"/>
              <w:pageBreakBefore w:val="0"/>
              <w:widowControl/>
              <w:kinsoku/>
              <w:wordWrap/>
              <w:overflowPunct/>
              <w:topLinePunct w:val="0"/>
              <w:autoSpaceDE/>
              <w:autoSpaceDN/>
              <w:bidi w:val="0"/>
              <w:adjustRightInd/>
              <w:snapToGrid/>
              <w:spacing w:line="400" w:lineRule="exact"/>
              <w:jc w:val="left"/>
              <w:textAlignment w:val="center"/>
              <w:rPr>
                <w:rFonts w:hint="eastAsia" w:ascii="宋体" w:hAnsi="宋体" w:eastAsia="宋体" w:cs="宋体"/>
                <w:b w:val="0"/>
                <w:bCs/>
                <w:kern w:val="0"/>
                <w:sz w:val="24"/>
                <w:szCs w:val="24"/>
                <w:highlight w:val="none"/>
                <w:lang w:val="en-US" w:eastAsia="zh-CN" w:bidi="ar-SA"/>
              </w:rPr>
            </w:pPr>
          </w:p>
        </w:tc>
        <w:tc>
          <w:tcPr>
            <w:tcW w:w="2867" w:type="dxa"/>
            <w:tcBorders>
              <w:top w:val="single" w:color="auto" w:sz="4" w:space="0"/>
              <w:left w:val="single" w:color="000000" w:sz="4" w:space="0"/>
              <w:bottom w:val="single" w:color="auto" w:sz="4" w:space="0"/>
              <w:right w:val="single" w:color="auto" w:sz="4" w:space="0"/>
            </w:tcBorders>
            <w:noWrap w:val="0"/>
            <w:vAlign w:val="center"/>
          </w:tcPr>
          <w:p w14:paraId="6D9566C3">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G40沪陕高速公路合肥至大顾店段改扩建（运营期）</w:t>
            </w:r>
          </w:p>
        </w:tc>
        <w:tc>
          <w:tcPr>
            <w:tcW w:w="1936" w:type="dxa"/>
            <w:vMerge w:val="continue"/>
            <w:tcBorders>
              <w:left w:val="single" w:color="auto" w:sz="4" w:space="0"/>
              <w:right w:val="single" w:color="auto" w:sz="4" w:space="0"/>
            </w:tcBorders>
            <w:noWrap w:val="0"/>
            <w:vAlign w:val="center"/>
          </w:tcPr>
          <w:p w14:paraId="41A6A75D">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lang w:val="en-US" w:eastAsia="zh-CN" w:bidi="ar-SA"/>
              </w:rPr>
            </w:pPr>
          </w:p>
        </w:tc>
        <w:tc>
          <w:tcPr>
            <w:tcW w:w="1320" w:type="dxa"/>
            <w:vMerge w:val="continue"/>
            <w:tcBorders>
              <w:left w:val="single" w:color="auto" w:sz="4" w:space="0"/>
              <w:right w:val="single" w:color="auto" w:sz="4" w:space="0"/>
            </w:tcBorders>
            <w:noWrap w:val="0"/>
            <w:vAlign w:val="center"/>
          </w:tcPr>
          <w:p w14:paraId="611DDF55">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p>
        </w:tc>
        <w:tc>
          <w:tcPr>
            <w:tcW w:w="1200" w:type="dxa"/>
            <w:vMerge w:val="continue"/>
            <w:tcBorders>
              <w:left w:val="single" w:color="auto" w:sz="4" w:space="0"/>
              <w:right w:val="single" w:color="auto" w:sz="4" w:space="0"/>
            </w:tcBorders>
            <w:noWrap w:val="0"/>
            <w:vAlign w:val="center"/>
          </w:tcPr>
          <w:p w14:paraId="1E67464F">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p>
        </w:tc>
      </w:tr>
      <w:tr w14:paraId="2B802750">
        <w:tblPrEx>
          <w:tblCellMar>
            <w:top w:w="15" w:type="dxa"/>
            <w:left w:w="15" w:type="dxa"/>
            <w:bottom w:w="15" w:type="dxa"/>
            <w:right w:w="15" w:type="dxa"/>
          </w:tblCellMar>
        </w:tblPrEx>
        <w:trPr>
          <w:trHeight w:val="661" w:hRule="atLeast"/>
          <w:jc w:val="center"/>
        </w:trPr>
        <w:tc>
          <w:tcPr>
            <w:tcW w:w="706" w:type="dxa"/>
            <w:tcBorders>
              <w:top w:val="single" w:color="auto" w:sz="4" w:space="0"/>
              <w:left w:val="single" w:color="000000" w:sz="4" w:space="0"/>
              <w:bottom w:val="single" w:color="auto" w:sz="4" w:space="0"/>
              <w:right w:val="single" w:color="000000" w:sz="4" w:space="0"/>
            </w:tcBorders>
            <w:noWrap w:val="0"/>
            <w:vAlign w:val="center"/>
          </w:tcPr>
          <w:p w14:paraId="4F388D5D">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6</w:t>
            </w:r>
          </w:p>
        </w:tc>
        <w:tc>
          <w:tcPr>
            <w:tcW w:w="852" w:type="dxa"/>
            <w:vMerge w:val="continue"/>
            <w:tcBorders>
              <w:left w:val="single" w:color="000000" w:sz="4" w:space="0"/>
              <w:right w:val="single" w:color="auto" w:sz="4" w:space="0"/>
            </w:tcBorders>
            <w:noWrap w:val="0"/>
            <w:vAlign w:val="center"/>
          </w:tcPr>
          <w:p w14:paraId="66FC938F">
            <w:pPr>
              <w:keepNext w:val="0"/>
              <w:keepLines w:val="0"/>
              <w:pageBreakBefore w:val="0"/>
              <w:widowControl/>
              <w:kinsoku/>
              <w:wordWrap/>
              <w:overflowPunct/>
              <w:topLinePunct w:val="0"/>
              <w:autoSpaceDE/>
              <w:autoSpaceDN/>
              <w:bidi w:val="0"/>
              <w:adjustRightInd/>
              <w:snapToGrid/>
              <w:spacing w:line="400" w:lineRule="exact"/>
              <w:jc w:val="left"/>
              <w:textAlignment w:val="center"/>
              <w:rPr>
                <w:rFonts w:hint="eastAsia" w:ascii="宋体" w:hAnsi="宋体" w:eastAsia="宋体" w:cs="宋体"/>
                <w:b w:val="0"/>
                <w:bCs/>
                <w:kern w:val="0"/>
                <w:sz w:val="24"/>
                <w:szCs w:val="24"/>
                <w:highlight w:val="none"/>
                <w:lang w:val="en-US" w:eastAsia="zh-CN" w:bidi="ar-SA"/>
              </w:rPr>
            </w:pPr>
          </w:p>
        </w:tc>
        <w:tc>
          <w:tcPr>
            <w:tcW w:w="2867" w:type="dxa"/>
            <w:tcBorders>
              <w:top w:val="single" w:color="auto" w:sz="4" w:space="0"/>
              <w:left w:val="single" w:color="000000" w:sz="4" w:space="0"/>
              <w:bottom w:val="single" w:color="auto" w:sz="4" w:space="0"/>
              <w:right w:val="single" w:color="auto" w:sz="4" w:space="0"/>
            </w:tcBorders>
            <w:noWrap w:val="0"/>
            <w:vAlign w:val="center"/>
          </w:tcPr>
          <w:p w14:paraId="4C56C6C4">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G5011芜湖至合肥高速公路芜湖至林头段改扩建工程（运营期）</w:t>
            </w:r>
          </w:p>
        </w:tc>
        <w:tc>
          <w:tcPr>
            <w:tcW w:w="1936" w:type="dxa"/>
            <w:vMerge w:val="continue"/>
            <w:tcBorders>
              <w:left w:val="single" w:color="auto" w:sz="4" w:space="0"/>
              <w:right w:val="single" w:color="auto" w:sz="4" w:space="0"/>
            </w:tcBorders>
            <w:noWrap w:val="0"/>
            <w:vAlign w:val="center"/>
          </w:tcPr>
          <w:p w14:paraId="33848CC4">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lang w:val="en-US" w:eastAsia="zh-CN" w:bidi="ar-SA"/>
              </w:rPr>
            </w:pPr>
          </w:p>
        </w:tc>
        <w:tc>
          <w:tcPr>
            <w:tcW w:w="1320" w:type="dxa"/>
            <w:vMerge w:val="continue"/>
            <w:tcBorders>
              <w:left w:val="single" w:color="auto" w:sz="4" w:space="0"/>
              <w:right w:val="single" w:color="auto" w:sz="4" w:space="0"/>
            </w:tcBorders>
            <w:noWrap w:val="0"/>
            <w:vAlign w:val="center"/>
          </w:tcPr>
          <w:p w14:paraId="75725A2D">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p>
        </w:tc>
        <w:tc>
          <w:tcPr>
            <w:tcW w:w="1200" w:type="dxa"/>
            <w:vMerge w:val="continue"/>
            <w:tcBorders>
              <w:left w:val="single" w:color="auto" w:sz="4" w:space="0"/>
              <w:right w:val="single" w:color="auto" w:sz="4" w:space="0"/>
            </w:tcBorders>
            <w:noWrap w:val="0"/>
            <w:vAlign w:val="center"/>
          </w:tcPr>
          <w:p w14:paraId="0A67BC42">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p>
        </w:tc>
      </w:tr>
      <w:tr w14:paraId="1FC50407">
        <w:tblPrEx>
          <w:tblCellMar>
            <w:top w:w="15" w:type="dxa"/>
            <w:left w:w="15" w:type="dxa"/>
            <w:bottom w:w="15" w:type="dxa"/>
            <w:right w:w="15" w:type="dxa"/>
          </w:tblCellMar>
        </w:tblPrEx>
        <w:trPr>
          <w:trHeight w:val="1255" w:hRule="atLeast"/>
          <w:jc w:val="center"/>
        </w:trPr>
        <w:tc>
          <w:tcPr>
            <w:tcW w:w="706" w:type="dxa"/>
            <w:tcBorders>
              <w:top w:val="single" w:color="auto" w:sz="4" w:space="0"/>
              <w:left w:val="single" w:color="000000" w:sz="4" w:space="0"/>
              <w:bottom w:val="single" w:color="000000" w:sz="4" w:space="0"/>
              <w:right w:val="single" w:color="000000" w:sz="4" w:space="0"/>
            </w:tcBorders>
            <w:noWrap w:val="0"/>
            <w:vAlign w:val="center"/>
          </w:tcPr>
          <w:p w14:paraId="45A75A8A">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7</w:t>
            </w:r>
          </w:p>
        </w:tc>
        <w:tc>
          <w:tcPr>
            <w:tcW w:w="852" w:type="dxa"/>
            <w:vMerge w:val="continue"/>
            <w:tcBorders>
              <w:left w:val="single" w:color="000000" w:sz="4" w:space="0"/>
              <w:bottom w:val="single" w:color="000000" w:sz="4" w:space="0"/>
              <w:right w:val="single" w:color="auto" w:sz="4" w:space="0"/>
            </w:tcBorders>
            <w:noWrap w:val="0"/>
            <w:vAlign w:val="center"/>
          </w:tcPr>
          <w:p w14:paraId="0E8707F8">
            <w:pPr>
              <w:keepNext w:val="0"/>
              <w:keepLines w:val="0"/>
              <w:pageBreakBefore w:val="0"/>
              <w:widowControl/>
              <w:kinsoku/>
              <w:wordWrap/>
              <w:overflowPunct/>
              <w:topLinePunct w:val="0"/>
              <w:autoSpaceDE/>
              <w:autoSpaceDN/>
              <w:bidi w:val="0"/>
              <w:adjustRightInd/>
              <w:snapToGrid/>
              <w:spacing w:line="400" w:lineRule="exact"/>
              <w:jc w:val="left"/>
              <w:textAlignment w:val="center"/>
              <w:rPr>
                <w:rFonts w:hint="eastAsia" w:ascii="宋体" w:hAnsi="宋体" w:eastAsia="宋体" w:cs="宋体"/>
                <w:b w:val="0"/>
                <w:bCs/>
                <w:kern w:val="0"/>
                <w:sz w:val="24"/>
                <w:szCs w:val="24"/>
                <w:highlight w:val="none"/>
                <w:lang w:val="en-US" w:eastAsia="zh-CN" w:bidi="ar-SA"/>
              </w:rPr>
            </w:pPr>
          </w:p>
        </w:tc>
        <w:tc>
          <w:tcPr>
            <w:tcW w:w="2867" w:type="dxa"/>
            <w:tcBorders>
              <w:top w:val="single" w:color="auto" w:sz="4" w:space="0"/>
              <w:left w:val="single" w:color="000000" w:sz="4" w:space="0"/>
              <w:bottom w:val="single" w:color="000000" w:sz="4" w:space="0"/>
              <w:right w:val="single" w:color="auto" w:sz="4" w:space="0"/>
            </w:tcBorders>
            <w:noWrap w:val="0"/>
            <w:vAlign w:val="center"/>
          </w:tcPr>
          <w:p w14:paraId="22F6DCA3">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G4012溧阳至宁德高速公路黄山至千岛湖段（运营期）</w:t>
            </w:r>
          </w:p>
        </w:tc>
        <w:tc>
          <w:tcPr>
            <w:tcW w:w="1936" w:type="dxa"/>
            <w:vMerge w:val="continue"/>
            <w:tcBorders>
              <w:left w:val="single" w:color="auto" w:sz="4" w:space="0"/>
              <w:bottom w:val="single" w:color="auto" w:sz="4" w:space="0"/>
              <w:right w:val="single" w:color="auto" w:sz="4" w:space="0"/>
            </w:tcBorders>
            <w:noWrap w:val="0"/>
            <w:vAlign w:val="center"/>
          </w:tcPr>
          <w:p w14:paraId="363306A3">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lang w:val="en-US" w:eastAsia="zh-CN"/>
              </w:rPr>
            </w:pPr>
          </w:p>
        </w:tc>
        <w:tc>
          <w:tcPr>
            <w:tcW w:w="1320" w:type="dxa"/>
            <w:vMerge w:val="continue"/>
            <w:tcBorders>
              <w:left w:val="single" w:color="auto" w:sz="4" w:space="0"/>
              <w:bottom w:val="single" w:color="auto" w:sz="4" w:space="0"/>
              <w:right w:val="single" w:color="auto" w:sz="4" w:space="0"/>
            </w:tcBorders>
            <w:noWrap w:val="0"/>
            <w:vAlign w:val="center"/>
          </w:tcPr>
          <w:p w14:paraId="064C0427">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p>
        </w:tc>
        <w:tc>
          <w:tcPr>
            <w:tcW w:w="1200" w:type="dxa"/>
            <w:vMerge w:val="continue"/>
            <w:tcBorders>
              <w:left w:val="single" w:color="auto" w:sz="4" w:space="0"/>
              <w:bottom w:val="single" w:color="auto" w:sz="4" w:space="0"/>
              <w:right w:val="single" w:color="auto" w:sz="4" w:space="0"/>
            </w:tcBorders>
            <w:noWrap w:val="0"/>
            <w:vAlign w:val="center"/>
          </w:tcPr>
          <w:p w14:paraId="0B910CF3">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p>
        </w:tc>
      </w:tr>
      <w:tr w14:paraId="31B6ECA2">
        <w:tblPrEx>
          <w:tblCellMar>
            <w:top w:w="15" w:type="dxa"/>
            <w:left w:w="15" w:type="dxa"/>
            <w:bottom w:w="15" w:type="dxa"/>
            <w:right w:w="15" w:type="dxa"/>
          </w:tblCellMar>
        </w:tblPrEx>
        <w:trPr>
          <w:trHeight w:val="1255" w:hRule="atLeast"/>
          <w:jc w:val="center"/>
        </w:trPr>
        <w:tc>
          <w:tcPr>
            <w:tcW w:w="706" w:type="dxa"/>
            <w:tcBorders>
              <w:top w:val="single" w:color="auto" w:sz="4" w:space="0"/>
              <w:left w:val="single" w:color="000000" w:sz="4" w:space="0"/>
              <w:bottom w:val="single" w:color="000000" w:sz="4" w:space="0"/>
              <w:right w:val="single" w:color="000000" w:sz="4" w:space="0"/>
            </w:tcBorders>
            <w:noWrap w:val="0"/>
            <w:vAlign w:val="center"/>
          </w:tcPr>
          <w:p w14:paraId="79C1A5EF">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8</w:t>
            </w:r>
          </w:p>
        </w:tc>
        <w:tc>
          <w:tcPr>
            <w:tcW w:w="3719" w:type="dxa"/>
            <w:gridSpan w:val="2"/>
            <w:tcBorders>
              <w:left w:val="single" w:color="000000" w:sz="4" w:space="0"/>
              <w:bottom w:val="single" w:color="000000" w:sz="4" w:space="0"/>
              <w:right w:val="single" w:color="auto" w:sz="4" w:space="0"/>
            </w:tcBorders>
            <w:noWrap w:val="0"/>
            <w:vAlign w:val="center"/>
          </w:tcPr>
          <w:p w14:paraId="50DC97D4">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kern w:val="0"/>
                <w:sz w:val="24"/>
                <w:szCs w:val="24"/>
                <w:highlight w:val="none"/>
                <w:lang w:val="en-US" w:eastAsia="zh-CN" w:bidi="ar-SA"/>
              </w:rPr>
            </w:pPr>
            <w:r>
              <w:rPr>
                <w:rFonts w:hint="eastAsia" w:ascii="宋体" w:hAnsi="宋体" w:eastAsia="宋体" w:cs="宋体"/>
                <w:b w:val="0"/>
                <w:bCs/>
                <w:kern w:val="0"/>
                <w:sz w:val="24"/>
                <w:szCs w:val="24"/>
                <w:highlight w:val="none"/>
                <w:lang w:val="en-US" w:eastAsia="zh-CN" w:bidi="ar-SA"/>
              </w:rPr>
              <w:t>道路治超专项资金</w:t>
            </w:r>
          </w:p>
        </w:tc>
        <w:tc>
          <w:tcPr>
            <w:tcW w:w="1936" w:type="dxa"/>
            <w:tcBorders>
              <w:left w:val="single" w:color="auto" w:sz="4" w:space="0"/>
              <w:bottom w:val="single" w:color="auto" w:sz="4" w:space="0"/>
              <w:right w:val="single" w:color="auto" w:sz="4" w:space="0"/>
            </w:tcBorders>
            <w:noWrap w:val="0"/>
            <w:vAlign w:val="center"/>
          </w:tcPr>
          <w:p w14:paraId="4D86A25F">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lang w:val="en-US" w:eastAsia="zh-CN"/>
              </w:rPr>
            </w:pPr>
            <w:r>
              <w:rPr>
                <w:rFonts w:hint="eastAsia" w:ascii="宋体" w:hAnsi="宋体" w:eastAsia="宋体" w:cs="宋体"/>
                <w:b w:val="0"/>
                <w:bCs/>
                <w:kern w:val="0"/>
                <w:sz w:val="24"/>
                <w:szCs w:val="24"/>
                <w:highlight w:val="none"/>
                <w:lang w:val="en-US" w:eastAsia="zh-CN" w:bidi="ar-SA"/>
              </w:rPr>
              <w:t>第3包</w:t>
            </w:r>
          </w:p>
        </w:tc>
        <w:tc>
          <w:tcPr>
            <w:tcW w:w="1320" w:type="dxa"/>
            <w:tcBorders>
              <w:left w:val="single" w:color="auto" w:sz="4" w:space="0"/>
              <w:bottom w:val="single" w:color="auto" w:sz="4" w:space="0"/>
              <w:right w:val="single" w:color="auto" w:sz="4" w:space="0"/>
            </w:tcBorders>
            <w:noWrap w:val="0"/>
            <w:vAlign w:val="center"/>
          </w:tcPr>
          <w:p w14:paraId="46096620">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r>
              <w:rPr>
                <w:rFonts w:hint="eastAsia" w:ascii="宋体" w:hAnsi="宋体" w:eastAsia="宋体" w:cs="宋体"/>
                <w:b w:val="0"/>
                <w:bCs/>
                <w:kern w:val="0"/>
                <w:sz w:val="24"/>
                <w:szCs w:val="24"/>
                <w:highlight w:val="none"/>
                <w:lang w:val="en-US" w:eastAsia="zh-CN" w:bidi="ar-SA"/>
              </w:rPr>
              <w:t>12</w:t>
            </w:r>
          </w:p>
        </w:tc>
        <w:tc>
          <w:tcPr>
            <w:tcW w:w="1200" w:type="dxa"/>
            <w:tcBorders>
              <w:left w:val="single" w:color="auto" w:sz="4" w:space="0"/>
              <w:bottom w:val="single" w:color="auto" w:sz="4" w:space="0"/>
              <w:right w:val="single" w:color="auto" w:sz="4" w:space="0"/>
            </w:tcBorders>
            <w:noWrap w:val="0"/>
            <w:vAlign w:val="center"/>
          </w:tcPr>
          <w:p w14:paraId="1C97A5B3">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r>
              <w:rPr>
                <w:rFonts w:hint="eastAsia" w:ascii="宋体" w:hAnsi="宋体" w:eastAsia="宋体" w:cs="宋体"/>
                <w:b w:val="0"/>
                <w:bCs/>
                <w:kern w:val="0"/>
                <w:sz w:val="24"/>
                <w:szCs w:val="24"/>
                <w:highlight w:val="none"/>
                <w:lang w:val="en-US" w:eastAsia="zh-CN" w:bidi="ar-SA"/>
              </w:rPr>
              <w:t>12人</w:t>
            </w:r>
          </w:p>
        </w:tc>
      </w:tr>
      <w:tr w14:paraId="213CF892">
        <w:tblPrEx>
          <w:tblCellMar>
            <w:top w:w="15" w:type="dxa"/>
            <w:left w:w="15" w:type="dxa"/>
            <w:bottom w:w="15" w:type="dxa"/>
            <w:right w:w="15" w:type="dxa"/>
          </w:tblCellMar>
        </w:tblPrEx>
        <w:trPr>
          <w:trHeight w:val="567" w:hRule="atLeast"/>
          <w:jc w:val="center"/>
        </w:trPr>
        <w:tc>
          <w:tcPr>
            <w:tcW w:w="8881" w:type="dxa"/>
            <w:gridSpan w:val="6"/>
            <w:tcBorders>
              <w:top w:val="single" w:color="000000" w:sz="4" w:space="0"/>
              <w:left w:val="single" w:color="000000" w:sz="4" w:space="0"/>
              <w:bottom w:val="single" w:color="000000" w:sz="4" w:space="0"/>
              <w:right w:val="single" w:color="000000" w:sz="4" w:space="0"/>
            </w:tcBorders>
            <w:noWrap w:val="0"/>
            <w:vAlign w:val="center"/>
          </w:tcPr>
          <w:p w14:paraId="0FC9A02C">
            <w:pPr>
              <w:keepNext w:val="0"/>
              <w:keepLines w:val="0"/>
              <w:pageBreakBefore w:val="0"/>
              <w:widowControl/>
              <w:tabs>
                <w:tab w:val="left" w:pos="717"/>
              </w:tabs>
              <w:kinsoku/>
              <w:wordWrap/>
              <w:overflowPunct/>
              <w:topLinePunct w:val="0"/>
              <w:autoSpaceDE/>
              <w:autoSpaceDN/>
              <w:bidi w:val="0"/>
              <w:adjustRightInd/>
              <w:snapToGrid/>
              <w:spacing w:line="400" w:lineRule="exact"/>
              <w:ind w:firstLine="240" w:firstLineChars="100"/>
              <w:jc w:val="both"/>
              <w:textAlignment w:val="center"/>
              <w:rPr>
                <w:rFonts w:hint="eastAsia" w:ascii="宋体" w:hAnsi="宋体" w:eastAsia="宋体" w:cs="宋体"/>
                <w:b w:val="0"/>
                <w:bCs/>
                <w:color w:val="000000"/>
                <w:kern w:val="0"/>
                <w:sz w:val="24"/>
                <w:szCs w:val="24"/>
                <w:highlight w:val="none"/>
                <w:lang w:val="en-US" w:eastAsia="zh-CN"/>
              </w:rPr>
            </w:pPr>
            <w:r>
              <w:rPr>
                <w:rFonts w:hint="eastAsia" w:ascii="宋体" w:hAnsi="宋体" w:eastAsia="宋体" w:cs="宋体"/>
                <w:b w:val="0"/>
                <w:bCs/>
                <w:color w:val="000000"/>
                <w:kern w:val="0"/>
                <w:sz w:val="24"/>
                <w:szCs w:val="24"/>
                <w:highlight w:val="none"/>
                <w:lang w:val="en-US" w:eastAsia="zh-CN"/>
              </w:rPr>
              <w:t>二、绩效管理</w:t>
            </w:r>
          </w:p>
        </w:tc>
      </w:tr>
      <w:tr w14:paraId="068F4B3D">
        <w:tblPrEx>
          <w:tblCellMar>
            <w:top w:w="15" w:type="dxa"/>
            <w:left w:w="15" w:type="dxa"/>
            <w:bottom w:w="15" w:type="dxa"/>
            <w:right w:w="15" w:type="dxa"/>
          </w:tblCellMar>
        </w:tblPrEx>
        <w:trPr>
          <w:trHeight w:val="670" w:hRule="atLeast"/>
          <w:jc w:val="center"/>
        </w:trPr>
        <w:tc>
          <w:tcPr>
            <w:tcW w:w="706" w:type="dxa"/>
            <w:tcBorders>
              <w:top w:val="single" w:color="000000" w:sz="4" w:space="0"/>
              <w:left w:val="single" w:color="000000" w:sz="4" w:space="0"/>
              <w:bottom w:val="single" w:color="000000" w:sz="4" w:space="0"/>
              <w:right w:val="single" w:color="000000" w:sz="4" w:space="0"/>
            </w:tcBorders>
            <w:noWrap w:val="0"/>
            <w:vAlign w:val="center"/>
          </w:tcPr>
          <w:p w14:paraId="29881E8B">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lang w:val="en-US" w:eastAsia="zh-CN"/>
              </w:rPr>
            </w:pPr>
            <w:r>
              <w:rPr>
                <w:rFonts w:hint="eastAsia" w:ascii="宋体" w:hAnsi="宋体" w:eastAsia="宋体" w:cs="宋体"/>
                <w:b w:val="0"/>
                <w:bCs/>
                <w:color w:val="000000"/>
                <w:kern w:val="0"/>
                <w:sz w:val="24"/>
                <w:szCs w:val="24"/>
                <w:highlight w:val="none"/>
                <w:lang w:val="en-US" w:eastAsia="zh-CN"/>
              </w:rPr>
              <w:t>1</w:t>
            </w:r>
          </w:p>
        </w:tc>
        <w:tc>
          <w:tcPr>
            <w:tcW w:w="3719" w:type="dxa"/>
            <w:gridSpan w:val="2"/>
            <w:tcBorders>
              <w:top w:val="single" w:color="000000" w:sz="4" w:space="0"/>
              <w:left w:val="single" w:color="000000" w:sz="4" w:space="0"/>
              <w:bottom w:val="single" w:color="000000" w:sz="4" w:space="0"/>
              <w:right w:val="single" w:color="auto" w:sz="4" w:space="0"/>
            </w:tcBorders>
            <w:noWrap w:val="0"/>
            <w:vAlign w:val="center"/>
          </w:tcPr>
          <w:p w14:paraId="3CC904C4">
            <w:pPr>
              <w:keepNext w:val="0"/>
              <w:keepLines w:val="0"/>
              <w:pageBreakBefore w:val="0"/>
              <w:widowControl/>
              <w:kinsoku/>
              <w:wordWrap/>
              <w:overflowPunct/>
              <w:topLinePunct w:val="0"/>
              <w:autoSpaceDE/>
              <w:autoSpaceDN/>
              <w:bidi w:val="0"/>
              <w:adjustRightInd/>
              <w:snapToGrid/>
              <w:spacing w:line="400" w:lineRule="exact"/>
              <w:ind w:firstLine="240" w:firstLineChars="100"/>
              <w:jc w:val="center"/>
              <w:textAlignment w:val="center"/>
              <w:rPr>
                <w:rFonts w:hint="eastAsia" w:ascii="宋体" w:hAnsi="宋体" w:eastAsia="宋体" w:cs="宋体"/>
                <w:b w:val="0"/>
                <w:bCs/>
                <w:color w:val="000000"/>
                <w:kern w:val="0"/>
                <w:sz w:val="24"/>
                <w:szCs w:val="24"/>
                <w:highlight w:val="none"/>
              </w:rPr>
            </w:pPr>
            <w:r>
              <w:rPr>
                <w:rFonts w:hint="eastAsia" w:ascii="宋体" w:hAnsi="宋体" w:eastAsia="宋体" w:cs="宋体"/>
                <w:b w:val="0"/>
                <w:bCs/>
                <w:color w:val="000000"/>
                <w:kern w:val="0"/>
                <w:sz w:val="24"/>
                <w:szCs w:val="24"/>
                <w:highlight w:val="none"/>
              </w:rPr>
              <w:t>绩效管理</w:t>
            </w:r>
          </w:p>
        </w:tc>
        <w:tc>
          <w:tcPr>
            <w:tcW w:w="1936" w:type="dxa"/>
            <w:tcBorders>
              <w:top w:val="single" w:color="000000" w:sz="4" w:space="0"/>
              <w:left w:val="single" w:color="auto" w:sz="4" w:space="0"/>
              <w:right w:val="single" w:color="000000" w:sz="4" w:space="0"/>
            </w:tcBorders>
            <w:noWrap w:val="0"/>
            <w:vAlign w:val="center"/>
          </w:tcPr>
          <w:p w14:paraId="01AF6DC6">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r>
              <w:rPr>
                <w:rFonts w:hint="eastAsia" w:ascii="宋体" w:hAnsi="宋体" w:eastAsia="宋体" w:cs="宋体"/>
                <w:b w:val="0"/>
                <w:bCs/>
                <w:color w:val="000000"/>
                <w:kern w:val="2"/>
                <w:sz w:val="24"/>
                <w:szCs w:val="24"/>
                <w:highlight w:val="none"/>
                <w:lang w:val="en-US" w:eastAsia="zh-CN" w:bidi="ar-SA"/>
              </w:rPr>
              <w:t>第4包</w:t>
            </w:r>
          </w:p>
        </w:tc>
        <w:tc>
          <w:tcPr>
            <w:tcW w:w="1320" w:type="dxa"/>
            <w:tcBorders>
              <w:top w:val="single" w:color="000000" w:sz="4" w:space="0"/>
              <w:left w:val="single" w:color="000000" w:sz="4" w:space="0"/>
              <w:right w:val="single" w:color="000000" w:sz="4" w:space="0"/>
            </w:tcBorders>
            <w:noWrap w:val="0"/>
            <w:vAlign w:val="center"/>
          </w:tcPr>
          <w:p w14:paraId="5A6B323E">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lang w:val="en-US" w:eastAsia="zh-CN"/>
              </w:rPr>
            </w:pPr>
            <w:r>
              <w:rPr>
                <w:rFonts w:hint="eastAsia" w:ascii="宋体" w:hAnsi="宋体" w:eastAsia="宋体" w:cs="宋体"/>
                <w:b w:val="0"/>
                <w:bCs/>
                <w:color w:val="000000"/>
                <w:kern w:val="0"/>
                <w:sz w:val="24"/>
                <w:szCs w:val="24"/>
                <w:highlight w:val="none"/>
                <w:lang w:val="en-US" w:eastAsia="zh-CN"/>
              </w:rPr>
              <w:t>18</w:t>
            </w:r>
          </w:p>
        </w:tc>
        <w:tc>
          <w:tcPr>
            <w:tcW w:w="1200" w:type="dxa"/>
            <w:tcBorders>
              <w:top w:val="single" w:color="000000" w:sz="4" w:space="0"/>
              <w:left w:val="single" w:color="000000" w:sz="4" w:space="0"/>
              <w:right w:val="single" w:color="000000" w:sz="4" w:space="0"/>
            </w:tcBorders>
            <w:noWrap w:val="0"/>
            <w:vAlign w:val="center"/>
          </w:tcPr>
          <w:p w14:paraId="31BD8539">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0"/>
                <w:sz w:val="24"/>
                <w:szCs w:val="24"/>
                <w:highlight w:val="none"/>
              </w:rPr>
            </w:pPr>
            <w:r>
              <w:rPr>
                <w:rFonts w:hint="eastAsia" w:ascii="宋体" w:hAnsi="宋体" w:eastAsia="宋体" w:cs="宋体"/>
                <w:b w:val="0"/>
                <w:bCs/>
                <w:color w:val="000000"/>
                <w:kern w:val="0"/>
                <w:sz w:val="24"/>
                <w:szCs w:val="24"/>
                <w:highlight w:val="none"/>
                <w:lang w:val="en-US" w:eastAsia="zh-CN"/>
              </w:rPr>
              <w:t>6</w:t>
            </w:r>
            <w:r>
              <w:rPr>
                <w:rFonts w:hint="eastAsia" w:ascii="宋体" w:hAnsi="宋体" w:eastAsia="宋体" w:cs="宋体"/>
                <w:b w:val="0"/>
                <w:bCs/>
                <w:color w:val="000000"/>
                <w:kern w:val="0"/>
                <w:sz w:val="24"/>
                <w:szCs w:val="24"/>
                <w:highlight w:val="none"/>
              </w:rPr>
              <w:t>人</w:t>
            </w:r>
          </w:p>
        </w:tc>
      </w:tr>
      <w:tr w14:paraId="2C765751">
        <w:tblPrEx>
          <w:tblCellMar>
            <w:top w:w="15" w:type="dxa"/>
            <w:left w:w="15" w:type="dxa"/>
            <w:bottom w:w="15" w:type="dxa"/>
            <w:right w:w="15" w:type="dxa"/>
          </w:tblCellMar>
        </w:tblPrEx>
        <w:trPr>
          <w:trHeight w:val="648" w:hRule="atLeast"/>
          <w:jc w:val="center"/>
        </w:trPr>
        <w:tc>
          <w:tcPr>
            <w:tcW w:w="4425" w:type="dxa"/>
            <w:gridSpan w:val="3"/>
            <w:tcBorders>
              <w:top w:val="single" w:color="000000" w:sz="4" w:space="0"/>
              <w:left w:val="single" w:color="000000" w:sz="4" w:space="0"/>
              <w:bottom w:val="single" w:color="000000" w:sz="4" w:space="0"/>
              <w:right w:val="single" w:color="auto" w:sz="4" w:space="0"/>
            </w:tcBorders>
            <w:noWrap w:val="0"/>
            <w:vAlign w:val="center"/>
          </w:tcPr>
          <w:p w14:paraId="439D16A1">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合计</w:t>
            </w:r>
          </w:p>
        </w:tc>
        <w:tc>
          <w:tcPr>
            <w:tcW w:w="1936" w:type="dxa"/>
            <w:tcBorders>
              <w:top w:val="single" w:color="000000" w:sz="4" w:space="0"/>
              <w:left w:val="single" w:color="auto" w:sz="4" w:space="0"/>
              <w:bottom w:val="single" w:color="000000" w:sz="4" w:space="0"/>
              <w:right w:val="single" w:color="000000" w:sz="4" w:space="0"/>
            </w:tcBorders>
            <w:noWrap w:val="0"/>
            <w:vAlign w:val="center"/>
          </w:tcPr>
          <w:p w14:paraId="339832B5">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sz w:val="24"/>
                <w:szCs w:val="24"/>
                <w:highlight w:val="none"/>
                <w:lang w:val="en-US" w:eastAsia="zh-CN"/>
              </w:rPr>
            </w:pPr>
          </w:p>
        </w:tc>
        <w:tc>
          <w:tcPr>
            <w:tcW w:w="1320" w:type="dxa"/>
            <w:tcBorders>
              <w:top w:val="single" w:color="000000" w:sz="4" w:space="0"/>
              <w:left w:val="single" w:color="000000" w:sz="4" w:space="0"/>
              <w:bottom w:val="single" w:color="000000" w:sz="4" w:space="0"/>
              <w:right w:val="single" w:color="000000" w:sz="4" w:space="0"/>
            </w:tcBorders>
            <w:noWrap w:val="0"/>
            <w:vAlign w:val="center"/>
          </w:tcPr>
          <w:p w14:paraId="4C5B0ED0">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val="0"/>
                <w:bCs/>
                <w:color w:val="000000"/>
                <w:kern w:val="2"/>
                <w:sz w:val="24"/>
                <w:szCs w:val="24"/>
                <w:highlight w:val="none"/>
                <w:lang w:val="en-US" w:eastAsia="zh-CN" w:bidi="ar-SA"/>
              </w:rPr>
            </w:pPr>
            <w:r>
              <w:rPr>
                <w:rFonts w:hint="eastAsia" w:ascii="宋体" w:hAnsi="宋体" w:eastAsia="宋体" w:cs="宋体"/>
                <w:b w:val="0"/>
                <w:bCs/>
                <w:color w:val="000000"/>
                <w:kern w:val="2"/>
                <w:sz w:val="24"/>
                <w:szCs w:val="24"/>
                <w:highlight w:val="none"/>
                <w:lang w:val="en-US" w:eastAsia="zh-CN" w:bidi="ar-SA"/>
              </w:rPr>
              <w:t>95</w:t>
            </w:r>
          </w:p>
        </w:tc>
        <w:tc>
          <w:tcPr>
            <w:tcW w:w="1200" w:type="dxa"/>
            <w:tcBorders>
              <w:top w:val="single" w:color="000000" w:sz="4" w:space="0"/>
              <w:left w:val="single" w:color="000000" w:sz="4" w:space="0"/>
              <w:bottom w:val="single" w:color="000000" w:sz="4" w:space="0"/>
              <w:right w:val="single" w:color="000000" w:sz="4" w:space="0"/>
            </w:tcBorders>
            <w:noWrap w:val="0"/>
            <w:vAlign w:val="center"/>
          </w:tcPr>
          <w:p w14:paraId="4B6E3F0E">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eastAsia="宋体" w:cs="宋体"/>
                <w:b w:val="0"/>
                <w:bCs/>
                <w:color w:val="000000"/>
                <w:sz w:val="24"/>
                <w:szCs w:val="24"/>
                <w:highlight w:val="none"/>
              </w:rPr>
            </w:pPr>
          </w:p>
        </w:tc>
      </w:tr>
    </w:tbl>
    <w:p w14:paraId="4BA05D0B">
      <w:pPr>
        <w:pStyle w:val="17"/>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ind w:right="0" w:rightChars="0" w:firstLine="482" w:firstLineChars="200"/>
        <w:textAlignment w:val="auto"/>
        <w:outlineLvl w:val="9"/>
        <w:rPr>
          <w:rFonts w:hint="eastAsia" w:ascii="宋体" w:hAnsi="宋体" w:eastAsia="宋体" w:cs="宋体"/>
          <w:b/>
          <w:bCs w:val="0"/>
          <w:kern w:val="2"/>
          <w:sz w:val="24"/>
          <w:szCs w:val="24"/>
          <w:highlight w:val="none"/>
        </w:rPr>
      </w:pPr>
      <w:r>
        <w:rPr>
          <w:rFonts w:hint="eastAsia" w:ascii="宋体" w:hAnsi="宋体" w:eastAsia="宋体" w:cs="宋体"/>
          <w:b/>
          <w:bCs w:val="0"/>
          <w:kern w:val="2"/>
          <w:sz w:val="24"/>
          <w:szCs w:val="24"/>
          <w:highlight w:val="none"/>
          <w:lang w:eastAsia="zh-CN"/>
        </w:rPr>
        <w:t>（</w:t>
      </w:r>
      <w:r>
        <w:rPr>
          <w:rFonts w:hint="eastAsia" w:ascii="宋体" w:hAnsi="宋体" w:eastAsia="宋体" w:cs="宋体"/>
          <w:b/>
          <w:bCs w:val="0"/>
          <w:kern w:val="2"/>
          <w:sz w:val="24"/>
          <w:szCs w:val="24"/>
          <w:highlight w:val="none"/>
          <w:lang w:val="en-US" w:eastAsia="zh-CN"/>
        </w:rPr>
        <w:t>二</w:t>
      </w:r>
      <w:r>
        <w:rPr>
          <w:rFonts w:hint="eastAsia" w:ascii="宋体" w:hAnsi="宋体" w:eastAsia="宋体" w:cs="宋体"/>
          <w:b/>
          <w:bCs w:val="0"/>
          <w:kern w:val="2"/>
          <w:sz w:val="24"/>
          <w:szCs w:val="24"/>
          <w:highlight w:val="none"/>
          <w:lang w:eastAsia="zh-CN"/>
        </w:rPr>
        <w:t>）</w:t>
      </w:r>
      <w:r>
        <w:rPr>
          <w:rFonts w:hint="eastAsia" w:ascii="宋体" w:hAnsi="宋体" w:eastAsia="宋体" w:cs="宋体"/>
          <w:b/>
          <w:bCs w:val="0"/>
          <w:kern w:val="2"/>
          <w:sz w:val="24"/>
          <w:szCs w:val="24"/>
          <w:highlight w:val="none"/>
        </w:rPr>
        <w:t>时间安排</w:t>
      </w:r>
    </w:p>
    <w:p w14:paraId="4A67428F">
      <w:pPr>
        <w:pStyle w:val="17"/>
        <w:keepNext w:val="0"/>
        <w:keepLines w:val="0"/>
        <w:pageBreakBefore w:val="0"/>
        <w:kinsoku/>
        <w:wordWrap/>
        <w:overflowPunct/>
        <w:topLinePunct w:val="0"/>
        <w:autoSpaceDE/>
        <w:autoSpaceDN/>
        <w:bidi w:val="0"/>
        <w:adjustRightInd/>
        <w:snapToGrid/>
        <w:spacing w:beforeAutospacing="0" w:afterAutospacing="0" w:line="360" w:lineRule="auto"/>
        <w:ind w:right="0" w:rightChars="0" w:firstLine="480" w:firstLineChars="200"/>
        <w:textAlignment w:val="auto"/>
        <w:outlineLvl w:val="9"/>
        <w:rPr>
          <w:rFonts w:ascii="宋体" w:hAnsi="宋体" w:eastAsia="宋体"/>
          <w:b/>
          <w:color w:val="auto"/>
          <w:sz w:val="24"/>
          <w:szCs w:val="18"/>
          <w:highlight w:val="none"/>
        </w:rPr>
      </w:pPr>
      <w:r>
        <w:rPr>
          <w:rFonts w:hint="eastAsia" w:ascii="宋体" w:hAnsi="宋体" w:eastAsia="宋体" w:cs="宋体"/>
          <w:sz w:val="24"/>
          <w:szCs w:val="24"/>
          <w:highlight w:val="none"/>
        </w:rPr>
        <w:t>绩效评价时间为202</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年4至9月，</w:t>
      </w:r>
      <w:r>
        <w:rPr>
          <w:rFonts w:hint="eastAsia" w:ascii="宋体" w:hAnsi="宋体" w:eastAsia="宋体" w:cs="宋体"/>
          <w:sz w:val="24"/>
          <w:szCs w:val="24"/>
          <w:highlight w:val="none"/>
          <w:lang w:val="en-US" w:eastAsia="zh-CN"/>
        </w:rPr>
        <w:t>2025年</w:t>
      </w:r>
      <w:r>
        <w:rPr>
          <w:rFonts w:hint="eastAsia" w:ascii="宋体" w:hAnsi="宋体" w:eastAsia="宋体" w:cs="宋体"/>
          <w:sz w:val="24"/>
          <w:szCs w:val="24"/>
          <w:highlight w:val="none"/>
        </w:rPr>
        <w:t>8月15日前提交绩效评价报告。绩效管理第三方机构服务时间为一年</w:t>
      </w:r>
      <w:r>
        <w:rPr>
          <w:rFonts w:hint="eastAsia" w:ascii="宋体" w:hAnsi="宋体" w:eastAsia="宋体" w:cs="宋体"/>
          <w:color w:val="auto"/>
          <w:sz w:val="24"/>
          <w:szCs w:val="24"/>
          <w:highlight w:val="none"/>
        </w:rPr>
        <w:t>。</w:t>
      </w:r>
    </w:p>
    <w:p w14:paraId="1CAD1B8D">
      <w:pPr>
        <w:spacing w:line="360" w:lineRule="auto"/>
        <w:ind w:firstLine="437"/>
        <w:outlineLvl w:val="1"/>
        <w:rPr>
          <w:rFonts w:ascii="宋体" w:hAnsi="宋体" w:eastAsia="宋体"/>
          <w:b/>
          <w:color w:val="auto"/>
          <w:sz w:val="24"/>
          <w:szCs w:val="18"/>
          <w:highlight w:val="none"/>
        </w:rPr>
      </w:pPr>
      <w:bookmarkStart w:id="6" w:name="_Toc8586"/>
      <w:bookmarkStart w:id="7" w:name="_Toc21757"/>
      <w:r>
        <w:rPr>
          <w:rFonts w:hint="eastAsia" w:ascii="宋体" w:hAnsi="宋体" w:eastAsia="宋体"/>
          <w:b/>
          <w:color w:val="auto"/>
          <w:sz w:val="24"/>
          <w:szCs w:val="18"/>
          <w:highlight w:val="none"/>
        </w:rPr>
        <w:t>三、服务</w:t>
      </w:r>
      <w:r>
        <w:rPr>
          <w:rFonts w:hint="eastAsia" w:ascii="宋体" w:hAnsi="宋体" w:eastAsia="宋体"/>
          <w:b/>
          <w:color w:val="auto"/>
          <w:sz w:val="24"/>
          <w:szCs w:val="18"/>
          <w:highlight w:val="none"/>
          <w:lang w:val="en-US" w:eastAsia="zh-CN"/>
        </w:rPr>
        <w:t>人员</w:t>
      </w:r>
      <w:r>
        <w:rPr>
          <w:rFonts w:hint="eastAsia" w:ascii="宋体" w:hAnsi="宋体" w:eastAsia="宋体"/>
          <w:b/>
          <w:color w:val="auto"/>
          <w:sz w:val="24"/>
          <w:szCs w:val="18"/>
          <w:highlight w:val="none"/>
        </w:rPr>
        <w:t>需求</w:t>
      </w:r>
      <w:bookmarkEnd w:id="6"/>
      <w:bookmarkEnd w:id="7"/>
    </w:p>
    <w:p w14:paraId="318A65B0">
      <w:pPr>
        <w:spacing w:line="360" w:lineRule="auto"/>
        <w:ind w:firstLine="640"/>
        <w:rPr>
          <w:rFonts w:hint="eastAsia" w:ascii="宋体" w:hAnsi="宋体" w:eastAsia="宋体" w:cs="仿宋_GB2312"/>
          <w:sz w:val="24"/>
          <w:szCs w:val="24"/>
          <w:highlight w:val="none"/>
        </w:rPr>
      </w:pPr>
      <w:r>
        <w:rPr>
          <w:rFonts w:hint="eastAsia" w:ascii="宋体" w:hAnsi="宋体" w:eastAsia="宋体" w:cs="仿宋_GB2312"/>
          <w:sz w:val="24"/>
          <w:szCs w:val="24"/>
          <w:highlight w:val="none"/>
        </w:rPr>
        <w:t>成交供应商应独立、公正地完成评价工作，每个评价项目应指定专人负责，评价工作方案一经确定，项目负责人不得变动。</w:t>
      </w:r>
    </w:p>
    <w:p w14:paraId="36BB7D5E">
      <w:pPr>
        <w:spacing w:line="360" w:lineRule="auto"/>
        <w:ind w:firstLine="640"/>
        <w:rPr>
          <w:rFonts w:hint="eastAsia" w:ascii="宋体" w:hAnsi="宋体" w:eastAsia="宋体" w:cs="仿宋_GB2312"/>
          <w:sz w:val="24"/>
          <w:szCs w:val="24"/>
          <w:highlight w:val="none"/>
        </w:rPr>
      </w:pPr>
      <w:r>
        <w:rPr>
          <w:rFonts w:hint="eastAsia" w:ascii="宋体" w:hAnsi="宋体" w:eastAsia="宋体" w:cs="仿宋_GB2312"/>
          <w:sz w:val="24"/>
          <w:szCs w:val="24"/>
          <w:highlight w:val="none"/>
        </w:rPr>
        <w:t>每个项目需建立项目组，项目组成员应具备开展预算绩效管理工作所必需的专业技术能力，熟练掌握项目支出绩效评价各项政策要求，其中项目负责人应具有丰富的预算绩效管理工作经验，项目组主要成员能保持稳定。各包人员要求如下：</w:t>
      </w:r>
    </w:p>
    <w:tbl>
      <w:tblPr>
        <w:tblStyle w:val="20"/>
        <w:tblW w:w="94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1440"/>
        <w:gridCol w:w="765"/>
        <w:gridCol w:w="2839"/>
        <w:gridCol w:w="2010"/>
        <w:gridCol w:w="1423"/>
      </w:tblGrid>
      <w:tr w14:paraId="6A91C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blHeader/>
          <w:jc w:val="center"/>
        </w:trPr>
        <w:tc>
          <w:tcPr>
            <w:tcW w:w="1008" w:type="dxa"/>
            <w:vAlign w:val="center"/>
          </w:tcPr>
          <w:p w14:paraId="6D1BCF51">
            <w:pPr>
              <w:spacing w:line="360" w:lineRule="auto"/>
              <w:jc w:val="center"/>
              <w:rPr>
                <w:rFonts w:hint="eastAsia" w:ascii="宋体" w:hAnsi="宋体" w:eastAsia="宋体" w:cs="宋体"/>
                <w:b/>
                <w:kern w:val="24"/>
                <w:sz w:val="24"/>
                <w:szCs w:val="24"/>
                <w:highlight w:val="none"/>
              </w:rPr>
            </w:pPr>
            <w:r>
              <w:rPr>
                <w:rFonts w:hint="eastAsia" w:ascii="宋体" w:hAnsi="宋体" w:eastAsia="宋体" w:cs="宋体"/>
                <w:b/>
                <w:kern w:val="24"/>
                <w:sz w:val="24"/>
                <w:szCs w:val="24"/>
                <w:highlight w:val="none"/>
              </w:rPr>
              <w:t>包别</w:t>
            </w:r>
          </w:p>
        </w:tc>
        <w:tc>
          <w:tcPr>
            <w:tcW w:w="1440" w:type="dxa"/>
            <w:vAlign w:val="center"/>
          </w:tcPr>
          <w:p w14:paraId="29D7284D">
            <w:pPr>
              <w:spacing w:line="360" w:lineRule="auto"/>
              <w:jc w:val="center"/>
              <w:rPr>
                <w:rFonts w:hint="eastAsia" w:ascii="宋体" w:hAnsi="宋体" w:eastAsia="宋体" w:cs="宋体"/>
                <w:b/>
                <w:kern w:val="24"/>
                <w:sz w:val="24"/>
                <w:szCs w:val="24"/>
                <w:highlight w:val="none"/>
              </w:rPr>
            </w:pPr>
            <w:r>
              <w:rPr>
                <w:rFonts w:hint="eastAsia" w:ascii="宋体" w:hAnsi="宋体" w:eastAsia="宋体" w:cs="宋体"/>
                <w:b/>
                <w:kern w:val="24"/>
                <w:sz w:val="24"/>
                <w:szCs w:val="24"/>
                <w:highlight w:val="none"/>
              </w:rPr>
              <w:t>人员</w:t>
            </w:r>
          </w:p>
        </w:tc>
        <w:tc>
          <w:tcPr>
            <w:tcW w:w="765" w:type="dxa"/>
            <w:vAlign w:val="center"/>
          </w:tcPr>
          <w:p w14:paraId="19C763D5">
            <w:pPr>
              <w:spacing w:line="360" w:lineRule="auto"/>
              <w:jc w:val="center"/>
              <w:rPr>
                <w:rFonts w:hint="eastAsia" w:ascii="宋体" w:hAnsi="宋体" w:eastAsia="宋体" w:cs="宋体"/>
                <w:b/>
                <w:kern w:val="24"/>
                <w:sz w:val="24"/>
                <w:szCs w:val="24"/>
                <w:highlight w:val="none"/>
              </w:rPr>
            </w:pPr>
            <w:r>
              <w:rPr>
                <w:rFonts w:hint="eastAsia" w:ascii="宋体" w:hAnsi="宋体" w:eastAsia="宋体" w:cs="宋体"/>
                <w:b/>
                <w:kern w:val="24"/>
                <w:sz w:val="24"/>
                <w:szCs w:val="24"/>
                <w:highlight w:val="none"/>
              </w:rPr>
              <w:t>人数</w:t>
            </w:r>
          </w:p>
        </w:tc>
        <w:tc>
          <w:tcPr>
            <w:tcW w:w="2839" w:type="dxa"/>
            <w:vAlign w:val="center"/>
          </w:tcPr>
          <w:p w14:paraId="61505FE9">
            <w:pPr>
              <w:spacing w:line="360" w:lineRule="auto"/>
              <w:jc w:val="center"/>
              <w:rPr>
                <w:rFonts w:hint="eastAsia" w:ascii="宋体" w:hAnsi="宋体" w:eastAsia="宋体" w:cs="宋体"/>
                <w:b/>
                <w:kern w:val="24"/>
                <w:sz w:val="24"/>
                <w:szCs w:val="24"/>
                <w:highlight w:val="none"/>
              </w:rPr>
            </w:pPr>
            <w:r>
              <w:rPr>
                <w:rFonts w:hint="eastAsia" w:ascii="宋体" w:hAnsi="宋体" w:eastAsia="宋体" w:cs="宋体"/>
                <w:b/>
                <w:kern w:val="24"/>
                <w:sz w:val="24"/>
                <w:szCs w:val="24"/>
                <w:highlight w:val="none"/>
              </w:rPr>
              <w:t>学历专业</w:t>
            </w:r>
          </w:p>
        </w:tc>
        <w:tc>
          <w:tcPr>
            <w:tcW w:w="2010" w:type="dxa"/>
            <w:vAlign w:val="center"/>
          </w:tcPr>
          <w:p w14:paraId="58401919">
            <w:pPr>
              <w:spacing w:line="360" w:lineRule="auto"/>
              <w:jc w:val="center"/>
              <w:rPr>
                <w:rFonts w:hint="eastAsia" w:ascii="宋体" w:hAnsi="宋体" w:eastAsia="宋体" w:cs="宋体"/>
                <w:b/>
                <w:kern w:val="24"/>
                <w:sz w:val="24"/>
                <w:szCs w:val="24"/>
                <w:highlight w:val="none"/>
              </w:rPr>
            </w:pPr>
            <w:r>
              <w:rPr>
                <w:rFonts w:hint="eastAsia" w:ascii="宋体" w:hAnsi="宋体" w:eastAsia="宋体" w:cs="宋体"/>
                <w:b/>
                <w:kern w:val="24"/>
                <w:sz w:val="24"/>
                <w:szCs w:val="24"/>
                <w:highlight w:val="none"/>
              </w:rPr>
              <w:t>资质要求</w:t>
            </w:r>
          </w:p>
        </w:tc>
        <w:tc>
          <w:tcPr>
            <w:tcW w:w="1423" w:type="dxa"/>
            <w:vAlign w:val="center"/>
          </w:tcPr>
          <w:p w14:paraId="1527EBBE">
            <w:pPr>
              <w:widowControl/>
              <w:spacing w:line="360" w:lineRule="auto"/>
              <w:jc w:val="center"/>
              <w:rPr>
                <w:rFonts w:hint="eastAsia" w:ascii="宋体" w:hAnsi="宋体" w:eastAsia="宋体" w:cs="宋体"/>
                <w:b/>
                <w:kern w:val="24"/>
                <w:sz w:val="24"/>
                <w:szCs w:val="24"/>
                <w:highlight w:val="none"/>
              </w:rPr>
            </w:pPr>
            <w:r>
              <w:rPr>
                <w:rFonts w:hint="eastAsia" w:ascii="宋体" w:hAnsi="宋体" w:eastAsia="宋体" w:cs="宋体"/>
                <w:b/>
                <w:kern w:val="24"/>
                <w:sz w:val="24"/>
                <w:szCs w:val="24"/>
                <w:highlight w:val="none"/>
              </w:rPr>
              <w:t>工作年限</w:t>
            </w:r>
          </w:p>
        </w:tc>
      </w:tr>
      <w:tr w14:paraId="1C7DF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vMerge w:val="restart"/>
            <w:vAlign w:val="center"/>
          </w:tcPr>
          <w:p w14:paraId="4A29B9FC">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w:t>
            </w:r>
          </w:p>
        </w:tc>
        <w:tc>
          <w:tcPr>
            <w:tcW w:w="1440" w:type="dxa"/>
            <w:vAlign w:val="center"/>
          </w:tcPr>
          <w:p w14:paraId="0FBCEECF">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项目负责人</w:t>
            </w:r>
          </w:p>
        </w:tc>
        <w:tc>
          <w:tcPr>
            <w:tcW w:w="765" w:type="dxa"/>
            <w:vAlign w:val="center"/>
          </w:tcPr>
          <w:p w14:paraId="64FC337C">
            <w:pPr>
              <w:widowControl/>
              <w:spacing w:line="360" w:lineRule="auto"/>
              <w:jc w:val="center"/>
              <w:rPr>
                <w:rFonts w:hint="eastAsia" w:ascii="宋体" w:hAnsi="宋体" w:eastAsia="宋体" w:cs="宋体"/>
                <w:kern w:val="0"/>
                <w:sz w:val="24"/>
                <w:szCs w:val="24"/>
                <w:highlight w:val="none"/>
                <w:lang w:eastAsia="zh-CN"/>
              </w:rPr>
            </w:pPr>
            <w:r>
              <w:rPr>
                <w:rFonts w:hint="eastAsia" w:ascii="宋体" w:hAnsi="宋体" w:eastAsia="宋体" w:cs="宋体"/>
                <w:kern w:val="0"/>
                <w:sz w:val="24"/>
                <w:szCs w:val="24"/>
                <w:highlight w:val="none"/>
                <w:lang w:val="en-US" w:eastAsia="zh-CN"/>
              </w:rPr>
              <w:t>2</w:t>
            </w:r>
          </w:p>
        </w:tc>
        <w:tc>
          <w:tcPr>
            <w:tcW w:w="2839" w:type="dxa"/>
            <w:vAlign w:val="center"/>
          </w:tcPr>
          <w:p w14:paraId="1FB38B4F">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1人</w:t>
            </w:r>
            <w:r>
              <w:rPr>
                <w:rFonts w:ascii="宋体" w:hAnsi="宋体" w:eastAsia="宋体" w:cs="宋体"/>
                <w:kern w:val="0"/>
                <w:sz w:val="24"/>
                <w:szCs w:val="24"/>
                <w:highlight w:val="none"/>
              </w:rPr>
              <w:t>为</w:t>
            </w:r>
            <w:r>
              <w:rPr>
                <w:rFonts w:hint="eastAsia" w:ascii="宋体" w:hAnsi="宋体" w:eastAsia="宋体" w:cs="宋体"/>
                <w:kern w:val="0"/>
                <w:sz w:val="24"/>
                <w:szCs w:val="24"/>
                <w:highlight w:val="none"/>
              </w:rPr>
              <w:t>财务类相关专业，1人</w:t>
            </w:r>
            <w:r>
              <w:rPr>
                <w:rFonts w:ascii="宋体" w:hAnsi="宋体" w:eastAsia="宋体" w:cs="宋体"/>
                <w:kern w:val="0"/>
                <w:sz w:val="24"/>
                <w:szCs w:val="24"/>
                <w:highlight w:val="none"/>
              </w:rPr>
              <w:t>为</w:t>
            </w:r>
            <w:r>
              <w:rPr>
                <w:rFonts w:hint="eastAsia" w:ascii="宋体" w:hAnsi="宋体" w:eastAsia="宋体" w:cs="宋体"/>
                <w:kern w:val="0"/>
                <w:sz w:val="24"/>
                <w:szCs w:val="24"/>
                <w:highlight w:val="none"/>
              </w:rPr>
              <w:t>工程类相关专业</w:t>
            </w:r>
          </w:p>
        </w:tc>
        <w:tc>
          <w:tcPr>
            <w:tcW w:w="2010" w:type="dxa"/>
            <w:vAlign w:val="center"/>
          </w:tcPr>
          <w:p w14:paraId="4BC29C39">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注册会计师1名、注册造价师1名</w:t>
            </w:r>
          </w:p>
        </w:tc>
        <w:tc>
          <w:tcPr>
            <w:tcW w:w="1423" w:type="dxa"/>
            <w:vMerge w:val="restart"/>
            <w:vAlign w:val="center"/>
          </w:tcPr>
          <w:p w14:paraId="1AEC18B7">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五年及以上</w:t>
            </w:r>
          </w:p>
        </w:tc>
      </w:tr>
      <w:tr w14:paraId="139BE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08" w:type="dxa"/>
            <w:vMerge w:val="continue"/>
            <w:vAlign w:val="center"/>
          </w:tcPr>
          <w:p w14:paraId="3AF273DE">
            <w:pPr>
              <w:widowControl/>
              <w:spacing w:line="360" w:lineRule="auto"/>
              <w:jc w:val="center"/>
              <w:rPr>
                <w:rFonts w:hint="eastAsia" w:ascii="宋体" w:hAnsi="宋体" w:eastAsia="宋体" w:cs="宋体"/>
                <w:kern w:val="0"/>
                <w:sz w:val="24"/>
                <w:szCs w:val="24"/>
                <w:highlight w:val="none"/>
              </w:rPr>
            </w:pPr>
          </w:p>
        </w:tc>
        <w:tc>
          <w:tcPr>
            <w:tcW w:w="1440" w:type="dxa"/>
            <w:vAlign w:val="center"/>
          </w:tcPr>
          <w:p w14:paraId="665F579F">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评价人员</w:t>
            </w:r>
          </w:p>
        </w:tc>
        <w:tc>
          <w:tcPr>
            <w:tcW w:w="765" w:type="dxa"/>
            <w:vAlign w:val="center"/>
          </w:tcPr>
          <w:p w14:paraId="37107840">
            <w:pPr>
              <w:widowControl/>
              <w:spacing w:line="360" w:lineRule="auto"/>
              <w:jc w:val="center"/>
              <w:rPr>
                <w:rFonts w:hint="default"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14</w:t>
            </w:r>
          </w:p>
        </w:tc>
        <w:tc>
          <w:tcPr>
            <w:tcW w:w="2839" w:type="dxa"/>
            <w:vAlign w:val="center"/>
          </w:tcPr>
          <w:p w14:paraId="2263B251">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财务或工程类相关专业</w:t>
            </w:r>
          </w:p>
        </w:tc>
        <w:tc>
          <w:tcPr>
            <w:tcW w:w="2010" w:type="dxa"/>
            <w:vAlign w:val="center"/>
          </w:tcPr>
          <w:p w14:paraId="0473DEBD">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会计师或工程师</w:t>
            </w:r>
          </w:p>
        </w:tc>
        <w:tc>
          <w:tcPr>
            <w:tcW w:w="1423" w:type="dxa"/>
            <w:vMerge w:val="continue"/>
            <w:vAlign w:val="center"/>
          </w:tcPr>
          <w:p w14:paraId="708BCD38">
            <w:pPr>
              <w:widowControl/>
              <w:spacing w:line="360" w:lineRule="auto"/>
              <w:jc w:val="center"/>
              <w:rPr>
                <w:rFonts w:hint="eastAsia" w:ascii="宋体" w:hAnsi="宋体" w:eastAsia="宋体" w:cs="宋体"/>
                <w:kern w:val="0"/>
                <w:sz w:val="24"/>
                <w:szCs w:val="24"/>
                <w:highlight w:val="none"/>
              </w:rPr>
            </w:pPr>
          </w:p>
        </w:tc>
      </w:tr>
      <w:tr w14:paraId="71D68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1008" w:type="dxa"/>
            <w:vMerge w:val="restart"/>
            <w:vAlign w:val="center"/>
          </w:tcPr>
          <w:p w14:paraId="102D8FDB">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1440" w:type="dxa"/>
            <w:vAlign w:val="center"/>
          </w:tcPr>
          <w:p w14:paraId="23E4680E">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项目负责人</w:t>
            </w:r>
          </w:p>
        </w:tc>
        <w:tc>
          <w:tcPr>
            <w:tcW w:w="765" w:type="dxa"/>
            <w:vAlign w:val="center"/>
          </w:tcPr>
          <w:p w14:paraId="4C26E713">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2839" w:type="dxa"/>
            <w:vAlign w:val="center"/>
          </w:tcPr>
          <w:p w14:paraId="45562F3A">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1人</w:t>
            </w:r>
            <w:r>
              <w:rPr>
                <w:rFonts w:ascii="宋体" w:hAnsi="宋体" w:eastAsia="宋体" w:cs="宋体"/>
                <w:kern w:val="0"/>
                <w:sz w:val="24"/>
                <w:szCs w:val="24"/>
                <w:highlight w:val="none"/>
              </w:rPr>
              <w:t>为</w:t>
            </w:r>
            <w:r>
              <w:rPr>
                <w:rFonts w:hint="eastAsia" w:ascii="宋体" w:hAnsi="宋体" w:eastAsia="宋体" w:cs="宋体"/>
                <w:kern w:val="0"/>
                <w:sz w:val="24"/>
                <w:szCs w:val="24"/>
                <w:highlight w:val="none"/>
              </w:rPr>
              <w:t>财务类相关专业，1人</w:t>
            </w:r>
            <w:r>
              <w:rPr>
                <w:rFonts w:ascii="宋体" w:hAnsi="宋体" w:eastAsia="宋体" w:cs="宋体"/>
                <w:kern w:val="0"/>
                <w:sz w:val="24"/>
                <w:szCs w:val="24"/>
                <w:highlight w:val="none"/>
              </w:rPr>
              <w:t>为</w:t>
            </w:r>
            <w:r>
              <w:rPr>
                <w:rFonts w:hint="eastAsia" w:ascii="宋体" w:hAnsi="宋体" w:eastAsia="宋体" w:cs="宋体"/>
                <w:kern w:val="0"/>
                <w:sz w:val="24"/>
                <w:szCs w:val="24"/>
                <w:highlight w:val="none"/>
              </w:rPr>
              <w:t>工程类相关专业</w:t>
            </w:r>
          </w:p>
        </w:tc>
        <w:tc>
          <w:tcPr>
            <w:tcW w:w="2010" w:type="dxa"/>
            <w:vAlign w:val="center"/>
          </w:tcPr>
          <w:p w14:paraId="24CECE11">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注册会计师1名、注册造价师1名</w:t>
            </w:r>
          </w:p>
        </w:tc>
        <w:tc>
          <w:tcPr>
            <w:tcW w:w="1423" w:type="dxa"/>
            <w:vMerge w:val="restart"/>
            <w:vAlign w:val="center"/>
          </w:tcPr>
          <w:p w14:paraId="66A611AA">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五年及以上</w:t>
            </w:r>
          </w:p>
        </w:tc>
      </w:tr>
      <w:tr w14:paraId="06BCE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1008" w:type="dxa"/>
            <w:vMerge w:val="continue"/>
            <w:vAlign w:val="center"/>
          </w:tcPr>
          <w:p w14:paraId="606683BF">
            <w:pPr>
              <w:widowControl/>
              <w:spacing w:line="360" w:lineRule="auto"/>
              <w:jc w:val="center"/>
              <w:rPr>
                <w:rFonts w:hint="eastAsia" w:ascii="宋体" w:hAnsi="宋体" w:eastAsia="宋体" w:cs="宋体"/>
                <w:kern w:val="0"/>
                <w:sz w:val="24"/>
                <w:szCs w:val="24"/>
                <w:highlight w:val="none"/>
              </w:rPr>
            </w:pPr>
          </w:p>
        </w:tc>
        <w:tc>
          <w:tcPr>
            <w:tcW w:w="1440" w:type="dxa"/>
            <w:vAlign w:val="center"/>
          </w:tcPr>
          <w:p w14:paraId="4DE9365F">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评价人员</w:t>
            </w:r>
          </w:p>
        </w:tc>
        <w:tc>
          <w:tcPr>
            <w:tcW w:w="765" w:type="dxa"/>
            <w:vAlign w:val="center"/>
          </w:tcPr>
          <w:p w14:paraId="77DC9489">
            <w:pPr>
              <w:widowControl/>
              <w:spacing w:line="360" w:lineRule="auto"/>
              <w:jc w:val="center"/>
              <w:rPr>
                <w:rFonts w:hint="default"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10</w:t>
            </w:r>
          </w:p>
        </w:tc>
        <w:tc>
          <w:tcPr>
            <w:tcW w:w="2839" w:type="dxa"/>
            <w:vAlign w:val="center"/>
          </w:tcPr>
          <w:p w14:paraId="3132E381">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财务或工程类相关专业</w:t>
            </w:r>
          </w:p>
        </w:tc>
        <w:tc>
          <w:tcPr>
            <w:tcW w:w="2010" w:type="dxa"/>
            <w:vAlign w:val="center"/>
          </w:tcPr>
          <w:p w14:paraId="4BFC0C6C">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会计师或工程师</w:t>
            </w:r>
          </w:p>
        </w:tc>
        <w:tc>
          <w:tcPr>
            <w:tcW w:w="1423" w:type="dxa"/>
            <w:vMerge w:val="continue"/>
            <w:vAlign w:val="center"/>
          </w:tcPr>
          <w:p w14:paraId="11C4BD1D">
            <w:pPr>
              <w:widowControl/>
              <w:spacing w:line="360" w:lineRule="auto"/>
              <w:jc w:val="center"/>
              <w:rPr>
                <w:rFonts w:hint="eastAsia" w:ascii="宋体" w:hAnsi="宋体" w:eastAsia="宋体" w:cs="宋体"/>
                <w:kern w:val="0"/>
                <w:sz w:val="24"/>
                <w:szCs w:val="24"/>
                <w:highlight w:val="none"/>
              </w:rPr>
            </w:pPr>
          </w:p>
        </w:tc>
      </w:tr>
      <w:tr w14:paraId="356D9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vMerge w:val="restart"/>
            <w:vAlign w:val="center"/>
          </w:tcPr>
          <w:p w14:paraId="21D06642">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3</w:t>
            </w:r>
          </w:p>
        </w:tc>
        <w:tc>
          <w:tcPr>
            <w:tcW w:w="1440" w:type="dxa"/>
            <w:vAlign w:val="center"/>
          </w:tcPr>
          <w:p w14:paraId="08053700">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项目负责人</w:t>
            </w:r>
          </w:p>
        </w:tc>
        <w:tc>
          <w:tcPr>
            <w:tcW w:w="765" w:type="dxa"/>
            <w:vAlign w:val="center"/>
          </w:tcPr>
          <w:p w14:paraId="6E66C1DA">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2</w:t>
            </w:r>
          </w:p>
        </w:tc>
        <w:tc>
          <w:tcPr>
            <w:tcW w:w="2839" w:type="dxa"/>
            <w:vAlign w:val="center"/>
          </w:tcPr>
          <w:p w14:paraId="0D73CA98">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1人</w:t>
            </w:r>
            <w:r>
              <w:rPr>
                <w:rFonts w:ascii="宋体" w:hAnsi="宋体" w:eastAsia="宋体" w:cs="宋体"/>
                <w:kern w:val="0"/>
                <w:sz w:val="24"/>
                <w:szCs w:val="24"/>
                <w:highlight w:val="none"/>
              </w:rPr>
              <w:t>为</w:t>
            </w:r>
            <w:r>
              <w:rPr>
                <w:rFonts w:hint="eastAsia" w:ascii="宋体" w:hAnsi="宋体" w:eastAsia="宋体" w:cs="宋体"/>
                <w:kern w:val="0"/>
                <w:sz w:val="24"/>
                <w:szCs w:val="24"/>
                <w:highlight w:val="none"/>
              </w:rPr>
              <w:t>财务类相关专业，1人</w:t>
            </w:r>
            <w:r>
              <w:rPr>
                <w:rFonts w:ascii="宋体" w:hAnsi="宋体" w:eastAsia="宋体" w:cs="宋体"/>
                <w:kern w:val="0"/>
                <w:sz w:val="24"/>
                <w:szCs w:val="24"/>
                <w:highlight w:val="none"/>
              </w:rPr>
              <w:t>为</w:t>
            </w:r>
            <w:r>
              <w:rPr>
                <w:rFonts w:hint="eastAsia" w:ascii="宋体" w:hAnsi="宋体" w:eastAsia="宋体" w:cs="宋体"/>
                <w:kern w:val="0"/>
                <w:sz w:val="24"/>
                <w:szCs w:val="24"/>
                <w:highlight w:val="none"/>
              </w:rPr>
              <w:t>工程类相关专业</w:t>
            </w:r>
          </w:p>
        </w:tc>
        <w:tc>
          <w:tcPr>
            <w:tcW w:w="2010" w:type="dxa"/>
            <w:vAlign w:val="center"/>
          </w:tcPr>
          <w:p w14:paraId="473F8DE1">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注册会计师1名、注册造价师1名</w:t>
            </w:r>
          </w:p>
        </w:tc>
        <w:tc>
          <w:tcPr>
            <w:tcW w:w="1423" w:type="dxa"/>
            <w:vMerge w:val="restart"/>
            <w:vAlign w:val="center"/>
          </w:tcPr>
          <w:p w14:paraId="5FCEC9EA">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五年及以上</w:t>
            </w:r>
          </w:p>
        </w:tc>
      </w:tr>
      <w:tr w14:paraId="26FF4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1008" w:type="dxa"/>
            <w:vMerge w:val="continue"/>
            <w:vAlign w:val="center"/>
          </w:tcPr>
          <w:p w14:paraId="59EB5619">
            <w:pPr>
              <w:widowControl/>
              <w:spacing w:line="360" w:lineRule="auto"/>
              <w:jc w:val="center"/>
              <w:rPr>
                <w:rFonts w:hint="eastAsia" w:ascii="宋体" w:hAnsi="宋体" w:eastAsia="宋体" w:cs="宋体"/>
                <w:kern w:val="0"/>
                <w:sz w:val="24"/>
                <w:szCs w:val="24"/>
                <w:highlight w:val="none"/>
              </w:rPr>
            </w:pPr>
          </w:p>
        </w:tc>
        <w:tc>
          <w:tcPr>
            <w:tcW w:w="1440" w:type="dxa"/>
            <w:vAlign w:val="center"/>
          </w:tcPr>
          <w:p w14:paraId="1D624A16">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评价人员</w:t>
            </w:r>
          </w:p>
        </w:tc>
        <w:tc>
          <w:tcPr>
            <w:tcW w:w="765" w:type="dxa"/>
            <w:vAlign w:val="center"/>
          </w:tcPr>
          <w:p w14:paraId="1B621802">
            <w:pPr>
              <w:widowControl/>
              <w:spacing w:line="360" w:lineRule="auto"/>
              <w:jc w:val="center"/>
              <w:rPr>
                <w:rFonts w:hint="default"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10</w:t>
            </w:r>
          </w:p>
        </w:tc>
        <w:tc>
          <w:tcPr>
            <w:tcW w:w="2839" w:type="dxa"/>
            <w:vAlign w:val="center"/>
          </w:tcPr>
          <w:p w14:paraId="2F216A0C">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财务或工程类相关专业</w:t>
            </w:r>
          </w:p>
        </w:tc>
        <w:tc>
          <w:tcPr>
            <w:tcW w:w="2010" w:type="dxa"/>
            <w:vAlign w:val="center"/>
          </w:tcPr>
          <w:p w14:paraId="4ABAB986">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会计师或工程师</w:t>
            </w:r>
          </w:p>
        </w:tc>
        <w:tc>
          <w:tcPr>
            <w:tcW w:w="1423" w:type="dxa"/>
            <w:vMerge w:val="continue"/>
            <w:vAlign w:val="center"/>
          </w:tcPr>
          <w:p w14:paraId="2FC45454">
            <w:pPr>
              <w:widowControl/>
              <w:spacing w:line="360" w:lineRule="auto"/>
              <w:jc w:val="center"/>
              <w:rPr>
                <w:rFonts w:hint="eastAsia" w:ascii="宋体" w:hAnsi="宋体" w:eastAsia="宋体" w:cs="宋体"/>
                <w:kern w:val="0"/>
                <w:sz w:val="24"/>
                <w:szCs w:val="24"/>
                <w:highlight w:val="none"/>
              </w:rPr>
            </w:pPr>
          </w:p>
        </w:tc>
      </w:tr>
      <w:tr w14:paraId="211B2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008" w:type="dxa"/>
            <w:vMerge w:val="restart"/>
            <w:vAlign w:val="center"/>
          </w:tcPr>
          <w:p w14:paraId="57C51D76">
            <w:pPr>
              <w:widowControl/>
              <w:spacing w:line="360" w:lineRule="auto"/>
              <w:jc w:val="cente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4</w:t>
            </w:r>
          </w:p>
        </w:tc>
        <w:tc>
          <w:tcPr>
            <w:tcW w:w="1440" w:type="dxa"/>
            <w:vAlign w:val="center"/>
          </w:tcPr>
          <w:p w14:paraId="2DBFDAF2">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项目负责人</w:t>
            </w:r>
          </w:p>
        </w:tc>
        <w:tc>
          <w:tcPr>
            <w:tcW w:w="765" w:type="dxa"/>
            <w:vAlign w:val="center"/>
          </w:tcPr>
          <w:p w14:paraId="38FD68CA">
            <w:pPr>
              <w:widowControl/>
              <w:spacing w:line="360" w:lineRule="auto"/>
              <w:jc w:val="cente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1</w:t>
            </w:r>
          </w:p>
        </w:tc>
        <w:tc>
          <w:tcPr>
            <w:tcW w:w="2839" w:type="dxa"/>
            <w:vMerge w:val="restart"/>
            <w:vAlign w:val="center"/>
          </w:tcPr>
          <w:p w14:paraId="43608895">
            <w:pPr>
              <w:spacing w:line="360" w:lineRule="auto"/>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具有预算绩效管理工作经验</w:t>
            </w:r>
          </w:p>
        </w:tc>
        <w:tc>
          <w:tcPr>
            <w:tcW w:w="2010" w:type="dxa"/>
            <w:vAlign w:val="center"/>
          </w:tcPr>
          <w:p w14:paraId="294652E7">
            <w:pPr>
              <w:widowControl/>
              <w:spacing w:line="360" w:lineRule="auto"/>
              <w:jc w:val="cente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w:t>
            </w:r>
          </w:p>
        </w:tc>
        <w:tc>
          <w:tcPr>
            <w:tcW w:w="1423" w:type="dxa"/>
            <w:vAlign w:val="center"/>
          </w:tcPr>
          <w:p w14:paraId="5DAF88D3">
            <w:pPr>
              <w:widowControl/>
              <w:spacing w:line="360" w:lineRule="auto"/>
              <w:jc w:val="cente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w:t>
            </w:r>
          </w:p>
        </w:tc>
      </w:tr>
      <w:tr w14:paraId="4A5D2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008" w:type="dxa"/>
            <w:vMerge w:val="continue"/>
            <w:vAlign w:val="center"/>
          </w:tcPr>
          <w:p w14:paraId="2D22EEDD">
            <w:pPr>
              <w:widowControl/>
              <w:spacing w:line="360" w:lineRule="auto"/>
              <w:jc w:val="center"/>
              <w:rPr>
                <w:rFonts w:hint="eastAsia" w:ascii="宋体" w:hAnsi="宋体" w:eastAsia="宋体" w:cs="宋体"/>
                <w:kern w:val="0"/>
                <w:sz w:val="24"/>
                <w:szCs w:val="24"/>
                <w:highlight w:val="none"/>
              </w:rPr>
            </w:pPr>
          </w:p>
        </w:tc>
        <w:tc>
          <w:tcPr>
            <w:tcW w:w="1440" w:type="dxa"/>
            <w:vAlign w:val="center"/>
          </w:tcPr>
          <w:p w14:paraId="41B61F7C">
            <w:pPr>
              <w:widowControl/>
              <w:spacing w:line="360" w:lineRule="auto"/>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lang w:eastAsia="zh-CN"/>
              </w:rPr>
              <w:t>工作</w:t>
            </w:r>
            <w:r>
              <w:rPr>
                <w:rFonts w:hint="eastAsia" w:ascii="宋体" w:hAnsi="宋体" w:eastAsia="宋体" w:cs="宋体"/>
                <w:kern w:val="0"/>
                <w:sz w:val="24"/>
                <w:szCs w:val="24"/>
                <w:highlight w:val="none"/>
              </w:rPr>
              <w:t>人员</w:t>
            </w:r>
          </w:p>
        </w:tc>
        <w:tc>
          <w:tcPr>
            <w:tcW w:w="765" w:type="dxa"/>
            <w:vAlign w:val="center"/>
          </w:tcPr>
          <w:p w14:paraId="21B9ADA8">
            <w:pPr>
              <w:widowControl/>
              <w:spacing w:line="360" w:lineRule="auto"/>
              <w:jc w:val="cente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5</w:t>
            </w:r>
          </w:p>
        </w:tc>
        <w:tc>
          <w:tcPr>
            <w:tcW w:w="2839" w:type="dxa"/>
            <w:vMerge w:val="continue"/>
            <w:vAlign w:val="center"/>
          </w:tcPr>
          <w:p w14:paraId="08DA24E0">
            <w:pPr>
              <w:spacing w:line="360" w:lineRule="auto"/>
              <w:jc w:val="center"/>
              <w:rPr>
                <w:rFonts w:hint="eastAsia" w:ascii="宋体" w:hAnsi="宋体" w:eastAsia="宋体" w:cs="宋体"/>
                <w:sz w:val="24"/>
                <w:szCs w:val="24"/>
                <w:highlight w:val="none"/>
              </w:rPr>
            </w:pPr>
          </w:p>
        </w:tc>
        <w:tc>
          <w:tcPr>
            <w:tcW w:w="2010" w:type="dxa"/>
            <w:vAlign w:val="center"/>
          </w:tcPr>
          <w:p w14:paraId="10CEC3A1">
            <w:pPr>
              <w:widowControl/>
              <w:spacing w:line="360" w:lineRule="auto"/>
              <w:jc w:val="cente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w:t>
            </w:r>
          </w:p>
        </w:tc>
        <w:tc>
          <w:tcPr>
            <w:tcW w:w="1423" w:type="dxa"/>
            <w:vAlign w:val="center"/>
          </w:tcPr>
          <w:p w14:paraId="4475F76C">
            <w:pPr>
              <w:widowControl/>
              <w:spacing w:line="360" w:lineRule="auto"/>
              <w:jc w:val="center"/>
              <w:rPr>
                <w:rFonts w:hint="eastAsia" w:ascii="宋体" w:hAnsi="宋体" w:eastAsia="宋体" w:cs="宋体"/>
                <w:kern w:val="0"/>
                <w:sz w:val="24"/>
                <w:szCs w:val="24"/>
                <w:highlight w:val="none"/>
                <w:lang w:val="en-US" w:eastAsia="zh-CN"/>
              </w:rPr>
            </w:pPr>
            <w:r>
              <w:rPr>
                <w:rFonts w:hint="eastAsia" w:ascii="宋体" w:hAnsi="宋体" w:eastAsia="宋体" w:cs="宋体"/>
                <w:kern w:val="0"/>
                <w:sz w:val="24"/>
                <w:szCs w:val="24"/>
                <w:highlight w:val="none"/>
                <w:lang w:val="en-US" w:eastAsia="zh-CN"/>
              </w:rPr>
              <w:t>/</w:t>
            </w:r>
          </w:p>
        </w:tc>
      </w:tr>
    </w:tbl>
    <w:p w14:paraId="6B499227">
      <w:pPr>
        <w:spacing w:line="360" w:lineRule="auto"/>
        <w:ind w:firstLine="602" w:firstLineChars="250"/>
        <w:rPr>
          <w:rFonts w:ascii="宋体" w:hAnsi="宋体" w:eastAsia="宋体"/>
          <w:b/>
          <w:color w:val="auto"/>
          <w:sz w:val="24"/>
          <w:szCs w:val="18"/>
          <w:highlight w:val="none"/>
        </w:rPr>
      </w:pPr>
      <w:r>
        <w:rPr>
          <w:rFonts w:hint="eastAsia" w:ascii="宋体" w:hAnsi="宋体" w:eastAsia="宋体"/>
          <w:b/>
          <w:bCs w:val="0"/>
          <w:sz w:val="24"/>
          <w:szCs w:val="18"/>
          <w:highlight w:val="none"/>
        </w:rPr>
        <w:t>注：除评</w:t>
      </w:r>
      <w:r>
        <w:rPr>
          <w:rFonts w:hint="eastAsia" w:ascii="宋体" w:hAnsi="宋体" w:eastAsia="宋体"/>
          <w:b/>
          <w:bCs w:val="0"/>
          <w:sz w:val="24"/>
          <w:szCs w:val="18"/>
          <w:highlight w:val="none"/>
          <w:lang w:val="en-US" w:eastAsia="zh-CN"/>
        </w:rPr>
        <w:t>审</w:t>
      </w:r>
      <w:r>
        <w:rPr>
          <w:rFonts w:hint="eastAsia" w:ascii="宋体" w:hAnsi="宋体" w:eastAsia="宋体"/>
          <w:b/>
          <w:bCs w:val="0"/>
          <w:sz w:val="24"/>
          <w:szCs w:val="18"/>
          <w:highlight w:val="none"/>
        </w:rPr>
        <w:t>标准中要求提供的相关人员证明材料作为</w:t>
      </w:r>
      <w:r>
        <w:rPr>
          <w:rFonts w:hint="eastAsia" w:ascii="宋体" w:hAnsi="宋体" w:eastAsia="宋体"/>
          <w:b/>
          <w:bCs w:val="0"/>
          <w:sz w:val="24"/>
          <w:szCs w:val="18"/>
          <w:highlight w:val="none"/>
          <w:lang w:val="en-US" w:eastAsia="zh-CN"/>
        </w:rPr>
        <w:t>评审条件</w:t>
      </w:r>
      <w:r>
        <w:rPr>
          <w:rFonts w:hint="eastAsia" w:ascii="宋体" w:hAnsi="宋体" w:eastAsia="宋体"/>
          <w:b/>
          <w:bCs w:val="0"/>
          <w:sz w:val="24"/>
          <w:szCs w:val="18"/>
          <w:highlight w:val="none"/>
        </w:rPr>
        <w:t>外，供应商在响应文件中无须提供人员其他相关证明材料，由采购人在合同签订后成交供应商进场服务前核查人员配备情况，人员须按照要求配备到位，否则采购人有权解除合同并报监管部门按规定处理。</w:t>
      </w:r>
    </w:p>
    <w:p w14:paraId="29A1D6F8">
      <w:pPr>
        <w:numPr>
          <w:ilvl w:val="0"/>
          <w:numId w:val="1"/>
        </w:numPr>
        <w:spacing w:line="360" w:lineRule="auto"/>
        <w:ind w:firstLine="437"/>
        <w:outlineLvl w:val="1"/>
        <w:rPr>
          <w:rFonts w:hint="eastAsia" w:ascii="宋体" w:hAnsi="宋体" w:eastAsia="宋体"/>
          <w:b/>
          <w:color w:val="auto"/>
          <w:sz w:val="24"/>
          <w:szCs w:val="18"/>
          <w:highlight w:val="none"/>
        </w:rPr>
      </w:pPr>
      <w:bookmarkStart w:id="8" w:name="_Toc12910"/>
      <w:bookmarkStart w:id="9" w:name="_Toc18052"/>
      <w:r>
        <w:rPr>
          <w:rFonts w:hint="eastAsia" w:ascii="宋体" w:hAnsi="宋体" w:eastAsia="宋体"/>
          <w:b/>
          <w:color w:val="auto"/>
          <w:sz w:val="24"/>
          <w:szCs w:val="18"/>
          <w:highlight w:val="none"/>
        </w:rPr>
        <w:t>报价要求</w:t>
      </w:r>
      <w:bookmarkEnd w:id="8"/>
      <w:bookmarkEnd w:id="9"/>
    </w:p>
    <w:p w14:paraId="1ADF0ACD">
      <w:pPr>
        <w:adjustRightInd w:val="0"/>
        <w:spacing w:line="360" w:lineRule="auto"/>
        <w:ind w:firstLine="480" w:firstLineChars="200"/>
        <w:outlineLvl w:val="9"/>
        <w:rPr>
          <w:rFonts w:asciiTheme="minorEastAsia" w:hAnsiTheme="minorEastAsia" w:eastAsiaTheme="minorEastAsia"/>
          <w:color w:val="auto"/>
          <w:sz w:val="24"/>
          <w:highlight w:val="none"/>
        </w:rPr>
      </w:pPr>
      <w:r>
        <w:rPr>
          <w:rFonts w:hint="eastAsia" w:ascii="宋体" w:hAnsi="宋体" w:eastAsia="宋体" w:cs="@仿宋_GB2312"/>
          <w:b w:val="0"/>
          <w:bCs/>
          <w:color w:val="auto"/>
          <w:kern w:val="2"/>
          <w:sz w:val="24"/>
          <w:szCs w:val="18"/>
          <w:highlight w:val="none"/>
          <w:lang w:val="en-US" w:eastAsia="zh-CN" w:bidi="ar-SA"/>
        </w:rPr>
        <w:t>报价应包括</w:t>
      </w:r>
      <w:bookmarkStart w:id="10" w:name="OLE_LINK40"/>
      <w:r>
        <w:rPr>
          <w:rFonts w:hint="eastAsia" w:ascii="宋体" w:hAnsi="宋体" w:eastAsia="宋体" w:cs="@仿宋_GB2312"/>
          <w:b w:val="0"/>
          <w:bCs/>
          <w:color w:val="auto"/>
          <w:kern w:val="2"/>
          <w:sz w:val="24"/>
          <w:szCs w:val="18"/>
          <w:highlight w:val="none"/>
          <w:lang w:val="en-US" w:eastAsia="zh-CN" w:bidi="ar-SA"/>
        </w:rPr>
        <w:t>完成项目所需的全部费用。包括：人员工资、差旅费、交通费、食宿费、现场费用、设备使用费、税金、利润、不可预见费用等全部内容</w:t>
      </w:r>
      <w:bookmarkEnd w:id="10"/>
      <w:r>
        <w:rPr>
          <w:rFonts w:hint="eastAsia" w:ascii="宋体" w:hAnsi="宋体" w:eastAsia="宋体" w:cs="@仿宋_GB2312"/>
          <w:b w:val="0"/>
          <w:bCs/>
          <w:color w:val="auto"/>
          <w:kern w:val="2"/>
          <w:sz w:val="24"/>
          <w:szCs w:val="18"/>
          <w:highlight w:val="none"/>
          <w:lang w:val="en-US" w:eastAsia="zh-CN" w:bidi="ar-SA"/>
        </w:rPr>
        <w:t>。</w:t>
      </w:r>
      <w:bookmarkEnd w:id="3"/>
      <w:bookmarkStart w:id="11" w:name="_GoBack"/>
      <w:bookmarkEnd w:id="11"/>
    </w:p>
    <w:sectPr>
      <w:headerReference r:id="rId3" w:type="default"/>
      <w:footerReference r:id="rId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微软简标宋">
    <w:altName w:val="@宋体"/>
    <w:panose1 w:val="00000000000000000000"/>
    <w:charset w:val="86"/>
    <w:family w:val="auto"/>
    <w:pitch w:val="default"/>
    <w:sig w:usb0="00000000" w:usb1="00000000" w:usb2="00000010" w:usb3="00000000" w:csb0="00040000" w:csb1="00000000"/>
  </w:font>
  <w:font w:name="@宋体">
    <w:panose1 w:val="02010600030101010101"/>
    <w:charset w:val="86"/>
    <w:family w:val="auto"/>
    <w:pitch w:val="default"/>
    <w:sig w:usb0="00000203" w:usb1="288F0000" w:usb2="0000000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roman"/>
    <w:pitch w:val="default"/>
    <w:sig w:usb0="E00006FF" w:usb1="420024FF" w:usb2="02000000" w:usb3="00000000" w:csb0="2000019F" w:csb1="00000000"/>
  </w:font>
  <w:font w:name="TimesNewRomanPSMT">
    <w:altName w:val="Times New Roman"/>
    <w:panose1 w:val="00000000000000000000"/>
    <w:charset w:val="00"/>
    <w:family w:val="roman"/>
    <w:pitch w:val="default"/>
    <w:sig w:usb0="00000000" w:usb1="00000000" w:usb2="00000000" w:usb3="00000000" w:csb0="00000000" w:csb1="00000000"/>
  </w:font>
  <w:font w:name="Sylfaen">
    <w:panose1 w:val="010A0502050306030303"/>
    <w:charset w:val="00"/>
    <w:family w:val="roman"/>
    <w:pitch w:val="default"/>
    <w:sig w:usb0="04000687" w:usb1="00000000" w:usb2="00000000" w:usb3="00000000" w:csb0="2000009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13399">
    <w:pPr>
      <w:pStyle w:val="13"/>
      <w:rPr>
        <w:rFonts w:asciiTheme="minorEastAsia" w:hAnsiTheme="minorEastAsia" w:eastAsiaTheme="minorEastAsia"/>
        <w:sz w:val="21"/>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9128B3">
    <w:pPr>
      <w:pStyle w:val="14"/>
      <w:jc w:val="left"/>
      <w:rPr>
        <w:color w:val="auto"/>
      </w:rPr>
    </w:pPr>
    <w:r>
      <w:rPr>
        <w:rFonts w:hint="eastAsia" w:asciiTheme="minorEastAsia" w:hAnsiTheme="minorEastAsia" w:eastAsiaTheme="minorEastAsia"/>
        <w:color w:val="auto"/>
        <w:u w:val="none"/>
      </w:rPr>
      <w:t>安徽省交通运输厅2025年绩效评价（绩效管理）第三方机构采购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CB4D4AD"/>
    <w:multiLevelType w:val="singleLevel"/>
    <w:tmpl w:val="4CB4D4AD"/>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Q3NjljNDYyYWM5YzE1ZWYxOGI3NzhlZWIzNTAwNjIifQ=="/>
    <w:docVar w:name="KSO_WPS_MARK_KEY" w:val="23ed7145-745b-41ec-97ca-270a2e2bf469"/>
  </w:docVars>
  <w:rsids>
    <w:rsidRoot w:val="00276BA1"/>
    <w:rsid w:val="0000043F"/>
    <w:rsid w:val="000037F9"/>
    <w:rsid w:val="000049DA"/>
    <w:rsid w:val="00005403"/>
    <w:rsid w:val="000056B7"/>
    <w:rsid w:val="00007D87"/>
    <w:rsid w:val="000131F7"/>
    <w:rsid w:val="00014039"/>
    <w:rsid w:val="00016B6C"/>
    <w:rsid w:val="00020B57"/>
    <w:rsid w:val="00020B6D"/>
    <w:rsid w:val="000323E2"/>
    <w:rsid w:val="00040C25"/>
    <w:rsid w:val="00042139"/>
    <w:rsid w:val="00042B14"/>
    <w:rsid w:val="00044F49"/>
    <w:rsid w:val="000450C3"/>
    <w:rsid w:val="00050A3F"/>
    <w:rsid w:val="00052F95"/>
    <w:rsid w:val="00054AA3"/>
    <w:rsid w:val="00056ECB"/>
    <w:rsid w:val="00057B40"/>
    <w:rsid w:val="000648D2"/>
    <w:rsid w:val="00070E0E"/>
    <w:rsid w:val="0007146E"/>
    <w:rsid w:val="00076DB7"/>
    <w:rsid w:val="00080FEB"/>
    <w:rsid w:val="00094D41"/>
    <w:rsid w:val="00097CB9"/>
    <w:rsid w:val="000A0161"/>
    <w:rsid w:val="000A10A9"/>
    <w:rsid w:val="000A6693"/>
    <w:rsid w:val="000A7970"/>
    <w:rsid w:val="000A7D94"/>
    <w:rsid w:val="000B1511"/>
    <w:rsid w:val="000B6249"/>
    <w:rsid w:val="000C1DB1"/>
    <w:rsid w:val="000D19EC"/>
    <w:rsid w:val="000D3F37"/>
    <w:rsid w:val="000E3C74"/>
    <w:rsid w:val="000E3F9B"/>
    <w:rsid w:val="000E478E"/>
    <w:rsid w:val="000E6689"/>
    <w:rsid w:val="000F0EBF"/>
    <w:rsid w:val="000F172B"/>
    <w:rsid w:val="000F2198"/>
    <w:rsid w:val="000F39B6"/>
    <w:rsid w:val="000F3A94"/>
    <w:rsid w:val="000F6B7B"/>
    <w:rsid w:val="000F6F95"/>
    <w:rsid w:val="0010021F"/>
    <w:rsid w:val="00100B0F"/>
    <w:rsid w:val="0010187C"/>
    <w:rsid w:val="0010219C"/>
    <w:rsid w:val="001037E3"/>
    <w:rsid w:val="00107022"/>
    <w:rsid w:val="0011660B"/>
    <w:rsid w:val="0012143A"/>
    <w:rsid w:val="0012203E"/>
    <w:rsid w:val="001258BA"/>
    <w:rsid w:val="00130601"/>
    <w:rsid w:val="00132F4D"/>
    <w:rsid w:val="00133EA0"/>
    <w:rsid w:val="00137249"/>
    <w:rsid w:val="00140687"/>
    <w:rsid w:val="00146421"/>
    <w:rsid w:val="00153B20"/>
    <w:rsid w:val="00155F64"/>
    <w:rsid w:val="00157856"/>
    <w:rsid w:val="00160729"/>
    <w:rsid w:val="0016455F"/>
    <w:rsid w:val="00165398"/>
    <w:rsid w:val="00166794"/>
    <w:rsid w:val="00166ED8"/>
    <w:rsid w:val="001714C9"/>
    <w:rsid w:val="00171515"/>
    <w:rsid w:val="00172B93"/>
    <w:rsid w:val="001768BC"/>
    <w:rsid w:val="0018119B"/>
    <w:rsid w:val="001844AB"/>
    <w:rsid w:val="001853C7"/>
    <w:rsid w:val="00192879"/>
    <w:rsid w:val="001944B8"/>
    <w:rsid w:val="001967D2"/>
    <w:rsid w:val="00196DA3"/>
    <w:rsid w:val="001970C3"/>
    <w:rsid w:val="001971E5"/>
    <w:rsid w:val="001A0C0F"/>
    <w:rsid w:val="001A68E5"/>
    <w:rsid w:val="001B2A54"/>
    <w:rsid w:val="001B2BA4"/>
    <w:rsid w:val="001B5014"/>
    <w:rsid w:val="001B7327"/>
    <w:rsid w:val="001C2A15"/>
    <w:rsid w:val="001D22EA"/>
    <w:rsid w:val="001D53B4"/>
    <w:rsid w:val="001E1835"/>
    <w:rsid w:val="001F28D2"/>
    <w:rsid w:val="001F2F45"/>
    <w:rsid w:val="001F3023"/>
    <w:rsid w:val="001F35F6"/>
    <w:rsid w:val="001F4AAF"/>
    <w:rsid w:val="001F74CA"/>
    <w:rsid w:val="001F7590"/>
    <w:rsid w:val="002003B6"/>
    <w:rsid w:val="0020244A"/>
    <w:rsid w:val="002049B4"/>
    <w:rsid w:val="0020520B"/>
    <w:rsid w:val="002076AD"/>
    <w:rsid w:val="00213C55"/>
    <w:rsid w:val="00223CF4"/>
    <w:rsid w:val="00224B69"/>
    <w:rsid w:val="00224C4A"/>
    <w:rsid w:val="00231187"/>
    <w:rsid w:val="0023407E"/>
    <w:rsid w:val="00240B40"/>
    <w:rsid w:val="00244182"/>
    <w:rsid w:val="002544A1"/>
    <w:rsid w:val="00257ECE"/>
    <w:rsid w:val="00260382"/>
    <w:rsid w:val="00260B94"/>
    <w:rsid w:val="00264F2E"/>
    <w:rsid w:val="00271245"/>
    <w:rsid w:val="00272BD6"/>
    <w:rsid w:val="00273F66"/>
    <w:rsid w:val="00274A9E"/>
    <w:rsid w:val="00276BA1"/>
    <w:rsid w:val="00280984"/>
    <w:rsid w:val="002832CF"/>
    <w:rsid w:val="00283599"/>
    <w:rsid w:val="002835E3"/>
    <w:rsid w:val="00284542"/>
    <w:rsid w:val="002A14D1"/>
    <w:rsid w:val="002A1A1D"/>
    <w:rsid w:val="002A28AD"/>
    <w:rsid w:val="002B04FD"/>
    <w:rsid w:val="002B5318"/>
    <w:rsid w:val="002B6D27"/>
    <w:rsid w:val="002B7A09"/>
    <w:rsid w:val="002C060C"/>
    <w:rsid w:val="002C078A"/>
    <w:rsid w:val="002D05DD"/>
    <w:rsid w:val="002D0E4D"/>
    <w:rsid w:val="002D2965"/>
    <w:rsid w:val="002D3D02"/>
    <w:rsid w:val="002D4CB5"/>
    <w:rsid w:val="002D5900"/>
    <w:rsid w:val="002D684B"/>
    <w:rsid w:val="002E2D3A"/>
    <w:rsid w:val="002E3B26"/>
    <w:rsid w:val="002E4AB8"/>
    <w:rsid w:val="002E7FC4"/>
    <w:rsid w:val="00310070"/>
    <w:rsid w:val="0031081B"/>
    <w:rsid w:val="003110EC"/>
    <w:rsid w:val="00314289"/>
    <w:rsid w:val="003206A6"/>
    <w:rsid w:val="0032560D"/>
    <w:rsid w:val="00327C92"/>
    <w:rsid w:val="00333292"/>
    <w:rsid w:val="003344E7"/>
    <w:rsid w:val="0033580B"/>
    <w:rsid w:val="003365E7"/>
    <w:rsid w:val="003378D5"/>
    <w:rsid w:val="003473D7"/>
    <w:rsid w:val="00351995"/>
    <w:rsid w:val="00351AC8"/>
    <w:rsid w:val="00353075"/>
    <w:rsid w:val="00363E02"/>
    <w:rsid w:val="00373A96"/>
    <w:rsid w:val="003826C2"/>
    <w:rsid w:val="00383728"/>
    <w:rsid w:val="00384E57"/>
    <w:rsid w:val="003903BB"/>
    <w:rsid w:val="0039195E"/>
    <w:rsid w:val="00392627"/>
    <w:rsid w:val="00394128"/>
    <w:rsid w:val="00394ADC"/>
    <w:rsid w:val="00395235"/>
    <w:rsid w:val="0039561A"/>
    <w:rsid w:val="00397C7D"/>
    <w:rsid w:val="003A004F"/>
    <w:rsid w:val="003A2158"/>
    <w:rsid w:val="003A3AC4"/>
    <w:rsid w:val="003B25A5"/>
    <w:rsid w:val="003B4130"/>
    <w:rsid w:val="003B6FA1"/>
    <w:rsid w:val="003B715B"/>
    <w:rsid w:val="003C2C62"/>
    <w:rsid w:val="003C5566"/>
    <w:rsid w:val="003C577A"/>
    <w:rsid w:val="003C7C74"/>
    <w:rsid w:val="003D1D14"/>
    <w:rsid w:val="003D6C7C"/>
    <w:rsid w:val="003D6EFB"/>
    <w:rsid w:val="003D7E52"/>
    <w:rsid w:val="003E25C6"/>
    <w:rsid w:val="003F7528"/>
    <w:rsid w:val="004011AA"/>
    <w:rsid w:val="0040202C"/>
    <w:rsid w:val="00404A8F"/>
    <w:rsid w:val="00406508"/>
    <w:rsid w:val="004110F6"/>
    <w:rsid w:val="004134F8"/>
    <w:rsid w:val="0041456E"/>
    <w:rsid w:val="004148E3"/>
    <w:rsid w:val="00414F7E"/>
    <w:rsid w:val="004164F8"/>
    <w:rsid w:val="00422224"/>
    <w:rsid w:val="00426F05"/>
    <w:rsid w:val="004328E1"/>
    <w:rsid w:val="004427B7"/>
    <w:rsid w:val="0044349F"/>
    <w:rsid w:val="00445F1F"/>
    <w:rsid w:val="00447862"/>
    <w:rsid w:val="00451F60"/>
    <w:rsid w:val="00452BB2"/>
    <w:rsid w:val="00456054"/>
    <w:rsid w:val="0045656D"/>
    <w:rsid w:val="00462D98"/>
    <w:rsid w:val="00463E7D"/>
    <w:rsid w:val="00472A44"/>
    <w:rsid w:val="00473A89"/>
    <w:rsid w:val="00475899"/>
    <w:rsid w:val="00482C78"/>
    <w:rsid w:val="00483ABC"/>
    <w:rsid w:val="0048634A"/>
    <w:rsid w:val="004874AE"/>
    <w:rsid w:val="0049056F"/>
    <w:rsid w:val="00492217"/>
    <w:rsid w:val="00494D24"/>
    <w:rsid w:val="004951D1"/>
    <w:rsid w:val="004960BB"/>
    <w:rsid w:val="004A1BA3"/>
    <w:rsid w:val="004A27D0"/>
    <w:rsid w:val="004A4D67"/>
    <w:rsid w:val="004B7E79"/>
    <w:rsid w:val="004C13CB"/>
    <w:rsid w:val="004C1AAB"/>
    <w:rsid w:val="004C5B90"/>
    <w:rsid w:val="004D3D4B"/>
    <w:rsid w:val="004D5498"/>
    <w:rsid w:val="004D66A5"/>
    <w:rsid w:val="004D6B00"/>
    <w:rsid w:val="004E1D50"/>
    <w:rsid w:val="004E3266"/>
    <w:rsid w:val="004E38BA"/>
    <w:rsid w:val="004E50CA"/>
    <w:rsid w:val="004F27A0"/>
    <w:rsid w:val="0050027D"/>
    <w:rsid w:val="00501382"/>
    <w:rsid w:val="005048FB"/>
    <w:rsid w:val="00510563"/>
    <w:rsid w:val="00510798"/>
    <w:rsid w:val="005119B5"/>
    <w:rsid w:val="005125F1"/>
    <w:rsid w:val="00524A11"/>
    <w:rsid w:val="00527768"/>
    <w:rsid w:val="00530EA4"/>
    <w:rsid w:val="005327FB"/>
    <w:rsid w:val="00533251"/>
    <w:rsid w:val="00533FCA"/>
    <w:rsid w:val="005346EF"/>
    <w:rsid w:val="00542F0C"/>
    <w:rsid w:val="005470D4"/>
    <w:rsid w:val="0055705E"/>
    <w:rsid w:val="005616B5"/>
    <w:rsid w:val="00566690"/>
    <w:rsid w:val="005679A4"/>
    <w:rsid w:val="00574CE6"/>
    <w:rsid w:val="0059223D"/>
    <w:rsid w:val="0059365B"/>
    <w:rsid w:val="00593ABC"/>
    <w:rsid w:val="00597B15"/>
    <w:rsid w:val="005A044C"/>
    <w:rsid w:val="005A149F"/>
    <w:rsid w:val="005A3A32"/>
    <w:rsid w:val="005B2C9F"/>
    <w:rsid w:val="005B34C9"/>
    <w:rsid w:val="005B571E"/>
    <w:rsid w:val="005C1D52"/>
    <w:rsid w:val="005C46AC"/>
    <w:rsid w:val="005D0200"/>
    <w:rsid w:val="005D44EF"/>
    <w:rsid w:val="005D5112"/>
    <w:rsid w:val="005D5D67"/>
    <w:rsid w:val="005F34CC"/>
    <w:rsid w:val="005F3914"/>
    <w:rsid w:val="005F3B5A"/>
    <w:rsid w:val="005F6AB4"/>
    <w:rsid w:val="00607471"/>
    <w:rsid w:val="00610A66"/>
    <w:rsid w:val="006119B8"/>
    <w:rsid w:val="00613177"/>
    <w:rsid w:val="00613F7C"/>
    <w:rsid w:val="00614BF2"/>
    <w:rsid w:val="0061557C"/>
    <w:rsid w:val="00623DE2"/>
    <w:rsid w:val="00627601"/>
    <w:rsid w:val="006300D0"/>
    <w:rsid w:val="00632012"/>
    <w:rsid w:val="00634694"/>
    <w:rsid w:val="00636517"/>
    <w:rsid w:val="00636EE7"/>
    <w:rsid w:val="00637690"/>
    <w:rsid w:val="00640E1E"/>
    <w:rsid w:val="0064389A"/>
    <w:rsid w:val="00645442"/>
    <w:rsid w:val="006525CD"/>
    <w:rsid w:val="00653F7F"/>
    <w:rsid w:val="00662DCD"/>
    <w:rsid w:val="00662EE8"/>
    <w:rsid w:val="00663813"/>
    <w:rsid w:val="00664AFD"/>
    <w:rsid w:val="00667567"/>
    <w:rsid w:val="0067391A"/>
    <w:rsid w:val="00674173"/>
    <w:rsid w:val="0067534F"/>
    <w:rsid w:val="00677D87"/>
    <w:rsid w:val="006834FA"/>
    <w:rsid w:val="00690DB1"/>
    <w:rsid w:val="00693404"/>
    <w:rsid w:val="006953D9"/>
    <w:rsid w:val="006A1269"/>
    <w:rsid w:val="006A5803"/>
    <w:rsid w:val="006A69C3"/>
    <w:rsid w:val="006A7C15"/>
    <w:rsid w:val="006B1242"/>
    <w:rsid w:val="006B1DBC"/>
    <w:rsid w:val="006B3712"/>
    <w:rsid w:val="006B7D9A"/>
    <w:rsid w:val="006C06D9"/>
    <w:rsid w:val="006C3E22"/>
    <w:rsid w:val="006C5716"/>
    <w:rsid w:val="006C64B2"/>
    <w:rsid w:val="006C74A9"/>
    <w:rsid w:val="006D07DE"/>
    <w:rsid w:val="006D361A"/>
    <w:rsid w:val="006D6A81"/>
    <w:rsid w:val="006E06D9"/>
    <w:rsid w:val="006E1D40"/>
    <w:rsid w:val="006E2E1F"/>
    <w:rsid w:val="006E5059"/>
    <w:rsid w:val="006F5F03"/>
    <w:rsid w:val="006F5FFF"/>
    <w:rsid w:val="00710804"/>
    <w:rsid w:val="00711FC6"/>
    <w:rsid w:val="00712952"/>
    <w:rsid w:val="007130B1"/>
    <w:rsid w:val="00713487"/>
    <w:rsid w:val="00715071"/>
    <w:rsid w:val="007231E9"/>
    <w:rsid w:val="00724F0E"/>
    <w:rsid w:val="007270A6"/>
    <w:rsid w:val="00727C59"/>
    <w:rsid w:val="00733730"/>
    <w:rsid w:val="00734E5D"/>
    <w:rsid w:val="00736013"/>
    <w:rsid w:val="00737BF8"/>
    <w:rsid w:val="0074339B"/>
    <w:rsid w:val="0074478E"/>
    <w:rsid w:val="00750B60"/>
    <w:rsid w:val="00756245"/>
    <w:rsid w:val="00761662"/>
    <w:rsid w:val="00764043"/>
    <w:rsid w:val="00766A36"/>
    <w:rsid w:val="007757CF"/>
    <w:rsid w:val="007769F6"/>
    <w:rsid w:val="00780F9D"/>
    <w:rsid w:val="0078128F"/>
    <w:rsid w:val="007819D9"/>
    <w:rsid w:val="0078683C"/>
    <w:rsid w:val="00790EDB"/>
    <w:rsid w:val="00791538"/>
    <w:rsid w:val="0079326E"/>
    <w:rsid w:val="00796EDE"/>
    <w:rsid w:val="007A5A58"/>
    <w:rsid w:val="007B1C56"/>
    <w:rsid w:val="007B2EDC"/>
    <w:rsid w:val="007C1DD7"/>
    <w:rsid w:val="007C3CD5"/>
    <w:rsid w:val="007C4756"/>
    <w:rsid w:val="007C5E88"/>
    <w:rsid w:val="007C61EF"/>
    <w:rsid w:val="007C6783"/>
    <w:rsid w:val="007D03DE"/>
    <w:rsid w:val="007D1C0D"/>
    <w:rsid w:val="007D2D23"/>
    <w:rsid w:val="007E1AE9"/>
    <w:rsid w:val="007E27D6"/>
    <w:rsid w:val="007E3921"/>
    <w:rsid w:val="00801028"/>
    <w:rsid w:val="00803793"/>
    <w:rsid w:val="00804000"/>
    <w:rsid w:val="008101A2"/>
    <w:rsid w:val="00817A01"/>
    <w:rsid w:val="00820937"/>
    <w:rsid w:val="00825E35"/>
    <w:rsid w:val="00830A4E"/>
    <w:rsid w:val="008334F8"/>
    <w:rsid w:val="00835FFD"/>
    <w:rsid w:val="0084381F"/>
    <w:rsid w:val="00843E35"/>
    <w:rsid w:val="008524CE"/>
    <w:rsid w:val="00857633"/>
    <w:rsid w:val="0086440C"/>
    <w:rsid w:val="008674ED"/>
    <w:rsid w:val="00874EE6"/>
    <w:rsid w:val="00876659"/>
    <w:rsid w:val="0087734C"/>
    <w:rsid w:val="00882141"/>
    <w:rsid w:val="00886BD4"/>
    <w:rsid w:val="008876EC"/>
    <w:rsid w:val="008922A8"/>
    <w:rsid w:val="00895BD5"/>
    <w:rsid w:val="008A16C4"/>
    <w:rsid w:val="008A4A27"/>
    <w:rsid w:val="008A649F"/>
    <w:rsid w:val="008A6FED"/>
    <w:rsid w:val="008B39C5"/>
    <w:rsid w:val="008B51AA"/>
    <w:rsid w:val="008C67F2"/>
    <w:rsid w:val="008D064A"/>
    <w:rsid w:val="008D2537"/>
    <w:rsid w:val="008D2B0F"/>
    <w:rsid w:val="008D633C"/>
    <w:rsid w:val="008E449E"/>
    <w:rsid w:val="008E4BDD"/>
    <w:rsid w:val="008E770C"/>
    <w:rsid w:val="008F187F"/>
    <w:rsid w:val="008F402F"/>
    <w:rsid w:val="008F76E8"/>
    <w:rsid w:val="00904508"/>
    <w:rsid w:val="009078A1"/>
    <w:rsid w:val="00911E9C"/>
    <w:rsid w:val="00917405"/>
    <w:rsid w:val="00920C1F"/>
    <w:rsid w:val="00920F7C"/>
    <w:rsid w:val="00922718"/>
    <w:rsid w:val="00924743"/>
    <w:rsid w:val="00932A87"/>
    <w:rsid w:val="00934CAE"/>
    <w:rsid w:val="0093560E"/>
    <w:rsid w:val="0094257D"/>
    <w:rsid w:val="009443B6"/>
    <w:rsid w:val="00946F68"/>
    <w:rsid w:val="0095467C"/>
    <w:rsid w:val="00954A61"/>
    <w:rsid w:val="00955C6F"/>
    <w:rsid w:val="00966C7B"/>
    <w:rsid w:val="009701DC"/>
    <w:rsid w:val="009715D8"/>
    <w:rsid w:val="009811A8"/>
    <w:rsid w:val="00991460"/>
    <w:rsid w:val="00995BF9"/>
    <w:rsid w:val="009975CC"/>
    <w:rsid w:val="009A0CAF"/>
    <w:rsid w:val="009A2207"/>
    <w:rsid w:val="009A2D34"/>
    <w:rsid w:val="009A6565"/>
    <w:rsid w:val="009B0EDA"/>
    <w:rsid w:val="009B6C42"/>
    <w:rsid w:val="009D2998"/>
    <w:rsid w:val="009D31F7"/>
    <w:rsid w:val="009D32C2"/>
    <w:rsid w:val="009D50DB"/>
    <w:rsid w:val="009E2932"/>
    <w:rsid w:val="009E3A0A"/>
    <w:rsid w:val="009F1936"/>
    <w:rsid w:val="009F3E91"/>
    <w:rsid w:val="00A008DA"/>
    <w:rsid w:val="00A00C93"/>
    <w:rsid w:val="00A0571E"/>
    <w:rsid w:val="00A13A27"/>
    <w:rsid w:val="00A1499B"/>
    <w:rsid w:val="00A170D8"/>
    <w:rsid w:val="00A30A1B"/>
    <w:rsid w:val="00A311AD"/>
    <w:rsid w:val="00A314C2"/>
    <w:rsid w:val="00A501BF"/>
    <w:rsid w:val="00A519A0"/>
    <w:rsid w:val="00A5274A"/>
    <w:rsid w:val="00A62A2E"/>
    <w:rsid w:val="00A63A4D"/>
    <w:rsid w:val="00A63E86"/>
    <w:rsid w:val="00A67AF7"/>
    <w:rsid w:val="00A75185"/>
    <w:rsid w:val="00A754A0"/>
    <w:rsid w:val="00A757C3"/>
    <w:rsid w:val="00A75E5B"/>
    <w:rsid w:val="00A75F4B"/>
    <w:rsid w:val="00A7684A"/>
    <w:rsid w:val="00A83B69"/>
    <w:rsid w:val="00A86533"/>
    <w:rsid w:val="00A91CA2"/>
    <w:rsid w:val="00A92FB8"/>
    <w:rsid w:val="00A948F1"/>
    <w:rsid w:val="00AA0BE3"/>
    <w:rsid w:val="00AA18F9"/>
    <w:rsid w:val="00AA1D7D"/>
    <w:rsid w:val="00AA2790"/>
    <w:rsid w:val="00AA3806"/>
    <w:rsid w:val="00AB139D"/>
    <w:rsid w:val="00AB2A35"/>
    <w:rsid w:val="00AB2D05"/>
    <w:rsid w:val="00AB3EFB"/>
    <w:rsid w:val="00AC0B05"/>
    <w:rsid w:val="00AC1962"/>
    <w:rsid w:val="00AC7F9D"/>
    <w:rsid w:val="00AD079A"/>
    <w:rsid w:val="00AD1890"/>
    <w:rsid w:val="00AE2149"/>
    <w:rsid w:val="00AE2BF3"/>
    <w:rsid w:val="00AE33AE"/>
    <w:rsid w:val="00AE3986"/>
    <w:rsid w:val="00AE3F91"/>
    <w:rsid w:val="00AF5B63"/>
    <w:rsid w:val="00B0053D"/>
    <w:rsid w:val="00B01176"/>
    <w:rsid w:val="00B039E3"/>
    <w:rsid w:val="00B06D36"/>
    <w:rsid w:val="00B12BC4"/>
    <w:rsid w:val="00B22838"/>
    <w:rsid w:val="00B33E8F"/>
    <w:rsid w:val="00B33E95"/>
    <w:rsid w:val="00B3720B"/>
    <w:rsid w:val="00B45D0B"/>
    <w:rsid w:val="00B52FA0"/>
    <w:rsid w:val="00B5558A"/>
    <w:rsid w:val="00B56513"/>
    <w:rsid w:val="00B61B64"/>
    <w:rsid w:val="00B631E4"/>
    <w:rsid w:val="00B64376"/>
    <w:rsid w:val="00B6570C"/>
    <w:rsid w:val="00B6790B"/>
    <w:rsid w:val="00B7401F"/>
    <w:rsid w:val="00B769CF"/>
    <w:rsid w:val="00B806C3"/>
    <w:rsid w:val="00B80D6F"/>
    <w:rsid w:val="00B84FCA"/>
    <w:rsid w:val="00B9089F"/>
    <w:rsid w:val="00B91826"/>
    <w:rsid w:val="00B91AEE"/>
    <w:rsid w:val="00B95F5A"/>
    <w:rsid w:val="00B96EAD"/>
    <w:rsid w:val="00BA4962"/>
    <w:rsid w:val="00BA4B7C"/>
    <w:rsid w:val="00BA79F5"/>
    <w:rsid w:val="00BA7EA7"/>
    <w:rsid w:val="00BB2E28"/>
    <w:rsid w:val="00BB3AB6"/>
    <w:rsid w:val="00BB766D"/>
    <w:rsid w:val="00BC007B"/>
    <w:rsid w:val="00BC1715"/>
    <w:rsid w:val="00BC26BA"/>
    <w:rsid w:val="00BC35F8"/>
    <w:rsid w:val="00BC481B"/>
    <w:rsid w:val="00BD08DF"/>
    <w:rsid w:val="00BD2D29"/>
    <w:rsid w:val="00BD617C"/>
    <w:rsid w:val="00BE782C"/>
    <w:rsid w:val="00BF376F"/>
    <w:rsid w:val="00BF46A6"/>
    <w:rsid w:val="00BF6CAD"/>
    <w:rsid w:val="00BF71FB"/>
    <w:rsid w:val="00C04DBF"/>
    <w:rsid w:val="00C05E4C"/>
    <w:rsid w:val="00C06545"/>
    <w:rsid w:val="00C134AF"/>
    <w:rsid w:val="00C220FC"/>
    <w:rsid w:val="00C24DFA"/>
    <w:rsid w:val="00C24F9D"/>
    <w:rsid w:val="00C30182"/>
    <w:rsid w:val="00C31FC9"/>
    <w:rsid w:val="00C37A63"/>
    <w:rsid w:val="00C42248"/>
    <w:rsid w:val="00C46A36"/>
    <w:rsid w:val="00C47037"/>
    <w:rsid w:val="00C50235"/>
    <w:rsid w:val="00C509E3"/>
    <w:rsid w:val="00C53625"/>
    <w:rsid w:val="00C548BA"/>
    <w:rsid w:val="00C5679D"/>
    <w:rsid w:val="00C57784"/>
    <w:rsid w:val="00C602C1"/>
    <w:rsid w:val="00C63FC0"/>
    <w:rsid w:val="00C66392"/>
    <w:rsid w:val="00C7075D"/>
    <w:rsid w:val="00C73D09"/>
    <w:rsid w:val="00C74895"/>
    <w:rsid w:val="00C74C5E"/>
    <w:rsid w:val="00C82558"/>
    <w:rsid w:val="00C827A2"/>
    <w:rsid w:val="00C82B69"/>
    <w:rsid w:val="00C82C8E"/>
    <w:rsid w:val="00C82CB3"/>
    <w:rsid w:val="00C91B28"/>
    <w:rsid w:val="00C91F3A"/>
    <w:rsid w:val="00C93590"/>
    <w:rsid w:val="00CA31EA"/>
    <w:rsid w:val="00CA5446"/>
    <w:rsid w:val="00CB14E5"/>
    <w:rsid w:val="00CB218D"/>
    <w:rsid w:val="00CB5625"/>
    <w:rsid w:val="00CB5797"/>
    <w:rsid w:val="00CC1C17"/>
    <w:rsid w:val="00CC4F7F"/>
    <w:rsid w:val="00CC5D70"/>
    <w:rsid w:val="00CD09E1"/>
    <w:rsid w:val="00CE1780"/>
    <w:rsid w:val="00CE4913"/>
    <w:rsid w:val="00CE66BD"/>
    <w:rsid w:val="00CF0671"/>
    <w:rsid w:val="00CF247A"/>
    <w:rsid w:val="00CF44AD"/>
    <w:rsid w:val="00CF4D7C"/>
    <w:rsid w:val="00CF4FC0"/>
    <w:rsid w:val="00CF7486"/>
    <w:rsid w:val="00D00637"/>
    <w:rsid w:val="00D1072F"/>
    <w:rsid w:val="00D108A5"/>
    <w:rsid w:val="00D14585"/>
    <w:rsid w:val="00D153C8"/>
    <w:rsid w:val="00D17F98"/>
    <w:rsid w:val="00D20EFF"/>
    <w:rsid w:val="00D215B9"/>
    <w:rsid w:val="00D31324"/>
    <w:rsid w:val="00D4386E"/>
    <w:rsid w:val="00D51432"/>
    <w:rsid w:val="00D53ED8"/>
    <w:rsid w:val="00D541A0"/>
    <w:rsid w:val="00D64857"/>
    <w:rsid w:val="00D6493A"/>
    <w:rsid w:val="00D649A5"/>
    <w:rsid w:val="00D66833"/>
    <w:rsid w:val="00D67875"/>
    <w:rsid w:val="00D71E86"/>
    <w:rsid w:val="00D731C6"/>
    <w:rsid w:val="00D745C5"/>
    <w:rsid w:val="00D75327"/>
    <w:rsid w:val="00D77D6B"/>
    <w:rsid w:val="00D80C36"/>
    <w:rsid w:val="00D81A32"/>
    <w:rsid w:val="00D86EE1"/>
    <w:rsid w:val="00D95E90"/>
    <w:rsid w:val="00D96126"/>
    <w:rsid w:val="00DA2FD5"/>
    <w:rsid w:val="00DB4B1C"/>
    <w:rsid w:val="00DB5085"/>
    <w:rsid w:val="00DB619F"/>
    <w:rsid w:val="00DB7211"/>
    <w:rsid w:val="00DC1062"/>
    <w:rsid w:val="00DC132C"/>
    <w:rsid w:val="00DC181A"/>
    <w:rsid w:val="00DC5727"/>
    <w:rsid w:val="00DD43F0"/>
    <w:rsid w:val="00DD44DE"/>
    <w:rsid w:val="00DE09AB"/>
    <w:rsid w:val="00DE1DCC"/>
    <w:rsid w:val="00DE352F"/>
    <w:rsid w:val="00DE4A3F"/>
    <w:rsid w:val="00DE5A99"/>
    <w:rsid w:val="00DF4367"/>
    <w:rsid w:val="00DF7291"/>
    <w:rsid w:val="00E0574A"/>
    <w:rsid w:val="00E1243D"/>
    <w:rsid w:val="00E12742"/>
    <w:rsid w:val="00E146D4"/>
    <w:rsid w:val="00E14815"/>
    <w:rsid w:val="00E21D37"/>
    <w:rsid w:val="00E220ED"/>
    <w:rsid w:val="00E22B44"/>
    <w:rsid w:val="00E30ACD"/>
    <w:rsid w:val="00E32735"/>
    <w:rsid w:val="00E34236"/>
    <w:rsid w:val="00E44B88"/>
    <w:rsid w:val="00E60DDB"/>
    <w:rsid w:val="00E65AD9"/>
    <w:rsid w:val="00E66E36"/>
    <w:rsid w:val="00E67F21"/>
    <w:rsid w:val="00E702ED"/>
    <w:rsid w:val="00E709A4"/>
    <w:rsid w:val="00E75917"/>
    <w:rsid w:val="00E772DB"/>
    <w:rsid w:val="00E86012"/>
    <w:rsid w:val="00E860CA"/>
    <w:rsid w:val="00E86BAB"/>
    <w:rsid w:val="00E92962"/>
    <w:rsid w:val="00E94E10"/>
    <w:rsid w:val="00E96743"/>
    <w:rsid w:val="00E96A42"/>
    <w:rsid w:val="00E97497"/>
    <w:rsid w:val="00EA16D5"/>
    <w:rsid w:val="00EA49C5"/>
    <w:rsid w:val="00EA6279"/>
    <w:rsid w:val="00EB5027"/>
    <w:rsid w:val="00EB6C87"/>
    <w:rsid w:val="00EC1836"/>
    <w:rsid w:val="00EC2F6E"/>
    <w:rsid w:val="00EC3990"/>
    <w:rsid w:val="00EC484B"/>
    <w:rsid w:val="00EC7E58"/>
    <w:rsid w:val="00ED15FA"/>
    <w:rsid w:val="00ED5C9F"/>
    <w:rsid w:val="00EE050C"/>
    <w:rsid w:val="00EE2113"/>
    <w:rsid w:val="00EE5730"/>
    <w:rsid w:val="00EE6E9A"/>
    <w:rsid w:val="00EF2AC4"/>
    <w:rsid w:val="00EF397E"/>
    <w:rsid w:val="00F0340C"/>
    <w:rsid w:val="00F06F68"/>
    <w:rsid w:val="00F11241"/>
    <w:rsid w:val="00F15E9D"/>
    <w:rsid w:val="00F23FA7"/>
    <w:rsid w:val="00F24C2D"/>
    <w:rsid w:val="00F27BEC"/>
    <w:rsid w:val="00F27D59"/>
    <w:rsid w:val="00F316E1"/>
    <w:rsid w:val="00F32155"/>
    <w:rsid w:val="00F32A81"/>
    <w:rsid w:val="00F40C82"/>
    <w:rsid w:val="00F4197F"/>
    <w:rsid w:val="00F46998"/>
    <w:rsid w:val="00F5382D"/>
    <w:rsid w:val="00F53D9C"/>
    <w:rsid w:val="00F54195"/>
    <w:rsid w:val="00F5462B"/>
    <w:rsid w:val="00F54653"/>
    <w:rsid w:val="00F54FAC"/>
    <w:rsid w:val="00F569DE"/>
    <w:rsid w:val="00F57205"/>
    <w:rsid w:val="00F634AD"/>
    <w:rsid w:val="00F63677"/>
    <w:rsid w:val="00F70658"/>
    <w:rsid w:val="00F7417E"/>
    <w:rsid w:val="00F75B81"/>
    <w:rsid w:val="00F761CA"/>
    <w:rsid w:val="00F804C4"/>
    <w:rsid w:val="00F80C7E"/>
    <w:rsid w:val="00F82F83"/>
    <w:rsid w:val="00F86097"/>
    <w:rsid w:val="00F90C64"/>
    <w:rsid w:val="00F9210C"/>
    <w:rsid w:val="00F92B30"/>
    <w:rsid w:val="00F933B9"/>
    <w:rsid w:val="00F94674"/>
    <w:rsid w:val="00F94919"/>
    <w:rsid w:val="00F94A59"/>
    <w:rsid w:val="00FA25B6"/>
    <w:rsid w:val="00FA2FAF"/>
    <w:rsid w:val="00FA54F6"/>
    <w:rsid w:val="00FA64B1"/>
    <w:rsid w:val="00FA70F3"/>
    <w:rsid w:val="00FA71CD"/>
    <w:rsid w:val="00FB0453"/>
    <w:rsid w:val="00FB0C07"/>
    <w:rsid w:val="00FB205F"/>
    <w:rsid w:val="00FB298D"/>
    <w:rsid w:val="00FB3171"/>
    <w:rsid w:val="00FB444E"/>
    <w:rsid w:val="00FC1439"/>
    <w:rsid w:val="00FC3F65"/>
    <w:rsid w:val="00FC5007"/>
    <w:rsid w:val="00FC70AD"/>
    <w:rsid w:val="00FC724B"/>
    <w:rsid w:val="00FC7910"/>
    <w:rsid w:val="00FD01E0"/>
    <w:rsid w:val="00FD50FC"/>
    <w:rsid w:val="00FE1627"/>
    <w:rsid w:val="00FE2D4E"/>
    <w:rsid w:val="00FE3F22"/>
    <w:rsid w:val="00FF092F"/>
    <w:rsid w:val="00FF0DA7"/>
    <w:rsid w:val="00FF2B09"/>
    <w:rsid w:val="00FF44E0"/>
    <w:rsid w:val="00FF6C72"/>
    <w:rsid w:val="01722E9F"/>
    <w:rsid w:val="01915CC2"/>
    <w:rsid w:val="02EB0203"/>
    <w:rsid w:val="06AE129F"/>
    <w:rsid w:val="072D20A4"/>
    <w:rsid w:val="073B420D"/>
    <w:rsid w:val="09A909AA"/>
    <w:rsid w:val="0A3D35AB"/>
    <w:rsid w:val="0A542106"/>
    <w:rsid w:val="0A6C4667"/>
    <w:rsid w:val="0B351227"/>
    <w:rsid w:val="0BBE711B"/>
    <w:rsid w:val="0BD47173"/>
    <w:rsid w:val="0C1B47F2"/>
    <w:rsid w:val="0C4264AA"/>
    <w:rsid w:val="0C6157E5"/>
    <w:rsid w:val="0DB63633"/>
    <w:rsid w:val="10607C4F"/>
    <w:rsid w:val="106E6418"/>
    <w:rsid w:val="11323C4E"/>
    <w:rsid w:val="129C0CFE"/>
    <w:rsid w:val="12D71D5F"/>
    <w:rsid w:val="151B7FB7"/>
    <w:rsid w:val="167B6427"/>
    <w:rsid w:val="16B27D38"/>
    <w:rsid w:val="1862112A"/>
    <w:rsid w:val="1930691F"/>
    <w:rsid w:val="1A6528FE"/>
    <w:rsid w:val="1A835004"/>
    <w:rsid w:val="1BA61F6F"/>
    <w:rsid w:val="1C63029E"/>
    <w:rsid w:val="1C715A71"/>
    <w:rsid w:val="1CC921E7"/>
    <w:rsid w:val="1D1C4205"/>
    <w:rsid w:val="1D444EB6"/>
    <w:rsid w:val="1DA840EB"/>
    <w:rsid w:val="1F6B7614"/>
    <w:rsid w:val="20C16461"/>
    <w:rsid w:val="20FF5536"/>
    <w:rsid w:val="226F2197"/>
    <w:rsid w:val="23146520"/>
    <w:rsid w:val="23585502"/>
    <w:rsid w:val="23596C26"/>
    <w:rsid w:val="236A7311"/>
    <w:rsid w:val="24577437"/>
    <w:rsid w:val="25F0343B"/>
    <w:rsid w:val="262D78EB"/>
    <w:rsid w:val="277E74F1"/>
    <w:rsid w:val="27CA60F4"/>
    <w:rsid w:val="27E85AF1"/>
    <w:rsid w:val="27F460A8"/>
    <w:rsid w:val="28C929C1"/>
    <w:rsid w:val="28E27C72"/>
    <w:rsid w:val="295220BC"/>
    <w:rsid w:val="29DA6B0B"/>
    <w:rsid w:val="2A093B18"/>
    <w:rsid w:val="2A8D7B4E"/>
    <w:rsid w:val="2ABD245A"/>
    <w:rsid w:val="2B412386"/>
    <w:rsid w:val="2BB34FD2"/>
    <w:rsid w:val="2CEA687B"/>
    <w:rsid w:val="2D1633EB"/>
    <w:rsid w:val="2DE16C1F"/>
    <w:rsid w:val="2E1B2EA1"/>
    <w:rsid w:val="2E63511A"/>
    <w:rsid w:val="2EB35320"/>
    <w:rsid w:val="2F111D48"/>
    <w:rsid w:val="2F317872"/>
    <w:rsid w:val="2F3F0C54"/>
    <w:rsid w:val="2F4615DA"/>
    <w:rsid w:val="30ED2B9B"/>
    <w:rsid w:val="31197749"/>
    <w:rsid w:val="32691053"/>
    <w:rsid w:val="32A538A5"/>
    <w:rsid w:val="330E360D"/>
    <w:rsid w:val="33B37D2E"/>
    <w:rsid w:val="34F70F24"/>
    <w:rsid w:val="352620DC"/>
    <w:rsid w:val="35E5310F"/>
    <w:rsid w:val="3661430F"/>
    <w:rsid w:val="369D587E"/>
    <w:rsid w:val="36CF1D5D"/>
    <w:rsid w:val="370F3BF6"/>
    <w:rsid w:val="3851592F"/>
    <w:rsid w:val="38AD0855"/>
    <w:rsid w:val="39293004"/>
    <w:rsid w:val="39552694"/>
    <w:rsid w:val="39882115"/>
    <w:rsid w:val="39E10D60"/>
    <w:rsid w:val="3BFC5E74"/>
    <w:rsid w:val="3C0059BB"/>
    <w:rsid w:val="3C5F3E33"/>
    <w:rsid w:val="3F5E4365"/>
    <w:rsid w:val="415470E2"/>
    <w:rsid w:val="41AF5742"/>
    <w:rsid w:val="41BB759E"/>
    <w:rsid w:val="42B740A7"/>
    <w:rsid w:val="4353477A"/>
    <w:rsid w:val="43783307"/>
    <w:rsid w:val="43C05511"/>
    <w:rsid w:val="446B6021"/>
    <w:rsid w:val="45FC7108"/>
    <w:rsid w:val="473A7BED"/>
    <w:rsid w:val="47863A67"/>
    <w:rsid w:val="478F71C4"/>
    <w:rsid w:val="4821786A"/>
    <w:rsid w:val="4825146D"/>
    <w:rsid w:val="4A05633E"/>
    <w:rsid w:val="4A6169D0"/>
    <w:rsid w:val="4A6529D6"/>
    <w:rsid w:val="4B014864"/>
    <w:rsid w:val="4B954E7C"/>
    <w:rsid w:val="4E6B046C"/>
    <w:rsid w:val="4E707289"/>
    <w:rsid w:val="4E9E4717"/>
    <w:rsid w:val="4EEA3D40"/>
    <w:rsid w:val="4F00728A"/>
    <w:rsid w:val="4F3F6AB1"/>
    <w:rsid w:val="4F5D071B"/>
    <w:rsid w:val="4F9B688F"/>
    <w:rsid w:val="52BD4453"/>
    <w:rsid w:val="533F729E"/>
    <w:rsid w:val="54087D99"/>
    <w:rsid w:val="54A72003"/>
    <w:rsid w:val="56023921"/>
    <w:rsid w:val="5809250B"/>
    <w:rsid w:val="5A0716B2"/>
    <w:rsid w:val="5A3617D9"/>
    <w:rsid w:val="5A7F6B6C"/>
    <w:rsid w:val="5AFB613D"/>
    <w:rsid w:val="5B712043"/>
    <w:rsid w:val="5B884B20"/>
    <w:rsid w:val="5BC0556E"/>
    <w:rsid w:val="5BC81C40"/>
    <w:rsid w:val="5DA327CA"/>
    <w:rsid w:val="5FBB437D"/>
    <w:rsid w:val="5FD74633"/>
    <w:rsid w:val="60E412C0"/>
    <w:rsid w:val="616F383A"/>
    <w:rsid w:val="61E323AE"/>
    <w:rsid w:val="623331AC"/>
    <w:rsid w:val="625772C4"/>
    <w:rsid w:val="636F3034"/>
    <w:rsid w:val="650516A8"/>
    <w:rsid w:val="65330581"/>
    <w:rsid w:val="65830E72"/>
    <w:rsid w:val="66E436B7"/>
    <w:rsid w:val="66E81280"/>
    <w:rsid w:val="68DF1D8F"/>
    <w:rsid w:val="69110DD3"/>
    <w:rsid w:val="691D526F"/>
    <w:rsid w:val="69676D3F"/>
    <w:rsid w:val="6A2E3597"/>
    <w:rsid w:val="6ABF0A91"/>
    <w:rsid w:val="6C8D150C"/>
    <w:rsid w:val="6CE35249"/>
    <w:rsid w:val="6E346707"/>
    <w:rsid w:val="6E39711A"/>
    <w:rsid w:val="6E997D6C"/>
    <w:rsid w:val="6EF616F6"/>
    <w:rsid w:val="6EFB276B"/>
    <w:rsid w:val="6F397A45"/>
    <w:rsid w:val="6F5D575B"/>
    <w:rsid w:val="71467526"/>
    <w:rsid w:val="74FC2405"/>
    <w:rsid w:val="754058DD"/>
    <w:rsid w:val="771A04F8"/>
    <w:rsid w:val="784A4B73"/>
    <w:rsid w:val="786924FD"/>
    <w:rsid w:val="799B26EC"/>
    <w:rsid w:val="7A5B3FA8"/>
    <w:rsid w:val="7BA174E1"/>
    <w:rsid w:val="7BC04FC3"/>
    <w:rsid w:val="7CA72746"/>
    <w:rsid w:val="7DC33C3F"/>
    <w:rsid w:val="7EA81A90"/>
    <w:rsid w:val="7F2B14FE"/>
    <w:rsid w:val="7FFC68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qFormat="1" w:uiPriority="99" w:name="HTML Typewriter"/>
    <w:lsdException w:qFormat="1"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仿宋_GB2312" w:eastAsia="@仿宋_GB2312" w:cs="@仿宋_GB2312"/>
      <w:kern w:val="2"/>
      <w:sz w:val="21"/>
      <w:lang w:val="en-US" w:eastAsia="zh-CN" w:bidi="ar-SA"/>
    </w:rPr>
  </w:style>
  <w:style w:type="paragraph" w:styleId="3">
    <w:name w:val="heading 1"/>
    <w:basedOn w:val="1"/>
    <w:next w:val="1"/>
    <w:link w:val="53"/>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paragraph" w:styleId="5">
    <w:name w:val="heading 3"/>
    <w:basedOn w:val="1"/>
    <w:next w:val="1"/>
    <w:link w:val="55"/>
    <w:semiHidden/>
    <w:unhideWhenUsed/>
    <w:qFormat/>
    <w:uiPriority w:val="9"/>
    <w:pPr>
      <w:keepNext/>
      <w:keepLines/>
      <w:spacing w:before="260" w:after="260" w:line="416" w:lineRule="auto"/>
      <w:outlineLvl w:val="2"/>
    </w:pPr>
    <w:rPr>
      <w:b/>
      <w:bCs/>
      <w:sz w:val="32"/>
      <w:szCs w:val="32"/>
    </w:rPr>
  </w:style>
  <w:style w:type="paragraph" w:styleId="6">
    <w:name w:val="heading 4"/>
    <w:basedOn w:val="1"/>
    <w:next w:val="1"/>
    <w:link w:val="60"/>
    <w:qFormat/>
    <w:uiPriority w:val="0"/>
    <w:pPr>
      <w:keepNext/>
      <w:keepLines/>
      <w:spacing w:before="280" w:after="290" w:line="376" w:lineRule="auto"/>
      <w:outlineLvl w:val="3"/>
    </w:pPr>
    <w:rPr>
      <w:b/>
      <w:bCs/>
      <w:sz w:val="28"/>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61"/>
    <w:qFormat/>
    <w:uiPriority w:val="0"/>
    <w:pPr>
      <w:spacing w:after="120"/>
    </w:pPr>
    <w:rPr>
      <w:rFonts w:ascii="@微软简标宋" w:hAnsi="@微软简标宋" w:eastAsia="@微软简标宋" w:cs="@微软简标宋"/>
      <w:szCs w:val="24"/>
      <w:lang w:val="zh-CN"/>
    </w:rPr>
  </w:style>
  <w:style w:type="paragraph" w:styleId="7">
    <w:name w:val="Normal Indent"/>
    <w:basedOn w:val="1"/>
    <w:qFormat/>
    <w:uiPriority w:val="0"/>
    <w:pPr>
      <w:autoSpaceDE w:val="0"/>
      <w:autoSpaceDN w:val="0"/>
      <w:adjustRightInd w:val="0"/>
      <w:ind w:firstLine="420"/>
      <w:jc w:val="left"/>
    </w:pPr>
    <w:rPr>
      <w:rFonts w:ascii="宋体" w:hAnsi="Times New Roman" w:eastAsia="宋体" w:cs="Times New Roman"/>
      <w:kern w:val="0"/>
      <w:sz w:val="24"/>
    </w:rPr>
  </w:style>
  <w:style w:type="paragraph" w:styleId="8">
    <w:name w:val="annotation text"/>
    <w:basedOn w:val="1"/>
    <w:link w:val="52"/>
    <w:qFormat/>
    <w:uiPriority w:val="0"/>
    <w:pPr>
      <w:jc w:val="left"/>
    </w:pPr>
    <w:rPr>
      <w:rFonts w:ascii="Arial" w:hAnsi="Arial" w:eastAsia="黑体" w:cs="Arial"/>
    </w:rPr>
  </w:style>
  <w:style w:type="paragraph" w:styleId="9">
    <w:name w:val="toc 3"/>
    <w:basedOn w:val="1"/>
    <w:next w:val="1"/>
    <w:unhideWhenUsed/>
    <w:qFormat/>
    <w:uiPriority w:val="39"/>
    <w:pPr>
      <w:widowControl/>
      <w:spacing w:after="100" w:line="276" w:lineRule="auto"/>
      <w:ind w:left="440"/>
      <w:jc w:val="left"/>
    </w:pPr>
    <w:rPr>
      <w:rFonts w:asciiTheme="minorHAnsi" w:hAnsiTheme="minorHAnsi" w:eastAsiaTheme="minorEastAsia" w:cstheme="minorBidi"/>
      <w:kern w:val="0"/>
      <w:sz w:val="22"/>
      <w:szCs w:val="22"/>
    </w:rPr>
  </w:style>
  <w:style w:type="paragraph" w:styleId="10">
    <w:name w:val="Plain Text"/>
    <w:basedOn w:val="1"/>
    <w:link w:val="41"/>
    <w:qFormat/>
    <w:uiPriority w:val="99"/>
    <w:rPr>
      <w:rFonts w:ascii="宋体" w:hAnsi="Courier New" w:eastAsiaTheme="minorEastAsia" w:cstheme="minorBidi"/>
      <w:szCs w:val="22"/>
    </w:rPr>
  </w:style>
  <w:style w:type="paragraph" w:styleId="11">
    <w:name w:val="Date"/>
    <w:basedOn w:val="1"/>
    <w:next w:val="1"/>
    <w:link w:val="48"/>
    <w:qFormat/>
    <w:uiPriority w:val="0"/>
    <w:rPr>
      <w:rFonts w:ascii="Arial" w:hAnsi="Arial" w:eastAsia="宋体" w:cs="Arial"/>
      <w:b/>
      <w:sz w:val="28"/>
    </w:rPr>
  </w:style>
  <w:style w:type="paragraph" w:styleId="12">
    <w:name w:val="Balloon Text"/>
    <w:basedOn w:val="1"/>
    <w:link w:val="35"/>
    <w:semiHidden/>
    <w:unhideWhenUsed/>
    <w:qFormat/>
    <w:uiPriority w:val="99"/>
    <w:rPr>
      <w:sz w:val="18"/>
      <w:szCs w:val="18"/>
    </w:rPr>
  </w:style>
  <w:style w:type="paragraph" w:styleId="13">
    <w:name w:val="footer"/>
    <w:basedOn w:val="1"/>
    <w:link w:val="40"/>
    <w:unhideWhenUsed/>
    <w:qFormat/>
    <w:uiPriority w:val="99"/>
    <w:pPr>
      <w:tabs>
        <w:tab w:val="center" w:pos="4153"/>
        <w:tab w:val="right" w:pos="8306"/>
      </w:tabs>
      <w:snapToGrid w:val="0"/>
      <w:jc w:val="left"/>
    </w:pPr>
    <w:rPr>
      <w:sz w:val="18"/>
      <w:szCs w:val="18"/>
    </w:rPr>
  </w:style>
  <w:style w:type="paragraph" w:styleId="14">
    <w:name w:val="header"/>
    <w:basedOn w:val="1"/>
    <w:link w:val="39"/>
    <w:unhideWhenUsed/>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unhideWhenUsed/>
    <w:qFormat/>
    <w:uiPriority w:val="39"/>
    <w:pPr>
      <w:widowControl/>
      <w:spacing w:after="100" w:line="276" w:lineRule="auto"/>
      <w:jc w:val="left"/>
    </w:pPr>
    <w:rPr>
      <w:rFonts w:asciiTheme="minorHAnsi" w:hAnsiTheme="minorHAnsi" w:eastAsiaTheme="minorEastAsia" w:cstheme="minorBidi"/>
      <w:kern w:val="0"/>
      <w:sz w:val="22"/>
      <w:szCs w:val="22"/>
    </w:rPr>
  </w:style>
  <w:style w:type="paragraph" w:styleId="16">
    <w:name w:val="toc 2"/>
    <w:basedOn w:val="1"/>
    <w:next w:val="1"/>
    <w:unhideWhenUsed/>
    <w:qFormat/>
    <w:uiPriority w:val="39"/>
    <w:pPr>
      <w:widowControl/>
      <w:spacing w:after="100" w:line="276" w:lineRule="auto"/>
      <w:ind w:left="220"/>
      <w:jc w:val="left"/>
    </w:pPr>
    <w:rPr>
      <w:rFonts w:asciiTheme="minorHAnsi" w:hAnsiTheme="minorHAnsi" w:eastAsiaTheme="minorEastAsia" w:cstheme="minorBidi"/>
      <w:kern w:val="0"/>
      <w:sz w:val="22"/>
      <w:szCs w:val="22"/>
    </w:rPr>
  </w:style>
  <w:style w:type="paragraph" w:styleId="17">
    <w:name w:val="Normal (Web)"/>
    <w:basedOn w:val="1"/>
    <w:qFormat/>
    <w:uiPriority w:val="0"/>
    <w:pPr>
      <w:spacing w:before="100" w:beforeAutospacing="1" w:after="100" w:afterAutospacing="1"/>
      <w:jc w:val="left"/>
    </w:pPr>
    <w:rPr>
      <w:rFonts w:cs="Times New Roman"/>
      <w:kern w:val="0"/>
      <w:sz w:val="24"/>
    </w:rPr>
  </w:style>
  <w:style w:type="paragraph" w:styleId="18">
    <w:name w:val="index 1"/>
    <w:basedOn w:val="1"/>
    <w:next w:val="1"/>
    <w:qFormat/>
    <w:uiPriority w:val="0"/>
    <w:pPr>
      <w:jc w:val="center"/>
    </w:pPr>
    <w:rPr>
      <w:rFonts w:ascii="Arial" w:hAnsi="Arial" w:eastAsia="Arial" w:cs="Arial"/>
      <w:b/>
      <w:bCs/>
      <w:sz w:val="28"/>
    </w:rPr>
  </w:style>
  <w:style w:type="paragraph" w:styleId="19">
    <w:name w:val="Body Text First Indent"/>
    <w:basedOn w:val="2"/>
    <w:unhideWhenUsed/>
    <w:qFormat/>
    <w:uiPriority w:val="99"/>
    <w:pPr>
      <w:ind w:firstLine="420" w:firstLineChars="100"/>
    </w:pPr>
  </w:style>
  <w:style w:type="table" w:styleId="21">
    <w:name w:val="Table Grid"/>
    <w:basedOn w:val="20"/>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qFormat/>
    <w:uiPriority w:val="0"/>
    <w:rPr>
      <w:b/>
      <w:bCs/>
    </w:rPr>
  </w:style>
  <w:style w:type="character" w:styleId="24">
    <w:name w:val="FollowedHyperlink"/>
    <w:basedOn w:val="22"/>
    <w:semiHidden/>
    <w:unhideWhenUsed/>
    <w:qFormat/>
    <w:uiPriority w:val="99"/>
    <w:rPr>
      <w:color w:val="800080"/>
      <w:u w:val="none"/>
    </w:rPr>
  </w:style>
  <w:style w:type="character" w:styleId="25">
    <w:name w:val="Emphasis"/>
    <w:basedOn w:val="22"/>
    <w:qFormat/>
    <w:uiPriority w:val="20"/>
    <w:rPr>
      <w:b/>
      <w:bCs/>
    </w:rPr>
  </w:style>
  <w:style w:type="character" w:styleId="26">
    <w:name w:val="HTML Definition"/>
    <w:basedOn w:val="22"/>
    <w:semiHidden/>
    <w:unhideWhenUsed/>
    <w:qFormat/>
    <w:uiPriority w:val="99"/>
  </w:style>
  <w:style w:type="character" w:styleId="27">
    <w:name w:val="HTML Typewriter"/>
    <w:basedOn w:val="22"/>
    <w:semiHidden/>
    <w:unhideWhenUsed/>
    <w:qFormat/>
    <w:uiPriority w:val="99"/>
    <w:rPr>
      <w:rFonts w:hint="default" w:ascii="monospace" w:hAnsi="monospace" w:eastAsia="monospace" w:cs="monospace"/>
      <w:sz w:val="20"/>
    </w:rPr>
  </w:style>
  <w:style w:type="character" w:styleId="28">
    <w:name w:val="HTML Acronym"/>
    <w:basedOn w:val="22"/>
    <w:semiHidden/>
    <w:unhideWhenUsed/>
    <w:qFormat/>
    <w:uiPriority w:val="99"/>
  </w:style>
  <w:style w:type="character" w:styleId="29">
    <w:name w:val="HTML Variable"/>
    <w:basedOn w:val="22"/>
    <w:semiHidden/>
    <w:unhideWhenUsed/>
    <w:qFormat/>
    <w:uiPriority w:val="99"/>
  </w:style>
  <w:style w:type="character" w:styleId="30">
    <w:name w:val="Hyperlink"/>
    <w:basedOn w:val="22"/>
    <w:unhideWhenUsed/>
    <w:qFormat/>
    <w:uiPriority w:val="99"/>
    <w:rPr>
      <w:color w:val="0000FF" w:themeColor="hyperlink"/>
      <w:u w:val="single"/>
      <w14:textFill>
        <w14:solidFill>
          <w14:schemeClr w14:val="hlink"/>
        </w14:solidFill>
      </w14:textFill>
    </w:rPr>
  </w:style>
  <w:style w:type="character" w:styleId="31">
    <w:name w:val="HTML Code"/>
    <w:basedOn w:val="22"/>
    <w:semiHidden/>
    <w:unhideWhenUsed/>
    <w:qFormat/>
    <w:uiPriority w:val="99"/>
    <w:rPr>
      <w:rFonts w:ascii="monospace" w:hAnsi="monospace" w:eastAsia="monospace" w:cs="monospace"/>
      <w:sz w:val="20"/>
    </w:rPr>
  </w:style>
  <w:style w:type="character" w:styleId="32">
    <w:name w:val="HTML Cite"/>
    <w:basedOn w:val="22"/>
    <w:semiHidden/>
    <w:unhideWhenUsed/>
    <w:qFormat/>
    <w:uiPriority w:val="99"/>
  </w:style>
  <w:style w:type="character" w:styleId="33">
    <w:name w:val="HTML Keyboard"/>
    <w:basedOn w:val="22"/>
    <w:semiHidden/>
    <w:unhideWhenUsed/>
    <w:qFormat/>
    <w:uiPriority w:val="99"/>
    <w:rPr>
      <w:rFonts w:hint="default" w:ascii="monospace" w:hAnsi="monospace" w:eastAsia="monospace" w:cs="monospace"/>
      <w:sz w:val="20"/>
    </w:rPr>
  </w:style>
  <w:style w:type="character" w:styleId="34">
    <w:name w:val="HTML Sample"/>
    <w:basedOn w:val="22"/>
    <w:semiHidden/>
    <w:unhideWhenUsed/>
    <w:qFormat/>
    <w:uiPriority w:val="99"/>
    <w:rPr>
      <w:rFonts w:hint="default" w:ascii="monospace" w:hAnsi="monospace" w:eastAsia="monospace" w:cs="monospace"/>
    </w:rPr>
  </w:style>
  <w:style w:type="character" w:customStyle="1" w:styleId="35">
    <w:name w:val="批注框文本 Char"/>
    <w:basedOn w:val="22"/>
    <w:link w:val="12"/>
    <w:semiHidden/>
    <w:qFormat/>
    <w:uiPriority w:val="99"/>
    <w:rPr>
      <w:rFonts w:ascii="@仿宋_GB2312" w:hAnsi="@仿宋_GB2312" w:eastAsia="@仿宋_GB2312" w:cs="@仿宋_GB2312"/>
      <w:sz w:val="18"/>
      <w:szCs w:val="18"/>
    </w:rPr>
  </w:style>
  <w:style w:type="paragraph" w:customStyle="1" w:styleId="36">
    <w:name w:val="正文（缩进）"/>
    <w:basedOn w:val="1"/>
    <w:qFormat/>
    <w:uiPriority w:val="0"/>
    <w:pPr>
      <w:widowControl/>
      <w:spacing w:before="156" w:after="156"/>
      <w:ind w:firstLine="480" w:firstLineChars="200"/>
      <w:jc w:val="left"/>
    </w:pPr>
    <w:rPr>
      <w:kern w:val="0"/>
      <w:sz w:val="24"/>
      <w:szCs w:val="24"/>
    </w:rPr>
  </w:style>
  <w:style w:type="paragraph" w:customStyle="1" w:styleId="37">
    <w:name w:val="xl31"/>
    <w:basedOn w:val="1"/>
    <w:qFormat/>
    <w:uiPriority w:val="0"/>
    <w:pPr>
      <w:widowControl/>
      <w:spacing w:before="100" w:beforeAutospacing="1" w:after="100" w:afterAutospacing="1"/>
      <w:jc w:val="center"/>
    </w:pPr>
    <w:rPr>
      <w:b/>
      <w:bCs/>
      <w:kern w:val="0"/>
      <w:sz w:val="28"/>
      <w:szCs w:val="28"/>
    </w:rPr>
  </w:style>
  <w:style w:type="paragraph" w:customStyle="1" w:styleId="38">
    <w:name w:val="D&amp;L"/>
    <w:basedOn w:val="14"/>
    <w:qFormat/>
    <w:uiPriority w:val="0"/>
    <w:pPr>
      <w:pBdr>
        <w:bottom w:val="thinThickSmallGap" w:color="auto" w:sz="18" w:space="1"/>
      </w:pBdr>
      <w:adjustRightInd w:val="0"/>
      <w:snapToGrid/>
      <w:spacing w:line="240" w:lineRule="atLeast"/>
      <w:textAlignment w:val="baseline"/>
    </w:pPr>
    <w:rPr>
      <w:kern w:val="0"/>
      <w:sz w:val="24"/>
      <w:szCs w:val="20"/>
    </w:rPr>
  </w:style>
  <w:style w:type="character" w:customStyle="1" w:styleId="39">
    <w:name w:val="页眉 Char"/>
    <w:basedOn w:val="22"/>
    <w:link w:val="14"/>
    <w:qFormat/>
    <w:uiPriority w:val="0"/>
    <w:rPr>
      <w:rFonts w:ascii="@仿宋_GB2312" w:hAnsi="@仿宋_GB2312" w:eastAsia="@仿宋_GB2312" w:cs="@仿宋_GB2312"/>
      <w:sz w:val="18"/>
      <w:szCs w:val="18"/>
    </w:rPr>
  </w:style>
  <w:style w:type="character" w:customStyle="1" w:styleId="40">
    <w:name w:val="页脚 Char"/>
    <w:basedOn w:val="22"/>
    <w:link w:val="13"/>
    <w:qFormat/>
    <w:uiPriority w:val="99"/>
    <w:rPr>
      <w:rFonts w:ascii="@仿宋_GB2312" w:hAnsi="@仿宋_GB2312" w:eastAsia="@仿宋_GB2312" w:cs="@仿宋_GB2312"/>
      <w:sz w:val="18"/>
      <w:szCs w:val="18"/>
    </w:rPr>
  </w:style>
  <w:style w:type="character" w:customStyle="1" w:styleId="41">
    <w:name w:val="纯文本 Char"/>
    <w:link w:val="10"/>
    <w:qFormat/>
    <w:uiPriority w:val="0"/>
    <w:rPr>
      <w:rFonts w:ascii="宋体" w:hAnsi="Courier New"/>
    </w:rPr>
  </w:style>
  <w:style w:type="character" w:customStyle="1" w:styleId="42">
    <w:name w:val="纯文本 字符1"/>
    <w:basedOn w:val="22"/>
    <w:semiHidden/>
    <w:qFormat/>
    <w:uiPriority w:val="99"/>
    <w:rPr>
      <w:rFonts w:hAnsi="Courier New" w:cs="Courier New" w:asciiTheme="minorEastAsia"/>
      <w:szCs w:val="20"/>
    </w:rPr>
  </w:style>
  <w:style w:type="character" w:customStyle="1" w:styleId="43">
    <w:name w:val="未处理的提及1"/>
    <w:basedOn w:val="22"/>
    <w:semiHidden/>
    <w:unhideWhenUsed/>
    <w:qFormat/>
    <w:uiPriority w:val="99"/>
    <w:rPr>
      <w:color w:val="605E5C"/>
      <w:shd w:val="clear" w:color="auto" w:fill="E1DFDD"/>
    </w:rPr>
  </w:style>
  <w:style w:type="paragraph" w:styleId="44">
    <w:name w:val="List Paragraph"/>
    <w:basedOn w:val="1"/>
    <w:qFormat/>
    <w:uiPriority w:val="34"/>
    <w:pPr>
      <w:ind w:firstLine="420" w:firstLineChars="200"/>
    </w:pPr>
  </w:style>
  <w:style w:type="paragraph" w:customStyle="1" w:styleId="45">
    <w:name w:val="Char Char Char Char Char Char Char1 Char"/>
    <w:basedOn w:val="1"/>
    <w:qFormat/>
    <w:uiPriority w:val="0"/>
    <w:rPr>
      <w:rFonts w:ascii="Arial" w:hAnsi="Arial" w:eastAsia="宋体" w:cs="Arial"/>
      <w:sz w:val="24"/>
    </w:rPr>
  </w:style>
  <w:style w:type="table" w:customStyle="1" w:styleId="46">
    <w:name w:val="网格表 1 浅色1"/>
    <w:basedOn w:val="20"/>
    <w:qFormat/>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character" w:customStyle="1" w:styleId="47">
    <w:name w:val="日期 字符"/>
    <w:basedOn w:val="22"/>
    <w:semiHidden/>
    <w:qFormat/>
    <w:uiPriority w:val="99"/>
    <w:rPr>
      <w:rFonts w:ascii="@仿宋_GB2312" w:hAnsi="@仿宋_GB2312" w:eastAsia="@仿宋_GB2312" w:cs="@仿宋_GB2312"/>
      <w:szCs w:val="20"/>
    </w:rPr>
  </w:style>
  <w:style w:type="character" w:customStyle="1" w:styleId="48">
    <w:name w:val="日期 Char"/>
    <w:link w:val="11"/>
    <w:qFormat/>
    <w:uiPriority w:val="0"/>
    <w:rPr>
      <w:rFonts w:ascii="Arial" w:hAnsi="Arial" w:eastAsia="宋体" w:cs="Arial"/>
      <w:b/>
      <w:sz w:val="28"/>
      <w:szCs w:val="20"/>
    </w:rPr>
  </w:style>
  <w:style w:type="character" w:customStyle="1" w:styleId="49">
    <w:name w:val="纯文本 Char1"/>
    <w:link w:val="50"/>
    <w:qFormat/>
    <w:locked/>
    <w:uiPriority w:val="0"/>
    <w:rPr>
      <w:rFonts w:ascii="Arial" w:hAnsi="Arial" w:eastAsia="Arial"/>
      <w:kern w:val="2"/>
      <w:sz w:val="21"/>
      <w:lang w:val="en-US" w:eastAsia="zh-CN" w:bidi="ar-SA"/>
    </w:rPr>
  </w:style>
  <w:style w:type="paragraph" w:customStyle="1" w:styleId="50">
    <w:name w:val="纯文本1"/>
    <w:basedOn w:val="1"/>
    <w:link w:val="49"/>
    <w:qFormat/>
    <w:uiPriority w:val="0"/>
    <w:rPr>
      <w:rFonts w:ascii="Arial" w:hAnsi="Arial" w:eastAsia="Arial" w:cstheme="minorBidi"/>
    </w:rPr>
  </w:style>
  <w:style w:type="character" w:customStyle="1" w:styleId="51">
    <w:name w:val="批注文字 Char"/>
    <w:basedOn w:val="22"/>
    <w:semiHidden/>
    <w:qFormat/>
    <w:uiPriority w:val="99"/>
    <w:rPr>
      <w:rFonts w:ascii="@仿宋_GB2312" w:hAnsi="@仿宋_GB2312" w:eastAsia="@仿宋_GB2312" w:cs="@仿宋_GB2312"/>
      <w:szCs w:val="20"/>
    </w:rPr>
  </w:style>
  <w:style w:type="character" w:customStyle="1" w:styleId="52">
    <w:name w:val="批注文字 Char1"/>
    <w:link w:val="8"/>
    <w:qFormat/>
    <w:uiPriority w:val="0"/>
    <w:rPr>
      <w:rFonts w:ascii="Arial" w:hAnsi="Arial" w:eastAsia="黑体" w:cs="Arial"/>
      <w:szCs w:val="20"/>
    </w:rPr>
  </w:style>
  <w:style w:type="character" w:customStyle="1" w:styleId="53">
    <w:name w:val="标题 1 Char"/>
    <w:basedOn w:val="22"/>
    <w:link w:val="3"/>
    <w:qFormat/>
    <w:uiPriority w:val="9"/>
    <w:rPr>
      <w:rFonts w:ascii="@仿宋_GB2312" w:hAnsi="@仿宋_GB2312" w:eastAsia="@仿宋_GB2312" w:cs="@仿宋_GB2312"/>
      <w:b/>
      <w:bCs/>
      <w:kern w:val="44"/>
      <w:sz w:val="44"/>
      <w:szCs w:val="44"/>
    </w:rPr>
  </w:style>
  <w:style w:type="paragraph" w:customStyle="1" w:styleId="54">
    <w:name w:val="TOC 标题1"/>
    <w:basedOn w:val="3"/>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55">
    <w:name w:val="标题 3 Char"/>
    <w:basedOn w:val="22"/>
    <w:link w:val="5"/>
    <w:semiHidden/>
    <w:qFormat/>
    <w:uiPriority w:val="9"/>
    <w:rPr>
      <w:rFonts w:ascii="@仿宋_GB2312" w:hAnsi="@仿宋_GB2312" w:eastAsia="@仿宋_GB2312" w:cs="@仿宋_GB2312"/>
      <w:b/>
      <w:bCs/>
      <w:sz w:val="32"/>
      <w:szCs w:val="32"/>
    </w:rPr>
  </w:style>
  <w:style w:type="character" w:customStyle="1" w:styleId="56">
    <w:name w:val="fontstyle01"/>
    <w:basedOn w:val="22"/>
    <w:qFormat/>
    <w:uiPriority w:val="0"/>
    <w:rPr>
      <w:rFonts w:hint="eastAsia" w:ascii="宋体" w:hAnsi="宋体" w:eastAsia="宋体"/>
      <w:color w:val="000000"/>
      <w:sz w:val="22"/>
      <w:szCs w:val="22"/>
    </w:rPr>
  </w:style>
  <w:style w:type="character" w:customStyle="1" w:styleId="57">
    <w:name w:val="fontstyle21"/>
    <w:basedOn w:val="22"/>
    <w:qFormat/>
    <w:uiPriority w:val="0"/>
    <w:rPr>
      <w:rFonts w:hint="default" w:ascii="TimesNewRomanPSMT" w:hAnsi="TimesNewRomanPSMT"/>
      <w:color w:val="000000"/>
      <w:sz w:val="22"/>
      <w:szCs w:val="22"/>
    </w:rPr>
  </w:style>
  <w:style w:type="character" w:customStyle="1" w:styleId="58">
    <w:name w:val="正文文本 (2) + Sylfaen2"/>
    <w:qFormat/>
    <w:uiPriority w:val="99"/>
    <w:rPr>
      <w:rFonts w:ascii="Sylfaen" w:hAnsi="Sylfaen" w:eastAsia="MingLiU" w:cs="Sylfaen"/>
      <w:spacing w:val="0"/>
      <w:sz w:val="23"/>
      <w:szCs w:val="23"/>
      <w:shd w:val="clear" w:color="auto" w:fill="FFFFFF"/>
      <w:lang w:val="en-US" w:eastAsia="en-US"/>
    </w:rPr>
  </w:style>
  <w:style w:type="character" w:customStyle="1" w:styleId="59">
    <w:name w:val="标题 4 字符"/>
    <w:basedOn w:val="22"/>
    <w:semiHidden/>
    <w:qFormat/>
    <w:uiPriority w:val="9"/>
    <w:rPr>
      <w:rFonts w:asciiTheme="majorHAnsi" w:hAnsiTheme="majorHAnsi" w:eastAsiaTheme="majorEastAsia" w:cstheme="majorBidi"/>
      <w:b/>
      <w:bCs/>
      <w:sz w:val="28"/>
      <w:szCs w:val="28"/>
    </w:rPr>
  </w:style>
  <w:style w:type="character" w:customStyle="1" w:styleId="60">
    <w:name w:val="标题 4 Char"/>
    <w:link w:val="6"/>
    <w:qFormat/>
    <w:uiPriority w:val="0"/>
    <w:rPr>
      <w:rFonts w:ascii="@仿宋_GB2312" w:hAnsi="@仿宋_GB2312" w:eastAsia="@仿宋_GB2312" w:cs="@仿宋_GB2312"/>
      <w:b/>
      <w:bCs/>
      <w:sz w:val="28"/>
      <w:szCs w:val="28"/>
    </w:rPr>
  </w:style>
  <w:style w:type="character" w:customStyle="1" w:styleId="61">
    <w:name w:val="正文文本 Char"/>
    <w:basedOn w:val="22"/>
    <w:link w:val="2"/>
    <w:qFormat/>
    <w:uiPriority w:val="0"/>
    <w:rPr>
      <w:rFonts w:ascii="@微软简标宋" w:hAnsi="@微软简标宋" w:eastAsia="@微软简标宋" w:cs="@微软简标宋"/>
      <w:szCs w:val="24"/>
      <w:lang w:val="zh-CN" w:eastAsia="zh-CN"/>
    </w:rPr>
  </w:style>
  <w:style w:type="table" w:customStyle="1" w:styleId="62">
    <w:name w:val="网格型1"/>
    <w:basedOn w:val="20"/>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63">
    <w:name w:val="Table Normal"/>
    <w:semiHidden/>
    <w:unhideWhenUsed/>
    <w:qFormat/>
    <w:uiPriority w:val="0"/>
    <w:tblPr>
      <w:tblCellMar>
        <w:top w:w="0" w:type="dxa"/>
        <w:left w:w="0" w:type="dxa"/>
        <w:bottom w:w="0" w:type="dxa"/>
        <w:right w:w="0" w:type="dxa"/>
      </w:tblCellMar>
    </w:tblPr>
  </w:style>
  <w:style w:type="paragraph" w:customStyle="1" w:styleId="64">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5351A8-48F5-4B18-AF42-26053916CB99}">
  <ds:schemaRefs/>
</ds:datastoreItem>
</file>

<file path=docProps/app.xml><?xml version="1.0" encoding="utf-8"?>
<Properties xmlns="http://schemas.openxmlformats.org/officeDocument/2006/extended-properties" xmlns:vt="http://schemas.openxmlformats.org/officeDocument/2006/docPropsVTypes">
  <Template>Normal</Template>
  <Company>akoosky</Company>
  <Pages>4</Pages>
  <Words>2556</Words>
  <Characters>2978</Characters>
  <Lines>208</Lines>
  <Paragraphs>58</Paragraphs>
  <TotalTime>2</TotalTime>
  <ScaleCrop>false</ScaleCrop>
  <LinksUpToDate>false</LinksUpToDate>
  <CharactersWithSpaces>2986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2019-05-06T14:32:00Z</dcterms:created>
  <dc:creator>Anakin</dc:creator>
  <cp:lastModifiedBy>老六</cp:lastModifiedBy>
  <cp:lastPrinted>2019-12-07T15:20:00Z</cp:lastPrinted>
  <dcterms:modified xsi:type="dcterms:W3CDTF">2025-04-03T06:00:23Z</dcterms:modified>
  <cp:revision>443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EB8265DB9C4C458B9F81AFE4EDE091C7</vt:lpwstr>
  </property>
  <property fmtid="{D5CDD505-2E9C-101B-9397-08002B2CF9AE}" pid="4" name="KSOTemplateDocerSaveRecord">
    <vt:lpwstr>eyJoZGlkIjoiNWQ5OGI1NjVmZWNhZGNkYTdkODQxYjM2ZWI3ZWJhZmYiLCJ1c2VySWQiOiIyNjE1NzMwNTYifQ==</vt:lpwstr>
  </property>
</Properties>
</file>