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5BEC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p>
    <w:p w14:paraId="77E204A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政府采购示范文本</w:t>
      </w:r>
    </w:p>
    <w:p w14:paraId="2A520FB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框架协议采购征集文件</w:t>
      </w:r>
    </w:p>
    <w:p w14:paraId="7E1BC47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509CD8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ECE8E9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C032C4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C8F29E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038770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64FB80A">
      <w:pPr>
        <w:pStyle w:val="5"/>
        <w:rPr>
          <w:rFonts w:ascii="宋体" w:hAnsi="宋体" w:eastAsia="宋体"/>
          <w:b/>
          <w:bCs/>
          <w:color w:val="auto"/>
          <w:sz w:val="44"/>
          <w:szCs w:val="44"/>
          <w:highlight w:val="none"/>
        </w:rPr>
      </w:pPr>
    </w:p>
    <w:p w14:paraId="0D5F66A0">
      <w:pPr>
        <w:pStyle w:val="12"/>
      </w:pPr>
    </w:p>
    <w:p w14:paraId="3EF7F64B">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rPr>
        <w:t>界首市机关事务管理服务中心公务车辆</w:t>
      </w:r>
      <w:r>
        <w:rPr>
          <w:rFonts w:hint="eastAsia" w:ascii="宋体" w:hAnsi="宋体" w:eastAsia="宋体"/>
          <w:b/>
          <w:color w:val="auto"/>
          <w:spacing w:val="20"/>
          <w:kern w:val="0"/>
          <w:sz w:val="32"/>
          <w:szCs w:val="32"/>
          <w:highlight w:val="none"/>
          <w:u w:val="single"/>
          <w:lang w:val="en-US" w:eastAsia="zh-CN"/>
        </w:rPr>
        <w:t>保险</w:t>
      </w:r>
      <w:r>
        <w:rPr>
          <w:rFonts w:hint="eastAsia" w:ascii="宋体" w:hAnsi="宋体" w:eastAsia="宋体"/>
          <w:b/>
          <w:color w:val="auto"/>
          <w:spacing w:val="20"/>
          <w:kern w:val="0"/>
          <w:sz w:val="32"/>
          <w:szCs w:val="32"/>
          <w:highlight w:val="none"/>
          <w:u w:val="single"/>
        </w:rPr>
        <w:t>服务框架协议采购</w:t>
      </w:r>
    </w:p>
    <w:p w14:paraId="1F781573">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KJXY202501210346</w:t>
      </w:r>
    </w:p>
    <w:p w14:paraId="63E05EC6">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征 集 人：</w:t>
      </w:r>
      <w:r>
        <w:rPr>
          <w:rFonts w:hint="eastAsia" w:ascii="宋体" w:hAnsi="宋体" w:eastAsia="宋体"/>
          <w:b/>
          <w:color w:val="auto"/>
          <w:spacing w:val="20"/>
          <w:kern w:val="0"/>
          <w:sz w:val="32"/>
          <w:szCs w:val="32"/>
          <w:highlight w:val="none"/>
          <w:u w:val="single"/>
        </w:rPr>
        <w:t>界首市机关事务管理服务中心</w:t>
      </w:r>
      <w:r>
        <w:rPr>
          <w:rFonts w:hint="eastAsia" w:ascii="宋体" w:hAnsi="宋体" w:eastAsia="宋体"/>
          <w:b/>
          <w:color w:val="auto"/>
          <w:spacing w:val="20"/>
          <w:kern w:val="0"/>
          <w:sz w:val="32"/>
          <w:szCs w:val="32"/>
          <w:highlight w:val="none"/>
        </w:rPr>
        <w:t xml:space="preserve"> </w:t>
      </w:r>
    </w:p>
    <w:p w14:paraId="5664D8DB">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法正项目管理集团有限公司</w:t>
      </w:r>
    </w:p>
    <w:p w14:paraId="51987287">
      <w:pPr>
        <w:pStyle w:val="5"/>
      </w:pPr>
    </w:p>
    <w:p w14:paraId="3E13D40F">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二〇二五年一月</w:t>
      </w:r>
    </w:p>
    <w:p w14:paraId="7FB1665D">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5B4D136A">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260FC9B">
      <w:pPr>
        <w:tabs>
          <w:tab w:val="left" w:pos="2410"/>
        </w:tabs>
        <w:autoSpaceDE w:val="0"/>
        <w:autoSpaceDN w:val="0"/>
        <w:adjustRightInd w:val="0"/>
        <w:snapToGrid w:val="0"/>
        <w:spacing w:line="360" w:lineRule="auto"/>
        <w:jc w:val="center"/>
        <w:rPr>
          <w:rFonts w:ascii="宋体" w:hAnsi="宋体" w:eastAsia="宋体"/>
          <w:b/>
          <w:color w:val="auto"/>
          <w:sz w:val="32"/>
          <w:szCs w:val="22"/>
          <w:highlight w:val="none"/>
        </w:rPr>
      </w:pPr>
      <w:r>
        <w:rPr>
          <w:rFonts w:hint="eastAsia" w:ascii="宋体" w:hAnsi="宋体" w:eastAsia="宋体"/>
          <w:b/>
          <w:color w:val="auto"/>
          <w:sz w:val="32"/>
          <w:szCs w:val="22"/>
          <w:highlight w:val="none"/>
        </w:rPr>
        <w:t>目  录</w:t>
      </w:r>
    </w:p>
    <w:p w14:paraId="4AAA5093">
      <w:pPr>
        <w:pStyle w:val="8"/>
        <w:tabs>
          <w:tab w:val="right" w:leader="dot" w:pos="8306"/>
        </w:tabs>
        <w:rPr>
          <w:rFonts w:hint="eastAsia" w:ascii="宋体" w:hAnsi="宋体" w:eastAsia="宋体" w:cs="宋体"/>
          <w:b/>
          <w:bCs/>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_Toc32331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第一章  征集</w:t>
      </w:r>
      <w:r>
        <w:rPr>
          <w:rFonts w:hint="eastAsia" w:ascii="宋体" w:hAnsi="宋体" w:eastAsia="宋体" w:cs="宋体"/>
          <w:b/>
          <w:bCs/>
          <w:sz w:val="24"/>
          <w:szCs w:val="24"/>
          <w:highlight w:val="none"/>
          <w:lang w:val="en-US" w:eastAsia="zh-CN"/>
        </w:rPr>
        <w:t>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_Toc32331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2A8A3BE8">
      <w:pPr>
        <w:pStyle w:val="8"/>
        <w:tabs>
          <w:tab w:val="right" w:leader="dot" w:pos="8306"/>
        </w:tabs>
        <w:rPr>
          <w:rFonts w:hint="eastAsia" w:ascii="宋体" w:hAnsi="宋体" w:eastAsia="宋体" w:cs="宋体"/>
          <w:b/>
          <w:bCs/>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_Toc8888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第二章  供应商须知</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6</w:t>
      </w:r>
      <w:r>
        <w:rPr>
          <w:rFonts w:hint="eastAsia" w:ascii="宋体" w:hAnsi="宋体" w:eastAsia="宋体" w:cs="宋体"/>
          <w:b/>
          <w:bCs/>
          <w:color w:val="auto"/>
          <w:sz w:val="24"/>
          <w:szCs w:val="24"/>
          <w:highlight w:val="none"/>
        </w:rPr>
        <w:fldChar w:fldCharType="end"/>
      </w:r>
    </w:p>
    <w:p w14:paraId="288EBB34">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_Toc22605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eastAsia="zh-CN"/>
        </w:rPr>
        <w:t xml:space="preserve">第三章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highlight w:val="none"/>
        </w:rPr>
        <w:t>采购需求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5</w:t>
      </w:r>
    </w:p>
    <w:p w14:paraId="5436176F">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_Toc30824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xml:space="preserve">第四章  </w:t>
      </w:r>
      <w:r>
        <w:rPr>
          <w:rFonts w:hint="eastAsia" w:ascii="宋体" w:hAnsi="宋体" w:eastAsia="宋体" w:cs="宋体"/>
          <w:b/>
          <w:bCs/>
          <w:sz w:val="24"/>
          <w:szCs w:val="24"/>
          <w:highlight w:val="none"/>
          <w:lang w:val="en-US" w:eastAsia="zh-CN"/>
        </w:rPr>
        <w:t>评审</w:t>
      </w:r>
      <w:r>
        <w:rPr>
          <w:rFonts w:hint="eastAsia" w:ascii="宋体" w:hAnsi="宋体" w:eastAsia="宋体" w:cs="宋体"/>
          <w:b/>
          <w:bCs/>
          <w:sz w:val="24"/>
          <w:szCs w:val="24"/>
          <w:highlight w:val="none"/>
        </w:rPr>
        <w:t>方法和标准（质量优先法）</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8</w:t>
      </w:r>
    </w:p>
    <w:p w14:paraId="1517DE03">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_Toc20405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第五章  框架协议和采购合同文本</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5</w:t>
      </w:r>
    </w:p>
    <w:p w14:paraId="273128F7">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_Toc13555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xml:space="preserve">第六章  </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文件格式</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8</w:t>
      </w:r>
    </w:p>
    <w:p w14:paraId="706D7788">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_Toc20819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章  政府采购供应商询问函和质疑函范本</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0</w:t>
      </w:r>
    </w:p>
    <w:p w14:paraId="7EBC0758">
      <w:pPr>
        <w:spacing w:line="360" w:lineRule="auto"/>
        <w:rPr>
          <w:rFonts w:asciiTheme="minorEastAsia" w:hAnsiTheme="minorEastAsia" w:eastAsiaTheme="minorEastAsia"/>
          <w:b/>
          <w:color w:val="auto"/>
          <w:sz w:val="32"/>
          <w:highlight w:val="none"/>
        </w:rPr>
      </w:pPr>
      <w:r>
        <w:rPr>
          <w:rFonts w:hint="eastAsia" w:ascii="宋体" w:hAnsi="宋体" w:eastAsia="宋体" w:cs="宋体"/>
          <w:b/>
          <w:bCs/>
          <w:color w:val="auto"/>
          <w:sz w:val="24"/>
          <w:szCs w:val="24"/>
          <w:highlight w:val="none"/>
        </w:rPr>
        <w:fldChar w:fldCharType="end"/>
      </w:r>
    </w:p>
    <w:p w14:paraId="6AD8DD33">
      <w:pPr>
        <w:spacing w:line="360" w:lineRule="auto"/>
        <w:jc w:val="center"/>
        <w:outlineLvl w:val="1"/>
        <w:rPr>
          <w:rFonts w:asciiTheme="minorEastAsia" w:hAnsiTheme="minorEastAsia" w:eastAsiaTheme="minorEastAsia"/>
          <w:b/>
          <w:color w:val="auto"/>
          <w:sz w:val="28"/>
          <w:highlight w:val="none"/>
        </w:rPr>
        <w:sectPr>
          <w:headerReference r:id="rId5" w:type="default"/>
          <w:footerReference r:id="rId6" w:type="default"/>
          <w:pgSz w:w="11906" w:h="16838"/>
          <w:pgMar w:top="1742" w:right="1800" w:bottom="1440" w:left="1800" w:header="1111" w:footer="992" w:gutter="0"/>
          <w:pgNumType w:fmt="decimal" w:start="1"/>
          <w:cols w:space="425" w:num="1"/>
          <w:docGrid w:type="lines" w:linePitch="312" w:charSpace="0"/>
        </w:sectPr>
      </w:pPr>
    </w:p>
    <w:p w14:paraId="5C39F58B">
      <w:pPr>
        <w:spacing w:line="360" w:lineRule="auto"/>
        <w:jc w:val="center"/>
        <w:outlineLvl w:val="0"/>
        <w:rPr>
          <w:rFonts w:hint="eastAsia" w:asciiTheme="minorEastAsia" w:hAnsiTheme="minorEastAsia" w:eastAsiaTheme="minorEastAsia"/>
          <w:b/>
          <w:color w:val="auto"/>
          <w:sz w:val="32"/>
          <w:szCs w:val="22"/>
          <w:highlight w:val="none"/>
          <w:lang w:eastAsia="zh-CN"/>
        </w:rPr>
      </w:pPr>
      <w:bookmarkStart w:id="0" w:name="_Toc32331"/>
      <w:r>
        <w:rPr>
          <w:rFonts w:hint="eastAsia" w:asciiTheme="minorEastAsia" w:hAnsiTheme="minorEastAsia" w:eastAsiaTheme="minorEastAsia"/>
          <w:b/>
          <w:color w:val="auto"/>
          <w:sz w:val="32"/>
          <w:szCs w:val="22"/>
          <w:highlight w:val="none"/>
        </w:rPr>
        <w:t xml:space="preserve">第一章 </w:t>
      </w:r>
      <w:r>
        <w:rPr>
          <w:rFonts w:asciiTheme="minorEastAsia" w:hAnsiTheme="minorEastAsia" w:eastAsiaTheme="minorEastAsia"/>
          <w:b/>
          <w:color w:val="auto"/>
          <w:sz w:val="32"/>
          <w:szCs w:val="22"/>
          <w:highlight w:val="none"/>
        </w:rPr>
        <w:t xml:space="preserve"> </w:t>
      </w:r>
      <w:r>
        <w:rPr>
          <w:rFonts w:hint="eastAsia" w:asciiTheme="minorEastAsia" w:hAnsiTheme="minorEastAsia" w:eastAsiaTheme="minorEastAsia"/>
          <w:b/>
          <w:color w:val="auto"/>
          <w:sz w:val="32"/>
          <w:szCs w:val="22"/>
          <w:highlight w:val="none"/>
          <w:lang w:val="en-US" w:eastAsia="zh-CN"/>
        </w:rPr>
        <w:t>征集</w:t>
      </w:r>
      <w:bookmarkEnd w:id="0"/>
      <w:r>
        <w:rPr>
          <w:rFonts w:hint="eastAsia" w:asciiTheme="minorEastAsia" w:hAnsiTheme="minorEastAsia" w:eastAsiaTheme="minorEastAsia"/>
          <w:b/>
          <w:color w:val="auto"/>
          <w:sz w:val="32"/>
          <w:szCs w:val="22"/>
          <w:highlight w:val="none"/>
          <w:lang w:val="en-US" w:eastAsia="zh-CN"/>
        </w:rPr>
        <w:t>公告</w:t>
      </w:r>
    </w:p>
    <w:p w14:paraId="6DBF41D0">
      <w:pPr>
        <w:spacing w:line="360" w:lineRule="auto"/>
        <w:outlineLvl w:val="1"/>
        <w:rPr>
          <w:rFonts w:hint="eastAsia" w:ascii="宋体" w:hAnsi="宋体" w:eastAsia="宋体"/>
          <w:b/>
          <w:bCs/>
          <w:color w:val="auto"/>
          <w:sz w:val="24"/>
          <w:szCs w:val="18"/>
          <w:highlight w:val="none"/>
        </w:rPr>
      </w:pPr>
      <w:bookmarkStart w:id="1" w:name="_Toc1381"/>
      <w:bookmarkStart w:id="2" w:name="_Toc31518"/>
      <w:r>
        <w:rPr>
          <w:rFonts w:hint="eastAsia" w:ascii="宋体" w:hAnsi="宋体" w:eastAsia="宋体"/>
          <w:b/>
          <w:bCs/>
          <w:color w:val="auto"/>
          <w:sz w:val="24"/>
          <w:szCs w:val="18"/>
          <w:highlight w:val="none"/>
        </w:rPr>
        <w:t>一、</w:t>
      </w:r>
      <w:bookmarkEnd w:id="1"/>
      <w:r>
        <w:rPr>
          <w:rFonts w:hint="eastAsia" w:ascii="宋体" w:hAnsi="宋体" w:eastAsia="宋体"/>
          <w:b/>
          <w:bCs/>
          <w:color w:val="auto"/>
          <w:sz w:val="24"/>
          <w:szCs w:val="18"/>
          <w:highlight w:val="none"/>
        </w:rPr>
        <w:t>项目基本情况</w:t>
      </w:r>
      <w:bookmarkEnd w:id="2"/>
    </w:p>
    <w:p w14:paraId="3B2150E5">
      <w:pPr>
        <w:spacing w:line="360" w:lineRule="auto"/>
        <w:ind w:firstLine="435"/>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1.项目名称：</w:t>
      </w:r>
      <w:r>
        <w:rPr>
          <w:rFonts w:hint="eastAsia" w:asciiTheme="minorEastAsia" w:hAnsiTheme="minorEastAsia" w:eastAsiaTheme="minorEastAsia" w:cstheme="minorEastAsia"/>
          <w:color w:val="auto"/>
          <w:sz w:val="24"/>
          <w:szCs w:val="18"/>
          <w:highlight w:val="none"/>
          <w:u w:val="none"/>
        </w:rPr>
        <w:t>界首市机关事务管理服务中心公务车辆</w:t>
      </w:r>
      <w:r>
        <w:rPr>
          <w:rFonts w:hint="eastAsia" w:asciiTheme="minorEastAsia" w:hAnsiTheme="minorEastAsia" w:eastAsiaTheme="minorEastAsia" w:cstheme="minorEastAsia"/>
          <w:color w:val="auto"/>
          <w:sz w:val="24"/>
          <w:szCs w:val="18"/>
          <w:highlight w:val="none"/>
          <w:u w:val="none"/>
          <w:lang w:val="en-US" w:eastAsia="zh-CN"/>
        </w:rPr>
        <w:t>保险</w:t>
      </w:r>
      <w:r>
        <w:rPr>
          <w:rFonts w:hint="eastAsia" w:asciiTheme="minorEastAsia" w:hAnsiTheme="minorEastAsia" w:eastAsiaTheme="minorEastAsia" w:cstheme="minorEastAsia"/>
          <w:color w:val="auto"/>
          <w:sz w:val="24"/>
          <w:szCs w:val="18"/>
          <w:highlight w:val="none"/>
          <w:u w:val="none"/>
        </w:rPr>
        <w:t xml:space="preserve">服务框架协议采购           </w:t>
      </w:r>
    </w:p>
    <w:p w14:paraId="5097A69F">
      <w:pPr>
        <w:spacing w:line="360" w:lineRule="auto"/>
        <w:ind w:firstLine="435"/>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2.项目编号：KJXY202501210346</w:t>
      </w:r>
    </w:p>
    <w:p w14:paraId="3A986322">
      <w:pPr>
        <w:spacing w:line="360" w:lineRule="auto"/>
        <w:ind w:firstLine="435"/>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3.</w:t>
      </w:r>
      <w:r>
        <w:rPr>
          <w:rFonts w:hint="eastAsia" w:asciiTheme="minorEastAsia" w:hAnsiTheme="minorEastAsia" w:eastAsiaTheme="minorEastAsia" w:cstheme="minorEastAsia"/>
          <w:color w:val="auto"/>
          <w:sz w:val="24"/>
          <w:highlight w:val="none"/>
          <w:u w:val="none"/>
          <w:lang w:val="en-US" w:eastAsia="zh-CN"/>
        </w:rPr>
        <w:t>采购需求</w:t>
      </w:r>
      <w:r>
        <w:rPr>
          <w:rFonts w:hint="eastAsia" w:asciiTheme="minorEastAsia" w:hAnsiTheme="minorEastAsia" w:eastAsiaTheme="minorEastAsia" w:cstheme="minorEastAsia"/>
          <w:color w:val="auto"/>
          <w:sz w:val="24"/>
          <w:highlight w:val="none"/>
          <w:u w:val="none"/>
        </w:rPr>
        <w:t>：界首市机关事务管理服务中心公务车辆</w:t>
      </w:r>
      <w:r>
        <w:rPr>
          <w:rFonts w:hint="eastAsia" w:asciiTheme="minorEastAsia" w:hAnsiTheme="minorEastAsia" w:eastAsiaTheme="minorEastAsia" w:cstheme="minorEastAsia"/>
          <w:color w:val="auto"/>
          <w:sz w:val="24"/>
          <w:highlight w:val="none"/>
          <w:u w:val="none"/>
          <w:lang w:val="en-US" w:eastAsia="zh-CN"/>
        </w:rPr>
        <w:t>保险</w:t>
      </w:r>
      <w:r>
        <w:rPr>
          <w:rFonts w:hint="eastAsia" w:asciiTheme="minorEastAsia" w:hAnsiTheme="minorEastAsia" w:eastAsiaTheme="minorEastAsia" w:cstheme="minorEastAsia"/>
          <w:color w:val="auto"/>
          <w:sz w:val="24"/>
          <w:highlight w:val="none"/>
          <w:u w:val="none"/>
        </w:rPr>
        <w:t>服务框架协议采购，保险机构应为征集人提供车辆的交强险、机动车车辆损失险、第三者责任险、驾驶员及车上人员责任险、全车盗抢险、玻璃单独破碎险、自燃损失险、无法找到第三方责任险等及以上险种的不计免赔特约险。（以上险种仅做参考，各潜在供应商可根据自身优势报险种，但不得少于上述所列险种）</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none"/>
        </w:rPr>
        <w:t>本次拟采购3家保险机构，入围供应商在入围后五日内做好应承保车辆具体情况的登记、测算和承保工作。本次采购项目潜在供应商应充分考虑影响车保保费</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none"/>
        </w:rPr>
        <w:t>理赔的因素，车辆的类型、车龄、座位、车辆的价格部分等以及各险种投保的金额。各潜在供应商须针对本次保险采购所有参保车辆给出</w:t>
      </w:r>
      <w:r>
        <w:rPr>
          <w:rFonts w:hint="eastAsia" w:asciiTheme="minorEastAsia" w:hAnsiTheme="minorEastAsia" w:eastAsiaTheme="minorEastAsia" w:cstheme="minorEastAsia"/>
          <w:color w:val="auto"/>
          <w:sz w:val="24"/>
          <w:highlight w:val="none"/>
          <w:u w:val="none"/>
          <w:lang w:val="en-US" w:eastAsia="zh-CN"/>
        </w:rPr>
        <w:t>最优报价</w:t>
      </w:r>
      <w:r>
        <w:rPr>
          <w:rFonts w:hint="eastAsia" w:asciiTheme="minorEastAsia" w:hAnsiTheme="minorEastAsia" w:eastAsiaTheme="minorEastAsia" w:cstheme="minorEastAsia"/>
          <w:color w:val="auto"/>
          <w:sz w:val="24"/>
          <w:highlight w:val="none"/>
          <w:u w:val="none"/>
        </w:rPr>
        <w:t xml:space="preserve">，并承担征集人车辆的保险责任。 </w:t>
      </w:r>
    </w:p>
    <w:p w14:paraId="059FF8DD">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.适用本次采购框架协议的征集人或服务对象：界首市机关事务管理服务中心</w:t>
      </w:r>
    </w:p>
    <w:p w14:paraId="059207F7">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.框架协议期限：自框架协议签订之日起2年，一年一考核</w:t>
      </w:r>
    </w:p>
    <w:p w14:paraId="5CB79FF4">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6.资金来源：财政资金</w:t>
      </w:r>
    </w:p>
    <w:p w14:paraId="068BACE3">
      <w:pPr>
        <w:spacing w:line="360" w:lineRule="auto"/>
        <w:ind w:firstLine="43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7.包别划分：共分1个包</w:t>
      </w:r>
    </w:p>
    <w:p w14:paraId="375EA474">
      <w:pPr>
        <w:spacing w:line="360" w:lineRule="auto"/>
        <w:ind w:firstLine="435"/>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8.本项目是否接受联合体：否</w:t>
      </w:r>
    </w:p>
    <w:p w14:paraId="571DFE1E">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最高限制单价：商业险综合费率</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0%</w:t>
      </w:r>
    </w:p>
    <w:p w14:paraId="1462F144">
      <w:pPr>
        <w:spacing w:line="360" w:lineRule="auto"/>
        <w:outlineLvl w:val="1"/>
        <w:rPr>
          <w:rFonts w:hint="eastAsia" w:ascii="宋体" w:hAnsi="宋体" w:eastAsia="宋体"/>
          <w:b/>
          <w:bCs/>
          <w:color w:val="auto"/>
          <w:sz w:val="24"/>
          <w:szCs w:val="18"/>
          <w:highlight w:val="none"/>
        </w:rPr>
      </w:pPr>
      <w:bookmarkStart w:id="3" w:name="_Toc13530"/>
      <w:bookmarkStart w:id="4" w:name="_Toc9204"/>
      <w:r>
        <w:rPr>
          <w:rFonts w:hint="eastAsia" w:ascii="宋体" w:hAnsi="宋体" w:eastAsia="宋体"/>
          <w:b/>
          <w:bCs/>
          <w:color w:val="auto"/>
          <w:sz w:val="24"/>
          <w:szCs w:val="18"/>
          <w:highlight w:val="none"/>
        </w:rPr>
        <w:t>二、</w:t>
      </w:r>
      <w:bookmarkEnd w:id="3"/>
      <w:bookmarkEnd w:id="4"/>
      <w:r>
        <w:rPr>
          <w:rFonts w:hint="eastAsia" w:ascii="宋体" w:hAnsi="宋体" w:eastAsia="宋体"/>
          <w:b/>
          <w:bCs/>
          <w:color w:val="auto"/>
          <w:sz w:val="24"/>
          <w:szCs w:val="18"/>
          <w:highlight w:val="none"/>
        </w:rPr>
        <w:t>供应商资格</w:t>
      </w:r>
    </w:p>
    <w:p w14:paraId="2D415F96">
      <w:pPr>
        <w:spacing w:line="360" w:lineRule="auto"/>
        <w:ind w:firstLine="435"/>
        <w:outlineLvl w:val="9"/>
        <w:rPr>
          <w:rFonts w:hint="eastAsia" w:asciiTheme="minorEastAsia" w:hAnsiTheme="minorEastAsia" w:eastAsiaTheme="minorEastAsia"/>
          <w:color w:val="auto"/>
          <w:sz w:val="24"/>
          <w:highlight w:val="none"/>
        </w:rPr>
      </w:pPr>
      <w:bookmarkStart w:id="5" w:name="_Toc30110"/>
      <w:r>
        <w:rPr>
          <w:rFonts w:hint="eastAsia" w:asciiTheme="minorEastAsia" w:hAnsiTheme="minorEastAsia" w:eastAsiaTheme="minorEastAsia"/>
          <w:color w:val="auto"/>
          <w:sz w:val="24"/>
          <w:highlight w:val="none"/>
        </w:rPr>
        <w:t>1.满足《中华人民共和国政府采购法》第二十二条规定；</w:t>
      </w:r>
    </w:p>
    <w:p w14:paraId="54959CFA">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2.落实政府采购政策需满足的资格要求：本项目符合财政部、工业和信息化部制定的《政府采购促进中小企业发展管理办法》第六条第</w:t>
      </w:r>
      <w:r>
        <w:rPr>
          <w:rFonts w:hint="eastAsia" w:asciiTheme="minorEastAsia" w:hAnsiTheme="minorEastAsia" w:eastAsiaTheme="minorEastAsia"/>
          <w:color w:val="auto"/>
          <w:sz w:val="24"/>
          <w:highlight w:val="none"/>
          <w:lang w:val="en-US" w:eastAsia="zh-CN"/>
        </w:rPr>
        <w:t>四</w:t>
      </w:r>
      <w:r>
        <w:rPr>
          <w:rFonts w:hint="eastAsia" w:asciiTheme="minorEastAsia" w:hAnsiTheme="minorEastAsia" w:eastAsiaTheme="minorEastAsia"/>
          <w:color w:val="auto"/>
          <w:sz w:val="24"/>
          <w:highlight w:val="none"/>
        </w:rPr>
        <w:t>款之规定，为非专门面向中小企业采购项目。具体原因如下：本项目为框架协议采购项目。如对此项内容有疑问，可通过电子交易系统在线提出或书面提出方式进行质疑。接收部门：界首市机关事务管理服务中心，联系电话：</w:t>
      </w:r>
      <w:r>
        <w:rPr>
          <w:rFonts w:hint="eastAsia" w:asciiTheme="minorEastAsia" w:hAnsiTheme="minorEastAsia" w:eastAsiaTheme="minorEastAsia"/>
          <w:color w:val="auto"/>
          <w:sz w:val="24"/>
          <w:highlight w:val="none"/>
          <w:lang w:eastAsia="zh-CN"/>
        </w:rPr>
        <w:t>15726223398</w:t>
      </w:r>
      <w:r>
        <w:rPr>
          <w:rFonts w:hint="eastAsia" w:asciiTheme="minorEastAsia" w:hAnsiTheme="minorEastAsia" w:eastAsiaTheme="minorEastAsia"/>
          <w:color w:val="auto"/>
          <w:sz w:val="24"/>
          <w:highlight w:val="none"/>
        </w:rPr>
        <w:t>，电子邮箱：464331735@qq.com</w:t>
      </w:r>
      <w:r>
        <w:rPr>
          <w:rFonts w:hint="eastAsia" w:asciiTheme="minorEastAsia" w:hAnsiTheme="minorEastAsia" w:eastAsiaTheme="minorEastAsia"/>
          <w:color w:val="auto"/>
          <w:sz w:val="24"/>
          <w:highlight w:val="none"/>
          <w:lang w:eastAsia="zh-CN"/>
        </w:rPr>
        <w:t>，通讯地址：安徽省阜阳市界首市人民东路1号</w:t>
      </w:r>
      <w:r>
        <w:rPr>
          <w:rFonts w:hint="eastAsia" w:asciiTheme="minorEastAsia" w:hAnsiTheme="minorEastAsia" w:eastAsiaTheme="minorEastAsia"/>
          <w:color w:val="auto"/>
          <w:sz w:val="24"/>
          <w:highlight w:val="none"/>
        </w:rPr>
        <w:t>。</w:t>
      </w:r>
    </w:p>
    <w:p w14:paraId="4EB94C94">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3.本项目的特定资格要求：具有</w:t>
      </w:r>
      <w:r>
        <w:rPr>
          <w:rFonts w:hint="eastAsia" w:asciiTheme="minorEastAsia" w:hAnsiTheme="minorEastAsia" w:eastAsiaTheme="minorEastAsia"/>
          <w:color w:val="auto"/>
          <w:sz w:val="24"/>
          <w:highlight w:val="none"/>
          <w:lang w:val="en-US" w:eastAsia="zh-CN"/>
        </w:rPr>
        <w:t>有效的</w:t>
      </w:r>
      <w:r>
        <w:rPr>
          <w:rFonts w:hint="eastAsia" w:asciiTheme="minorEastAsia" w:hAnsiTheme="minorEastAsia" w:eastAsiaTheme="minorEastAsia"/>
          <w:color w:val="auto"/>
          <w:sz w:val="24"/>
          <w:highlight w:val="none"/>
        </w:rPr>
        <w:t>经营保险业务许可证。</w:t>
      </w:r>
    </w:p>
    <w:p w14:paraId="02503A33">
      <w:pPr>
        <w:spacing w:line="360" w:lineRule="auto"/>
        <w:outlineLvl w:val="1"/>
        <w:rPr>
          <w:rFonts w:hint="eastAsia" w:ascii="宋体" w:hAnsi="宋体" w:eastAsia="宋体"/>
          <w:b/>
          <w:bCs/>
          <w:color w:val="auto"/>
          <w:sz w:val="24"/>
          <w:szCs w:val="18"/>
          <w:highlight w:val="none"/>
        </w:rPr>
      </w:pPr>
      <w:bookmarkStart w:id="6" w:name="_Toc21681"/>
      <w:r>
        <w:rPr>
          <w:rFonts w:hint="eastAsia" w:ascii="宋体" w:hAnsi="宋体" w:eastAsia="宋体"/>
          <w:b/>
          <w:bCs/>
          <w:color w:val="auto"/>
          <w:sz w:val="24"/>
          <w:szCs w:val="18"/>
          <w:highlight w:val="none"/>
        </w:rPr>
        <w:t>三、</w:t>
      </w:r>
      <w:bookmarkEnd w:id="5"/>
      <w:r>
        <w:rPr>
          <w:rFonts w:hint="eastAsia" w:ascii="宋体" w:hAnsi="宋体" w:eastAsia="宋体"/>
          <w:b/>
          <w:bCs/>
          <w:color w:val="auto"/>
          <w:sz w:val="24"/>
          <w:szCs w:val="18"/>
          <w:highlight w:val="none"/>
          <w:lang w:val="en-US" w:eastAsia="zh-CN"/>
        </w:rPr>
        <w:t>征集</w:t>
      </w:r>
      <w:r>
        <w:rPr>
          <w:rFonts w:hint="eastAsia" w:ascii="宋体" w:hAnsi="宋体" w:eastAsia="宋体"/>
          <w:b/>
          <w:bCs/>
          <w:color w:val="auto"/>
          <w:sz w:val="24"/>
          <w:szCs w:val="18"/>
          <w:highlight w:val="none"/>
        </w:rPr>
        <w:t>文件</w:t>
      </w:r>
      <w:bookmarkEnd w:id="6"/>
      <w:r>
        <w:rPr>
          <w:rFonts w:hint="eastAsia" w:ascii="宋体" w:hAnsi="宋体" w:eastAsia="宋体"/>
          <w:b/>
          <w:bCs/>
          <w:color w:val="auto"/>
          <w:sz w:val="24"/>
          <w:szCs w:val="18"/>
          <w:highlight w:val="none"/>
          <w:lang w:val="en-US" w:eastAsia="zh-CN"/>
        </w:rPr>
        <w:t>的</w:t>
      </w:r>
      <w:r>
        <w:rPr>
          <w:rFonts w:hint="eastAsia" w:ascii="宋体" w:hAnsi="宋体" w:eastAsia="宋体"/>
          <w:b/>
          <w:bCs/>
          <w:color w:val="auto"/>
          <w:sz w:val="24"/>
          <w:szCs w:val="18"/>
          <w:highlight w:val="none"/>
        </w:rPr>
        <w:t>获取</w:t>
      </w:r>
    </w:p>
    <w:p w14:paraId="42069744">
      <w:pPr>
        <w:spacing w:line="360" w:lineRule="auto"/>
        <w:ind w:firstLine="540"/>
        <w:rPr>
          <w:rFonts w:hint="eastAsia" w:asciiTheme="minorEastAsia" w:hAnsiTheme="minorEastAsia" w:eastAsiaTheme="minorEastAsia" w:cstheme="minorEastAsia"/>
          <w:sz w:val="24"/>
          <w:szCs w:val="24"/>
        </w:rPr>
      </w:pPr>
      <w:bookmarkStart w:id="7" w:name="_Toc7957"/>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日至202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分（北京时间）</w:t>
      </w:r>
    </w:p>
    <w:p w14:paraId="11ECBDF2">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地点：安徽省政府采购网或“徽采云”电子交易系统</w:t>
      </w:r>
    </w:p>
    <w:p w14:paraId="12305E52">
      <w:pPr>
        <w:spacing w:line="360" w:lineRule="auto"/>
        <w:ind w:firstLine="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方式：供应商</w:t>
      </w:r>
      <w:r>
        <w:rPr>
          <w:rFonts w:hint="eastAsia" w:asciiTheme="minorEastAsia" w:hAnsiTheme="minorEastAsia" w:eastAsiaTheme="minorEastAsia" w:cstheme="minorEastAsia"/>
          <w:sz w:val="24"/>
          <w:szCs w:val="24"/>
          <w:lang w:val="en-US" w:eastAsia="zh-CN"/>
        </w:rPr>
        <w:t>须</w:t>
      </w:r>
      <w:r>
        <w:rPr>
          <w:rFonts w:hint="eastAsia" w:asciiTheme="minorEastAsia" w:hAnsiTheme="minorEastAsia" w:eastAsiaTheme="minorEastAsia" w:cstheme="minorEastAsia"/>
          <w:sz w:val="24"/>
          <w:szCs w:val="24"/>
        </w:rPr>
        <w:t>登录安徽省政府采购网或“徽采云”电子交易系统在线获取征集文件</w:t>
      </w:r>
    </w:p>
    <w:p w14:paraId="0A6886D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8" w:name="_Toc25902"/>
      <w:r>
        <w:rPr>
          <w:rFonts w:hint="eastAsia" w:ascii="宋体" w:hAnsi="宋体" w:eastAsia="宋体"/>
          <w:b/>
          <w:bCs/>
          <w:color w:val="auto"/>
          <w:sz w:val="24"/>
          <w:szCs w:val="18"/>
          <w:highlight w:val="none"/>
        </w:rPr>
        <w:t>四、</w:t>
      </w:r>
      <w:bookmarkEnd w:id="7"/>
      <w:r>
        <w:rPr>
          <w:rFonts w:hint="eastAsia" w:ascii="宋体" w:hAnsi="宋体" w:eastAsia="宋体"/>
          <w:b/>
          <w:bCs/>
          <w:color w:val="auto"/>
          <w:sz w:val="24"/>
          <w:szCs w:val="18"/>
          <w:highlight w:val="none"/>
        </w:rPr>
        <w:t>提交</w:t>
      </w:r>
      <w:r>
        <w:rPr>
          <w:rFonts w:hint="eastAsia" w:ascii="宋体" w:hAnsi="宋体" w:eastAsia="宋体"/>
          <w:b/>
          <w:bCs/>
          <w:color w:val="auto"/>
          <w:sz w:val="24"/>
          <w:szCs w:val="18"/>
          <w:highlight w:val="none"/>
          <w:lang w:val="en-US" w:eastAsia="zh-CN"/>
        </w:rPr>
        <w:t>响应</w:t>
      </w:r>
      <w:r>
        <w:rPr>
          <w:rFonts w:hint="eastAsia" w:ascii="宋体" w:hAnsi="宋体" w:eastAsia="宋体"/>
          <w:b/>
          <w:bCs/>
          <w:color w:val="auto"/>
          <w:sz w:val="24"/>
          <w:szCs w:val="18"/>
          <w:highlight w:val="none"/>
        </w:rPr>
        <w:t>文件截止时间、</w:t>
      </w:r>
      <w:r>
        <w:rPr>
          <w:rFonts w:hint="eastAsia" w:ascii="宋体" w:hAnsi="宋体" w:eastAsia="宋体"/>
          <w:b/>
          <w:bCs/>
          <w:color w:val="auto"/>
          <w:sz w:val="24"/>
          <w:szCs w:val="18"/>
          <w:highlight w:val="none"/>
          <w:lang w:val="en-US" w:eastAsia="zh-CN"/>
        </w:rPr>
        <w:t>开启</w:t>
      </w:r>
      <w:r>
        <w:rPr>
          <w:rFonts w:hint="eastAsia" w:ascii="宋体" w:hAnsi="宋体" w:eastAsia="宋体"/>
          <w:b/>
          <w:bCs/>
          <w:color w:val="auto"/>
          <w:sz w:val="24"/>
          <w:szCs w:val="18"/>
          <w:highlight w:val="none"/>
        </w:rPr>
        <w:t>时间</w:t>
      </w:r>
      <w:r>
        <w:rPr>
          <w:rFonts w:hint="eastAsia" w:ascii="宋体" w:hAnsi="宋体" w:eastAsia="宋体"/>
          <w:b/>
          <w:bCs/>
          <w:color w:val="auto"/>
          <w:sz w:val="24"/>
          <w:szCs w:val="18"/>
          <w:highlight w:val="none"/>
          <w:lang w:val="en-US" w:eastAsia="zh-CN"/>
        </w:rPr>
        <w:t>及</w:t>
      </w:r>
      <w:r>
        <w:rPr>
          <w:rFonts w:hint="eastAsia" w:ascii="宋体" w:hAnsi="宋体" w:eastAsia="宋体"/>
          <w:b/>
          <w:bCs/>
          <w:color w:val="auto"/>
          <w:sz w:val="24"/>
          <w:szCs w:val="18"/>
          <w:highlight w:val="none"/>
        </w:rPr>
        <w:t>地点</w:t>
      </w:r>
      <w:bookmarkEnd w:id="8"/>
    </w:p>
    <w:p w14:paraId="02B9F0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9" w:name="_Toc5082"/>
      <w:r>
        <w:rPr>
          <w:rFonts w:hint="eastAsia" w:asciiTheme="minorEastAsia" w:hAnsiTheme="minorEastAsia" w:eastAsiaTheme="minorEastAsia" w:cstheme="minorEastAsia"/>
          <w:sz w:val="24"/>
          <w:szCs w:val="24"/>
        </w:rPr>
        <w:t>提交截止时间：202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:00(北京时间)</w:t>
      </w:r>
    </w:p>
    <w:p w14:paraId="5E48C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提交地点（网址）：请登录“徽采云”投标客户端投标</w:t>
      </w:r>
    </w:p>
    <w:p w14:paraId="36502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开启时间：202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:00（北京时间）</w:t>
      </w:r>
    </w:p>
    <w:p w14:paraId="43A64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开启地点：界首市公共资源交易中心开标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界首市胜利路与原308省道交叉口（国祯广场对面，原界首市特殊教育学校三楼)</w:t>
      </w:r>
    </w:p>
    <w:p w14:paraId="59FA19C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0" w:name="_Toc7753"/>
      <w:r>
        <w:rPr>
          <w:rFonts w:hint="eastAsia" w:ascii="宋体" w:hAnsi="宋体" w:eastAsia="宋体"/>
          <w:b/>
          <w:bCs/>
          <w:color w:val="auto"/>
          <w:sz w:val="24"/>
          <w:szCs w:val="18"/>
          <w:highlight w:val="none"/>
        </w:rPr>
        <w:t>五、</w:t>
      </w:r>
      <w:bookmarkEnd w:id="9"/>
      <w:r>
        <w:rPr>
          <w:rFonts w:hint="eastAsia" w:ascii="宋体" w:hAnsi="宋体" w:eastAsia="宋体"/>
          <w:b/>
          <w:bCs/>
          <w:color w:val="auto"/>
          <w:sz w:val="24"/>
          <w:szCs w:val="18"/>
          <w:highlight w:val="none"/>
        </w:rPr>
        <w:t>公告期限</w:t>
      </w:r>
      <w:bookmarkEnd w:id="10"/>
    </w:p>
    <w:p w14:paraId="4F4DED7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1" w:name="_Toc1215"/>
      <w:r>
        <w:rPr>
          <w:rFonts w:hint="eastAsia" w:ascii="宋体" w:hAnsi="宋体" w:eastAsia="宋体"/>
          <w:b w:val="0"/>
          <w:bCs w:val="0"/>
          <w:color w:val="auto"/>
          <w:sz w:val="24"/>
          <w:szCs w:val="18"/>
          <w:highlight w:val="none"/>
        </w:rPr>
        <w:t>自本公告发布之日起5个工作日。</w:t>
      </w:r>
    </w:p>
    <w:p w14:paraId="731BCAD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2" w:name="_Toc35393795"/>
      <w:bookmarkStart w:id="13" w:name="_Toc31539"/>
      <w:bookmarkStart w:id="14" w:name="_Toc35393626"/>
      <w:r>
        <w:rPr>
          <w:rFonts w:hint="eastAsia" w:ascii="宋体" w:hAnsi="宋体" w:eastAsia="宋体"/>
          <w:b/>
          <w:bCs/>
          <w:color w:val="auto"/>
          <w:sz w:val="24"/>
          <w:szCs w:val="18"/>
          <w:highlight w:val="none"/>
        </w:rPr>
        <w:t>六、其他补充事宜</w:t>
      </w:r>
      <w:bookmarkEnd w:id="12"/>
      <w:bookmarkEnd w:id="13"/>
      <w:bookmarkEnd w:id="14"/>
    </w:p>
    <w:p w14:paraId="4B7F11D0">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1.本次征集公告在安徽省政府采购网(www.ccgp-anhui.gov.cn)上发布。</w:t>
      </w:r>
    </w:p>
    <w:p w14:paraId="682DE8F8">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2.供应商应合理安排征集文件获取时间，如果因计算机及网络故障造成无法完成征集文件获取，责任自负。</w:t>
      </w:r>
    </w:p>
    <w:p w14:paraId="60E26EC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3.本项目实施全流程电子化交易，响应文件在“徽采云”平台线上解密，供应商无需前往开标现场。网上响应请各供应商登录安徽省政府采购网查看教学视频，咨询电话：0558-95763。</w:t>
      </w:r>
    </w:p>
    <w:p w14:paraId="22804A8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4.本项目需落实的节能环保、中小微型企业扶持等相关政府采购政策详见征集文件。</w:t>
      </w:r>
    </w:p>
    <w:bookmarkEnd w:id="11"/>
    <w:p w14:paraId="17FBB598">
      <w:pPr>
        <w:spacing w:line="360" w:lineRule="auto"/>
        <w:outlineLvl w:val="2"/>
        <w:rPr>
          <w:rFonts w:hint="eastAsia" w:ascii="宋体" w:hAnsi="宋体" w:eastAsia="宋体"/>
          <w:b/>
          <w:bCs/>
          <w:color w:val="auto"/>
          <w:sz w:val="24"/>
          <w:szCs w:val="18"/>
          <w:highlight w:val="none"/>
        </w:rPr>
      </w:pPr>
      <w:bookmarkStart w:id="15" w:name="_Toc7265"/>
      <w:bookmarkStart w:id="16" w:name="_Toc13296"/>
      <w:r>
        <w:rPr>
          <w:rFonts w:hint="eastAsia" w:ascii="宋体" w:hAnsi="宋体" w:eastAsia="宋体"/>
          <w:b/>
          <w:bCs/>
          <w:color w:val="auto"/>
          <w:sz w:val="24"/>
          <w:szCs w:val="18"/>
          <w:highlight w:val="none"/>
        </w:rPr>
        <w:t>七、</w:t>
      </w:r>
      <w:bookmarkEnd w:id="15"/>
      <w:bookmarkEnd w:id="16"/>
      <w:r>
        <w:rPr>
          <w:rFonts w:hint="eastAsia" w:ascii="宋体" w:hAnsi="宋体" w:eastAsia="宋体"/>
          <w:b/>
          <w:bCs/>
          <w:color w:val="auto"/>
          <w:sz w:val="24"/>
          <w:szCs w:val="18"/>
          <w:highlight w:val="none"/>
        </w:rPr>
        <w:t>对本次征集提出询问，请按以下方式联系</w:t>
      </w:r>
    </w:p>
    <w:p w14:paraId="596CF9B3">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val="en-US" w:eastAsia="zh-CN"/>
        </w:rPr>
        <w:t>征集</w:t>
      </w:r>
      <w:r>
        <w:rPr>
          <w:rFonts w:hint="eastAsia" w:ascii="宋体" w:hAnsi="宋体" w:eastAsia="宋体"/>
          <w:color w:val="auto"/>
          <w:sz w:val="24"/>
          <w:szCs w:val="18"/>
          <w:highlight w:val="none"/>
        </w:rPr>
        <w:t>人信息</w:t>
      </w:r>
    </w:p>
    <w:p w14:paraId="0266C286">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名    称：界首市机关事务管理服务中心</w:t>
      </w:r>
    </w:p>
    <w:p w14:paraId="355FFF96">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lang w:val="en-US" w:eastAsia="zh-CN"/>
        </w:rPr>
        <w:t>安徽省阜阳市</w:t>
      </w:r>
      <w:r>
        <w:rPr>
          <w:rFonts w:hint="eastAsia" w:ascii="宋体" w:hAnsi="宋体" w:eastAsia="宋体"/>
          <w:color w:val="auto"/>
          <w:sz w:val="24"/>
          <w:szCs w:val="18"/>
          <w:highlight w:val="none"/>
        </w:rPr>
        <w:t>界首市人民东路1号</w:t>
      </w:r>
    </w:p>
    <w:p w14:paraId="2F2A4ECF">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 xml:space="preserve">联系方式：15726223398 　　　　　　　 　　　                        </w:t>
      </w:r>
    </w:p>
    <w:p w14:paraId="44FF1E06">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2.采购代理机构信息</w:t>
      </w:r>
    </w:p>
    <w:p w14:paraId="041F739A">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名    称：法正项目管理集团有限公司  　　　　　　　　　　　　</w:t>
      </w:r>
    </w:p>
    <w:p w14:paraId="61FBB44F">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址：安徽省阜阳市颍泉区宝来浴场院内物资局三楼　　　　　　　　　　　　</w:t>
      </w:r>
    </w:p>
    <w:p w14:paraId="3272612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联系方式：0558-2201171   　</w:t>
      </w:r>
    </w:p>
    <w:p w14:paraId="35D08902">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3.项目联系方式</w:t>
      </w:r>
    </w:p>
    <w:p w14:paraId="612D9FF3">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项目联系人：</w:t>
      </w:r>
      <w:r>
        <w:rPr>
          <w:rFonts w:hint="eastAsia" w:ascii="宋体" w:hAnsi="宋体" w:eastAsia="宋体"/>
          <w:color w:val="auto"/>
          <w:sz w:val="24"/>
          <w:szCs w:val="18"/>
          <w:highlight w:val="none"/>
          <w:lang w:val="en-US" w:eastAsia="zh-CN"/>
        </w:rPr>
        <w:t>王洋洋</w:t>
      </w:r>
    </w:p>
    <w:p w14:paraId="1DDA2CD0">
      <w:pPr>
        <w:spacing w:line="360" w:lineRule="auto"/>
        <w:ind w:firstLine="437"/>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电　　 话：0558-2201171</w:t>
      </w:r>
      <w:r>
        <w:rPr>
          <w:rFonts w:ascii="宋体" w:hAnsi="宋体" w:eastAsia="宋体"/>
          <w:color w:val="auto"/>
          <w:sz w:val="24"/>
          <w:szCs w:val="18"/>
          <w:highlight w:val="none"/>
        </w:rPr>
        <w:br w:type="page"/>
      </w:r>
    </w:p>
    <w:p w14:paraId="2D656F42">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第二章 供应商须知</w:t>
      </w:r>
    </w:p>
    <w:p w14:paraId="3369EAFC">
      <w:pPr>
        <w:spacing w:before="92" w:line="218" w:lineRule="auto"/>
        <w:ind w:left="17"/>
        <w:jc w:val="center"/>
        <w:rPr>
          <w:rFonts w:ascii="Arial"/>
          <w:color w:val="auto"/>
          <w:sz w:val="28"/>
          <w:szCs w:val="28"/>
        </w:rPr>
      </w:pPr>
      <w:r>
        <w:rPr>
          <w:rFonts w:ascii="黑体" w:hAnsi="黑体" w:eastAsia="黑体" w:cs="黑体"/>
          <w:color w:val="auto"/>
          <w:spacing w:val="-1"/>
          <w:sz w:val="28"/>
          <w:szCs w:val="28"/>
        </w:rPr>
        <w:t>一、供应商须知前附表</w:t>
      </w:r>
    </w:p>
    <w:p w14:paraId="5F0009B4">
      <w:pPr>
        <w:spacing w:before="68" w:line="240" w:lineRule="auto"/>
        <w:ind w:right="169"/>
        <w:jc w:val="center"/>
        <w:rPr>
          <w:color w:val="auto"/>
          <w:sz w:val="24"/>
          <w:szCs w:val="24"/>
        </w:rPr>
      </w:pPr>
      <w:r>
        <w:rPr>
          <w:rFonts w:hint="eastAsia" w:ascii="仿宋" w:hAnsi="仿宋" w:eastAsia="仿宋" w:cs="仿宋"/>
          <w:color w:val="auto"/>
          <w:spacing w:val="-18"/>
          <w:sz w:val="24"/>
          <w:szCs w:val="24"/>
          <w:lang w:val="en-US" w:eastAsia="zh-CN"/>
        </w:rPr>
        <w:t>注：本表是本项目的具体要求，是对供应商须知的具体补充和修改，如有不一致，以本表为准。</w:t>
      </w:r>
    </w:p>
    <w:tbl>
      <w:tblPr>
        <w:tblStyle w:val="15"/>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885"/>
        <w:gridCol w:w="6748"/>
      </w:tblGrid>
      <w:tr w14:paraId="75ED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top"/>
          </w:tcPr>
          <w:p w14:paraId="6CB0F30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lang w:val="en-US" w:eastAsia="zh-CN"/>
              </w:rPr>
              <w:t>序</w:t>
            </w:r>
            <w:r>
              <w:rPr>
                <w:rFonts w:hint="eastAsia" w:ascii="仿宋" w:hAnsi="仿宋" w:eastAsia="仿宋" w:cs="仿宋"/>
                <w:b/>
                <w:bCs/>
                <w:color w:val="auto"/>
                <w:spacing w:val="-1"/>
                <w:sz w:val="24"/>
                <w:szCs w:val="24"/>
              </w:rPr>
              <w:t>号</w:t>
            </w:r>
          </w:p>
        </w:tc>
        <w:tc>
          <w:tcPr>
            <w:tcW w:w="1885" w:type="dxa"/>
            <w:vAlign w:val="top"/>
          </w:tcPr>
          <w:p w14:paraId="76FB250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lang w:eastAsia="zh-CN"/>
              </w:rPr>
            </w:pPr>
            <w:r>
              <w:rPr>
                <w:rFonts w:hint="eastAsia" w:ascii="仿宋" w:hAnsi="仿宋" w:eastAsia="仿宋" w:cs="仿宋"/>
                <w:b/>
                <w:bCs/>
                <w:color w:val="auto"/>
                <w:spacing w:val="-2"/>
                <w:sz w:val="24"/>
                <w:szCs w:val="24"/>
                <w:lang w:val="en-US" w:eastAsia="zh-CN"/>
              </w:rPr>
              <w:t>内容</w:t>
            </w:r>
          </w:p>
        </w:tc>
        <w:tc>
          <w:tcPr>
            <w:tcW w:w="6748" w:type="dxa"/>
            <w:vAlign w:val="top"/>
          </w:tcPr>
          <w:p w14:paraId="432EC27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说明与要求</w:t>
            </w:r>
          </w:p>
        </w:tc>
      </w:tr>
      <w:tr w14:paraId="255F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7BFC01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w:t>
            </w:r>
          </w:p>
        </w:tc>
        <w:tc>
          <w:tcPr>
            <w:tcW w:w="1885" w:type="dxa"/>
            <w:vAlign w:val="top"/>
          </w:tcPr>
          <w:p w14:paraId="3A26BFD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征集人</w:t>
            </w:r>
          </w:p>
        </w:tc>
        <w:tc>
          <w:tcPr>
            <w:tcW w:w="6748" w:type="dxa"/>
            <w:vAlign w:val="center"/>
          </w:tcPr>
          <w:p w14:paraId="0F14C77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界首市机关事务管理服务中心</w:t>
            </w:r>
          </w:p>
        </w:tc>
      </w:tr>
      <w:tr w14:paraId="1F69A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44E05F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w:t>
            </w:r>
          </w:p>
        </w:tc>
        <w:tc>
          <w:tcPr>
            <w:tcW w:w="1885" w:type="dxa"/>
            <w:vAlign w:val="top"/>
          </w:tcPr>
          <w:p w14:paraId="6E72A24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采购代理机构</w:t>
            </w:r>
          </w:p>
        </w:tc>
        <w:tc>
          <w:tcPr>
            <w:tcW w:w="6748" w:type="dxa"/>
            <w:vAlign w:val="center"/>
          </w:tcPr>
          <w:p w14:paraId="2E1397BA">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法正项目管理集团有限公司</w:t>
            </w:r>
          </w:p>
        </w:tc>
      </w:tr>
      <w:tr w14:paraId="03B3D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32CF54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w:t>
            </w:r>
          </w:p>
        </w:tc>
        <w:tc>
          <w:tcPr>
            <w:tcW w:w="1885" w:type="dxa"/>
            <w:vAlign w:val="top"/>
          </w:tcPr>
          <w:p w14:paraId="332493F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政府采购监督管理部门</w:t>
            </w:r>
          </w:p>
        </w:tc>
        <w:tc>
          <w:tcPr>
            <w:tcW w:w="6748" w:type="dxa"/>
            <w:vAlign w:val="center"/>
          </w:tcPr>
          <w:p w14:paraId="62CBB10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界首市公共资源交易监督管理局 </w:t>
            </w:r>
          </w:p>
        </w:tc>
      </w:tr>
      <w:tr w14:paraId="57C2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6D8C9EB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w:t>
            </w:r>
          </w:p>
        </w:tc>
        <w:tc>
          <w:tcPr>
            <w:tcW w:w="1885" w:type="dxa"/>
            <w:vAlign w:val="top"/>
          </w:tcPr>
          <w:p w14:paraId="1D3CD87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是否允许联合体响应</w:t>
            </w:r>
          </w:p>
        </w:tc>
        <w:tc>
          <w:tcPr>
            <w:tcW w:w="6748" w:type="dxa"/>
            <w:vAlign w:val="center"/>
          </w:tcPr>
          <w:p w14:paraId="6D57DCD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 ☑否</w:t>
            </w:r>
          </w:p>
        </w:tc>
      </w:tr>
      <w:tr w14:paraId="623E8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05ECA2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885" w:type="dxa"/>
            <w:vAlign w:val="center"/>
          </w:tcPr>
          <w:p w14:paraId="308F844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供应商质疑截止时间</w:t>
            </w:r>
          </w:p>
        </w:tc>
        <w:tc>
          <w:tcPr>
            <w:tcW w:w="6748" w:type="dxa"/>
            <w:vAlign w:val="top"/>
          </w:tcPr>
          <w:p w14:paraId="5EF7FD4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1、对征集文件提出质疑的，应当在征集文件公告期限届满之日起7个工作日内通过电子交易系统在线提出或书面提出。</w:t>
            </w:r>
          </w:p>
          <w:p w14:paraId="6DA200F5">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特别提示：提出质疑时须注明项目名称及项目编号。</w:t>
            </w:r>
          </w:p>
          <w:p w14:paraId="4C320A42">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询问答复及澄清或修改：在安徽政府采购网上发布，征集人不再另行通知。该答复内容及澄清或修改内容为征集文件的组成部分，对供应商具有同样约束力效力。（所有潜在供应商在响应文件提交截止时间前有义务在电子交易平台自行查询，澄清、修改及答疑回复视为全部知晓，无需回复确认。）</w:t>
            </w:r>
          </w:p>
          <w:p w14:paraId="1DFA3F01">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2、供应商认为征集过程、入围结果使自己的权益受到损害的，可以在知道或者应知其权益受到损害之日起7个工作日内，通过电子交易系统在线提出或书面提出。</w:t>
            </w:r>
          </w:p>
          <w:p w14:paraId="7DFA864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rPr>
            </w:pPr>
            <w:r>
              <w:rPr>
                <w:rFonts w:hint="eastAsia" w:ascii="仿宋" w:hAnsi="仿宋" w:eastAsia="仿宋" w:cs="仿宋"/>
                <w:color w:val="auto"/>
                <w:spacing w:val="-18"/>
                <w:sz w:val="24"/>
                <w:szCs w:val="24"/>
                <w:lang w:val="en-US" w:eastAsia="zh-CN"/>
              </w:rPr>
              <w:t>3、质疑函格式按照政府采购供应商质疑函范本。</w:t>
            </w:r>
          </w:p>
        </w:tc>
      </w:tr>
      <w:tr w14:paraId="67AB5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4E1E04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885" w:type="dxa"/>
            <w:vAlign w:val="center"/>
          </w:tcPr>
          <w:p w14:paraId="637F3B0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响应保证金</w:t>
            </w:r>
          </w:p>
        </w:tc>
        <w:tc>
          <w:tcPr>
            <w:tcW w:w="6748" w:type="dxa"/>
            <w:vAlign w:val="top"/>
          </w:tcPr>
          <w:p w14:paraId="5D902EF4">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免收</w:t>
            </w:r>
          </w:p>
        </w:tc>
      </w:tr>
      <w:tr w14:paraId="61152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7931481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7</w:t>
            </w:r>
          </w:p>
        </w:tc>
        <w:tc>
          <w:tcPr>
            <w:tcW w:w="1885" w:type="dxa"/>
            <w:vAlign w:val="top"/>
          </w:tcPr>
          <w:p w14:paraId="797410F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征集有效期</w:t>
            </w:r>
          </w:p>
        </w:tc>
        <w:tc>
          <w:tcPr>
            <w:tcW w:w="6748" w:type="dxa"/>
            <w:vAlign w:val="top"/>
          </w:tcPr>
          <w:p w14:paraId="4F2426F1">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120日历天</w:t>
            </w:r>
          </w:p>
        </w:tc>
      </w:tr>
      <w:tr w14:paraId="683C0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6C2FA9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8</w:t>
            </w:r>
          </w:p>
        </w:tc>
        <w:tc>
          <w:tcPr>
            <w:tcW w:w="1885" w:type="dxa"/>
            <w:vAlign w:val="top"/>
          </w:tcPr>
          <w:p w14:paraId="089A6CB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响应文件要求</w:t>
            </w:r>
          </w:p>
        </w:tc>
        <w:tc>
          <w:tcPr>
            <w:tcW w:w="6748" w:type="dxa"/>
            <w:vAlign w:val="top"/>
          </w:tcPr>
          <w:p w14:paraId="7EE2A4AA">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加密电子响应文件</w:t>
            </w:r>
          </w:p>
        </w:tc>
      </w:tr>
      <w:tr w14:paraId="620F7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4D46AB0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9</w:t>
            </w:r>
          </w:p>
        </w:tc>
        <w:tc>
          <w:tcPr>
            <w:tcW w:w="1885" w:type="dxa"/>
            <w:vAlign w:val="top"/>
          </w:tcPr>
          <w:p w14:paraId="625B10A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征集响应截止时间</w:t>
            </w:r>
          </w:p>
        </w:tc>
        <w:tc>
          <w:tcPr>
            <w:tcW w:w="6748" w:type="dxa"/>
            <w:vAlign w:val="top"/>
          </w:tcPr>
          <w:p w14:paraId="1562F121">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449C0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47690710">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10</w:t>
            </w:r>
          </w:p>
        </w:tc>
        <w:tc>
          <w:tcPr>
            <w:tcW w:w="1885" w:type="dxa"/>
            <w:vAlign w:val="top"/>
          </w:tcPr>
          <w:p w14:paraId="4C85A71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响应文件解密时间</w:t>
            </w:r>
          </w:p>
        </w:tc>
        <w:tc>
          <w:tcPr>
            <w:tcW w:w="6748" w:type="dxa"/>
            <w:vAlign w:val="center"/>
          </w:tcPr>
          <w:p w14:paraId="10DBA6B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响应文件提交截止时间后60分钟内(以电子交易系统解密倒计时为准)</w:t>
            </w:r>
          </w:p>
        </w:tc>
      </w:tr>
      <w:tr w14:paraId="466C5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E21ACA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11</w:t>
            </w:r>
          </w:p>
        </w:tc>
        <w:tc>
          <w:tcPr>
            <w:tcW w:w="1885" w:type="dxa"/>
            <w:vAlign w:val="top"/>
          </w:tcPr>
          <w:p w14:paraId="6A14777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征集时间</w:t>
            </w:r>
          </w:p>
        </w:tc>
        <w:tc>
          <w:tcPr>
            <w:tcW w:w="6748" w:type="dxa"/>
            <w:vAlign w:val="center"/>
          </w:tcPr>
          <w:p w14:paraId="559D525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5907B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vAlign w:val="top"/>
          </w:tcPr>
          <w:p w14:paraId="16AE2B5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12</w:t>
            </w:r>
          </w:p>
        </w:tc>
        <w:tc>
          <w:tcPr>
            <w:tcW w:w="1885" w:type="dxa"/>
            <w:vAlign w:val="top"/>
          </w:tcPr>
          <w:p w14:paraId="7E2A50B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征集地点</w:t>
            </w:r>
          </w:p>
        </w:tc>
        <w:tc>
          <w:tcPr>
            <w:tcW w:w="6748" w:type="dxa"/>
            <w:vAlign w:val="top"/>
          </w:tcPr>
          <w:p w14:paraId="74578504">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60826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top"/>
          </w:tcPr>
          <w:p w14:paraId="7504366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7BCFD3E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05DA19C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13</w:t>
            </w:r>
          </w:p>
        </w:tc>
        <w:tc>
          <w:tcPr>
            <w:tcW w:w="1885" w:type="dxa"/>
            <w:vAlign w:val="top"/>
          </w:tcPr>
          <w:p w14:paraId="7E7E98E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5C91921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7996F7ED">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评审方法</w:t>
            </w:r>
          </w:p>
        </w:tc>
        <w:tc>
          <w:tcPr>
            <w:tcW w:w="6748" w:type="dxa"/>
            <w:vAlign w:val="top"/>
          </w:tcPr>
          <w:p w14:paraId="10462F6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第一阶段入围供应商的评审方法为质量优先法（指对满足采购需求且响应报价不超过最高限制单价的服务进行质量综合评分，按照质量评分从高到低排序，根据征集文件规定的淘汰率或者入围单位数量上限，确定入围单位的评审方法）。</w:t>
            </w:r>
          </w:p>
        </w:tc>
      </w:tr>
      <w:tr w14:paraId="3F813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E8C2CF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14</w:t>
            </w:r>
          </w:p>
        </w:tc>
        <w:tc>
          <w:tcPr>
            <w:tcW w:w="1885" w:type="dxa"/>
            <w:vAlign w:val="center"/>
          </w:tcPr>
          <w:p w14:paraId="47F5FF5D">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报价扣除</w:t>
            </w:r>
          </w:p>
          <w:p w14:paraId="2382E5E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（本项目不采用）</w:t>
            </w:r>
          </w:p>
        </w:tc>
        <w:tc>
          <w:tcPr>
            <w:tcW w:w="6748" w:type="dxa"/>
            <w:vAlign w:val="top"/>
          </w:tcPr>
          <w:p w14:paraId="17CA279D">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(1)小微企业价格扣除：/%。不专门面向中小企业采购部分享受价格扣除。(扣除比例在10%-20%间，由征集人自行选择)</w:t>
            </w:r>
          </w:p>
          <w:p w14:paraId="712762CE">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(2)监狱企业价格扣除：同小微企业。</w:t>
            </w:r>
          </w:p>
          <w:p w14:paraId="63DED451">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(3)残疾人福利性单位价格扣除：同小微企业。</w:t>
            </w:r>
          </w:p>
          <w:p w14:paraId="600B97FF">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(4)符合条件的联合体价格扣除：/%。(扣除比例在4%-6%间，由征集人自行选择。联合协议约定小微企业的合同份额占合同总金额30%以上）。</w:t>
            </w:r>
          </w:p>
          <w:p w14:paraId="0BE0678E">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(5)符合条件的大中型企业价格扣除：/% 。(扣除比例在4%-6%间，由征集人自行选择。分包意向协议约定小微企业的合同份额占合同总金额30%以上）。</w:t>
            </w:r>
          </w:p>
        </w:tc>
      </w:tr>
      <w:tr w14:paraId="61AE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4FFCA5B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15</w:t>
            </w:r>
          </w:p>
        </w:tc>
        <w:tc>
          <w:tcPr>
            <w:tcW w:w="1885" w:type="dxa"/>
            <w:vAlign w:val="center"/>
          </w:tcPr>
          <w:p w14:paraId="37946D8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确定第一阶段入围供应商数量及原则</w:t>
            </w:r>
          </w:p>
        </w:tc>
        <w:tc>
          <w:tcPr>
            <w:tcW w:w="6748" w:type="dxa"/>
            <w:vAlign w:val="top"/>
          </w:tcPr>
          <w:p w14:paraId="12D9BD31">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本次征集第一阶段将选定3家入围供应商，当合格供应商＞3家时，将确定得分前3名的供应商为入围供应商，当2≤合格供应商≤3家时，按淘汰比例不低于20%（且至少淘汰一家供应商）的原则确定入围供应商家数。</w:t>
            </w:r>
          </w:p>
          <w:p w14:paraId="77497241">
            <w:pPr>
              <w:pStyle w:val="5"/>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snapToGrid w:val="0"/>
                <w:color w:val="auto"/>
                <w:spacing w:val="-18"/>
                <w:kern w:val="0"/>
                <w:sz w:val="24"/>
                <w:szCs w:val="24"/>
                <w:lang w:val="en-US" w:eastAsia="zh-CN"/>
              </w:rPr>
              <w:t>☑征集人委托评审小组确定</w:t>
            </w:r>
          </w:p>
          <w:p w14:paraId="722BF6C1">
            <w:pPr>
              <w:pStyle w:val="5"/>
              <w:rPr>
                <w:rFonts w:hint="eastAsia"/>
                <w:lang w:val="en-US" w:eastAsia="zh-CN"/>
              </w:rPr>
            </w:pPr>
            <w:r>
              <w:rPr>
                <w:rFonts w:hint="eastAsia" w:ascii="仿宋" w:hAnsi="仿宋" w:eastAsia="仿宋" w:cs="仿宋"/>
                <w:snapToGrid w:val="0"/>
                <w:color w:val="auto"/>
                <w:spacing w:val="-18"/>
                <w:kern w:val="0"/>
                <w:sz w:val="24"/>
                <w:szCs w:val="24"/>
                <w:lang w:val="en-US" w:eastAsia="zh-CN"/>
              </w:rPr>
              <w:t>□征集人确定</w:t>
            </w:r>
          </w:p>
        </w:tc>
      </w:tr>
      <w:tr w14:paraId="51671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6A07D02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16</w:t>
            </w:r>
          </w:p>
        </w:tc>
        <w:tc>
          <w:tcPr>
            <w:tcW w:w="1885" w:type="dxa"/>
            <w:vAlign w:val="center"/>
          </w:tcPr>
          <w:p w14:paraId="6D698BC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确定第二阶段成交供应商的方式</w:t>
            </w:r>
          </w:p>
        </w:tc>
        <w:tc>
          <w:tcPr>
            <w:tcW w:w="6748" w:type="dxa"/>
            <w:vAlign w:val="center"/>
          </w:tcPr>
          <w:p w14:paraId="02C0D3A8">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☑直接选定 </w:t>
            </w:r>
          </w:p>
          <w:p w14:paraId="59C6002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□二次竞价 </w:t>
            </w:r>
          </w:p>
          <w:p w14:paraId="1C2BC038">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□顺序轮候 </w:t>
            </w:r>
          </w:p>
          <w:p w14:paraId="5D26C95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备注：</w:t>
            </w:r>
          </w:p>
          <w:p w14:paraId="4CB47F8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1）直接选定方式是确定第二阶段成交供应商的主要方式。除征集人根据采购项目特点和提高绩效等要求，在征集文件中载明采用二次竞价或者顺序轮候方式外，确定第二阶段成交供应商应当由采购人依据入围产品价格、质量以及服务便利性、用户评价等因素，从第一阶段入围供应商中直接选定。 </w:t>
            </w:r>
          </w:p>
          <w:p w14:paraId="44DFF04E">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二次竞价一般适用于采用价格优先法的采购项目。</w:t>
            </w:r>
          </w:p>
          <w:p w14:paraId="77425D31">
            <w:pPr>
              <w:keepNext w:val="0"/>
              <w:keepLines w:val="0"/>
              <w:pageBreakBefore w:val="0"/>
              <w:widowControl/>
              <w:kinsoku w:val="0"/>
              <w:wordWrap/>
              <w:overflowPunct/>
              <w:topLinePunct w:val="0"/>
              <w:autoSpaceDE w:val="0"/>
              <w:autoSpaceDN w:val="0"/>
              <w:bidi w:val="0"/>
              <w:adjustRightInd/>
              <w:snapToGrid/>
              <w:spacing w:line="360" w:lineRule="auto"/>
              <w:ind w:right="0" w:rightChars="0"/>
              <w:textAlignment w:val="baseline"/>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color w:val="auto"/>
                <w:spacing w:val="-18"/>
                <w:sz w:val="24"/>
                <w:szCs w:val="24"/>
                <w:lang w:val="en-US" w:eastAsia="zh-CN"/>
              </w:rPr>
              <w:t>（3）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顺序轮候一般适用于服务项目。</w:t>
            </w:r>
          </w:p>
        </w:tc>
      </w:tr>
      <w:tr w14:paraId="2DAFA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9BF2EA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17</w:t>
            </w:r>
          </w:p>
        </w:tc>
        <w:tc>
          <w:tcPr>
            <w:tcW w:w="1885" w:type="dxa"/>
            <w:vAlign w:val="center"/>
          </w:tcPr>
          <w:p w14:paraId="73085EE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随入围结果公告同时公告的入围供应商的响应文件内容</w:t>
            </w:r>
          </w:p>
        </w:tc>
        <w:tc>
          <w:tcPr>
            <w:tcW w:w="6748" w:type="dxa"/>
            <w:vAlign w:val="top"/>
          </w:tcPr>
          <w:p w14:paraId="631CD06D">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（1）中小企业声明函；（如有）</w:t>
            </w:r>
          </w:p>
          <w:p w14:paraId="540F5526">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（2）残疾人福利性单位声明函；（如有）</w:t>
            </w:r>
          </w:p>
          <w:p w14:paraId="6D1B7F80">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（3）征集文件中规定进行公示的其他内容。（如有）</w:t>
            </w:r>
          </w:p>
        </w:tc>
      </w:tr>
      <w:tr w14:paraId="60CC7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8F7CEF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18</w:t>
            </w:r>
          </w:p>
        </w:tc>
        <w:tc>
          <w:tcPr>
            <w:tcW w:w="1885" w:type="dxa"/>
            <w:vAlign w:val="center"/>
          </w:tcPr>
          <w:p w14:paraId="007C5E8D">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入围通知书发出的形式</w:t>
            </w:r>
          </w:p>
        </w:tc>
        <w:tc>
          <w:tcPr>
            <w:tcW w:w="6748" w:type="dxa"/>
            <w:vAlign w:val="top"/>
          </w:tcPr>
          <w:p w14:paraId="2D341096">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□书面 ☑数据电文</w:t>
            </w:r>
          </w:p>
        </w:tc>
      </w:tr>
      <w:tr w14:paraId="5ABC1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6ED77FF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19</w:t>
            </w:r>
          </w:p>
        </w:tc>
        <w:tc>
          <w:tcPr>
            <w:tcW w:w="1885" w:type="dxa"/>
            <w:vAlign w:val="center"/>
          </w:tcPr>
          <w:p w14:paraId="663BB59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告知入围结果的形式</w:t>
            </w:r>
          </w:p>
        </w:tc>
        <w:tc>
          <w:tcPr>
            <w:tcW w:w="6748" w:type="dxa"/>
            <w:vAlign w:val="top"/>
          </w:tcPr>
          <w:p w14:paraId="29FBDB17">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☑供应商自行登录电子交易系统查看</w:t>
            </w:r>
          </w:p>
          <w:p w14:paraId="739930C0">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□评审现场告知</w:t>
            </w:r>
          </w:p>
        </w:tc>
      </w:tr>
      <w:tr w14:paraId="40BB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DCBE1D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20</w:t>
            </w:r>
          </w:p>
        </w:tc>
        <w:tc>
          <w:tcPr>
            <w:tcW w:w="1885" w:type="dxa"/>
            <w:vAlign w:val="center"/>
          </w:tcPr>
          <w:p w14:paraId="374BE13D">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发布成交结果单笔公告的渠道</w:t>
            </w:r>
          </w:p>
        </w:tc>
        <w:tc>
          <w:tcPr>
            <w:tcW w:w="6748" w:type="dxa"/>
            <w:vAlign w:val="center"/>
          </w:tcPr>
          <w:p w14:paraId="50B9662B">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☑安徽省政府采购网</w:t>
            </w:r>
          </w:p>
          <w:p w14:paraId="46A5000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备注：以二次竞价或者顺序轮候方式确定成交供应商时适用</w:t>
            </w:r>
          </w:p>
        </w:tc>
      </w:tr>
      <w:tr w14:paraId="6D49B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5B14A8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z w:val="24"/>
                <w:szCs w:val="24"/>
                <w:lang w:val="en-US"/>
              </w:rPr>
            </w:pPr>
            <w:r>
              <w:rPr>
                <w:rFonts w:hint="eastAsia" w:ascii="仿宋" w:hAnsi="仿宋" w:eastAsia="仿宋" w:cs="仿宋"/>
                <w:color w:val="auto"/>
                <w:spacing w:val="-18"/>
                <w:sz w:val="24"/>
                <w:szCs w:val="24"/>
                <w:lang w:val="en-US" w:eastAsia="zh-CN"/>
              </w:rPr>
              <w:t>21</w:t>
            </w:r>
          </w:p>
        </w:tc>
        <w:tc>
          <w:tcPr>
            <w:tcW w:w="1885" w:type="dxa"/>
            <w:vAlign w:val="center"/>
          </w:tcPr>
          <w:p w14:paraId="1135E32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履约保证金</w:t>
            </w:r>
          </w:p>
        </w:tc>
        <w:tc>
          <w:tcPr>
            <w:tcW w:w="6748" w:type="dxa"/>
            <w:vAlign w:val="top"/>
          </w:tcPr>
          <w:p w14:paraId="575D3C5E">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（1）金额：遵照《阜阳市财政局 阜阳市公共资源交易监督管理局转发安徽省财政局关于进一步优化政府采购营商环境的通知》 </w:t>
            </w:r>
          </w:p>
          <w:p w14:paraId="7A5096DB">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（阜财购〔2022〕207号）执行 </w:t>
            </w:r>
          </w:p>
          <w:p w14:paraId="41E085F4">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☑免收 </w:t>
            </w:r>
          </w:p>
          <w:p w14:paraId="567A953A">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□合同价的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14:paraId="17E219A2">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□定额收取：人民币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元 </w:t>
            </w:r>
          </w:p>
          <w:p w14:paraId="169449B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（2）支付方式： </w:t>
            </w:r>
          </w:p>
          <w:p w14:paraId="2CDCFBF2">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□转账/电汇 □支票 □汇票 □本票 □保函 □保险 </w:t>
            </w:r>
          </w:p>
          <w:p w14:paraId="6102938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其他要求： </w:t>
            </w:r>
          </w:p>
          <w:p w14:paraId="658EB07F">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（3）收取单位：/ </w:t>
            </w:r>
          </w:p>
          <w:p w14:paraId="253662D3">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（4）缴纳时间：/ </w:t>
            </w:r>
          </w:p>
          <w:p w14:paraId="7A00C03B">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（5）退还时间：/</w:t>
            </w:r>
          </w:p>
        </w:tc>
      </w:tr>
      <w:tr w14:paraId="4F489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2C5915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snapToGrid w:val="0"/>
                <w:color w:val="auto"/>
                <w:kern w:val="0"/>
                <w:sz w:val="24"/>
                <w:szCs w:val="24"/>
              </w:rPr>
            </w:pPr>
            <w:r>
              <w:rPr>
                <w:rFonts w:hint="eastAsia" w:ascii="仿宋" w:hAnsi="仿宋" w:eastAsia="仿宋" w:cs="仿宋"/>
                <w:color w:val="auto"/>
                <w:spacing w:val="-18"/>
                <w:sz w:val="24"/>
                <w:szCs w:val="24"/>
                <w:lang w:val="en-US" w:eastAsia="zh-CN"/>
              </w:rPr>
              <w:t>22</w:t>
            </w:r>
          </w:p>
        </w:tc>
        <w:tc>
          <w:tcPr>
            <w:tcW w:w="1885" w:type="dxa"/>
            <w:vAlign w:val="center"/>
          </w:tcPr>
          <w:p w14:paraId="05A2C56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代理服务费</w:t>
            </w:r>
          </w:p>
        </w:tc>
        <w:tc>
          <w:tcPr>
            <w:tcW w:w="6748" w:type="dxa"/>
            <w:vAlign w:val="top"/>
          </w:tcPr>
          <w:p w14:paraId="0622BB3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本项目的下列费用由入围供应商支付。</w:t>
            </w:r>
          </w:p>
          <w:p w14:paraId="08E2659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1、中标（成交）服务费：4000元/家。</w:t>
            </w:r>
          </w:p>
          <w:p w14:paraId="08E091D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default" w:ascii="仿宋" w:hAnsi="仿宋" w:eastAsia="仿宋" w:cs="仿宋"/>
                <w:color w:val="FF0000"/>
                <w:spacing w:val="-18"/>
                <w:sz w:val="24"/>
                <w:szCs w:val="24"/>
                <w:lang w:val="en-US" w:eastAsia="zh-CN"/>
              </w:rPr>
            </w:pPr>
            <w:r>
              <w:rPr>
                <w:rFonts w:hint="eastAsia" w:ascii="仿宋" w:hAnsi="仿宋" w:eastAsia="仿宋" w:cs="仿宋"/>
                <w:color w:val="auto"/>
                <w:spacing w:val="-18"/>
                <w:sz w:val="24"/>
                <w:szCs w:val="24"/>
                <w:lang w:val="en-US" w:eastAsia="zh-CN"/>
              </w:rPr>
              <w:t>2、中标人（成交人）在中标通知书办理前，一次性付清。</w:t>
            </w:r>
          </w:p>
        </w:tc>
      </w:tr>
      <w:tr w14:paraId="19E17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Merge w:val="restart"/>
            <w:vAlign w:val="center"/>
          </w:tcPr>
          <w:p w14:paraId="3C92229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23</w:t>
            </w:r>
          </w:p>
          <w:p w14:paraId="01AAF5B0">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tc>
        <w:tc>
          <w:tcPr>
            <w:tcW w:w="1885" w:type="dxa"/>
            <w:vAlign w:val="center"/>
          </w:tcPr>
          <w:p w14:paraId="2972835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质疑函递交方式、接收部门、联系电话和通讯地址</w:t>
            </w:r>
          </w:p>
        </w:tc>
        <w:tc>
          <w:tcPr>
            <w:tcW w:w="6748" w:type="dxa"/>
            <w:vAlign w:val="top"/>
          </w:tcPr>
          <w:p w14:paraId="23E98C3F">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14:paraId="0F372DA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接收部门：界首市机关事务管理服务中心、法正项目管理集团有限公司            </w:t>
            </w:r>
          </w:p>
          <w:p w14:paraId="07DE51C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联系电话：15726223398、0558-2201171         </w:t>
            </w:r>
          </w:p>
          <w:p w14:paraId="4022136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电子邮箱：1448237370@qq.com         </w:t>
            </w:r>
          </w:p>
          <w:p w14:paraId="37C36F3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通讯地址：安徽省界首市人民东路1号、安徽省阜阳市颍泉区宝来浴场院内物资局三楼  </w:t>
            </w:r>
          </w:p>
        </w:tc>
      </w:tr>
      <w:tr w14:paraId="66A60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Merge w:val="continue"/>
            <w:vAlign w:val="center"/>
          </w:tcPr>
          <w:p w14:paraId="34F6110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tc>
        <w:tc>
          <w:tcPr>
            <w:tcW w:w="1885" w:type="dxa"/>
            <w:vAlign w:val="center"/>
          </w:tcPr>
          <w:p w14:paraId="1994BBB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投诉函递交方式、接收部门、联系电话和通讯地址</w:t>
            </w:r>
          </w:p>
        </w:tc>
        <w:tc>
          <w:tcPr>
            <w:tcW w:w="6748" w:type="dxa"/>
            <w:vAlign w:val="top"/>
          </w:tcPr>
          <w:p w14:paraId="264D1EB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14:paraId="0144CB4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接收部门：界首市公共资源交易监督管理局         </w:t>
            </w:r>
          </w:p>
          <w:p w14:paraId="14895B3F">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联系电话：0558-4888003          </w:t>
            </w:r>
          </w:p>
          <w:p w14:paraId="0D96AD8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通讯地址：界首市胜利路与原308省道交叉口，国祯广场对面，原界首市特殊教育学校二楼   </w:t>
            </w:r>
          </w:p>
        </w:tc>
      </w:tr>
      <w:tr w14:paraId="5E71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92" w:type="dxa"/>
            <w:vAlign w:val="center"/>
          </w:tcPr>
          <w:p w14:paraId="337707A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24</w:t>
            </w:r>
          </w:p>
        </w:tc>
        <w:tc>
          <w:tcPr>
            <w:tcW w:w="1885" w:type="dxa"/>
            <w:vAlign w:val="center"/>
          </w:tcPr>
          <w:p w14:paraId="15F9E9C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本项目提供除征集文件以外的其他资料</w:t>
            </w:r>
          </w:p>
        </w:tc>
        <w:tc>
          <w:tcPr>
            <w:tcW w:w="6748" w:type="dxa"/>
            <w:vAlign w:val="top"/>
          </w:tcPr>
          <w:p w14:paraId="53C83ACD">
            <w:pPr>
              <w:keepNext w:val="0"/>
              <w:keepLines w:val="0"/>
              <w:pageBreakBefore w:val="0"/>
              <w:widowControl/>
              <w:kinsoku w:val="0"/>
              <w:wordWrap/>
              <w:overflowPunct/>
              <w:topLinePunct w:val="0"/>
              <w:autoSpaceDE w:val="0"/>
              <w:autoSpaceDN w:val="0"/>
              <w:bidi w:val="0"/>
              <w:adjustRightInd/>
              <w:snapToGrid/>
              <w:spacing w:line="360" w:lineRule="auto"/>
              <w:ind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无</w:t>
            </w:r>
          </w:p>
        </w:tc>
      </w:tr>
      <w:tr w14:paraId="35838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B8A307D">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25</w:t>
            </w:r>
          </w:p>
        </w:tc>
        <w:tc>
          <w:tcPr>
            <w:tcW w:w="1885" w:type="dxa"/>
            <w:vAlign w:val="center"/>
          </w:tcPr>
          <w:p w14:paraId="23277F9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特别提醒</w:t>
            </w:r>
          </w:p>
        </w:tc>
        <w:tc>
          <w:tcPr>
            <w:tcW w:w="6748" w:type="dxa"/>
            <w:vAlign w:val="top"/>
          </w:tcPr>
          <w:p w14:paraId="64AF74AF">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因电子交易系统出现软件设计或功能缺陷、运行异常等情况，影响政府采购活动正常进行的，政府采购各方当事人免责。</w:t>
            </w:r>
          </w:p>
        </w:tc>
      </w:tr>
      <w:tr w14:paraId="50291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63A08BD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26</w:t>
            </w:r>
          </w:p>
        </w:tc>
        <w:tc>
          <w:tcPr>
            <w:tcW w:w="1885" w:type="dxa"/>
            <w:vAlign w:val="center"/>
          </w:tcPr>
          <w:p w14:paraId="70DAF4FD">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社保证明材料</w:t>
            </w:r>
          </w:p>
          <w:p w14:paraId="4010E85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（如有要求）</w:t>
            </w:r>
          </w:p>
        </w:tc>
        <w:tc>
          <w:tcPr>
            <w:tcW w:w="6748" w:type="dxa"/>
            <w:vAlign w:val="top"/>
          </w:tcPr>
          <w:p w14:paraId="7EDE443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本项目征集文件中要求提供的社保证明材料为下述形式之一(响应文件中须提供扫描件)：</w:t>
            </w:r>
          </w:p>
          <w:p w14:paraId="1283E3D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（1）社保局官方网站查询的缴费记录截图；</w:t>
            </w:r>
          </w:p>
          <w:p w14:paraId="0BCD23F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（2）社保局的书面证明材料；</w:t>
            </w:r>
          </w:p>
          <w:p w14:paraId="2F0762E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（3）经供应商委托的第三方人力资源服务机构或与供应商有直接隶属关系的机构可以代缴社保，但须提供有关证明材料并经评审小组确认。</w:t>
            </w:r>
          </w:p>
          <w:p w14:paraId="656E9E7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（4）参与征集的院校，社保证明可以用以下任意一种：</w:t>
            </w:r>
          </w:p>
          <w:p w14:paraId="0089111E">
            <w:pPr>
              <w:keepNext w:val="0"/>
              <w:keepLines w:val="0"/>
              <w:pageBreakBefore w:val="0"/>
              <w:widowControl/>
              <w:kinsoku w:val="0"/>
              <w:wordWrap/>
              <w:overflowPunct/>
              <w:topLinePunct w:val="0"/>
              <w:autoSpaceDE w:val="0"/>
              <w:autoSpaceDN w:val="0"/>
              <w:bidi w:val="0"/>
              <w:adjustRightInd/>
              <w:snapToGrid/>
              <w:spacing w:line="360" w:lineRule="auto"/>
              <w:ind w:left="0" w:right="0"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①加盖供应商公章的教师证（须为本单位人员）；</w:t>
            </w:r>
          </w:p>
          <w:p w14:paraId="6927A131">
            <w:pPr>
              <w:keepNext w:val="0"/>
              <w:keepLines w:val="0"/>
              <w:pageBreakBefore w:val="0"/>
              <w:widowControl/>
              <w:kinsoku w:val="0"/>
              <w:wordWrap/>
              <w:overflowPunct/>
              <w:topLinePunct w:val="0"/>
              <w:autoSpaceDE w:val="0"/>
              <w:autoSpaceDN w:val="0"/>
              <w:bidi w:val="0"/>
              <w:adjustRightInd/>
              <w:snapToGrid/>
              <w:spacing w:line="360" w:lineRule="auto"/>
              <w:ind w:left="0" w:right="0"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②医保证明材料。</w:t>
            </w:r>
          </w:p>
          <w:p w14:paraId="46213CF8">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（5）其他经评审小组认可的证明材料。</w:t>
            </w:r>
          </w:p>
          <w:p w14:paraId="0ABDDEC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（6）法定代表人参与项目的，无需提供社保证明材料，提供身份证明扫描件即可。</w:t>
            </w:r>
          </w:p>
          <w:p w14:paraId="498AE13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注：提供任意五险之一的社保缴纳证明即可</w:t>
            </w:r>
          </w:p>
        </w:tc>
      </w:tr>
      <w:tr w14:paraId="6EF6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ADA794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27</w:t>
            </w:r>
          </w:p>
        </w:tc>
        <w:tc>
          <w:tcPr>
            <w:tcW w:w="1885" w:type="dxa"/>
            <w:vAlign w:val="center"/>
          </w:tcPr>
          <w:p w14:paraId="44A6625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解释权</w:t>
            </w:r>
          </w:p>
        </w:tc>
        <w:tc>
          <w:tcPr>
            <w:tcW w:w="6748" w:type="dxa"/>
            <w:vAlign w:val="top"/>
          </w:tcPr>
          <w:p w14:paraId="4F6DB4D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(1)构成本征集文件的各个组成文件应互为解释，互为说明；</w:t>
            </w:r>
          </w:p>
          <w:p w14:paraId="4688B3D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(2)同一组成文件中就同一事项的规定或约定不一致的，以编排顺序在后者为准；</w:t>
            </w:r>
          </w:p>
          <w:p w14:paraId="7F5BA163">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(3)如有不明确或不一致，构成合同文件组成内容的，以合同文件约定内容为准，且以专用合同条款约定的合同文件优先顺序解释；</w:t>
            </w:r>
          </w:p>
          <w:p w14:paraId="7C64A51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(4)除征集文件中有特别规定外，仅适用于招标投标阶段的规定，按征集公告、供应商须知、评标方法和标准、征集响应文件格式的先后顺序解释；</w:t>
            </w:r>
          </w:p>
          <w:p w14:paraId="07D922E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(5)按本款前述规定仍不能形成结论的，由征集人负责解释。</w:t>
            </w:r>
          </w:p>
        </w:tc>
      </w:tr>
      <w:tr w14:paraId="448F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4" w:hRule="atLeast"/>
        </w:trPr>
        <w:tc>
          <w:tcPr>
            <w:tcW w:w="792" w:type="dxa"/>
            <w:vAlign w:val="center"/>
          </w:tcPr>
          <w:p w14:paraId="40B3EA2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28</w:t>
            </w:r>
          </w:p>
        </w:tc>
        <w:tc>
          <w:tcPr>
            <w:tcW w:w="1885" w:type="dxa"/>
            <w:vAlign w:val="center"/>
          </w:tcPr>
          <w:p w14:paraId="6B1D432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入围供应商的清</w:t>
            </w:r>
          </w:p>
          <w:p w14:paraId="0C182AA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退和补充规则</w:t>
            </w:r>
          </w:p>
        </w:tc>
        <w:tc>
          <w:tcPr>
            <w:tcW w:w="6748" w:type="dxa"/>
            <w:vAlign w:val="top"/>
          </w:tcPr>
          <w:p w14:paraId="615532C0">
            <w:pPr>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清退规则</w:t>
            </w:r>
          </w:p>
          <w:p w14:paraId="3F4081FA">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入围供应商存在《政府采购框架协议采购方式管理暂行办法》第十九条规定情形的，尚未签订框架协议的，取消其入围资格；已经签订框架协议的，解除与其签订的框架协议。</w:t>
            </w:r>
          </w:p>
          <w:p w14:paraId="36AAAD9E">
            <w:pPr>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0" w:leftChars="0" w:right="0" w:firstLine="0" w:firstLine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补充规则</w:t>
            </w:r>
          </w:p>
          <w:p w14:paraId="676A8051">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0"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除剩余入围供应商不足入围供应商总数70%且影响框架协议执行的情形外，框架协议有效期内，征集人不得补充征集供应商。</w:t>
            </w:r>
          </w:p>
          <w:p w14:paraId="0759168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52BFF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1B99B2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29</w:t>
            </w:r>
          </w:p>
        </w:tc>
        <w:tc>
          <w:tcPr>
            <w:tcW w:w="1885" w:type="dxa"/>
            <w:vAlign w:val="center"/>
          </w:tcPr>
          <w:p w14:paraId="05A6477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用户反馈及评价</w:t>
            </w:r>
          </w:p>
          <w:p w14:paraId="3470782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机制</w:t>
            </w:r>
          </w:p>
        </w:tc>
        <w:tc>
          <w:tcPr>
            <w:tcW w:w="6748" w:type="dxa"/>
            <w:vAlign w:val="top"/>
          </w:tcPr>
          <w:p w14:paraId="345FB21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根据用户反馈和评价机制约定，采购人和服务对象对入围供应商履行框架协议和采购合同情况的反馈与评价，用户反馈和评价情况将向采购人和服务对象公开，并作为第二阶段直接选定成交供应商的参考。</w:t>
            </w:r>
          </w:p>
        </w:tc>
      </w:tr>
      <w:tr w14:paraId="52398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5CB058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30</w:t>
            </w:r>
          </w:p>
        </w:tc>
        <w:tc>
          <w:tcPr>
            <w:tcW w:w="1885" w:type="dxa"/>
            <w:vAlign w:val="center"/>
          </w:tcPr>
          <w:p w14:paraId="37C3A4B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其他补充说明</w:t>
            </w:r>
          </w:p>
        </w:tc>
        <w:tc>
          <w:tcPr>
            <w:tcW w:w="6748" w:type="dxa"/>
            <w:vAlign w:val="top"/>
          </w:tcPr>
          <w:p w14:paraId="2094314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1、框架协议有效期：2年。</w:t>
            </w:r>
          </w:p>
          <w:p w14:paraId="4648504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2、框架协议采购类型：本项目采用封闭式框架协议入围采购的方式入围供应商无正当理由，不得主动放弃入围资格或者退出框架协议。</w:t>
            </w:r>
          </w:p>
          <w:p w14:paraId="3FC252C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3、入围供应商有下列情形之一，尚未签订框架协议的，取消其入围资格；已经签订框架协议的，解除与其签订的框架协议：</w:t>
            </w:r>
          </w:p>
          <w:p w14:paraId="29AC9BB6">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(一)恶意串通谋取入围或者合同成交的；</w:t>
            </w:r>
          </w:p>
          <w:p w14:paraId="0317789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(二)提供虚假材料谋取入围或者合同成交的；</w:t>
            </w:r>
          </w:p>
          <w:p w14:paraId="26E7EF1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(三)无正当理由拒不接受合同授予的；</w:t>
            </w:r>
          </w:p>
          <w:p w14:paraId="4E7B4DC6">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(四)不履行合同义务或者履行合同义务不符合约定，经征集人请求履行后仍不履行或者仍未按约定履行的；</w:t>
            </w:r>
          </w:p>
          <w:p w14:paraId="552724E6">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(五)框架协议有效期内，因违法行为被禁止或限制参加政府采购活动的；</w:t>
            </w:r>
          </w:p>
          <w:p w14:paraId="36F8A3F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(六)框架协议约定的其他情形。</w:t>
            </w:r>
          </w:p>
          <w:p w14:paraId="0C4D8136">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被取消入围资格或者被解除框架协议的供应商不得参加同一封闭式框架协议补充征集，或者重新申请加入同一开放式框架协议。</w:t>
            </w:r>
          </w:p>
          <w:p w14:paraId="7D8A505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入围供应商应在规定期限内提交履约担保并与征集人签订框架协议，若入围供应商未能在规定期限内提交履约担保或签订框架协议，征集人有权取消入围供应商入围资格，并将相关违约行为报送监管部门，实施信用惩戒。</w:t>
            </w:r>
          </w:p>
          <w:p w14:paraId="1375B938">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5、采购合同签订后，入围供应商存在规定时间内不组织人员进场开工，不履行供货、安装或服务义务等情况，征集人有权追究违约责任，同时将相关违约行为报送监管部门，记不良行为记录，实施信用惩戒。</w:t>
            </w:r>
          </w:p>
          <w:p w14:paraId="435B110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6、入围供应商入围后被监管部门查实存在违法行为，不满足入围条件的，由征集人取消入围资格，并做好项目后续工作。</w:t>
            </w:r>
          </w:p>
          <w:p w14:paraId="0BA4F5F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7、入围供应商在项目发生投诉、信访举报案件、履约存在争议时，拒绝协助配合执法部门调查案件的，征集人可以取消其入围资格或解除框架协议，并追究其违约责任。</w:t>
            </w:r>
          </w:p>
          <w:p w14:paraId="4DDC098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8、本项目涉及商品包装或快递包装的，按照《财政部办公厅、生态环境部办公厅、国家邮政局办公室关于印发&lt;商品包装政府采购需求标准(试行)&gt;、&lt;快递包装政府采购需求标准(试行)&gt;的通知》(财办库(2020]123号)要求执行。</w:t>
            </w:r>
          </w:p>
          <w:p w14:paraId="37AEF2A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default"/>
                <w:lang w:val="en-US" w:eastAsia="zh-CN"/>
              </w:rPr>
            </w:pPr>
            <w:r>
              <w:rPr>
                <w:rFonts w:hint="eastAsia" w:ascii="仿宋" w:hAnsi="仿宋" w:eastAsia="仿宋" w:cs="仿宋"/>
                <w:color w:val="auto"/>
                <w:spacing w:val="-18"/>
                <w:sz w:val="24"/>
                <w:szCs w:val="24"/>
                <w:lang w:val="en-US" w:eastAsia="zh-CN"/>
              </w:rPr>
              <w:t>9、有融资需求的中小微企业，凭借政府采购中标（成交）通知书和签订的政府采购合同，通过“徽采云”金融服务模块进行融资申请。</w:t>
            </w:r>
          </w:p>
        </w:tc>
      </w:tr>
    </w:tbl>
    <w:p w14:paraId="78FB50F6">
      <w:pPr>
        <w:rPr>
          <w:color w:val="auto"/>
        </w:rPr>
        <w:sectPr>
          <w:headerReference r:id="rId7" w:type="default"/>
          <w:footerReference r:id="rId8" w:type="default"/>
          <w:pgSz w:w="11921" w:h="16851"/>
          <w:pgMar w:top="1380" w:right="1247" w:bottom="1412" w:left="1248" w:header="0" w:footer="1303" w:gutter="0"/>
          <w:pgNumType w:fmt="decimal"/>
          <w:cols w:space="720" w:num="1"/>
        </w:sectPr>
      </w:pPr>
    </w:p>
    <w:p w14:paraId="5817ACE2">
      <w:pPr>
        <w:spacing w:before="55" w:line="219" w:lineRule="auto"/>
        <w:ind w:left="3454"/>
        <w:outlineLvl w:val="1"/>
        <w:rPr>
          <w:rFonts w:ascii="Arial"/>
          <w:color w:val="auto"/>
          <w:sz w:val="28"/>
          <w:szCs w:val="28"/>
        </w:rPr>
      </w:pPr>
      <w:r>
        <w:rPr>
          <w:rFonts w:ascii="黑体" w:hAnsi="黑体" w:eastAsia="黑体" w:cs="黑体"/>
          <w:color w:val="auto"/>
          <w:spacing w:val="-1"/>
          <w:sz w:val="28"/>
          <w:szCs w:val="28"/>
          <w14:textOutline w14:w="5094" w14:cap="flat" w14:cmpd="sng">
            <w14:solidFill>
              <w14:srgbClr w14:val="000000"/>
            </w14:solidFill>
            <w14:prstDash w14:val="solid"/>
            <w14:miter w14:val="0"/>
          </w14:textOutline>
        </w:rPr>
        <w:t>二、供应商须</w:t>
      </w:r>
      <w:r>
        <w:rPr>
          <w:rFonts w:ascii="黑体" w:hAnsi="黑体" w:eastAsia="黑体" w:cs="黑体"/>
          <w:color w:val="auto"/>
          <w:sz w:val="28"/>
          <w:szCs w:val="28"/>
          <w14:textOutline w14:w="5094" w14:cap="flat" w14:cmpd="sng">
            <w14:solidFill>
              <w14:srgbClr w14:val="000000"/>
            </w14:solidFill>
            <w14:prstDash w14:val="solid"/>
            <w14:miter w14:val="0"/>
          </w14:textOutline>
        </w:rPr>
        <w:t>知正文</w:t>
      </w:r>
    </w:p>
    <w:p w14:paraId="7B34166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1.</w:t>
      </w:r>
      <w:r>
        <w:rPr>
          <w:rFonts w:hint="eastAsia" w:ascii="宋体" w:hAnsi="宋体" w:eastAsia="宋体" w:cs="宋体"/>
          <w:b/>
          <w:bCs/>
          <w:color w:val="auto"/>
          <w:spacing w:val="-1"/>
          <w:sz w:val="24"/>
          <w:szCs w:val="24"/>
        </w:rPr>
        <w:t>适用范围</w:t>
      </w:r>
    </w:p>
    <w:p w14:paraId="17E5B0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1.1</w:t>
      </w:r>
      <w:r>
        <w:rPr>
          <w:rFonts w:hint="eastAsia" w:ascii="宋体" w:hAnsi="宋体" w:eastAsia="宋体" w:cs="宋体"/>
          <w:color w:val="auto"/>
          <w:spacing w:val="-1"/>
          <w:sz w:val="24"/>
          <w:szCs w:val="24"/>
          <w:lang w:val="en-US" w:eastAsia="zh-CN"/>
        </w:rPr>
        <w:t>本征集文件仅适用于本次框架协议采购所述的项目采购。</w:t>
      </w:r>
    </w:p>
    <w:p w14:paraId="6C23C4F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2.定义</w:t>
      </w:r>
    </w:p>
    <w:p w14:paraId="062DB4D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2.1服务：系指除货物和工程以外的其他政府采购对象，包括咨询、调研、评估</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规划</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设计、监理、审计、保险、租赁、印刷、维修、物业管理等。</w:t>
      </w:r>
    </w:p>
    <w:p w14:paraId="5B0368B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时限(年份、月份等)计算：系指从征集之日向前追溯 X年/月 (“X”为“一”及以后整数)起算。</w:t>
      </w:r>
    </w:p>
    <w:p w14:paraId="76D7FEB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业绩：除非本征集文件中另有规定，</w:t>
      </w:r>
      <w:r>
        <w:rPr>
          <w:rFonts w:hint="eastAsia" w:ascii="宋体" w:hAnsi="宋体" w:eastAsia="宋体" w:cs="宋体"/>
          <w:color w:val="auto"/>
          <w:spacing w:val="-1"/>
          <w:sz w:val="24"/>
          <w:szCs w:val="24"/>
          <w:lang w:val="en-US" w:eastAsia="zh-CN"/>
        </w:rPr>
        <w:t>业绩系指符合本征集文件规定的与最终用户签订的合同或框架协议或征集文件要求的相关证明。供应商与其关联公司（如母公司、控股公司、分公司、子公司、同一法定代表人的公司等）之间签订的合同或框架协议，均不予认可。</w:t>
      </w:r>
    </w:p>
    <w:p w14:paraId="11F040E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除非本征集文件中另有规定，否则业绩均为已服务完毕的业绩，业绩时间均以合同签订之日为追溯节点。</w:t>
      </w:r>
    </w:p>
    <w:p w14:paraId="37E45C1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3.征集人、采购代理机构及供应商</w:t>
      </w:r>
    </w:p>
    <w:p w14:paraId="7ECDC38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3.1征集人：是指依法开展政府采购活动的集中采购机构、主管预算单位（或者经其主管预算单位批准的其他预算单位）及其委托的采购代理机构。本项目的征集人见供应商须知前附表。</w:t>
      </w:r>
    </w:p>
    <w:p w14:paraId="0F49949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3.2采购代理机构：是指集中采购机构或从事采购代理业务的社会中介机构。本项目的采购代理机构见供应商须知前附表。</w:t>
      </w:r>
    </w:p>
    <w:p w14:paraId="280541F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3.3政府采购监督管理部门：</w:t>
      </w:r>
      <w:r>
        <w:rPr>
          <w:rFonts w:hint="eastAsia" w:ascii="宋体" w:hAnsi="宋体" w:eastAsia="宋体" w:cs="宋体"/>
          <w:color w:val="auto"/>
          <w:spacing w:val="-1"/>
          <w:sz w:val="24"/>
          <w:szCs w:val="24"/>
          <w:lang w:val="en-US" w:eastAsia="zh-CN"/>
        </w:rPr>
        <w:t>各级人民政府指定的有关部门依法履行与政府采购活动有关的监督管理职责。本项目的政府采购监督管理部门见供应商须知前附表。</w:t>
      </w:r>
    </w:p>
    <w:p w14:paraId="5B1B29B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供应商：是指向征集人提供货物、工程或者服务的法人、非法人组织或者自然人</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分支机构不得参加政府采购活动，但银行、保险、石油石化、电力、电信等特殊行业除外。本项目的供应商须满足以下条件：</w:t>
      </w:r>
    </w:p>
    <w:p w14:paraId="21814E8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.1在中华人民共和国境内注册，能够独立承担民事责任，有生产或供应能力的本国供应商。</w:t>
      </w:r>
    </w:p>
    <w:p w14:paraId="26701A1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.2具备《中华人民共和国政府采购法》第二十二条关于供应商条件的规定</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遵守本项目征集人本级和上级财政部门政府采购的有关规定。</w:t>
      </w:r>
    </w:p>
    <w:p w14:paraId="2DC480F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.3以采购代理机构认可的方式获得了本项目的征集文件。</w:t>
      </w:r>
    </w:p>
    <w:p w14:paraId="7ACD9F1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.4若供应商须知前附表中写明落实中小企业扶持政策，如供应商未按要求响应的，其响应文件将被认定为</w:t>
      </w:r>
      <w:r>
        <w:rPr>
          <w:rFonts w:hint="eastAsia" w:ascii="宋体" w:hAnsi="宋体" w:eastAsia="宋体" w:cs="宋体"/>
          <w:b/>
          <w:bCs/>
          <w:color w:val="auto"/>
          <w:spacing w:val="-1"/>
          <w:sz w:val="24"/>
          <w:szCs w:val="24"/>
        </w:rPr>
        <w:t>响应无效</w:t>
      </w:r>
      <w:r>
        <w:rPr>
          <w:rFonts w:hint="eastAsia" w:ascii="宋体" w:hAnsi="宋体" w:eastAsia="宋体" w:cs="宋体"/>
          <w:color w:val="auto"/>
          <w:spacing w:val="-1"/>
          <w:sz w:val="24"/>
          <w:szCs w:val="24"/>
        </w:rPr>
        <w:t>。</w:t>
      </w:r>
    </w:p>
    <w:p w14:paraId="1F09923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3.5</w:t>
      </w:r>
      <w:r>
        <w:rPr>
          <w:rFonts w:hint="eastAsia" w:ascii="宋体" w:hAnsi="宋体" w:eastAsia="宋体" w:cs="宋体"/>
          <w:color w:val="auto"/>
          <w:spacing w:val="-1"/>
          <w:sz w:val="24"/>
          <w:szCs w:val="24"/>
          <w:lang w:val="en-US" w:eastAsia="zh-CN"/>
        </w:rPr>
        <w:t>单位负责人为同一人或者存在直接控股、管理关系的不同供应商，不得参加同一框架协议项下的政府采购活动。否则其响应文件将被认定为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w:t>
      </w:r>
    </w:p>
    <w:p w14:paraId="58265EF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 xml:space="preserve">4.响应文件费用 </w:t>
      </w:r>
    </w:p>
    <w:p w14:paraId="69B2111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color w:val="auto"/>
          <w:spacing w:val="-1"/>
          <w:sz w:val="24"/>
          <w:szCs w:val="24"/>
          <w:lang w:val="en-US" w:eastAsia="zh-CN"/>
        </w:rPr>
        <w:t>不论响应文件的结果如何，供应商应承担所有与准备和参加响应文件有关的费用。</w:t>
      </w:r>
    </w:p>
    <w:p w14:paraId="2369335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5</w:t>
      </w:r>
      <w:r>
        <w:rPr>
          <w:rFonts w:hint="eastAsia" w:ascii="宋体" w:hAnsi="宋体" w:eastAsia="宋体" w:cs="宋体"/>
          <w:b/>
          <w:bCs/>
          <w:color w:val="auto"/>
          <w:spacing w:val="-1"/>
          <w:sz w:val="24"/>
          <w:szCs w:val="24"/>
        </w:rPr>
        <w:t>.适用法律</w:t>
      </w:r>
    </w:p>
    <w:p w14:paraId="1C7B314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本项目征集人、采购代理机构、供应商、评审小组的相关行为均受《中华人民共和国政府采购法》、《中华人民共和国政府采购法实施条例》</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《政府采购框架协议采购方式管理暂行办法》</w:t>
      </w:r>
      <w:r>
        <w:rPr>
          <w:rFonts w:hint="eastAsia" w:ascii="宋体" w:hAnsi="宋体" w:eastAsia="宋体" w:cs="宋体"/>
          <w:color w:val="auto"/>
          <w:spacing w:val="-1"/>
          <w:sz w:val="24"/>
          <w:szCs w:val="24"/>
        </w:rPr>
        <w:t>及本项目本级和上级财政部门、政府采购监督管理部门的政府采购有关规定的约束，其权利受到上述法律法规的保护。</w:t>
      </w:r>
    </w:p>
    <w:p w14:paraId="7BF74FB5">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6.征集文件构成</w:t>
      </w:r>
    </w:p>
    <w:p w14:paraId="0282F66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6.1征集文件包括下列内容： </w:t>
      </w:r>
    </w:p>
    <w:p w14:paraId="03C8160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第一章 征集公告 </w:t>
      </w:r>
    </w:p>
    <w:p w14:paraId="293574E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第二章 供应商须知 </w:t>
      </w:r>
    </w:p>
    <w:p w14:paraId="6F31E11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第三章 采购需求 </w:t>
      </w:r>
    </w:p>
    <w:p w14:paraId="25E9561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第四章 评审方法和标准 </w:t>
      </w:r>
    </w:p>
    <w:p w14:paraId="064BFDE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第五章 框架协议和采购合同文本 </w:t>
      </w:r>
    </w:p>
    <w:p w14:paraId="3A30A34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第六章 响应文件格式 </w:t>
      </w:r>
    </w:p>
    <w:p w14:paraId="17D1215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第七章 政府采购供应商质疑函范本 </w:t>
      </w:r>
    </w:p>
    <w:p w14:paraId="6EBF563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6.2征集文件中有不一致的，有澄清的部分以最终的澄清更正内容为准。 </w:t>
      </w:r>
    </w:p>
    <w:p w14:paraId="5099589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6.3现场考察及相关事项见供应商须知前附表。 </w:t>
      </w:r>
    </w:p>
    <w:p w14:paraId="24613CA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6.4供应商应认真阅读征集文件所有的事项、格式、条款和技术规范等。</w:t>
      </w:r>
    </w:p>
    <w:p w14:paraId="2EF0639D">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7.征集文件的澄清与修改</w:t>
      </w:r>
    </w:p>
    <w:p w14:paraId="3D1781A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7.1供应商如对征集文件内容有疑问，必须在供应商须知前附表规定的网上询问截止时间前以网上提问形式（电子交易系统）提交给采购代理机构。</w:t>
      </w:r>
    </w:p>
    <w:p w14:paraId="62A4055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7.2征集人可主动地或在解答供应商提出的问题时对征集文件进行澄清与修改。采购代理机构将在安徽省政府采购网以发布更正公告的方式，澄清或修改征集文件，更正公告的内容作为征集文件的组成部分，对供应商起约束作用。供应商应主动上网查询。采购代理机构不承担供应商未及时关注相关信息引发的相关责任。 </w:t>
      </w:r>
    </w:p>
    <w:p w14:paraId="55A9E7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7.3任何人或任何组织向供应商提供的任何书面或口头资料，未经采购代理机构在网上发布或书面通知，均作无效处理，不得作为征集文件的组成部分。采购代理机构对供应商由此而做出的推论、理解和结论概不负责。 </w:t>
      </w:r>
    </w:p>
    <w:p w14:paraId="70BC4D1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7.4对于没有提出疑问又参与了本项目响应文件的供应商将被视为完全认同本征集文件（含更正公告的内容）。</w:t>
      </w:r>
    </w:p>
    <w:p w14:paraId="5B0B2F54">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8.响应范围及响应文件中标准和计量单位的使用</w:t>
      </w:r>
    </w:p>
    <w:p w14:paraId="66A30E5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8.1项目有分包的，供应商可对征集文件其中某一个或几个分包进行响应文件，除非在供应商须知前附表中另有规定。 </w:t>
      </w:r>
    </w:p>
    <w:p w14:paraId="6C558D0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8.2供应商应当对所投分包征集文件中“采购需求”所列的所有内容进行响应文件，如仅响应所投包别中的部分内容，其所投包别的响应文件将被认定为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722AA24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8.3无论征集文件中是否要求，供应商所响应的服务（及伴随的货物）、货物（及伴随的服务）均应符合国家强制性标准。 </w:t>
      </w:r>
    </w:p>
    <w:p w14:paraId="458AF03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8.4供应商与采购代理机构之间与征集文件有关的所有往来通知、函件和响应文件均用中文表述。供应商随响应文件提供的证明文件和资料可以为其它语言，但必须附中文译文。翻译的中文资料与外文资料出现差异时，以中文为准。 </w:t>
      </w:r>
    </w:p>
    <w:p w14:paraId="0D09C7A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8.5除征集文件中有特殊要求外，响应文件中所使用的计量单位，应采用中华人民共和国法定计量单位。 </w:t>
      </w:r>
    </w:p>
    <w:p w14:paraId="37AA4F6A">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9.响应文件构成 </w:t>
      </w:r>
    </w:p>
    <w:p w14:paraId="3639FAE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9.1供应商应完整地按征集文件提供的响应文件格式及要求编写响应文件，具体内容详见本项目第六章响应文件格式的相关内容。 </w:t>
      </w:r>
    </w:p>
    <w:p w14:paraId="08D9AA4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9.2上述文件应按照征集文件规定的格式填写、签署和盖章。 </w:t>
      </w:r>
    </w:p>
    <w:p w14:paraId="22255797">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10.证明响应标的的合格性和符合征集文件规定的响应文件</w:t>
      </w:r>
    </w:p>
    <w:p w14:paraId="0DA879E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10.1供应商应提交征集文件要求的证明文件，证明其响应内容符合征集文件规定。该证明文件是响应文件的一部分。 </w:t>
      </w:r>
    </w:p>
    <w:p w14:paraId="3CB7150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10.2上款所述的证明文件，可以是文字资料、图纸和数据。 </w:t>
      </w:r>
    </w:p>
    <w:p w14:paraId="3321940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10.3本条所指证明文件不包括对征集文件相关部分的文字、图标的复制。 </w:t>
      </w:r>
    </w:p>
    <w:p w14:paraId="77675F4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10.4为保证公平公正，除非另有规定或说明，供应商对同一项目响应时，不得同时提供备选响应文件方案。 </w:t>
      </w:r>
    </w:p>
    <w:p w14:paraId="22FEA1FC">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11.响应报价 </w:t>
      </w:r>
    </w:p>
    <w:p w14:paraId="3F08349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11.1供应商的报价应当包括满足本次征集全部采购需求所应提供的货物或服务。所有响应均应以人民币报价。供应商的响应报价应遵守《中华人民共和国价格法》。 </w:t>
      </w:r>
    </w:p>
    <w:p w14:paraId="072DEFB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11.2供应商报价超过征集文件规定的分项、分包最高限价，其响应文件将被认定为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6D820C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11.3最高限制单价是供应商第一阶段响应报价的最高限价。入围供应商第一阶段响应报价（有量价关系折扣的，包括量价关系折扣）是采购人（或者服务对象）确定第二阶段成交供应商的最高限价。 </w:t>
      </w:r>
    </w:p>
    <w:p w14:paraId="59D1E2B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11.4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28031C3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11.5征集人不接受具有附加条件的报价。 </w:t>
      </w:r>
    </w:p>
    <w:p w14:paraId="4F1CD2CC">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12.响应文件有效期 </w:t>
      </w:r>
    </w:p>
    <w:p w14:paraId="76EA256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12.1响应文件有效期为从响应文件截止之日算起的日历天数，响应文件有效期详见供应商须知前附表。 </w:t>
      </w:r>
    </w:p>
    <w:p w14:paraId="4640E41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12.2在响应文件有效期内，供应商的响应文件保持有效，供应商不得要求撤销或修改其响应文件。响应文件有效期不满足要求的响应文件，其响应文件将被认定为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99716A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12.3因特殊原因，征集人或采购代理机构可在原响应文件有效期截止之前，要求供应商延长响应文件的有效期。接受该要求的供应商将不会被要求和允许修正其响应文件。供应商也可以拒绝延长响应文件有效期的要求，且不承担任何责任。上述要求和答复都应以书面形式提交。 </w:t>
      </w:r>
    </w:p>
    <w:p w14:paraId="3D0605E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13.响应文件的制作 </w:t>
      </w:r>
    </w:p>
    <w:p w14:paraId="55047BF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13.1本项目要求提供加密电子响应文件，响应文件的制作应满足以下规定：</w:t>
      </w:r>
    </w:p>
    <w:p w14:paraId="30274D0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由供应商使用电子交易系统提供的“响应文件制作工具”制作生成。“响应文件制作工具”可以通过电子交易系统中下载。供应商应当在互联网络通畅状态下启用最新版响应文件制作工具制作响应文件。 </w:t>
      </w:r>
    </w:p>
    <w:p w14:paraId="47185A5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在第六章“响应文件格式”中要求盖供应商电子签章处，供应商均应加盖供应商电子签章。联合体响应文件的，除联合协议及联合体各成员单位提供的本单位证明材料外，响应文件由联合体牵头人按上述规定加盖联合体牵头人单位电子签章。 </w:t>
      </w:r>
    </w:p>
    <w:p w14:paraId="72A07F2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响应文件制作完成后，供应商应对响应文件进行文件加密，形成加密的响应文件。采用数字证书加密的，加密时响应文件的所有内容均只能使用同一把数字证书进行加密，否则引起的解密失败责任由供应商自行承担。 </w:t>
      </w:r>
    </w:p>
    <w:p w14:paraId="5EFB397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（4）响应文件制作的具体方法详见“响应文件制作工具”中的帮助文档。 </w:t>
      </w:r>
    </w:p>
    <w:p w14:paraId="71A93D2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13.2因供应商自身原因而导致响应文件无法导入电子交易系统电子开标、评标系统，该响应文件视为</w:t>
      </w:r>
      <w:r>
        <w:rPr>
          <w:rFonts w:hint="eastAsia" w:ascii="宋体" w:hAnsi="宋体" w:eastAsia="宋体" w:cs="宋体"/>
          <w:b/>
          <w:bCs/>
          <w:color w:val="auto"/>
          <w:spacing w:val="1"/>
          <w:sz w:val="24"/>
          <w:szCs w:val="24"/>
          <w:lang w:val="en-US" w:eastAsia="zh-CN"/>
        </w:rPr>
        <w:t>无效响应</w:t>
      </w:r>
      <w:r>
        <w:rPr>
          <w:rFonts w:hint="eastAsia" w:ascii="宋体" w:hAnsi="宋体" w:eastAsia="宋体" w:cs="宋体"/>
          <w:color w:val="auto"/>
          <w:spacing w:val="1"/>
          <w:sz w:val="24"/>
          <w:szCs w:val="24"/>
          <w:lang w:val="en-US" w:eastAsia="zh-CN"/>
        </w:rPr>
        <w:t xml:space="preserve">，供应商自行承担由此导致的全部责任。（该响应文件是指解密后的响应文件）。 </w:t>
      </w:r>
    </w:p>
    <w:p w14:paraId="77CF027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14.响应文件提交 </w:t>
      </w:r>
    </w:p>
    <w:p w14:paraId="60F83FF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14.1供应商应在供应商须知前附表中规定的响应文件截止时间前，在网上提交加密电子响应文件。 </w:t>
      </w:r>
    </w:p>
    <w:p w14:paraId="443D766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14.2供应商在征集文件规定的响应文件截止时间前上传了网上加密电子响应文件，但未在规定时间内进行解密的，</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436092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14.3征集人和采购代理机构有权按本征集文件的规定，延迟响应文件截止时间。在此情况下，征集人、采购代理机构和供应商受响应文件截止时间制约的所有权利和义务均应延长至新的截止时间。 </w:t>
      </w:r>
    </w:p>
    <w:p w14:paraId="2B755FD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15.响应文件的递交、修改与撤回 </w:t>
      </w:r>
    </w:p>
    <w:p w14:paraId="4730B0D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15.1供应商应当在第一章“征集邀请”规定的响应文件截止时间前，将加密的响应文件在电子交易系统上传。 </w:t>
      </w:r>
    </w:p>
    <w:p w14:paraId="4824D5F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15.2供应商应当在响应文件截止时间前完成响应文件的传输递交（以接收到电子签收凭证为准），并可以补充、修改或者撤回响应文件。响应文件截止时间前未完成响应文件传输的，视为撤回响应文件。未按规定加密或响应文件截止时间后送达的响应文件，电子交易系统应当拒收。 </w:t>
      </w:r>
    </w:p>
    <w:p w14:paraId="4F71891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15.3供应商在供应商须知前附表规定的解密时间（以电子交易系统解密倒计时为准）内完成电子响应文件的解密工作。 </w:t>
      </w:r>
    </w:p>
    <w:p w14:paraId="4F23C80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16.响应文件开启 </w:t>
      </w:r>
    </w:p>
    <w:p w14:paraId="0AA961D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16.1征集人和采购代理机构将按供应商须知前附表中规定的开标时间和地点组织响应文件开启。 </w:t>
      </w:r>
    </w:p>
    <w:p w14:paraId="32542AA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16.2响应文件开启时，各供应商应在规定时间前（以电子交易系统解密倒计时为准）对本单位的响应文件进行解密。 </w:t>
      </w:r>
    </w:p>
    <w:p w14:paraId="457D026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16.3响应文件开启时，采购代理机构将通过网上开标系统公布开启结果，公布内容包括供应商名称、响应价格及征集文件规定的内容。 </w:t>
      </w:r>
    </w:p>
    <w:p w14:paraId="5D12257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供应商可自行登录电子服务系统查看开标情况。 </w:t>
      </w:r>
    </w:p>
    <w:p w14:paraId="1949BEF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17.资格审查及组建评审小组 </w:t>
      </w:r>
    </w:p>
    <w:p w14:paraId="57A4FC5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17.1征集人或采购代理机构依据法律法规和征集文件中规定的内容，对供应商资格进行审查，未通过资格审查的供应商不进入评审。 </w:t>
      </w:r>
    </w:p>
    <w:p w14:paraId="1885E77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17.2征集人或采购代理机构将在投标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7E9CC25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以联合体形式参加征集的，联合体成员存在以上不良信用记录的，联合体响应文件将被认定为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7E636A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以上信用查询记录，采购人或采购代理机构将下载查询结果页面后与其他采购文件一并保存。供应商不良信用记录以征集人或采购代理机构查询结果为准。在本征集文件规定的查询时间之外，网站信息发生的任何变更均不作为资格审查依据。供应商自行提供的与网站信息不一致的其他证明材料亦不作为资格审查依据。 </w:t>
      </w:r>
    </w:p>
    <w:p w14:paraId="4DC5B8D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17.3按照《中华人民共和国政府采购法》《中华人民共和国政府采购法实施条例》及本项目本级和上级财政部门、政府采购监督管理部门的有关规定依法组建的评审小组，负责本项目评标工作。 </w:t>
      </w:r>
    </w:p>
    <w:p w14:paraId="350A0E9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18.响应文件符合性审查与澄清 </w:t>
      </w:r>
    </w:p>
    <w:p w14:paraId="5499FFA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18.1符合性审查是指依据征集文件的规定，从响应文件的有效性和完整性对征集文件的响应程度进行审查，以确定是否对征集文件的实质性要求做出响应。 </w:t>
      </w:r>
    </w:p>
    <w:p w14:paraId="143B931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18.2响应文件的澄清 </w:t>
      </w:r>
    </w:p>
    <w:p w14:paraId="44299B5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18.2.1为有助于响应文件的审查、评价和比较，在评标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作必要的澄清、说明或补正。供应商的澄清、说明或补正应在评审小组规定的时间内以书面方式进行，并不得超出响应文件范围或者改变响应文件的实质性内容。 </w:t>
      </w:r>
    </w:p>
    <w:p w14:paraId="0FAC815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如有询标，供应商法定代表人（或其授权代表）可通过远程登录的方式接受网上询标，也可凭本人有效身份证明原件参加现场询标。因供应商法定代表人（或其授权代表）联系不上、没有及时登录系统、未到开标现场等情形而无法接受评审小组网上询标（或现场询标）的，供应商自行承担相关风险。 </w:t>
      </w:r>
    </w:p>
    <w:p w14:paraId="5AC9C9D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18.2.2供应商的澄清、说明或补正将作为响应文件的一部分。 </w:t>
      </w:r>
    </w:p>
    <w:p w14:paraId="67C61BC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18.2.3评审小组对供应商提交的澄清、说明或补正有疑问的，可以要求供应商进一步澄清、说明或补正，直至满足评审小组的要求。 </w:t>
      </w:r>
    </w:p>
    <w:p w14:paraId="0169757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18.3响应文件报价出现前后不一致的，按照下列规定修正： </w:t>
      </w:r>
    </w:p>
    <w:p w14:paraId="717D600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（1）响应文件中报价表内容与响应文件中相应内容不一致的，以报价表为准； </w:t>
      </w:r>
    </w:p>
    <w:p w14:paraId="076CA18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（2）大写金额和小写金额不一致的，以大写金额为准；</w:t>
      </w:r>
    </w:p>
    <w:p w14:paraId="7F427A2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（3）单价金额小数点或者百分比有明显错位的，以报价表的总价为准，并修改单价； </w:t>
      </w:r>
    </w:p>
    <w:p w14:paraId="3E1805A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（4）总价金额与按单价汇总金额不一致的，以单价金额计算结果为准。 </w:t>
      </w:r>
    </w:p>
    <w:p w14:paraId="3960B14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同时出现两种以上不一致的，按照前款规定的顺序修正。修正后的报价按照第18.2条的规定经供应商确认后产生约束力，供应商不确认的，其响应文件将被认定为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58D0ACC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对不同文字文本响应文件的解释发生异议的，以中文文本为准。 </w:t>
      </w:r>
    </w:p>
    <w:p w14:paraId="7751FFF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19.响应无效 </w:t>
      </w:r>
    </w:p>
    <w:p w14:paraId="18B0C73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19.1根据本征集文件的规定，评审小组要审查每份响应文件是否实质上响应了征集文件的要求。供应商不得通过修正或撤销不符合要求的偏离，从而使其响应文件成为实质上响应的响应文件。 </w:t>
      </w:r>
    </w:p>
    <w:p w14:paraId="2B93715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评审小组决定响应文件的响应性只根据征集文件要求和响应文件内容。 </w:t>
      </w:r>
    </w:p>
    <w:p w14:paraId="72DEAE5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无论何种原因，即使供应商响应文件时携带了证书材料的原件，但响应文件中未提供与之内容完全一致的扫描件的，评审小组视同其未提供。 </w:t>
      </w:r>
    </w:p>
    <w:p w14:paraId="4B9EF9D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19.2如发现下列情况之一的，其响应文件将被认定为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15B6B8B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（1）响应文件未按照征集文件规定要求签署、盖章的； </w:t>
      </w:r>
    </w:p>
    <w:p w14:paraId="71CB2D9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（2）不具备征集文件中规定的资格要求的； </w:t>
      </w:r>
    </w:p>
    <w:p w14:paraId="759BE03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（3）报价超过征集文件中规定的预算金额或者最高限价的； </w:t>
      </w:r>
    </w:p>
    <w:p w14:paraId="5C3CD91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（4）响应文件含有征集人不能接受的附加条件的； </w:t>
      </w:r>
    </w:p>
    <w:p w14:paraId="34562B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（5）法律、法规和征集文件规定的其他无效情形。 </w:t>
      </w:r>
    </w:p>
    <w:p w14:paraId="4E8A754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20.比较与评价 </w:t>
      </w:r>
    </w:p>
    <w:p w14:paraId="0CDB2C7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20.1经符合性审查合格的响应文件，评审小组将根据征集文件确定的评审方法和标准，对其响应文件作进一步的比较与评价。 </w:t>
      </w:r>
    </w:p>
    <w:p w14:paraId="75E1DC4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20.2评标严格按照征集文件的要求和条件进行。根据实际情况，在供应商须知前附表中规定采用下列一种评审方法，详细评审方法和标准见征集文件第四章： </w:t>
      </w:r>
    </w:p>
    <w:p w14:paraId="0880E75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（1）价格优先法，是指对满足采购需求且响应报价不超过最高限制单价的货物、服务，按照响应报价从低到高排序，根据征集文件规定的淘汰率或者入围供应商数量上限，确定入围供应商的评审方法。 </w:t>
      </w:r>
    </w:p>
    <w:p w14:paraId="77308E4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质量优先法，是指对满足采购需求且响应报价不超过最高限制单价的货物、服务进行质量综合评分，按照质量评分从高到低排序，根据征集文件规定的淘汰率或者入围供应商数量上限，确定入围供应商的评审方法。 </w:t>
      </w:r>
    </w:p>
    <w:p w14:paraId="485C802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20.3根据《政府采购促进中小企业发展管理办法》（财库〔2020〕46号）、《财政部 司法部关于政府采购支持监狱企业发展有关问题的通知》（财库〔2014〕68号）、《三部门联合发布关于促进残疾人就业政府采购政策的通知》（财库〔2017〕141号）以及相关规定，对满足价格扣除条件且在投标文件中提交了《中小企业声明函》《残疾人福利性单位声明函》或省级以上监狱管理局、戒毒管理局（含新疆生产建设兵团）出具的属于监狱企业的证明文件的投标人，其投标报价按照投标人须知前附表第4条中规定的标准扣除后的价格参与评审。对于同时属于小微企业、监狱企业或残疾人福利性单位的，不重复进行投标报价扣除。 </w:t>
      </w:r>
    </w:p>
    <w:p w14:paraId="1C432E9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接受大中型企业与小微企业组成联合体或者允许大中型企业向一家或者多家小微企业分包的，对于联合协议或者分包意向协议约定小微企业的合同份额占到合同总金额规定比例（该比例见投标人须知前附表第4条）以上的，可给予联合体或者大中型企业的投标报价按照投标人须知前附表第4条中规定的标准扣除后的价格参与评审。组成联合体或者接受分包的小微企业与联合体内其他企业、分包企业之间存在直接控股、管理关系的，不享受价格扣除优惠政策。 </w:t>
      </w:r>
    </w:p>
    <w:p w14:paraId="1A534CF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以联合体形式参加政府采购活动，联合体各方均为中小企业的，联合体视同中小企业。其中，联合体各方均为小微企业的，联合体视同小微企业。 </w:t>
      </w:r>
    </w:p>
    <w:p w14:paraId="26B729E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21.废标、重新征集 </w:t>
      </w:r>
    </w:p>
    <w:p w14:paraId="5E5C66A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21.1出现下列情形之一，将导致项目废标： </w:t>
      </w:r>
    </w:p>
    <w:p w14:paraId="72C57E2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（1）符合专业条件的供应商或者对征集文件做实质性响应的供应商不足规定数量的； </w:t>
      </w:r>
    </w:p>
    <w:p w14:paraId="019EAB4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（2）出现影响采购公正的违法、违规行为的； </w:t>
      </w:r>
    </w:p>
    <w:p w14:paraId="490181F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（3）供应商的报价均超过了采购预算，征集人不能支付的； </w:t>
      </w:r>
    </w:p>
    <w:p w14:paraId="72474C0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（4）因重大变故，采购任务取消的。 </w:t>
      </w:r>
    </w:p>
    <w:p w14:paraId="0D6BA31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21.2响应文件提交截止时间后供应商不足规定数量或者通过资格审查或符合性审查的供应商不足规定数量的，除采购任务取消情形外，征集人可依法重新征集。 </w:t>
      </w:r>
    </w:p>
    <w:p w14:paraId="4079532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22.保密要求 </w:t>
      </w:r>
    </w:p>
    <w:p w14:paraId="6A31C22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22.1评审将在严格保密的情况下进行。 </w:t>
      </w:r>
    </w:p>
    <w:p w14:paraId="4827AA9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22.2有关人员应当遵守评审工作纪律，不得泄露评审文件、评审情况和评审中获悉的国家秘密、商业秘密。 </w:t>
      </w:r>
    </w:p>
    <w:p w14:paraId="2FB7C8C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b/>
          <w:bCs/>
          <w:color w:val="auto"/>
          <w:spacing w:val="1"/>
          <w:sz w:val="24"/>
          <w:szCs w:val="24"/>
          <w:lang w:val="en-US" w:eastAsia="zh-CN"/>
        </w:rPr>
        <w:t>23.入围候选人的确定原则及标准</w:t>
      </w:r>
      <w:r>
        <w:rPr>
          <w:rFonts w:hint="eastAsia" w:ascii="宋体" w:hAnsi="宋体" w:eastAsia="宋体" w:cs="宋体"/>
          <w:color w:val="auto"/>
          <w:spacing w:val="1"/>
          <w:sz w:val="24"/>
          <w:szCs w:val="24"/>
          <w:lang w:val="en-US" w:eastAsia="zh-CN"/>
        </w:rPr>
        <w:t xml:space="preserve"> </w:t>
      </w:r>
    </w:p>
    <w:p w14:paraId="2B10AFC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23.1评审小组依据本项目征集文件所约定的评审方法，对实质上响应征集文件的供应商按下列方法进行排序，确定入围供应商： </w:t>
      </w:r>
    </w:p>
    <w:p w14:paraId="58B8D6A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 </w:t>
      </w:r>
    </w:p>
    <w:p w14:paraId="41C94AB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 </w:t>
      </w:r>
    </w:p>
    <w:p w14:paraId="3D17B0B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24.确定入围供应商 </w:t>
      </w:r>
    </w:p>
    <w:p w14:paraId="50F4080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24.1评审小组将根据评审标准，按第四章评审方法和标准中规定数量推荐入围供应商。 </w:t>
      </w:r>
    </w:p>
    <w:p w14:paraId="5AA4B8C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24.2按供应商须知前附表中规定，由评审小组或征集人确定入围供应商。 </w:t>
      </w:r>
    </w:p>
    <w:p w14:paraId="7047C36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24.3因重大变故采购任务取消时，征集人有权拒绝任何供应商入围，且对受影响的供应商不承担任何责任。 </w:t>
      </w:r>
    </w:p>
    <w:p w14:paraId="452B5C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25.编写评审报告 </w:t>
      </w:r>
    </w:p>
    <w:p w14:paraId="1EB0BA6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 </w:t>
      </w:r>
    </w:p>
    <w:p w14:paraId="518EEF1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26.入围结果公告 </w:t>
      </w:r>
    </w:p>
    <w:p w14:paraId="306286F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26.1入围供应商确定后，采购代理机构将在安徽省政府采购网（www.ccgp-anhui.gov.cn）上发布入围结果公告。 </w:t>
      </w:r>
    </w:p>
    <w:p w14:paraId="45E0D66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公告期限以及供应商须知前附表中约定进行公告的内容。入围结果公告期限为1个工作日。 </w:t>
      </w:r>
    </w:p>
    <w:p w14:paraId="2055ECA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27.入围通知书 </w:t>
      </w:r>
    </w:p>
    <w:p w14:paraId="0A508F8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27.1采购代理机构发布入围结果公告的同时以供应商须知前附表规定的形式向入围供应商发出入围通知书。 </w:t>
      </w:r>
    </w:p>
    <w:p w14:paraId="3DFAF4F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27.2入围通知书对征集人和入围供应商具有同等法律效力。入围通知书发出以后，征集人改变入围结果或者入围供应商放弃入围，应当承担相应的法律责任。 </w:t>
      </w:r>
    </w:p>
    <w:p w14:paraId="05C1C53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27.3入围通知书是框架协议和采购合同的组成部分。 </w:t>
      </w:r>
    </w:p>
    <w:p w14:paraId="223D3B8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28.告知征集结果 </w:t>
      </w:r>
    </w:p>
    <w:p w14:paraId="1C211ED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在公告入围结果的同时，采购代理机构同时以供应商须知前附表规定的形式告知征集结果；采用质量优先法评审的，还将告知未入围供应商本人的评审得分和排序。 </w:t>
      </w:r>
    </w:p>
    <w:p w14:paraId="52A58E2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29.履约保证金 </w:t>
      </w:r>
    </w:p>
    <w:p w14:paraId="37BA33F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29.1入围供应商应按照供应商须知前附表规定缴纳履约保证金。 </w:t>
      </w:r>
    </w:p>
    <w:p w14:paraId="151C3E9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29.2如果入围供应商没有按照上述履约保证金的规定执行，将视为放弃入围资格。在此情况下，征集人可确定下一入围候选人为入围供应商，也可以重新开展采购活动。 </w:t>
      </w:r>
    </w:p>
    <w:p w14:paraId="7C87C13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30.签订框架协议 </w:t>
      </w:r>
    </w:p>
    <w:p w14:paraId="39DD4E7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30.1征集人与入围供应商应当自发出入围通知书之日起30个工作日内签订框架协议。</w:t>
      </w:r>
    </w:p>
    <w:p w14:paraId="3523284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30.2征集文件、入围供应商的响应文件及其澄清文件等，均为签订框架协议的依据。 </w:t>
      </w:r>
    </w:p>
    <w:p w14:paraId="5142E31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30.3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14:paraId="4D928CE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31.签订采购合同 </w:t>
      </w:r>
    </w:p>
    <w:p w14:paraId="5646C0B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31.1采购人（或者服务对象）采购框架协议约定的货物、服务，应当将第二阶段的采购合同授予成交供应商。 </w:t>
      </w:r>
    </w:p>
    <w:p w14:paraId="5B55971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31.2同一框架协议采购应当使用统一的采购合同文本，采购人、服务对象和供应商不得擅自改变框架协议约定的合同实质性条款。 </w:t>
      </w:r>
    </w:p>
    <w:p w14:paraId="5B036C6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31.3入围供应商在约定期限内，应当以不高于其报价的价格向适用框架协议的采购人供应专用耗材。 </w:t>
      </w:r>
    </w:p>
    <w:p w14:paraId="11FCAEE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31.4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 </w:t>
      </w:r>
    </w:p>
    <w:p w14:paraId="7F7697A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32.入围产品升级换代 </w:t>
      </w:r>
    </w:p>
    <w:p w14:paraId="38228D7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在质量不降低、价格不提高的前提下，入围供应商因产品升级换代、用新产品替代原入围产品时须报征集人进行审核。 </w:t>
      </w:r>
    </w:p>
    <w:p w14:paraId="2FE57BF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33.用户反馈和评价 </w:t>
      </w:r>
    </w:p>
    <w:p w14:paraId="0C654CB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征集人接受采购人和服务对象对入围供应商履行框架协议和采购合同情况的反馈与评价，并将用户反馈和评价情况向采购人和服务对象公开，作为第二阶段直接选定成交供应商的参考。 </w:t>
      </w:r>
    </w:p>
    <w:p w14:paraId="69836A8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34.入围供应商的清退和补充 </w:t>
      </w:r>
    </w:p>
    <w:p w14:paraId="65F327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34.1框架协议入围供应商无正当理由，不得主动放弃入围资格或者退出框架协议。34.2入围供应商有下列情形之一，尚未签订框架协议的，取消其入围资格；已经签</w:t>
      </w:r>
    </w:p>
    <w:p w14:paraId="4611369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订框架协议的，解除与其签订的框架协议；情节严重的，报请财政监管部门依规处理：</w:t>
      </w:r>
    </w:p>
    <w:p w14:paraId="4FF8D77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（1）恶意串通谋取入围或者合同成交的； </w:t>
      </w:r>
    </w:p>
    <w:p w14:paraId="644F0C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（2）提供虚假材料谋取入围或者合同成交的； </w:t>
      </w:r>
    </w:p>
    <w:p w14:paraId="24700EF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（3）无正当理由拒不签订框架协议或者拒不接受合同授予的； </w:t>
      </w:r>
    </w:p>
    <w:p w14:paraId="7005BCB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（4）不履行合同义务或者履行合同义务不符合约定，经采购人请求履行后仍不履行或者仍未按约定履行的； </w:t>
      </w:r>
    </w:p>
    <w:p w14:paraId="456B851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（5）框架协议有效期内，因违法行为被禁止或限制参加政府采购活动的； </w:t>
      </w:r>
    </w:p>
    <w:p w14:paraId="60A985D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（6）框架协议有效期内，出现本征集文件第17.2条规定的不良信用记录的； </w:t>
      </w:r>
    </w:p>
    <w:p w14:paraId="1880B61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（7）当征集人或者采购人发起针对入围产品（或服务）的价格调查时，未能主动提供包括但不限于销售记录、成交合同等价格证明材料的； </w:t>
      </w:r>
    </w:p>
    <w:p w14:paraId="077A07E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（8）框架协议约定的其他情形。 </w:t>
      </w:r>
    </w:p>
    <w:p w14:paraId="59D531D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35.代理服务费 </w:t>
      </w:r>
    </w:p>
    <w:p w14:paraId="67DB008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本项目代理服务费的收取按供应商须知前附表的规定执行。 </w:t>
      </w:r>
    </w:p>
    <w:p w14:paraId="0627B91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36.人员回避 </w:t>
      </w:r>
    </w:p>
    <w:p w14:paraId="3944E0B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供应商认为征集人员及其相关人员有法律法规所列与其他供应商有利害关系的，可以向征集人或采购代理机构书面提出回避申请，并说明理由。 </w:t>
      </w:r>
    </w:p>
    <w:p w14:paraId="5A53B16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37.质疑的提出与接收 </w:t>
      </w:r>
    </w:p>
    <w:p w14:paraId="7DB6CE8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37.1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 </w:t>
      </w:r>
    </w:p>
    <w:p w14:paraId="54F8D5C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37.2质疑供应商应按照财政部制定的《政府采购供应商质疑函范本》格式（详见征集文件第七章）和《政府采购质疑和投诉办法》的要求，在法定质疑期内以书面形式提出质疑，超出法定质疑期提交的质疑将被拒绝。针对同一采购程序环节的质疑应一次性提出。</w:t>
      </w:r>
    </w:p>
    <w:p w14:paraId="45647AF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37.3采购代理机构质疑函接收部门、联系电话和通讯地址，见供应商须知前附表。 </w:t>
      </w:r>
    </w:p>
    <w:p w14:paraId="09CF271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38.需要补充的其他内容 </w:t>
      </w:r>
    </w:p>
    <w:p w14:paraId="79C4ED8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需要补充的其他内容，见供应商须知前附表。</w:t>
      </w:r>
    </w:p>
    <w:p w14:paraId="374B310A">
      <w:pPr>
        <w:spacing w:before="169" w:line="366" w:lineRule="auto"/>
        <w:ind w:firstLine="484" w:firstLineChars="200"/>
        <w:rPr>
          <w:rFonts w:hint="eastAsia" w:ascii="仿宋" w:hAnsi="仿宋" w:eastAsia="仿宋" w:cs="仿宋"/>
          <w:color w:val="auto"/>
          <w:spacing w:val="1"/>
          <w:sz w:val="24"/>
          <w:szCs w:val="24"/>
          <w:lang w:val="en-US" w:eastAsia="zh-CN"/>
        </w:rPr>
      </w:pPr>
    </w:p>
    <w:p w14:paraId="1EA7B812">
      <w:pPr>
        <w:spacing w:before="169" w:line="366" w:lineRule="auto"/>
        <w:ind w:firstLine="484" w:firstLineChars="200"/>
        <w:rPr>
          <w:rFonts w:hint="eastAsia" w:ascii="仿宋" w:hAnsi="仿宋" w:eastAsia="仿宋" w:cs="仿宋"/>
          <w:color w:val="auto"/>
          <w:spacing w:val="1"/>
          <w:sz w:val="24"/>
          <w:szCs w:val="24"/>
          <w:lang w:val="en-US" w:eastAsia="zh-CN"/>
        </w:rPr>
      </w:pPr>
    </w:p>
    <w:p w14:paraId="0B136328">
      <w:pPr>
        <w:spacing w:before="169" w:line="366" w:lineRule="auto"/>
        <w:ind w:firstLine="484" w:firstLineChars="200"/>
        <w:rPr>
          <w:rFonts w:hint="eastAsia" w:ascii="仿宋" w:hAnsi="仿宋" w:eastAsia="仿宋" w:cs="仿宋"/>
          <w:color w:val="auto"/>
          <w:spacing w:val="1"/>
          <w:sz w:val="24"/>
          <w:szCs w:val="24"/>
          <w:lang w:val="en-US" w:eastAsia="zh-CN"/>
        </w:rPr>
      </w:pPr>
    </w:p>
    <w:p w14:paraId="4DA0E62B">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第三章 采购需求</w:t>
      </w:r>
    </w:p>
    <w:p w14:paraId="6B4F9D0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前注：</w:t>
      </w:r>
    </w:p>
    <w:p w14:paraId="32C96967">
      <w:pPr>
        <w:keepNext w:val="0"/>
        <w:keepLines w:val="0"/>
        <w:pageBreakBefore w:val="0"/>
        <w:widowControl/>
        <w:tabs>
          <w:tab w:val="left" w:pos="8610"/>
          <w:tab w:val="left" w:pos="904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本采购需求中提出的服务方案仅为参考，如无明确限制，供应商可以进行优化，提供满足征集人实际需要的更优（或者性能实质上不低于的）服务方案，且此方案须经征集评审小组评审认可。</w:t>
      </w:r>
    </w:p>
    <w:p w14:paraId="3411F03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采购需求前附表</w:t>
      </w:r>
    </w:p>
    <w:tbl>
      <w:tblPr>
        <w:tblStyle w:val="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12"/>
        <w:gridCol w:w="5822"/>
      </w:tblGrid>
      <w:tr w14:paraId="357C8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17" w:type="dxa"/>
            <w:noWrap w:val="0"/>
            <w:vAlign w:val="top"/>
          </w:tcPr>
          <w:p w14:paraId="1EB80D1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序号</w:t>
            </w:r>
          </w:p>
        </w:tc>
        <w:tc>
          <w:tcPr>
            <w:tcW w:w="2312" w:type="dxa"/>
            <w:noWrap w:val="0"/>
            <w:vAlign w:val="top"/>
          </w:tcPr>
          <w:p w14:paraId="27EBCA0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条款名称</w:t>
            </w:r>
          </w:p>
        </w:tc>
        <w:tc>
          <w:tcPr>
            <w:tcW w:w="5822" w:type="dxa"/>
            <w:noWrap w:val="0"/>
            <w:vAlign w:val="top"/>
          </w:tcPr>
          <w:p w14:paraId="24C5598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center"/>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内容、说明与要求</w:t>
            </w:r>
          </w:p>
        </w:tc>
      </w:tr>
      <w:tr w14:paraId="26B18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3AA501B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2312" w:type="dxa"/>
            <w:noWrap w:val="0"/>
            <w:vAlign w:val="top"/>
          </w:tcPr>
          <w:p w14:paraId="5121C90B">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付款方式、时间和条件</w:t>
            </w:r>
          </w:p>
        </w:tc>
        <w:tc>
          <w:tcPr>
            <w:tcW w:w="5822" w:type="dxa"/>
            <w:noWrap w:val="0"/>
            <w:vAlign w:val="top"/>
          </w:tcPr>
          <w:p w14:paraId="0BFD2A5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合同生效后，中标供应商开具符合税务要求的增值税发票结算。</w:t>
            </w:r>
          </w:p>
        </w:tc>
      </w:tr>
      <w:tr w14:paraId="3E763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5997B85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2312" w:type="dxa"/>
            <w:noWrap w:val="0"/>
            <w:vAlign w:val="top"/>
          </w:tcPr>
          <w:p w14:paraId="2B396B8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30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服务</w:t>
            </w:r>
            <w:r>
              <w:rPr>
                <w:rFonts w:hint="eastAsia" w:ascii="宋体" w:hAnsi="宋体" w:eastAsia="宋体" w:cs="宋体"/>
                <w:sz w:val="24"/>
                <w:szCs w:val="24"/>
                <w:lang w:val="en-US" w:eastAsia="zh-CN"/>
              </w:rPr>
              <w:t>地点</w:t>
            </w:r>
          </w:p>
        </w:tc>
        <w:tc>
          <w:tcPr>
            <w:tcW w:w="5822" w:type="dxa"/>
            <w:noWrap w:val="0"/>
            <w:vAlign w:val="top"/>
          </w:tcPr>
          <w:p w14:paraId="5D46B88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en-US"/>
              </w:rPr>
            </w:pPr>
            <w:r>
              <w:rPr>
                <w:rFonts w:hint="eastAsia" w:ascii="宋体" w:hAnsi="宋体" w:eastAsia="宋体" w:cs="宋体"/>
                <w:sz w:val="24"/>
                <w:szCs w:val="24"/>
              </w:rPr>
              <w:t>征集人指定地点</w:t>
            </w:r>
          </w:p>
        </w:tc>
      </w:tr>
      <w:tr w14:paraId="14C6D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2526E4D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12" w:type="dxa"/>
            <w:noWrap w:val="0"/>
            <w:vAlign w:val="center"/>
          </w:tcPr>
          <w:p w14:paraId="64F689B7">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left="0" w:right="0" w:rightChars="0" w:firstLine="720" w:firstLineChars="30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en-US"/>
              </w:rPr>
              <w:t>期限</w:t>
            </w:r>
          </w:p>
        </w:tc>
        <w:tc>
          <w:tcPr>
            <w:tcW w:w="5822" w:type="dxa"/>
            <w:noWrap w:val="0"/>
            <w:vAlign w:val="center"/>
          </w:tcPr>
          <w:p w14:paraId="01FA80D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自框架协议签订之日起2年，一年一考核</w:t>
            </w:r>
          </w:p>
        </w:tc>
      </w:tr>
      <w:tr w14:paraId="095BE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17" w:type="dxa"/>
            <w:noWrap w:val="0"/>
            <w:vAlign w:val="top"/>
          </w:tcPr>
          <w:p w14:paraId="2DE27C8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312" w:type="dxa"/>
            <w:noWrap w:val="0"/>
            <w:vAlign w:val="top"/>
          </w:tcPr>
          <w:p w14:paraId="30B655A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采购标的名称</w:t>
            </w:r>
          </w:p>
        </w:tc>
        <w:tc>
          <w:tcPr>
            <w:tcW w:w="5822" w:type="dxa"/>
            <w:noWrap w:val="0"/>
            <w:vAlign w:val="top"/>
          </w:tcPr>
          <w:p w14:paraId="2A90ABE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z w:val="24"/>
                <w:szCs w:val="24"/>
              </w:rPr>
              <w:t>界首市机关事务管理服务中心公务车辆</w:t>
            </w:r>
            <w:r>
              <w:rPr>
                <w:rFonts w:hint="eastAsia" w:ascii="宋体" w:hAnsi="宋体" w:eastAsia="宋体" w:cs="宋体"/>
                <w:sz w:val="24"/>
                <w:szCs w:val="24"/>
                <w:lang w:val="en-US" w:eastAsia="zh-CN"/>
              </w:rPr>
              <w:t>保险</w:t>
            </w:r>
            <w:r>
              <w:rPr>
                <w:rFonts w:hint="eastAsia" w:ascii="宋体" w:hAnsi="宋体" w:eastAsia="宋体" w:cs="宋体"/>
                <w:sz w:val="24"/>
                <w:szCs w:val="24"/>
              </w:rPr>
              <w:t>服务框架协议采购</w:t>
            </w:r>
          </w:p>
        </w:tc>
      </w:tr>
    </w:tbl>
    <w:p w14:paraId="6528A8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二、项目概况</w:t>
      </w:r>
    </w:p>
    <w:p w14:paraId="518E726D">
      <w:pPr>
        <w:keepNext w:val="0"/>
        <w:keepLines w:val="0"/>
        <w:pageBreakBefore w:val="0"/>
        <w:widowControl/>
        <w:tabs>
          <w:tab w:val="left" w:pos="861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界首市机关事务管理服务中心公务车辆保险服务，承保单位应为投保单位提供车辆的交强险、机动车车辆损失险、第三者责任险、驾驶员及车上人员责任险、全车盗抢险、玻璃单独破碎险、自燃损失险、无法找到第三方责任险等及以上险种的不计免赔特约险。（以上险种仅做参考，各潜在供应商可根据自身优势报险种，但不得少于上述所列险种）。本次拟采购3家保险机构。</w:t>
      </w:r>
    </w:p>
    <w:p w14:paraId="6F65CBC3">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本次征集第一阶段将选定3家入围供应商，当合格供应商＞3家时，将确定得分前3名的供应商为入围供应商，当2≤合格供应商≤3家时，按淘汰比例不低于20%（且至少淘汰一家供应商）的原则确定入围供应商家数。</w:t>
      </w:r>
    </w:p>
    <w:p w14:paraId="31E91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三、服务需求</w:t>
      </w:r>
    </w:p>
    <w:p w14:paraId="1C0EFF4A">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1、服务范围</w:t>
      </w:r>
    </w:p>
    <w:p w14:paraId="1223F9A9">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入围供应商应为投保单位提供车辆的保险险种及限额： </w:t>
      </w:r>
    </w:p>
    <w:p w14:paraId="4A8FF0B4">
      <w:pPr>
        <w:keepNext w:val="0"/>
        <w:keepLines w:val="0"/>
        <w:pageBreakBefore w:val="0"/>
        <w:widowControl/>
        <w:numPr>
          <w:ilvl w:val="0"/>
          <w:numId w:val="0"/>
        </w:numPr>
        <w:tabs>
          <w:tab w:val="left" w:pos="9040"/>
        </w:tabs>
        <w:kinsoku w:val="0"/>
        <w:wordWrap/>
        <w:overflowPunct/>
        <w:topLinePunct w:val="0"/>
        <w:autoSpaceDE w:val="0"/>
        <w:autoSpaceDN w:val="0"/>
        <w:bidi w:val="0"/>
        <w:adjustRightInd w:val="0"/>
        <w:snapToGrid w:val="0"/>
        <w:spacing w:line="360" w:lineRule="auto"/>
        <w:ind w:right="0" w:rightChars="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交通事故责任强制险；（2）机动车车辆商业险服务；（3）车辆损失险(含玻璃单独破碎险、自燃损失险、全车盗抢险、无法找到第三方责任险等)；（4）第三者责任险保额不低于300万；（5）驾驶员及车上人员责任险每座保额不低于10万；（6）以上险种的不计免赔特约险。 </w:t>
      </w:r>
    </w:p>
    <w:p w14:paraId="2A6667B3">
      <w:pPr>
        <w:keepNext w:val="0"/>
        <w:keepLines w:val="0"/>
        <w:pageBreakBefore w:val="0"/>
        <w:widowControl/>
        <w:numPr>
          <w:ilvl w:val="0"/>
          <w:numId w:val="0"/>
        </w:numPr>
        <w:tabs>
          <w:tab w:val="left" w:pos="9040"/>
        </w:tabs>
        <w:kinsoku w:val="0"/>
        <w:wordWrap/>
        <w:overflowPunct/>
        <w:topLinePunct w:val="0"/>
        <w:autoSpaceDE w:val="0"/>
        <w:autoSpaceDN w:val="0"/>
        <w:bidi w:val="0"/>
        <w:adjustRightInd w:val="0"/>
        <w:snapToGrid w:val="0"/>
        <w:spacing w:line="360" w:lineRule="auto"/>
        <w:ind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以上险种仅做参考，不得少于上述所列险种，各潜在供应商可根据自身优势承保并给予充分的优惠报价。在参保车辆的保险责任期内，若入围的保险人的保险政策发生变动，应及时以书面形式通知投保人，投保人有权享受其优惠政策。除行业政策调整外，不利于投保人的新的车保条款，将被拒绝。</w:t>
      </w:r>
    </w:p>
    <w:p w14:paraId="64329F39">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入围供应商在入围后五日内做好应承保车辆具体情况的登记、测算和承保工作。本次采购项目潜在供应商应充分考虑影响车保保费、理赔的因素，车辆的类型、车龄、座位、车辆的价格部分等以及各险种投保的金额。 </w:t>
      </w:r>
    </w:p>
    <w:p w14:paraId="5FEFFC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2、服务要求 </w:t>
      </w:r>
    </w:p>
    <w:p w14:paraId="703DC1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保险责任：承保单位在保险合同期限内应同时承担以下保险责任：</w:t>
      </w:r>
    </w:p>
    <w:p w14:paraId="234D534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（1）成立专职机构：承保机构应成立公务车辆集中保险专职机构，专门为公务车辆承保、理赔、修理等方面提供优质服务，并免费提供车辆事故拖吊和技术援助。</w:t>
      </w:r>
    </w:p>
    <w:p w14:paraId="6E4C621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（2）落实专人优先制：保险公司必须安排专人办理公务车辆有关承保手续，送达保险资料等，享受承保优先的“畅通”服务。</w:t>
      </w:r>
    </w:p>
    <w:p w14:paraId="46B6C35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（3）专业联系跟踪制：保险公司应与被保险单位在保险期限内有计划的定期不定期的实行保险专业知识和风险管理方面的联系和交流。</w:t>
      </w:r>
    </w:p>
    <w:p w14:paraId="2B145F5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（4）新增车辆在收到通知后一个工作日内办理承保手续。</w:t>
      </w:r>
    </w:p>
    <w:p w14:paraId="66C6342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（5）投保车辆在报废后三个工作日内办理退保手续。</w:t>
      </w:r>
    </w:p>
    <w:p w14:paraId="1338B62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（6）车辆增减变化后三个工作日以书面形式向征集人提供报告。</w:t>
      </w:r>
    </w:p>
    <w:p w14:paraId="403F341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（7）现场查勘：保险承保机构在接到报案通知后应立即响应。</w:t>
      </w:r>
    </w:p>
    <w:p w14:paraId="007F2FE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8）出险现场在城区内的，要求在接到报案通知后的20分钟至1小时内到达现场进行查勘；异地出险的，承保机构应在2小时内到达现场进行查勘，同时要建立和完善委托其在当地的保险机构或公安交警部门进行现场查勘、检验定损的快捷制度。</w:t>
      </w:r>
    </w:p>
    <w:p w14:paraId="648D873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 (9)高效快速通道制：承保机构应24小时设有报案、救援和咨询服务电话，发生保险责任范围内的事故后，应立即响应，保证在第一时间赶到现场查勘，并及时办理理赔服务。 </w:t>
      </w:r>
    </w:p>
    <w:p w14:paraId="5567115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(10)专人理赔负责制：每个理赔案都有专门理赔人员负责，要求在规定赔款时效内完成赔付。 </w:t>
      </w:r>
    </w:p>
    <w:p w14:paraId="2796BD8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(11)预付赔款：重大赔案由于客观原因不能及时结案，承保机构须根据事故责任认定及初步定损情况和车属单位的要求，作出预付，以解决事故急需。 </w:t>
      </w:r>
    </w:p>
    <w:p w14:paraId="6122D5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(12) 预付医疗费：凡车辆发生事故，造成人员受伤的，按《中华人民共和国道路交通安全法》第75条“由保险公司在责任限额范围内支付抢救费用的”规定，保险承保机构必须立即支付伤者抢救费用。 </w:t>
      </w:r>
    </w:p>
    <w:p w14:paraId="15172B9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(13)代理结算：对责任清楚、损失明确的出险案件，承保机构可根据被保险单位的委托在赔款金额范围内代为结算修理费用。 </w:t>
      </w:r>
    </w:p>
    <w:p w14:paraId="3793C10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(14)在承保和理赔结算中如有异议，承保机构和投保单位应共同协商确定理赔。对事故造成的财产损失有争议时，按照《交通事故处理程序规定》第四十条第三款规定，应当由具有评估资格的评估机构评估。 </w:t>
      </w:r>
    </w:p>
    <w:p w14:paraId="1A8A2B2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(15) 承保机构负责向被保险单位提供机动车辆维修技术、配件价格等方面的咨询服务。</w:t>
      </w:r>
    </w:p>
    <w:p w14:paraId="1A3C5E1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2" w:firstLineChars="1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(16)为被保险单位车辆事故处理提供法律援助。被保险车辆发生保险责任范围内的事故，与其他事主发生法律纠纷时，承保机构有义务聘请法律专家代为办理有关诉讼事宜，由此所发生的费用均由承保机构承担。</w:t>
      </w:r>
    </w:p>
    <w:p w14:paraId="360E4D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四、报价要求 </w:t>
      </w:r>
    </w:p>
    <w:p w14:paraId="2F1A90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1、本项目报价包括本次服务全部的费用，报价方式采用商业险综合费率报价，最高限制单价90%，本次响应报价费率不包含交强险。本项目报价为优惠后费率，供应商如优惠40%，则投标报价为费率60%。</w:t>
      </w:r>
    </w:p>
    <w:p w14:paraId="1278618A">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本项目最终结算方式以征集人与入围供应商签订的合同约定为准，并作为项目最终结算依据，履约期内公务用车定点保险实际结算费用=实际商业险综合费用*成交费率+交强险（如：入围供应商成交费率为60%，则履约期内实际结算费用=实际商业险综合费用*60%+交强险）。此次报价均为含税价。</w:t>
      </w:r>
    </w:p>
    <w:p w14:paraId="22245FF0">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本项目投标报价必须包括征集范围内所有服务所需的一切人员工资（含人员工资、福利、加班、保险、培训、服装等其他费用）各种社会保险、管理费、税费，完成合同所需的一切本身和不可或缺的所有工作开支，并承担一切风险责任，在合同服务期间内不得违反国家相关政策规定。</w:t>
      </w:r>
    </w:p>
    <w:p w14:paraId="680523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五、其他要求 </w:t>
      </w:r>
    </w:p>
    <w:p w14:paraId="059991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1、交强险严格按照《中华人民共和国保险法》《机动车交通事故责任强制保险条例》 《机动车交通事故责任强制保险条款》等有关法律、法规的规定执行。</w:t>
      </w:r>
    </w:p>
    <w:p w14:paraId="5DF34F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2、入围供应商在项目实施、验收期间应接受征集人管理，同时应采取严格的安全措施，承担由于自身原因所造成的事故责任及其发生的一切费用。 </w:t>
      </w:r>
    </w:p>
    <w:p w14:paraId="32B40A14">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第四章 评审方法和标准（质量优先法）</w:t>
      </w:r>
    </w:p>
    <w:p w14:paraId="5EAE14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评审</w:t>
      </w:r>
      <w:r>
        <w:rPr>
          <w:rFonts w:hint="eastAsia" w:ascii="宋体" w:hAnsi="宋体" w:eastAsia="宋体" w:cs="宋体"/>
          <w:b/>
          <w:bCs/>
          <w:color w:val="auto"/>
          <w:sz w:val="24"/>
          <w:szCs w:val="24"/>
        </w:rPr>
        <w:t>原则</w:t>
      </w:r>
    </w:p>
    <w:p w14:paraId="73E681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根据《中华人民共和国政府采购法》及相关法律法规的关规定，在坚持公平、公正、科学、择优的原则基础上，由评标委员会根据征集文件载明的</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办法和标准，对供应商进行综合评定。</w:t>
      </w:r>
    </w:p>
    <w:p w14:paraId="1E937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二、评标委员会的组成</w:t>
      </w:r>
    </w:p>
    <w:p w14:paraId="679CC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征集人依</w:t>
      </w:r>
      <w:r>
        <w:rPr>
          <w:rFonts w:hint="eastAsia" w:ascii="宋体" w:hAnsi="宋体" w:eastAsia="宋体" w:cs="宋体"/>
          <w:color w:val="auto"/>
          <w:sz w:val="24"/>
          <w:szCs w:val="24"/>
        </w:rPr>
        <w:t>法组建评标委员会，评标委员会由征集人和评标专家库中随机抽取的技</w:t>
      </w:r>
      <w:r>
        <w:rPr>
          <w:rFonts w:hint="eastAsia" w:ascii="宋体" w:hAnsi="宋体" w:eastAsia="宋体" w:cs="宋体"/>
          <w:color w:val="auto"/>
          <w:spacing w:val="-1"/>
          <w:sz w:val="24"/>
          <w:szCs w:val="24"/>
        </w:rPr>
        <w:t>术、经济</w:t>
      </w:r>
      <w:r>
        <w:rPr>
          <w:rFonts w:hint="eastAsia" w:ascii="宋体" w:hAnsi="宋体" w:eastAsia="宋体" w:cs="宋体"/>
          <w:color w:val="auto"/>
          <w:sz w:val="24"/>
          <w:szCs w:val="24"/>
        </w:rPr>
        <w:t>等有关方面的专家组成，成员人数为五人以上单数，其中技术、经济等方面</w:t>
      </w:r>
      <w:r>
        <w:rPr>
          <w:rFonts w:hint="eastAsia" w:ascii="宋体" w:hAnsi="宋体" w:eastAsia="宋体" w:cs="宋体"/>
          <w:color w:val="auto"/>
          <w:spacing w:val="-1"/>
          <w:sz w:val="24"/>
          <w:szCs w:val="24"/>
        </w:rPr>
        <w:t>的专家不</w:t>
      </w:r>
      <w:r>
        <w:rPr>
          <w:rFonts w:hint="eastAsia" w:ascii="宋体" w:hAnsi="宋体" w:eastAsia="宋体" w:cs="宋体"/>
          <w:color w:val="auto"/>
          <w:sz w:val="24"/>
          <w:szCs w:val="24"/>
        </w:rPr>
        <w:t>得少于成员总数的三分之二。有《中华人民共和国政府采购法实施条例》中</w:t>
      </w:r>
      <w:r>
        <w:rPr>
          <w:rFonts w:hint="eastAsia" w:ascii="宋体" w:hAnsi="宋体" w:eastAsia="宋体" w:cs="宋体"/>
          <w:color w:val="auto"/>
          <w:spacing w:val="-2"/>
          <w:sz w:val="24"/>
          <w:szCs w:val="24"/>
        </w:rPr>
        <w:t>第九条规定情形中的专家及征集人评委应当</w:t>
      </w:r>
      <w:r>
        <w:rPr>
          <w:rFonts w:hint="eastAsia" w:ascii="宋体" w:hAnsi="宋体" w:eastAsia="宋体" w:cs="宋体"/>
          <w:color w:val="auto"/>
          <w:spacing w:val="-1"/>
          <w:sz w:val="24"/>
          <w:szCs w:val="24"/>
        </w:rPr>
        <w:t>回避不能担任评委。</w:t>
      </w:r>
    </w:p>
    <w:p w14:paraId="446E5F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val="en-US" w:eastAsia="zh-CN"/>
        </w:rPr>
        <w:t>评审</w:t>
      </w:r>
      <w:r>
        <w:rPr>
          <w:rFonts w:hint="eastAsia" w:ascii="宋体" w:hAnsi="宋体" w:eastAsia="宋体" w:cs="宋体"/>
          <w:b/>
          <w:bCs/>
          <w:color w:val="auto"/>
          <w:sz w:val="24"/>
          <w:szCs w:val="24"/>
        </w:rPr>
        <w:t>办法</w:t>
      </w:r>
    </w:p>
    <w:p w14:paraId="671A2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6"/>
          <w:sz w:val="24"/>
          <w:szCs w:val="24"/>
        </w:rPr>
        <w:t>根</w:t>
      </w:r>
      <w:r>
        <w:rPr>
          <w:rFonts w:hint="eastAsia" w:ascii="宋体" w:hAnsi="宋体" w:eastAsia="宋体" w:cs="宋体"/>
          <w:color w:val="auto"/>
          <w:spacing w:val="-21"/>
          <w:sz w:val="24"/>
          <w:szCs w:val="24"/>
        </w:rPr>
        <w:t>据</w:t>
      </w:r>
      <w:r>
        <w:rPr>
          <w:rFonts w:hint="eastAsia" w:ascii="宋体" w:hAnsi="宋体" w:eastAsia="宋体" w:cs="宋体"/>
          <w:color w:val="auto"/>
          <w:spacing w:val="-13"/>
          <w:sz w:val="24"/>
          <w:szCs w:val="24"/>
        </w:rPr>
        <w:t>中华人民共和国财政部令第110号《政府采购框架协议采购方式管理暂行办法》</w:t>
      </w:r>
      <w:r>
        <w:rPr>
          <w:rFonts w:hint="eastAsia" w:ascii="宋体" w:hAnsi="宋体" w:eastAsia="宋体" w:cs="宋体"/>
          <w:color w:val="auto"/>
          <w:spacing w:val="-1"/>
          <w:sz w:val="24"/>
          <w:szCs w:val="24"/>
        </w:rPr>
        <w:t>的相关规定，确定第一阶段入围供应</w:t>
      </w:r>
      <w:r>
        <w:rPr>
          <w:rFonts w:hint="eastAsia" w:ascii="宋体" w:hAnsi="宋体" w:eastAsia="宋体" w:cs="宋体"/>
          <w:color w:val="auto"/>
          <w:sz w:val="24"/>
          <w:szCs w:val="24"/>
        </w:rPr>
        <w:t>商的评审方法为质量优先法，对满足征集文件采</w:t>
      </w:r>
      <w:r>
        <w:rPr>
          <w:rFonts w:hint="eastAsia" w:ascii="宋体" w:hAnsi="宋体" w:eastAsia="宋体" w:cs="宋体"/>
          <w:color w:val="auto"/>
          <w:spacing w:val="-1"/>
          <w:sz w:val="24"/>
          <w:szCs w:val="24"/>
        </w:rPr>
        <w:t>购需求全部实质性要求且响应报价不</w:t>
      </w:r>
      <w:r>
        <w:rPr>
          <w:rFonts w:hint="eastAsia" w:ascii="宋体" w:hAnsi="宋体" w:eastAsia="宋体" w:cs="宋体"/>
          <w:color w:val="auto"/>
          <w:sz w:val="24"/>
          <w:szCs w:val="24"/>
        </w:rPr>
        <w:t>超过最高限制单价的服务进行质量综合评分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w:t>
      </w:r>
      <w:r>
        <w:rPr>
          <w:rFonts w:hint="eastAsia" w:ascii="宋体" w:hAnsi="宋体" w:eastAsia="宋体" w:cs="宋体"/>
          <w:color w:val="auto"/>
          <w:spacing w:val="-1"/>
          <w:sz w:val="24"/>
          <w:szCs w:val="24"/>
        </w:rPr>
        <w:t>照质量评分从高到低排序，根据征集</w:t>
      </w:r>
      <w:r>
        <w:rPr>
          <w:rFonts w:hint="eastAsia" w:ascii="宋体" w:hAnsi="宋体" w:eastAsia="宋体" w:cs="宋体"/>
          <w:color w:val="auto"/>
          <w:sz w:val="24"/>
          <w:szCs w:val="24"/>
        </w:rPr>
        <w:t>文件规定的入围供应商数量上限，确定入围供应</w:t>
      </w:r>
      <w:r>
        <w:rPr>
          <w:rFonts w:hint="eastAsia" w:ascii="宋体" w:hAnsi="宋体" w:eastAsia="宋体" w:cs="宋体"/>
          <w:color w:val="auto"/>
          <w:spacing w:val="-8"/>
          <w:sz w:val="24"/>
          <w:szCs w:val="24"/>
        </w:rPr>
        <w:t>商。服务</w:t>
      </w:r>
      <w:r>
        <w:rPr>
          <w:rFonts w:hint="eastAsia" w:ascii="宋体" w:hAnsi="宋体" w:eastAsia="宋体" w:cs="宋体"/>
          <w:color w:val="auto"/>
          <w:spacing w:val="-4"/>
          <w:sz w:val="24"/>
          <w:szCs w:val="24"/>
        </w:rPr>
        <w:t>项目质量因素包括服务内容、服务水平、供应商的履约能力、服务经验等。</w:t>
      </w:r>
    </w:p>
    <w:p w14:paraId="1F6FB3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四、评审程序</w:t>
      </w:r>
    </w:p>
    <w:p w14:paraId="04B8AA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6"/>
          <w:sz w:val="24"/>
          <w:szCs w:val="24"/>
        </w:rPr>
        <w:t>4.1.1 资格评审(资格后审)：征集人或采购代理机构依据法律法规和征集文件的规定，对供应商进行资格性审查，以确定供应商是否具备</w:t>
      </w:r>
      <w:r>
        <w:rPr>
          <w:rFonts w:hint="eastAsia" w:ascii="宋体" w:hAnsi="宋体" w:eastAsia="宋体" w:cs="宋体"/>
          <w:color w:val="auto"/>
          <w:spacing w:val="-26"/>
          <w:sz w:val="24"/>
          <w:szCs w:val="24"/>
          <w:lang w:val="en-US" w:eastAsia="zh-CN"/>
        </w:rPr>
        <w:t>响应</w:t>
      </w:r>
      <w:r>
        <w:rPr>
          <w:rFonts w:hint="eastAsia" w:ascii="宋体" w:hAnsi="宋体" w:eastAsia="宋体" w:cs="宋体"/>
          <w:color w:val="auto"/>
          <w:spacing w:val="-26"/>
          <w:sz w:val="24"/>
          <w:szCs w:val="24"/>
        </w:rPr>
        <w:t>资格。(详见资格审查表) 合格供应商不足2家的，不得</w:t>
      </w:r>
      <w:r>
        <w:rPr>
          <w:rFonts w:hint="eastAsia" w:ascii="宋体" w:hAnsi="宋体" w:eastAsia="宋体" w:cs="宋体"/>
          <w:color w:val="auto"/>
          <w:spacing w:val="-26"/>
          <w:sz w:val="24"/>
          <w:szCs w:val="24"/>
          <w:lang w:val="en-US" w:eastAsia="zh-CN"/>
        </w:rPr>
        <w:t>评审</w:t>
      </w:r>
      <w:r>
        <w:rPr>
          <w:rFonts w:hint="eastAsia" w:ascii="宋体" w:hAnsi="宋体" w:eastAsia="宋体" w:cs="宋体"/>
          <w:color w:val="auto"/>
          <w:spacing w:val="-26"/>
          <w:sz w:val="24"/>
          <w:szCs w:val="24"/>
        </w:rPr>
        <w:t>。</w:t>
      </w:r>
    </w:p>
    <w:p w14:paraId="71AD18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b/>
          <w:bCs/>
          <w:color w:val="auto"/>
          <w:spacing w:val="-7"/>
          <w:sz w:val="24"/>
          <w:szCs w:val="24"/>
        </w:rPr>
      </w:pPr>
      <w:r>
        <w:rPr>
          <w:rFonts w:hint="eastAsia" w:ascii="宋体" w:hAnsi="宋体" w:eastAsia="宋体" w:cs="宋体"/>
          <w:color w:val="auto"/>
          <w:spacing w:val="-26"/>
          <w:sz w:val="24"/>
          <w:szCs w:val="24"/>
        </w:rPr>
        <w:t>4.1.2 初步评审</w:t>
      </w:r>
    </w:p>
    <w:p w14:paraId="193B77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符合性检查。依据征集文件</w:t>
      </w:r>
      <w:r>
        <w:rPr>
          <w:rFonts w:hint="eastAsia" w:ascii="宋体" w:hAnsi="宋体" w:eastAsia="宋体" w:cs="宋体"/>
          <w:color w:val="auto"/>
          <w:sz w:val="24"/>
          <w:szCs w:val="24"/>
        </w:rPr>
        <w:t>的规定，从征集响应文件的有效性、完整性和对征集</w:t>
      </w:r>
      <w:r>
        <w:rPr>
          <w:rFonts w:hint="eastAsia" w:ascii="宋体" w:hAnsi="宋体" w:eastAsia="宋体" w:cs="宋体"/>
          <w:color w:val="auto"/>
          <w:spacing w:val="-1"/>
          <w:sz w:val="24"/>
          <w:szCs w:val="24"/>
        </w:rPr>
        <w:t>文件的响应程度进行审</w:t>
      </w:r>
      <w:r>
        <w:rPr>
          <w:rFonts w:hint="eastAsia" w:ascii="宋体" w:hAnsi="宋体" w:eastAsia="宋体" w:cs="宋体"/>
          <w:color w:val="auto"/>
          <w:sz w:val="24"/>
          <w:szCs w:val="24"/>
        </w:rPr>
        <w:t>查，以确定是否对征集文件的实质性要求作出响应。征集响应</w:t>
      </w:r>
      <w:r>
        <w:rPr>
          <w:rFonts w:hint="eastAsia" w:ascii="宋体" w:hAnsi="宋体" w:eastAsia="宋体" w:cs="宋体"/>
          <w:color w:val="auto"/>
          <w:spacing w:val="1"/>
          <w:sz w:val="24"/>
          <w:szCs w:val="24"/>
        </w:rPr>
        <w:t>文件报价出现前后不一致的，按照下列规</w:t>
      </w:r>
      <w:r>
        <w:rPr>
          <w:rFonts w:hint="eastAsia" w:ascii="宋体" w:hAnsi="宋体" w:eastAsia="宋体" w:cs="宋体"/>
          <w:color w:val="auto"/>
          <w:sz w:val="24"/>
          <w:szCs w:val="24"/>
        </w:rPr>
        <w:t>定修正:</w:t>
      </w:r>
    </w:p>
    <w:p w14:paraId="52BA7C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(1)征集响应文件中开标一览表(报价表)内容与征集响应文件中相应内容不一致的，以开标一览表(报价表)为准；</w:t>
      </w:r>
    </w:p>
    <w:p w14:paraId="0ACC3F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(2)征集响应文件的大写金额和小写金额不一致的，以大写金额为准；</w:t>
      </w:r>
    </w:p>
    <w:p w14:paraId="28CE36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(3)总价金额与按单价汇总金额不一致的，以单价金额计算结果为准；</w:t>
      </w:r>
    </w:p>
    <w:p w14:paraId="00797F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(4)单价金额小数点或者百分比有明显错位的，以开标一览表的总价为准，并修改单价；</w:t>
      </w:r>
    </w:p>
    <w:p w14:paraId="63A820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(5)对不同文字文本征集响应文件的解释发生异议的，以中文文本为准。</w:t>
      </w:r>
    </w:p>
    <w:p w14:paraId="692ACD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8" w:firstLineChars="200"/>
        <w:textAlignment w:val="baseline"/>
        <w:rPr>
          <w:rFonts w:hint="eastAsia" w:ascii="宋体" w:hAnsi="宋体" w:eastAsia="宋体" w:cs="宋体"/>
          <w:b/>
          <w:bCs/>
          <w:color w:val="auto"/>
          <w:spacing w:val="-7"/>
          <w:sz w:val="24"/>
          <w:szCs w:val="24"/>
        </w:rPr>
      </w:pPr>
      <w:r>
        <w:rPr>
          <w:rFonts w:hint="eastAsia" w:ascii="宋体" w:hAnsi="宋体" w:eastAsia="宋体" w:cs="宋体"/>
          <w:b/>
          <w:bCs/>
          <w:color w:val="auto"/>
          <w:spacing w:val="-1"/>
          <w:sz w:val="24"/>
          <w:szCs w:val="24"/>
        </w:rPr>
        <w:t>供应商拒不按照要求对征集响应文件进行澄清、说明或者补正的，或者对报价修正不确认的，评标委员会可以否决其</w:t>
      </w:r>
      <w:r>
        <w:rPr>
          <w:rFonts w:hint="eastAsia" w:ascii="宋体" w:hAnsi="宋体" w:eastAsia="宋体" w:cs="宋体"/>
          <w:b/>
          <w:bCs/>
          <w:color w:val="auto"/>
          <w:spacing w:val="-1"/>
          <w:sz w:val="24"/>
          <w:szCs w:val="24"/>
          <w:lang w:val="en-US" w:eastAsia="zh-CN"/>
        </w:rPr>
        <w:t>响应</w:t>
      </w:r>
      <w:r>
        <w:rPr>
          <w:rFonts w:hint="eastAsia" w:ascii="宋体" w:hAnsi="宋体" w:eastAsia="宋体" w:cs="宋体"/>
          <w:b/>
          <w:bCs/>
          <w:color w:val="auto"/>
          <w:spacing w:val="-1"/>
          <w:sz w:val="24"/>
          <w:szCs w:val="24"/>
        </w:rPr>
        <w:t>。</w:t>
      </w:r>
    </w:p>
    <w:p w14:paraId="4B2327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4.1.3 比较与评价。</w:t>
      </w:r>
    </w:p>
    <w:p w14:paraId="633737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按征集文件中规定的评标方法和标准，对资格性检查和符合性检查合格的征集响应文件进行商务和技术等其他因素的评估，综合比较与评价。</w:t>
      </w:r>
    </w:p>
    <w:p w14:paraId="0D29C2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4.1.4 确定入围供应商。</w:t>
      </w:r>
    </w:p>
    <w:p w14:paraId="59B3F9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确定第一阶段入围供应商时，对满足采购需求且通过初审的供应商服务进行质量综合评分。确定第一阶段入围供应商时，提交响应文件和符合资格条件、实质性要求的供应商应当均不少于2家，淘汰比例一般不得低于20%，且至少淘汰一家供应商。</w:t>
      </w:r>
    </w:p>
    <w:p w14:paraId="03FBFB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4.2 评标细则</w:t>
      </w:r>
    </w:p>
    <w:p w14:paraId="5EAE2D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4.2.1本项目在供应商须知前附表里设最高限价，</w:t>
      </w:r>
      <w:r>
        <w:rPr>
          <w:rFonts w:hint="eastAsia" w:ascii="宋体" w:hAnsi="宋体" w:eastAsia="宋体" w:cs="宋体"/>
          <w:color w:val="auto"/>
          <w:spacing w:val="-1"/>
          <w:sz w:val="24"/>
          <w:szCs w:val="24"/>
          <w:lang w:val="en-US" w:eastAsia="zh-CN"/>
        </w:rPr>
        <w:t>响应</w:t>
      </w:r>
      <w:r>
        <w:rPr>
          <w:rFonts w:hint="eastAsia" w:ascii="宋体" w:hAnsi="宋体" w:eastAsia="宋体" w:cs="宋体"/>
          <w:color w:val="auto"/>
          <w:spacing w:val="-1"/>
          <w:sz w:val="24"/>
          <w:szCs w:val="24"/>
        </w:rPr>
        <w:t>报价高于最高限价或由评标委员会认定低于成本价的，其报价无效。</w:t>
      </w:r>
    </w:p>
    <w:p w14:paraId="3C954A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4.2.2有效报价指通过了资格后审及初步评审，并对评标委员会提出的澄清、说明或者纠正以书面的形式提交了澄清、说明或者补正的</w:t>
      </w:r>
      <w:r>
        <w:rPr>
          <w:rFonts w:hint="eastAsia" w:ascii="宋体" w:hAnsi="宋体" w:eastAsia="宋体" w:cs="宋体"/>
          <w:color w:val="auto"/>
          <w:spacing w:val="-1"/>
          <w:sz w:val="24"/>
          <w:szCs w:val="24"/>
          <w:lang w:val="en-US" w:eastAsia="zh-CN"/>
        </w:rPr>
        <w:t>供应商</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lang w:val="en-US" w:eastAsia="zh-CN"/>
        </w:rPr>
        <w:t>响应</w:t>
      </w:r>
      <w:r>
        <w:rPr>
          <w:rFonts w:hint="eastAsia" w:ascii="宋体" w:hAnsi="宋体" w:eastAsia="宋体" w:cs="宋体"/>
          <w:color w:val="auto"/>
          <w:spacing w:val="-1"/>
          <w:sz w:val="24"/>
          <w:szCs w:val="24"/>
        </w:rPr>
        <w:t>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供应商应自行考虑自身报价情况提前准备证明材料，以备递交评标委员会)，同时提交相关证明材料；供应商不能证明其报价合理性的，评标委员会应当将其作为无效标处理。</w:t>
      </w:r>
    </w:p>
    <w:p w14:paraId="0F13DA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sectPr>
          <w:footerReference r:id="rId9" w:type="default"/>
          <w:pgSz w:w="11921" w:h="16851"/>
          <w:pgMar w:top="1236" w:right="1468" w:bottom="1242" w:left="1417" w:header="0" w:footer="1303" w:gutter="0"/>
          <w:pgNumType w:fmt="decimal"/>
          <w:cols w:space="720" w:num="1"/>
        </w:sectPr>
      </w:pPr>
      <w:r>
        <w:rPr>
          <w:rFonts w:hint="eastAsia" w:ascii="宋体" w:hAnsi="宋体" w:eastAsia="宋体" w:cs="宋体"/>
          <w:color w:val="auto"/>
          <w:spacing w:val="-1"/>
          <w:sz w:val="24"/>
          <w:szCs w:val="24"/>
        </w:rPr>
        <w:t>4.2.3 以上两条适用于投标时需报价的情形，如无需报价则不采用。</w:t>
      </w:r>
    </w:p>
    <w:p w14:paraId="3AC494D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五、评分标准及因素</w:t>
      </w:r>
    </w:p>
    <w:p w14:paraId="6CFC369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5.1 初审</w:t>
      </w:r>
    </w:p>
    <w:p w14:paraId="2A238EE3">
      <w:pPr>
        <w:keepNext w:val="0"/>
        <w:keepLines w:val="0"/>
        <w:pageBreakBefore w:val="0"/>
        <w:widowControl/>
        <w:kinsoku w:val="0"/>
        <w:wordWrap/>
        <w:overflowPunct/>
        <w:topLinePunct w:val="0"/>
        <w:autoSpaceDE w:val="0"/>
        <w:autoSpaceDN w:val="0"/>
        <w:bidi w:val="0"/>
        <w:adjustRightInd/>
        <w:snapToGrid/>
        <w:spacing w:line="360" w:lineRule="auto"/>
        <w:ind w:left="239" w:leftChars="114" w:right="0" w:firstLine="238" w:firstLineChars="1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初审表如下：</w:t>
      </w:r>
    </w:p>
    <w:p w14:paraId="73D81676">
      <w:pPr>
        <w:spacing w:line="108" w:lineRule="auto"/>
        <w:rPr>
          <w:rFonts w:ascii="Arial"/>
          <w:color w:val="auto"/>
          <w:sz w:val="2"/>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645"/>
        <w:gridCol w:w="2258"/>
        <w:gridCol w:w="4482"/>
      </w:tblGrid>
      <w:tr w14:paraId="4472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109" w:type="dxa"/>
            <w:gridSpan w:val="4"/>
            <w:noWrap w:val="0"/>
            <w:vAlign w:val="top"/>
          </w:tcPr>
          <w:p w14:paraId="6406472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4"/>
                <w:szCs w:val="24"/>
                <w:lang w:eastAsia="en-US"/>
              </w:rPr>
            </w:pPr>
            <w:r>
              <w:rPr>
                <w:rFonts w:hint="eastAsia" w:ascii="宋体" w:hAnsi="宋体" w:eastAsia="宋体" w:cs="宋体"/>
                <w:b/>
                <w:bCs/>
                <w:snapToGrid w:val="0"/>
                <w:color w:val="auto"/>
                <w:spacing w:val="-1"/>
                <w:kern w:val="0"/>
                <w:sz w:val="24"/>
                <w:szCs w:val="24"/>
                <w:lang w:val="en-US" w:eastAsia="zh-CN"/>
              </w:rPr>
              <w:t>资格审查</w:t>
            </w:r>
            <w:r>
              <w:rPr>
                <w:rFonts w:hint="eastAsia" w:ascii="宋体" w:hAnsi="宋体" w:eastAsia="宋体" w:cs="宋体"/>
                <w:b/>
                <w:bCs/>
                <w:snapToGrid w:val="0"/>
                <w:color w:val="auto"/>
                <w:spacing w:val="-1"/>
                <w:kern w:val="0"/>
                <w:sz w:val="24"/>
                <w:szCs w:val="24"/>
                <w:lang w:eastAsia="en-US"/>
              </w:rPr>
              <w:t>表</w:t>
            </w:r>
          </w:p>
        </w:tc>
      </w:tr>
      <w:tr w14:paraId="3217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noWrap w:val="0"/>
            <w:vAlign w:val="center"/>
          </w:tcPr>
          <w:p w14:paraId="60BDE8B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2"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序号</w:t>
            </w:r>
          </w:p>
        </w:tc>
        <w:tc>
          <w:tcPr>
            <w:tcW w:w="1645" w:type="dxa"/>
            <w:noWrap w:val="0"/>
            <w:vAlign w:val="center"/>
          </w:tcPr>
          <w:p w14:paraId="02043FA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评审指标</w:t>
            </w:r>
          </w:p>
        </w:tc>
        <w:tc>
          <w:tcPr>
            <w:tcW w:w="2258" w:type="dxa"/>
            <w:tcBorders>
              <w:right w:val="single" w:color="000000" w:sz="6" w:space="0"/>
            </w:tcBorders>
            <w:noWrap w:val="0"/>
            <w:vAlign w:val="center"/>
          </w:tcPr>
          <w:p w14:paraId="6FACBB3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0"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评审标准</w:t>
            </w:r>
          </w:p>
        </w:tc>
        <w:tc>
          <w:tcPr>
            <w:tcW w:w="4482" w:type="dxa"/>
            <w:tcBorders>
              <w:left w:val="single" w:color="000000" w:sz="6" w:space="0"/>
            </w:tcBorders>
            <w:noWrap w:val="0"/>
            <w:vAlign w:val="center"/>
          </w:tcPr>
          <w:p w14:paraId="3021CB2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5" w:right="0" w:firstLine="238" w:firstLineChars="10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格式及材料要求</w:t>
            </w:r>
          </w:p>
        </w:tc>
      </w:tr>
      <w:tr w14:paraId="036BF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24" w:type="dxa"/>
            <w:noWrap w:val="0"/>
            <w:vAlign w:val="center"/>
          </w:tcPr>
          <w:p w14:paraId="5402E4F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1</w:t>
            </w:r>
          </w:p>
        </w:tc>
        <w:tc>
          <w:tcPr>
            <w:tcW w:w="1645" w:type="dxa"/>
            <w:noWrap w:val="0"/>
            <w:vAlign w:val="center"/>
          </w:tcPr>
          <w:p w14:paraId="325F5CF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营业执照</w:t>
            </w:r>
          </w:p>
        </w:tc>
        <w:tc>
          <w:tcPr>
            <w:tcW w:w="2258" w:type="dxa"/>
            <w:tcBorders>
              <w:right w:val="single" w:color="000000" w:sz="6" w:space="0"/>
            </w:tcBorders>
            <w:noWrap w:val="0"/>
            <w:vAlign w:val="center"/>
          </w:tcPr>
          <w:p w14:paraId="770394C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合法有效</w:t>
            </w:r>
          </w:p>
        </w:tc>
        <w:tc>
          <w:tcPr>
            <w:tcW w:w="4482" w:type="dxa"/>
            <w:vMerge w:val="restart"/>
            <w:tcBorders>
              <w:left w:val="single" w:color="000000" w:sz="6" w:space="0"/>
            </w:tcBorders>
            <w:noWrap w:val="0"/>
            <w:vAlign w:val="top"/>
          </w:tcPr>
          <w:p w14:paraId="17CB7C6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lang w:eastAsia="en-US"/>
              </w:rPr>
            </w:pPr>
            <w:r>
              <w:rPr>
                <w:rFonts w:hint="eastAsia" w:ascii="宋体" w:hAnsi="宋体" w:eastAsia="宋体" w:cs="宋体"/>
                <w:snapToGrid w:val="0"/>
                <w:color w:val="auto"/>
                <w:spacing w:val="-1"/>
                <w:kern w:val="0"/>
                <w:sz w:val="24"/>
                <w:szCs w:val="24"/>
                <w:lang w:eastAsia="en-US"/>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p>
        </w:tc>
      </w:tr>
      <w:tr w14:paraId="71434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724" w:type="dxa"/>
            <w:noWrap w:val="0"/>
            <w:vAlign w:val="center"/>
          </w:tcPr>
          <w:p w14:paraId="5975904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2</w:t>
            </w:r>
          </w:p>
        </w:tc>
        <w:tc>
          <w:tcPr>
            <w:tcW w:w="1645" w:type="dxa"/>
            <w:noWrap w:val="0"/>
            <w:vAlign w:val="center"/>
          </w:tcPr>
          <w:p w14:paraId="3502003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税务登记证</w:t>
            </w:r>
          </w:p>
        </w:tc>
        <w:tc>
          <w:tcPr>
            <w:tcW w:w="2258" w:type="dxa"/>
            <w:tcBorders>
              <w:right w:val="single" w:color="000000" w:sz="6" w:space="0"/>
            </w:tcBorders>
            <w:noWrap w:val="0"/>
            <w:vAlign w:val="center"/>
          </w:tcPr>
          <w:p w14:paraId="4FFD7A5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合法有效</w:t>
            </w:r>
          </w:p>
        </w:tc>
        <w:tc>
          <w:tcPr>
            <w:tcW w:w="4482" w:type="dxa"/>
            <w:vMerge w:val="continue"/>
            <w:tcBorders>
              <w:top w:val="nil"/>
              <w:left w:val="single" w:color="000000" w:sz="6" w:space="0"/>
            </w:tcBorders>
            <w:noWrap w:val="0"/>
            <w:vAlign w:val="top"/>
          </w:tcPr>
          <w:p w14:paraId="59358B2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lang w:eastAsia="en-US"/>
              </w:rPr>
            </w:pPr>
          </w:p>
        </w:tc>
      </w:tr>
      <w:tr w14:paraId="4A9E0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724" w:type="dxa"/>
            <w:noWrap w:val="0"/>
            <w:vAlign w:val="center"/>
          </w:tcPr>
          <w:p w14:paraId="5EE9F5C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3</w:t>
            </w:r>
          </w:p>
        </w:tc>
        <w:tc>
          <w:tcPr>
            <w:tcW w:w="1645" w:type="dxa"/>
            <w:noWrap w:val="0"/>
            <w:vAlign w:val="center"/>
          </w:tcPr>
          <w:p w14:paraId="436AD97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无重大违法记录声明函、无不良信用记录声明函</w:t>
            </w:r>
          </w:p>
        </w:tc>
        <w:tc>
          <w:tcPr>
            <w:tcW w:w="2258" w:type="dxa"/>
            <w:tcBorders>
              <w:right w:val="single" w:color="000000" w:sz="6" w:space="0"/>
            </w:tcBorders>
            <w:noWrap w:val="0"/>
            <w:vAlign w:val="center"/>
          </w:tcPr>
          <w:p w14:paraId="1F42482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482" w:type="dxa"/>
            <w:tcBorders>
              <w:left w:val="single" w:color="000000" w:sz="6" w:space="0"/>
            </w:tcBorders>
            <w:noWrap w:val="0"/>
            <w:vAlign w:val="center"/>
          </w:tcPr>
          <w:p w14:paraId="0371C4B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详见第六章响应文件格式</w:t>
            </w:r>
          </w:p>
        </w:tc>
      </w:tr>
      <w:tr w14:paraId="5B1F1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24" w:type="dxa"/>
            <w:noWrap w:val="0"/>
            <w:vAlign w:val="center"/>
          </w:tcPr>
          <w:p w14:paraId="0D21EC8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4</w:t>
            </w:r>
          </w:p>
        </w:tc>
        <w:tc>
          <w:tcPr>
            <w:tcW w:w="1645" w:type="dxa"/>
            <w:noWrap w:val="0"/>
            <w:vAlign w:val="center"/>
          </w:tcPr>
          <w:p w14:paraId="11354F9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供应商特定资</w:t>
            </w:r>
          </w:p>
          <w:p w14:paraId="0F69302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格要求</w:t>
            </w:r>
          </w:p>
        </w:tc>
        <w:tc>
          <w:tcPr>
            <w:tcW w:w="2258" w:type="dxa"/>
            <w:tcBorders>
              <w:right w:val="single" w:color="000000" w:sz="6" w:space="0"/>
            </w:tcBorders>
            <w:noWrap w:val="0"/>
            <w:vAlign w:val="center"/>
          </w:tcPr>
          <w:p w14:paraId="53C24B9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符合供应商资格中本项目的特定资格要求</w:t>
            </w:r>
          </w:p>
        </w:tc>
        <w:tc>
          <w:tcPr>
            <w:tcW w:w="4482" w:type="dxa"/>
            <w:tcBorders>
              <w:left w:val="single" w:color="000000" w:sz="6" w:space="0"/>
            </w:tcBorders>
            <w:noWrap w:val="0"/>
            <w:vAlign w:val="center"/>
          </w:tcPr>
          <w:p w14:paraId="346E15F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提供符合供应商资格中的要求的资质证书扫描件</w:t>
            </w:r>
          </w:p>
        </w:tc>
      </w:tr>
    </w:tbl>
    <w:p w14:paraId="55B723F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资格审查指标通过标准：</w:t>
      </w:r>
      <w:r>
        <w:rPr>
          <w:rFonts w:hint="eastAsia" w:ascii="宋体" w:hAnsi="宋体" w:eastAsia="宋体" w:cs="宋体"/>
          <w:snapToGrid w:val="0"/>
          <w:color w:val="000000"/>
          <w:kern w:val="0"/>
          <w:sz w:val="24"/>
          <w:szCs w:val="24"/>
          <w:lang w:val="en-US" w:eastAsia="zh-CN" w:bidi="ar"/>
        </w:rPr>
        <w:t>供应商必须通过资格审查表中的全部评审指标。</w:t>
      </w:r>
    </w:p>
    <w:p w14:paraId="1E441D5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5.2符合性审查 </w:t>
      </w:r>
    </w:p>
    <w:p w14:paraId="762F1D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评审小组对通过资格审查的供应商的响应文件进行符合性审查，以确定其是否满足征集文件的实质性要求。符合性审查表如下：</w:t>
      </w: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490"/>
        <w:gridCol w:w="4250"/>
      </w:tblGrid>
      <w:tr w14:paraId="2082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09" w:type="dxa"/>
            <w:gridSpan w:val="4"/>
            <w:noWrap w:val="0"/>
            <w:vAlign w:val="center"/>
          </w:tcPr>
          <w:p w14:paraId="566B8B1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b/>
                <w:bCs/>
                <w:snapToGrid w:val="0"/>
                <w:color w:val="auto"/>
                <w:spacing w:val="-1"/>
                <w:kern w:val="0"/>
                <w:sz w:val="24"/>
                <w:szCs w:val="24"/>
                <w:lang w:val="en-US" w:eastAsia="zh-CN"/>
              </w:rPr>
              <w:t>符合性审查表</w:t>
            </w:r>
          </w:p>
        </w:tc>
      </w:tr>
      <w:tr w14:paraId="2A525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15" w:type="dxa"/>
            <w:noWrap w:val="0"/>
            <w:vAlign w:val="center"/>
          </w:tcPr>
          <w:p w14:paraId="098DFAC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2" w:leftChars="0"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序号</w:t>
            </w:r>
          </w:p>
        </w:tc>
        <w:tc>
          <w:tcPr>
            <w:tcW w:w="1654" w:type="dxa"/>
            <w:noWrap w:val="0"/>
            <w:vAlign w:val="center"/>
          </w:tcPr>
          <w:p w14:paraId="5D50CEF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leftChars="0"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评审指标</w:t>
            </w:r>
          </w:p>
        </w:tc>
        <w:tc>
          <w:tcPr>
            <w:tcW w:w="2490" w:type="dxa"/>
            <w:tcBorders>
              <w:right w:val="single" w:color="000000" w:sz="6" w:space="0"/>
            </w:tcBorders>
            <w:noWrap w:val="0"/>
            <w:vAlign w:val="center"/>
          </w:tcPr>
          <w:p w14:paraId="1100D1E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0" w:leftChars="0"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评审标准</w:t>
            </w:r>
          </w:p>
        </w:tc>
        <w:tc>
          <w:tcPr>
            <w:tcW w:w="4250" w:type="dxa"/>
            <w:tcBorders>
              <w:left w:val="single" w:color="000000" w:sz="6" w:space="0"/>
            </w:tcBorders>
            <w:noWrap w:val="0"/>
            <w:vAlign w:val="center"/>
          </w:tcPr>
          <w:p w14:paraId="631706C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5" w:leftChars="0" w:right="0" w:rightChars="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格式及材料要求</w:t>
            </w:r>
          </w:p>
        </w:tc>
      </w:tr>
      <w:tr w14:paraId="2762B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15" w:type="dxa"/>
            <w:noWrap w:val="0"/>
            <w:vAlign w:val="center"/>
          </w:tcPr>
          <w:p w14:paraId="2E17A50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1</w:t>
            </w:r>
          </w:p>
        </w:tc>
        <w:tc>
          <w:tcPr>
            <w:tcW w:w="1654" w:type="dxa"/>
            <w:noWrap w:val="0"/>
            <w:vAlign w:val="center"/>
          </w:tcPr>
          <w:p w14:paraId="4FBBE24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开标一览表</w:t>
            </w:r>
          </w:p>
        </w:tc>
        <w:tc>
          <w:tcPr>
            <w:tcW w:w="2490" w:type="dxa"/>
            <w:tcBorders>
              <w:right w:val="single" w:color="000000" w:sz="6" w:space="0"/>
            </w:tcBorders>
            <w:noWrap w:val="0"/>
            <w:vAlign w:val="center"/>
          </w:tcPr>
          <w:p w14:paraId="136F598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3855093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详见第六章响应文件格式</w:t>
            </w:r>
          </w:p>
        </w:tc>
      </w:tr>
      <w:tr w14:paraId="2F734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15" w:type="dxa"/>
            <w:noWrap w:val="0"/>
            <w:vAlign w:val="center"/>
          </w:tcPr>
          <w:p w14:paraId="3E2606B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2</w:t>
            </w:r>
          </w:p>
        </w:tc>
        <w:tc>
          <w:tcPr>
            <w:tcW w:w="1654" w:type="dxa"/>
            <w:noWrap w:val="0"/>
            <w:vAlign w:val="center"/>
          </w:tcPr>
          <w:p w14:paraId="679C54D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响应</w:t>
            </w:r>
            <w:r>
              <w:rPr>
                <w:rFonts w:hint="eastAsia" w:ascii="宋体" w:hAnsi="宋体" w:eastAsia="宋体" w:cs="宋体"/>
                <w:snapToGrid w:val="0"/>
                <w:color w:val="auto"/>
                <w:spacing w:val="-1"/>
                <w:kern w:val="0"/>
                <w:sz w:val="24"/>
                <w:szCs w:val="24"/>
                <w:lang w:eastAsia="en-US"/>
              </w:rPr>
              <w:t>函</w:t>
            </w:r>
          </w:p>
        </w:tc>
        <w:tc>
          <w:tcPr>
            <w:tcW w:w="2490" w:type="dxa"/>
            <w:tcBorders>
              <w:right w:val="single" w:color="000000" w:sz="6" w:space="0"/>
            </w:tcBorders>
            <w:noWrap w:val="0"/>
            <w:vAlign w:val="center"/>
          </w:tcPr>
          <w:p w14:paraId="65AB910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7AE1406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详见第六章响应文件格式</w:t>
            </w:r>
          </w:p>
        </w:tc>
      </w:tr>
      <w:tr w14:paraId="2558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779E948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3</w:t>
            </w:r>
          </w:p>
        </w:tc>
        <w:tc>
          <w:tcPr>
            <w:tcW w:w="1654" w:type="dxa"/>
            <w:noWrap w:val="0"/>
            <w:vAlign w:val="center"/>
          </w:tcPr>
          <w:p w14:paraId="43A1F8E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授权书</w:t>
            </w:r>
          </w:p>
        </w:tc>
        <w:tc>
          <w:tcPr>
            <w:tcW w:w="2490" w:type="dxa"/>
            <w:tcBorders>
              <w:right w:val="single" w:color="000000" w:sz="6" w:space="0"/>
            </w:tcBorders>
            <w:noWrap w:val="0"/>
            <w:vAlign w:val="center"/>
          </w:tcPr>
          <w:p w14:paraId="26670C5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75C4684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法定代表人参加响应的无需此件，提供身份证明即可。详见第六章响应文件格式</w:t>
            </w:r>
          </w:p>
        </w:tc>
      </w:tr>
      <w:tr w14:paraId="215F3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715" w:type="dxa"/>
            <w:noWrap w:val="0"/>
            <w:vAlign w:val="center"/>
          </w:tcPr>
          <w:p w14:paraId="730564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4</w:t>
            </w:r>
          </w:p>
        </w:tc>
        <w:tc>
          <w:tcPr>
            <w:tcW w:w="1654" w:type="dxa"/>
            <w:noWrap w:val="0"/>
            <w:vAlign w:val="center"/>
          </w:tcPr>
          <w:p w14:paraId="716F7B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商务响应情况</w:t>
            </w:r>
          </w:p>
        </w:tc>
        <w:tc>
          <w:tcPr>
            <w:tcW w:w="2490" w:type="dxa"/>
            <w:tcBorders>
              <w:right w:val="single" w:color="000000" w:sz="6" w:space="0"/>
            </w:tcBorders>
            <w:noWrap w:val="0"/>
            <w:vAlign w:val="center"/>
          </w:tcPr>
          <w:p w14:paraId="73226D4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符合征集文件采购需求中对付款方式、时间和条件，服务地点</w:t>
            </w:r>
            <w:r>
              <w:rPr>
                <w:rFonts w:hint="eastAsia" w:ascii="宋体" w:hAnsi="宋体" w:eastAsia="宋体" w:cs="宋体"/>
                <w:snapToGrid w:val="0"/>
                <w:color w:val="auto"/>
                <w:spacing w:val="-1"/>
                <w:kern w:val="0"/>
                <w:sz w:val="24"/>
                <w:szCs w:val="24"/>
                <w:lang w:eastAsia="zh-CN"/>
              </w:rPr>
              <w:t>，</w:t>
            </w:r>
            <w:r>
              <w:rPr>
                <w:rFonts w:hint="eastAsia" w:ascii="宋体" w:hAnsi="宋体" w:eastAsia="宋体" w:cs="宋体"/>
                <w:snapToGrid w:val="0"/>
                <w:color w:val="auto"/>
                <w:spacing w:val="-1"/>
                <w:kern w:val="0"/>
                <w:sz w:val="24"/>
                <w:szCs w:val="24"/>
                <w:lang w:eastAsia="en-US"/>
              </w:rPr>
              <w:t>服务期限，采购标的名称</w:t>
            </w:r>
          </w:p>
        </w:tc>
        <w:tc>
          <w:tcPr>
            <w:tcW w:w="4250" w:type="dxa"/>
            <w:tcBorders>
              <w:left w:val="single" w:color="000000" w:sz="6" w:space="0"/>
            </w:tcBorders>
            <w:noWrap w:val="0"/>
            <w:vAlign w:val="center"/>
          </w:tcPr>
          <w:p w14:paraId="528D978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详见第六章响应文件格式</w:t>
            </w:r>
          </w:p>
        </w:tc>
      </w:tr>
      <w:tr w14:paraId="7D05B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759CD03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5</w:t>
            </w:r>
          </w:p>
        </w:tc>
        <w:tc>
          <w:tcPr>
            <w:tcW w:w="1654" w:type="dxa"/>
            <w:noWrap w:val="0"/>
            <w:vAlign w:val="center"/>
          </w:tcPr>
          <w:p w14:paraId="63FBD66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其他要求</w:t>
            </w:r>
          </w:p>
        </w:tc>
        <w:tc>
          <w:tcPr>
            <w:tcW w:w="2490" w:type="dxa"/>
            <w:tcBorders>
              <w:right w:val="single" w:color="000000" w:sz="6" w:space="0"/>
            </w:tcBorders>
            <w:noWrap w:val="0"/>
            <w:vAlign w:val="center"/>
          </w:tcPr>
          <w:p w14:paraId="1BA3EA2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符合法律、行政法规规定的其他条件或</w:t>
            </w:r>
            <w:r>
              <w:rPr>
                <w:rFonts w:hint="eastAsia" w:ascii="宋体" w:hAnsi="宋体" w:eastAsia="宋体" w:cs="宋体"/>
                <w:snapToGrid w:val="0"/>
                <w:color w:val="auto"/>
                <w:spacing w:val="-1"/>
                <w:kern w:val="0"/>
                <w:sz w:val="24"/>
                <w:szCs w:val="24"/>
                <w:lang w:eastAsia="zh-CN"/>
              </w:rPr>
              <w:t>征集文件</w:t>
            </w:r>
            <w:r>
              <w:rPr>
                <w:rFonts w:hint="eastAsia" w:ascii="宋体" w:hAnsi="宋体" w:eastAsia="宋体" w:cs="宋体"/>
                <w:snapToGrid w:val="0"/>
                <w:color w:val="auto"/>
                <w:spacing w:val="-1"/>
                <w:kern w:val="0"/>
                <w:sz w:val="24"/>
                <w:szCs w:val="24"/>
                <w:lang w:eastAsia="en-US"/>
              </w:rPr>
              <w:t>列明的其他要求</w:t>
            </w:r>
          </w:p>
        </w:tc>
        <w:tc>
          <w:tcPr>
            <w:tcW w:w="4250" w:type="dxa"/>
            <w:tcBorders>
              <w:left w:val="single" w:color="000000" w:sz="6" w:space="0"/>
            </w:tcBorders>
            <w:noWrap w:val="0"/>
            <w:vAlign w:val="center"/>
          </w:tcPr>
          <w:p w14:paraId="3A4F2F6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p>
        </w:tc>
      </w:tr>
    </w:tbl>
    <w:p w14:paraId="79C943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sz w:val="24"/>
          <w:szCs w:val="24"/>
        </w:rPr>
      </w:pPr>
      <w:r>
        <w:rPr>
          <w:rFonts w:hint="eastAsia" w:ascii="宋体" w:hAnsi="宋体" w:eastAsia="宋体" w:cs="宋体"/>
          <w:b/>
          <w:bCs/>
          <w:snapToGrid w:val="0"/>
          <w:color w:val="000000"/>
          <w:kern w:val="0"/>
          <w:sz w:val="24"/>
          <w:szCs w:val="24"/>
          <w:lang w:val="en-US" w:eastAsia="zh-CN" w:bidi="ar"/>
        </w:rPr>
        <w:t>符合性审查指标通过标准：</w:t>
      </w:r>
      <w:r>
        <w:rPr>
          <w:rFonts w:hint="eastAsia" w:ascii="宋体" w:hAnsi="宋体" w:eastAsia="宋体" w:cs="宋体"/>
          <w:snapToGrid w:val="0"/>
          <w:color w:val="000000"/>
          <w:kern w:val="0"/>
          <w:sz w:val="24"/>
          <w:szCs w:val="24"/>
          <w:lang w:val="en-US" w:eastAsia="zh-CN" w:bidi="ar"/>
        </w:rPr>
        <w:t>供应商必须通过符合性审查表中的全部评审指标。</w:t>
      </w:r>
    </w:p>
    <w:p w14:paraId="1528D0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5.3详细评审</w:t>
      </w:r>
    </w:p>
    <w:p w14:paraId="24732B76">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评审小组按照下表对征集响应文件进行详细审查和评分。</w:t>
      </w:r>
    </w:p>
    <w:p w14:paraId="133337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sectPr>
          <w:footerReference r:id="rId10" w:type="default"/>
          <w:pgSz w:w="11921" w:h="16851"/>
          <w:pgMar w:top="1432" w:right="930" w:bottom="1467" w:left="1572" w:header="0" w:footer="1303" w:gutter="0"/>
          <w:pgNumType w:fmt="decimal"/>
          <w:cols w:space="720" w:num="1"/>
        </w:sectPr>
      </w:pPr>
      <w:r>
        <w:rPr>
          <w:rFonts w:hint="eastAsia" w:ascii="宋体" w:hAnsi="宋体" w:eastAsia="宋体" w:cs="宋体"/>
          <w:color w:val="auto"/>
          <w:sz w:val="24"/>
          <w:szCs w:val="24"/>
          <w:lang w:val="en-US" w:eastAsia="zh-CN"/>
        </w:rPr>
        <w:t>具体评分细则如下：</w:t>
      </w:r>
    </w:p>
    <w:tbl>
      <w:tblPr>
        <w:tblStyle w:val="15"/>
        <w:tblW w:w="9249"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7055"/>
        <w:gridCol w:w="978"/>
      </w:tblGrid>
      <w:tr w14:paraId="7C14E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top"/>
          </w:tcPr>
          <w:p w14:paraId="3C643A2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评</w:t>
            </w:r>
            <w:r>
              <w:rPr>
                <w:rFonts w:hint="eastAsia" w:ascii="宋体" w:hAnsi="宋体" w:eastAsia="宋体" w:cs="宋体"/>
                <w:color w:val="auto"/>
                <w:spacing w:val="-2"/>
                <w:sz w:val="22"/>
                <w:szCs w:val="22"/>
              </w:rPr>
              <w:t>分内容</w:t>
            </w:r>
          </w:p>
        </w:tc>
        <w:tc>
          <w:tcPr>
            <w:tcW w:w="7055" w:type="dxa"/>
            <w:noWrap w:val="0"/>
            <w:vAlign w:val="top"/>
          </w:tcPr>
          <w:p w14:paraId="4467C9E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848" w:firstLineChars="40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评</w:t>
            </w:r>
            <w:r>
              <w:rPr>
                <w:rFonts w:hint="eastAsia" w:ascii="宋体" w:hAnsi="宋体" w:eastAsia="宋体" w:cs="宋体"/>
                <w:color w:val="auto"/>
                <w:spacing w:val="-2"/>
                <w:sz w:val="22"/>
                <w:szCs w:val="22"/>
              </w:rPr>
              <w:t>分标准</w:t>
            </w:r>
          </w:p>
        </w:tc>
        <w:tc>
          <w:tcPr>
            <w:tcW w:w="978" w:type="dxa"/>
            <w:noWrap w:val="0"/>
            <w:vAlign w:val="top"/>
          </w:tcPr>
          <w:p w14:paraId="717D4F5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分</w:t>
            </w:r>
            <w:r>
              <w:rPr>
                <w:rFonts w:hint="eastAsia" w:ascii="宋体" w:hAnsi="宋体" w:eastAsia="宋体" w:cs="宋体"/>
                <w:color w:val="auto"/>
                <w:spacing w:val="-3"/>
                <w:sz w:val="22"/>
                <w:szCs w:val="22"/>
              </w:rPr>
              <w:t>值</w:t>
            </w:r>
            <w:r>
              <w:rPr>
                <w:rFonts w:hint="eastAsia" w:ascii="宋体" w:hAnsi="宋体" w:eastAsia="宋体" w:cs="宋体"/>
                <w:color w:val="auto"/>
                <w:spacing w:val="-2"/>
                <w:sz w:val="22"/>
                <w:szCs w:val="22"/>
              </w:rPr>
              <w:t>范围</w:t>
            </w:r>
          </w:p>
        </w:tc>
      </w:tr>
      <w:tr w14:paraId="212F9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42A707F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服</w:t>
            </w:r>
            <w:r>
              <w:rPr>
                <w:rFonts w:hint="eastAsia" w:ascii="宋体" w:hAnsi="宋体" w:eastAsia="宋体" w:cs="宋体"/>
                <w:color w:val="auto"/>
                <w:spacing w:val="-2"/>
                <w:sz w:val="22"/>
                <w:szCs w:val="22"/>
              </w:rPr>
              <w:t>务方</w:t>
            </w:r>
            <w:r>
              <w:rPr>
                <w:rFonts w:hint="eastAsia" w:ascii="宋体" w:hAnsi="宋体" w:eastAsia="宋体" w:cs="宋体"/>
                <w:color w:val="auto"/>
                <w:sz w:val="22"/>
                <w:szCs w:val="22"/>
              </w:rPr>
              <w:t>案</w:t>
            </w:r>
          </w:p>
        </w:tc>
        <w:tc>
          <w:tcPr>
            <w:tcW w:w="7055" w:type="dxa"/>
            <w:noWrap w:val="0"/>
            <w:vAlign w:val="top"/>
          </w:tcPr>
          <w:p w14:paraId="3987A2B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根据供应商提供的服务</w:t>
            </w:r>
            <w:r>
              <w:rPr>
                <w:rFonts w:hint="eastAsia" w:ascii="宋体" w:hAnsi="宋体" w:eastAsia="宋体" w:cs="宋体"/>
                <w:color w:val="auto"/>
                <w:sz w:val="22"/>
                <w:szCs w:val="22"/>
                <w:lang w:val="en-US" w:eastAsia="zh-CN"/>
              </w:rPr>
              <w:t>方案</w:t>
            </w:r>
            <w:r>
              <w:rPr>
                <w:rFonts w:hint="eastAsia" w:ascii="宋体" w:hAnsi="宋体" w:eastAsia="宋体" w:cs="宋体"/>
                <w:color w:val="auto"/>
                <w:sz w:val="22"/>
                <w:szCs w:val="22"/>
              </w:rPr>
              <w:t>进行评分，服务方案应包含以下</w:t>
            </w:r>
            <w:r>
              <w:rPr>
                <w:rFonts w:hint="eastAsia" w:ascii="宋体" w:hAnsi="宋体" w:eastAsia="宋体" w:cs="宋体"/>
                <w:color w:val="auto"/>
                <w:sz w:val="22"/>
                <w:szCs w:val="22"/>
                <w:lang w:val="en-US" w:eastAsia="zh-CN"/>
              </w:rPr>
              <w:t>八</w:t>
            </w:r>
            <w:r>
              <w:rPr>
                <w:rFonts w:hint="eastAsia" w:ascii="宋体" w:hAnsi="宋体" w:eastAsia="宋体" w:cs="宋体"/>
                <w:color w:val="auto"/>
                <w:sz w:val="22"/>
                <w:szCs w:val="22"/>
              </w:rPr>
              <w:t>个方面：</w:t>
            </w:r>
          </w:p>
          <w:p w14:paraId="6817FED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承保方案 </w:t>
            </w:r>
          </w:p>
          <w:p w14:paraId="716512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根据供应商提供针对本项目的承保实施方案，包含但不限于以下内容：明确、具体的服务措施；服务人员组织分工，服务工作计划、流程；出险后的理赔措施须包含出险查勘、定损、赔付时效，以及相应的保障措施等进行评审。 </w:t>
            </w:r>
          </w:p>
          <w:p w14:paraId="6DB0865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理赔流程 </w:t>
            </w:r>
          </w:p>
          <w:p w14:paraId="04EEEB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要求流程简明且符合本项目需求，明确赔付需提供详细方案，方案对于发生理赔时从申请、受理、审核、赔付等关键环节进行描述，理赔手续的繁琐程度等方面进行评审。 </w:t>
            </w:r>
          </w:p>
          <w:p w14:paraId="75AB5C5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理赔预付制度及预付比例</w:t>
            </w:r>
          </w:p>
          <w:p w14:paraId="3E926C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对于重大交通事故，出现人员伤亡的，在明确事故责任后，提供预付部分赔款。供应商理赔预付制度及预付比例，在损失金额确定、责任明确的前提下，根据确定损失金额的预付比例大小等方面进行评审。 </w:t>
            </w:r>
          </w:p>
          <w:p w14:paraId="1F1A9C8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优质服务水平 </w:t>
            </w:r>
          </w:p>
          <w:p w14:paraId="09BD78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根据保险人情况、服务质量保证体系和优质服务水平与典型案例的分析。所提供服务人员建立管理办法、服务标准、管理体系等。评委就其承保能力、偿付能力、供应商承诺的兑现能力、提供优质服务的组织和管理能力进行评审。 </w:t>
            </w:r>
          </w:p>
          <w:p w14:paraId="672F9C7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增值服务 </w:t>
            </w:r>
          </w:p>
          <w:p w14:paraId="2828AF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供应商提供的除基础保险服务以外的有实质性作用的增值服务（服务内容包括但不限于：服务网络、限时查勘/定损，伤员抢救费担保、互碰赔案、单方肇事特别服务、车辆维修服务、提供代步车服务、洗车/施救服务、法律服务、</w:t>
            </w:r>
            <w:bookmarkStart w:id="18" w:name="_GoBack"/>
            <w:bookmarkEnd w:id="18"/>
            <w:r>
              <w:rPr>
                <w:rFonts w:hint="eastAsia" w:ascii="宋体" w:hAnsi="宋体" w:eastAsia="宋体" w:cs="宋体"/>
                <w:color w:val="auto"/>
                <w:sz w:val="22"/>
                <w:szCs w:val="22"/>
                <w:lang w:val="en-US" w:eastAsia="zh-CN"/>
              </w:rPr>
              <w:t xml:space="preserve">特殊赔案服务、代位求偿、代办车检、特别宽限服务等方面）进行评审。 </w:t>
            </w:r>
          </w:p>
          <w:p w14:paraId="72CD10D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应急方案</w:t>
            </w:r>
          </w:p>
          <w:p w14:paraId="002432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根据供应商提供的突发事件的应急后续工作方案进行评审。</w:t>
            </w:r>
          </w:p>
          <w:p w14:paraId="7D40D1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七、异地服务</w:t>
            </w:r>
          </w:p>
          <w:p w14:paraId="52186D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根据供应商提供的详细描述其在不同地域提供服务的能力，包括但不限于服务团队的地域分布、响应时间等方面进行评审。</w:t>
            </w:r>
          </w:p>
          <w:p w14:paraId="3924DD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八、24小时服务</w:t>
            </w:r>
          </w:p>
          <w:p w14:paraId="7E588B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根据供应商提供的24小时服务方案进行评审。</w:t>
            </w:r>
          </w:p>
          <w:p w14:paraId="0DFF53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评审小组对各供应商提供的服务方案中的上述八项内容按以下标准进行逐项评审：</w:t>
            </w:r>
          </w:p>
          <w:p w14:paraId="420ACC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（1）方案覆盖全面，要点突出，内容完整详实，表述清晰，有利于项目实施的得5分；</w:t>
            </w:r>
          </w:p>
          <w:p w14:paraId="4DDF3D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（2）方案要点突出不够明显，虽制定各项实施方案，但方案条理不清的得3分；</w:t>
            </w:r>
          </w:p>
          <w:p w14:paraId="0E1D7EA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方案要点内容缺失，且所提供方案条理不清，不利于项目实施的得1分；</w:t>
            </w:r>
          </w:p>
          <w:p w14:paraId="60C4BBEC">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未提供的得0分。</w:t>
            </w:r>
          </w:p>
        </w:tc>
        <w:tc>
          <w:tcPr>
            <w:tcW w:w="978" w:type="dxa"/>
            <w:noWrap w:val="0"/>
            <w:vAlign w:val="center"/>
          </w:tcPr>
          <w:p w14:paraId="553EA86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40</w:t>
            </w:r>
            <w:r>
              <w:rPr>
                <w:rFonts w:hint="eastAsia" w:ascii="宋体" w:hAnsi="宋体" w:eastAsia="宋体" w:cs="宋体"/>
                <w:color w:val="auto"/>
                <w:spacing w:val="-11"/>
                <w:sz w:val="22"/>
                <w:szCs w:val="22"/>
                <w:lang w:val="en-US" w:eastAsia="zh-CN"/>
              </w:rPr>
              <w:t>分</w:t>
            </w:r>
          </w:p>
        </w:tc>
      </w:tr>
      <w:tr w14:paraId="05B08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216" w:type="dxa"/>
            <w:noWrap w:val="0"/>
            <w:vAlign w:val="center"/>
          </w:tcPr>
          <w:p w14:paraId="6C65E0C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人员</w:t>
            </w:r>
            <w:r>
              <w:rPr>
                <w:rFonts w:hint="eastAsia" w:ascii="宋体" w:hAnsi="宋体" w:eastAsia="宋体" w:cs="宋体"/>
                <w:color w:val="auto"/>
                <w:spacing w:val="-2"/>
                <w:sz w:val="22"/>
                <w:szCs w:val="22"/>
              </w:rPr>
              <w:t>配备</w:t>
            </w:r>
          </w:p>
        </w:tc>
        <w:tc>
          <w:tcPr>
            <w:tcW w:w="7055" w:type="dxa"/>
            <w:noWrap w:val="0"/>
            <w:vAlign w:val="top"/>
          </w:tcPr>
          <w:p w14:paraId="6ABD73D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rPr>
              <w:t>针对本项目提供</w:t>
            </w:r>
            <w:r>
              <w:rPr>
                <w:rFonts w:hint="eastAsia" w:ascii="宋体" w:hAnsi="宋体" w:eastAsia="宋体" w:cs="宋体"/>
                <w:sz w:val="22"/>
                <w:szCs w:val="22"/>
                <w:lang w:val="en-US" w:eastAsia="zh-CN"/>
              </w:rPr>
              <w:t>的</w:t>
            </w:r>
            <w:r>
              <w:rPr>
                <w:rFonts w:hint="eastAsia" w:ascii="宋体" w:hAnsi="宋体" w:eastAsia="宋体" w:cs="宋体"/>
                <w:sz w:val="22"/>
                <w:szCs w:val="22"/>
              </w:rPr>
              <w:t>专项服务人员，每提供一名的得3分，满分</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p w14:paraId="70430D8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eastAsia="zh-CN"/>
              </w:rPr>
            </w:pPr>
            <w:r>
              <w:rPr>
                <w:rFonts w:hint="eastAsia" w:ascii="宋体" w:hAnsi="宋体" w:eastAsia="宋体" w:cs="宋体"/>
                <w:sz w:val="22"/>
                <w:szCs w:val="22"/>
              </w:rPr>
              <w:t>注：</w:t>
            </w:r>
            <w:r>
              <w:rPr>
                <w:rFonts w:hint="eastAsia" w:ascii="宋体" w:hAnsi="宋体" w:eastAsia="宋体" w:cs="宋体"/>
                <w:sz w:val="22"/>
                <w:szCs w:val="22"/>
                <w:lang w:val="en-US" w:eastAsia="zh-CN"/>
              </w:rPr>
              <w:t>须提供供应商</w:t>
            </w:r>
            <w:r>
              <w:rPr>
                <w:rFonts w:hint="eastAsia" w:ascii="宋体" w:hAnsi="宋体" w:eastAsia="宋体" w:cs="宋体"/>
                <w:sz w:val="22"/>
                <w:szCs w:val="22"/>
              </w:rPr>
              <w:t>为其缴纳的近六个月内任意</w:t>
            </w:r>
            <w:r>
              <w:rPr>
                <w:rFonts w:hint="eastAsia" w:ascii="宋体" w:hAnsi="宋体" w:eastAsia="宋体" w:cs="宋体"/>
                <w:sz w:val="22"/>
                <w:szCs w:val="22"/>
                <w:lang w:val="en-US" w:eastAsia="zh-CN"/>
              </w:rPr>
              <w:t>一</w:t>
            </w:r>
            <w:r>
              <w:rPr>
                <w:rFonts w:hint="eastAsia" w:ascii="宋体" w:hAnsi="宋体" w:eastAsia="宋体" w:cs="宋体"/>
                <w:sz w:val="22"/>
                <w:szCs w:val="22"/>
              </w:rPr>
              <w:t>个月社保缴纳证明材料，未提供不得分</w:t>
            </w:r>
            <w:r>
              <w:rPr>
                <w:rFonts w:hint="eastAsia" w:ascii="宋体" w:hAnsi="宋体" w:eastAsia="宋体" w:cs="宋体"/>
                <w:sz w:val="22"/>
                <w:szCs w:val="22"/>
                <w:lang w:eastAsia="zh-CN"/>
              </w:rPr>
              <w:t>。</w:t>
            </w:r>
          </w:p>
        </w:tc>
        <w:tc>
          <w:tcPr>
            <w:tcW w:w="978" w:type="dxa"/>
            <w:noWrap w:val="0"/>
            <w:vAlign w:val="center"/>
          </w:tcPr>
          <w:p w14:paraId="1E36CC3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u w:val="none" w:color="auto"/>
              </w:rPr>
              <w:t>0</w:t>
            </w:r>
            <w:r>
              <w:rPr>
                <w:rFonts w:hint="eastAsia" w:ascii="宋体" w:hAnsi="宋体" w:eastAsia="宋体" w:cs="宋体"/>
                <w:color w:val="auto"/>
                <w:spacing w:val="-7"/>
                <w:sz w:val="22"/>
                <w:szCs w:val="22"/>
                <w:u w:val="none" w:color="auto"/>
              </w:rPr>
              <w:t>-</w:t>
            </w:r>
            <w:r>
              <w:rPr>
                <w:rFonts w:hint="eastAsia" w:ascii="宋体" w:hAnsi="宋体" w:eastAsia="宋体" w:cs="宋体"/>
                <w:color w:val="auto"/>
                <w:spacing w:val="-7"/>
                <w:sz w:val="22"/>
                <w:szCs w:val="22"/>
                <w:u w:val="single" w:color="auto"/>
                <w:lang w:val="en-US" w:eastAsia="zh-CN"/>
              </w:rPr>
              <w:t>15</w:t>
            </w:r>
            <w:r>
              <w:rPr>
                <w:rFonts w:hint="eastAsia" w:ascii="宋体" w:hAnsi="宋体" w:eastAsia="宋体" w:cs="宋体"/>
                <w:color w:val="auto"/>
                <w:spacing w:val="-7"/>
                <w:sz w:val="22"/>
                <w:szCs w:val="22"/>
                <w:u w:val="none" w:color="auto"/>
              </w:rPr>
              <w:t>分</w:t>
            </w:r>
          </w:p>
        </w:tc>
      </w:tr>
      <w:tr w14:paraId="4A8AA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1216" w:type="dxa"/>
            <w:noWrap w:val="0"/>
            <w:vAlign w:val="center"/>
          </w:tcPr>
          <w:p w14:paraId="7106B8E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理赔服务</w:t>
            </w:r>
          </w:p>
          <w:p w14:paraId="308891E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时效及标</w:t>
            </w:r>
          </w:p>
          <w:p w14:paraId="2552834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准</w:t>
            </w:r>
          </w:p>
        </w:tc>
        <w:tc>
          <w:tcPr>
            <w:tcW w:w="7055" w:type="dxa"/>
            <w:noWrap w:val="0"/>
            <w:vAlign w:val="top"/>
          </w:tcPr>
          <w:p w14:paraId="5A2D34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供应商提供的理赔时效及标准：</w:t>
            </w:r>
          </w:p>
          <w:p w14:paraId="54F7F5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1、理赔案件金额5万元及以下（除有人伤外）赔款，索赔手续齐全3日以内赔付的，得5分； </w:t>
            </w:r>
          </w:p>
          <w:p w14:paraId="28013C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2、理赔案件金额5-10万元（含10万元、除有人伤外）赔款，索赔手续齐全7日以内赔付的，得5分； </w:t>
            </w:r>
          </w:p>
          <w:p w14:paraId="492DD0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3、理赔案件金额10万元以上赔款（除有人伤外）赔款，索赔手续齐全15日以内赔付的，得5分。</w:t>
            </w:r>
          </w:p>
          <w:p w14:paraId="2CBB8C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注：响应文件中提供承诺（格式自拟）。</w:t>
            </w:r>
          </w:p>
        </w:tc>
        <w:tc>
          <w:tcPr>
            <w:tcW w:w="978" w:type="dxa"/>
            <w:noWrap w:val="0"/>
            <w:vAlign w:val="center"/>
          </w:tcPr>
          <w:p w14:paraId="7EC6B3E8">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rPr>
              <w:t>0</w:t>
            </w:r>
            <w:r>
              <w:rPr>
                <w:rFonts w:hint="eastAsia" w:ascii="宋体" w:hAnsi="宋体" w:eastAsia="宋体" w:cs="宋体"/>
                <w:color w:val="auto"/>
                <w:spacing w:val="-7"/>
                <w:sz w:val="22"/>
                <w:szCs w:val="22"/>
              </w:rPr>
              <w:t>-</w:t>
            </w:r>
            <w:r>
              <w:rPr>
                <w:rFonts w:hint="eastAsia" w:ascii="宋体" w:hAnsi="宋体" w:eastAsia="宋体" w:cs="宋体"/>
                <w:color w:val="auto"/>
                <w:spacing w:val="-7"/>
                <w:sz w:val="22"/>
                <w:szCs w:val="22"/>
                <w:u w:val="single" w:color="auto"/>
                <w:lang w:val="en-US" w:eastAsia="zh-CN"/>
              </w:rPr>
              <w:t>15</w:t>
            </w:r>
            <w:r>
              <w:rPr>
                <w:rFonts w:hint="eastAsia" w:ascii="宋体" w:hAnsi="宋体" w:eastAsia="宋体" w:cs="宋体"/>
                <w:color w:val="auto"/>
                <w:spacing w:val="-7"/>
                <w:sz w:val="22"/>
                <w:szCs w:val="22"/>
              </w:rPr>
              <w:t>分</w:t>
            </w:r>
          </w:p>
        </w:tc>
      </w:tr>
      <w:tr w14:paraId="385ED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16" w:type="dxa"/>
            <w:noWrap w:val="0"/>
            <w:vAlign w:val="center"/>
          </w:tcPr>
          <w:p w14:paraId="30A8757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小额理赔</w:t>
            </w:r>
          </w:p>
        </w:tc>
        <w:tc>
          <w:tcPr>
            <w:tcW w:w="7055" w:type="dxa"/>
            <w:noWrap w:val="0"/>
            <w:vAlign w:val="top"/>
          </w:tcPr>
          <w:p w14:paraId="6177A7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40" w:firstLineChars="20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供应商承诺索赔金额在5000元及以下的车险理赔，按照《保险小额理赔服务指引（试行）》提供车险小额理赔服务的，得5分；不满足的或未提供承诺的不得分。 </w:t>
            </w:r>
          </w:p>
          <w:p w14:paraId="5E0458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注：响应文件中提供承诺（格式自拟）。</w:t>
            </w:r>
          </w:p>
        </w:tc>
        <w:tc>
          <w:tcPr>
            <w:tcW w:w="978" w:type="dxa"/>
            <w:noWrap w:val="0"/>
            <w:vAlign w:val="center"/>
          </w:tcPr>
          <w:p w14:paraId="608282F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1"/>
                <w:sz w:val="22"/>
                <w:szCs w:val="22"/>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5</w:t>
            </w:r>
            <w:r>
              <w:rPr>
                <w:rFonts w:hint="eastAsia" w:ascii="宋体" w:hAnsi="宋体" w:eastAsia="宋体" w:cs="宋体"/>
                <w:color w:val="auto"/>
                <w:spacing w:val="-11"/>
                <w:sz w:val="22"/>
                <w:szCs w:val="22"/>
                <w:lang w:val="en-US" w:eastAsia="zh-CN"/>
              </w:rPr>
              <w:t>分</w:t>
            </w:r>
          </w:p>
        </w:tc>
      </w:tr>
      <w:tr w14:paraId="6B21E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68FA9AB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业</w:t>
            </w:r>
            <w:r>
              <w:rPr>
                <w:rFonts w:hint="eastAsia" w:ascii="宋体" w:hAnsi="宋体" w:eastAsia="宋体" w:cs="宋体"/>
                <w:color w:val="auto"/>
                <w:spacing w:val="-3"/>
                <w:sz w:val="22"/>
                <w:szCs w:val="22"/>
              </w:rPr>
              <w:t>绩</w:t>
            </w:r>
          </w:p>
        </w:tc>
        <w:tc>
          <w:tcPr>
            <w:tcW w:w="7055" w:type="dxa"/>
            <w:noWrap w:val="0"/>
            <w:vAlign w:val="top"/>
          </w:tcPr>
          <w:p w14:paraId="398F51F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自</w:t>
            </w:r>
            <w:r>
              <w:rPr>
                <w:rFonts w:hint="eastAsia" w:ascii="宋体" w:hAnsi="宋体" w:eastAsia="宋体" w:cs="宋体"/>
                <w:color w:val="auto"/>
                <w:sz w:val="22"/>
                <w:szCs w:val="22"/>
              </w:rPr>
              <w:t>2019年1月1日以来（以合同签订时间为准），供应商成功实施过类似保险项目业绩，每提供一</w:t>
            </w:r>
            <w:r>
              <w:rPr>
                <w:rFonts w:hint="eastAsia" w:ascii="宋体" w:hAnsi="宋体" w:eastAsia="宋体" w:cs="宋体"/>
                <w:color w:val="auto"/>
                <w:sz w:val="22"/>
                <w:szCs w:val="22"/>
                <w:lang w:val="en-US" w:eastAsia="zh-CN"/>
              </w:rPr>
              <w:t>份</w:t>
            </w:r>
            <w:r>
              <w:rPr>
                <w:rFonts w:hint="eastAsia" w:ascii="宋体" w:hAnsi="宋体" w:eastAsia="宋体" w:cs="宋体"/>
                <w:color w:val="auto"/>
                <w:sz w:val="22"/>
                <w:szCs w:val="22"/>
              </w:rPr>
              <w:t>业绩得3分，</w:t>
            </w:r>
            <w:r>
              <w:rPr>
                <w:rFonts w:hint="eastAsia" w:ascii="宋体" w:hAnsi="宋体" w:eastAsia="宋体" w:cs="宋体"/>
                <w:color w:val="auto"/>
                <w:sz w:val="22"/>
                <w:szCs w:val="22"/>
                <w:lang w:val="en-US" w:eastAsia="zh-CN"/>
              </w:rPr>
              <w:t>满分</w:t>
            </w: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p>
          <w:p w14:paraId="1F2769E8">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注：须</w:t>
            </w:r>
            <w:r>
              <w:rPr>
                <w:rFonts w:hint="eastAsia" w:ascii="宋体" w:hAnsi="宋体" w:eastAsia="宋体" w:cs="宋体"/>
                <w:color w:val="auto"/>
                <w:sz w:val="22"/>
                <w:szCs w:val="22"/>
              </w:rPr>
              <w:t>提供合同复印件，应能辨识合同双方公章、签订时间</w:t>
            </w:r>
            <w:r>
              <w:rPr>
                <w:rFonts w:hint="eastAsia" w:ascii="宋体" w:hAnsi="宋体" w:eastAsia="宋体" w:cs="宋体"/>
                <w:color w:val="auto"/>
                <w:sz w:val="22"/>
                <w:szCs w:val="22"/>
                <w:lang w:eastAsia="zh-CN"/>
              </w:rPr>
              <w:t>。如业绩合同不能体现以上全部内容</w:t>
            </w:r>
            <w:r>
              <w:rPr>
                <w:rFonts w:hint="eastAsia" w:ascii="宋体" w:hAnsi="宋体" w:eastAsia="宋体" w:cs="宋体"/>
                <w:color w:val="auto"/>
                <w:sz w:val="22"/>
                <w:szCs w:val="22"/>
              </w:rPr>
              <w:t>，另附</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甲方</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业主</w:t>
            </w:r>
            <w:r>
              <w:rPr>
                <w:rFonts w:hint="eastAsia" w:ascii="宋体" w:hAnsi="宋体" w:eastAsia="宋体" w:cs="宋体"/>
                <w:color w:val="auto"/>
                <w:sz w:val="22"/>
                <w:szCs w:val="22"/>
                <w:lang w:val="en-US" w:eastAsia="zh-CN"/>
              </w:rPr>
              <w:t>的</w:t>
            </w:r>
            <w:r>
              <w:rPr>
                <w:rFonts w:hint="eastAsia" w:ascii="宋体" w:hAnsi="宋体" w:eastAsia="宋体" w:cs="宋体"/>
                <w:color w:val="auto"/>
                <w:sz w:val="22"/>
                <w:szCs w:val="22"/>
              </w:rPr>
              <w:t>相关证明材料；相同服务单位不同年份的合同按一项业绩计。</w:t>
            </w:r>
          </w:p>
        </w:tc>
        <w:tc>
          <w:tcPr>
            <w:tcW w:w="978" w:type="dxa"/>
            <w:noWrap w:val="0"/>
            <w:vAlign w:val="center"/>
          </w:tcPr>
          <w:p w14:paraId="7F896BD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15</w:t>
            </w:r>
            <w:r>
              <w:rPr>
                <w:rFonts w:hint="eastAsia" w:ascii="宋体" w:hAnsi="宋体" w:eastAsia="宋体" w:cs="宋体"/>
                <w:color w:val="auto"/>
                <w:spacing w:val="-11"/>
                <w:sz w:val="22"/>
                <w:szCs w:val="22"/>
                <w:lang w:val="en-US" w:eastAsia="zh-CN"/>
              </w:rPr>
              <w:t>分</w:t>
            </w:r>
          </w:p>
        </w:tc>
      </w:tr>
      <w:tr w14:paraId="30DA8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7" w:hRule="atLeast"/>
        </w:trPr>
        <w:tc>
          <w:tcPr>
            <w:tcW w:w="1216" w:type="dxa"/>
            <w:noWrap w:val="0"/>
            <w:vAlign w:val="center"/>
          </w:tcPr>
          <w:p w14:paraId="1D3025E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管理体系</w:t>
            </w:r>
          </w:p>
        </w:tc>
        <w:tc>
          <w:tcPr>
            <w:tcW w:w="7055" w:type="dxa"/>
            <w:noWrap w:val="0"/>
            <w:vAlign w:val="top"/>
          </w:tcPr>
          <w:p w14:paraId="45F84A0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供应商具有经中国国家认证认可监督管理委员会认证机构颁发的有效的下列证书：</w:t>
            </w:r>
          </w:p>
          <w:p w14:paraId="4144CA4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1、质量管理体系认证证书；</w:t>
            </w:r>
          </w:p>
          <w:p w14:paraId="131A17CC">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2、环境管理体系认证；</w:t>
            </w:r>
          </w:p>
          <w:p w14:paraId="2E15E1D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3、职业健康安全管理体系认证；</w:t>
            </w:r>
          </w:p>
          <w:p w14:paraId="314E6E3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每提供1项得2分，满分6分。</w:t>
            </w:r>
          </w:p>
          <w:p w14:paraId="731A67E9">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注：响应文件中同时提供证书扫描件及全国认证认可信息公共服务平台官网证书信息查询截图。</w:t>
            </w:r>
          </w:p>
        </w:tc>
        <w:tc>
          <w:tcPr>
            <w:tcW w:w="978" w:type="dxa"/>
            <w:noWrap w:val="0"/>
            <w:vAlign w:val="center"/>
          </w:tcPr>
          <w:p w14:paraId="59254A2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6</w:t>
            </w:r>
            <w:r>
              <w:rPr>
                <w:rFonts w:hint="eastAsia" w:ascii="宋体" w:hAnsi="宋体" w:eastAsia="宋体" w:cs="宋体"/>
                <w:color w:val="auto"/>
                <w:spacing w:val="-11"/>
                <w:sz w:val="22"/>
                <w:szCs w:val="22"/>
                <w:lang w:val="en-US" w:eastAsia="zh-CN"/>
              </w:rPr>
              <w:t>分</w:t>
            </w:r>
          </w:p>
        </w:tc>
      </w:tr>
      <w:tr w14:paraId="62E8E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 w:hRule="atLeast"/>
        </w:trPr>
        <w:tc>
          <w:tcPr>
            <w:tcW w:w="1216" w:type="dxa"/>
            <w:noWrap w:val="0"/>
            <w:vAlign w:val="center"/>
          </w:tcPr>
          <w:p w14:paraId="6AA974D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4"/>
                <w:sz w:val="22"/>
                <w:szCs w:val="22"/>
                <w:lang w:val="en-US" w:eastAsia="zh-CN"/>
              </w:rPr>
            </w:pPr>
            <w:r>
              <w:rPr>
                <w:rFonts w:hint="eastAsia" w:ascii="宋体" w:hAnsi="宋体" w:eastAsia="宋体" w:cs="宋体"/>
                <w:color w:val="auto"/>
                <w:spacing w:val="-4"/>
                <w:sz w:val="22"/>
                <w:szCs w:val="22"/>
                <w:lang w:val="en-US" w:eastAsia="zh-CN"/>
              </w:rPr>
              <w:t>出险时间</w:t>
            </w:r>
          </w:p>
        </w:tc>
        <w:tc>
          <w:tcPr>
            <w:tcW w:w="7055" w:type="dxa"/>
            <w:noWrap w:val="0"/>
            <w:vAlign w:val="top"/>
          </w:tcPr>
          <w:p w14:paraId="7D79B3D6">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对供应商提供从受理到达出险地时间进行评审：</w:t>
            </w:r>
          </w:p>
          <w:p w14:paraId="04002F80">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（1）从受理到达出险地时间≤2小时，利于本项目实施的得4分； </w:t>
            </w:r>
          </w:p>
          <w:p w14:paraId="16BE359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（2）2小时＜从受理到达出险地时间≤3小时，满足本项目所需的得3分； </w:t>
            </w:r>
          </w:p>
          <w:p w14:paraId="223A2E8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（3）从受理到达出险地时间＞3小时的得2分； </w:t>
            </w:r>
          </w:p>
          <w:p w14:paraId="02E6D92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（4）未提供的不得分。 </w:t>
            </w:r>
          </w:p>
          <w:p w14:paraId="75D70961">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注：响应文件中提供承诺（格式自拟）。</w:t>
            </w:r>
          </w:p>
        </w:tc>
        <w:tc>
          <w:tcPr>
            <w:tcW w:w="978" w:type="dxa"/>
            <w:noWrap w:val="0"/>
            <w:vAlign w:val="center"/>
          </w:tcPr>
          <w:p w14:paraId="153E5FF0">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4</w:t>
            </w:r>
            <w:r>
              <w:rPr>
                <w:rFonts w:hint="eastAsia" w:ascii="宋体" w:hAnsi="宋体" w:eastAsia="宋体" w:cs="宋体"/>
                <w:color w:val="auto"/>
                <w:spacing w:val="-11"/>
                <w:sz w:val="22"/>
                <w:szCs w:val="22"/>
                <w:lang w:val="en-US" w:eastAsia="zh-CN"/>
              </w:rPr>
              <w:t>分</w:t>
            </w:r>
          </w:p>
        </w:tc>
      </w:tr>
    </w:tbl>
    <w:p w14:paraId="5AC677E5">
      <w:pPr>
        <w:keepNext w:val="0"/>
        <w:keepLines w:val="0"/>
        <w:pageBreakBefore w:val="0"/>
        <w:widowControl/>
        <w:kinsoku w:val="0"/>
        <w:wordWrap/>
        <w:overflowPunct/>
        <w:topLinePunct w:val="0"/>
        <w:autoSpaceDE w:val="0"/>
        <w:autoSpaceDN w:val="0"/>
        <w:bidi w:val="0"/>
        <w:adjustRightInd w:val="0"/>
        <w:snapToGrid w:val="0"/>
        <w:spacing w:line="360" w:lineRule="auto"/>
        <w:ind w:firstLine="454"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lang w:val="en-US" w:eastAsia="zh-CN"/>
        </w:rPr>
        <w:t>5.4</w:t>
      </w:r>
      <w:r>
        <w:rPr>
          <w:rFonts w:hint="eastAsia" w:ascii="宋体" w:hAnsi="宋体" w:eastAsia="宋体" w:cs="宋体"/>
          <w:b/>
          <w:bCs/>
          <w:color w:val="auto"/>
          <w:spacing w:val="-7"/>
          <w:sz w:val="24"/>
          <w:szCs w:val="24"/>
        </w:rPr>
        <w:t>分值汇总</w:t>
      </w:r>
    </w:p>
    <w:p w14:paraId="02A38168">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default" w:eastAsia="宋体"/>
          <w:b/>
          <w:bCs/>
          <w:color w:val="auto"/>
          <w:lang w:val="en-US" w:eastAsia="zh-CN"/>
        </w:rPr>
      </w:pPr>
      <w:r>
        <w:rPr>
          <w:rFonts w:hint="eastAsia" w:ascii="宋体" w:hAnsi="宋体" w:eastAsia="宋体" w:cs="宋体"/>
          <w:color w:val="auto"/>
          <w:spacing w:val="-6"/>
          <w:sz w:val="24"/>
          <w:szCs w:val="24"/>
        </w:rPr>
        <w:t>评审小组各成</w:t>
      </w:r>
      <w:r>
        <w:rPr>
          <w:rFonts w:hint="eastAsia" w:ascii="宋体" w:hAnsi="宋体" w:eastAsia="宋体" w:cs="宋体"/>
          <w:color w:val="auto"/>
          <w:spacing w:val="-4"/>
          <w:sz w:val="24"/>
          <w:szCs w:val="24"/>
        </w:rPr>
        <w:t>员</w:t>
      </w:r>
      <w:r>
        <w:rPr>
          <w:rFonts w:hint="eastAsia" w:ascii="宋体" w:hAnsi="宋体" w:eastAsia="宋体" w:cs="宋体"/>
          <w:color w:val="auto"/>
          <w:spacing w:val="-3"/>
          <w:sz w:val="24"/>
          <w:szCs w:val="24"/>
        </w:rPr>
        <w:t>应当独立对每个有效响应的文件进行评价、打分，然后汇总每个</w:t>
      </w:r>
      <w:r>
        <w:rPr>
          <w:rFonts w:hint="eastAsia" w:ascii="宋体" w:hAnsi="宋体" w:eastAsia="宋体" w:cs="宋体"/>
          <w:color w:val="auto"/>
          <w:spacing w:val="-1"/>
          <w:sz w:val="24"/>
          <w:szCs w:val="24"/>
        </w:rPr>
        <w:t>供应</w:t>
      </w:r>
      <w:r>
        <w:rPr>
          <w:rFonts w:hint="eastAsia" w:ascii="宋体" w:hAnsi="宋体" w:eastAsia="宋体" w:cs="宋体"/>
          <w:color w:val="auto"/>
          <w:sz w:val="24"/>
          <w:szCs w:val="24"/>
        </w:rPr>
        <w:t>商每项评分因素的得分(四舍五入保留至小数点后两位数)，再将供应商每项评分</w:t>
      </w:r>
      <w:r>
        <w:rPr>
          <w:rFonts w:hint="eastAsia" w:ascii="宋体" w:hAnsi="宋体" w:eastAsia="宋体" w:cs="宋体"/>
          <w:color w:val="auto"/>
          <w:spacing w:val="-10"/>
          <w:sz w:val="24"/>
          <w:szCs w:val="24"/>
        </w:rPr>
        <w:t>因素的得分进行汇总</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得到该供应商的综合总得分</w:t>
      </w:r>
      <w:r>
        <w:rPr>
          <w:rFonts w:hint="eastAsia" w:ascii="宋体" w:hAnsi="宋体" w:eastAsia="宋体" w:cs="宋体"/>
          <w:color w:val="auto"/>
          <w:spacing w:val="-5"/>
          <w:sz w:val="24"/>
          <w:szCs w:val="24"/>
        </w:rPr>
        <w:t>。</w:t>
      </w:r>
    </w:p>
    <w:p w14:paraId="21F975F7">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lang w:val="en-US" w:eastAsia="zh-CN"/>
        </w:rPr>
      </w:pPr>
      <w:r>
        <w:rPr>
          <w:rFonts w:hint="eastAsia" w:eastAsia="宋体"/>
          <w:b/>
          <w:bCs/>
          <w:color w:val="auto"/>
          <w:lang w:val="en-US" w:eastAsia="zh-CN"/>
        </w:rPr>
        <w:t>5.5入围供应商约定</w:t>
      </w:r>
    </w:p>
    <w:p w14:paraId="031A889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default" w:eastAsia="宋体"/>
          <w:b/>
          <w:bCs/>
          <w:color w:val="auto"/>
          <w:lang w:val="en-US" w:eastAsia="zh-CN"/>
        </w:rPr>
        <w:sectPr>
          <w:footerReference r:id="rId11" w:type="default"/>
          <w:pgSz w:w="11921" w:h="16851"/>
          <w:pgMar w:top="1432" w:right="1358" w:bottom="1466" w:left="1379" w:header="0" w:footer="1303" w:gutter="0"/>
          <w:pgNumType w:fmt="decimal"/>
          <w:cols w:space="720" w:num="1"/>
        </w:sectPr>
      </w:pPr>
      <w:r>
        <w:rPr>
          <w:rFonts w:hint="eastAsia" w:eastAsia="宋体"/>
          <w:b/>
          <w:bCs/>
          <w:color w:val="auto"/>
          <w:lang w:val="en-US" w:eastAsia="zh-CN"/>
        </w:rPr>
        <w:t>本项目设置淘汰比例为20%，且至少淘汰一家供应商 (向上取整，例如：8家供应商通过资格审查、符合性审查，按20%淘汰比例应该淘汰1.6家，向上取整后淘汰2家)，根据综合总得分由低到高进行淘汰。如出现得分并列时，则由评审小组采用随机抽取的方式确定淘汰供应商。</w:t>
      </w:r>
    </w:p>
    <w:p w14:paraId="1D3D7F89">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第五章 框架协议和采购合同文本</w:t>
      </w:r>
    </w:p>
    <w:p w14:paraId="1919A4E1">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3494F805">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105D17DA">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政府采购框架协议参考范本</w:t>
      </w:r>
    </w:p>
    <w:p w14:paraId="0FD7AA61">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（服务类）</w:t>
      </w:r>
    </w:p>
    <w:p w14:paraId="5DD7BDBE">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7DDCA545">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2CAF57F1">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794EE2FD">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06BC10A2">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7D24BFD5">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700A3898">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724422FC">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2FFD51B2">
      <w:pPr>
        <w:keepNext w:val="0"/>
        <w:keepLines w:val="0"/>
        <w:widowControl/>
        <w:suppressLineNumbers w:val="0"/>
        <w:jc w:val="center"/>
        <w:rPr>
          <w:sz w:val="28"/>
          <w:szCs w:val="28"/>
        </w:rPr>
      </w:pPr>
      <w:r>
        <w:rPr>
          <w:rFonts w:hint="eastAsia" w:ascii="宋体" w:hAnsi="宋体" w:eastAsia="宋体" w:cs="宋体"/>
          <w:b/>
          <w:bCs/>
          <w:snapToGrid w:val="0"/>
          <w:color w:val="000000"/>
          <w:kern w:val="0"/>
          <w:sz w:val="28"/>
          <w:szCs w:val="28"/>
          <w:lang w:val="en-US" w:eastAsia="zh-CN" w:bidi="ar"/>
        </w:rPr>
        <w:t>第一部分 框架协议书</w:t>
      </w:r>
    </w:p>
    <w:p w14:paraId="081687A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3683751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119A55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AC3A30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BF7238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FEA20D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7D284FF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15F4D71E">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11D0D0F0">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237EA29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0C243FD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3110F6D2">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both"/>
        <w:textAlignment w:val="baseline"/>
        <w:rPr>
          <w:sz w:val="24"/>
          <w:szCs w:val="24"/>
        </w:rPr>
      </w:pPr>
      <w:r>
        <w:rPr>
          <w:rFonts w:hint="eastAsia" w:ascii="宋体" w:hAnsi="宋体" w:eastAsia="宋体" w:cs="宋体"/>
          <w:snapToGrid w:val="0"/>
          <w:color w:val="000000"/>
          <w:kern w:val="0"/>
          <w:sz w:val="24"/>
          <w:szCs w:val="24"/>
          <w:lang w:val="en-US" w:eastAsia="zh-CN" w:bidi="ar"/>
        </w:rPr>
        <w:t>项目名称：</w:t>
      </w:r>
      <w:r>
        <w:rPr>
          <w:rFonts w:hint="eastAsia" w:ascii="宋体" w:hAnsi="宋体" w:eastAsia="宋体" w:cs="宋体"/>
          <w:snapToGrid w:val="0"/>
          <w:color w:val="000000"/>
          <w:kern w:val="0"/>
          <w:sz w:val="24"/>
          <w:szCs w:val="24"/>
          <w:u w:val="single"/>
          <w:lang w:val="en-US" w:eastAsia="zh-CN" w:bidi="ar"/>
        </w:rPr>
        <w:t>某项目</w:t>
      </w:r>
      <w:r>
        <w:rPr>
          <w:rFonts w:hint="eastAsia" w:ascii="宋体" w:hAnsi="宋体" w:eastAsia="宋体" w:cs="宋体"/>
          <w:i/>
          <w:iCs/>
          <w:snapToGrid w:val="0"/>
          <w:color w:val="000000"/>
          <w:kern w:val="0"/>
          <w:sz w:val="24"/>
          <w:szCs w:val="24"/>
          <w:u w:val="single"/>
          <w:lang w:val="en-US" w:eastAsia="zh-CN" w:bidi="ar"/>
        </w:rPr>
        <w:t>（分包项目须填写完整的分包号及分包名称）</w:t>
      </w:r>
    </w:p>
    <w:p w14:paraId="14AAFF4C">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both"/>
        <w:textAlignment w:val="baseline"/>
        <w:rPr>
          <w:sz w:val="24"/>
          <w:szCs w:val="24"/>
        </w:rPr>
      </w:pPr>
      <w:r>
        <w:rPr>
          <w:rFonts w:hint="eastAsia" w:ascii="宋体" w:hAnsi="宋体" w:eastAsia="宋体" w:cs="宋体"/>
          <w:snapToGrid w:val="0"/>
          <w:color w:val="000000"/>
          <w:kern w:val="0"/>
          <w:sz w:val="24"/>
          <w:szCs w:val="24"/>
          <w:lang w:val="en-US" w:eastAsia="zh-CN" w:bidi="ar"/>
        </w:rPr>
        <w:t>项目编号：</w:t>
      </w:r>
      <w:r>
        <w:rPr>
          <w:rFonts w:hint="eastAsia" w:ascii="宋体" w:hAnsi="宋体" w:eastAsia="宋体" w:cs="宋体"/>
          <w:snapToGrid w:val="0"/>
          <w:color w:val="000000"/>
          <w:kern w:val="0"/>
          <w:sz w:val="24"/>
          <w:szCs w:val="24"/>
          <w:u w:val="single"/>
          <w:lang w:val="en-US" w:eastAsia="zh-CN" w:bidi="ar"/>
        </w:rPr>
        <w:t>某编号</w:t>
      </w:r>
    </w:p>
    <w:p w14:paraId="534969F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sz w:val="24"/>
          <w:szCs w:val="24"/>
          <w:u w:val="single"/>
          <w:lang w:val="en-US"/>
        </w:rPr>
      </w:pPr>
      <w:r>
        <w:rPr>
          <w:rFonts w:hint="eastAsia" w:ascii="宋体" w:hAnsi="宋体" w:eastAsia="宋体" w:cs="宋体"/>
          <w:snapToGrid w:val="0"/>
          <w:color w:val="000000"/>
          <w:kern w:val="0"/>
          <w:sz w:val="24"/>
          <w:szCs w:val="24"/>
          <w:lang w:val="en-US" w:eastAsia="zh-CN" w:bidi="ar"/>
        </w:rPr>
        <w:t>甲方（征集人）：</w:t>
      </w:r>
      <w:r>
        <w:rPr>
          <w:rFonts w:hint="eastAsia" w:ascii="宋体" w:hAnsi="宋体" w:eastAsia="宋体" w:cs="宋体"/>
          <w:snapToGrid w:val="0"/>
          <w:color w:val="000000"/>
          <w:kern w:val="0"/>
          <w:sz w:val="24"/>
          <w:szCs w:val="24"/>
          <w:u w:val="single"/>
          <w:lang w:val="en-US" w:eastAsia="zh-CN" w:bidi="ar"/>
        </w:rPr>
        <w:t xml:space="preserve">                                </w:t>
      </w:r>
    </w:p>
    <w:p w14:paraId="73AC0AD2">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乙方（入围供应商）：</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69DC1FAB">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签订地：</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71DB6DE0">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签订日期：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w:t>
      </w:r>
    </w:p>
    <w:p w14:paraId="0F4D0843">
      <w:pPr>
        <w:spacing w:line="309" w:lineRule="auto"/>
        <w:rPr>
          <w:rFonts w:ascii="Arial"/>
          <w:color w:val="auto"/>
          <w:sz w:val="21"/>
        </w:rPr>
      </w:pPr>
    </w:p>
    <w:p w14:paraId="66B8F6CD">
      <w:pPr>
        <w:spacing w:line="309" w:lineRule="auto"/>
        <w:rPr>
          <w:rFonts w:ascii="Arial"/>
          <w:color w:val="auto"/>
          <w:sz w:val="21"/>
        </w:rPr>
      </w:pPr>
    </w:p>
    <w:p w14:paraId="427B1616">
      <w:pPr>
        <w:spacing w:line="309" w:lineRule="auto"/>
        <w:rPr>
          <w:rFonts w:ascii="Arial"/>
          <w:color w:val="auto"/>
          <w:sz w:val="21"/>
        </w:rPr>
      </w:pPr>
    </w:p>
    <w:p w14:paraId="13BF42B9">
      <w:pPr>
        <w:spacing w:line="309" w:lineRule="auto"/>
        <w:rPr>
          <w:rFonts w:ascii="Arial"/>
          <w:color w:val="auto"/>
          <w:sz w:val="21"/>
        </w:rPr>
      </w:pPr>
    </w:p>
    <w:p w14:paraId="096553EB">
      <w:pPr>
        <w:spacing w:line="309" w:lineRule="auto"/>
        <w:rPr>
          <w:rFonts w:ascii="Arial"/>
          <w:color w:val="auto"/>
          <w:sz w:val="21"/>
        </w:rPr>
      </w:pPr>
    </w:p>
    <w:p w14:paraId="126F5B5F">
      <w:pPr>
        <w:spacing w:line="309" w:lineRule="auto"/>
        <w:rPr>
          <w:rFonts w:ascii="Arial"/>
          <w:color w:val="auto"/>
          <w:sz w:val="21"/>
        </w:rPr>
      </w:pPr>
    </w:p>
    <w:p w14:paraId="2E2C2D51">
      <w:pPr>
        <w:keepNext w:val="0"/>
        <w:keepLines w:val="0"/>
        <w:pageBreakBefore w:val="0"/>
        <w:widowControl/>
        <w:kinsoku w:val="0"/>
        <w:wordWrap/>
        <w:overflowPunct/>
        <w:topLinePunct w:val="0"/>
        <w:autoSpaceDE w:val="0"/>
        <w:autoSpaceDN w:val="0"/>
        <w:bidi w:val="0"/>
        <w:adjustRightInd/>
        <w:snapToGrid/>
        <w:spacing w:line="360" w:lineRule="auto"/>
        <w:ind w:right="0" w:firstLine="440" w:firstLineChars="200"/>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u w:val="single"/>
          <w:lang w:val="en-US" w:eastAsia="zh-CN"/>
        </w:rPr>
        <w:t>某采购单位</w:t>
      </w:r>
      <w:r>
        <w:rPr>
          <w:rFonts w:hint="eastAsia" w:ascii="宋体" w:hAnsi="宋体" w:eastAsia="宋体" w:cs="宋体"/>
          <w:color w:val="auto"/>
          <w:spacing w:val="0"/>
          <w:position w:val="0"/>
          <w:sz w:val="22"/>
          <w:szCs w:val="22"/>
          <w:lang w:val="en-US" w:eastAsia="zh-CN"/>
        </w:rPr>
        <w:t>（以下简称：甲方）通过</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lang w:val="en-US" w:eastAsia="zh-CN"/>
        </w:rPr>
        <w:t>组织的</w:t>
      </w:r>
      <w:r>
        <w:rPr>
          <w:rFonts w:hint="eastAsia" w:ascii="宋体" w:hAnsi="宋体" w:eastAsia="宋体" w:cs="宋体"/>
          <w:color w:val="auto"/>
          <w:spacing w:val="0"/>
          <w:position w:val="0"/>
          <w:sz w:val="22"/>
          <w:szCs w:val="22"/>
          <w:u w:val="single"/>
          <w:lang w:val="en-US" w:eastAsia="zh-CN"/>
        </w:rPr>
        <w:t>框架协议</w:t>
      </w:r>
      <w:r>
        <w:rPr>
          <w:rFonts w:hint="eastAsia" w:ascii="宋体" w:hAnsi="宋体" w:eastAsia="宋体" w:cs="宋体"/>
          <w:color w:val="auto"/>
          <w:spacing w:val="0"/>
          <w:position w:val="0"/>
          <w:sz w:val="22"/>
          <w:szCs w:val="22"/>
          <w:lang w:val="en-US" w:eastAsia="zh-CN"/>
        </w:rPr>
        <w:t>方式采购活动，经</w:t>
      </w:r>
      <w:r>
        <w:rPr>
          <w:rFonts w:hint="eastAsia" w:ascii="宋体" w:hAnsi="宋体" w:eastAsia="宋体" w:cs="宋体"/>
          <w:color w:val="auto"/>
          <w:spacing w:val="0"/>
          <w:position w:val="0"/>
          <w:sz w:val="22"/>
          <w:szCs w:val="22"/>
          <w:u w:val="single"/>
          <w:lang w:val="en-US" w:eastAsia="zh-CN"/>
        </w:rPr>
        <w:t>评审小组</w:t>
      </w:r>
      <w:r>
        <w:rPr>
          <w:rFonts w:hint="eastAsia" w:ascii="宋体" w:hAnsi="宋体" w:eastAsia="宋体" w:cs="宋体"/>
          <w:color w:val="auto"/>
          <w:spacing w:val="0"/>
          <w:position w:val="0"/>
          <w:sz w:val="22"/>
          <w:szCs w:val="22"/>
          <w:lang w:val="en-US" w:eastAsia="zh-CN"/>
        </w:rPr>
        <w:t>评定，</w:t>
      </w:r>
      <w:r>
        <w:rPr>
          <w:rFonts w:hint="eastAsia" w:ascii="宋体" w:hAnsi="宋体" w:eastAsia="宋体" w:cs="宋体"/>
          <w:color w:val="auto"/>
          <w:spacing w:val="0"/>
          <w:position w:val="0"/>
          <w:sz w:val="22"/>
          <w:szCs w:val="22"/>
          <w:u w:val="single"/>
          <w:lang w:val="en-US" w:eastAsia="zh-CN"/>
        </w:rPr>
        <w:t xml:space="preserve"> （入围供应商名称）</w:t>
      </w:r>
      <w:r>
        <w:rPr>
          <w:rFonts w:hint="eastAsia" w:ascii="宋体" w:hAnsi="宋体" w:eastAsia="宋体" w:cs="宋体"/>
          <w:color w:val="auto"/>
          <w:spacing w:val="0"/>
          <w:position w:val="0"/>
          <w:sz w:val="22"/>
          <w:szCs w:val="22"/>
          <w:lang w:val="en-US" w:eastAsia="zh-CN"/>
        </w:rPr>
        <w:t xml:space="preserve">（以下简称：乙方）为本项目入围供应商，现按照采购文件确定的事项签订本框架协议。 </w:t>
      </w:r>
    </w:p>
    <w:p w14:paraId="21720D94">
      <w:pPr>
        <w:keepNext w:val="0"/>
        <w:keepLines w:val="0"/>
        <w:pageBreakBefore w:val="0"/>
        <w:widowControl/>
        <w:kinsoku w:val="0"/>
        <w:wordWrap/>
        <w:overflowPunct/>
        <w:topLinePunct w:val="0"/>
        <w:autoSpaceDE w:val="0"/>
        <w:autoSpaceDN w:val="0"/>
        <w:bidi w:val="0"/>
        <w:adjustRightInd/>
        <w:snapToGrid/>
        <w:spacing w:line="360" w:lineRule="auto"/>
        <w:ind w:right="0" w:firstLine="440" w:firstLineChars="200"/>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lang w:val="en-US" w:eastAsia="zh-CN"/>
        </w:rPr>
        <w:t>根据《中华人民共和国民法典》、《中华人民共和国政府采购法》等相关法律法规之规定，按照平等、自愿、公平和诚实信用的原则，经甲方和乙方协商一致，约定以下框架协议条款，以兹共同遵守、全面履行：</w:t>
      </w:r>
    </w:p>
    <w:p w14:paraId="3F8A599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一、第一阶段入围产品 </w:t>
      </w:r>
    </w:p>
    <w:p w14:paraId="4A63A61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1、本项目采购需求及最高限价详见本项目征集文件。 </w:t>
      </w:r>
    </w:p>
    <w:p w14:paraId="03F2852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2、入围服务内容、服务标准：</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 xml:space="preserve">(根据项目情况编辑)。 </w:t>
      </w:r>
    </w:p>
    <w:p w14:paraId="231ECDA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3、协议价格：</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 xml:space="preserve"> (根据项目情况编辑)。 </w:t>
      </w:r>
    </w:p>
    <w:p w14:paraId="5FE4E3D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二、入围产品升级换代规则</w:t>
      </w:r>
      <w:r>
        <w:rPr>
          <w:rFonts w:hint="eastAsia" w:ascii="宋体" w:hAnsi="宋体" w:eastAsia="宋体" w:cs="宋体"/>
          <w:b/>
          <w:bCs/>
          <w:snapToGrid w:val="0"/>
          <w:color w:val="000000"/>
          <w:kern w:val="0"/>
          <w:sz w:val="22"/>
          <w:szCs w:val="22"/>
          <w:u w:val="single"/>
          <w:lang w:val="en-US" w:eastAsia="zh-CN" w:bidi="ar"/>
        </w:rPr>
        <w:t>（本项目不适用）</w:t>
      </w:r>
      <w:r>
        <w:rPr>
          <w:rFonts w:hint="eastAsia" w:ascii="宋体" w:hAnsi="宋体" w:eastAsia="宋体" w:cs="宋体"/>
          <w:b/>
          <w:bCs/>
          <w:snapToGrid w:val="0"/>
          <w:color w:val="000000"/>
          <w:kern w:val="0"/>
          <w:sz w:val="22"/>
          <w:szCs w:val="22"/>
          <w:lang w:val="en-US" w:eastAsia="zh-CN" w:bidi="ar"/>
        </w:rPr>
        <w:t xml:space="preserve"> </w:t>
      </w:r>
    </w:p>
    <w:p w14:paraId="3E8DC606">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三、确定第二阶段成交供应商的方式 </w:t>
      </w:r>
    </w:p>
    <w:p w14:paraId="7345F7C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第二阶段成交供应商由采购人从第一阶段入围供应商中</w:t>
      </w:r>
      <w:r>
        <w:rPr>
          <w:rFonts w:hint="eastAsia" w:ascii="宋体" w:hAnsi="宋体" w:eastAsia="宋体" w:cs="宋体"/>
          <w:snapToGrid w:val="0"/>
          <w:color w:val="000000"/>
          <w:kern w:val="0"/>
          <w:sz w:val="22"/>
          <w:szCs w:val="22"/>
          <w:u w:val="single"/>
          <w:lang w:val="en-US" w:eastAsia="zh-CN" w:bidi="ar"/>
        </w:rPr>
        <w:t>直接选定</w:t>
      </w:r>
      <w:r>
        <w:rPr>
          <w:rFonts w:hint="eastAsia" w:ascii="宋体" w:hAnsi="宋体" w:eastAsia="宋体" w:cs="宋体"/>
          <w:snapToGrid w:val="0"/>
          <w:color w:val="000000"/>
          <w:kern w:val="0"/>
          <w:sz w:val="22"/>
          <w:szCs w:val="22"/>
          <w:lang w:val="en-US" w:eastAsia="zh-CN" w:bidi="ar"/>
        </w:rPr>
        <w:t xml:space="preserve">。 </w:t>
      </w:r>
    </w:p>
    <w:p w14:paraId="3932C409">
      <w:pPr>
        <w:keepNext w:val="0"/>
        <w:keepLines w:val="0"/>
        <w:pageBreakBefore w:val="0"/>
        <w:widowControl/>
        <w:numPr>
          <w:ilvl w:val="0"/>
          <w:numId w:val="5"/>
        </w:numPr>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napToGrid w:val="0"/>
          <w:color w:val="000000"/>
          <w:kern w:val="0"/>
          <w:sz w:val="22"/>
          <w:szCs w:val="22"/>
          <w:u w:val="single"/>
          <w:lang w:val="en-US" w:eastAsia="zh-CN" w:bidi="ar"/>
        </w:rPr>
      </w:pPr>
      <w:r>
        <w:rPr>
          <w:rFonts w:hint="eastAsia" w:ascii="宋体" w:hAnsi="宋体" w:eastAsia="宋体" w:cs="宋体"/>
          <w:b/>
          <w:bCs/>
          <w:snapToGrid w:val="0"/>
          <w:color w:val="000000"/>
          <w:kern w:val="0"/>
          <w:sz w:val="22"/>
          <w:szCs w:val="22"/>
          <w:lang w:val="en-US" w:eastAsia="zh-CN" w:bidi="ar"/>
        </w:rPr>
        <w:t>适用框架协议的采购人(或者服务对象) 范围，以及履行合同的地域范围：</w:t>
      </w:r>
      <w:r>
        <w:rPr>
          <w:rFonts w:hint="eastAsia" w:ascii="宋体" w:hAnsi="宋体" w:eastAsia="宋体" w:cs="宋体"/>
          <w:snapToGrid w:val="0"/>
          <w:color w:val="000000"/>
          <w:kern w:val="0"/>
          <w:sz w:val="22"/>
          <w:szCs w:val="22"/>
          <w:u w:val="single"/>
          <w:lang w:val="en-US" w:eastAsia="zh-CN" w:bidi="ar"/>
        </w:rPr>
        <w:t xml:space="preserve">        </w:t>
      </w:r>
    </w:p>
    <w:p w14:paraId="0093800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五、资金支付方式、时间和条件：</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b/>
          <w:bCs/>
          <w:snapToGrid w:val="0"/>
          <w:color w:val="000000"/>
          <w:kern w:val="0"/>
          <w:sz w:val="22"/>
          <w:szCs w:val="22"/>
          <w:lang w:val="en-US" w:eastAsia="zh-CN" w:bidi="ar"/>
        </w:rPr>
        <w:t xml:space="preserve"> </w:t>
      </w:r>
    </w:p>
    <w:p w14:paraId="1311B79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六、框架协议期限：</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b/>
          <w:bCs/>
          <w:snapToGrid w:val="0"/>
          <w:color w:val="000000"/>
          <w:kern w:val="0"/>
          <w:sz w:val="22"/>
          <w:szCs w:val="22"/>
          <w:lang w:val="en-US" w:eastAsia="zh-CN" w:bidi="ar"/>
        </w:rPr>
        <w:t xml:space="preserve"> </w:t>
      </w:r>
    </w:p>
    <w:p w14:paraId="18D6C42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七、入围供应商清退和补充规则 </w:t>
      </w:r>
    </w:p>
    <w:p w14:paraId="4DF3AA4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1、清退规则：</w:t>
      </w:r>
    </w:p>
    <w:p w14:paraId="578FF625">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入围供应商存在《政府采购框架协议采购方式管理暂行办法》第十九条规定情形的，尚未签订框架协议的，取消其入围资格；已经签订框架协议的，解除与其签订的框架协议。</w:t>
      </w:r>
    </w:p>
    <w:p w14:paraId="13E1EE2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2、补充规则：</w:t>
      </w:r>
    </w:p>
    <w:p w14:paraId="6CD39EDD">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除剩余入围供应商不足入围供应商总数70%且影响框架协议执行的情形外，框架协议有效期内，征集人不得补充征集供应商。</w:t>
      </w:r>
    </w:p>
    <w:p w14:paraId="019EE7DF">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2468C56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八、协议方的权利和义务 </w:t>
      </w:r>
    </w:p>
    <w:p w14:paraId="1439735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(一)甲方的权利和义务 </w:t>
      </w:r>
    </w:p>
    <w:p w14:paraId="2E0FA966">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1、甲方就组织本项目的合法有效性负责,包括甲方在必要情形下将采取符合法律规定及本次征集文件规定的适当可行的必要措施,尽力保证甲方组织本项目的合法有效性。 </w:t>
      </w:r>
    </w:p>
    <w:p w14:paraId="700BA9A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2、甲方将依照有关法规、规章的规定,要求采购人按照本项目征集文件、本框架协议所确定的产品和服务范围向乙方采购有关服务。</w:t>
      </w:r>
    </w:p>
    <w:p w14:paraId="6C9BBE6F">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3、甲方就本项目的任何及/或全部事项相关的活动及/或行为,均应当严格遵循政府采购依法所应当遵循的公开透明原则、公平竞争原则、公正原则和诚实信用原则。 </w:t>
      </w:r>
    </w:p>
    <w:p w14:paraId="7CACA3F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4、甲方(及其代表的采购人)有权根据实际使用需要及乙方在响应文件中的承诺,确定最终采购的数量、配置和相关服务的内容。 </w:t>
      </w:r>
    </w:p>
    <w:p w14:paraId="3ECC1D7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5、甲方有权建立用户反馈和评价机制，接受采购人和服务对象对入围供应商履行框架协议和采购合同情况的反馈与评价，并将用户反馈和评价情况向采购人和服务对象公开，作为第二阶段直接选定成交供应商及代理商的参考。 </w:t>
      </w:r>
    </w:p>
    <w:p w14:paraId="2C5A693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(二)乙方的权利和义务 </w:t>
      </w:r>
    </w:p>
    <w:p w14:paraId="1859AA5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1.乙方在甲方公布本项目的入围结果后,取得为采购人提供服务的有效资格。</w:t>
      </w:r>
    </w:p>
    <w:p w14:paraId="6254B0A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2.乙方作为本项目相关服务的提供商,应按照本项目征集文件的要求,由其自身提供</w:t>
      </w:r>
      <w:r>
        <w:rPr>
          <w:rFonts w:hint="eastAsia" w:ascii="宋体" w:hAnsi="宋体" w:eastAsia="宋体" w:cs="宋体"/>
          <w:snapToGrid w:val="0"/>
          <w:color w:val="000000"/>
          <w:kern w:val="0"/>
          <w:sz w:val="22"/>
          <w:szCs w:val="22"/>
          <w:u w:val="single"/>
          <w:lang w:val="en-US" w:eastAsia="zh-CN" w:bidi="ar"/>
        </w:rPr>
        <w:t xml:space="preserve">服务(根据项目情况编辑) </w:t>
      </w:r>
      <w:r>
        <w:rPr>
          <w:rFonts w:hint="eastAsia" w:ascii="宋体" w:hAnsi="宋体" w:eastAsia="宋体" w:cs="宋体"/>
          <w:snapToGrid w:val="0"/>
          <w:color w:val="000000"/>
          <w:kern w:val="0"/>
          <w:sz w:val="22"/>
          <w:szCs w:val="22"/>
          <w:lang w:val="en-US" w:eastAsia="zh-CN" w:bidi="ar"/>
        </w:rPr>
        <w:t xml:space="preserve">。甲方及采购人有权要求乙方作为服务提供商承担法律及征集文件规定、响应文件承诺和本框架协议约定的相关责任(包括但不限于服务质量相关责任、响应文件中应答的服务责任、违约责任、赔偿责任等)。 </w:t>
      </w:r>
    </w:p>
    <w:p w14:paraId="12A5866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3.乙方提供的服务应皆为符合国家标准和征集文件要求的服务,乙方承诺为各采购人提供符合或高于国家标准和征集文件全部要求的服务。 </w:t>
      </w:r>
    </w:p>
    <w:p w14:paraId="6069915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4.若乙方在响应时承诺的售后服务标准高于乙方的标准售后服务标准,乙方承诺应按照响应时承诺的售后服务标准提供服务而不另行收费。</w:t>
      </w:r>
    </w:p>
    <w:p w14:paraId="6CA19AE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5.乙方保证依据征集文件要求和乙方响应文件的承诺,及时向各采购人提供高质量的服务，成交价格不高于响应报价,若实际存在任何该类附加或额外条款,无论签署的情形如何,除非经甲方书面认可,均应当被视为是无效。 </w:t>
      </w:r>
    </w:p>
    <w:p w14:paraId="33D78F8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6.当采购人投诉乙方提供的服务存在质量问题时,乙方承诺按照本框架协议、征集文件、响应文件和国家有关强制性规范中的相关规定、约定、承诺进行处理。若乙方不认同采购人投诉的问题或双方无法就提供的服务是否存在质量问题以及问题类型达成一致书面意见的,乙方在此承诺同意经采购人指定的第三方权威检测机构进行检验并在检测结果证明存在采购人投诉的问题的情形下承担由此发生的检测费用。 </w:t>
      </w:r>
    </w:p>
    <w:p w14:paraId="0F9B2B0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7.乙方承诺在响应文件中的服务报价为响应人为采购人提供相应服务的最终报价</w:t>
      </w:r>
      <w:r>
        <w:rPr>
          <w:rFonts w:hint="eastAsia" w:ascii="宋体" w:hAnsi="宋体" w:eastAsia="宋体" w:cs="宋体"/>
          <w:snapToGrid w:val="0"/>
          <w:color w:val="000000"/>
          <w:kern w:val="0"/>
          <w:sz w:val="22"/>
          <w:szCs w:val="22"/>
          <w:u w:val="single"/>
          <w:lang w:val="en-US" w:eastAsia="zh-CN" w:bidi="ar"/>
        </w:rPr>
        <w:t>(根据项目情况编辑)</w:t>
      </w:r>
      <w:r>
        <w:rPr>
          <w:rFonts w:hint="eastAsia" w:ascii="宋体" w:hAnsi="宋体" w:eastAsia="宋体" w:cs="宋体"/>
          <w:snapToGrid w:val="0"/>
          <w:color w:val="000000"/>
          <w:kern w:val="0"/>
          <w:sz w:val="22"/>
          <w:szCs w:val="22"/>
          <w:lang w:val="en-US" w:eastAsia="zh-CN" w:bidi="ar"/>
        </w:rPr>
        <w:t xml:space="preserve"> ,包含任何响应人可能涉及的费用。采购人采购相应服务时,只需支付乙方在响应文件中明确报出的服务价格,而不用支付任何额外的其他费用。 </w:t>
      </w:r>
    </w:p>
    <w:p w14:paraId="568B4C6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8.乙方接受并配合征集人和采购人开展的价格行情调查工作,接受对乙方提供服务的价格进行监测及综合分析。如乙方的某项服务价格高于乙方针对其他采购对象提供的平均市场价格,经核实属实的，应立即予以纠正，若在征集人规定期限内不能按照规定标准做到价格下调。乙方将接受征集人强制降价或暂停提供该项服务的资格，直至终止全部服务的提供资格。 </w:t>
      </w:r>
    </w:p>
    <w:p w14:paraId="01FE264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9.乙方保证:不同采购人采购同类服务获得的优惠价格和服务,可以作为参照案例执行；本框架协议的采购产品及服务价格低于同行业、同类型、同等规模公开采购项目的实际成交价格。</w:t>
      </w:r>
    </w:p>
    <w:p w14:paraId="6D45C22D">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10.乙方承诺服从征集人对乙方进行履约管理。承诺并知晓:若乙方不按征集文件约定进行履约，或出现质量和服务等问题时,征集人将通过约谈和公示机制,对严重违反征集文件规定的情形,暂停入围资格、在相关媒体曝光,直至提请监管部门列入政府采购严重违法失信行为记录名单。 </w:t>
      </w:r>
    </w:p>
    <w:p w14:paraId="6FDAC3CF">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11.在本次框架协议采购的执行有效期内。乙方在特定时间举办的促销活动和推出的优惠政策，如涉及响应的产品及服务的,采购人有权参加促销活动并享受优惠政策。</w:t>
      </w:r>
    </w:p>
    <w:p w14:paraId="6BC2281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12.乙方保证在提供服务时遵从甲方关于本项目的采购程序,按征集文件规定的方式与各采购人签订合同/协议,妥善保管合同/协议,保证不会将合同/协议中的权利、义务转让,保证不会转包、分包。 </w:t>
      </w:r>
    </w:p>
    <w:p w14:paraId="728898A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13.乙方同意:除非乙方另外递交书面特别声明文件并经甲方书面确认外,甲方为实施政府采购工作的需要可以在相关政府采购业务网站和相关文件上公布乙方入围的服务类型、价格、优惠情况以及其他相关信息；所公布的信息无需事先经过乙方审查同意,任何在政府采购有关的官方媒体上的信息公布均属于或均被视为符合法律程序的信息公布,均不属于对有关保密义务的违反。 </w:t>
      </w:r>
    </w:p>
    <w:p w14:paraId="23D0054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14.乙方应当保存与入围服务有关的统一正式对外报价(包括公司内部文件。官网信息发布等各类形式)等信息三年以上，并随时可以提供给甲方审查。 </w:t>
      </w:r>
    </w:p>
    <w:p w14:paraId="6280E89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15.乙方入围的某类型服务如出现无法继续提供的情况时,需向甲方提交书面材料,申请暂停或替换该类型的产品及服务。 </w:t>
      </w:r>
    </w:p>
    <w:p w14:paraId="29155CC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16.甲方决定延长本项目有效期的,可通过“安徽省政府采购网”予以公示。若乙方在7日内没有提出书面异议,则视为接受甲方的要约,乙方在响应文件、本框架协议及其所涉及相关事项的有效承诺期限也相应延长。除此以外,乙方承诺不修改响应文件的其它实质性内容。</w:t>
      </w:r>
    </w:p>
    <w:p w14:paraId="122B389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17.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 均属乙方单方面之因素、原因、责任,任何情况下乙方均应当承担相应的法律责任。</w:t>
      </w:r>
    </w:p>
    <w:p w14:paraId="18DC259C">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18.乙方同意本协议适用于</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,以及甲方指定的共享本次框架协议采购结果的其他单位。</w:t>
      </w:r>
    </w:p>
    <w:p w14:paraId="5AEEC00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 </w:t>
      </w:r>
    </w:p>
    <w:p w14:paraId="797603B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九、其他规定 </w:t>
      </w:r>
    </w:p>
    <w:p w14:paraId="126DEF2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1、本次框架协议采购将使用统一的采购合同文本，采购人、服务对象和供应商不得擅自改变框架协议约定的合同实质性条款。</w:t>
      </w:r>
    </w:p>
    <w:p w14:paraId="19FFB31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2、协议双方应通过友好协商解决因解释、执行本协议所发生的和本协议有关的一切争议。如果经协商在任何一方认为所需的合理时间内不能达成协议，按以下第( )项方式处理： </w:t>
      </w:r>
    </w:p>
    <w:p w14:paraId="54B5365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①根据《中华人民共和国仲裁法》的规定向</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申请仲裁。</w:t>
      </w:r>
    </w:p>
    <w:p w14:paraId="0BAC4FD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②向</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人民法院起诉。</w:t>
      </w:r>
    </w:p>
    <w:p w14:paraId="6350FB86">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u w:val="single"/>
          <w:lang w:val="en-US" w:eastAsia="zh-CN" w:bidi="ar"/>
        </w:rPr>
      </w:pPr>
      <w:r>
        <w:rPr>
          <w:rFonts w:hint="eastAsia" w:ascii="宋体" w:hAnsi="宋体" w:eastAsia="宋体" w:cs="宋体"/>
          <w:snapToGrid w:val="0"/>
          <w:color w:val="000000"/>
          <w:kern w:val="0"/>
          <w:sz w:val="22"/>
          <w:szCs w:val="22"/>
          <w:lang w:val="en-US" w:eastAsia="zh-CN" w:bidi="ar"/>
        </w:rPr>
        <w:t>3、</w:t>
      </w:r>
      <w:r>
        <w:rPr>
          <w:rFonts w:hint="eastAsia" w:ascii="宋体" w:hAnsi="宋体" w:eastAsia="宋体" w:cs="宋体"/>
          <w:snapToGrid w:val="0"/>
          <w:color w:val="000000"/>
          <w:kern w:val="0"/>
          <w:sz w:val="22"/>
          <w:szCs w:val="22"/>
          <w:u w:val="single"/>
          <w:lang w:val="en-US" w:eastAsia="zh-CN" w:bidi="ar"/>
        </w:rPr>
        <w:t xml:space="preserve"> (根据项目情况编辑)。</w:t>
      </w:r>
    </w:p>
    <w:p w14:paraId="7A0DE578">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color w:val="auto"/>
          <w:spacing w:val="0"/>
          <w:position w:val="0"/>
          <w:sz w:val="22"/>
          <w:szCs w:val="22"/>
          <w:lang w:val="en-US" w:eastAsia="zh-CN"/>
        </w:rPr>
      </w:pPr>
    </w:p>
    <w:p w14:paraId="639DD328">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rPr>
        <w:t>甲方：(盖章)</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乙方：(盖章)</w:t>
      </w:r>
    </w:p>
    <w:p w14:paraId="29642F31">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rPr>
        <w:t>法定代表人</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法定代表人</w:t>
      </w:r>
    </w:p>
    <w:p w14:paraId="7F3F186D">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rPr>
        <w:t>或委托代表人：(签字或盖章)</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或委托代表人：(签字或盖章)</w:t>
      </w:r>
    </w:p>
    <w:p w14:paraId="688D9405">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rPr>
        <w:t>甲方</w:t>
      </w:r>
      <w:r>
        <w:rPr>
          <w:rFonts w:hint="eastAsia" w:ascii="宋体" w:hAnsi="宋体" w:eastAsia="宋体" w:cs="宋体"/>
          <w:color w:val="auto"/>
          <w:spacing w:val="0"/>
          <w:position w:val="0"/>
          <w:sz w:val="22"/>
          <w:szCs w:val="22"/>
          <w:lang w:val="en-US" w:eastAsia="zh-CN"/>
        </w:rPr>
        <w:t>地址</w:t>
      </w:r>
      <w:r>
        <w:rPr>
          <w:rFonts w:hint="eastAsia" w:ascii="宋体" w:hAnsi="宋体" w:eastAsia="宋体" w:cs="宋体"/>
          <w:color w:val="auto"/>
          <w:spacing w:val="0"/>
          <w:position w:val="0"/>
          <w:sz w:val="22"/>
          <w:szCs w:val="22"/>
        </w:rPr>
        <w:t xml:space="preserve">：                                </w:t>
      </w:r>
      <w:r>
        <w:rPr>
          <w:rFonts w:hint="eastAsia" w:ascii="宋体" w:hAnsi="宋体" w:eastAsia="宋体" w:cs="宋体"/>
          <w:color w:val="auto"/>
          <w:spacing w:val="0"/>
          <w:position w:val="0"/>
          <w:sz w:val="22"/>
          <w:szCs w:val="22"/>
          <w:lang w:val="en-US" w:eastAsia="zh-CN"/>
        </w:rPr>
        <w:t>乙方地址</w:t>
      </w:r>
      <w:r>
        <w:rPr>
          <w:rFonts w:hint="eastAsia" w:ascii="宋体" w:hAnsi="宋体" w:eastAsia="宋体" w:cs="宋体"/>
          <w:color w:val="auto"/>
          <w:spacing w:val="0"/>
          <w:position w:val="0"/>
          <w:sz w:val="22"/>
          <w:szCs w:val="22"/>
        </w:rPr>
        <w:t>：</w:t>
      </w:r>
    </w:p>
    <w:p w14:paraId="22255FAA">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jc w:val="both"/>
        <w:textAlignment w:val="baseline"/>
        <w:rPr>
          <w:rFonts w:hint="eastAsia" w:ascii="宋体" w:hAnsi="宋体" w:eastAsia="宋体" w:cs="宋体"/>
          <w:color w:val="auto"/>
          <w:sz w:val="22"/>
          <w:szCs w:val="22"/>
        </w:rPr>
        <w:sectPr>
          <w:footerReference r:id="rId12" w:type="default"/>
          <w:type w:val="continuous"/>
          <w:pgSz w:w="11940" w:h="16860"/>
          <w:pgMar w:top="957" w:right="1678" w:bottom="984" w:left="1791" w:header="0" w:footer="821" w:gutter="0"/>
          <w:pgNumType w:fmt="decimal"/>
          <w:cols w:equalWidth="0" w:num="1">
            <w:col w:w="8471"/>
          </w:cols>
        </w:sectPr>
      </w:pPr>
      <w:r>
        <w:rPr>
          <w:rFonts w:hint="eastAsia" w:ascii="宋体" w:hAnsi="宋体" w:eastAsia="宋体" w:cs="宋体"/>
          <w:color w:val="auto"/>
          <w:spacing w:val="0"/>
          <w:position w:val="0"/>
          <w:sz w:val="22"/>
          <w:szCs w:val="22"/>
          <w:lang w:val="en-US" w:eastAsia="zh-CN"/>
        </w:rPr>
        <w:t>时间：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rPr>
        <w:t>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月</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日</w:t>
      </w:r>
      <w:r>
        <w:rPr>
          <w:rFonts w:hint="eastAsia" w:ascii="宋体" w:hAnsi="宋体" w:eastAsia="宋体" w:cs="宋体"/>
          <w:color w:val="auto"/>
          <w:spacing w:val="0"/>
          <w:position w:val="0"/>
          <w:sz w:val="22"/>
          <w:szCs w:val="22"/>
          <w:lang w:val="en-US" w:eastAsia="zh-CN"/>
        </w:rPr>
        <w:t xml:space="preserve">                   时间：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rPr>
        <w:t>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月</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日</w:t>
      </w:r>
    </w:p>
    <w:p w14:paraId="0D70E5B9">
      <w:pPr>
        <w:pStyle w:val="2"/>
        <w:tabs>
          <w:tab w:val="left" w:pos="1125"/>
        </w:tabs>
        <w:ind w:right="136"/>
        <w:jc w:val="center"/>
        <w:rPr>
          <w:rFonts w:hint="eastAsia" w:ascii="宋体" w:hAnsi="宋体" w:eastAsia="宋体" w:cs="宋体"/>
          <w:b w:val="0"/>
          <w:sz w:val="32"/>
        </w:rPr>
      </w:pPr>
      <w:r>
        <w:rPr>
          <w:rFonts w:hint="eastAsia" w:ascii="宋体" w:hAnsi="宋体" w:eastAsia="宋体" w:cs="宋体"/>
          <w:sz w:val="32"/>
          <w:szCs w:val="32"/>
        </w:rPr>
        <w:t>政府采购合同</w:t>
      </w:r>
    </w:p>
    <w:p w14:paraId="3E065D3C">
      <w:pPr>
        <w:pStyle w:val="5"/>
        <w:spacing w:before="10"/>
        <w:ind w:left="0"/>
        <w:rPr>
          <w:b/>
          <w:sz w:val="32"/>
        </w:rPr>
      </w:pPr>
    </w:p>
    <w:p w14:paraId="42F4DBB5">
      <w:pPr>
        <w:pStyle w:val="3"/>
        <w:spacing w:before="0"/>
        <w:ind w:left="1367" w:right="1503"/>
        <w:jc w:val="center"/>
        <w:rPr>
          <w:sz w:val="28"/>
          <w:szCs w:val="28"/>
        </w:rPr>
      </w:pPr>
      <w:r>
        <w:rPr>
          <w:spacing w:val="-1"/>
          <w:sz w:val="28"/>
          <w:szCs w:val="28"/>
        </w:rPr>
        <w:t>第一部分 合同书</w:t>
      </w:r>
    </w:p>
    <w:p w14:paraId="16493D3B">
      <w:pPr>
        <w:pStyle w:val="5"/>
        <w:ind w:left="0"/>
        <w:rPr>
          <w:b/>
          <w:sz w:val="21"/>
          <w:szCs w:val="21"/>
        </w:rPr>
      </w:pPr>
    </w:p>
    <w:p w14:paraId="327C52AA">
      <w:pPr>
        <w:pStyle w:val="5"/>
        <w:ind w:left="0"/>
        <w:rPr>
          <w:b/>
          <w:sz w:val="21"/>
          <w:szCs w:val="21"/>
        </w:rPr>
      </w:pPr>
    </w:p>
    <w:p w14:paraId="0F780115">
      <w:pPr>
        <w:pStyle w:val="5"/>
        <w:ind w:left="0"/>
        <w:rPr>
          <w:b/>
          <w:sz w:val="21"/>
          <w:szCs w:val="21"/>
        </w:rPr>
      </w:pPr>
    </w:p>
    <w:p w14:paraId="42D720E8">
      <w:pPr>
        <w:pStyle w:val="5"/>
        <w:ind w:left="0"/>
        <w:rPr>
          <w:b/>
          <w:sz w:val="21"/>
          <w:szCs w:val="21"/>
        </w:rPr>
      </w:pPr>
    </w:p>
    <w:p w14:paraId="31806D88">
      <w:pPr>
        <w:pStyle w:val="5"/>
        <w:ind w:left="0"/>
        <w:rPr>
          <w:b/>
          <w:sz w:val="21"/>
          <w:szCs w:val="21"/>
        </w:rPr>
      </w:pPr>
    </w:p>
    <w:p w14:paraId="3905767E">
      <w:pPr>
        <w:pStyle w:val="5"/>
        <w:ind w:left="0"/>
        <w:rPr>
          <w:b/>
          <w:sz w:val="21"/>
          <w:szCs w:val="21"/>
        </w:rPr>
      </w:pPr>
    </w:p>
    <w:p w14:paraId="3CF05636">
      <w:pPr>
        <w:pStyle w:val="5"/>
        <w:ind w:left="0"/>
        <w:rPr>
          <w:b/>
          <w:sz w:val="21"/>
          <w:szCs w:val="21"/>
        </w:rPr>
      </w:pPr>
    </w:p>
    <w:p w14:paraId="1A85B90A">
      <w:pPr>
        <w:pStyle w:val="5"/>
        <w:ind w:left="0"/>
        <w:rPr>
          <w:b/>
          <w:sz w:val="21"/>
          <w:szCs w:val="21"/>
        </w:rPr>
      </w:pPr>
    </w:p>
    <w:p w14:paraId="5F4F061F">
      <w:pPr>
        <w:pStyle w:val="5"/>
        <w:ind w:left="0"/>
        <w:rPr>
          <w:b/>
          <w:sz w:val="21"/>
          <w:szCs w:val="21"/>
        </w:rPr>
      </w:pPr>
    </w:p>
    <w:p w14:paraId="462FC3C9">
      <w:pPr>
        <w:pStyle w:val="5"/>
        <w:ind w:left="0"/>
        <w:rPr>
          <w:b/>
          <w:sz w:val="21"/>
          <w:szCs w:val="21"/>
        </w:rPr>
      </w:pPr>
    </w:p>
    <w:p w14:paraId="010DBA05">
      <w:pPr>
        <w:pStyle w:val="5"/>
        <w:ind w:left="0"/>
        <w:rPr>
          <w:b/>
          <w:sz w:val="28"/>
          <w:szCs w:val="28"/>
        </w:rPr>
      </w:pPr>
    </w:p>
    <w:p w14:paraId="0DB45DC4">
      <w:pPr>
        <w:pStyle w:val="5"/>
        <w:spacing w:before="5"/>
        <w:ind w:left="0"/>
        <w:rPr>
          <w:b/>
          <w:sz w:val="28"/>
          <w:szCs w:val="28"/>
        </w:rPr>
      </w:pPr>
    </w:p>
    <w:p w14:paraId="3E4F161A">
      <w:pPr>
        <w:spacing w:before="1"/>
        <w:ind w:left="330" w:right="135"/>
        <w:jc w:val="center"/>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某项目</w:t>
      </w:r>
      <w:r>
        <w:rPr>
          <w:rFonts w:hint="eastAsia" w:ascii="宋体" w:hAnsi="宋体" w:eastAsia="宋体" w:cs="宋体"/>
          <w:sz w:val="28"/>
          <w:szCs w:val="28"/>
        </w:rPr>
        <w:t>（分包项目须填写完整的分包号及分包名称）</w:t>
      </w:r>
    </w:p>
    <w:p w14:paraId="620639E9">
      <w:pPr>
        <w:pStyle w:val="5"/>
        <w:spacing w:before="8"/>
        <w:ind w:left="0"/>
        <w:rPr>
          <w:rFonts w:hint="eastAsia" w:ascii="宋体" w:hAnsi="宋体" w:eastAsia="宋体" w:cs="宋体"/>
          <w:sz w:val="28"/>
          <w:szCs w:val="28"/>
        </w:rPr>
      </w:pPr>
    </w:p>
    <w:p w14:paraId="7E58503D">
      <w:pPr>
        <w:pStyle w:val="5"/>
        <w:spacing w:before="67"/>
        <w:ind w:firstLine="560" w:firstLineChars="2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某编号</w:t>
      </w:r>
    </w:p>
    <w:p w14:paraId="14E288D7">
      <w:pPr>
        <w:pStyle w:val="5"/>
        <w:spacing w:before="3"/>
        <w:ind w:left="0"/>
        <w:rPr>
          <w:rFonts w:hint="eastAsia" w:ascii="宋体" w:hAnsi="宋体" w:eastAsia="宋体" w:cs="宋体"/>
          <w:sz w:val="28"/>
          <w:szCs w:val="28"/>
        </w:rPr>
      </w:pPr>
    </w:p>
    <w:p w14:paraId="27761DBB">
      <w:pPr>
        <w:pStyle w:val="5"/>
        <w:tabs>
          <w:tab w:val="left" w:pos="6636"/>
        </w:tabs>
        <w:spacing w:before="74"/>
        <w:ind w:firstLine="560" w:firstLineChars="200"/>
        <w:rPr>
          <w:rFonts w:hint="eastAsia" w:ascii="宋体" w:hAnsi="宋体" w:eastAsia="宋体" w:cs="宋体"/>
          <w:sz w:val="28"/>
          <w:szCs w:val="28"/>
        </w:rPr>
      </w:pPr>
      <w:r>
        <w:rPr>
          <w:rFonts w:hint="eastAsia" w:ascii="宋体" w:hAnsi="宋体" w:eastAsia="宋体" w:cs="宋体"/>
          <w:sz w:val="28"/>
          <w:szCs w:val="28"/>
        </w:rPr>
        <w:t>甲方（采购人</w:t>
      </w:r>
      <w:r>
        <w:rPr>
          <w:rFonts w:hint="eastAsia" w:ascii="宋体" w:hAnsi="宋体" w:eastAsia="宋体" w:cs="宋体"/>
          <w:spacing w:val="-120"/>
          <w:sz w:val="28"/>
          <w:szCs w:val="28"/>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3FE95033">
      <w:pPr>
        <w:pStyle w:val="5"/>
        <w:ind w:left="0"/>
        <w:rPr>
          <w:rFonts w:hint="eastAsia" w:ascii="宋体" w:hAnsi="宋体" w:eastAsia="宋体" w:cs="宋体"/>
          <w:sz w:val="28"/>
          <w:szCs w:val="28"/>
        </w:rPr>
      </w:pPr>
    </w:p>
    <w:p w14:paraId="6CD1EECB">
      <w:pPr>
        <w:pStyle w:val="5"/>
        <w:tabs>
          <w:tab w:val="left" w:pos="6636"/>
        </w:tabs>
        <w:spacing w:before="207"/>
        <w:ind w:firstLine="560" w:firstLineChars="200"/>
        <w:rPr>
          <w:rFonts w:hint="eastAsia" w:ascii="宋体" w:hAnsi="宋体" w:eastAsia="宋体" w:cs="宋体"/>
          <w:sz w:val="28"/>
          <w:szCs w:val="28"/>
        </w:rPr>
      </w:pPr>
      <w:r>
        <w:rPr>
          <w:rFonts w:hint="eastAsia" w:ascii="宋体" w:hAnsi="宋体" w:eastAsia="宋体" w:cs="宋体"/>
          <w:sz w:val="28"/>
          <w:szCs w:val="28"/>
        </w:rPr>
        <w:t>乙方（中标人</w:t>
      </w:r>
      <w:r>
        <w:rPr>
          <w:rFonts w:hint="eastAsia" w:ascii="宋体" w:hAnsi="宋体" w:eastAsia="宋体" w:cs="宋体"/>
          <w:spacing w:val="-120"/>
          <w:sz w:val="28"/>
          <w:szCs w:val="28"/>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58406C77">
      <w:pPr>
        <w:pStyle w:val="5"/>
        <w:ind w:left="0"/>
        <w:rPr>
          <w:rFonts w:hint="eastAsia" w:ascii="宋体" w:hAnsi="宋体" w:eastAsia="宋体" w:cs="宋体"/>
          <w:sz w:val="28"/>
          <w:szCs w:val="28"/>
        </w:rPr>
      </w:pPr>
    </w:p>
    <w:p w14:paraId="37C34694">
      <w:pPr>
        <w:pStyle w:val="5"/>
        <w:tabs>
          <w:tab w:val="left" w:pos="6636"/>
        </w:tabs>
        <w:spacing w:before="207"/>
        <w:ind w:firstLine="560" w:firstLineChars="200"/>
        <w:rPr>
          <w:rFonts w:hint="eastAsia" w:ascii="宋体" w:hAnsi="宋体" w:eastAsia="宋体" w:cs="宋体"/>
          <w:sz w:val="28"/>
          <w:szCs w:val="28"/>
        </w:rPr>
      </w:pPr>
      <w:r>
        <w:rPr>
          <w:rFonts w:hint="eastAsia" w:ascii="宋体" w:hAnsi="宋体" w:eastAsia="宋体" w:cs="宋体"/>
          <w:sz w:val="28"/>
          <w:szCs w:val="28"/>
        </w:rPr>
        <w:t>签订地：</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7D4058CA">
      <w:pPr>
        <w:pStyle w:val="5"/>
        <w:ind w:left="0"/>
        <w:rPr>
          <w:rFonts w:hint="eastAsia" w:ascii="宋体" w:hAnsi="宋体" w:eastAsia="宋体" w:cs="宋体"/>
          <w:sz w:val="28"/>
          <w:szCs w:val="28"/>
        </w:rPr>
      </w:pPr>
    </w:p>
    <w:p w14:paraId="39AD2EC9">
      <w:pPr>
        <w:pStyle w:val="5"/>
        <w:tabs>
          <w:tab w:val="left" w:pos="4180"/>
          <w:tab w:val="left" w:pos="5261"/>
          <w:tab w:val="left" w:pos="6341"/>
        </w:tabs>
        <w:spacing w:before="206"/>
        <w:ind w:firstLine="560" w:firstLineChars="200"/>
        <w:rPr>
          <w:rFonts w:hint="eastAsia" w:ascii="宋体" w:hAnsi="宋体" w:eastAsia="宋体" w:cs="宋体"/>
          <w:sz w:val="28"/>
          <w:szCs w:val="28"/>
        </w:rPr>
      </w:pPr>
      <w:r>
        <w:rPr>
          <w:rFonts w:hint="eastAsia" w:ascii="宋体" w:hAnsi="宋体" w:eastAsia="宋体" w:cs="宋体"/>
          <w:sz w:val="28"/>
          <w:szCs w:val="28"/>
        </w:rPr>
        <w:t>签订日期：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日</w:t>
      </w:r>
    </w:p>
    <w:p w14:paraId="18BC917C">
      <w:pPr>
        <w:rPr>
          <w:rFonts w:hint="eastAsia" w:ascii="宋体" w:hAnsi="宋体" w:eastAsia="宋体" w:cs="宋体"/>
          <w:sz w:val="28"/>
          <w:szCs w:val="28"/>
        </w:rPr>
        <w:sectPr>
          <w:pgSz w:w="11910" w:h="16840"/>
          <w:pgMar w:top="1380" w:right="1440" w:bottom="1500" w:left="1580" w:header="877" w:footer="1304" w:gutter="0"/>
          <w:pgNumType w:fmt="decimal"/>
          <w:cols w:space="720" w:num="1"/>
        </w:sectPr>
      </w:pPr>
    </w:p>
    <w:p w14:paraId="4FFE1A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u w:val="single"/>
        </w:rPr>
        <w:t>某采购单位</w:t>
      </w:r>
      <w:r>
        <w:rPr>
          <w:rFonts w:hint="eastAsia" w:ascii="宋体" w:hAnsi="宋体" w:eastAsia="宋体" w:cs="宋体"/>
          <w:sz w:val="22"/>
          <w:szCs w:val="22"/>
        </w:rPr>
        <w:t>（以下简称：甲方）通过</w:t>
      </w:r>
      <w:r>
        <w:rPr>
          <w:rFonts w:hint="eastAsia" w:ascii="宋体" w:hAnsi="宋体" w:eastAsia="宋体" w:cs="宋体"/>
          <w:sz w:val="22"/>
          <w:szCs w:val="22"/>
          <w:u w:val="single"/>
        </w:rPr>
        <w:t>某代理机构</w:t>
      </w:r>
      <w:r>
        <w:rPr>
          <w:rFonts w:hint="eastAsia" w:ascii="宋体" w:hAnsi="宋体" w:eastAsia="宋体" w:cs="宋体"/>
          <w:sz w:val="22"/>
          <w:szCs w:val="22"/>
        </w:rPr>
        <w:t>组织的</w:t>
      </w:r>
      <w:r>
        <w:rPr>
          <w:rFonts w:hint="eastAsia" w:ascii="宋体" w:hAnsi="宋体" w:eastAsia="宋体" w:cs="宋体"/>
          <w:sz w:val="22"/>
          <w:szCs w:val="22"/>
          <w:u w:val="single"/>
          <w:lang w:val="en-US" w:eastAsia="zh-CN"/>
        </w:rPr>
        <w:t>框架协议</w:t>
      </w:r>
      <w:r>
        <w:rPr>
          <w:rFonts w:hint="eastAsia" w:ascii="宋体" w:hAnsi="宋体" w:eastAsia="宋体" w:cs="宋体"/>
          <w:sz w:val="22"/>
          <w:szCs w:val="22"/>
        </w:rPr>
        <w:t>方式采购活动，经</w:t>
      </w:r>
      <w:r>
        <w:rPr>
          <w:rFonts w:hint="eastAsia" w:ascii="宋体" w:hAnsi="宋体" w:eastAsia="宋体" w:cs="宋体"/>
          <w:sz w:val="22"/>
          <w:szCs w:val="22"/>
          <w:u w:val="single"/>
        </w:rPr>
        <w:t>评标委员会</w:t>
      </w:r>
      <w:r>
        <w:rPr>
          <w:rFonts w:hint="eastAsia" w:ascii="宋体" w:hAnsi="宋体" w:eastAsia="宋体" w:cs="宋体"/>
          <w:sz w:val="22"/>
          <w:szCs w:val="22"/>
        </w:rPr>
        <w:t>评定，</w:t>
      </w:r>
      <w:r>
        <w:rPr>
          <w:rFonts w:hint="eastAsia" w:ascii="宋体" w:hAnsi="宋体" w:eastAsia="宋体" w:cs="宋体"/>
          <w:sz w:val="22"/>
          <w:szCs w:val="22"/>
          <w:u w:val="single"/>
        </w:rPr>
        <w:t>（中标人名称）</w:t>
      </w:r>
      <w:r>
        <w:rPr>
          <w:rFonts w:hint="eastAsia" w:ascii="宋体" w:hAnsi="宋体" w:eastAsia="宋体" w:cs="宋体"/>
          <w:sz w:val="22"/>
          <w:szCs w:val="22"/>
        </w:rPr>
        <w:t>（以下简称：乙方）为本项目中标人，现按照采购文件确定的事项签订本合同。</w:t>
      </w:r>
    </w:p>
    <w:p w14:paraId="0CD86DC7">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rPr>
        <w:t>根据《中华人民共和国民法典》、《中华人民共和国政府采购法》等相关法律法规之规定，按照平等、自愿、公平和诚实信用的原则，经甲方和乙方协商一致，约定以下合同条款</w:t>
      </w:r>
      <w:r>
        <w:rPr>
          <w:rFonts w:hint="eastAsia" w:ascii="宋体" w:hAnsi="宋体" w:eastAsia="宋体" w:cs="宋体"/>
          <w:sz w:val="22"/>
          <w:szCs w:val="22"/>
          <w:lang w:eastAsia="zh-CN"/>
        </w:rPr>
        <w:t>，</w:t>
      </w:r>
      <w:r>
        <w:rPr>
          <w:rFonts w:hint="eastAsia" w:ascii="宋体" w:hAnsi="宋体" w:eastAsia="宋体" w:cs="宋体"/>
          <w:sz w:val="22"/>
          <w:szCs w:val="22"/>
        </w:rPr>
        <w:t>以兹共同遵守、全面履行。</w:t>
      </w:r>
    </w:p>
    <w:p w14:paraId="22BD9139">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合同组成部分</w:t>
      </w:r>
    </w:p>
    <w:p w14:paraId="199C8C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textAlignment w:val="baseline"/>
        <w:rPr>
          <w:rFonts w:hint="eastAsia" w:ascii="宋体" w:hAnsi="宋体" w:eastAsia="宋体" w:cs="宋体"/>
          <w:sz w:val="22"/>
          <w:szCs w:val="22"/>
        </w:rPr>
      </w:pPr>
      <w:r>
        <w:rPr>
          <w:rFonts w:hint="eastAsia" w:ascii="宋体" w:hAnsi="宋体" w:eastAsia="宋体" w:cs="宋体"/>
          <w:sz w:val="22"/>
          <w:szCs w:val="22"/>
        </w:rPr>
        <w:t>下列文件为本合同的组成部分，并构成一个整体，需综合解释、相互补充。</w:t>
      </w:r>
      <w:r>
        <w:rPr>
          <w:rFonts w:hint="eastAsia" w:ascii="宋体" w:hAnsi="宋体" w:eastAsia="宋体" w:cs="宋体"/>
          <w:spacing w:val="-6"/>
          <w:sz w:val="22"/>
          <w:szCs w:val="22"/>
        </w:rPr>
        <w:t>如果下列文件内容出现不一致的情形，那么在保证按照采购文件确定的事项前提下，组成本合同的多个文件的优先适用顺序如下：</w:t>
      </w:r>
    </w:p>
    <w:p w14:paraId="214F984B">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本合同及其补充合同、变更协议；</w:t>
      </w:r>
    </w:p>
    <w:p w14:paraId="5EBD9032">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中标通知书；</w:t>
      </w:r>
    </w:p>
    <w:p w14:paraId="4DEC323E">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投标文件（含澄清或者说明文件）；</w:t>
      </w:r>
    </w:p>
    <w:p w14:paraId="22B9F2C8">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招标文件（含澄清或者修改文件）；</w:t>
      </w:r>
    </w:p>
    <w:p w14:paraId="4B834E68">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其他相关采购文件。</w:t>
      </w:r>
    </w:p>
    <w:p w14:paraId="52173320">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服务</w:t>
      </w:r>
    </w:p>
    <w:p w14:paraId="6E80ECF2">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服务名称：</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7C579267">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服务内容：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535BEA28">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服务质量：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04E34AC2">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价款</w:t>
      </w:r>
    </w:p>
    <w:p w14:paraId="4E3E8D3F">
      <w:pPr>
        <w:pStyle w:val="5"/>
        <w:keepNext w:val="0"/>
        <w:keepLines w:val="0"/>
        <w:pageBreakBefore w:val="0"/>
        <w:widowControl/>
        <w:tabs>
          <w:tab w:val="left" w:pos="3895"/>
          <w:tab w:val="left" w:pos="7856"/>
        </w:tabs>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pacing w:val="-18"/>
          <w:sz w:val="22"/>
          <w:szCs w:val="22"/>
        </w:rPr>
      </w:pPr>
      <w:r>
        <w:rPr>
          <w:rFonts w:hint="eastAsia" w:ascii="宋体" w:hAnsi="宋体" w:eastAsia="宋体" w:cs="宋体"/>
          <w:sz w:val="22"/>
          <w:szCs w:val="22"/>
        </w:rPr>
        <w:t>本合同</w:t>
      </w:r>
      <w:r>
        <w:rPr>
          <w:rFonts w:hint="eastAsia" w:ascii="宋体" w:hAnsi="宋体" w:eastAsia="宋体" w:cs="宋体"/>
          <w:sz w:val="22"/>
          <w:szCs w:val="22"/>
          <w:lang w:val="en-US" w:eastAsia="zh-CN"/>
        </w:rPr>
        <w:t>费率</w:t>
      </w:r>
      <w:r>
        <w:rPr>
          <w:rFonts w:hint="eastAsia" w:ascii="宋体" w:hAnsi="宋体" w:eastAsia="宋体" w:cs="宋体"/>
          <w:sz w:val="22"/>
          <w:szCs w:val="22"/>
        </w:rPr>
        <w:t>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lang w:val="en-US" w:eastAsia="zh-CN"/>
        </w:rPr>
        <w:t>%</w:t>
      </w:r>
      <w:r>
        <w:rPr>
          <w:rFonts w:hint="eastAsia" w:ascii="宋体" w:hAnsi="宋体" w:eastAsia="宋体" w:cs="宋体"/>
          <w:sz w:val="22"/>
          <w:szCs w:val="22"/>
        </w:rPr>
        <w:t>（大写：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120"/>
          <w:sz w:val="22"/>
          <w:szCs w:val="22"/>
        </w:rPr>
        <w:t>）</w:t>
      </w:r>
      <w:r>
        <w:rPr>
          <w:rFonts w:hint="eastAsia" w:ascii="宋体" w:hAnsi="宋体" w:eastAsia="宋体" w:cs="宋体"/>
          <w:spacing w:val="-18"/>
          <w:sz w:val="22"/>
          <w:szCs w:val="22"/>
        </w:rPr>
        <w:t>。</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24A0C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7132963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17"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序号</w:t>
            </w:r>
          </w:p>
        </w:tc>
        <w:tc>
          <w:tcPr>
            <w:tcW w:w="4317" w:type="dxa"/>
            <w:noWrap w:val="0"/>
            <w:vAlign w:val="top"/>
          </w:tcPr>
          <w:p w14:paraId="08FAC58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55"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分项名称</w:t>
            </w:r>
          </w:p>
        </w:tc>
        <w:tc>
          <w:tcPr>
            <w:tcW w:w="3239" w:type="dxa"/>
            <w:noWrap w:val="0"/>
            <w:vAlign w:val="top"/>
          </w:tcPr>
          <w:p w14:paraId="1439B84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分项价格</w:t>
            </w:r>
          </w:p>
        </w:tc>
      </w:tr>
      <w:tr w14:paraId="75BCF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7B17D5F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1</w:t>
            </w:r>
          </w:p>
        </w:tc>
        <w:tc>
          <w:tcPr>
            <w:tcW w:w="4317" w:type="dxa"/>
            <w:noWrap w:val="0"/>
            <w:vAlign w:val="top"/>
          </w:tcPr>
          <w:p w14:paraId="5D79F30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2C72480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53CE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CF43CD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2</w:t>
            </w:r>
          </w:p>
        </w:tc>
        <w:tc>
          <w:tcPr>
            <w:tcW w:w="4317" w:type="dxa"/>
            <w:noWrap w:val="0"/>
            <w:vAlign w:val="top"/>
          </w:tcPr>
          <w:p w14:paraId="72E7170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4F35337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71B4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40FD1F3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3</w:t>
            </w:r>
          </w:p>
        </w:tc>
        <w:tc>
          <w:tcPr>
            <w:tcW w:w="4317" w:type="dxa"/>
            <w:noWrap w:val="0"/>
            <w:vAlign w:val="top"/>
          </w:tcPr>
          <w:p w14:paraId="6247B6D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3B31998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4E9E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480AF74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17" w:right="0"/>
              <w:jc w:val="center"/>
              <w:textAlignment w:val="baseline"/>
              <w:rPr>
                <w:rFonts w:hint="eastAsia" w:ascii="宋体" w:hAnsi="宋体" w:eastAsia="宋体" w:cs="宋体"/>
                <w:sz w:val="22"/>
                <w:szCs w:val="22"/>
                <w:lang w:eastAsia="en-US"/>
              </w:rPr>
            </w:pPr>
            <w:r>
              <w:rPr>
                <w:rFonts w:hint="eastAsia" w:ascii="宋体" w:hAnsi="宋体" w:eastAsia="宋体" w:cs="宋体"/>
                <w:w w:val="200"/>
                <w:sz w:val="22"/>
                <w:szCs w:val="22"/>
                <w:lang w:eastAsia="en-US"/>
              </w:rPr>
              <w:t>„„</w:t>
            </w:r>
          </w:p>
        </w:tc>
        <w:tc>
          <w:tcPr>
            <w:tcW w:w="4317" w:type="dxa"/>
            <w:noWrap w:val="0"/>
            <w:vAlign w:val="top"/>
          </w:tcPr>
          <w:p w14:paraId="5CD70E1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4C7D681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4F86A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70BBEA8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481" w:right="0"/>
              <w:jc w:val="center"/>
              <w:textAlignment w:val="baseline"/>
              <w:rPr>
                <w:rFonts w:hint="eastAsia" w:ascii="宋体" w:hAnsi="宋体" w:eastAsia="宋体" w:cs="宋体"/>
                <w:sz w:val="22"/>
                <w:szCs w:val="22"/>
                <w:lang w:eastAsia="en-US"/>
              </w:rPr>
            </w:pPr>
          </w:p>
        </w:tc>
        <w:tc>
          <w:tcPr>
            <w:tcW w:w="3239" w:type="dxa"/>
            <w:tcBorders>
              <w:right w:val="single" w:color="000000" w:sz="6" w:space="0"/>
            </w:tcBorders>
            <w:noWrap w:val="0"/>
            <w:vAlign w:val="top"/>
          </w:tcPr>
          <w:p w14:paraId="440E553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bl>
    <w:p w14:paraId="3A126DCE">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付款方式和发票开具方式</w:t>
      </w:r>
    </w:p>
    <w:p w14:paraId="0DD04429">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付款方式：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371C50C8">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发票开具方式：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53B2075B">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服务期限、地点和方式</w:t>
      </w:r>
    </w:p>
    <w:p w14:paraId="7ACEBE25">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服务期限：</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542B878B">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服务地点：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165FB4D2">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5ED2E562">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违约责任</w:t>
      </w:r>
    </w:p>
    <w:p w14:paraId="73499F7F">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除不可抗力外，如果乙方没有按照本合同约定的期限、地点和方式履</w:t>
      </w:r>
      <w:r>
        <w:rPr>
          <w:rFonts w:hint="eastAsia" w:ascii="宋体" w:hAnsi="宋体" w:eastAsia="宋体" w:cs="宋体"/>
          <w:spacing w:val="-11"/>
          <w:sz w:val="22"/>
          <w:szCs w:val="22"/>
        </w:rPr>
        <w:t>行，那么甲方可要求乙方支付违约金，违约金按每迟延履行一日的应提供而未提</w:t>
      </w:r>
      <w:r>
        <w:rPr>
          <w:rFonts w:hint="eastAsia" w:ascii="宋体" w:hAnsi="宋体" w:eastAsia="宋体" w:cs="宋体"/>
          <w:sz w:val="22"/>
          <w:szCs w:val="22"/>
        </w:rPr>
        <w:t>供服务价格的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0.5</w:t>
      </w:r>
      <w:r>
        <w:rPr>
          <w:rFonts w:hint="eastAsia" w:ascii="宋体" w:hAnsi="宋体" w:eastAsia="宋体" w:cs="宋体"/>
          <w:sz w:val="22"/>
          <w:szCs w:val="22"/>
          <w:u w:val="single"/>
        </w:rPr>
        <w:t xml:space="preserve"> </w:t>
      </w:r>
      <w:r>
        <w:rPr>
          <w:rFonts w:hint="eastAsia" w:ascii="宋体" w:hAnsi="宋体" w:eastAsia="宋体" w:cs="宋体"/>
          <w:sz w:val="22"/>
          <w:szCs w:val="22"/>
        </w:rPr>
        <w:t>%计算，最高限额为本合同总价的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z w:val="22"/>
          <w:szCs w:val="22"/>
        </w:rPr>
        <w:t>%；迟延履行的违约金</w:t>
      </w:r>
      <w:r>
        <w:rPr>
          <w:rFonts w:hint="eastAsia" w:ascii="宋体" w:hAnsi="宋体" w:eastAsia="宋体" w:cs="宋体"/>
          <w:spacing w:val="-7"/>
          <w:sz w:val="22"/>
          <w:szCs w:val="22"/>
        </w:rPr>
        <w:t>计算数额达到前述最高限额之日起，甲方有权在要求乙方支付违约金的同时，书</w:t>
      </w:r>
      <w:r>
        <w:rPr>
          <w:rFonts w:hint="eastAsia" w:ascii="宋体" w:hAnsi="宋体" w:eastAsia="宋体" w:cs="宋体"/>
          <w:sz w:val="22"/>
          <w:szCs w:val="22"/>
        </w:rPr>
        <w:t>面通知乙方解除本合同；</w:t>
      </w:r>
    </w:p>
    <w:p w14:paraId="0FE443A2">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除不可抗力外，如果甲方没有按照本合同约定的付款方式付款，那么</w:t>
      </w:r>
      <w:r>
        <w:rPr>
          <w:rFonts w:hint="eastAsia" w:ascii="宋体" w:hAnsi="宋体" w:eastAsia="宋体" w:cs="宋体"/>
          <w:sz w:val="22"/>
          <w:szCs w:val="22"/>
        </w:rPr>
        <w:t>乙方可要求甲方支付违约金，违约金按每迟延付款一日的应付而未付款的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0.5 </w:t>
      </w:r>
      <w:r>
        <w:rPr>
          <w:rFonts w:hint="eastAsia" w:ascii="宋体" w:hAnsi="宋体" w:eastAsia="宋体" w:cs="宋体"/>
          <w:spacing w:val="2"/>
          <w:sz w:val="22"/>
          <w:szCs w:val="22"/>
        </w:rPr>
        <w:t>%</w:t>
      </w:r>
      <w:r>
        <w:rPr>
          <w:rFonts w:hint="eastAsia" w:ascii="宋体" w:hAnsi="宋体" w:eastAsia="宋体" w:cs="宋体"/>
          <w:spacing w:val="-7"/>
          <w:sz w:val="22"/>
          <w:szCs w:val="22"/>
        </w:rPr>
        <w:t>计算，最高限额为本合同总价的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%；迟延付款的违约金计算数额达到前述最</w:t>
      </w:r>
      <w:r>
        <w:rPr>
          <w:rFonts w:hint="eastAsia" w:ascii="宋体" w:hAnsi="宋体" w:eastAsia="宋体" w:cs="宋体"/>
          <w:spacing w:val="-10"/>
          <w:sz w:val="22"/>
          <w:szCs w:val="22"/>
        </w:rPr>
        <w:t>高限额之日起，乙方有权在要求甲方支付违约金的同时，书面通知甲方解除本合</w:t>
      </w:r>
      <w:r>
        <w:rPr>
          <w:rFonts w:hint="eastAsia" w:ascii="宋体" w:hAnsi="宋体" w:eastAsia="宋体" w:cs="宋体"/>
          <w:sz w:val="22"/>
          <w:szCs w:val="22"/>
        </w:rPr>
        <w:t>同；</w:t>
      </w:r>
    </w:p>
    <w:p w14:paraId="30264608">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除不可抗力外，任何一方未能履行本合同约定的其他主要义务，经催</w:t>
      </w:r>
      <w:r>
        <w:rPr>
          <w:rFonts w:hint="eastAsia" w:ascii="宋体" w:hAnsi="宋体" w:eastAsia="宋体" w:cs="宋体"/>
          <w:spacing w:val="-7"/>
          <w:sz w:val="22"/>
          <w:szCs w:val="22"/>
        </w:rPr>
        <w:t>告后在合理期限内仍未履行的，或者任何一方有其他违约行为致使不能实现合同</w:t>
      </w:r>
      <w:r>
        <w:rPr>
          <w:rFonts w:hint="eastAsia" w:ascii="宋体" w:hAnsi="宋体" w:eastAsia="宋体" w:cs="宋体"/>
          <w:spacing w:val="-10"/>
          <w:sz w:val="22"/>
          <w:szCs w:val="22"/>
        </w:rPr>
        <w:t>目的的，或者任何一方有腐败行为</w:t>
      </w:r>
      <w:r>
        <w:rPr>
          <w:rFonts w:hint="eastAsia" w:ascii="宋体" w:hAnsi="宋体" w:eastAsia="宋体" w:cs="宋体"/>
          <w:sz w:val="22"/>
          <w:szCs w:val="22"/>
        </w:rPr>
        <w:t>（</w:t>
      </w:r>
      <w:r>
        <w:rPr>
          <w:rFonts w:hint="eastAsia" w:ascii="宋体" w:hAnsi="宋体" w:eastAsia="宋体" w:cs="宋体"/>
          <w:spacing w:val="-6"/>
          <w:sz w:val="22"/>
          <w:szCs w:val="22"/>
        </w:rPr>
        <w:t xml:space="preserve">即：提供或给予或接受或索取任何财物或其 </w:t>
      </w:r>
      <w:r>
        <w:rPr>
          <w:rFonts w:hint="eastAsia" w:ascii="宋体" w:hAnsi="宋体" w:eastAsia="宋体" w:cs="宋体"/>
          <w:spacing w:val="-10"/>
          <w:sz w:val="22"/>
          <w:szCs w:val="22"/>
        </w:rPr>
        <w:t>他好处或者采取其他不正当手段影响对方当事人在合同签订、履行过程中的行为</w:t>
      </w:r>
      <w:r>
        <w:rPr>
          <w:rFonts w:hint="eastAsia" w:ascii="宋体" w:hAnsi="宋体" w:eastAsia="宋体" w:cs="宋体"/>
          <w:spacing w:val="-17"/>
          <w:sz w:val="22"/>
          <w:szCs w:val="22"/>
        </w:rPr>
        <w:t xml:space="preserve">） </w:t>
      </w:r>
      <w:r>
        <w:rPr>
          <w:rFonts w:hint="eastAsia" w:ascii="宋体" w:hAnsi="宋体" w:eastAsia="宋体" w:cs="宋体"/>
          <w:spacing w:val="-8"/>
          <w:sz w:val="22"/>
          <w:szCs w:val="22"/>
        </w:rPr>
        <w:t>或者欺诈行为</w:t>
      </w:r>
      <w:r>
        <w:rPr>
          <w:rFonts w:hint="eastAsia" w:ascii="宋体" w:hAnsi="宋体" w:eastAsia="宋体" w:cs="宋体"/>
          <w:sz w:val="22"/>
          <w:szCs w:val="22"/>
        </w:rPr>
        <w:t>（</w:t>
      </w:r>
      <w:r>
        <w:rPr>
          <w:rFonts w:hint="eastAsia" w:ascii="宋体" w:hAnsi="宋体" w:eastAsia="宋体" w:cs="宋体"/>
          <w:spacing w:val="-7"/>
          <w:sz w:val="22"/>
          <w:szCs w:val="22"/>
        </w:rPr>
        <w:t>即：以谎报事实或者隐瞒真相的方法来影响对方当事人在合同签订、履行过程中的行为）的，对方当事人可以书面通知违约方解除本合同；</w:t>
      </w:r>
    </w:p>
    <w:p w14:paraId="68A6A702">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任何一方按照前述约定要求违约方支付违约金的同时，仍有权要求违</w:t>
      </w:r>
      <w:r>
        <w:rPr>
          <w:rFonts w:hint="eastAsia" w:ascii="宋体" w:hAnsi="宋体" w:eastAsia="宋体" w:cs="宋体"/>
          <w:spacing w:val="-10"/>
          <w:sz w:val="22"/>
          <w:szCs w:val="22"/>
        </w:rPr>
        <w:t>约方继续履行合同、采取补救措施，并有权按照己方实际损失情况要求违约方赔偿损失；任何一方按照前述约定要求解除本合同的同时，仍有权要求违约方支付</w:t>
      </w:r>
      <w:r>
        <w:rPr>
          <w:rFonts w:hint="eastAsia" w:ascii="宋体" w:hAnsi="宋体" w:eastAsia="宋体" w:cs="宋体"/>
          <w:spacing w:val="-5"/>
          <w:sz w:val="22"/>
          <w:szCs w:val="22"/>
        </w:rPr>
        <w:t>违约金和按照己方实际损失情况要求违约方赔偿损失；且守约方行使的任何权利</w:t>
      </w:r>
      <w:r>
        <w:rPr>
          <w:rFonts w:hint="eastAsia" w:ascii="宋体" w:hAnsi="宋体" w:eastAsia="宋体" w:cs="宋体"/>
          <w:sz w:val="22"/>
          <w:szCs w:val="22"/>
        </w:rPr>
        <w:t>救济方式均不视为其放弃了其他法定或者约定的权利救济方式；</w:t>
      </w:r>
      <w:r>
        <w:rPr>
          <w:rFonts w:hint="eastAsia" w:ascii="宋体" w:hAnsi="宋体" w:cs="宋体"/>
          <w:sz w:val="22"/>
          <w:szCs w:val="22"/>
          <w:lang w:val="en-US" w:eastAsia="zh-CN"/>
        </w:rPr>
        <w:t xml:space="preserve">                                                     </w:t>
      </w:r>
    </w:p>
    <w:p w14:paraId="7BF5605E">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6"/>
          <w:sz w:val="22"/>
          <w:szCs w:val="22"/>
        </w:rPr>
        <w:t>除前述约定外，除不可抗力外，任何一方未能履行本合同约定的义务，</w:t>
      </w:r>
      <w:r>
        <w:rPr>
          <w:rFonts w:hint="eastAsia" w:ascii="宋体" w:hAnsi="宋体" w:eastAsia="宋体" w:cs="宋体"/>
          <w:spacing w:val="-7"/>
          <w:sz w:val="22"/>
          <w:szCs w:val="22"/>
        </w:rPr>
        <w:t>对方当事人均有权要求继续履行、采取补救措施或者赔偿损失等，且对方当事人</w:t>
      </w:r>
      <w:r>
        <w:rPr>
          <w:rFonts w:hint="eastAsia" w:ascii="宋体" w:hAnsi="宋体" w:eastAsia="宋体" w:cs="宋体"/>
          <w:sz w:val="22"/>
          <w:szCs w:val="22"/>
        </w:rPr>
        <w:t>行使的任何权利救济方式均不视为其放弃了其他法定或者约定的权利救济方式；</w:t>
      </w:r>
    </w:p>
    <w:p w14:paraId="156327C0">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如果出现政府采购监督管理部门在处理投诉事项期间，书面通知甲方</w:t>
      </w:r>
      <w:r>
        <w:rPr>
          <w:rFonts w:hint="eastAsia" w:ascii="宋体" w:hAnsi="宋体" w:eastAsia="宋体" w:cs="宋体"/>
          <w:spacing w:val="-8"/>
          <w:sz w:val="22"/>
          <w:szCs w:val="22"/>
        </w:rPr>
        <w:t>暂停采购活动的情形，或者询问或质疑事项可能影响中标结果的，导致甲方中止</w:t>
      </w:r>
      <w:r>
        <w:rPr>
          <w:rFonts w:hint="eastAsia" w:ascii="宋体" w:hAnsi="宋体" w:eastAsia="宋体" w:cs="宋体"/>
          <w:sz w:val="22"/>
          <w:szCs w:val="22"/>
        </w:rPr>
        <w:t>履行合同的情形，均不视为甲方违约。</w:t>
      </w:r>
    </w:p>
    <w:p w14:paraId="77D4C3FA">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jc w:val="both"/>
        <w:textAlignment w:val="baseline"/>
        <w:rPr>
          <w:rFonts w:hint="eastAsia" w:ascii="宋体" w:hAnsi="宋体" w:eastAsia="宋体" w:cs="宋体"/>
          <w:sz w:val="22"/>
          <w:szCs w:val="22"/>
        </w:rPr>
      </w:pPr>
      <w:r>
        <w:rPr>
          <w:rFonts w:hint="eastAsia" w:ascii="宋体" w:hAnsi="宋体" w:eastAsia="宋体" w:cs="宋体"/>
          <w:spacing w:val="-1"/>
          <w:sz w:val="22"/>
          <w:szCs w:val="22"/>
          <w:lang w:val="en-US" w:eastAsia="zh-CN"/>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14:paraId="5653358E">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合同争议的解决</w:t>
      </w:r>
    </w:p>
    <w:p w14:paraId="0232CCE6">
      <w:pPr>
        <w:pStyle w:val="5"/>
        <w:keepNext w:val="0"/>
        <w:keepLines w:val="0"/>
        <w:pageBreakBefore w:val="0"/>
        <w:widowControl/>
        <w:tabs>
          <w:tab w:val="left" w:pos="6701"/>
        </w:tabs>
        <w:kinsoku w:val="0"/>
        <w:wordWrap/>
        <w:overflowPunct/>
        <w:topLinePunct w:val="0"/>
        <w:autoSpaceDE w:val="0"/>
        <w:autoSpaceDN w:val="0"/>
        <w:bidi w:val="0"/>
        <w:adjustRightInd w:val="0"/>
        <w:snapToGrid w:val="0"/>
        <w:spacing w:line="360" w:lineRule="auto"/>
        <w:ind w:right="0" w:firstLine="673" w:firstLineChars="306"/>
        <w:textAlignment w:val="baseline"/>
        <w:rPr>
          <w:rFonts w:hint="eastAsia" w:ascii="宋体" w:hAnsi="宋体" w:eastAsia="宋体" w:cs="宋体"/>
          <w:sz w:val="22"/>
          <w:szCs w:val="22"/>
        </w:rPr>
      </w:pPr>
      <w:r>
        <w:rPr>
          <w:rFonts w:hint="eastAsia" w:ascii="宋体" w:hAnsi="宋体" w:eastAsia="宋体" w:cs="宋体"/>
          <w:sz w:val="22"/>
          <w:szCs w:val="22"/>
        </w:rPr>
        <w:t>本合同履行过程中发生的任何争议</w:t>
      </w:r>
      <w:r>
        <w:rPr>
          <w:rFonts w:hint="eastAsia" w:ascii="宋体" w:hAnsi="宋体" w:eastAsia="宋体" w:cs="宋体"/>
          <w:spacing w:val="-48"/>
          <w:sz w:val="22"/>
          <w:szCs w:val="22"/>
        </w:rPr>
        <w:t>，</w:t>
      </w:r>
      <w:r>
        <w:rPr>
          <w:rFonts w:hint="eastAsia" w:ascii="宋体" w:hAnsi="宋体" w:eastAsia="宋体" w:cs="宋体"/>
          <w:sz w:val="22"/>
          <w:szCs w:val="22"/>
        </w:rPr>
        <w:t>双方当事人均可通过和解或者调解解决</w:t>
      </w:r>
      <w:r>
        <w:rPr>
          <w:rFonts w:hint="eastAsia" w:ascii="宋体" w:hAnsi="宋体" w:eastAsia="宋体" w:cs="宋体"/>
          <w:spacing w:val="-17"/>
          <w:sz w:val="22"/>
          <w:szCs w:val="22"/>
        </w:rPr>
        <w:t>；</w:t>
      </w:r>
      <w:r>
        <w:rPr>
          <w:rFonts w:hint="eastAsia" w:ascii="宋体" w:hAnsi="宋体" w:eastAsia="宋体" w:cs="宋体"/>
          <w:sz w:val="22"/>
          <w:szCs w:val="22"/>
        </w:rPr>
        <w:t>不愿和解、调解或者和解、调解不成的，可以选择下列第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1.7.2</w:t>
      </w:r>
      <w:r>
        <w:rPr>
          <w:rFonts w:hint="eastAsia" w:ascii="宋体" w:hAnsi="宋体" w:eastAsia="宋体" w:cs="宋体"/>
          <w:sz w:val="22"/>
          <w:szCs w:val="22"/>
        </w:rPr>
        <w:t>种方式解决：</w:t>
      </w:r>
    </w:p>
    <w:p w14:paraId="7E384D66">
      <w:pPr>
        <w:pStyle w:val="17"/>
        <w:keepNext w:val="0"/>
        <w:keepLines w:val="0"/>
        <w:pageBreakBefore w:val="0"/>
        <w:widowControl/>
        <w:numPr>
          <w:ilvl w:val="2"/>
          <w:numId w:val="6"/>
        </w:numPr>
        <w:tabs>
          <w:tab w:val="left" w:pos="1327"/>
          <w:tab w:val="left" w:pos="420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将争议提交</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仲裁委员会依申请仲裁时其现行有效的</w:t>
      </w:r>
      <w:r>
        <w:rPr>
          <w:rFonts w:hint="eastAsia" w:ascii="宋体" w:hAnsi="宋体" w:eastAsia="宋体" w:cs="宋体"/>
          <w:spacing w:val="-19"/>
          <w:sz w:val="22"/>
          <w:szCs w:val="22"/>
        </w:rPr>
        <w:t>仲</w:t>
      </w:r>
      <w:r>
        <w:rPr>
          <w:rFonts w:hint="eastAsia" w:ascii="宋体" w:hAnsi="宋体" w:eastAsia="宋体" w:cs="宋体"/>
          <w:sz w:val="22"/>
          <w:szCs w:val="22"/>
        </w:rPr>
        <w:t>裁规则裁决；</w:t>
      </w:r>
    </w:p>
    <w:p w14:paraId="18739123">
      <w:pPr>
        <w:pStyle w:val="17"/>
        <w:keepNext w:val="0"/>
        <w:keepLines w:val="0"/>
        <w:pageBreakBefore w:val="0"/>
        <w:widowControl/>
        <w:numPr>
          <w:ilvl w:val="2"/>
          <w:numId w:val="6"/>
        </w:numPr>
        <w:tabs>
          <w:tab w:val="left" w:pos="1315"/>
          <w:tab w:val="left" w:pos="443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向</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人民法院起诉。</w:t>
      </w:r>
    </w:p>
    <w:p w14:paraId="01AEF36C">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合同生效</w:t>
      </w:r>
    </w:p>
    <w:p w14:paraId="2B6DB1D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本合同自双方当事人盖章时生效。</w:t>
      </w:r>
    </w:p>
    <w:p w14:paraId="5097D9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3E7A6ABB">
      <w:pPr>
        <w:pStyle w:val="5"/>
        <w:keepNext w:val="0"/>
        <w:keepLines w:val="0"/>
        <w:pageBreakBefore w:val="0"/>
        <w:widowControl/>
        <w:tabs>
          <w:tab w:val="left" w:pos="940"/>
          <w:tab w:val="left" w:pos="1900"/>
          <w:tab w:val="left" w:pos="3940"/>
          <w:tab w:val="left" w:pos="5141"/>
          <w:tab w:val="left" w:pos="6341"/>
          <w:tab w:val="left" w:pos="838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（单位盖章）</w:t>
      </w:r>
      <w:r>
        <w:rPr>
          <w:rFonts w:hint="eastAsia" w:ascii="宋体" w:hAnsi="宋体" w:eastAsia="宋体" w:cs="宋体"/>
          <w:sz w:val="22"/>
          <w:szCs w:val="22"/>
          <w:u w:val="single"/>
        </w:rPr>
        <w:tab/>
      </w:r>
      <w:r>
        <w:rPr>
          <w:rFonts w:hint="eastAsia" w:ascii="宋体" w:hAnsi="宋体" w:eastAsia="宋体" w:cs="宋体"/>
          <w:sz w:val="22"/>
          <w:szCs w:val="22"/>
        </w:rPr>
        <w:tab/>
      </w:r>
      <w:r>
        <w:rPr>
          <w:rFonts w:hint="eastAsia" w:ascii="宋体" w:hAnsi="宋体" w:eastAsia="宋体" w:cs="宋体"/>
          <w:sz w:val="22"/>
          <w:szCs w:val="22"/>
        </w:rPr>
        <w:t>乙方：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（单位盖章）</w:t>
      </w:r>
      <w:r>
        <w:rPr>
          <w:rFonts w:hint="eastAsia" w:ascii="宋体" w:hAnsi="宋体" w:eastAsia="宋体" w:cs="宋体"/>
          <w:sz w:val="22"/>
          <w:szCs w:val="22"/>
          <w:u w:val="single"/>
        </w:rPr>
        <w:tab/>
      </w:r>
    </w:p>
    <w:p w14:paraId="122ACD1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235E661F">
      <w:pPr>
        <w:pStyle w:val="5"/>
        <w:keepNext w:val="0"/>
        <w:keepLines w:val="0"/>
        <w:pageBreakBefore w:val="0"/>
        <w:widowControl/>
        <w:tabs>
          <w:tab w:val="left" w:pos="514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rPr>
        <w:tab/>
      </w:r>
      <w:r>
        <w:rPr>
          <w:rFonts w:hint="eastAsia" w:ascii="宋体" w:hAnsi="宋体" w:eastAsia="宋体" w:cs="宋体"/>
          <w:sz w:val="22"/>
          <w:szCs w:val="22"/>
        </w:rPr>
        <w:t>法定代表人</w:t>
      </w:r>
    </w:p>
    <w:p w14:paraId="1FC36C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6514165A">
      <w:pPr>
        <w:pStyle w:val="5"/>
        <w:keepNext w:val="0"/>
        <w:keepLines w:val="0"/>
        <w:pageBreakBefore w:val="0"/>
        <w:widowControl/>
        <w:tabs>
          <w:tab w:val="left" w:pos="514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或授权代表（签字</w:t>
      </w:r>
      <w:r>
        <w:rPr>
          <w:rFonts w:hint="eastAsia" w:ascii="宋体" w:hAnsi="宋体" w:eastAsia="宋体" w:cs="宋体"/>
          <w:spacing w:val="-120"/>
          <w:sz w:val="22"/>
          <w:szCs w:val="22"/>
        </w:rPr>
        <w:t>）</w:t>
      </w:r>
      <w:r>
        <w:rPr>
          <w:rFonts w:hint="eastAsia" w:ascii="宋体" w:hAnsi="宋体" w:eastAsia="宋体" w:cs="宋体"/>
          <w:sz w:val="22"/>
          <w:szCs w:val="22"/>
        </w:rPr>
        <w:t>）：</w:t>
      </w:r>
      <w:r>
        <w:rPr>
          <w:rFonts w:hint="eastAsia" w:ascii="宋体" w:hAnsi="宋体" w:eastAsia="宋体" w:cs="宋体"/>
          <w:sz w:val="22"/>
          <w:szCs w:val="22"/>
        </w:rPr>
        <w:tab/>
      </w:r>
      <w:r>
        <w:rPr>
          <w:rFonts w:hint="eastAsia" w:ascii="宋体" w:hAnsi="宋体" w:eastAsia="宋体" w:cs="宋体"/>
          <w:sz w:val="22"/>
          <w:szCs w:val="22"/>
        </w:rPr>
        <w:t>或授权代表（签字</w:t>
      </w:r>
      <w:r>
        <w:rPr>
          <w:rFonts w:hint="eastAsia" w:ascii="宋体" w:hAnsi="宋体" w:eastAsia="宋体" w:cs="宋体"/>
          <w:spacing w:val="-120"/>
          <w:sz w:val="22"/>
          <w:szCs w:val="22"/>
        </w:rPr>
        <w:t>））</w:t>
      </w:r>
      <w:r>
        <w:rPr>
          <w:rFonts w:hint="eastAsia" w:ascii="宋体" w:hAnsi="宋体" w:eastAsia="宋体" w:cs="宋体"/>
          <w:sz w:val="22"/>
          <w:szCs w:val="22"/>
        </w:rPr>
        <w:t>）：</w:t>
      </w:r>
    </w:p>
    <w:p w14:paraId="14AA1DC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56311A29">
      <w:pPr>
        <w:pStyle w:val="5"/>
        <w:keepNext w:val="0"/>
        <w:keepLines w:val="0"/>
        <w:pageBreakBefore w:val="0"/>
        <w:widowControl/>
        <w:tabs>
          <w:tab w:val="left" w:pos="1660"/>
          <w:tab w:val="left" w:pos="2380"/>
          <w:tab w:val="left" w:pos="3100"/>
          <w:tab w:val="left" w:pos="5141"/>
          <w:tab w:val="left" w:pos="6581"/>
          <w:tab w:val="left" w:pos="7301"/>
          <w:tab w:val="left" w:pos="8021"/>
        </w:tabs>
        <w:kinsoku w:val="0"/>
        <w:wordWrap/>
        <w:overflowPunct/>
        <w:topLinePunct w:val="0"/>
        <w:autoSpaceDE w:val="0"/>
        <w:autoSpaceDN w:val="0"/>
        <w:bidi w:val="0"/>
        <w:adjustRightInd w:val="0"/>
        <w:snapToGrid w:val="0"/>
        <w:spacing w:line="360" w:lineRule="auto"/>
        <w:ind w:right="0"/>
        <w:textAlignment w:val="baseline"/>
        <w:rPr>
          <w:sz w:val="22"/>
          <w:szCs w:val="22"/>
        </w:rPr>
      </w:pP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日</w:t>
      </w:r>
      <w:r>
        <w:rPr>
          <w:rFonts w:hint="eastAsia" w:ascii="宋体" w:hAnsi="宋体" w:eastAsia="宋体" w:cs="宋体"/>
          <w:sz w:val="22"/>
          <w:szCs w:val="22"/>
        </w:rPr>
        <w:tab/>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日</w:t>
      </w:r>
    </w:p>
    <w:p w14:paraId="5C0BAA65">
      <w:pPr>
        <w:spacing w:line="360" w:lineRule="auto"/>
        <w:rPr>
          <w:rFonts w:ascii="宋体" w:hAnsi="宋体"/>
          <w:szCs w:val="21"/>
        </w:rPr>
        <w:sectPr>
          <w:pgSz w:w="11910" w:h="16840"/>
          <w:pgMar w:top="1380" w:right="1440" w:bottom="1500" w:left="1580" w:header="877" w:footer="1304" w:gutter="0"/>
          <w:pgNumType w:fmt="decimal"/>
          <w:cols w:space="720" w:num="1"/>
        </w:sectPr>
      </w:pPr>
    </w:p>
    <w:p w14:paraId="4DE50CAF">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1367" w:right="0"/>
        <w:jc w:val="center"/>
        <w:textAlignment w:val="baseline"/>
        <w:rPr>
          <w:rFonts w:hint="eastAsia" w:ascii="宋体" w:hAnsi="宋体" w:eastAsia="宋体" w:cs="宋体"/>
          <w:sz w:val="22"/>
          <w:szCs w:val="22"/>
        </w:rPr>
      </w:pPr>
      <w:r>
        <w:rPr>
          <w:rFonts w:hint="eastAsia" w:ascii="宋体" w:hAnsi="宋体" w:eastAsia="宋体" w:cs="宋体"/>
          <w:sz w:val="22"/>
          <w:szCs w:val="22"/>
        </w:rPr>
        <w:t>第二部分 合同一般条款</w:t>
      </w:r>
    </w:p>
    <w:p w14:paraId="6A09E58C">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定义</w:t>
      </w:r>
    </w:p>
    <w:p w14:paraId="368F08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本合同中的下列词语应按以下内容进行解释：</w:t>
      </w:r>
    </w:p>
    <w:p w14:paraId="21807404">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“合同”系指采购人和中标人签订的载明双方当事人所达成的协议，并包括所有的附件、附录和构成合同的其他文件。</w:t>
      </w:r>
    </w:p>
    <w:p w14:paraId="7562CC78">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“合同价”系指根据合同约定，中标人在完全履行合同义务后，采购人应支付给中标人的价格。</w:t>
      </w:r>
    </w:p>
    <w:p w14:paraId="6DC0AC91">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“服务”系指中标人根据合同约定应向采购人履行的除货物和工程以</w:t>
      </w:r>
      <w:r>
        <w:rPr>
          <w:rFonts w:hint="eastAsia" w:ascii="宋体" w:hAnsi="宋体" w:eastAsia="宋体" w:cs="宋体"/>
          <w:spacing w:val="-10"/>
          <w:sz w:val="22"/>
          <w:szCs w:val="22"/>
        </w:rPr>
        <w:t>外的其他政府采购对象，包括采购人自身需要的服务和向社会公众提供的公共服</w:t>
      </w:r>
      <w:r>
        <w:rPr>
          <w:rFonts w:hint="eastAsia" w:ascii="宋体" w:hAnsi="宋体" w:eastAsia="宋体" w:cs="宋体"/>
          <w:sz w:val="22"/>
          <w:szCs w:val="22"/>
        </w:rPr>
        <w:t>务。</w:t>
      </w:r>
    </w:p>
    <w:p w14:paraId="1C71B258">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“甲方”系指与中标人签署合同的采购人；采购人委托采购代理机构代表其与乙方签订合同的，采购人的授权委托书作为合同附件。</w:t>
      </w:r>
    </w:p>
    <w:p w14:paraId="43028763">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“乙方”系指根据合同约定提供服务的中标人；两个以上的自然人、</w:t>
      </w:r>
      <w:r>
        <w:rPr>
          <w:rFonts w:hint="eastAsia" w:ascii="宋体" w:hAnsi="宋体" w:eastAsia="宋体" w:cs="宋体"/>
          <w:spacing w:val="-1"/>
          <w:sz w:val="22"/>
          <w:szCs w:val="22"/>
        </w:rPr>
        <w:t xml:space="preserve">法人或者其他组织组成一个联合体，以一个供应商的身份共同参加政府采购的， </w:t>
      </w:r>
      <w:r>
        <w:rPr>
          <w:rFonts w:hint="eastAsia" w:ascii="宋体" w:hAnsi="宋体" w:eastAsia="宋体" w:cs="宋体"/>
          <w:spacing w:val="-4"/>
          <w:sz w:val="22"/>
          <w:szCs w:val="22"/>
        </w:rPr>
        <w:t>联合体各方均应为乙方或者与乙方相同地位的合同当事人，并就合同约定的事项对甲方承担连带责任。</w:t>
      </w:r>
    </w:p>
    <w:p w14:paraId="41F4834E">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left="1255" w:right="0" w:hanging="602" w:firstLineChars="0"/>
        <w:textAlignment w:val="baseline"/>
        <w:rPr>
          <w:rFonts w:hint="eastAsia" w:ascii="宋体" w:hAnsi="宋体" w:eastAsia="宋体" w:cs="宋体"/>
          <w:sz w:val="22"/>
          <w:szCs w:val="22"/>
        </w:rPr>
      </w:pPr>
      <w:r>
        <w:rPr>
          <w:rFonts w:hint="eastAsia" w:ascii="宋体" w:hAnsi="宋体" w:eastAsia="宋体" w:cs="宋体"/>
          <w:sz w:val="22"/>
          <w:szCs w:val="22"/>
        </w:rPr>
        <w:t>“现场”系指合同约定提供服务的地点。</w:t>
      </w:r>
    </w:p>
    <w:p w14:paraId="1A11F835">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技术规范</w:t>
      </w:r>
    </w:p>
    <w:p w14:paraId="5E6A36B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rPr>
        <w:t>货物所应遵守的技术规范应与采购文件规定的技术规范和技术规范附件(如</w:t>
      </w:r>
      <w:r>
        <w:rPr>
          <w:rFonts w:hint="eastAsia" w:ascii="宋体" w:hAnsi="宋体" w:eastAsia="宋体" w:cs="宋体"/>
          <w:spacing w:val="-1"/>
          <w:sz w:val="22"/>
          <w:szCs w:val="22"/>
        </w:rPr>
        <w:t>果有的话)及其技术规范偏差表(如果被甲方接受的话)相一致；如果采购文件中</w:t>
      </w:r>
      <w:r>
        <w:rPr>
          <w:rFonts w:hint="eastAsia" w:ascii="宋体" w:hAnsi="宋体" w:eastAsia="宋体" w:cs="宋体"/>
          <w:spacing w:val="-9"/>
          <w:sz w:val="22"/>
          <w:szCs w:val="22"/>
        </w:rPr>
        <w:t>没有技术规范的相应说明，那么应以国家有关部门最新颁布的相应标准和规范为</w:t>
      </w:r>
      <w:r>
        <w:rPr>
          <w:rFonts w:hint="eastAsia" w:ascii="宋体" w:hAnsi="宋体" w:eastAsia="宋体" w:cs="宋体"/>
          <w:sz w:val="22"/>
          <w:szCs w:val="22"/>
        </w:rPr>
        <w:t>准。</w:t>
      </w:r>
    </w:p>
    <w:p w14:paraId="730DC2F7">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知识产权</w:t>
      </w:r>
    </w:p>
    <w:p w14:paraId="2A31C5CB">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乙方应保证其提供的服务不受任何第三方提出的侵犯其著作权、商标</w:t>
      </w:r>
      <w:r>
        <w:rPr>
          <w:rFonts w:hint="eastAsia" w:ascii="宋体" w:hAnsi="宋体" w:eastAsia="宋体" w:cs="宋体"/>
          <w:spacing w:val="-10"/>
          <w:sz w:val="22"/>
          <w:szCs w:val="22"/>
        </w:rPr>
        <w:t>权、专利权等知识产权方面的起诉；如果任何第三方提出侵权指控，那么乙方须</w:t>
      </w:r>
      <w:r>
        <w:rPr>
          <w:rFonts w:hint="eastAsia" w:ascii="宋体" w:hAnsi="宋体" w:eastAsia="宋体" w:cs="宋体"/>
          <w:sz w:val="22"/>
          <w:szCs w:val="22"/>
        </w:rPr>
        <w:t>与该第三方交涉并承担由此发生的一切责任、费用和赔偿；</w:t>
      </w:r>
    </w:p>
    <w:p w14:paraId="6CC17918">
      <w:pPr>
        <w:pStyle w:val="17"/>
        <w:keepNext w:val="0"/>
        <w:keepLines w:val="0"/>
        <w:pageBreakBefore w:val="0"/>
        <w:widowControl/>
        <w:numPr>
          <w:ilvl w:val="2"/>
          <w:numId w:val="7"/>
        </w:numPr>
        <w:tabs>
          <w:tab w:val="left" w:pos="1322"/>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0"/>
          <w:sz w:val="22"/>
          <w:szCs w:val="22"/>
        </w:rPr>
        <w:t>具有知识产权的计算机软件等货物的知识产权归属，详见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0CB0556F">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履约检查和问题反馈</w:t>
      </w:r>
    </w:p>
    <w:p w14:paraId="16713ACC">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甲方有权在其认为必要时，对乙方是否能够按照合同约定提供服务进行履约检查，以确保乙方所提供的服务能够依约满足甲方项目需求，但不得因履约检查妨碍乙方的正常工作，乙方应予积极配合；</w:t>
      </w:r>
    </w:p>
    <w:p w14:paraId="0E66C492">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合同履行期间，甲方有权将履行过程中出现的问题反馈给乙方，双方</w:t>
      </w:r>
      <w:r>
        <w:rPr>
          <w:rFonts w:hint="eastAsia" w:ascii="宋体" w:hAnsi="宋体" w:eastAsia="宋体" w:cs="宋体"/>
          <w:sz w:val="22"/>
          <w:szCs w:val="22"/>
        </w:rPr>
        <w:t>当事人应以书面形式约定需要完善和改进的内容。</w:t>
      </w:r>
    </w:p>
    <w:p w14:paraId="6978498E">
      <w:pPr>
        <w:pStyle w:val="17"/>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line="360" w:lineRule="auto"/>
        <w:ind w:left="654" w:right="0" w:firstLine="2" w:firstLineChars="0"/>
        <w:textAlignment w:val="baseline"/>
        <w:rPr>
          <w:rFonts w:hint="eastAsia" w:ascii="宋体" w:hAnsi="宋体" w:eastAsia="宋体" w:cs="宋体"/>
          <w:sz w:val="22"/>
          <w:szCs w:val="22"/>
        </w:rPr>
      </w:pPr>
      <w:r>
        <w:rPr>
          <w:rFonts w:hint="eastAsia" w:ascii="宋体" w:hAnsi="宋体" w:eastAsia="宋体" w:cs="宋体"/>
          <w:b/>
          <w:spacing w:val="-2"/>
          <w:sz w:val="22"/>
          <w:szCs w:val="22"/>
        </w:rPr>
        <w:t>结算方式和付款条件</w:t>
      </w:r>
      <w:r>
        <w:rPr>
          <w:rFonts w:hint="eastAsia" w:ascii="宋体" w:hAnsi="宋体" w:eastAsia="宋体" w:cs="宋体"/>
          <w:sz w:val="22"/>
          <w:szCs w:val="22"/>
        </w:rPr>
        <w:t>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48042119">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技术资料和保密义务</w:t>
      </w:r>
    </w:p>
    <w:p w14:paraId="7212BF51">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乙方有权依据合同约定和项目需要，向甲方了解有关情况，调阅有关</w:t>
      </w:r>
      <w:r>
        <w:rPr>
          <w:rFonts w:hint="eastAsia" w:ascii="宋体" w:hAnsi="宋体" w:eastAsia="宋体" w:cs="宋体"/>
          <w:sz w:val="22"/>
          <w:szCs w:val="22"/>
        </w:rPr>
        <w:t>资料等，甲方应予积极配合；</w:t>
      </w:r>
    </w:p>
    <w:p w14:paraId="4A756282">
      <w:pPr>
        <w:pStyle w:val="17"/>
        <w:keepNext w:val="0"/>
        <w:keepLines w:val="0"/>
        <w:pageBreakBefore w:val="0"/>
        <w:widowControl/>
        <w:numPr>
          <w:ilvl w:val="2"/>
          <w:numId w:val="7"/>
        </w:numPr>
        <w:tabs>
          <w:tab w:val="left" w:pos="1315"/>
        </w:tabs>
        <w:kinsoku w:val="0"/>
        <w:wordWrap/>
        <w:overflowPunct/>
        <w:topLinePunct w:val="0"/>
        <w:autoSpaceDE w:val="0"/>
        <w:autoSpaceDN w:val="0"/>
        <w:bidi w:val="0"/>
        <w:adjustRightInd w:val="0"/>
        <w:snapToGrid w:val="0"/>
        <w:spacing w:line="360" w:lineRule="auto"/>
        <w:ind w:left="1314"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乙方有义务妥善保管和保护由甲方提供的前款信息和资料等；</w:t>
      </w:r>
    </w:p>
    <w:p w14:paraId="2E594364">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除非依照法律规定或者对方当事人的书面同意，任何一方均应保证不</w:t>
      </w:r>
      <w:r>
        <w:rPr>
          <w:rFonts w:hint="eastAsia" w:ascii="宋体" w:hAnsi="宋体" w:eastAsia="宋体" w:cs="宋体"/>
          <w:sz w:val="22"/>
          <w:szCs w:val="22"/>
        </w:rPr>
        <w:t>向任何第三方提供或披露有关合同的或者履行合同过程中知悉的对方当事人任</w:t>
      </w:r>
      <w:r>
        <w:rPr>
          <w:rFonts w:hint="eastAsia" w:ascii="宋体" w:hAnsi="宋体" w:eastAsia="宋体" w:cs="宋体"/>
          <w:spacing w:val="-7"/>
          <w:sz w:val="22"/>
          <w:szCs w:val="22"/>
        </w:rPr>
        <w:t>何未公开的信息和资料，包括但不限于技术情报、技术资料、商业秘密和商业信</w:t>
      </w:r>
      <w:r>
        <w:rPr>
          <w:rFonts w:hint="eastAsia" w:ascii="宋体" w:hAnsi="宋体" w:eastAsia="宋体" w:cs="宋体"/>
          <w:spacing w:val="-12"/>
          <w:sz w:val="22"/>
          <w:szCs w:val="22"/>
        </w:rPr>
        <w:t>息等，并采取一切合理和必要措施和方式防止任何第三方接触到对方当事人的上</w:t>
      </w:r>
      <w:r>
        <w:rPr>
          <w:rFonts w:hint="eastAsia" w:ascii="宋体" w:hAnsi="宋体" w:eastAsia="宋体" w:cs="宋体"/>
          <w:sz w:val="22"/>
          <w:szCs w:val="22"/>
        </w:rPr>
        <w:t>述保密信息和资料。</w:t>
      </w:r>
    </w:p>
    <w:p w14:paraId="1A7B4D83">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质量保证</w:t>
      </w:r>
    </w:p>
    <w:p w14:paraId="171314D5">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乙方应建立和完善履行合同的内部质量保证体系，并提供相关内部规</w:t>
      </w:r>
      <w:r>
        <w:rPr>
          <w:rFonts w:hint="eastAsia" w:ascii="宋体" w:hAnsi="宋体" w:eastAsia="宋体" w:cs="宋体"/>
          <w:sz w:val="22"/>
          <w:szCs w:val="22"/>
        </w:rPr>
        <w:t>章制度给甲方，以便甲方进行监督检查；</w:t>
      </w:r>
    </w:p>
    <w:p w14:paraId="281EE168">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乙方应保证履行合同的人员数量和素质、软件和硬件设备的配置、场</w:t>
      </w:r>
      <w:r>
        <w:rPr>
          <w:rFonts w:hint="eastAsia" w:ascii="宋体" w:hAnsi="宋体" w:eastAsia="宋体" w:cs="宋体"/>
          <w:sz w:val="22"/>
          <w:szCs w:val="22"/>
        </w:rPr>
        <w:t>地、环境和设施等满足全面履行合同的要求，并应接受甲方的监督检查。</w:t>
      </w:r>
    </w:p>
    <w:p w14:paraId="27C83956">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延迟履行</w:t>
      </w:r>
    </w:p>
    <w:p w14:paraId="4FB31B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textAlignment w:val="baseline"/>
        <w:rPr>
          <w:rFonts w:hint="eastAsia" w:ascii="宋体" w:hAnsi="宋体" w:eastAsia="宋体" w:cs="宋体"/>
          <w:sz w:val="22"/>
          <w:szCs w:val="22"/>
        </w:rPr>
      </w:pPr>
      <w:r>
        <w:rPr>
          <w:rFonts w:hint="eastAsia" w:ascii="宋体" w:hAnsi="宋体" w:eastAsia="宋体" w:cs="宋体"/>
          <w:spacing w:val="-4"/>
          <w:sz w:val="22"/>
          <w:szCs w:val="22"/>
        </w:rPr>
        <w:t>在合同履行过程中，如果乙方遇到不能按时提供服务的情况，应及时以书面</w:t>
      </w:r>
      <w:r>
        <w:rPr>
          <w:rFonts w:hint="eastAsia" w:ascii="宋体" w:hAnsi="宋体" w:eastAsia="宋体" w:cs="宋体"/>
          <w:spacing w:val="-16"/>
          <w:sz w:val="22"/>
          <w:szCs w:val="22"/>
        </w:rPr>
        <w:t>形式将不能按时提供服务的理由、预期延误时间通知甲方；甲方收到乙方通知后，</w:t>
      </w:r>
      <w:r>
        <w:rPr>
          <w:rFonts w:hint="eastAsia" w:ascii="宋体" w:hAnsi="宋体" w:eastAsia="宋体" w:cs="宋体"/>
          <w:sz w:val="22"/>
          <w:szCs w:val="22"/>
        </w:rPr>
        <w:t>认为其理由正当的，可以书面形式酌情同意乙方可以延长履行的具体时间。</w:t>
      </w:r>
    </w:p>
    <w:p w14:paraId="2A816942">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合同变更</w:t>
      </w:r>
    </w:p>
    <w:p w14:paraId="5A94A5FD">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双方当事人协商一致，可以签订书面补充合同的形式变更合同，但不</w:t>
      </w:r>
      <w:r>
        <w:rPr>
          <w:rFonts w:hint="eastAsia" w:ascii="宋体" w:hAnsi="宋体" w:eastAsia="宋体" w:cs="宋体"/>
          <w:sz w:val="22"/>
          <w:szCs w:val="22"/>
        </w:rPr>
        <w:t>得违背采购文件确定的事项；</w:t>
      </w:r>
    </w:p>
    <w:p w14:paraId="6EE2FB5F">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合同继续履行将损害国家利益和社会公共利益的，双方当事人应当以书面形式变更合同。有过错的一方应当承担赔偿责任，双方当事人都有过错的</w:t>
      </w:r>
      <w:r>
        <w:rPr>
          <w:rFonts w:hint="eastAsia" w:ascii="宋体" w:hAnsi="宋体" w:cs="宋体"/>
          <w:sz w:val="22"/>
          <w:szCs w:val="22"/>
          <w:lang w:eastAsia="zh-CN"/>
        </w:rPr>
        <w:t>，</w:t>
      </w:r>
      <w:r>
        <w:rPr>
          <w:rFonts w:hint="eastAsia" w:ascii="宋体" w:hAnsi="宋体" w:eastAsia="宋体" w:cs="宋体"/>
          <w:sz w:val="22"/>
          <w:szCs w:val="22"/>
        </w:rPr>
        <w:t>各自承担相应的责任。</w:t>
      </w:r>
    </w:p>
    <w:p w14:paraId="75900743">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合同转让和分包</w:t>
      </w:r>
    </w:p>
    <w:p w14:paraId="65A0C8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420" w:firstLineChars="200"/>
        <w:jc w:val="both"/>
        <w:textAlignment w:val="baseline"/>
        <w:rPr>
          <w:rFonts w:hint="eastAsia" w:ascii="宋体" w:hAnsi="宋体" w:eastAsia="宋体" w:cs="宋体"/>
          <w:sz w:val="22"/>
          <w:szCs w:val="22"/>
        </w:rPr>
      </w:pPr>
      <w:r>
        <w:rPr>
          <w:rFonts w:hint="eastAsia" w:ascii="宋体" w:hAnsi="宋体" w:eastAsia="宋体" w:cs="宋体"/>
          <w:spacing w:val="-5"/>
          <w:sz w:val="22"/>
          <w:szCs w:val="22"/>
        </w:rPr>
        <w:t>合同的权利义务依法不得转让，但经甲方同意，乙方可以依法采取分包方式</w:t>
      </w:r>
      <w:r>
        <w:rPr>
          <w:rFonts w:hint="eastAsia" w:ascii="宋体" w:hAnsi="宋体" w:eastAsia="宋体" w:cs="宋体"/>
          <w:spacing w:val="-11"/>
          <w:sz w:val="22"/>
          <w:szCs w:val="22"/>
        </w:rPr>
        <w:t>履行合同，即：依法可以将合同项下的部分非主体、非关键性工作分包给他人完</w:t>
      </w:r>
      <w:r>
        <w:rPr>
          <w:rFonts w:hint="eastAsia" w:ascii="宋体" w:hAnsi="宋体" w:eastAsia="宋体" w:cs="宋体"/>
          <w:spacing w:val="-10"/>
          <w:sz w:val="22"/>
          <w:szCs w:val="22"/>
        </w:rPr>
        <w:t>成，接受分包的人应当具备相应的资格条件，并不得再次分包，且乙方应就分包</w:t>
      </w:r>
      <w:r>
        <w:rPr>
          <w:rFonts w:hint="eastAsia" w:ascii="宋体" w:hAnsi="宋体" w:eastAsia="宋体" w:cs="宋体"/>
          <w:sz w:val="22"/>
          <w:szCs w:val="22"/>
        </w:rPr>
        <w:t>项目向甲方负责，并与分包供应商就分包项目向甲方承担连带责任。</w:t>
      </w:r>
    </w:p>
    <w:p w14:paraId="61A0B0C3">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不可抗力</w:t>
      </w:r>
    </w:p>
    <w:p w14:paraId="3C6941DA">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如果任何一方遭遇法律规定的不可抗力，致使合同履行受阻时，履行</w:t>
      </w:r>
      <w:r>
        <w:rPr>
          <w:rFonts w:hint="eastAsia" w:ascii="宋体" w:hAnsi="宋体" w:eastAsia="宋体" w:cs="宋体"/>
          <w:sz w:val="22"/>
          <w:szCs w:val="22"/>
        </w:rPr>
        <w:t>合同的期限应予延长，延长的期限应相当于不可抗力所影响的时间；</w:t>
      </w:r>
    </w:p>
    <w:p w14:paraId="30048BA6">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因不可抗力致使不能实现合同目的的，当事人可以解除合同；</w:t>
      </w:r>
    </w:p>
    <w:p w14:paraId="39C541B8">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因不可抗力致使合同有变更必要的，双方当事人应在</w:t>
      </w:r>
      <w:r>
        <w:rPr>
          <w:rFonts w:hint="eastAsia" w:ascii="宋体" w:hAnsi="宋体" w:eastAsia="宋体" w:cs="宋体"/>
          <w:b/>
          <w:sz w:val="22"/>
          <w:szCs w:val="22"/>
          <w:u w:val="single"/>
        </w:rPr>
        <w:t xml:space="preserve">合同专用条款 </w:t>
      </w:r>
      <w:r>
        <w:rPr>
          <w:rFonts w:hint="eastAsia" w:ascii="宋体" w:hAnsi="宋体" w:eastAsia="宋体" w:cs="宋体"/>
          <w:sz w:val="22"/>
          <w:szCs w:val="22"/>
        </w:rPr>
        <w:t>约定时间内以书面形式变更合同；</w:t>
      </w:r>
    </w:p>
    <w:p w14:paraId="477E41FA">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受不可抗力影响的一方在不可抗力发生后，应在</w:t>
      </w:r>
      <w:r>
        <w:rPr>
          <w:rFonts w:hint="eastAsia" w:ascii="宋体" w:hAnsi="宋体" w:eastAsia="宋体" w:cs="宋体"/>
          <w:b/>
          <w:sz w:val="22"/>
          <w:szCs w:val="22"/>
          <w:u w:val="single"/>
        </w:rPr>
        <w:t>合同专用条款</w:t>
      </w:r>
      <w:r>
        <w:rPr>
          <w:rFonts w:hint="eastAsia" w:ascii="宋体" w:hAnsi="宋体" w:eastAsia="宋体" w:cs="宋体"/>
          <w:b/>
          <w:w w:val="95"/>
          <w:sz w:val="22"/>
          <w:szCs w:val="22"/>
          <w:u w:val="single"/>
        </w:rPr>
        <w:t xml:space="preserve"> </w:t>
      </w:r>
      <w:r>
        <w:rPr>
          <w:rFonts w:hint="eastAsia" w:ascii="宋体" w:hAnsi="宋体" w:eastAsia="宋体" w:cs="宋体"/>
          <w:sz w:val="22"/>
          <w:szCs w:val="22"/>
        </w:rPr>
        <w:t>约定时间内以书面形式通知对方当事人，并在</w:t>
      </w:r>
      <w:r>
        <w:rPr>
          <w:rFonts w:hint="eastAsia" w:ascii="宋体" w:hAnsi="宋体" w:eastAsia="宋体" w:cs="宋体"/>
          <w:b/>
          <w:sz w:val="22"/>
          <w:szCs w:val="22"/>
          <w:u w:val="single"/>
        </w:rPr>
        <w:t>合同专用条款</w:t>
      </w:r>
      <w:r>
        <w:rPr>
          <w:rFonts w:hint="eastAsia" w:ascii="宋体" w:hAnsi="宋体" w:eastAsia="宋体" w:cs="宋体"/>
          <w:b/>
          <w:w w:val="95"/>
          <w:sz w:val="22"/>
          <w:szCs w:val="22"/>
          <w:u w:val="single"/>
        </w:rPr>
        <w:t xml:space="preserve"> </w:t>
      </w:r>
      <w:r>
        <w:rPr>
          <w:rFonts w:hint="eastAsia" w:ascii="宋体" w:hAnsi="宋体" w:eastAsia="宋体" w:cs="宋体"/>
          <w:sz w:val="22"/>
          <w:szCs w:val="22"/>
        </w:rPr>
        <w:t>约定时间内，将有关部门出具的证明文件送达对方当事人。</w:t>
      </w:r>
    </w:p>
    <w:p w14:paraId="47A91635">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税费</w:t>
      </w:r>
    </w:p>
    <w:p w14:paraId="3BAD0DF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与合同有关的一切税费，均按照中华人民共和国法律的相关规定缴纳。</w:t>
      </w:r>
    </w:p>
    <w:p w14:paraId="2BC10ED1">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乙方破产</w:t>
      </w:r>
    </w:p>
    <w:p w14:paraId="518292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426" w:firstLineChars="201"/>
        <w:jc w:val="both"/>
        <w:textAlignment w:val="baseline"/>
        <w:rPr>
          <w:rFonts w:hint="eastAsia" w:ascii="宋体" w:hAnsi="宋体" w:eastAsia="宋体" w:cs="宋体"/>
          <w:sz w:val="22"/>
          <w:szCs w:val="22"/>
        </w:rPr>
      </w:pPr>
      <w:r>
        <w:rPr>
          <w:rFonts w:hint="eastAsia" w:ascii="宋体" w:hAnsi="宋体" w:eastAsia="宋体" w:cs="宋体"/>
          <w:spacing w:val="-4"/>
          <w:sz w:val="22"/>
          <w:szCs w:val="22"/>
        </w:rPr>
        <w:t>如果乙方破产导致合同无法履行时，甲方可以书面形式通知乙方终止合同且</w:t>
      </w:r>
      <w:r>
        <w:rPr>
          <w:rFonts w:hint="eastAsia" w:ascii="宋体" w:hAnsi="宋体" w:eastAsia="宋体" w:cs="宋体"/>
          <w:spacing w:val="-9"/>
          <w:sz w:val="22"/>
          <w:szCs w:val="22"/>
        </w:rPr>
        <w:t>不给予乙方任何补偿和赔偿，但合同的终止不损害或不影响甲方已经采取或将要</w:t>
      </w:r>
      <w:r>
        <w:rPr>
          <w:rFonts w:hint="eastAsia" w:ascii="宋体" w:hAnsi="宋体" w:eastAsia="宋体" w:cs="宋体"/>
          <w:sz w:val="22"/>
          <w:szCs w:val="22"/>
        </w:rPr>
        <w:t>采取的任何要求乙方支付违约金、赔偿损失等的行动或补救措施的权利。</w:t>
      </w:r>
    </w:p>
    <w:p w14:paraId="2C0651F3">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合同中止、终止</w:t>
      </w:r>
    </w:p>
    <w:p w14:paraId="069DE521">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双方当事人不得擅自中止或者终止合同；</w:t>
      </w:r>
    </w:p>
    <w:p w14:paraId="4CA350A8">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6"/>
          <w:sz w:val="22"/>
          <w:szCs w:val="22"/>
        </w:rPr>
        <w:t>合同继续履行将损害国家利益和社会公共利益的，双方当事人应当中</w:t>
      </w:r>
      <w:r>
        <w:rPr>
          <w:rFonts w:hint="eastAsia" w:ascii="宋体" w:hAnsi="宋体" w:eastAsia="宋体" w:cs="宋体"/>
          <w:spacing w:val="-8"/>
          <w:sz w:val="22"/>
          <w:szCs w:val="22"/>
        </w:rPr>
        <w:t>止或者终止合同。有过错的一方应当承担赔偿责任，双方当事人都有过错的，各</w:t>
      </w:r>
      <w:r>
        <w:rPr>
          <w:rFonts w:hint="eastAsia" w:ascii="宋体" w:hAnsi="宋体" w:eastAsia="宋体" w:cs="宋体"/>
          <w:sz w:val="22"/>
          <w:szCs w:val="22"/>
        </w:rPr>
        <w:t>自承担相应的责任。</w:t>
      </w:r>
    </w:p>
    <w:p w14:paraId="2239DF22">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检验和验收</w:t>
      </w:r>
    </w:p>
    <w:p w14:paraId="74FDCEDD">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乙方按照合同专用条款的约定，定期提交服务报告，甲方按照合同专用条款的约定进行定期验收；</w:t>
      </w:r>
    </w:p>
    <w:p w14:paraId="38FC5BC9">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合同期满或</w:t>
      </w:r>
      <w:r>
        <w:rPr>
          <w:rFonts w:hint="eastAsia" w:ascii="宋体" w:hAnsi="宋体" w:eastAsia="宋体" w:cs="宋体"/>
          <w:spacing w:val="-8"/>
          <w:sz w:val="22"/>
          <w:szCs w:val="22"/>
        </w:rPr>
        <w:t>者履行完毕后，甲方有权组织</w:t>
      </w:r>
      <w:r>
        <w:rPr>
          <w:rFonts w:hint="eastAsia" w:ascii="宋体" w:hAnsi="宋体" w:eastAsia="宋体" w:cs="宋体"/>
          <w:sz w:val="22"/>
          <w:szCs w:val="22"/>
        </w:rPr>
        <w:t>（</w:t>
      </w:r>
      <w:r>
        <w:rPr>
          <w:rFonts w:hint="eastAsia" w:ascii="宋体" w:hAnsi="宋体" w:eastAsia="宋体" w:cs="宋体"/>
          <w:spacing w:val="-2"/>
          <w:sz w:val="22"/>
          <w:szCs w:val="22"/>
        </w:rPr>
        <w:t>包括依法邀请国家认可的</w:t>
      </w:r>
      <w:r>
        <w:rPr>
          <w:rFonts w:hint="eastAsia" w:ascii="宋体" w:hAnsi="宋体" w:eastAsia="宋体" w:cs="宋体"/>
          <w:sz w:val="22"/>
          <w:szCs w:val="22"/>
        </w:rPr>
        <w:t>质量检测机构参加</w:t>
      </w:r>
      <w:r>
        <w:rPr>
          <w:rFonts w:hint="eastAsia" w:ascii="宋体" w:hAnsi="宋体" w:eastAsia="宋体" w:cs="宋体"/>
          <w:spacing w:val="-24"/>
          <w:sz w:val="22"/>
          <w:szCs w:val="22"/>
        </w:rPr>
        <w:t>）</w:t>
      </w:r>
      <w:r>
        <w:rPr>
          <w:rFonts w:hint="eastAsia" w:ascii="宋体" w:hAnsi="宋体" w:eastAsia="宋体" w:cs="宋体"/>
          <w:spacing w:val="-7"/>
          <w:sz w:val="22"/>
          <w:szCs w:val="22"/>
        </w:rPr>
        <w:t>对乙方履约的验收，即：按照合同约定的标准，组织对乙方</w:t>
      </w:r>
      <w:r>
        <w:rPr>
          <w:rFonts w:hint="eastAsia" w:ascii="宋体" w:hAnsi="宋体" w:eastAsia="宋体" w:cs="宋体"/>
          <w:spacing w:val="-8"/>
          <w:sz w:val="22"/>
          <w:szCs w:val="22"/>
        </w:rPr>
        <w:t>履约情况的验收，并出具验收书；向社会公众提供的公共服务项目，验收时应当</w:t>
      </w:r>
      <w:r>
        <w:rPr>
          <w:rFonts w:hint="eastAsia" w:ascii="宋体" w:hAnsi="宋体" w:eastAsia="宋体" w:cs="宋体"/>
          <w:sz w:val="22"/>
          <w:szCs w:val="22"/>
        </w:rPr>
        <w:t>邀请服务对象参与并出具意见，验收结果应当向社会公告；</w:t>
      </w:r>
    </w:p>
    <w:p w14:paraId="5028F887">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检验和验收标准、程序等具体内容以及前述验收书的效力详见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24BC26A4">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lang w:val="en-US"/>
        </w:rPr>
      </w:pPr>
      <w:r>
        <w:rPr>
          <w:rFonts w:hint="eastAsia" w:ascii="宋体" w:hAnsi="宋体" w:eastAsia="宋体" w:cs="宋体"/>
          <w:sz w:val="22"/>
          <w:szCs w:val="22"/>
        </w:rPr>
        <w:t>合同使用的文字和适用的法律</w:t>
      </w:r>
    </w:p>
    <w:p w14:paraId="18AF8EEE">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合同使用汉语书就、变更和解释；</w:t>
      </w:r>
    </w:p>
    <w:p w14:paraId="1C872B7F">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合同适用中华人民共和国法律。</w:t>
      </w:r>
    </w:p>
    <w:p w14:paraId="52A820E7">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textAlignment w:val="baseline"/>
        <w:rPr>
          <w:rFonts w:hint="eastAsia" w:ascii="宋体" w:hAnsi="宋体" w:eastAsia="宋体" w:cs="宋体"/>
          <w:sz w:val="22"/>
          <w:szCs w:val="22"/>
        </w:rPr>
      </w:pPr>
      <w:r>
        <w:rPr>
          <w:rFonts w:hint="eastAsia" w:ascii="宋体" w:hAnsi="宋体" w:eastAsia="宋体" w:cs="宋体"/>
          <w:sz w:val="22"/>
          <w:szCs w:val="22"/>
        </w:rPr>
        <w:t>履约保证金</w:t>
      </w:r>
    </w:p>
    <w:p w14:paraId="3A2FF0BF">
      <w:pPr>
        <w:pStyle w:val="17"/>
        <w:keepNext w:val="0"/>
        <w:keepLines w:val="0"/>
        <w:pageBreakBefore w:val="0"/>
        <w:widowControl/>
        <w:numPr>
          <w:ilvl w:val="2"/>
          <w:numId w:val="7"/>
        </w:numPr>
        <w:tabs>
          <w:tab w:val="left" w:pos="1435"/>
          <w:tab w:val="left" w:pos="2980"/>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采购文件要求乙方提交履约保证金的，乙方应按合同</w:t>
      </w:r>
      <w:r>
        <w:rPr>
          <w:rFonts w:hint="eastAsia" w:ascii="宋体" w:hAnsi="宋体" w:eastAsia="宋体" w:cs="宋体"/>
          <w:b/>
          <w:bCs/>
          <w:spacing w:val="-7"/>
          <w:sz w:val="22"/>
          <w:szCs w:val="22"/>
          <w:u w:val="single"/>
        </w:rPr>
        <w:t>专用条款</w:t>
      </w:r>
      <w:r>
        <w:rPr>
          <w:rFonts w:hint="eastAsia" w:ascii="宋体" w:hAnsi="宋体" w:eastAsia="宋体" w:cs="宋体"/>
          <w:spacing w:val="-7"/>
          <w:sz w:val="22"/>
          <w:szCs w:val="22"/>
        </w:rPr>
        <w:t>约定的方式提交；</w:t>
      </w:r>
    </w:p>
    <w:p w14:paraId="10884816">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履约保证金在合同专用条款约定期间内不予退还或者应完全有效，前述约定期间届满或者甲方在验收合格</w:t>
      </w:r>
      <w:r>
        <w:rPr>
          <w:rFonts w:hint="eastAsia" w:ascii="宋体" w:hAnsi="宋体" w:eastAsia="宋体" w:cs="宋体"/>
          <w:spacing w:val="-10"/>
          <w:sz w:val="22"/>
          <w:szCs w:val="22"/>
        </w:rPr>
        <w:t>后</w:t>
      </w:r>
      <w:r>
        <w:rPr>
          <w:rFonts w:hint="eastAsia" w:ascii="宋体" w:hAnsi="宋体" w:eastAsia="宋体" w:cs="宋体"/>
          <w:spacing w:val="-10"/>
          <w:sz w:val="22"/>
          <w:szCs w:val="22"/>
          <w:lang w:val="en-US" w:eastAsia="zh-CN"/>
        </w:rPr>
        <w:t>退还</w:t>
      </w:r>
      <w:r>
        <w:rPr>
          <w:rFonts w:hint="eastAsia" w:ascii="宋体" w:hAnsi="宋体" w:eastAsia="宋体" w:cs="宋体"/>
          <w:spacing w:val="-10"/>
          <w:sz w:val="22"/>
          <w:szCs w:val="22"/>
        </w:rPr>
        <w:t>；</w:t>
      </w:r>
    </w:p>
    <w:p w14:paraId="12374311">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0"/>
          <w:sz w:val="22"/>
          <w:szCs w:val="22"/>
        </w:rPr>
        <w:t>如果乙方不履行合同，履约保证金不予退还；如果乙方未能按合同约</w:t>
      </w:r>
      <w:r>
        <w:rPr>
          <w:rFonts w:hint="eastAsia" w:ascii="宋体" w:hAnsi="宋体" w:eastAsia="宋体" w:cs="宋体"/>
          <w:spacing w:val="-9"/>
          <w:sz w:val="22"/>
          <w:szCs w:val="22"/>
        </w:rPr>
        <w:t>定全面履行义务，那么甲方有权从履约保证金中取得补偿或赔偿，同时不影响甲</w:t>
      </w:r>
      <w:r>
        <w:rPr>
          <w:rFonts w:hint="eastAsia" w:ascii="宋体" w:hAnsi="宋体" w:eastAsia="宋体" w:cs="宋体"/>
          <w:sz w:val="22"/>
          <w:szCs w:val="22"/>
        </w:rPr>
        <w:t>方要求乙方承担合同约定的超过履约保证金的违约责任的权利。</w:t>
      </w:r>
    </w:p>
    <w:p w14:paraId="2C6A166E">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合同份数</w:t>
      </w:r>
    </w:p>
    <w:p w14:paraId="6AFD6B4A">
      <w:pPr>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合同份数按</w:t>
      </w:r>
      <w:r>
        <w:rPr>
          <w:rFonts w:hint="eastAsia" w:ascii="宋体" w:hAnsi="宋体" w:eastAsia="宋体" w:cs="宋体"/>
          <w:b/>
          <w:sz w:val="22"/>
          <w:szCs w:val="22"/>
          <w:u w:val="single"/>
        </w:rPr>
        <w:t>合同专用条款</w:t>
      </w:r>
      <w:r>
        <w:rPr>
          <w:rFonts w:hint="eastAsia" w:ascii="宋体" w:hAnsi="宋体" w:eastAsia="宋体" w:cs="宋体"/>
          <w:sz w:val="22"/>
          <w:szCs w:val="22"/>
        </w:rPr>
        <w:t>规定，每份均具有同等法律效力。</w:t>
      </w:r>
    </w:p>
    <w:p w14:paraId="3E2409E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p>
    <w:p w14:paraId="78CA4B1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p>
    <w:p w14:paraId="6422A21F">
      <w:pPr>
        <w:pStyle w:val="3"/>
        <w:spacing w:line="360" w:lineRule="auto"/>
        <w:ind w:left="3108"/>
        <w:rPr>
          <w:sz w:val="21"/>
          <w:szCs w:val="21"/>
        </w:rPr>
      </w:pPr>
      <w:r>
        <w:rPr>
          <w:sz w:val="21"/>
          <w:szCs w:val="21"/>
        </w:rPr>
        <w:t>第三部分 合同专用条款</w:t>
      </w:r>
    </w:p>
    <w:p w14:paraId="3C36CEE7">
      <w:pPr>
        <w:pStyle w:val="5"/>
        <w:spacing w:before="160" w:line="360" w:lineRule="auto"/>
        <w:ind w:right="-55" w:rightChars="0" w:firstLine="434"/>
        <w:rPr>
          <w:spacing w:val="-7"/>
          <w:sz w:val="21"/>
          <w:szCs w:val="21"/>
        </w:rPr>
      </w:pPr>
      <w:r>
        <w:rPr>
          <w:sz w:val="21"/>
          <w:szCs w:val="21"/>
        </w:rPr>
        <w:t xml:space="preserve">本部分是对前两部分的补充和修改，如果前两部分和本部分的约定不一致， </w:t>
      </w:r>
      <w:r>
        <w:rPr>
          <w:spacing w:val="-7"/>
          <w:sz w:val="21"/>
          <w:szCs w:val="21"/>
        </w:rPr>
        <w:t>应以本部分的约定为准。本部分的条款号应与前两部分的条款号保持对应；与前两部分无对应关系的内容可另行编制</w:t>
      </w:r>
    </w:p>
    <w:tbl>
      <w:tblPr>
        <w:tblStyle w:val="9"/>
        <w:tblW w:w="90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8240"/>
      </w:tblGrid>
      <w:tr w14:paraId="7C62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noWrap w:val="0"/>
            <w:vAlign w:val="top"/>
          </w:tcPr>
          <w:p w14:paraId="22F778A3">
            <w:pPr>
              <w:pStyle w:val="16"/>
              <w:spacing w:before="40"/>
              <w:ind w:left="35"/>
              <w:rPr>
                <w:b/>
                <w:sz w:val="24"/>
                <w:lang w:eastAsia="en-US"/>
              </w:rPr>
            </w:pPr>
            <w:r>
              <w:rPr>
                <w:b/>
                <w:sz w:val="24"/>
                <w:lang w:eastAsia="en-US"/>
              </w:rPr>
              <w:t>条款号</w:t>
            </w:r>
          </w:p>
        </w:tc>
        <w:tc>
          <w:tcPr>
            <w:tcW w:w="8240" w:type="dxa"/>
            <w:noWrap w:val="0"/>
            <w:vAlign w:val="top"/>
          </w:tcPr>
          <w:p w14:paraId="0557A0CC">
            <w:pPr>
              <w:pStyle w:val="16"/>
              <w:spacing w:before="40"/>
              <w:ind w:left="3280" w:right="3271"/>
              <w:jc w:val="center"/>
              <w:rPr>
                <w:b/>
                <w:sz w:val="24"/>
                <w:lang w:eastAsia="en-US"/>
              </w:rPr>
            </w:pPr>
            <w:r>
              <w:rPr>
                <w:b/>
                <w:sz w:val="24"/>
                <w:lang w:eastAsia="en-US"/>
              </w:rPr>
              <w:t>约定内容</w:t>
            </w:r>
          </w:p>
        </w:tc>
      </w:tr>
      <w:tr w14:paraId="39B03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center"/>
          </w:tcPr>
          <w:p w14:paraId="07D2AE56">
            <w:pPr>
              <w:keepNext w:val="0"/>
              <w:keepLines w:val="0"/>
              <w:widowControl/>
              <w:suppressLineNumbers w:val="0"/>
              <w:spacing w:before="0" w:beforeAutospacing="0" w:after="0" w:afterAutospacing="0" w:line="500" w:lineRule="atLeast"/>
              <w:ind w:left="0" w:leftChars="0" w:right="0" w:rightChars="0"/>
              <w:jc w:val="center"/>
              <w:rPr>
                <w:rFonts w:hint="eastAsia" w:ascii="宋体" w:hAnsi="宋体" w:eastAsia="宋体" w:cs="宋体"/>
                <w:sz w:val="21"/>
                <w:szCs w:val="21"/>
                <w:lang w:eastAsia="en-US"/>
              </w:rPr>
            </w:pPr>
            <w:r>
              <w:rPr>
                <w:rFonts w:hint="eastAsia" w:ascii="宋体" w:hAnsi="宋体" w:eastAsia="宋体" w:cs="宋体"/>
                <w:kern w:val="0"/>
                <w:sz w:val="21"/>
                <w:szCs w:val="21"/>
                <w:lang w:val="en-US" w:eastAsia="zh-CN" w:bidi="ar"/>
              </w:rPr>
              <w:t xml:space="preserve">履约保证金 </w:t>
            </w:r>
          </w:p>
        </w:tc>
        <w:tc>
          <w:tcPr>
            <w:tcW w:w="8240" w:type="dxa"/>
            <w:noWrap w:val="0"/>
            <w:vAlign w:val="center"/>
          </w:tcPr>
          <w:p w14:paraId="3A4ACDFA">
            <w:pPr>
              <w:keepNext w:val="0"/>
              <w:keepLines w:val="0"/>
              <w:widowControl/>
              <w:suppressLineNumbers w:val="0"/>
              <w:spacing w:before="0" w:beforeAutospacing="0" w:after="0" w:afterAutospacing="0" w:line="50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（1）金额：遵照《阜阳市财政局 阜阳市公共资源交易监督管理局转发安徽省财政厅关于进一步优化政府采购营商环境的通知》（阜财购〔2022〕207号）执行 </w:t>
            </w:r>
          </w:p>
          <w:p w14:paraId="1B37E8D9">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☑免收 </w:t>
            </w:r>
          </w:p>
          <w:p w14:paraId="01D9ACC7">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□合同价的</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 </w:t>
            </w:r>
          </w:p>
          <w:p w14:paraId="7C429307">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□定额收取：人民币</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元 </w:t>
            </w:r>
          </w:p>
          <w:p w14:paraId="4EB7459A">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（2）支付方式： </w:t>
            </w:r>
          </w:p>
          <w:p w14:paraId="2AC11BEE">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☑转账/电汇 ☑支票 ☑汇票 ☑本票 ☑保函 ☑保险   </w:t>
            </w:r>
          </w:p>
          <w:p w14:paraId="1F0A7F6F">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其他要求：  </w:t>
            </w:r>
          </w:p>
          <w:p w14:paraId="59E17DDA">
            <w:pPr>
              <w:keepNext w:val="0"/>
              <w:keepLines w:val="0"/>
              <w:widowControl/>
              <w:suppressLineNumbers w:val="0"/>
              <w:spacing w:before="0" w:beforeAutospacing="0" w:after="0" w:afterAutospacing="0" w:line="500" w:lineRule="atLeast"/>
              <w:ind w:left="0" w:right="0"/>
              <w:jc w:val="both"/>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ar"/>
              </w:rPr>
              <w:t>（3）收取单位：/</w:t>
            </w:r>
          </w:p>
          <w:p w14:paraId="74767378">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（4）缴纳时间：/  </w:t>
            </w:r>
          </w:p>
          <w:p w14:paraId="46295A33">
            <w:pPr>
              <w:keepNext w:val="0"/>
              <w:keepLines w:val="0"/>
              <w:widowControl/>
              <w:suppressLineNumbers w:val="0"/>
              <w:spacing w:before="0" w:beforeAutospacing="0" w:after="0" w:afterAutospacing="0" w:line="500" w:lineRule="atLeast"/>
              <w:ind w:left="0" w:leftChars="0" w:right="0" w:rightChars="0"/>
              <w:jc w:val="both"/>
              <w:rPr>
                <w:rFonts w:hint="eastAsia" w:ascii="宋体" w:hAnsi="宋体" w:eastAsia="宋体" w:cs="宋体"/>
                <w:sz w:val="21"/>
                <w:szCs w:val="21"/>
                <w:lang w:eastAsia="en-US"/>
              </w:rPr>
            </w:pPr>
            <w:r>
              <w:rPr>
                <w:rFonts w:hint="eastAsia" w:ascii="宋体" w:hAnsi="宋体" w:eastAsia="宋体" w:cs="宋体"/>
                <w:kern w:val="0"/>
                <w:sz w:val="21"/>
                <w:szCs w:val="21"/>
                <w:lang w:val="en-US" w:eastAsia="zh-CN" w:bidi="ar"/>
              </w:rPr>
              <w:t xml:space="preserve">（5）退还时间：/  </w:t>
            </w:r>
          </w:p>
        </w:tc>
      </w:tr>
      <w:tr w14:paraId="5BBE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41619E6D">
            <w:pPr>
              <w:pStyle w:val="16"/>
              <w:rPr>
                <w:rFonts w:ascii="Times New Roman"/>
                <w:lang w:eastAsia="en-US"/>
              </w:rPr>
            </w:pPr>
          </w:p>
        </w:tc>
        <w:tc>
          <w:tcPr>
            <w:tcW w:w="8240" w:type="dxa"/>
            <w:noWrap w:val="0"/>
            <w:vAlign w:val="top"/>
          </w:tcPr>
          <w:p w14:paraId="76E6CF35">
            <w:pPr>
              <w:pStyle w:val="16"/>
              <w:rPr>
                <w:rFonts w:ascii="Times New Roman"/>
                <w:lang w:eastAsia="en-US"/>
              </w:rPr>
            </w:pPr>
          </w:p>
        </w:tc>
      </w:tr>
      <w:tr w14:paraId="0EBC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noWrap w:val="0"/>
            <w:vAlign w:val="top"/>
          </w:tcPr>
          <w:p w14:paraId="294754B9">
            <w:pPr>
              <w:pStyle w:val="16"/>
              <w:rPr>
                <w:rFonts w:ascii="Times New Roman"/>
                <w:lang w:eastAsia="en-US"/>
              </w:rPr>
            </w:pPr>
          </w:p>
        </w:tc>
        <w:tc>
          <w:tcPr>
            <w:tcW w:w="8240" w:type="dxa"/>
            <w:noWrap w:val="0"/>
            <w:vAlign w:val="top"/>
          </w:tcPr>
          <w:p w14:paraId="609169BB">
            <w:pPr>
              <w:pStyle w:val="16"/>
              <w:rPr>
                <w:rFonts w:ascii="Times New Roman"/>
                <w:lang w:eastAsia="en-US"/>
              </w:rPr>
            </w:pPr>
          </w:p>
        </w:tc>
      </w:tr>
      <w:tr w14:paraId="3C25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348CF7FA">
            <w:pPr>
              <w:pStyle w:val="16"/>
              <w:rPr>
                <w:rFonts w:ascii="Times New Roman"/>
                <w:lang w:eastAsia="en-US"/>
              </w:rPr>
            </w:pPr>
          </w:p>
        </w:tc>
        <w:tc>
          <w:tcPr>
            <w:tcW w:w="8240" w:type="dxa"/>
            <w:noWrap w:val="0"/>
            <w:vAlign w:val="top"/>
          </w:tcPr>
          <w:p w14:paraId="65CCC81D">
            <w:pPr>
              <w:pStyle w:val="16"/>
              <w:rPr>
                <w:rFonts w:ascii="Times New Roman"/>
                <w:lang w:eastAsia="en-US"/>
              </w:rPr>
            </w:pPr>
          </w:p>
        </w:tc>
      </w:tr>
      <w:tr w14:paraId="392B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top"/>
          </w:tcPr>
          <w:p w14:paraId="30CFAD57">
            <w:pPr>
              <w:pStyle w:val="16"/>
              <w:rPr>
                <w:rFonts w:ascii="Times New Roman"/>
                <w:lang w:eastAsia="en-US"/>
              </w:rPr>
            </w:pPr>
          </w:p>
        </w:tc>
        <w:tc>
          <w:tcPr>
            <w:tcW w:w="8240" w:type="dxa"/>
            <w:noWrap w:val="0"/>
            <w:vAlign w:val="top"/>
          </w:tcPr>
          <w:p w14:paraId="329AC101">
            <w:pPr>
              <w:pStyle w:val="16"/>
              <w:rPr>
                <w:rFonts w:ascii="Times New Roman"/>
                <w:lang w:eastAsia="en-US"/>
              </w:rPr>
            </w:pPr>
          </w:p>
        </w:tc>
      </w:tr>
    </w:tbl>
    <w:p w14:paraId="3E200EF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sectPr>
          <w:pgSz w:w="11910" w:h="16840"/>
          <w:pgMar w:top="1380" w:right="1290" w:bottom="1500" w:left="1580" w:header="877" w:footer="1304" w:gutter="0"/>
          <w:pgNumType w:fmt="decimal"/>
          <w:cols w:space="720" w:num="1"/>
        </w:sectPr>
      </w:pPr>
    </w:p>
    <w:p w14:paraId="35673580">
      <w:pPr>
        <w:spacing w:line="244" w:lineRule="auto"/>
        <w:rPr>
          <w:rFonts w:ascii="Arial"/>
          <w:color w:val="auto"/>
          <w:sz w:val="32"/>
          <w:szCs w:val="32"/>
        </w:rPr>
      </w:pPr>
    </w:p>
    <w:p w14:paraId="2BCC58C1">
      <w:pPr>
        <w:spacing w:line="360" w:lineRule="auto"/>
        <w:jc w:val="center"/>
        <w:outlineLvl w:val="0"/>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第六章 响应文件格式</w:t>
      </w:r>
    </w:p>
    <w:p w14:paraId="0C1C6576">
      <w:pPr>
        <w:spacing w:line="248" w:lineRule="auto"/>
        <w:rPr>
          <w:rFonts w:ascii="Arial"/>
          <w:color w:val="auto"/>
          <w:sz w:val="21"/>
        </w:rPr>
      </w:pPr>
    </w:p>
    <w:p w14:paraId="70CC7766">
      <w:pPr>
        <w:spacing w:line="248" w:lineRule="auto"/>
        <w:rPr>
          <w:rFonts w:ascii="Arial"/>
          <w:color w:val="auto"/>
          <w:sz w:val="21"/>
        </w:rPr>
      </w:pPr>
    </w:p>
    <w:p w14:paraId="4883EA62">
      <w:pPr>
        <w:spacing w:line="248" w:lineRule="auto"/>
        <w:rPr>
          <w:rFonts w:ascii="Arial"/>
          <w:color w:val="auto"/>
          <w:sz w:val="21"/>
        </w:rPr>
      </w:pPr>
    </w:p>
    <w:p w14:paraId="5B40AD1B">
      <w:pPr>
        <w:spacing w:line="249" w:lineRule="auto"/>
        <w:rPr>
          <w:rFonts w:ascii="Arial"/>
          <w:color w:val="auto"/>
          <w:sz w:val="21"/>
        </w:rPr>
      </w:pPr>
    </w:p>
    <w:p w14:paraId="7C1D3B7A">
      <w:pPr>
        <w:spacing w:line="249" w:lineRule="auto"/>
        <w:rPr>
          <w:rFonts w:ascii="Arial"/>
          <w:color w:val="auto"/>
          <w:sz w:val="21"/>
        </w:rPr>
      </w:pPr>
    </w:p>
    <w:p w14:paraId="04C12837">
      <w:pPr>
        <w:spacing w:line="249" w:lineRule="auto"/>
        <w:rPr>
          <w:rFonts w:ascii="Arial"/>
          <w:color w:val="auto"/>
          <w:sz w:val="21"/>
        </w:rPr>
      </w:pPr>
    </w:p>
    <w:p w14:paraId="15E1D860">
      <w:pPr>
        <w:tabs>
          <w:tab w:val="left" w:pos="3260"/>
        </w:tabs>
        <w:spacing w:before="91" w:line="221" w:lineRule="auto"/>
        <w:jc w:val="center"/>
        <w:outlineLvl w:val="1"/>
        <w:rPr>
          <w:rFonts w:ascii="宋体" w:hAnsi="宋体" w:eastAsia="宋体" w:cs="宋体"/>
          <w:color w:val="auto"/>
          <w:sz w:val="28"/>
          <w:szCs w:val="28"/>
        </w:rPr>
      </w:pPr>
      <w:r>
        <w:rPr>
          <w:rFonts w:ascii="宋体" w:hAnsi="宋体" w:eastAsia="宋体" w:cs="宋体"/>
          <w:color w:val="auto"/>
          <w:spacing w:val="-6"/>
          <w:sz w:val="28"/>
          <w:szCs w:val="28"/>
          <w:u w:val="single" w:color="auto"/>
          <w14:textOutline w14:w="5094" w14:cap="flat" w14:cmpd="sng">
            <w14:solidFill>
              <w14:srgbClr w14:val="000000"/>
            </w14:solidFill>
            <w14:prstDash w14:val="solid"/>
            <w14:miter w14:val="0"/>
          </w14:textOutline>
        </w:rPr>
        <w:t>(</w:t>
      </w:r>
      <w:r>
        <w:rPr>
          <w:rFonts w:ascii="宋体" w:hAnsi="宋体" w:eastAsia="宋体" w:cs="宋体"/>
          <w:color w:val="auto"/>
          <w:spacing w:val="-5"/>
          <w:sz w:val="28"/>
          <w:szCs w:val="28"/>
          <w:u w:val="single" w:color="auto"/>
          <w14:textOutline w14:w="5094" w14:cap="flat" w14:cmpd="sng">
            <w14:solidFill>
              <w14:srgbClr w14:val="000000"/>
            </w14:solidFill>
            <w14:prstDash w14:val="solid"/>
            <w14:miter w14:val="0"/>
          </w14:textOutline>
        </w:rPr>
        <w:t>项目名称)</w:t>
      </w:r>
    </w:p>
    <w:p w14:paraId="76B006FB">
      <w:pPr>
        <w:spacing w:line="271" w:lineRule="auto"/>
        <w:rPr>
          <w:rFonts w:ascii="Arial"/>
          <w:color w:val="auto"/>
          <w:sz w:val="21"/>
        </w:rPr>
      </w:pPr>
    </w:p>
    <w:p w14:paraId="2971860C">
      <w:pPr>
        <w:spacing w:before="91" w:line="220" w:lineRule="auto"/>
        <w:jc w:val="center"/>
        <w:rPr>
          <w:rFonts w:ascii="宋体" w:hAnsi="宋体" w:eastAsia="宋体" w:cs="宋体"/>
          <w:color w:val="auto"/>
          <w:sz w:val="44"/>
          <w:szCs w:val="44"/>
        </w:rPr>
      </w:pPr>
      <w:r>
        <w:rPr>
          <w:rFonts w:hint="eastAsia" w:ascii="宋体" w:hAnsi="宋体" w:eastAsia="宋体" w:cs="宋体"/>
          <w:b/>
          <w:bCs/>
          <w:color w:val="auto"/>
          <w:spacing w:val="-1"/>
          <w:sz w:val="44"/>
          <w:szCs w:val="44"/>
          <w:lang w:val="en-US" w:eastAsia="zh-CN"/>
        </w:rPr>
        <w:t xml:space="preserve"> 响 应</w:t>
      </w:r>
      <w:r>
        <w:rPr>
          <w:rFonts w:ascii="宋体" w:hAnsi="宋体" w:eastAsia="宋体" w:cs="宋体"/>
          <w:b/>
          <w:bCs/>
          <w:color w:val="auto"/>
          <w:spacing w:val="-1"/>
          <w:sz w:val="44"/>
          <w:szCs w:val="44"/>
        </w:rPr>
        <w:t xml:space="preserve"> 文</w:t>
      </w:r>
      <w:r>
        <w:rPr>
          <w:rFonts w:ascii="宋体" w:hAnsi="宋体" w:eastAsia="宋体" w:cs="宋体"/>
          <w:b/>
          <w:bCs/>
          <w:color w:val="auto"/>
          <w:sz w:val="44"/>
          <w:szCs w:val="44"/>
        </w:rPr>
        <w:t xml:space="preserve"> 件</w:t>
      </w:r>
    </w:p>
    <w:p w14:paraId="27A6C810">
      <w:pPr>
        <w:spacing w:before="91" w:line="220" w:lineRule="auto"/>
        <w:ind w:left="3557"/>
        <w:rPr>
          <w:rFonts w:ascii="宋体" w:hAnsi="宋体" w:eastAsia="宋体" w:cs="宋体"/>
          <w:color w:val="auto"/>
          <w:sz w:val="28"/>
          <w:szCs w:val="28"/>
        </w:rPr>
      </w:pPr>
    </w:p>
    <w:p w14:paraId="144F28E7">
      <w:pPr>
        <w:spacing w:before="91" w:line="220" w:lineRule="auto"/>
        <w:ind w:left="3557"/>
        <w:rPr>
          <w:rFonts w:ascii="宋体" w:hAnsi="宋体" w:eastAsia="宋体" w:cs="宋体"/>
          <w:color w:val="auto"/>
          <w:sz w:val="28"/>
          <w:szCs w:val="28"/>
        </w:rPr>
      </w:pPr>
    </w:p>
    <w:p w14:paraId="077E6419">
      <w:pPr>
        <w:spacing w:before="91" w:line="220" w:lineRule="auto"/>
        <w:ind w:left="3557"/>
        <w:rPr>
          <w:rFonts w:ascii="宋体" w:hAnsi="宋体" w:eastAsia="宋体" w:cs="宋体"/>
          <w:color w:val="auto"/>
          <w:sz w:val="28"/>
          <w:szCs w:val="28"/>
        </w:rPr>
      </w:pPr>
    </w:p>
    <w:p w14:paraId="761EB0EB">
      <w:pPr>
        <w:spacing w:line="348" w:lineRule="auto"/>
        <w:rPr>
          <w:rFonts w:ascii="Arial"/>
          <w:color w:val="auto"/>
          <w:sz w:val="21"/>
        </w:rPr>
      </w:pPr>
    </w:p>
    <w:p w14:paraId="11FBF676">
      <w:pPr>
        <w:keepNext w:val="0"/>
        <w:keepLines w:val="0"/>
        <w:pageBreakBefore w:val="0"/>
        <w:widowControl/>
        <w:kinsoku w:val="0"/>
        <w:wordWrap/>
        <w:overflowPunct/>
        <w:topLinePunct w:val="0"/>
        <w:autoSpaceDE w:val="0"/>
        <w:autoSpaceDN w:val="0"/>
        <w:bidi w:val="0"/>
        <w:adjustRightInd w:val="0"/>
        <w:snapToGrid w:val="0"/>
        <w:spacing w:before="91" w:line="220" w:lineRule="auto"/>
        <w:ind w:firstLine="548" w:firstLineChars="200"/>
        <w:textAlignment w:val="baseline"/>
        <w:rPr>
          <w:rFonts w:ascii="宋体" w:hAnsi="宋体" w:eastAsia="宋体" w:cs="宋体"/>
          <w:color w:val="auto"/>
          <w:sz w:val="28"/>
          <w:szCs w:val="28"/>
        </w:rPr>
      </w:pPr>
      <w:r>
        <w:rPr>
          <w:rFonts w:ascii="宋体" w:hAnsi="宋体" w:eastAsia="宋体" w:cs="宋体"/>
          <w:color w:val="auto"/>
          <w:spacing w:val="-3"/>
          <w:sz w:val="28"/>
          <w:szCs w:val="28"/>
        </w:rPr>
        <w:t>项目编号：</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10A02D27">
      <w:pPr>
        <w:keepNext w:val="0"/>
        <w:keepLines w:val="0"/>
        <w:pageBreakBefore w:val="0"/>
        <w:widowControl/>
        <w:kinsoku w:val="0"/>
        <w:wordWrap/>
        <w:overflowPunct/>
        <w:topLinePunct w:val="0"/>
        <w:autoSpaceDE w:val="0"/>
        <w:autoSpaceDN w:val="0"/>
        <w:bidi w:val="0"/>
        <w:adjustRightInd w:val="0"/>
        <w:snapToGrid w:val="0"/>
        <w:spacing w:line="286" w:lineRule="auto"/>
        <w:textAlignment w:val="baseline"/>
        <w:rPr>
          <w:rFonts w:ascii="Arial"/>
          <w:color w:val="auto"/>
          <w:sz w:val="21"/>
        </w:rPr>
      </w:pPr>
    </w:p>
    <w:p w14:paraId="18594100">
      <w:pPr>
        <w:keepNext w:val="0"/>
        <w:keepLines w:val="0"/>
        <w:pageBreakBefore w:val="0"/>
        <w:widowControl/>
        <w:kinsoku w:val="0"/>
        <w:wordWrap/>
        <w:overflowPunct/>
        <w:topLinePunct w:val="0"/>
        <w:autoSpaceDE w:val="0"/>
        <w:autoSpaceDN w:val="0"/>
        <w:bidi w:val="0"/>
        <w:adjustRightInd w:val="0"/>
        <w:snapToGrid w:val="0"/>
        <w:spacing w:before="92" w:line="220" w:lineRule="auto"/>
        <w:ind w:firstLine="582" w:firstLineChars="300"/>
        <w:textAlignment w:val="baseline"/>
        <w:rPr>
          <w:rFonts w:ascii="宋体" w:hAnsi="宋体" w:eastAsia="宋体" w:cs="宋体"/>
          <w:color w:val="auto"/>
          <w:sz w:val="28"/>
          <w:szCs w:val="28"/>
        </w:rPr>
      </w:pPr>
      <w:r>
        <w:rPr>
          <w:rFonts w:ascii="宋体" w:hAnsi="宋体" w:eastAsia="宋体" w:cs="宋体"/>
          <w:color w:val="auto"/>
          <w:spacing w:val="-43"/>
          <w:sz w:val="28"/>
          <w:szCs w:val="28"/>
        </w:rPr>
        <w:t>征</w:t>
      </w:r>
      <w:r>
        <w:rPr>
          <w:rFonts w:ascii="宋体" w:hAnsi="宋体" w:eastAsia="宋体" w:cs="宋体"/>
          <w:color w:val="auto"/>
          <w:spacing w:val="-40"/>
          <w:sz w:val="28"/>
          <w:szCs w:val="28"/>
        </w:rPr>
        <w:t>集人：</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118B844C">
      <w:pPr>
        <w:keepNext w:val="0"/>
        <w:keepLines w:val="0"/>
        <w:pageBreakBefore w:val="0"/>
        <w:widowControl/>
        <w:kinsoku w:val="0"/>
        <w:wordWrap/>
        <w:overflowPunct/>
        <w:topLinePunct w:val="0"/>
        <w:autoSpaceDE w:val="0"/>
        <w:autoSpaceDN w:val="0"/>
        <w:bidi w:val="0"/>
        <w:adjustRightInd w:val="0"/>
        <w:snapToGrid w:val="0"/>
        <w:spacing w:line="372" w:lineRule="auto"/>
        <w:textAlignment w:val="baseline"/>
        <w:rPr>
          <w:rFonts w:ascii="Arial"/>
          <w:color w:val="auto"/>
          <w:sz w:val="21"/>
        </w:rPr>
      </w:pPr>
    </w:p>
    <w:p w14:paraId="2DC519D3">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552" w:firstLineChars="200"/>
        <w:textAlignment w:val="baseline"/>
        <w:rPr>
          <w:rFonts w:ascii="宋体" w:hAnsi="宋体" w:eastAsia="宋体" w:cs="宋体"/>
          <w:color w:val="auto"/>
          <w:sz w:val="28"/>
          <w:szCs w:val="28"/>
        </w:rPr>
      </w:pPr>
      <w:r>
        <w:rPr>
          <w:rFonts w:ascii="宋体" w:hAnsi="宋体" w:eastAsia="宋体" w:cs="宋体"/>
          <w:color w:val="auto"/>
          <w:spacing w:val="-2"/>
          <w:sz w:val="28"/>
          <w:szCs w:val="28"/>
        </w:rPr>
        <w:t>供应商</w:t>
      </w:r>
      <w:r>
        <w:rPr>
          <w:rFonts w:ascii="宋体" w:hAnsi="宋体" w:eastAsia="宋体" w:cs="宋体"/>
          <w:color w:val="auto"/>
          <w:spacing w:val="-1"/>
          <w:sz w:val="28"/>
          <w:szCs w:val="28"/>
        </w:rPr>
        <w:t>电子签章：</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33A5C581">
      <w:pPr>
        <w:keepNext w:val="0"/>
        <w:keepLines w:val="0"/>
        <w:pageBreakBefore w:val="0"/>
        <w:widowControl/>
        <w:kinsoku w:val="0"/>
        <w:wordWrap/>
        <w:overflowPunct/>
        <w:topLinePunct w:val="0"/>
        <w:autoSpaceDE w:val="0"/>
        <w:autoSpaceDN w:val="0"/>
        <w:bidi w:val="0"/>
        <w:adjustRightInd w:val="0"/>
        <w:snapToGrid w:val="0"/>
        <w:spacing w:line="327" w:lineRule="auto"/>
        <w:textAlignment w:val="baseline"/>
        <w:rPr>
          <w:rFonts w:ascii="Arial"/>
          <w:color w:val="auto"/>
          <w:sz w:val="21"/>
        </w:rPr>
      </w:pPr>
    </w:p>
    <w:p w14:paraId="2C761C57">
      <w:pPr>
        <w:keepNext w:val="0"/>
        <w:keepLines w:val="0"/>
        <w:pageBreakBefore w:val="0"/>
        <w:widowControl/>
        <w:kinsoku w:val="0"/>
        <w:wordWrap/>
        <w:overflowPunct/>
        <w:topLinePunct w:val="0"/>
        <w:autoSpaceDE w:val="0"/>
        <w:autoSpaceDN w:val="0"/>
        <w:bidi w:val="0"/>
        <w:adjustRightInd w:val="0"/>
        <w:snapToGrid w:val="0"/>
        <w:spacing w:before="92" w:line="219" w:lineRule="auto"/>
        <w:ind w:firstLine="520" w:firstLineChars="200"/>
        <w:textAlignment w:val="baseline"/>
        <w:rPr>
          <w:rFonts w:ascii="宋体" w:hAnsi="宋体" w:eastAsia="宋体" w:cs="宋体"/>
          <w:color w:val="auto"/>
          <w:sz w:val="28"/>
          <w:szCs w:val="28"/>
        </w:rPr>
      </w:pPr>
      <w:r>
        <w:rPr>
          <w:rFonts w:ascii="宋体" w:hAnsi="宋体" w:eastAsia="宋体" w:cs="宋体"/>
          <w:color w:val="auto"/>
          <w:spacing w:val="-10"/>
          <w:sz w:val="28"/>
          <w:szCs w:val="28"/>
        </w:rPr>
        <w:t>法定代</w:t>
      </w:r>
      <w:r>
        <w:rPr>
          <w:rFonts w:ascii="宋体" w:hAnsi="宋体" w:eastAsia="宋体" w:cs="宋体"/>
          <w:color w:val="auto"/>
          <w:spacing w:val="-6"/>
          <w:sz w:val="28"/>
          <w:szCs w:val="28"/>
        </w:rPr>
        <w:t>表</w:t>
      </w:r>
      <w:r>
        <w:rPr>
          <w:rFonts w:ascii="宋体" w:hAnsi="宋体" w:eastAsia="宋体" w:cs="宋体"/>
          <w:color w:val="auto"/>
          <w:spacing w:val="-5"/>
          <w:sz w:val="28"/>
          <w:szCs w:val="28"/>
        </w:rPr>
        <w:t>人或其委托代理人：</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(签字或盖章)</w:t>
      </w:r>
    </w:p>
    <w:p w14:paraId="6C1388CF">
      <w:pPr>
        <w:spacing w:line="257" w:lineRule="auto"/>
        <w:rPr>
          <w:rFonts w:ascii="Arial"/>
          <w:color w:val="auto"/>
          <w:sz w:val="21"/>
        </w:rPr>
      </w:pPr>
    </w:p>
    <w:p w14:paraId="37AD506F">
      <w:pPr>
        <w:spacing w:line="257" w:lineRule="auto"/>
        <w:rPr>
          <w:rFonts w:ascii="Arial"/>
          <w:color w:val="auto"/>
          <w:sz w:val="21"/>
        </w:rPr>
      </w:pPr>
    </w:p>
    <w:p w14:paraId="4F936F47">
      <w:pPr>
        <w:spacing w:line="257" w:lineRule="auto"/>
        <w:rPr>
          <w:rFonts w:ascii="Arial"/>
          <w:color w:val="auto"/>
          <w:sz w:val="21"/>
        </w:rPr>
      </w:pPr>
    </w:p>
    <w:p w14:paraId="1D69A874">
      <w:pPr>
        <w:spacing w:line="258" w:lineRule="auto"/>
        <w:rPr>
          <w:rFonts w:ascii="Arial"/>
          <w:color w:val="auto"/>
          <w:sz w:val="21"/>
        </w:rPr>
      </w:pPr>
    </w:p>
    <w:p w14:paraId="5B9D7BCF">
      <w:pPr>
        <w:spacing w:line="258" w:lineRule="auto"/>
        <w:rPr>
          <w:rFonts w:ascii="Arial"/>
          <w:color w:val="auto"/>
          <w:sz w:val="21"/>
        </w:rPr>
      </w:pPr>
    </w:p>
    <w:p w14:paraId="3FA5830D">
      <w:pPr>
        <w:spacing w:line="258" w:lineRule="auto"/>
        <w:rPr>
          <w:rFonts w:ascii="Arial"/>
          <w:color w:val="auto"/>
          <w:sz w:val="21"/>
        </w:rPr>
      </w:pPr>
    </w:p>
    <w:p w14:paraId="1B06C380">
      <w:pPr>
        <w:spacing w:line="258" w:lineRule="auto"/>
        <w:rPr>
          <w:rFonts w:ascii="Arial"/>
          <w:color w:val="auto"/>
          <w:sz w:val="21"/>
        </w:rPr>
      </w:pPr>
    </w:p>
    <w:p w14:paraId="036DE6D3">
      <w:pPr>
        <w:spacing w:line="258" w:lineRule="auto"/>
        <w:rPr>
          <w:rFonts w:ascii="Arial"/>
          <w:color w:val="auto"/>
          <w:sz w:val="21"/>
        </w:rPr>
      </w:pPr>
    </w:p>
    <w:p w14:paraId="47EF6820">
      <w:pPr>
        <w:spacing w:line="258" w:lineRule="auto"/>
        <w:rPr>
          <w:rFonts w:ascii="Arial"/>
          <w:color w:val="auto"/>
          <w:sz w:val="21"/>
        </w:rPr>
      </w:pPr>
    </w:p>
    <w:p w14:paraId="2AB7376F">
      <w:pPr>
        <w:spacing w:line="258" w:lineRule="auto"/>
        <w:rPr>
          <w:rFonts w:ascii="Arial"/>
          <w:color w:val="auto"/>
          <w:sz w:val="21"/>
        </w:rPr>
      </w:pPr>
    </w:p>
    <w:p w14:paraId="5A5A04C6">
      <w:pPr>
        <w:tabs>
          <w:tab w:val="left" w:pos="3767"/>
        </w:tabs>
        <w:spacing w:before="91" w:line="220" w:lineRule="auto"/>
        <w:ind w:left="3200"/>
        <w:rPr>
          <w:rFonts w:ascii="宋体" w:hAnsi="宋体" w:eastAsia="宋体" w:cs="宋体"/>
          <w:color w:val="auto"/>
          <w:sz w:val="28"/>
          <w:szCs w:val="28"/>
        </w:rPr>
      </w:pP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pacing w:val="-12"/>
          <w:sz w:val="28"/>
          <w:szCs w:val="28"/>
        </w:rPr>
        <w:t>年</w:t>
      </w:r>
      <w:r>
        <w:rPr>
          <w:rFonts w:ascii="宋体" w:hAnsi="宋体" w:eastAsia="宋体" w:cs="宋体"/>
          <w:color w:val="auto"/>
          <w:spacing w:val="-10"/>
          <w:sz w:val="28"/>
          <w:szCs w:val="28"/>
          <w:u w:val="single" w:color="auto"/>
        </w:rPr>
        <w:t xml:space="preserve"> </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月</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日</w:t>
      </w:r>
    </w:p>
    <w:p w14:paraId="7140961A">
      <w:pPr>
        <w:rPr>
          <w:color w:val="auto"/>
        </w:rPr>
        <w:sectPr>
          <w:headerReference r:id="rId13" w:type="default"/>
          <w:footerReference r:id="rId14" w:type="default"/>
          <w:pgSz w:w="11921" w:h="16851"/>
          <w:pgMar w:top="1378" w:right="1672" w:bottom="1412" w:left="1672" w:header="0" w:footer="1303" w:gutter="0"/>
          <w:pgNumType w:fmt="decimal"/>
          <w:cols w:space="720" w:num="1"/>
        </w:sectPr>
      </w:pPr>
    </w:p>
    <w:p w14:paraId="6DED96A7">
      <w:pPr>
        <w:spacing w:before="68" w:line="221" w:lineRule="auto"/>
        <w:ind w:left="3600"/>
        <w:rPr>
          <w:rFonts w:hint="eastAsia" w:ascii="仿宋" w:hAnsi="仿宋" w:eastAsia="仿宋" w:cs="仿宋"/>
          <w:b/>
          <w:bCs/>
          <w:color w:val="auto"/>
          <w:sz w:val="24"/>
          <w:szCs w:val="24"/>
        </w:rPr>
      </w:pPr>
      <w:r>
        <w:rPr>
          <w:rFonts w:hint="eastAsia" w:ascii="仿宋" w:hAnsi="仿宋" w:eastAsia="仿宋" w:cs="仿宋"/>
          <w:b/>
          <w:bCs/>
          <w:color w:val="auto"/>
          <w:spacing w:val="-18"/>
          <w:sz w:val="24"/>
          <w:szCs w:val="24"/>
        </w:rPr>
        <w:t>一</w:t>
      </w:r>
      <w:r>
        <w:rPr>
          <w:rFonts w:hint="eastAsia" w:ascii="仿宋" w:hAnsi="仿宋" w:eastAsia="仿宋" w:cs="仿宋"/>
          <w:b/>
          <w:bCs/>
          <w:color w:val="auto"/>
          <w:spacing w:val="-12"/>
          <w:sz w:val="24"/>
          <w:szCs w:val="24"/>
        </w:rPr>
        <w:t>、开标一览表</w:t>
      </w:r>
    </w:p>
    <w:p w14:paraId="78548E7B">
      <w:pPr>
        <w:rPr>
          <w:color w:val="auto"/>
        </w:rPr>
      </w:pPr>
    </w:p>
    <w:p w14:paraId="352EBF8A">
      <w:pPr>
        <w:rPr>
          <w:color w:val="auto"/>
        </w:rPr>
      </w:pPr>
    </w:p>
    <w:p w14:paraId="5D27CDF5">
      <w:pPr>
        <w:spacing w:line="66" w:lineRule="exact"/>
        <w:rPr>
          <w:color w:val="auto"/>
        </w:rPr>
      </w:pPr>
    </w:p>
    <w:tbl>
      <w:tblPr>
        <w:tblStyle w:val="15"/>
        <w:tblW w:w="8605"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6388"/>
      </w:tblGrid>
      <w:tr w14:paraId="2318C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217" w:type="dxa"/>
            <w:vAlign w:val="center"/>
          </w:tcPr>
          <w:p w14:paraId="1B31AC2F">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项目名称</w:t>
            </w:r>
          </w:p>
        </w:tc>
        <w:tc>
          <w:tcPr>
            <w:tcW w:w="6388" w:type="dxa"/>
            <w:vAlign w:val="top"/>
          </w:tcPr>
          <w:p w14:paraId="51C8B8B4">
            <w:pPr>
              <w:rPr>
                <w:rFonts w:hint="eastAsia" w:ascii="仿宋" w:hAnsi="仿宋" w:eastAsia="仿宋" w:cs="仿宋"/>
                <w:color w:val="auto"/>
                <w:sz w:val="21"/>
                <w:szCs w:val="21"/>
              </w:rPr>
            </w:pPr>
          </w:p>
        </w:tc>
      </w:tr>
      <w:tr w14:paraId="0869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217" w:type="dxa"/>
            <w:vAlign w:val="center"/>
          </w:tcPr>
          <w:p w14:paraId="295C2497">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供应商全称</w:t>
            </w:r>
          </w:p>
        </w:tc>
        <w:tc>
          <w:tcPr>
            <w:tcW w:w="6388" w:type="dxa"/>
            <w:vAlign w:val="top"/>
          </w:tcPr>
          <w:p w14:paraId="11018397">
            <w:pPr>
              <w:rPr>
                <w:rFonts w:hint="eastAsia" w:ascii="仿宋" w:hAnsi="仿宋" w:eastAsia="仿宋" w:cs="仿宋"/>
                <w:color w:val="auto"/>
                <w:sz w:val="21"/>
                <w:szCs w:val="21"/>
              </w:rPr>
            </w:pPr>
          </w:p>
        </w:tc>
      </w:tr>
      <w:tr w14:paraId="04A71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217" w:type="dxa"/>
            <w:vAlign w:val="center"/>
          </w:tcPr>
          <w:p w14:paraId="62CAA4D5">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响应范围</w:t>
            </w:r>
          </w:p>
        </w:tc>
        <w:tc>
          <w:tcPr>
            <w:tcW w:w="6388" w:type="dxa"/>
            <w:vAlign w:val="top"/>
          </w:tcPr>
          <w:p w14:paraId="0F7D9E33">
            <w:pPr>
              <w:spacing w:before="155" w:line="221" w:lineRule="auto"/>
              <w:rPr>
                <w:rFonts w:hint="eastAsia" w:ascii="仿宋" w:hAnsi="仿宋" w:eastAsia="仿宋" w:cs="仿宋"/>
                <w:color w:val="auto"/>
                <w:sz w:val="21"/>
                <w:szCs w:val="21"/>
              </w:rPr>
            </w:pPr>
            <w:r>
              <w:rPr>
                <w:rFonts w:hint="eastAsia" w:ascii="仿宋" w:hAnsi="仿宋" w:eastAsia="仿宋" w:cs="仿宋"/>
                <w:color w:val="auto"/>
                <w:sz w:val="21"/>
                <w:szCs w:val="21"/>
              </w:rPr>
              <w:t>征集文件内容</w:t>
            </w:r>
          </w:p>
        </w:tc>
      </w:tr>
      <w:tr w14:paraId="1E2EB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217" w:type="dxa"/>
            <w:vAlign w:val="center"/>
          </w:tcPr>
          <w:p w14:paraId="399FF25A">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lang w:val="en-US" w:eastAsia="zh-CN"/>
              </w:rPr>
              <w:t>投标</w:t>
            </w:r>
            <w:r>
              <w:rPr>
                <w:rFonts w:hint="eastAsia" w:ascii="仿宋" w:hAnsi="仿宋" w:eastAsia="仿宋" w:cs="仿宋"/>
                <w:color w:val="auto"/>
                <w:spacing w:val="-2"/>
                <w:sz w:val="21"/>
                <w:szCs w:val="21"/>
              </w:rPr>
              <w:t>报价</w:t>
            </w:r>
          </w:p>
        </w:tc>
        <w:tc>
          <w:tcPr>
            <w:tcW w:w="6388" w:type="dxa"/>
            <w:vAlign w:val="top"/>
          </w:tcPr>
          <w:p w14:paraId="2878476B">
            <w:pPr>
              <w:spacing w:before="33" w:line="219" w:lineRule="auto"/>
              <w:ind w:left="16"/>
              <w:rPr>
                <w:rFonts w:hint="eastAsia" w:ascii="仿宋" w:hAnsi="仿宋" w:eastAsia="仿宋" w:cs="仿宋"/>
                <w:color w:val="auto"/>
                <w:spacing w:val="3"/>
                <w:sz w:val="21"/>
                <w:szCs w:val="21"/>
              </w:rPr>
            </w:pPr>
          </w:p>
          <w:p w14:paraId="326862E7">
            <w:pPr>
              <w:spacing w:before="33" w:line="219" w:lineRule="auto"/>
              <w:ind w:left="16"/>
              <w:rPr>
                <w:rFonts w:hint="eastAsia" w:ascii="仿宋" w:hAnsi="仿宋" w:eastAsia="仿宋" w:cs="仿宋"/>
                <w:color w:val="auto"/>
                <w:sz w:val="21"/>
                <w:szCs w:val="21"/>
              </w:rPr>
            </w:pPr>
            <w:r>
              <w:rPr>
                <w:rFonts w:hint="eastAsia" w:ascii="仿宋" w:hAnsi="仿宋" w:eastAsia="仿宋" w:cs="仿宋"/>
                <w:color w:val="auto"/>
                <w:spacing w:val="3"/>
                <w:sz w:val="21"/>
                <w:szCs w:val="21"/>
              </w:rPr>
              <w:t xml:space="preserve">费率： (大写)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rPr>
              <w:t xml:space="preserve"> (小写</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rPr>
              <w:t>)</w:t>
            </w:r>
          </w:p>
        </w:tc>
      </w:tr>
      <w:tr w14:paraId="5F5E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2217" w:type="dxa"/>
            <w:vAlign w:val="center"/>
          </w:tcPr>
          <w:p w14:paraId="6E11D71A">
            <w:pPr>
              <w:spacing w:before="31" w:line="221"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其他</w:t>
            </w:r>
          </w:p>
        </w:tc>
        <w:tc>
          <w:tcPr>
            <w:tcW w:w="6388" w:type="dxa"/>
            <w:vAlign w:val="center"/>
          </w:tcPr>
          <w:p w14:paraId="70BA43D0">
            <w:pPr>
              <w:spacing w:before="31" w:line="221" w:lineRule="auto"/>
              <w:ind w:left="15"/>
              <w:jc w:val="left"/>
              <w:rPr>
                <w:rFonts w:hint="eastAsia" w:ascii="仿宋" w:hAnsi="仿宋" w:eastAsia="仿宋" w:cs="仿宋"/>
                <w:color w:val="auto"/>
                <w:sz w:val="21"/>
                <w:szCs w:val="21"/>
              </w:rPr>
            </w:pPr>
          </w:p>
        </w:tc>
      </w:tr>
    </w:tbl>
    <w:p w14:paraId="078C9D85">
      <w:pPr>
        <w:spacing w:before="108" w:line="220" w:lineRule="auto"/>
        <w:ind w:left="219"/>
        <w:rPr>
          <w:rFonts w:hint="eastAsia" w:ascii="仿宋" w:hAnsi="仿宋" w:eastAsia="仿宋" w:cs="仿宋"/>
          <w:color w:val="auto"/>
          <w:sz w:val="21"/>
          <w:szCs w:val="21"/>
        </w:rPr>
      </w:pPr>
      <w:r>
        <w:rPr>
          <w:rFonts w:hint="eastAsia" w:ascii="仿宋" w:hAnsi="仿宋" w:eastAsia="仿宋" w:cs="仿宋"/>
          <w:color w:val="auto"/>
          <w:spacing w:val="-1"/>
          <w:sz w:val="21"/>
          <w:szCs w:val="21"/>
        </w:rPr>
        <w:t>供应商电子</w:t>
      </w:r>
      <w:r>
        <w:rPr>
          <w:rFonts w:hint="eastAsia" w:ascii="仿宋" w:hAnsi="仿宋" w:eastAsia="仿宋" w:cs="仿宋"/>
          <w:color w:val="auto"/>
          <w:sz w:val="21"/>
          <w:szCs w:val="21"/>
        </w:rPr>
        <w:t>签章：</w:t>
      </w:r>
    </w:p>
    <w:p w14:paraId="344C671C">
      <w:pPr>
        <w:spacing w:before="162" w:line="220" w:lineRule="auto"/>
        <w:rPr>
          <w:rFonts w:hint="eastAsia" w:ascii="仿宋" w:hAnsi="仿宋" w:eastAsia="仿宋" w:cs="仿宋"/>
          <w:color w:val="auto"/>
          <w:sz w:val="21"/>
          <w:szCs w:val="21"/>
        </w:rPr>
      </w:pPr>
      <w:r>
        <w:rPr>
          <w:rFonts w:hint="eastAsia" w:ascii="仿宋" w:hAnsi="仿宋" w:eastAsia="仿宋" w:cs="仿宋"/>
          <w:color w:val="auto"/>
          <w:spacing w:val="-1"/>
          <w:sz w:val="21"/>
          <w:szCs w:val="21"/>
        </w:rPr>
        <w:t>法定代表人或其委托代理人：(</w:t>
      </w:r>
      <w:r>
        <w:rPr>
          <w:rFonts w:hint="eastAsia" w:ascii="仿宋" w:hAnsi="仿宋" w:eastAsia="仿宋" w:cs="仿宋"/>
          <w:color w:val="auto"/>
          <w:sz w:val="21"/>
          <w:szCs w:val="21"/>
        </w:rPr>
        <w:t>签字或盖章)</w:t>
      </w:r>
    </w:p>
    <w:p w14:paraId="1203C61A">
      <w:pPr>
        <w:spacing w:before="162" w:line="220" w:lineRule="auto"/>
        <w:rPr>
          <w:rFonts w:hint="eastAsia" w:ascii="仿宋" w:hAnsi="仿宋" w:eastAsia="仿宋" w:cs="仿宋"/>
          <w:color w:val="auto"/>
          <w:sz w:val="21"/>
          <w:szCs w:val="21"/>
        </w:rPr>
      </w:pPr>
    </w:p>
    <w:p w14:paraId="73BBD5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仿宋" w:hAnsi="仿宋" w:eastAsia="仿宋" w:cs="仿宋"/>
          <w:sz w:val="21"/>
          <w:szCs w:val="21"/>
        </w:rPr>
      </w:pPr>
      <w:r>
        <w:rPr>
          <w:rFonts w:hint="eastAsia" w:ascii="仿宋" w:hAnsi="仿宋" w:eastAsia="仿宋" w:cs="仿宋"/>
          <w:b/>
          <w:bCs/>
          <w:snapToGrid w:val="0"/>
          <w:color w:val="000000"/>
          <w:kern w:val="0"/>
          <w:sz w:val="21"/>
          <w:szCs w:val="21"/>
          <w:lang w:val="en-US" w:eastAsia="zh-CN" w:bidi="ar"/>
        </w:rPr>
        <w:t xml:space="preserve">备注： </w:t>
      </w:r>
    </w:p>
    <w:p w14:paraId="6DB8E1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1.表中响应报价即为优惠后报价，并作为评审及入围依据。 </w:t>
      </w:r>
    </w:p>
    <w:p w14:paraId="41B9006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2.入围供应商第一阶段响应报价（有量价关系折扣的，包括量价关系折扣）是征集人（或者服务对象）确定第二阶段成交供应商的最高限价。 </w:t>
      </w:r>
    </w:p>
    <w:p w14:paraId="622E0A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3.如此表中填写的响应报价与开标一览表或报价明细表填写的报价不同，以此表中响应报价做为供应商的响应报价。</w:t>
      </w:r>
    </w:p>
    <w:p w14:paraId="611031FD">
      <w:pPr>
        <w:spacing w:before="162" w:line="220" w:lineRule="auto"/>
        <w:rPr>
          <w:rFonts w:hint="eastAsia" w:ascii="仿宋" w:hAnsi="仿宋" w:eastAsia="仿宋" w:cs="仿宋"/>
          <w:color w:val="auto"/>
          <w:sz w:val="21"/>
          <w:szCs w:val="21"/>
        </w:rPr>
        <w:sectPr>
          <w:footerReference r:id="rId15" w:type="default"/>
          <w:pgSz w:w="11921" w:h="16851"/>
          <w:pgMar w:top="1434" w:right="1699" w:bottom="1467" w:left="1588" w:header="0" w:footer="1303" w:gutter="0"/>
          <w:pgNumType w:fmt="decimal"/>
          <w:cols w:space="720" w:num="1"/>
        </w:sectPr>
      </w:pPr>
    </w:p>
    <w:p w14:paraId="36B89167">
      <w:pPr>
        <w:spacing w:before="72" w:line="227" w:lineRule="auto"/>
        <w:ind w:left="5"/>
        <w:jc w:val="center"/>
        <w:rPr>
          <w:rFonts w:ascii="Arial"/>
          <w:color w:val="auto"/>
          <w:sz w:val="24"/>
          <w:szCs w:val="24"/>
        </w:rPr>
      </w:pPr>
      <w:r>
        <w:rPr>
          <w:rFonts w:ascii="仿宋" w:hAnsi="仿宋" w:eastAsia="仿宋" w:cs="仿宋"/>
          <w:b/>
          <w:bCs/>
          <w:color w:val="auto"/>
          <w:spacing w:val="-1"/>
          <w:position w:val="-2"/>
          <w:sz w:val="24"/>
          <w:szCs w:val="24"/>
          <w14:textOutline w14:w="4005" w14:cap="flat" w14:cmpd="sng">
            <w14:solidFill>
              <w14:srgbClr w14:val="000000"/>
            </w14:solidFill>
            <w14:prstDash w14:val="solid"/>
            <w14:miter w14:val="0"/>
          </w14:textOutline>
        </w:rPr>
        <w:t>二、</w:t>
      </w:r>
      <w:r>
        <w:rPr>
          <w:rFonts w:hint="eastAsia" w:ascii="仿宋" w:hAnsi="仿宋" w:eastAsia="仿宋" w:cs="仿宋"/>
          <w:b/>
          <w:bCs/>
          <w:color w:val="auto"/>
          <w:spacing w:val="-1"/>
          <w:position w:val="-2"/>
          <w:sz w:val="24"/>
          <w:szCs w:val="24"/>
          <w:lang w:val="en-US" w:eastAsia="zh-CN"/>
          <w14:textOutline w14:w="4005" w14:cap="flat" w14:cmpd="sng">
            <w14:solidFill>
              <w14:srgbClr w14:val="000000"/>
            </w14:solidFill>
            <w14:prstDash w14:val="solid"/>
            <w14:miter w14:val="0"/>
          </w14:textOutline>
        </w:rPr>
        <w:t>响应</w:t>
      </w:r>
      <w:r>
        <w:rPr>
          <w:rFonts w:ascii="仿宋" w:hAnsi="仿宋" w:eastAsia="仿宋" w:cs="仿宋"/>
          <w:b/>
          <w:bCs/>
          <w:color w:val="auto"/>
          <w:spacing w:val="-1"/>
          <w:position w:val="-2"/>
          <w:sz w:val="24"/>
          <w:szCs w:val="24"/>
          <w14:textOutline w14:w="4005" w14:cap="flat" w14:cmpd="sng">
            <w14:solidFill>
              <w14:srgbClr w14:val="000000"/>
            </w14:solidFill>
            <w14:prstDash w14:val="solid"/>
            <w14:miter w14:val="0"/>
          </w14:textOutline>
        </w:rPr>
        <w:t>函</w:t>
      </w:r>
    </w:p>
    <w:p w14:paraId="555EEA7E">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17"/>
          <w:sz w:val="22"/>
          <w:szCs w:val="22"/>
          <w:u w:val="single"/>
          <w:lang w:val="en-US" w:eastAsia="zh-CN"/>
        </w:rPr>
      </w:pPr>
      <w:r>
        <w:rPr>
          <w:rFonts w:ascii="仿宋" w:hAnsi="仿宋" w:eastAsia="仿宋" w:cs="仿宋"/>
          <w:color w:val="auto"/>
          <w:spacing w:val="-17"/>
          <w:sz w:val="22"/>
          <w:szCs w:val="22"/>
        </w:rPr>
        <w:t>致：</w:t>
      </w:r>
      <w:r>
        <w:rPr>
          <w:rFonts w:ascii="仿宋" w:hAnsi="仿宋" w:eastAsia="仿宋" w:cs="仿宋"/>
          <w:color w:val="auto"/>
          <w:spacing w:val="-17"/>
          <w:sz w:val="22"/>
          <w:szCs w:val="22"/>
          <w:u w:val="single"/>
        </w:rPr>
        <w:t>(征集人)</w:t>
      </w:r>
      <w:r>
        <w:rPr>
          <w:rFonts w:hint="eastAsia" w:ascii="仿宋" w:hAnsi="仿宋" w:eastAsia="仿宋" w:cs="仿宋"/>
          <w:color w:val="auto"/>
          <w:spacing w:val="-17"/>
          <w:sz w:val="22"/>
          <w:szCs w:val="22"/>
          <w:u w:val="single"/>
          <w:lang w:val="en-US" w:eastAsia="zh-CN"/>
        </w:rPr>
        <w:t xml:space="preserve">         </w:t>
      </w:r>
    </w:p>
    <w:p w14:paraId="5D212463">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firstLine="558" w:firstLineChars="300"/>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根据贵方的征集邀请或征集公告，我方兹宣布同意如下：</w:t>
      </w:r>
    </w:p>
    <w:p w14:paraId="16A3A1FC">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1.</w:t>
      </w:r>
      <w:r>
        <w:rPr>
          <w:rFonts w:hint="eastAsia" w:ascii="仿宋" w:hAnsi="仿宋" w:eastAsia="仿宋" w:cs="仿宋"/>
          <w:color w:val="auto"/>
          <w:spacing w:val="-17"/>
          <w:sz w:val="22"/>
          <w:szCs w:val="22"/>
        </w:rPr>
        <w:t>按征集文件规定提供的全部采购标的的最终响应报价见</w:t>
      </w:r>
      <w:r>
        <w:rPr>
          <w:rFonts w:ascii="仿宋" w:hAnsi="仿宋" w:eastAsia="仿宋" w:cs="仿宋"/>
          <w:color w:val="auto"/>
          <w:spacing w:val="-17"/>
          <w:sz w:val="22"/>
          <w:szCs w:val="22"/>
        </w:rPr>
        <w:t>开标一览表，如我方</w:t>
      </w:r>
      <w:r>
        <w:rPr>
          <w:rFonts w:hint="eastAsia" w:ascii="仿宋" w:hAnsi="仿宋" w:eastAsia="仿宋" w:cs="仿宋"/>
          <w:color w:val="auto"/>
          <w:spacing w:val="-17"/>
          <w:sz w:val="22"/>
          <w:szCs w:val="22"/>
        </w:rPr>
        <w:t>入围</w:t>
      </w:r>
      <w:r>
        <w:rPr>
          <w:rFonts w:ascii="仿宋" w:hAnsi="仿宋" w:eastAsia="仿宋" w:cs="仿宋"/>
          <w:color w:val="auto"/>
          <w:spacing w:val="-17"/>
          <w:sz w:val="22"/>
          <w:szCs w:val="22"/>
        </w:rPr>
        <w:t>，我方承诺愿意按征集文件规定缴纳履约保证金和</w:t>
      </w:r>
      <w:r>
        <w:rPr>
          <w:rFonts w:hint="eastAsia" w:ascii="仿宋" w:hAnsi="仿宋" w:eastAsia="仿宋" w:cs="仿宋"/>
          <w:color w:val="auto"/>
          <w:spacing w:val="-17"/>
          <w:sz w:val="22"/>
          <w:szCs w:val="22"/>
          <w:lang w:val="en-US" w:eastAsia="zh-CN"/>
        </w:rPr>
        <w:t>代理</w:t>
      </w:r>
      <w:r>
        <w:rPr>
          <w:rFonts w:ascii="仿宋" w:hAnsi="仿宋" w:eastAsia="仿宋" w:cs="仿宋"/>
          <w:color w:val="auto"/>
          <w:spacing w:val="-17"/>
          <w:sz w:val="22"/>
          <w:szCs w:val="22"/>
        </w:rPr>
        <w:t>服务费。</w:t>
      </w:r>
    </w:p>
    <w:p w14:paraId="54CC7819">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9"/>
          <w:sz w:val="22"/>
          <w:szCs w:val="22"/>
        </w:rPr>
      </w:pPr>
      <w:r>
        <w:rPr>
          <w:rFonts w:ascii="仿宋" w:hAnsi="仿宋" w:eastAsia="仿宋" w:cs="仿宋"/>
          <w:color w:val="auto"/>
          <w:spacing w:val="-17"/>
          <w:sz w:val="22"/>
          <w:szCs w:val="22"/>
        </w:rPr>
        <w:t>2</w:t>
      </w:r>
      <w:r>
        <w:rPr>
          <w:rFonts w:ascii="仿宋" w:hAnsi="仿宋" w:eastAsia="仿宋" w:cs="仿宋"/>
          <w:color w:val="auto"/>
          <w:spacing w:val="-13"/>
          <w:sz w:val="22"/>
          <w:szCs w:val="22"/>
        </w:rPr>
        <w:t>.我方根据征集文件的规定，严格履行合同的责任和义务,并保证于征集文件要求的日期</w:t>
      </w:r>
      <w:r>
        <w:rPr>
          <w:rFonts w:ascii="仿宋" w:hAnsi="仿宋" w:eastAsia="仿宋" w:cs="仿宋"/>
          <w:color w:val="auto"/>
          <w:spacing w:val="-18"/>
          <w:sz w:val="22"/>
          <w:szCs w:val="22"/>
        </w:rPr>
        <w:t>内</w:t>
      </w:r>
      <w:r>
        <w:rPr>
          <w:rFonts w:ascii="仿宋" w:hAnsi="仿宋" w:eastAsia="仿宋" w:cs="仿宋"/>
          <w:color w:val="auto"/>
          <w:spacing w:val="-10"/>
          <w:sz w:val="22"/>
          <w:szCs w:val="22"/>
        </w:rPr>
        <w:t>完</w:t>
      </w:r>
      <w:r>
        <w:rPr>
          <w:rFonts w:ascii="仿宋" w:hAnsi="仿宋" w:eastAsia="仿宋" w:cs="仿宋"/>
          <w:color w:val="auto"/>
          <w:spacing w:val="-9"/>
          <w:sz w:val="22"/>
          <w:szCs w:val="22"/>
        </w:rPr>
        <w:t>成</w:t>
      </w:r>
      <w:r>
        <w:rPr>
          <w:rFonts w:hint="eastAsia" w:ascii="仿宋" w:hAnsi="仿宋" w:eastAsia="仿宋" w:cs="仿宋"/>
          <w:color w:val="auto"/>
          <w:spacing w:val="-9"/>
          <w:sz w:val="22"/>
          <w:szCs w:val="22"/>
        </w:rPr>
        <w:t>履约</w:t>
      </w:r>
      <w:r>
        <w:rPr>
          <w:rFonts w:ascii="仿宋" w:hAnsi="仿宋" w:eastAsia="仿宋" w:cs="仿宋"/>
          <w:color w:val="auto"/>
          <w:spacing w:val="-9"/>
          <w:sz w:val="22"/>
          <w:szCs w:val="22"/>
        </w:rPr>
        <w:t>，并通过买方验收。</w:t>
      </w:r>
    </w:p>
    <w:p w14:paraId="0C9968A6">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9"/>
          <w:sz w:val="22"/>
          <w:szCs w:val="22"/>
        </w:rPr>
      </w:pPr>
      <w:r>
        <w:rPr>
          <w:rFonts w:hint="eastAsia" w:ascii="仿宋" w:hAnsi="仿宋" w:eastAsia="仿宋" w:cs="仿宋"/>
          <w:color w:val="auto"/>
          <w:spacing w:val="-9"/>
          <w:sz w:val="22"/>
          <w:szCs w:val="22"/>
        </w:rPr>
        <w:t>3.我方承诺报价低于同类货物和服务的市场平均价格。</w:t>
      </w:r>
    </w:p>
    <w:p w14:paraId="7D006EA2">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hint="eastAsia" w:ascii="仿宋" w:hAnsi="仿宋" w:eastAsia="仿宋" w:cs="仿宋"/>
          <w:color w:val="auto"/>
          <w:spacing w:val="-16"/>
          <w:sz w:val="22"/>
          <w:szCs w:val="22"/>
          <w:lang w:val="en-US" w:eastAsia="zh-CN"/>
        </w:rPr>
        <w:t>4</w:t>
      </w:r>
      <w:r>
        <w:rPr>
          <w:rFonts w:ascii="仿宋" w:hAnsi="仿宋" w:eastAsia="仿宋" w:cs="仿宋"/>
          <w:color w:val="auto"/>
          <w:spacing w:val="-16"/>
          <w:sz w:val="22"/>
          <w:szCs w:val="22"/>
        </w:rPr>
        <w:t>.我</w:t>
      </w:r>
      <w:r>
        <w:rPr>
          <w:rFonts w:ascii="仿宋" w:hAnsi="仿宋" w:eastAsia="仿宋" w:cs="仿宋"/>
          <w:color w:val="auto"/>
          <w:spacing w:val="-14"/>
          <w:sz w:val="22"/>
          <w:szCs w:val="22"/>
        </w:rPr>
        <w:t>方</w:t>
      </w:r>
      <w:r>
        <w:rPr>
          <w:rFonts w:ascii="仿宋" w:hAnsi="仿宋" w:eastAsia="仿宋" w:cs="仿宋"/>
          <w:color w:val="auto"/>
          <w:spacing w:val="-8"/>
          <w:sz w:val="22"/>
          <w:szCs w:val="22"/>
        </w:rPr>
        <w:t>已详细审核全部征集文件，包括征集文件的澄清或修改(如有)，参考资料及有关附</w:t>
      </w:r>
      <w:r>
        <w:rPr>
          <w:rFonts w:ascii="仿宋" w:hAnsi="仿宋" w:eastAsia="仿宋" w:cs="仿宋"/>
          <w:color w:val="auto"/>
          <w:spacing w:val="-35"/>
          <w:sz w:val="22"/>
          <w:szCs w:val="22"/>
        </w:rPr>
        <w:t>件</w:t>
      </w:r>
      <w:r>
        <w:rPr>
          <w:rFonts w:ascii="仿宋" w:hAnsi="仿宋" w:eastAsia="仿宋" w:cs="仿宋"/>
          <w:color w:val="auto"/>
          <w:spacing w:val="-19"/>
          <w:sz w:val="22"/>
          <w:szCs w:val="22"/>
        </w:rPr>
        <w:t>，我方正式认可并遵守本次征集文件，并对征集文件各项条款、规定及要求均无异议。我方知道</w:t>
      </w:r>
      <w:r>
        <w:rPr>
          <w:rFonts w:ascii="仿宋" w:hAnsi="仿宋" w:eastAsia="仿宋" w:cs="仿宋"/>
          <w:color w:val="auto"/>
          <w:spacing w:val="-17"/>
          <w:sz w:val="22"/>
          <w:szCs w:val="22"/>
        </w:rPr>
        <w:t>必</w:t>
      </w:r>
      <w:r>
        <w:rPr>
          <w:rFonts w:ascii="仿宋" w:hAnsi="仿宋" w:eastAsia="仿宋" w:cs="仿宋"/>
          <w:color w:val="auto"/>
          <w:spacing w:val="-9"/>
          <w:sz w:val="22"/>
          <w:szCs w:val="22"/>
        </w:rPr>
        <w:t>须放弃提出含糊不清或误解问题的权利。</w:t>
      </w:r>
    </w:p>
    <w:p w14:paraId="4D83669C">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hint="eastAsia" w:ascii="仿宋" w:hAnsi="仿宋" w:eastAsia="仿宋" w:cs="仿宋"/>
          <w:color w:val="auto"/>
          <w:spacing w:val="-6"/>
          <w:sz w:val="22"/>
          <w:szCs w:val="22"/>
          <w:lang w:val="en-US" w:eastAsia="zh-CN"/>
        </w:rPr>
        <w:t>5</w:t>
      </w:r>
      <w:r>
        <w:rPr>
          <w:rFonts w:ascii="仿宋" w:hAnsi="仿宋" w:eastAsia="仿宋" w:cs="仿宋"/>
          <w:color w:val="auto"/>
          <w:spacing w:val="-6"/>
          <w:sz w:val="22"/>
          <w:szCs w:val="22"/>
        </w:rPr>
        <w:t>.</w:t>
      </w:r>
      <w:r>
        <w:rPr>
          <w:rFonts w:hint="eastAsia" w:ascii="仿宋" w:hAnsi="仿宋" w:eastAsia="仿宋" w:cs="仿宋"/>
          <w:color w:val="auto"/>
          <w:spacing w:val="-6"/>
          <w:sz w:val="22"/>
          <w:szCs w:val="22"/>
          <w:lang w:val="en-US" w:eastAsia="zh-CN"/>
        </w:rPr>
        <w:t>我方同意从征集文件规定的响应文件开启日期起遵循本征集文件，并在征集文件规定的响应文件有效期之前均具有约束力</w:t>
      </w:r>
      <w:r>
        <w:rPr>
          <w:rFonts w:ascii="仿宋" w:hAnsi="仿宋" w:eastAsia="仿宋" w:cs="仿宋"/>
          <w:color w:val="auto"/>
          <w:spacing w:val="-6"/>
          <w:sz w:val="22"/>
          <w:szCs w:val="22"/>
        </w:rPr>
        <w:t>。</w:t>
      </w:r>
    </w:p>
    <w:p w14:paraId="6CAE515B">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21"/>
          <w:sz w:val="22"/>
          <w:szCs w:val="22"/>
        </w:rPr>
        <w:t>6</w:t>
      </w:r>
      <w:r>
        <w:rPr>
          <w:rFonts w:ascii="仿宋" w:hAnsi="仿宋" w:eastAsia="仿宋" w:cs="仿宋"/>
          <w:color w:val="auto"/>
          <w:spacing w:val="-18"/>
          <w:sz w:val="22"/>
          <w:szCs w:val="22"/>
        </w:rPr>
        <w:t>.我方声明响应文件所提供的一切资料均真实无误、及时、有效，企业运营正常。由于</w:t>
      </w:r>
      <w:r>
        <w:rPr>
          <w:rFonts w:ascii="仿宋" w:hAnsi="仿宋" w:eastAsia="仿宋" w:cs="仿宋"/>
          <w:color w:val="auto"/>
          <w:spacing w:val="-30"/>
          <w:sz w:val="22"/>
          <w:szCs w:val="22"/>
        </w:rPr>
        <w:t>我</w:t>
      </w:r>
      <w:r>
        <w:rPr>
          <w:rFonts w:ascii="仿宋" w:hAnsi="仿宋" w:eastAsia="仿宋" w:cs="仿宋"/>
          <w:color w:val="auto"/>
          <w:spacing w:val="-17"/>
          <w:sz w:val="22"/>
          <w:szCs w:val="22"/>
        </w:rPr>
        <w:t>方</w:t>
      </w:r>
      <w:r>
        <w:rPr>
          <w:rFonts w:ascii="仿宋" w:hAnsi="仿宋" w:eastAsia="仿宋" w:cs="仿宋"/>
          <w:color w:val="auto"/>
          <w:spacing w:val="-15"/>
          <w:sz w:val="22"/>
          <w:szCs w:val="22"/>
        </w:rPr>
        <w:t>提供资料不实而造成的责任和后果由我方承担。我方同意按照贵方提出的要求，提供与</w:t>
      </w:r>
      <w:r>
        <w:rPr>
          <w:rFonts w:hint="eastAsia" w:ascii="仿宋" w:hAnsi="仿宋" w:eastAsia="仿宋" w:cs="仿宋"/>
          <w:color w:val="auto"/>
          <w:spacing w:val="-15"/>
          <w:sz w:val="22"/>
          <w:szCs w:val="22"/>
          <w:lang w:val="en-US" w:eastAsia="zh-CN"/>
        </w:rPr>
        <w:t>响应</w:t>
      </w:r>
      <w:r>
        <w:rPr>
          <w:rFonts w:ascii="仿宋" w:hAnsi="仿宋" w:eastAsia="仿宋" w:cs="仿宋"/>
          <w:color w:val="auto"/>
          <w:spacing w:val="-11"/>
          <w:sz w:val="22"/>
          <w:szCs w:val="22"/>
        </w:rPr>
        <w:t>有</w:t>
      </w:r>
      <w:r>
        <w:rPr>
          <w:rFonts w:ascii="仿宋" w:hAnsi="仿宋" w:eastAsia="仿宋" w:cs="仿宋"/>
          <w:color w:val="auto"/>
          <w:spacing w:val="-9"/>
          <w:sz w:val="22"/>
          <w:szCs w:val="22"/>
        </w:rPr>
        <w:t>关的任何证据、数据或资料。</w:t>
      </w:r>
    </w:p>
    <w:p w14:paraId="17899681">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Arial"/>
          <w:color w:val="auto"/>
          <w:sz w:val="21"/>
        </w:rPr>
      </w:pPr>
      <w:r>
        <w:rPr>
          <w:rFonts w:ascii="仿宋" w:hAnsi="仿宋" w:eastAsia="仿宋" w:cs="仿宋"/>
          <w:color w:val="auto"/>
          <w:spacing w:val="-10"/>
          <w:sz w:val="22"/>
          <w:szCs w:val="22"/>
        </w:rPr>
        <w:t>7.我</w:t>
      </w:r>
      <w:r>
        <w:rPr>
          <w:rFonts w:ascii="仿宋" w:hAnsi="仿宋" w:eastAsia="仿宋" w:cs="仿宋"/>
          <w:color w:val="auto"/>
          <w:spacing w:val="-8"/>
          <w:sz w:val="22"/>
          <w:szCs w:val="22"/>
        </w:rPr>
        <w:t>方</w:t>
      </w:r>
      <w:r>
        <w:rPr>
          <w:rFonts w:ascii="仿宋" w:hAnsi="仿宋" w:eastAsia="仿宋" w:cs="仿宋"/>
          <w:color w:val="auto"/>
          <w:spacing w:val="-5"/>
          <w:sz w:val="22"/>
          <w:szCs w:val="22"/>
        </w:rPr>
        <w:t>完全理解贵方不一定接受最低报价的</w:t>
      </w:r>
      <w:r>
        <w:rPr>
          <w:rFonts w:hint="eastAsia" w:ascii="仿宋" w:hAnsi="仿宋" w:eastAsia="仿宋" w:cs="仿宋"/>
          <w:color w:val="auto"/>
          <w:spacing w:val="-5"/>
          <w:sz w:val="22"/>
          <w:szCs w:val="22"/>
          <w:lang w:val="en-US" w:eastAsia="zh-CN"/>
        </w:rPr>
        <w:t>响应</w:t>
      </w:r>
      <w:r>
        <w:rPr>
          <w:rFonts w:ascii="仿宋" w:hAnsi="仿宋" w:eastAsia="仿宋" w:cs="仿宋"/>
          <w:color w:val="auto"/>
          <w:spacing w:val="-5"/>
          <w:sz w:val="22"/>
          <w:szCs w:val="22"/>
        </w:rPr>
        <w:t>。</w:t>
      </w:r>
    </w:p>
    <w:p w14:paraId="343D118D">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8.我方接受征集文件规定的付款、</w:t>
      </w:r>
      <w:r>
        <w:rPr>
          <w:rFonts w:hint="eastAsia" w:ascii="仿宋" w:hAnsi="仿宋" w:eastAsia="仿宋" w:cs="仿宋"/>
          <w:color w:val="auto"/>
          <w:spacing w:val="-5"/>
          <w:sz w:val="22"/>
          <w:szCs w:val="22"/>
          <w:lang w:val="en-US" w:eastAsia="zh-CN"/>
        </w:rPr>
        <w:t>期限、</w:t>
      </w:r>
      <w:r>
        <w:rPr>
          <w:rFonts w:ascii="仿宋" w:hAnsi="仿宋" w:eastAsia="仿宋" w:cs="仿宋"/>
          <w:color w:val="auto"/>
          <w:spacing w:val="-5"/>
          <w:sz w:val="22"/>
          <w:szCs w:val="22"/>
        </w:rPr>
        <w:t>免费质保要求。</w:t>
      </w:r>
    </w:p>
    <w:p w14:paraId="7E96031E">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9.诚信承诺书(见附录)</w:t>
      </w:r>
    </w:p>
    <w:p w14:paraId="12FFD904">
      <w:pPr>
        <w:spacing w:line="244" w:lineRule="auto"/>
        <w:rPr>
          <w:rFonts w:ascii="Arial"/>
          <w:color w:val="auto"/>
          <w:sz w:val="21"/>
        </w:rPr>
      </w:pPr>
    </w:p>
    <w:p w14:paraId="37561E5F">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pPr>
      <w:r>
        <w:rPr>
          <w:rFonts w:ascii="仿宋" w:hAnsi="仿宋" w:eastAsia="仿宋" w:cs="仿宋"/>
          <w:color w:val="auto"/>
          <w:spacing w:val="-18"/>
          <w:sz w:val="22"/>
          <w:szCs w:val="22"/>
        </w:rPr>
        <w:t>供应商电子签章：</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14:paraId="5DBF3DB5">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u w:val="single"/>
        </w:rPr>
      </w:pPr>
      <w:r>
        <w:rPr>
          <w:rFonts w:ascii="仿宋" w:hAnsi="仿宋" w:eastAsia="仿宋" w:cs="仿宋"/>
          <w:color w:val="auto"/>
          <w:spacing w:val="-18"/>
          <w:sz w:val="22"/>
          <w:szCs w:val="22"/>
        </w:rPr>
        <w:t>法定代表人或其委托代理人：</w:t>
      </w:r>
      <w:r>
        <w:rPr>
          <w:rFonts w:ascii="仿宋" w:hAnsi="仿宋" w:eastAsia="仿宋" w:cs="仿宋"/>
          <w:color w:val="auto"/>
          <w:spacing w:val="-18"/>
          <w:sz w:val="22"/>
          <w:szCs w:val="22"/>
          <w:u w:val="single"/>
        </w:rPr>
        <w:t>(签字或盖章)</w:t>
      </w:r>
    </w:p>
    <w:p w14:paraId="58FD39F5">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sectPr>
          <w:footerReference r:id="rId16" w:type="default"/>
          <w:pgSz w:w="11921" w:h="16851"/>
          <w:pgMar w:top="1434" w:right="1605" w:bottom="1467" w:left="1570" w:header="0" w:footer="1303" w:gutter="0"/>
          <w:pgNumType w:fmt="decimal"/>
          <w:cols w:space="720" w:num="1"/>
        </w:sectPr>
      </w:pPr>
      <w:r>
        <w:rPr>
          <w:rFonts w:ascii="仿宋" w:hAnsi="仿宋" w:eastAsia="仿宋" w:cs="仿宋"/>
          <w:color w:val="auto"/>
          <w:spacing w:val="-18"/>
          <w:sz w:val="22"/>
          <w:szCs w:val="22"/>
        </w:rPr>
        <w:t>日           期：</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14:paraId="4B875D80">
      <w:pPr>
        <w:spacing w:before="71" w:line="219" w:lineRule="auto"/>
        <w:ind w:left="11"/>
        <w:rPr>
          <w:rFonts w:ascii="Arial"/>
          <w:color w:val="auto"/>
          <w:sz w:val="21"/>
        </w:rPr>
      </w:pP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附录</w:t>
      </w:r>
      <w:r>
        <w:rPr>
          <w:rFonts w:ascii="仿宋" w:hAnsi="仿宋" w:eastAsia="仿宋" w:cs="仿宋"/>
          <w:color w:val="auto"/>
          <w:spacing w:val="-2"/>
          <w:sz w:val="22"/>
          <w:szCs w:val="22"/>
        </w:rPr>
        <w:t xml:space="preserve"> </w:t>
      </w: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1:</w:t>
      </w:r>
    </w:p>
    <w:p w14:paraId="6FC5D700">
      <w:pPr>
        <w:spacing w:before="72" w:line="227" w:lineRule="auto"/>
        <w:ind w:left="5"/>
        <w:jc w:val="center"/>
        <w:rPr>
          <w:rFonts w:ascii="仿宋" w:hAnsi="仿宋" w:eastAsia="仿宋" w:cs="仿宋"/>
          <w:color w:val="auto"/>
          <w:sz w:val="22"/>
          <w:szCs w:val="22"/>
        </w:rPr>
      </w:pPr>
      <w:r>
        <w:rPr>
          <w:rFonts w:ascii="仿宋" w:hAnsi="仿宋" w:eastAsia="仿宋" w:cs="仿宋"/>
          <w:color w:val="auto"/>
          <w:spacing w:val="-1"/>
          <w:position w:val="-2"/>
          <w:sz w:val="22"/>
          <w:szCs w:val="22"/>
          <w14:textOutline w14:w="4005" w14:cap="flat" w14:cmpd="sng">
            <w14:solidFill>
              <w14:srgbClr w14:val="000000"/>
            </w14:solidFill>
            <w14:prstDash w14:val="solid"/>
            <w14:miter w14:val="0"/>
          </w14:textOutline>
        </w:rPr>
        <w:t>供应商诚信承诺书</w:t>
      </w:r>
    </w:p>
    <w:p w14:paraId="251A11E1">
      <w:pPr>
        <w:spacing w:line="295" w:lineRule="auto"/>
        <w:rPr>
          <w:rFonts w:ascii="Arial"/>
          <w:color w:val="auto"/>
          <w:sz w:val="21"/>
        </w:rPr>
      </w:pPr>
    </w:p>
    <w:p w14:paraId="0233FF8D">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6"/>
          <w:sz w:val="22"/>
          <w:szCs w:val="22"/>
          <w:u w:val="single"/>
          <w:lang w:val="en-US" w:eastAsia="zh-CN"/>
        </w:rPr>
      </w:pPr>
      <w:r>
        <w:rPr>
          <w:rFonts w:ascii="仿宋" w:hAnsi="仿宋" w:eastAsia="仿宋" w:cs="仿宋"/>
          <w:color w:val="auto"/>
          <w:spacing w:val="-6"/>
          <w:sz w:val="22"/>
          <w:szCs w:val="22"/>
        </w:rPr>
        <w:t>致：</w:t>
      </w:r>
      <w:r>
        <w:rPr>
          <w:rFonts w:ascii="仿宋" w:hAnsi="仿宋" w:eastAsia="仿宋" w:cs="仿宋"/>
          <w:color w:val="auto"/>
          <w:spacing w:val="-6"/>
          <w:sz w:val="22"/>
          <w:szCs w:val="22"/>
          <w:u w:val="single"/>
        </w:rPr>
        <w:t xml:space="preserve">   (征集人)  </w:t>
      </w:r>
      <w:r>
        <w:rPr>
          <w:rFonts w:hint="eastAsia" w:ascii="仿宋" w:hAnsi="仿宋" w:eastAsia="仿宋" w:cs="仿宋"/>
          <w:color w:val="auto"/>
          <w:spacing w:val="-6"/>
          <w:sz w:val="22"/>
          <w:szCs w:val="22"/>
          <w:u w:val="single"/>
          <w:lang w:val="en-US" w:eastAsia="zh-CN"/>
        </w:rPr>
        <w:t xml:space="preserve">       </w:t>
      </w:r>
    </w:p>
    <w:p w14:paraId="1D3A0555">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我单位参加本次</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，承诺如下：</w:t>
      </w:r>
    </w:p>
    <w:p w14:paraId="351212E7">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eastAsia" w:ascii="仿宋" w:hAnsi="仿宋" w:eastAsia="仿宋" w:cs="仿宋"/>
          <w:color w:val="auto"/>
          <w:spacing w:val="-2"/>
          <w:sz w:val="22"/>
          <w:szCs w:val="22"/>
        </w:rPr>
      </w:pPr>
      <w:r>
        <w:rPr>
          <w:rFonts w:hint="eastAsia" w:ascii="仿宋" w:hAnsi="仿宋" w:eastAsia="仿宋" w:cs="仿宋"/>
          <w:color w:val="auto"/>
          <w:spacing w:val="-2"/>
          <w:sz w:val="22"/>
          <w:szCs w:val="22"/>
          <w:lang w:val="en-US" w:eastAsia="zh-CN"/>
        </w:rPr>
        <w:t>1.</w:t>
      </w:r>
      <w:r>
        <w:rPr>
          <w:rFonts w:hint="eastAsia" w:ascii="仿宋" w:hAnsi="仿宋" w:eastAsia="仿宋" w:cs="仿宋"/>
          <w:color w:val="auto"/>
          <w:spacing w:val="-2"/>
          <w:sz w:val="22"/>
          <w:szCs w:val="22"/>
        </w:rPr>
        <w:t>提供的所有资料都是真实有效。</w:t>
      </w:r>
    </w:p>
    <w:p w14:paraId="727C8B8E">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default" w:ascii="仿宋" w:hAnsi="仿宋" w:eastAsia="仿宋" w:cs="仿宋"/>
          <w:color w:val="auto"/>
          <w:spacing w:val="-2"/>
          <w:sz w:val="22"/>
          <w:szCs w:val="22"/>
          <w:lang w:val="en-US" w:eastAsia="zh-CN"/>
        </w:rPr>
      </w:pPr>
      <w:r>
        <w:rPr>
          <w:rFonts w:hint="eastAsia" w:ascii="仿宋" w:hAnsi="仿宋" w:eastAsia="仿宋" w:cs="仿宋"/>
          <w:color w:val="auto"/>
          <w:spacing w:val="-2"/>
          <w:sz w:val="22"/>
          <w:szCs w:val="22"/>
          <w:lang w:val="en-US" w:eastAsia="zh-CN"/>
        </w:rPr>
        <w:t>2.不存在借用资质、串通投标、电子响应文件制作机器码相同等情形。</w:t>
      </w:r>
      <w:r>
        <w:rPr>
          <w:rFonts w:hint="default" w:ascii="仿宋" w:hAnsi="仿宋" w:eastAsia="仿宋" w:cs="仿宋"/>
          <w:color w:val="auto"/>
          <w:spacing w:val="-2"/>
          <w:sz w:val="22"/>
          <w:szCs w:val="22"/>
          <w:lang w:val="en-US" w:eastAsia="zh-CN"/>
        </w:rPr>
        <w:t xml:space="preserve"> </w:t>
      </w:r>
    </w:p>
    <w:p w14:paraId="40E7B82E">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3</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如我方为</w:t>
      </w:r>
      <w:r>
        <w:rPr>
          <w:rFonts w:hint="eastAsia" w:ascii="仿宋" w:hAnsi="仿宋" w:eastAsia="仿宋" w:cs="仿宋"/>
          <w:color w:val="auto"/>
          <w:spacing w:val="-2"/>
          <w:sz w:val="22"/>
          <w:szCs w:val="22"/>
          <w:lang w:val="en-US" w:eastAsia="zh-CN"/>
        </w:rPr>
        <w:t>入围供应商</w:t>
      </w:r>
      <w:r>
        <w:rPr>
          <w:rFonts w:hint="eastAsia" w:ascii="仿宋" w:hAnsi="仿宋" w:eastAsia="仿宋" w:cs="仿宋"/>
          <w:color w:val="auto"/>
          <w:spacing w:val="-2"/>
          <w:sz w:val="22"/>
          <w:szCs w:val="22"/>
        </w:rPr>
        <w:t>，除不可抗力（是指不能预见、不能避免并不能克服的客观情况，包括自然灾害和社会突发事件，如地震、海啸、瘟疫、水灾、骚乱、暴动、战争等），不因任何其它原因放弃</w:t>
      </w:r>
      <w:r>
        <w:rPr>
          <w:rFonts w:hint="eastAsia" w:ascii="仿宋" w:hAnsi="仿宋" w:eastAsia="仿宋" w:cs="仿宋"/>
          <w:color w:val="auto"/>
          <w:spacing w:val="-2"/>
          <w:sz w:val="22"/>
          <w:szCs w:val="22"/>
          <w:lang w:val="en-US" w:eastAsia="zh-CN"/>
        </w:rPr>
        <w:t>入围</w:t>
      </w:r>
      <w:r>
        <w:rPr>
          <w:rFonts w:hint="eastAsia" w:ascii="仿宋" w:hAnsi="仿宋" w:eastAsia="仿宋" w:cs="仿宋"/>
          <w:color w:val="auto"/>
          <w:spacing w:val="-2"/>
          <w:sz w:val="22"/>
          <w:szCs w:val="22"/>
        </w:rPr>
        <w:t>资格。</w:t>
      </w:r>
    </w:p>
    <w:p w14:paraId="39F27192">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4</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我方</w:t>
      </w:r>
      <w:r>
        <w:rPr>
          <w:rFonts w:hint="eastAsia" w:ascii="仿宋" w:hAnsi="仿宋" w:eastAsia="仿宋" w:cs="仿宋"/>
          <w:color w:val="auto"/>
          <w:spacing w:val="-2"/>
          <w:sz w:val="22"/>
          <w:szCs w:val="22"/>
          <w:lang w:val="en-US" w:eastAsia="zh-CN"/>
        </w:rPr>
        <w:t>入围</w:t>
      </w:r>
      <w:r>
        <w:rPr>
          <w:rFonts w:hint="eastAsia" w:ascii="仿宋" w:hAnsi="仿宋" w:eastAsia="仿宋" w:cs="仿宋"/>
          <w:color w:val="auto"/>
          <w:spacing w:val="-2"/>
          <w:sz w:val="22"/>
          <w:szCs w:val="22"/>
        </w:rPr>
        <w:t>后，严格按照</w:t>
      </w:r>
      <w:r>
        <w:rPr>
          <w:rFonts w:hint="eastAsia" w:ascii="仿宋" w:hAnsi="仿宋" w:eastAsia="仿宋" w:cs="仿宋"/>
          <w:color w:val="auto"/>
          <w:spacing w:val="-2"/>
          <w:sz w:val="22"/>
          <w:szCs w:val="22"/>
          <w:lang w:val="en-US" w:eastAsia="zh-CN"/>
        </w:rPr>
        <w:t>征集</w:t>
      </w:r>
      <w:r>
        <w:rPr>
          <w:rFonts w:hint="eastAsia" w:ascii="仿宋" w:hAnsi="仿宋" w:eastAsia="仿宋" w:cs="仿宋"/>
          <w:color w:val="auto"/>
          <w:spacing w:val="-2"/>
          <w:sz w:val="22"/>
          <w:szCs w:val="22"/>
        </w:rPr>
        <w:t>文件和我单位</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文件的约定签订合同。</w:t>
      </w:r>
    </w:p>
    <w:p w14:paraId="29D436F1">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5</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我方同意将达不到</w:t>
      </w:r>
      <w:r>
        <w:rPr>
          <w:rFonts w:hint="eastAsia" w:ascii="仿宋" w:hAnsi="仿宋" w:eastAsia="仿宋" w:cs="仿宋"/>
          <w:color w:val="auto"/>
          <w:spacing w:val="-2"/>
          <w:sz w:val="22"/>
          <w:szCs w:val="22"/>
          <w:lang w:val="en-US" w:eastAsia="zh-CN"/>
        </w:rPr>
        <w:t>供应商</w:t>
      </w:r>
      <w:r>
        <w:rPr>
          <w:rFonts w:hint="eastAsia" w:ascii="仿宋" w:hAnsi="仿宋" w:eastAsia="仿宋" w:cs="仿宋"/>
          <w:color w:val="auto"/>
          <w:spacing w:val="-2"/>
          <w:sz w:val="22"/>
          <w:szCs w:val="22"/>
        </w:rPr>
        <w:t>资格要求条件仍参与</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或被行政主管部门、监督管理部门等暂停、取消公共资源交易资格且在限制期内仍参与</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的情形视为弄虚作假，愿意接受处理。</w:t>
      </w:r>
    </w:p>
    <w:p w14:paraId="12357114">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default" w:ascii="仿宋" w:hAnsi="仿宋" w:eastAsia="仿宋" w:cs="仿宋"/>
          <w:color w:val="auto"/>
          <w:spacing w:val="-2"/>
          <w:sz w:val="22"/>
          <w:szCs w:val="22"/>
        </w:rPr>
      </w:pPr>
      <w:r>
        <w:rPr>
          <w:rFonts w:hint="eastAsia" w:ascii="仿宋" w:hAnsi="仿宋" w:eastAsia="仿宋" w:cs="仿宋"/>
          <w:color w:val="auto"/>
          <w:spacing w:val="-2"/>
          <w:sz w:val="22"/>
          <w:szCs w:val="22"/>
        </w:rPr>
        <w:t>6</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lang w:val="en-US" w:eastAsia="zh-CN"/>
        </w:rPr>
        <w:t>我方参与响应如出现投标报价高于该项目最高投标限价情形。</w:t>
      </w:r>
      <w:r>
        <w:rPr>
          <w:rFonts w:hint="default" w:ascii="仿宋" w:hAnsi="仿宋" w:eastAsia="仿宋" w:cs="仿宋"/>
          <w:color w:val="auto"/>
          <w:spacing w:val="-2"/>
          <w:sz w:val="22"/>
          <w:szCs w:val="22"/>
          <w:lang w:val="en-US" w:eastAsia="zh-CN"/>
        </w:rPr>
        <w:t xml:space="preserve"> </w:t>
      </w:r>
    </w:p>
    <w:p w14:paraId="78F0C7CF">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lang w:val="en-US" w:eastAsia="zh-CN"/>
        </w:rPr>
        <w:t>出现违反上述承诺情形之一的，我单位愿意接受采购人（甲方）、政府采购监督管理部门做出的相关处理、处罚。</w:t>
      </w:r>
    </w:p>
    <w:p w14:paraId="42F994B4">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此承诺不受</w:t>
      </w:r>
      <w:r>
        <w:rPr>
          <w:rFonts w:hint="eastAsia" w:ascii="仿宋" w:hAnsi="仿宋" w:eastAsia="仿宋" w:cs="仿宋"/>
          <w:color w:val="auto"/>
          <w:spacing w:val="-2"/>
          <w:sz w:val="22"/>
          <w:szCs w:val="22"/>
          <w:lang w:val="en-US" w:eastAsia="zh-CN"/>
        </w:rPr>
        <w:t>响应文件</w:t>
      </w:r>
      <w:r>
        <w:rPr>
          <w:rFonts w:hint="eastAsia" w:ascii="仿宋" w:hAnsi="仿宋" w:eastAsia="仿宋" w:cs="仿宋"/>
          <w:color w:val="auto"/>
          <w:spacing w:val="-2"/>
          <w:sz w:val="22"/>
          <w:szCs w:val="22"/>
        </w:rPr>
        <w:t>有效期的限制。</w:t>
      </w:r>
    </w:p>
    <w:p w14:paraId="6FB77F6B">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p>
    <w:p w14:paraId="2703BE7A">
      <w:pPr>
        <w:spacing w:before="71" w:line="484" w:lineRule="auto"/>
        <w:ind w:firstLine="3600" w:firstLineChars="1800"/>
        <w:rPr>
          <w:rFonts w:ascii="仿宋" w:hAnsi="仿宋" w:eastAsia="仿宋" w:cs="仿宋"/>
          <w:color w:val="auto"/>
          <w:sz w:val="22"/>
          <w:szCs w:val="22"/>
        </w:rPr>
      </w:pPr>
      <w:r>
        <w:rPr>
          <w:rFonts w:ascii="仿宋" w:hAnsi="仿宋" w:eastAsia="仿宋" w:cs="仿宋"/>
          <w:color w:val="auto"/>
          <w:spacing w:val="-10"/>
          <w:sz w:val="22"/>
          <w:szCs w:val="22"/>
        </w:rPr>
        <w:t>供</w:t>
      </w:r>
      <w:r>
        <w:rPr>
          <w:rFonts w:ascii="仿宋" w:hAnsi="仿宋" w:eastAsia="仿宋" w:cs="仿宋"/>
          <w:color w:val="auto"/>
          <w:spacing w:val="-7"/>
          <w:sz w:val="22"/>
          <w:szCs w:val="22"/>
        </w:rPr>
        <w:t>应商电子签章：</w:t>
      </w:r>
      <w:r>
        <w:rPr>
          <w:rFonts w:ascii="仿宋" w:hAnsi="仿宋" w:eastAsia="仿宋" w:cs="仿宋"/>
          <w:color w:val="auto"/>
          <w:sz w:val="22"/>
          <w:szCs w:val="22"/>
          <w:u w:val="single" w:color="auto"/>
        </w:rPr>
        <w:t xml:space="preserve">                     </w:t>
      </w:r>
    </w:p>
    <w:p w14:paraId="060C3986">
      <w:pPr>
        <w:spacing w:line="218" w:lineRule="auto"/>
        <w:ind w:left="2213" w:firstLine="1428" w:firstLineChars="700"/>
        <w:rPr>
          <w:rFonts w:ascii="仿宋" w:hAnsi="仿宋" w:eastAsia="仿宋" w:cs="仿宋"/>
          <w:color w:val="auto"/>
          <w:sz w:val="22"/>
          <w:szCs w:val="22"/>
        </w:rPr>
      </w:pPr>
      <w:r>
        <w:rPr>
          <w:rFonts w:ascii="仿宋" w:hAnsi="仿宋" w:eastAsia="仿宋" w:cs="仿宋"/>
          <w:color w:val="auto"/>
          <w:spacing w:val="-8"/>
          <w:sz w:val="22"/>
          <w:szCs w:val="22"/>
        </w:rPr>
        <w:t>法</w:t>
      </w:r>
      <w:r>
        <w:rPr>
          <w:rFonts w:ascii="仿宋" w:hAnsi="仿宋" w:eastAsia="仿宋" w:cs="仿宋"/>
          <w:color w:val="auto"/>
          <w:spacing w:val="-7"/>
          <w:sz w:val="22"/>
          <w:szCs w:val="22"/>
        </w:rPr>
        <w:t>定代表人或其委托代理人：</w:t>
      </w:r>
      <w:r>
        <w:rPr>
          <w:rFonts w:ascii="仿宋" w:hAnsi="仿宋" w:eastAsia="仿宋" w:cs="仿宋"/>
          <w:color w:val="auto"/>
          <w:spacing w:val="-7"/>
          <w:sz w:val="22"/>
          <w:szCs w:val="22"/>
          <w:u w:val="single" w:color="auto"/>
        </w:rPr>
        <w:t>(签字或盖章)</w:t>
      </w:r>
    </w:p>
    <w:p w14:paraId="624561FE">
      <w:pPr>
        <w:spacing w:before="286" w:line="219" w:lineRule="auto"/>
        <w:ind w:left="6485"/>
        <w:rPr>
          <w:rFonts w:ascii="仿宋" w:hAnsi="仿宋" w:eastAsia="仿宋" w:cs="仿宋"/>
          <w:color w:val="auto"/>
          <w:sz w:val="22"/>
          <w:szCs w:val="22"/>
        </w:rPr>
      </w:pPr>
      <w:r>
        <w:rPr>
          <w:rFonts w:ascii="仿宋" w:hAnsi="仿宋" w:eastAsia="仿宋" w:cs="仿宋"/>
          <w:color w:val="auto"/>
          <w:spacing w:val="10"/>
          <w:sz w:val="22"/>
          <w:szCs w:val="22"/>
        </w:rPr>
        <w:t>年</w:t>
      </w:r>
      <w:r>
        <w:rPr>
          <w:rFonts w:ascii="仿宋" w:hAnsi="仿宋" w:eastAsia="仿宋" w:cs="仿宋"/>
          <w:color w:val="auto"/>
          <w:spacing w:val="8"/>
          <w:sz w:val="22"/>
          <w:szCs w:val="22"/>
        </w:rPr>
        <w:t xml:space="preserve"> 月 日</w:t>
      </w:r>
    </w:p>
    <w:p w14:paraId="0C21A1C7">
      <w:pPr>
        <w:spacing w:before="98" w:line="218" w:lineRule="auto"/>
        <w:ind w:left="527"/>
        <w:rPr>
          <w:rFonts w:ascii="仿宋" w:hAnsi="仿宋" w:eastAsia="仿宋" w:cs="仿宋"/>
          <w:color w:val="auto"/>
          <w:spacing w:val="-2"/>
          <w:sz w:val="22"/>
          <w:szCs w:val="22"/>
        </w:rPr>
        <w:sectPr>
          <w:footerReference r:id="rId17" w:type="default"/>
          <w:pgSz w:w="11921" w:h="16851"/>
          <w:pgMar w:top="1434" w:right="1417" w:bottom="1467" w:left="1591" w:header="0" w:footer="1303" w:gutter="0"/>
          <w:pgNumType w:fmt="decimal"/>
          <w:cols w:space="720" w:num="1"/>
        </w:sectPr>
      </w:pPr>
    </w:p>
    <w:p w14:paraId="2E8BF2A9">
      <w:pPr>
        <w:spacing w:before="78" w:line="217" w:lineRule="auto"/>
        <w:ind w:left="1575"/>
        <w:outlineLvl w:val="1"/>
        <w:rPr>
          <w:rFonts w:ascii="仿宋" w:hAnsi="仿宋" w:eastAsia="仿宋" w:cs="仿宋"/>
          <w:color w:val="auto"/>
          <w:sz w:val="24"/>
          <w:szCs w:val="24"/>
        </w:rPr>
      </w:pPr>
      <w:r>
        <w:rPr>
          <w:rFonts w:ascii="仿宋" w:hAnsi="仿宋" w:eastAsia="仿宋" w:cs="仿宋"/>
          <w:color w:val="auto"/>
          <w:spacing w:val="-1"/>
          <w:sz w:val="24"/>
          <w:szCs w:val="24"/>
          <w14:textOutline w14:w="4354" w14:cap="flat" w14:cmpd="sng">
            <w14:solidFill>
              <w14:srgbClr w14:val="000000"/>
            </w14:solidFill>
            <w14:prstDash w14:val="solid"/>
            <w14:miter w14:val="0"/>
          </w14:textOutline>
        </w:rPr>
        <w:t>三、无</w:t>
      </w:r>
      <w:r>
        <w:rPr>
          <w:rFonts w:ascii="仿宋" w:hAnsi="仿宋" w:eastAsia="仿宋" w:cs="仿宋"/>
          <w:color w:val="auto"/>
          <w:sz w:val="24"/>
          <w:szCs w:val="24"/>
          <w14:textOutline w14:w="4354" w14:cap="flat" w14:cmpd="sng">
            <w14:solidFill>
              <w14:srgbClr w14:val="000000"/>
            </w14:solidFill>
            <w14:prstDash w14:val="solid"/>
            <w14:miter w14:val="0"/>
          </w14:textOutline>
        </w:rPr>
        <w:t>重大违法记录声明函、无不良信用记录声明函</w:t>
      </w:r>
    </w:p>
    <w:p w14:paraId="56300E06">
      <w:pPr>
        <w:spacing w:line="362" w:lineRule="auto"/>
        <w:rPr>
          <w:rFonts w:ascii="Arial"/>
          <w:color w:val="auto"/>
          <w:sz w:val="21"/>
        </w:rPr>
      </w:pPr>
    </w:p>
    <w:p w14:paraId="3B03E396">
      <w:pPr>
        <w:spacing w:before="78" w:line="218" w:lineRule="auto"/>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(联</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合</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体参加投标的，联合体各方均须提供)</w:t>
      </w:r>
    </w:p>
    <w:p w14:paraId="61A0423F">
      <w:pPr>
        <w:spacing w:line="263" w:lineRule="auto"/>
        <w:rPr>
          <w:rFonts w:hint="eastAsia" w:ascii="仿宋" w:hAnsi="仿宋" w:eastAsia="仿宋" w:cs="仿宋"/>
          <w:color w:val="auto"/>
          <w:sz w:val="22"/>
          <w:szCs w:val="22"/>
        </w:rPr>
      </w:pPr>
    </w:p>
    <w:p w14:paraId="78B473AB">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val="en-US" w:eastAsia="zh-CN"/>
        </w:rPr>
        <w:t>1.</w:t>
      </w:r>
      <w:r>
        <w:rPr>
          <w:rFonts w:hint="eastAsia" w:ascii="仿宋" w:hAnsi="仿宋" w:eastAsia="仿宋" w:cs="仿宋"/>
          <w:color w:val="auto"/>
          <w:spacing w:val="-1"/>
          <w:sz w:val="22"/>
          <w:szCs w:val="22"/>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DE2DB50">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val="en-US" w:eastAsia="zh-CN"/>
        </w:rPr>
        <w:t>2.</w:t>
      </w:r>
      <w:r>
        <w:rPr>
          <w:rFonts w:hint="eastAsia" w:ascii="仿宋" w:hAnsi="仿宋" w:eastAsia="仿宋" w:cs="仿宋"/>
          <w:color w:val="auto"/>
          <w:spacing w:val="-1"/>
          <w:sz w:val="22"/>
          <w:szCs w:val="22"/>
        </w:rPr>
        <w:t>本单位郑重声明，我单位无以下不良信用记录情形：</w:t>
      </w:r>
    </w:p>
    <w:p w14:paraId="0720EEFC">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1</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被人民法院列入失信被执行人；</w:t>
      </w:r>
    </w:p>
    <w:p w14:paraId="1EA31326">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2</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被税务部门列入重大税收违法案件当事人名单；</w:t>
      </w:r>
    </w:p>
    <w:p w14:paraId="60FDA856">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3</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被政府采购监管部门列入政府采购严重违法失信行为记录名单。</w:t>
      </w:r>
    </w:p>
    <w:p w14:paraId="022A0E6F">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p>
    <w:p w14:paraId="47F66BD1">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本单位对上述声明的真实性负责。如有虚假，将依法承担相应责任。</w:t>
      </w:r>
    </w:p>
    <w:p w14:paraId="1EABBAB1">
      <w:pPr>
        <w:spacing w:line="266" w:lineRule="auto"/>
        <w:rPr>
          <w:rFonts w:hint="eastAsia" w:ascii="仿宋" w:hAnsi="仿宋" w:eastAsia="仿宋" w:cs="仿宋"/>
          <w:color w:val="auto"/>
          <w:sz w:val="22"/>
          <w:szCs w:val="22"/>
        </w:rPr>
      </w:pPr>
    </w:p>
    <w:p w14:paraId="4E225BBE">
      <w:pPr>
        <w:spacing w:before="78" w:line="218" w:lineRule="auto"/>
        <w:ind w:left="4986"/>
        <w:rPr>
          <w:rFonts w:hint="eastAsia" w:ascii="仿宋" w:hAnsi="仿宋" w:eastAsia="仿宋" w:cs="仿宋"/>
          <w:color w:val="auto"/>
          <w:sz w:val="22"/>
          <w:szCs w:val="22"/>
        </w:rPr>
      </w:pPr>
      <w:r>
        <w:rPr>
          <w:rFonts w:hint="eastAsia" w:ascii="仿宋" w:hAnsi="仿宋" w:eastAsia="仿宋" w:cs="仿宋"/>
          <w:color w:val="auto"/>
          <w:spacing w:val="-28"/>
          <w:sz w:val="22"/>
          <w:szCs w:val="22"/>
          <w:lang w:val="en-US" w:eastAsia="zh-CN"/>
        </w:rPr>
        <w:t>供应商</w:t>
      </w:r>
      <w:r>
        <w:rPr>
          <w:rFonts w:hint="eastAsia" w:ascii="仿宋" w:hAnsi="仿宋" w:eastAsia="仿宋" w:cs="仿宋"/>
          <w:color w:val="auto"/>
          <w:spacing w:val="-23"/>
          <w:sz w:val="22"/>
          <w:szCs w:val="22"/>
        </w:rPr>
        <w:t>电子签章：</w:t>
      </w:r>
      <w:r>
        <w:rPr>
          <w:rFonts w:hint="eastAsia" w:ascii="仿宋" w:hAnsi="仿宋" w:eastAsia="仿宋" w:cs="仿宋"/>
          <w:color w:val="auto"/>
          <w:sz w:val="22"/>
          <w:szCs w:val="22"/>
          <w:u w:val="single" w:color="auto"/>
        </w:rPr>
        <w:t xml:space="preserve">               </w:t>
      </w:r>
    </w:p>
    <w:p w14:paraId="41F5656D">
      <w:pPr>
        <w:spacing w:before="182" w:line="219" w:lineRule="auto"/>
        <w:ind w:firstLine="4992" w:firstLineChars="2600"/>
        <w:rPr>
          <w:rFonts w:hint="eastAsia" w:ascii="仿宋" w:hAnsi="仿宋" w:eastAsia="仿宋" w:cs="仿宋"/>
          <w:color w:val="auto"/>
          <w:sz w:val="22"/>
          <w:szCs w:val="22"/>
        </w:rPr>
      </w:pPr>
      <w:r>
        <w:rPr>
          <w:rFonts w:hint="eastAsia" w:ascii="仿宋" w:hAnsi="仿宋" w:eastAsia="仿宋" w:cs="仿宋"/>
          <w:color w:val="auto"/>
          <w:spacing w:val="-14"/>
          <w:sz w:val="22"/>
          <w:szCs w:val="22"/>
        </w:rPr>
        <w:t>日</w:t>
      </w:r>
      <w:r>
        <w:rPr>
          <w:rFonts w:hint="eastAsia" w:ascii="仿宋" w:hAnsi="仿宋" w:eastAsia="仿宋" w:cs="仿宋"/>
          <w:color w:val="auto"/>
          <w:spacing w:val="-11"/>
          <w:sz w:val="22"/>
          <w:szCs w:val="22"/>
        </w:rPr>
        <w:t xml:space="preserve">          期：</w:t>
      </w:r>
      <w:r>
        <w:rPr>
          <w:rFonts w:hint="eastAsia" w:ascii="仿宋" w:hAnsi="仿宋" w:eastAsia="仿宋" w:cs="仿宋"/>
          <w:color w:val="auto"/>
          <w:sz w:val="22"/>
          <w:szCs w:val="22"/>
          <w:u w:val="single" w:color="auto"/>
        </w:rPr>
        <w:t xml:space="preserve">              </w:t>
      </w:r>
    </w:p>
    <w:p w14:paraId="78DBEE26">
      <w:pPr>
        <w:rPr>
          <w:rFonts w:hint="eastAsia" w:ascii="仿宋" w:hAnsi="仿宋" w:eastAsia="仿宋" w:cs="仿宋"/>
          <w:color w:val="auto"/>
          <w:sz w:val="22"/>
          <w:szCs w:val="22"/>
        </w:rPr>
        <w:sectPr>
          <w:footerReference r:id="rId18" w:type="default"/>
          <w:pgSz w:w="11912" w:h="16841"/>
          <w:pgMar w:top="1434" w:right="1740" w:bottom="1457" w:left="1630" w:header="0" w:footer="1293" w:gutter="0"/>
          <w:pgNumType w:fmt="decimal"/>
          <w:cols w:space="720" w:num="1"/>
        </w:sectPr>
      </w:pPr>
    </w:p>
    <w:p w14:paraId="726F6372">
      <w:pPr>
        <w:spacing w:before="78" w:line="218" w:lineRule="auto"/>
        <w:ind w:left="2959"/>
        <w:outlineLvl w:val="1"/>
        <w:rPr>
          <w:rFonts w:ascii="仿宋" w:hAnsi="仿宋" w:eastAsia="仿宋" w:cs="仿宋"/>
          <w:color w:val="auto"/>
          <w:sz w:val="24"/>
          <w:szCs w:val="24"/>
        </w:rPr>
      </w:pPr>
      <w:r>
        <w:rPr>
          <w:rFonts w:ascii="仿宋" w:hAnsi="仿宋" w:eastAsia="仿宋" w:cs="仿宋"/>
          <w:color w:val="auto"/>
          <w:spacing w:val="-4"/>
          <w:sz w:val="24"/>
          <w:szCs w:val="24"/>
          <w14:textOutline w14:w="4354" w14:cap="flat" w14:cmpd="sng">
            <w14:solidFill>
              <w14:srgbClr w14:val="000000"/>
            </w14:solidFill>
            <w14:prstDash w14:val="solid"/>
            <w14:miter w14:val="0"/>
          </w14:textOutline>
        </w:rPr>
        <w:t>四、法定代</w:t>
      </w:r>
      <w:r>
        <w:rPr>
          <w:rFonts w:ascii="仿宋" w:hAnsi="仿宋" w:eastAsia="仿宋" w:cs="仿宋"/>
          <w:color w:val="auto"/>
          <w:spacing w:val="-2"/>
          <w:sz w:val="24"/>
          <w:szCs w:val="24"/>
          <w14:textOutline w14:w="4354" w14:cap="flat" w14:cmpd="sng">
            <w14:solidFill>
              <w14:srgbClr w14:val="000000"/>
            </w14:solidFill>
            <w14:prstDash w14:val="solid"/>
            <w14:miter w14:val="0"/>
          </w14:textOutline>
        </w:rPr>
        <w:t>表人授权委托书</w:t>
      </w:r>
    </w:p>
    <w:p w14:paraId="58268BA5">
      <w:pPr>
        <w:spacing w:line="363" w:lineRule="auto"/>
        <w:rPr>
          <w:rFonts w:ascii="Arial"/>
          <w:color w:val="auto"/>
          <w:sz w:val="21"/>
        </w:rPr>
      </w:pPr>
    </w:p>
    <w:p w14:paraId="13E44091">
      <w:pPr>
        <w:spacing w:before="78" w:line="359" w:lineRule="auto"/>
        <w:ind w:firstLine="432" w:firstLineChars="200"/>
        <w:rPr>
          <w:rFonts w:hint="eastAsia" w:ascii="仿宋" w:hAnsi="仿宋" w:eastAsia="仿宋" w:cs="仿宋"/>
          <w:color w:val="auto"/>
          <w:sz w:val="22"/>
          <w:szCs w:val="22"/>
        </w:rPr>
      </w:pPr>
      <w:r>
        <w:rPr>
          <w:rFonts w:hint="eastAsia" w:ascii="仿宋" w:hAnsi="仿宋" w:eastAsia="仿宋" w:cs="仿宋"/>
          <w:color w:val="auto"/>
          <w:spacing w:val="-2"/>
          <w:sz w:val="22"/>
          <w:szCs w:val="22"/>
        </w:rPr>
        <w:t>本授权书声明：</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公司(工厂)(纳税人识别号：</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)的</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(法</w:t>
      </w:r>
      <w:r>
        <w:rPr>
          <w:rFonts w:hint="eastAsia" w:ascii="仿宋" w:hAnsi="仿宋" w:eastAsia="仿宋" w:cs="仿宋"/>
          <w:color w:val="auto"/>
          <w:spacing w:val="20"/>
          <w:sz w:val="22"/>
          <w:szCs w:val="22"/>
        </w:rPr>
        <w:t>人</w:t>
      </w:r>
      <w:r>
        <w:rPr>
          <w:rFonts w:hint="eastAsia" w:ascii="仿宋" w:hAnsi="仿宋" w:eastAsia="仿宋" w:cs="仿宋"/>
          <w:color w:val="auto"/>
          <w:spacing w:val="19"/>
          <w:sz w:val="22"/>
          <w:szCs w:val="22"/>
        </w:rPr>
        <w:t>代</w:t>
      </w:r>
      <w:r>
        <w:rPr>
          <w:rFonts w:hint="eastAsia" w:ascii="仿宋" w:hAnsi="仿宋" w:eastAsia="仿宋" w:cs="仿宋"/>
          <w:color w:val="auto"/>
          <w:spacing w:val="10"/>
          <w:sz w:val="22"/>
          <w:szCs w:val="22"/>
        </w:rPr>
        <w:t>表姓名、职务)代表本公司(工厂)授权本公司(工厂)</w:t>
      </w:r>
      <w:r>
        <w:rPr>
          <w:rFonts w:hint="eastAsia" w:ascii="仿宋" w:hAnsi="仿宋" w:eastAsia="仿宋" w:cs="仿宋"/>
          <w:color w:val="auto"/>
          <w:spacing w:val="10"/>
          <w:sz w:val="22"/>
          <w:szCs w:val="22"/>
          <w:u w:val="single" w:color="auto"/>
        </w:rPr>
        <w:t xml:space="preserve">          </w:t>
      </w:r>
      <w:r>
        <w:rPr>
          <w:rFonts w:hint="eastAsia" w:ascii="仿宋" w:hAnsi="仿宋" w:eastAsia="仿宋" w:cs="仿宋"/>
          <w:color w:val="auto"/>
          <w:spacing w:val="10"/>
          <w:sz w:val="22"/>
          <w:szCs w:val="22"/>
        </w:rPr>
        <w:t>(被授权人的</w:t>
      </w:r>
      <w:r>
        <w:rPr>
          <w:rFonts w:hint="eastAsia" w:ascii="仿宋" w:hAnsi="仿宋" w:eastAsia="仿宋" w:cs="仿宋"/>
          <w:color w:val="auto"/>
          <w:spacing w:val="-4"/>
          <w:sz w:val="22"/>
          <w:szCs w:val="22"/>
        </w:rPr>
        <w:t>姓名、职务)为本公</w:t>
      </w:r>
      <w:r>
        <w:rPr>
          <w:rFonts w:hint="eastAsia" w:ascii="仿宋" w:hAnsi="仿宋" w:eastAsia="仿宋" w:cs="仿宋"/>
          <w:color w:val="auto"/>
          <w:spacing w:val="-3"/>
          <w:sz w:val="22"/>
          <w:szCs w:val="22"/>
        </w:rPr>
        <w:t>司</w:t>
      </w:r>
      <w:r>
        <w:rPr>
          <w:rFonts w:hint="eastAsia" w:ascii="仿宋" w:hAnsi="仿宋" w:eastAsia="仿宋" w:cs="仿宋"/>
          <w:color w:val="auto"/>
          <w:spacing w:val="-2"/>
          <w:sz w:val="22"/>
          <w:szCs w:val="22"/>
        </w:rPr>
        <w:t>(工厂)的合法代理人，参加</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2"/>
          <w:sz w:val="22"/>
          <w:szCs w:val="22"/>
        </w:rPr>
        <w:t>采购项目</w:t>
      </w:r>
      <w:r>
        <w:rPr>
          <w:rFonts w:hint="eastAsia" w:ascii="仿宋" w:hAnsi="仿宋" w:eastAsia="仿宋" w:cs="仿宋"/>
          <w:color w:val="auto"/>
          <w:spacing w:val="-4"/>
          <w:sz w:val="22"/>
          <w:szCs w:val="22"/>
        </w:rPr>
        <w:t>活动(项目编号</w:t>
      </w:r>
      <w:r>
        <w:rPr>
          <w:rFonts w:hint="eastAsia" w:ascii="仿宋" w:hAnsi="仿宋" w:eastAsia="仿宋" w:cs="仿宋"/>
          <w:color w:val="auto"/>
          <w:spacing w:val="-4"/>
          <w:sz w:val="22"/>
          <w:szCs w:val="22"/>
          <w:u w:val="none" w:color="auto"/>
        </w:rPr>
        <w:t>：</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2"/>
          <w:sz w:val="22"/>
          <w:szCs w:val="22"/>
        </w:rPr>
        <w:t>)</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全权代表本公司处理投标过程的一切事宜，包括</w:t>
      </w:r>
      <w:r>
        <w:rPr>
          <w:rFonts w:hint="eastAsia" w:ascii="仿宋" w:hAnsi="仿宋" w:eastAsia="仿宋" w:cs="仿宋"/>
          <w:color w:val="auto"/>
          <w:spacing w:val="-1"/>
          <w:sz w:val="22"/>
          <w:szCs w:val="22"/>
        </w:rPr>
        <w:t>但不限于：征集响应、参与文件澄清、谈判、签约等</w:t>
      </w:r>
      <w:r>
        <w:rPr>
          <w:rFonts w:hint="eastAsia" w:ascii="仿宋" w:hAnsi="仿宋" w:eastAsia="仿宋" w:cs="仿宋"/>
          <w:color w:val="auto"/>
          <w:sz w:val="22"/>
          <w:szCs w:val="22"/>
          <w:lang w:eastAsia="zh-CN"/>
        </w:rPr>
        <w:t>。供应商授权代表</w:t>
      </w:r>
      <w:r>
        <w:rPr>
          <w:rFonts w:hint="eastAsia" w:ascii="仿宋" w:hAnsi="仿宋" w:eastAsia="仿宋" w:cs="仿宋"/>
          <w:color w:val="auto"/>
          <w:sz w:val="22"/>
          <w:szCs w:val="22"/>
        </w:rPr>
        <w:t>在</w:t>
      </w:r>
      <w:r>
        <w:rPr>
          <w:rFonts w:hint="eastAsia" w:ascii="仿宋" w:hAnsi="仿宋" w:eastAsia="仿宋" w:cs="仿宋"/>
          <w:color w:val="auto"/>
          <w:sz w:val="22"/>
          <w:szCs w:val="22"/>
          <w:lang w:val="en-US" w:eastAsia="zh-CN"/>
        </w:rPr>
        <w:t>响应</w:t>
      </w:r>
      <w:r>
        <w:rPr>
          <w:rFonts w:hint="eastAsia" w:ascii="仿宋" w:hAnsi="仿宋" w:eastAsia="仿宋" w:cs="仿宋"/>
          <w:color w:val="auto"/>
          <w:sz w:val="22"/>
          <w:szCs w:val="22"/>
        </w:rPr>
        <w:t>过程中所签署的一切</w:t>
      </w:r>
      <w:r>
        <w:rPr>
          <w:rFonts w:hint="eastAsia" w:ascii="仿宋" w:hAnsi="仿宋" w:eastAsia="仿宋" w:cs="仿宋"/>
          <w:color w:val="auto"/>
          <w:spacing w:val="-1"/>
          <w:sz w:val="22"/>
          <w:szCs w:val="22"/>
        </w:rPr>
        <w:t>文件和处理与之有关的一切事务，本公司均予以认可并对此承担责</w:t>
      </w:r>
      <w:r>
        <w:rPr>
          <w:rFonts w:hint="eastAsia" w:ascii="仿宋" w:hAnsi="仿宋" w:eastAsia="仿宋" w:cs="仿宋"/>
          <w:color w:val="auto"/>
          <w:sz w:val="22"/>
          <w:szCs w:val="22"/>
        </w:rPr>
        <w:t>任。被授权人无转</w:t>
      </w:r>
      <w:r>
        <w:rPr>
          <w:rFonts w:hint="eastAsia" w:ascii="仿宋" w:hAnsi="仿宋" w:eastAsia="仿宋" w:cs="仿宋"/>
          <w:color w:val="auto"/>
          <w:spacing w:val="-8"/>
          <w:sz w:val="22"/>
          <w:szCs w:val="22"/>
        </w:rPr>
        <w:t>委</w:t>
      </w:r>
      <w:r>
        <w:rPr>
          <w:rFonts w:hint="eastAsia" w:ascii="仿宋" w:hAnsi="仿宋" w:eastAsia="仿宋" w:cs="仿宋"/>
          <w:color w:val="auto"/>
          <w:spacing w:val="-7"/>
          <w:sz w:val="22"/>
          <w:szCs w:val="22"/>
        </w:rPr>
        <w:t>托</w:t>
      </w:r>
      <w:r>
        <w:rPr>
          <w:rFonts w:hint="eastAsia" w:ascii="仿宋" w:hAnsi="仿宋" w:eastAsia="仿宋" w:cs="仿宋"/>
          <w:color w:val="auto"/>
          <w:spacing w:val="-4"/>
          <w:sz w:val="22"/>
          <w:szCs w:val="22"/>
        </w:rPr>
        <w:t>权。特此授权。</w:t>
      </w:r>
    </w:p>
    <w:p w14:paraId="7897566A">
      <w:pPr>
        <w:spacing w:line="465" w:lineRule="exact"/>
        <w:ind w:left="646"/>
        <w:rPr>
          <w:rFonts w:hint="eastAsia" w:ascii="仿宋" w:hAnsi="仿宋" w:eastAsia="仿宋" w:cs="仿宋"/>
          <w:color w:val="auto"/>
          <w:sz w:val="22"/>
          <w:szCs w:val="22"/>
        </w:rPr>
      </w:pPr>
      <w:r>
        <w:rPr>
          <w:rFonts w:hint="eastAsia" w:ascii="仿宋" w:hAnsi="仿宋" w:eastAsia="仿宋" w:cs="仿宋"/>
          <w:color w:val="auto"/>
          <w:spacing w:val="-6"/>
          <w:position w:val="17"/>
          <w:sz w:val="22"/>
          <w:szCs w:val="22"/>
        </w:rPr>
        <w:t>本授</w:t>
      </w:r>
      <w:r>
        <w:rPr>
          <w:rFonts w:hint="eastAsia" w:ascii="仿宋" w:hAnsi="仿宋" w:eastAsia="仿宋" w:cs="仿宋"/>
          <w:color w:val="auto"/>
          <w:spacing w:val="-3"/>
          <w:position w:val="17"/>
          <w:sz w:val="22"/>
          <w:szCs w:val="22"/>
        </w:rPr>
        <w:t>权书自出具之日起生效。</w:t>
      </w:r>
    </w:p>
    <w:p w14:paraId="0333B233">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10"/>
          <w:sz w:val="22"/>
          <w:szCs w:val="22"/>
        </w:rPr>
        <w:t>特</w:t>
      </w:r>
      <w:r>
        <w:rPr>
          <w:rFonts w:hint="eastAsia" w:ascii="仿宋" w:hAnsi="仿宋" w:eastAsia="仿宋" w:cs="仿宋"/>
          <w:color w:val="auto"/>
          <w:spacing w:val="-7"/>
          <w:sz w:val="22"/>
          <w:szCs w:val="22"/>
        </w:rPr>
        <w:t>此声明。</w:t>
      </w:r>
    </w:p>
    <w:p w14:paraId="282DD57A">
      <w:pPr>
        <w:spacing w:line="285" w:lineRule="auto"/>
        <w:rPr>
          <w:rFonts w:hint="eastAsia" w:ascii="仿宋" w:hAnsi="仿宋" w:eastAsia="仿宋" w:cs="仿宋"/>
          <w:color w:val="auto"/>
          <w:sz w:val="22"/>
          <w:szCs w:val="22"/>
        </w:rPr>
      </w:pPr>
    </w:p>
    <w:p w14:paraId="687F10CB">
      <w:pPr>
        <w:spacing w:line="285" w:lineRule="auto"/>
        <w:rPr>
          <w:rFonts w:hint="eastAsia" w:ascii="仿宋" w:hAnsi="仿宋" w:eastAsia="仿宋" w:cs="仿宋"/>
          <w:color w:val="auto"/>
          <w:sz w:val="22"/>
          <w:szCs w:val="22"/>
        </w:rPr>
      </w:pPr>
    </w:p>
    <w:p w14:paraId="1A07030D">
      <w:pPr>
        <w:spacing w:before="78" w:line="358" w:lineRule="auto"/>
        <w:ind w:left="653"/>
        <w:rPr>
          <w:rFonts w:hint="eastAsia" w:ascii="仿宋" w:hAnsi="仿宋" w:eastAsia="仿宋" w:cs="仿宋"/>
          <w:color w:val="auto"/>
          <w:sz w:val="22"/>
          <w:szCs w:val="22"/>
        </w:rPr>
      </w:pPr>
      <w:r>
        <w:rPr>
          <w:rFonts w:hint="eastAsia" w:ascii="仿宋" w:hAnsi="仿宋" w:eastAsia="仿宋" w:cs="仿宋"/>
          <w:color w:val="auto"/>
          <w:spacing w:val="-15"/>
          <w:sz w:val="22"/>
          <w:szCs w:val="22"/>
        </w:rPr>
        <w:t>法</w:t>
      </w:r>
      <w:r>
        <w:rPr>
          <w:rFonts w:hint="eastAsia" w:ascii="仿宋" w:hAnsi="仿宋" w:eastAsia="仿宋" w:cs="仿宋"/>
          <w:color w:val="auto"/>
          <w:spacing w:val="-9"/>
          <w:sz w:val="22"/>
          <w:szCs w:val="22"/>
        </w:rPr>
        <w:t>定代表人联系方式：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z w:val="22"/>
          <w:szCs w:val="22"/>
          <w:u w:val="single" w:color="auto"/>
        </w:rPr>
        <w:t xml:space="preserve">        </w:t>
      </w:r>
    </w:p>
    <w:p w14:paraId="12E52ECA">
      <w:pPr>
        <w:spacing w:line="218" w:lineRule="auto"/>
        <w:ind w:left="645"/>
        <w:rPr>
          <w:rFonts w:hint="eastAsia" w:ascii="仿宋" w:hAnsi="仿宋" w:eastAsia="仿宋" w:cs="仿宋"/>
          <w:color w:val="auto"/>
          <w:sz w:val="22"/>
          <w:szCs w:val="22"/>
        </w:rPr>
      </w:pPr>
      <w:r>
        <w:rPr>
          <w:rFonts w:hint="eastAsia" w:ascii="仿宋" w:hAnsi="仿宋" w:eastAsia="仿宋" w:cs="仿宋"/>
          <w:color w:val="auto"/>
          <w:spacing w:val="-9"/>
          <w:sz w:val="22"/>
          <w:szCs w:val="22"/>
        </w:rPr>
        <w:t>授权委托人联系方式：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pacing w:val="-8"/>
          <w:sz w:val="22"/>
          <w:szCs w:val="22"/>
          <w:u w:val="single" w:color="auto"/>
        </w:rPr>
        <w:t>)</w:t>
      </w:r>
      <w:r>
        <w:rPr>
          <w:rFonts w:hint="eastAsia" w:ascii="仿宋" w:hAnsi="仿宋" w:eastAsia="仿宋" w:cs="仿宋"/>
          <w:color w:val="auto"/>
          <w:sz w:val="22"/>
          <w:szCs w:val="22"/>
          <w:u w:val="single" w:color="auto"/>
        </w:rPr>
        <w:t xml:space="preserve">        </w:t>
      </w:r>
    </w:p>
    <w:p w14:paraId="32EF7EE4">
      <w:pPr>
        <w:spacing w:line="284" w:lineRule="auto"/>
        <w:rPr>
          <w:rFonts w:hint="eastAsia" w:ascii="仿宋" w:hAnsi="仿宋" w:eastAsia="仿宋" w:cs="仿宋"/>
          <w:color w:val="auto"/>
          <w:sz w:val="22"/>
          <w:szCs w:val="22"/>
        </w:rPr>
      </w:pPr>
    </w:p>
    <w:p w14:paraId="2259F79F">
      <w:pPr>
        <w:spacing w:line="284" w:lineRule="auto"/>
        <w:rPr>
          <w:rFonts w:hint="eastAsia" w:ascii="仿宋" w:hAnsi="仿宋" w:eastAsia="仿宋" w:cs="仿宋"/>
          <w:color w:val="auto"/>
          <w:sz w:val="22"/>
          <w:szCs w:val="22"/>
        </w:rPr>
      </w:pPr>
    </w:p>
    <w:p w14:paraId="6198D9E7">
      <w:pPr>
        <w:spacing w:before="78" w:line="218" w:lineRule="auto"/>
        <w:ind w:left="653"/>
        <w:rPr>
          <w:rFonts w:hint="eastAsia" w:ascii="仿宋" w:hAnsi="仿宋" w:eastAsia="仿宋" w:cs="仿宋"/>
          <w:color w:val="auto"/>
          <w:sz w:val="22"/>
          <w:szCs w:val="22"/>
        </w:rPr>
      </w:pPr>
      <w:r>
        <w:rPr>
          <w:rFonts w:hint="eastAsia" w:ascii="仿宋" w:hAnsi="仿宋" w:eastAsia="仿宋" w:cs="仿宋"/>
          <w:color w:val="auto"/>
          <w:spacing w:val="-27"/>
          <w:sz w:val="22"/>
          <w:szCs w:val="22"/>
        </w:rPr>
        <w:t>法</w:t>
      </w:r>
      <w:r>
        <w:rPr>
          <w:rFonts w:hint="eastAsia" w:ascii="仿宋" w:hAnsi="仿宋" w:eastAsia="仿宋" w:cs="仿宋"/>
          <w:color w:val="auto"/>
          <w:spacing w:val="-19"/>
          <w:sz w:val="22"/>
          <w:szCs w:val="22"/>
        </w:rPr>
        <w:t>人代表签字或盖章：</w:t>
      </w:r>
      <w:r>
        <w:rPr>
          <w:rFonts w:hint="eastAsia" w:ascii="仿宋" w:hAnsi="仿宋" w:eastAsia="仿宋" w:cs="仿宋"/>
          <w:color w:val="auto"/>
          <w:sz w:val="22"/>
          <w:szCs w:val="22"/>
          <w:u w:val="single" w:color="auto"/>
        </w:rPr>
        <w:t xml:space="preserve">                     </w:t>
      </w:r>
    </w:p>
    <w:p w14:paraId="55220315">
      <w:pPr>
        <w:spacing w:before="185" w:line="358" w:lineRule="auto"/>
        <w:ind w:left="650"/>
        <w:rPr>
          <w:rFonts w:hint="eastAsia" w:ascii="仿宋" w:hAnsi="仿宋" w:eastAsia="仿宋" w:cs="仿宋"/>
          <w:color w:val="auto"/>
          <w:sz w:val="22"/>
          <w:szCs w:val="22"/>
        </w:rPr>
      </w:pPr>
      <w:r>
        <w:rPr>
          <w:rFonts w:hint="eastAsia" w:ascii="仿宋" w:hAnsi="仿宋" w:eastAsia="仿宋" w:cs="仿宋"/>
          <w:color w:val="auto"/>
          <w:spacing w:val="3"/>
          <w:sz w:val="22"/>
          <w:szCs w:val="22"/>
        </w:rPr>
        <w:t>代理人(被授权人)签字或盖章：</w:t>
      </w:r>
      <w:r>
        <w:rPr>
          <w:rFonts w:hint="eastAsia" w:ascii="仿宋" w:hAnsi="仿宋" w:eastAsia="仿宋" w:cs="仿宋"/>
          <w:color w:val="auto"/>
          <w:sz w:val="22"/>
          <w:szCs w:val="22"/>
          <w:u w:val="single" w:color="auto"/>
        </w:rPr>
        <w:t xml:space="preserve">               </w:t>
      </w:r>
    </w:p>
    <w:p w14:paraId="11383837">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28"/>
          <w:sz w:val="22"/>
          <w:szCs w:val="22"/>
        </w:rPr>
        <w:t>投</w:t>
      </w:r>
      <w:r>
        <w:rPr>
          <w:rFonts w:hint="eastAsia" w:ascii="仿宋" w:hAnsi="仿宋" w:eastAsia="仿宋" w:cs="仿宋"/>
          <w:color w:val="auto"/>
          <w:spacing w:val="-23"/>
          <w:sz w:val="22"/>
          <w:szCs w:val="22"/>
        </w:rPr>
        <w:t>标人电子签章：</w:t>
      </w:r>
      <w:r>
        <w:rPr>
          <w:rFonts w:hint="eastAsia" w:ascii="仿宋" w:hAnsi="仿宋" w:eastAsia="仿宋" w:cs="仿宋"/>
          <w:color w:val="auto"/>
          <w:sz w:val="22"/>
          <w:szCs w:val="22"/>
          <w:u w:val="single" w:color="auto"/>
        </w:rPr>
        <w:t xml:space="preserve">                        </w:t>
      </w:r>
    </w:p>
    <w:p w14:paraId="5FF59C9C">
      <w:pPr>
        <w:spacing w:before="184" w:line="218" w:lineRule="auto"/>
        <w:ind w:left="645"/>
        <w:rPr>
          <w:rFonts w:hint="eastAsia" w:ascii="仿宋" w:hAnsi="仿宋" w:eastAsia="仿宋" w:cs="仿宋"/>
          <w:color w:val="auto"/>
          <w:sz w:val="22"/>
          <w:szCs w:val="22"/>
        </w:rPr>
      </w:pPr>
      <w:r>
        <w:rPr>
          <w:rFonts w:hint="eastAsia" w:ascii="仿宋" w:hAnsi="仿宋" w:eastAsia="仿宋" w:cs="仿宋"/>
          <w:color w:val="auto"/>
          <w:spacing w:val="-28"/>
          <w:sz w:val="22"/>
          <w:szCs w:val="22"/>
        </w:rPr>
        <w:t>授</w:t>
      </w:r>
      <w:r>
        <w:rPr>
          <w:rFonts w:hint="eastAsia" w:ascii="仿宋" w:hAnsi="仿宋" w:eastAsia="仿宋" w:cs="仿宋"/>
          <w:color w:val="auto"/>
          <w:spacing w:val="-27"/>
          <w:sz w:val="22"/>
          <w:szCs w:val="22"/>
        </w:rPr>
        <w:t>权委托日期：</w:t>
      </w:r>
      <w:r>
        <w:rPr>
          <w:rFonts w:hint="eastAsia" w:ascii="仿宋" w:hAnsi="仿宋" w:eastAsia="仿宋" w:cs="仿宋"/>
          <w:color w:val="auto"/>
          <w:sz w:val="22"/>
          <w:szCs w:val="22"/>
          <w:u w:val="single" w:color="auto"/>
        </w:rPr>
        <w:t xml:space="preserve">                  </w:t>
      </w:r>
    </w:p>
    <w:p w14:paraId="706AFEEC">
      <w:pPr>
        <w:spacing w:line="317" w:lineRule="auto"/>
        <w:rPr>
          <w:rFonts w:hint="eastAsia" w:ascii="仿宋" w:hAnsi="仿宋" w:eastAsia="仿宋" w:cs="仿宋"/>
          <w:color w:val="auto"/>
          <w:sz w:val="22"/>
          <w:szCs w:val="22"/>
        </w:rPr>
      </w:pPr>
    </w:p>
    <w:p w14:paraId="57B94035">
      <w:pPr>
        <w:spacing w:line="318" w:lineRule="auto"/>
        <w:rPr>
          <w:rFonts w:hint="eastAsia" w:ascii="仿宋" w:hAnsi="仿宋" w:eastAsia="仿宋" w:cs="仿宋"/>
          <w:color w:val="auto"/>
          <w:sz w:val="22"/>
          <w:szCs w:val="22"/>
        </w:rPr>
      </w:pPr>
    </w:p>
    <w:p w14:paraId="4DFD4680">
      <w:pPr>
        <w:spacing w:before="79" w:line="226" w:lineRule="auto"/>
        <w:ind w:left="6"/>
        <w:rPr>
          <w:rFonts w:hint="eastAsia" w:ascii="仿宋" w:hAnsi="仿宋" w:eastAsia="仿宋" w:cs="仿宋"/>
          <w:color w:val="auto"/>
          <w:sz w:val="22"/>
          <w:szCs w:val="22"/>
        </w:rPr>
      </w:pPr>
      <w:r>
        <w:rPr>
          <w:rFonts w:hint="eastAsia" w:ascii="仿宋" w:hAnsi="仿宋" w:eastAsia="仿宋" w:cs="仿宋"/>
          <w:color w:val="auto"/>
          <w:spacing w:val="-20"/>
          <w:sz w:val="22"/>
          <w:szCs w:val="22"/>
        </w:rPr>
        <w:t>注</w:t>
      </w:r>
      <w:r>
        <w:rPr>
          <w:rFonts w:hint="eastAsia" w:ascii="仿宋" w:hAnsi="仿宋" w:eastAsia="仿宋" w:cs="仿宋"/>
          <w:color w:val="auto"/>
          <w:spacing w:val="-19"/>
          <w:sz w:val="22"/>
          <w:szCs w:val="22"/>
        </w:rPr>
        <w:t>：</w:t>
      </w:r>
    </w:p>
    <w:p w14:paraId="0044F2D4">
      <w:pPr>
        <w:spacing w:line="253" w:lineRule="auto"/>
        <w:rPr>
          <w:rFonts w:hint="eastAsia" w:ascii="仿宋" w:hAnsi="仿宋" w:eastAsia="仿宋" w:cs="仿宋"/>
          <w:color w:val="auto"/>
          <w:sz w:val="22"/>
          <w:szCs w:val="22"/>
        </w:rPr>
      </w:pPr>
    </w:p>
    <w:p w14:paraId="7D581B2B">
      <w:pPr>
        <w:spacing w:before="78" w:line="218" w:lineRule="auto"/>
        <w:ind w:left="661"/>
        <w:rPr>
          <w:rFonts w:hint="eastAsia" w:ascii="仿宋" w:hAnsi="仿宋" w:eastAsia="仿宋" w:cs="仿宋"/>
          <w:color w:val="auto"/>
          <w:sz w:val="22"/>
          <w:szCs w:val="22"/>
        </w:rPr>
      </w:pPr>
      <w:r>
        <w:rPr>
          <w:rFonts w:hint="eastAsia" w:ascii="仿宋" w:hAnsi="仿宋" w:eastAsia="仿宋" w:cs="仿宋"/>
          <w:color w:val="auto"/>
          <w:spacing w:val="-2"/>
          <w:sz w:val="22"/>
          <w:szCs w:val="22"/>
        </w:rPr>
        <w:t>1.本项目只允许有唯一的投标人授权代表，提供身</w:t>
      </w:r>
      <w:r>
        <w:rPr>
          <w:rFonts w:hint="eastAsia" w:ascii="仿宋" w:hAnsi="仿宋" w:eastAsia="仿宋" w:cs="仿宋"/>
          <w:color w:val="auto"/>
          <w:spacing w:val="-1"/>
          <w:sz w:val="22"/>
          <w:szCs w:val="22"/>
        </w:rPr>
        <w:t>份证明扫描件；</w:t>
      </w:r>
    </w:p>
    <w:p w14:paraId="6A1775CF">
      <w:pPr>
        <w:spacing w:line="263" w:lineRule="auto"/>
        <w:rPr>
          <w:rFonts w:hint="eastAsia" w:ascii="仿宋" w:hAnsi="仿宋" w:eastAsia="仿宋" w:cs="仿宋"/>
          <w:color w:val="auto"/>
          <w:sz w:val="22"/>
          <w:szCs w:val="22"/>
        </w:rPr>
      </w:pPr>
    </w:p>
    <w:p w14:paraId="0D6B28EA">
      <w:pPr>
        <w:spacing w:before="78" w:line="218" w:lineRule="auto"/>
        <w:ind w:left="648"/>
        <w:rPr>
          <w:rFonts w:hint="eastAsia" w:ascii="仿宋" w:hAnsi="仿宋" w:eastAsia="仿宋" w:cs="仿宋"/>
          <w:color w:val="auto"/>
          <w:sz w:val="22"/>
          <w:szCs w:val="22"/>
        </w:rPr>
      </w:pPr>
      <w:r>
        <w:rPr>
          <w:rFonts w:hint="eastAsia" w:ascii="仿宋" w:hAnsi="仿宋" w:eastAsia="仿宋" w:cs="仿宋"/>
          <w:color w:val="auto"/>
          <w:spacing w:val="-8"/>
          <w:sz w:val="22"/>
          <w:szCs w:val="22"/>
        </w:rPr>
        <w:t>2</w:t>
      </w:r>
      <w:r>
        <w:rPr>
          <w:rFonts w:hint="eastAsia" w:ascii="仿宋" w:hAnsi="仿宋" w:eastAsia="仿宋" w:cs="仿宋"/>
          <w:color w:val="auto"/>
          <w:spacing w:val="-5"/>
          <w:sz w:val="22"/>
          <w:szCs w:val="22"/>
        </w:rPr>
        <w:t>.</w:t>
      </w:r>
      <w:r>
        <w:rPr>
          <w:rFonts w:hint="eastAsia" w:ascii="仿宋" w:hAnsi="仿宋" w:eastAsia="仿宋" w:cs="仿宋"/>
          <w:color w:val="auto"/>
          <w:spacing w:val="-4"/>
          <w:sz w:val="22"/>
          <w:szCs w:val="22"/>
        </w:rPr>
        <w:t xml:space="preserve"> 法定代表人参加投标的无需提供授权书，提供身份证明扫描件。</w:t>
      </w:r>
    </w:p>
    <w:p w14:paraId="7B74E98E">
      <w:pPr>
        <w:rPr>
          <w:color w:val="auto"/>
        </w:rPr>
        <w:sectPr>
          <w:footerReference r:id="rId19" w:type="default"/>
          <w:pgSz w:w="11912" w:h="16841"/>
          <w:pgMar w:top="1434" w:right="1437" w:bottom="1457" w:left="1595" w:header="0" w:footer="1293" w:gutter="0"/>
          <w:pgNumType w:fmt="decimal"/>
          <w:cols w:space="720" w:num="1"/>
        </w:sectPr>
      </w:pPr>
    </w:p>
    <w:p w14:paraId="268CB49B">
      <w:pPr>
        <w:spacing w:before="78" w:line="218" w:lineRule="auto"/>
        <w:ind w:left="3459"/>
        <w:rPr>
          <w:rFonts w:ascii="仿宋" w:hAnsi="仿宋" w:eastAsia="仿宋" w:cs="仿宋"/>
          <w:b/>
          <w:bCs/>
          <w:color w:val="auto"/>
          <w:sz w:val="24"/>
          <w:szCs w:val="24"/>
        </w:rPr>
      </w:pPr>
      <w:r>
        <w:rPr>
          <w:rFonts w:ascii="仿宋" w:hAnsi="仿宋" w:eastAsia="仿宋" w:cs="仿宋"/>
          <w:b/>
          <w:bCs/>
          <w:color w:val="auto"/>
          <w:spacing w:val="-18"/>
          <w:sz w:val="24"/>
          <w:szCs w:val="24"/>
        </w:rPr>
        <w:t>五、</w:t>
      </w:r>
      <w:r>
        <w:rPr>
          <w:rFonts w:hint="eastAsia" w:ascii="仿宋" w:hAnsi="仿宋" w:eastAsia="仿宋" w:cs="仿宋"/>
          <w:b/>
          <w:bCs/>
          <w:color w:val="auto"/>
          <w:spacing w:val="-18"/>
          <w:sz w:val="24"/>
          <w:szCs w:val="24"/>
          <w:lang w:val="en-US" w:eastAsia="zh-CN"/>
        </w:rPr>
        <w:t>商务</w:t>
      </w:r>
      <w:r>
        <w:rPr>
          <w:rFonts w:ascii="仿宋" w:hAnsi="仿宋" w:eastAsia="仿宋" w:cs="仿宋"/>
          <w:b/>
          <w:bCs/>
          <w:color w:val="auto"/>
          <w:spacing w:val="-2"/>
          <w:sz w:val="24"/>
          <w:szCs w:val="24"/>
        </w:rPr>
        <w:t>响应表</w:t>
      </w:r>
    </w:p>
    <w:p w14:paraId="19005F81">
      <w:pPr>
        <w:spacing w:before="167" w:line="219" w:lineRule="auto"/>
        <w:rPr>
          <w:rFonts w:hint="eastAsia" w:ascii="仿宋" w:hAnsi="仿宋" w:eastAsia="仿宋" w:cs="仿宋"/>
          <w:color w:val="auto"/>
          <w:sz w:val="22"/>
          <w:szCs w:val="22"/>
        </w:rPr>
      </w:pPr>
      <w:r>
        <w:rPr>
          <w:rFonts w:hint="eastAsia" w:ascii="仿宋" w:hAnsi="仿宋" w:eastAsia="仿宋" w:cs="仿宋"/>
          <w:color w:val="auto"/>
          <w:spacing w:val="1"/>
          <w:sz w:val="22"/>
          <w:szCs w:val="22"/>
          <w14:textOutline w14:w="3831" w14:cap="flat" w14:cmpd="sng">
            <w14:solidFill>
              <w14:srgbClr w14:val="000000"/>
            </w14:solidFill>
            <w14:prstDash w14:val="solid"/>
            <w14:miter w14:val="0"/>
          </w14:textOutline>
        </w:rPr>
        <w:t>6.1</w:t>
      </w:r>
      <w:r>
        <w:rPr>
          <w:rFonts w:hint="eastAsia" w:ascii="仿宋" w:hAnsi="仿宋" w:eastAsia="仿宋" w:cs="仿宋"/>
          <w:color w:val="auto"/>
          <w:spacing w:val="1"/>
          <w:sz w:val="22"/>
          <w:szCs w:val="22"/>
          <w14:textOutline w14:w="4354" w14:cap="flat" w14:cmpd="sng">
            <w14:solidFill>
              <w14:srgbClr w14:val="000000"/>
            </w14:solidFill>
            <w14:prstDash w14:val="solid"/>
            <w14:miter w14:val="0"/>
          </w14:textOutline>
        </w:rPr>
        <w:t>商务</w:t>
      </w:r>
      <w:r>
        <w:rPr>
          <w:rFonts w:hint="eastAsia" w:ascii="仿宋" w:hAnsi="仿宋" w:eastAsia="仿宋" w:cs="仿宋"/>
          <w:color w:val="auto"/>
          <w:sz w:val="22"/>
          <w:szCs w:val="22"/>
          <w14:textOutline w14:w="4354" w14:cap="flat" w14:cmpd="sng">
            <w14:solidFill>
              <w14:srgbClr w14:val="000000"/>
            </w14:solidFill>
            <w14:prstDash w14:val="solid"/>
            <w14:miter w14:val="0"/>
          </w14:textOutline>
        </w:rPr>
        <w:t>响应表</w:t>
      </w:r>
    </w:p>
    <w:p w14:paraId="46614112">
      <w:pPr>
        <w:rPr>
          <w:rFonts w:hint="eastAsia" w:ascii="仿宋" w:hAnsi="仿宋" w:eastAsia="仿宋" w:cs="仿宋"/>
          <w:color w:val="auto"/>
          <w:sz w:val="22"/>
          <w:szCs w:val="22"/>
        </w:rPr>
      </w:pPr>
    </w:p>
    <w:p w14:paraId="7DC9C0D2">
      <w:pPr>
        <w:spacing w:line="191" w:lineRule="exact"/>
        <w:rPr>
          <w:rFonts w:hint="eastAsia" w:ascii="仿宋" w:hAnsi="仿宋" w:eastAsia="仿宋" w:cs="仿宋"/>
          <w:color w:val="auto"/>
          <w:sz w:val="22"/>
          <w:szCs w:val="22"/>
        </w:rPr>
      </w:pPr>
    </w:p>
    <w:tbl>
      <w:tblPr>
        <w:tblStyle w:val="15"/>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914"/>
        <w:gridCol w:w="2497"/>
        <w:gridCol w:w="2577"/>
        <w:gridCol w:w="818"/>
      </w:tblGrid>
      <w:tr w14:paraId="46DA4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29" w:type="dxa"/>
            <w:textDirection w:val="tbRlV"/>
            <w:vAlign w:val="top"/>
          </w:tcPr>
          <w:p w14:paraId="7F7CDF29">
            <w:pPr>
              <w:spacing w:before="181" w:line="202" w:lineRule="auto"/>
              <w:ind w:left="196"/>
              <w:rPr>
                <w:rFonts w:hint="eastAsia" w:ascii="仿宋" w:hAnsi="仿宋" w:eastAsia="仿宋" w:cs="仿宋"/>
                <w:color w:val="auto"/>
                <w:sz w:val="22"/>
                <w:szCs w:val="22"/>
              </w:rPr>
            </w:pPr>
            <w:r>
              <w:rPr>
                <w:rFonts w:hint="eastAsia" w:ascii="仿宋" w:hAnsi="仿宋" w:eastAsia="仿宋" w:cs="仿宋"/>
                <w:color w:val="auto"/>
                <w:spacing w:val="-19"/>
                <w:sz w:val="22"/>
                <w:szCs w:val="22"/>
                <w14:textOutline w14:w="4354" w14:cap="flat" w14:cmpd="sng">
                  <w14:solidFill>
                    <w14:srgbClr w14:val="000000"/>
                  </w14:solidFill>
                  <w14:prstDash w14:val="solid"/>
                  <w14:miter w14:val="0"/>
                </w14:textOutline>
              </w:rPr>
              <w:t>序</w:t>
            </w:r>
            <w:r>
              <w:rPr>
                <w:rFonts w:hint="eastAsia" w:ascii="仿宋" w:hAnsi="仿宋" w:eastAsia="仿宋" w:cs="仿宋"/>
                <w:color w:val="auto"/>
                <w:spacing w:val="-16"/>
                <w:sz w:val="22"/>
                <w:szCs w:val="22"/>
                <w14:textOutline w14:w="4354" w14:cap="flat" w14:cmpd="sng">
                  <w14:solidFill>
                    <w14:srgbClr w14:val="000000"/>
                  </w14:solidFill>
                  <w14:prstDash w14:val="solid"/>
                  <w14:miter w14:val="0"/>
                </w14:textOutline>
              </w:rPr>
              <w:t>号</w:t>
            </w:r>
          </w:p>
        </w:tc>
        <w:tc>
          <w:tcPr>
            <w:tcW w:w="1914" w:type="dxa"/>
            <w:vAlign w:val="top"/>
          </w:tcPr>
          <w:p w14:paraId="0272AB5F">
            <w:pPr>
              <w:spacing w:before="196" w:line="219" w:lineRule="auto"/>
              <w:ind w:left="550"/>
              <w:rPr>
                <w:rFonts w:hint="eastAsia" w:ascii="仿宋" w:hAnsi="仿宋" w:eastAsia="仿宋" w:cs="仿宋"/>
                <w:color w:val="auto"/>
                <w:sz w:val="22"/>
                <w:szCs w:val="22"/>
              </w:rPr>
            </w:pPr>
            <w:r>
              <w:rPr>
                <w:rFonts w:hint="eastAsia" w:ascii="仿宋" w:hAnsi="仿宋" w:eastAsia="仿宋" w:cs="仿宋"/>
                <w:color w:val="auto"/>
                <w:spacing w:val="-6"/>
                <w:sz w:val="22"/>
                <w:szCs w:val="22"/>
                <w14:textOutline w14:w="4354" w14:cap="flat" w14:cmpd="sng">
                  <w14:solidFill>
                    <w14:srgbClr w14:val="000000"/>
                  </w14:solidFill>
                  <w14:prstDash w14:val="solid"/>
                  <w14:miter w14:val="0"/>
                </w14:textOutline>
              </w:rPr>
              <w:t>商</w:t>
            </w:r>
            <w:r>
              <w:rPr>
                <w:rFonts w:hint="eastAsia" w:ascii="仿宋" w:hAnsi="仿宋" w:eastAsia="仿宋" w:cs="仿宋"/>
                <w:color w:val="auto"/>
                <w:spacing w:val="-5"/>
                <w:sz w:val="22"/>
                <w:szCs w:val="22"/>
                <w14:textOutline w14:w="4354" w14:cap="flat" w14:cmpd="sng">
                  <w14:solidFill>
                    <w14:srgbClr w14:val="000000"/>
                  </w14:solidFill>
                  <w14:prstDash w14:val="solid"/>
                  <w14:miter w14:val="0"/>
                </w14:textOutline>
              </w:rPr>
              <w:t>务条款</w:t>
            </w:r>
          </w:p>
        </w:tc>
        <w:tc>
          <w:tcPr>
            <w:tcW w:w="2497" w:type="dxa"/>
            <w:vAlign w:val="top"/>
          </w:tcPr>
          <w:p w14:paraId="38AFEC6B">
            <w:pPr>
              <w:spacing w:before="197" w:line="217" w:lineRule="auto"/>
              <w:ind w:left="546"/>
              <w:rPr>
                <w:rFonts w:hint="eastAsia" w:ascii="仿宋" w:hAnsi="仿宋" w:eastAsia="仿宋" w:cs="仿宋"/>
                <w:color w:val="auto"/>
                <w:sz w:val="22"/>
                <w:szCs w:val="22"/>
              </w:rPr>
            </w:pP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征</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集文件要求</w:t>
            </w:r>
          </w:p>
        </w:tc>
        <w:tc>
          <w:tcPr>
            <w:tcW w:w="2577" w:type="dxa"/>
            <w:vAlign w:val="top"/>
          </w:tcPr>
          <w:p w14:paraId="45B7C114">
            <w:pPr>
              <w:spacing w:before="196" w:line="219" w:lineRule="auto"/>
              <w:ind w:left="707"/>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供</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应</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商承诺</w:t>
            </w:r>
          </w:p>
        </w:tc>
        <w:tc>
          <w:tcPr>
            <w:tcW w:w="818" w:type="dxa"/>
            <w:vAlign w:val="top"/>
          </w:tcPr>
          <w:p w14:paraId="6609615B">
            <w:pPr>
              <w:spacing w:before="40" w:line="454" w:lineRule="exact"/>
              <w:ind w:left="185"/>
              <w:rPr>
                <w:rFonts w:hint="eastAsia" w:ascii="仿宋" w:hAnsi="仿宋" w:eastAsia="仿宋" w:cs="仿宋"/>
                <w:color w:val="auto"/>
                <w:sz w:val="22"/>
                <w:szCs w:val="22"/>
              </w:rPr>
            </w:pPr>
            <w:r>
              <w:rPr>
                <w:rFonts w:hint="eastAsia" w:ascii="仿宋" w:hAnsi="仿宋" w:eastAsia="仿宋" w:cs="仿宋"/>
                <w:color w:val="auto"/>
                <w:spacing w:val="-5"/>
                <w:position w:val="16"/>
                <w:sz w:val="22"/>
                <w:szCs w:val="22"/>
                <w14:textOutline w14:w="4354" w14:cap="flat" w14:cmpd="sng">
                  <w14:solidFill>
                    <w14:srgbClr w14:val="000000"/>
                  </w14:solidFill>
                  <w14:prstDash w14:val="solid"/>
                  <w14:miter w14:val="0"/>
                </w14:textOutline>
              </w:rPr>
              <w:t>偏</w:t>
            </w:r>
            <w:r>
              <w:rPr>
                <w:rFonts w:hint="eastAsia" w:ascii="仿宋" w:hAnsi="仿宋" w:eastAsia="仿宋" w:cs="仿宋"/>
                <w:color w:val="auto"/>
                <w:spacing w:val="-3"/>
                <w:position w:val="16"/>
                <w:sz w:val="22"/>
                <w:szCs w:val="22"/>
                <w14:textOutline w14:w="4354" w14:cap="flat" w14:cmpd="sng">
                  <w14:solidFill>
                    <w14:srgbClr w14:val="000000"/>
                  </w14:solidFill>
                  <w14:prstDash w14:val="solid"/>
                  <w14:miter w14:val="0"/>
                </w14:textOutline>
              </w:rPr>
              <w:t>离</w:t>
            </w:r>
          </w:p>
          <w:p w14:paraId="7CDA3E28">
            <w:pPr>
              <w:spacing w:line="219" w:lineRule="auto"/>
              <w:ind w:left="185"/>
              <w:rPr>
                <w:rFonts w:hint="eastAsia" w:ascii="仿宋" w:hAnsi="仿宋" w:eastAsia="仿宋" w:cs="仿宋"/>
                <w:color w:val="auto"/>
                <w:sz w:val="22"/>
                <w:szCs w:val="22"/>
              </w:rPr>
            </w:pPr>
            <w:r>
              <w:rPr>
                <w:rFonts w:hint="eastAsia" w:ascii="仿宋" w:hAnsi="仿宋" w:eastAsia="仿宋" w:cs="仿宋"/>
                <w:color w:val="auto"/>
                <w:spacing w:val="-8"/>
                <w:sz w:val="22"/>
                <w:szCs w:val="22"/>
                <w14:textOutline w14:w="4354" w14:cap="flat" w14:cmpd="sng">
                  <w14:solidFill>
                    <w14:srgbClr w14:val="000000"/>
                  </w14:solidFill>
                  <w14:prstDash w14:val="solid"/>
                  <w14:miter w14:val="0"/>
                </w14:textOutline>
              </w:rPr>
              <w:t>说</w:t>
            </w:r>
            <w:r>
              <w:rPr>
                <w:rFonts w:hint="eastAsia" w:ascii="仿宋" w:hAnsi="仿宋" w:eastAsia="仿宋" w:cs="仿宋"/>
                <w:color w:val="auto"/>
                <w:spacing w:val="-7"/>
                <w:sz w:val="22"/>
                <w:szCs w:val="22"/>
                <w14:textOutline w14:w="4354" w14:cap="flat" w14:cmpd="sng">
                  <w14:solidFill>
                    <w14:srgbClr w14:val="000000"/>
                  </w14:solidFill>
                  <w14:prstDash w14:val="solid"/>
                  <w14:miter w14:val="0"/>
                </w14:textOutline>
              </w:rPr>
              <w:t>明</w:t>
            </w:r>
          </w:p>
        </w:tc>
      </w:tr>
      <w:tr w14:paraId="11D24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9" w:type="dxa"/>
            <w:vAlign w:val="top"/>
          </w:tcPr>
          <w:p w14:paraId="5AC198F5">
            <w:pPr>
              <w:spacing w:before="148" w:line="179" w:lineRule="auto"/>
              <w:ind w:left="388"/>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914" w:type="dxa"/>
            <w:vAlign w:val="top"/>
          </w:tcPr>
          <w:p w14:paraId="54107FD5">
            <w:pPr>
              <w:spacing w:before="104" w:line="219"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付款方式、时间和条件</w:t>
            </w:r>
          </w:p>
        </w:tc>
        <w:tc>
          <w:tcPr>
            <w:tcW w:w="2497" w:type="dxa"/>
            <w:vAlign w:val="top"/>
          </w:tcPr>
          <w:p w14:paraId="78238F61">
            <w:pPr>
              <w:rPr>
                <w:rFonts w:hint="eastAsia" w:ascii="仿宋" w:hAnsi="仿宋" w:eastAsia="仿宋" w:cs="仿宋"/>
                <w:color w:val="auto"/>
                <w:sz w:val="22"/>
                <w:szCs w:val="22"/>
              </w:rPr>
            </w:pPr>
          </w:p>
        </w:tc>
        <w:tc>
          <w:tcPr>
            <w:tcW w:w="2577" w:type="dxa"/>
            <w:vAlign w:val="top"/>
          </w:tcPr>
          <w:p w14:paraId="6A7ED8C0">
            <w:pPr>
              <w:rPr>
                <w:rFonts w:hint="eastAsia" w:ascii="仿宋" w:hAnsi="仿宋" w:eastAsia="仿宋" w:cs="仿宋"/>
                <w:color w:val="auto"/>
                <w:sz w:val="22"/>
                <w:szCs w:val="22"/>
              </w:rPr>
            </w:pPr>
          </w:p>
        </w:tc>
        <w:tc>
          <w:tcPr>
            <w:tcW w:w="818" w:type="dxa"/>
            <w:vAlign w:val="top"/>
          </w:tcPr>
          <w:p w14:paraId="5C0549B2">
            <w:pPr>
              <w:rPr>
                <w:rFonts w:hint="eastAsia" w:ascii="仿宋" w:hAnsi="仿宋" w:eastAsia="仿宋" w:cs="仿宋"/>
                <w:color w:val="auto"/>
                <w:sz w:val="22"/>
                <w:szCs w:val="22"/>
              </w:rPr>
            </w:pPr>
          </w:p>
        </w:tc>
      </w:tr>
      <w:tr w14:paraId="51968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29" w:type="dxa"/>
            <w:vAlign w:val="top"/>
          </w:tcPr>
          <w:p w14:paraId="00FBAA4C">
            <w:pPr>
              <w:spacing w:before="155" w:line="178" w:lineRule="auto"/>
              <w:ind w:left="373"/>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914" w:type="dxa"/>
            <w:vAlign w:val="top"/>
          </w:tcPr>
          <w:p w14:paraId="20C79044">
            <w:pPr>
              <w:spacing w:before="111"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服务地点</w:t>
            </w:r>
          </w:p>
        </w:tc>
        <w:tc>
          <w:tcPr>
            <w:tcW w:w="2497" w:type="dxa"/>
            <w:vAlign w:val="top"/>
          </w:tcPr>
          <w:p w14:paraId="7FD8075E">
            <w:pPr>
              <w:rPr>
                <w:rFonts w:hint="eastAsia" w:ascii="仿宋" w:hAnsi="仿宋" w:eastAsia="仿宋" w:cs="仿宋"/>
                <w:color w:val="auto"/>
                <w:sz w:val="22"/>
                <w:szCs w:val="22"/>
              </w:rPr>
            </w:pPr>
          </w:p>
        </w:tc>
        <w:tc>
          <w:tcPr>
            <w:tcW w:w="2577" w:type="dxa"/>
            <w:vAlign w:val="top"/>
          </w:tcPr>
          <w:p w14:paraId="7C50D5FF">
            <w:pPr>
              <w:rPr>
                <w:rFonts w:hint="eastAsia" w:ascii="仿宋" w:hAnsi="仿宋" w:eastAsia="仿宋" w:cs="仿宋"/>
                <w:color w:val="auto"/>
                <w:sz w:val="22"/>
                <w:szCs w:val="22"/>
              </w:rPr>
            </w:pPr>
          </w:p>
        </w:tc>
        <w:tc>
          <w:tcPr>
            <w:tcW w:w="818" w:type="dxa"/>
            <w:vAlign w:val="top"/>
          </w:tcPr>
          <w:p w14:paraId="5BCA0AB3">
            <w:pPr>
              <w:rPr>
                <w:rFonts w:hint="eastAsia" w:ascii="仿宋" w:hAnsi="仿宋" w:eastAsia="仿宋" w:cs="仿宋"/>
                <w:color w:val="auto"/>
                <w:sz w:val="22"/>
                <w:szCs w:val="22"/>
              </w:rPr>
            </w:pPr>
          </w:p>
        </w:tc>
      </w:tr>
      <w:tr w14:paraId="36393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14:paraId="2FD8D556">
            <w:pPr>
              <w:spacing w:before="151" w:line="178" w:lineRule="auto"/>
              <w:ind w:left="375"/>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1914" w:type="dxa"/>
            <w:vAlign w:val="top"/>
          </w:tcPr>
          <w:p w14:paraId="1F63EE56">
            <w:pPr>
              <w:spacing w:before="107"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服务期限</w:t>
            </w:r>
          </w:p>
        </w:tc>
        <w:tc>
          <w:tcPr>
            <w:tcW w:w="2497" w:type="dxa"/>
            <w:vAlign w:val="top"/>
          </w:tcPr>
          <w:p w14:paraId="48A47A4D">
            <w:pPr>
              <w:rPr>
                <w:rFonts w:hint="eastAsia" w:ascii="仿宋" w:hAnsi="仿宋" w:eastAsia="仿宋" w:cs="仿宋"/>
                <w:color w:val="auto"/>
                <w:sz w:val="22"/>
                <w:szCs w:val="22"/>
              </w:rPr>
            </w:pPr>
          </w:p>
        </w:tc>
        <w:tc>
          <w:tcPr>
            <w:tcW w:w="2577" w:type="dxa"/>
            <w:vAlign w:val="top"/>
          </w:tcPr>
          <w:p w14:paraId="58BC03BC">
            <w:pPr>
              <w:rPr>
                <w:rFonts w:hint="eastAsia" w:ascii="仿宋" w:hAnsi="仿宋" w:eastAsia="仿宋" w:cs="仿宋"/>
                <w:color w:val="auto"/>
                <w:sz w:val="22"/>
                <w:szCs w:val="22"/>
              </w:rPr>
            </w:pPr>
          </w:p>
        </w:tc>
        <w:tc>
          <w:tcPr>
            <w:tcW w:w="818" w:type="dxa"/>
            <w:vAlign w:val="top"/>
          </w:tcPr>
          <w:p w14:paraId="22B1BE42">
            <w:pPr>
              <w:rPr>
                <w:rFonts w:hint="eastAsia" w:ascii="仿宋" w:hAnsi="仿宋" w:eastAsia="仿宋" w:cs="仿宋"/>
                <w:color w:val="auto"/>
                <w:sz w:val="22"/>
                <w:szCs w:val="22"/>
              </w:rPr>
            </w:pPr>
          </w:p>
        </w:tc>
      </w:tr>
      <w:tr w14:paraId="1DDD4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14:paraId="1723A020">
            <w:pPr>
              <w:spacing w:before="151" w:line="178" w:lineRule="auto"/>
              <w:ind w:left="375"/>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914" w:type="dxa"/>
            <w:vAlign w:val="top"/>
          </w:tcPr>
          <w:p w14:paraId="118DF9F1">
            <w:pPr>
              <w:spacing w:before="107" w:line="218" w:lineRule="auto"/>
              <w:ind w:firstLine="428" w:firstLineChars="200"/>
              <w:jc w:val="both"/>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采购标的名称</w:t>
            </w:r>
          </w:p>
        </w:tc>
        <w:tc>
          <w:tcPr>
            <w:tcW w:w="2497" w:type="dxa"/>
            <w:vAlign w:val="top"/>
          </w:tcPr>
          <w:p w14:paraId="63EEBEF6">
            <w:pPr>
              <w:rPr>
                <w:rFonts w:hint="eastAsia" w:ascii="仿宋" w:hAnsi="仿宋" w:eastAsia="仿宋" w:cs="仿宋"/>
                <w:color w:val="auto"/>
                <w:sz w:val="22"/>
                <w:szCs w:val="22"/>
              </w:rPr>
            </w:pPr>
          </w:p>
        </w:tc>
        <w:tc>
          <w:tcPr>
            <w:tcW w:w="2577" w:type="dxa"/>
            <w:vAlign w:val="top"/>
          </w:tcPr>
          <w:p w14:paraId="30EA311A">
            <w:pPr>
              <w:rPr>
                <w:rFonts w:hint="eastAsia" w:ascii="仿宋" w:hAnsi="仿宋" w:eastAsia="仿宋" w:cs="仿宋"/>
                <w:color w:val="auto"/>
                <w:sz w:val="22"/>
                <w:szCs w:val="22"/>
              </w:rPr>
            </w:pPr>
          </w:p>
        </w:tc>
        <w:tc>
          <w:tcPr>
            <w:tcW w:w="818" w:type="dxa"/>
            <w:vAlign w:val="top"/>
          </w:tcPr>
          <w:p w14:paraId="7C9B2021">
            <w:pPr>
              <w:rPr>
                <w:rFonts w:hint="eastAsia" w:ascii="仿宋" w:hAnsi="仿宋" w:eastAsia="仿宋" w:cs="仿宋"/>
                <w:color w:val="auto"/>
                <w:sz w:val="22"/>
                <w:szCs w:val="22"/>
              </w:rPr>
            </w:pPr>
          </w:p>
        </w:tc>
      </w:tr>
      <w:tr w14:paraId="00757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9" w:type="dxa"/>
            <w:vAlign w:val="top"/>
          </w:tcPr>
          <w:p w14:paraId="744BA584">
            <w:pPr>
              <w:spacing w:before="277" w:line="184" w:lineRule="auto"/>
              <w:ind w:left="206"/>
              <w:rPr>
                <w:rFonts w:hint="eastAsia" w:ascii="仿宋" w:hAnsi="仿宋" w:eastAsia="仿宋" w:cs="仿宋"/>
                <w:color w:val="auto"/>
                <w:sz w:val="22"/>
                <w:szCs w:val="22"/>
              </w:rPr>
            </w:pPr>
            <w:r>
              <w:rPr>
                <w:rFonts w:hint="eastAsia" w:ascii="仿宋" w:hAnsi="仿宋" w:eastAsia="仿宋" w:cs="仿宋"/>
                <w:color w:val="auto"/>
                <w:spacing w:val="105"/>
                <w:sz w:val="22"/>
                <w:szCs w:val="22"/>
              </w:rPr>
              <w:t>”</w:t>
            </w:r>
          </w:p>
        </w:tc>
        <w:tc>
          <w:tcPr>
            <w:tcW w:w="1914" w:type="dxa"/>
            <w:vAlign w:val="top"/>
          </w:tcPr>
          <w:p w14:paraId="69DCDCE9">
            <w:pPr>
              <w:rPr>
                <w:rFonts w:hint="eastAsia" w:ascii="仿宋" w:hAnsi="仿宋" w:eastAsia="仿宋" w:cs="仿宋"/>
                <w:color w:val="auto"/>
                <w:sz w:val="22"/>
                <w:szCs w:val="22"/>
              </w:rPr>
            </w:pPr>
          </w:p>
        </w:tc>
        <w:tc>
          <w:tcPr>
            <w:tcW w:w="2497" w:type="dxa"/>
            <w:vAlign w:val="top"/>
          </w:tcPr>
          <w:p w14:paraId="26E5A3C0">
            <w:pPr>
              <w:rPr>
                <w:rFonts w:hint="eastAsia" w:ascii="仿宋" w:hAnsi="仿宋" w:eastAsia="仿宋" w:cs="仿宋"/>
                <w:color w:val="auto"/>
                <w:sz w:val="22"/>
                <w:szCs w:val="22"/>
              </w:rPr>
            </w:pPr>
          </w:p>
        </w:tc>
        <w:tc>
          <w:tcPr>
            <w:tcW w:w="2577" w:type="dxa"/>
            <w:vAlign w:val="top"/>
          </w:tcPr>
          <w:p w14:paraId="341B7EF0">
            <w:pPr>
              <w:rPr>
                <w:rFonts w:hint="eastAsia" w:ascii="仿宋" w:hAnsi="仿宋" w:eastAsia="仿宋" w:cs="仿宋"/>
                <w:color w:val="auto"/>
                <w:sz w:val="22"/>
                <w:szCs w:val="22"/>
              </w:rPr>
            </w:pPr>
          </w:p>
        </w:tc>
        <w:tc>
          <w:tcPr>
            <w:tcW w:w="818" w:type="dxa"/>
            <w:vAlign w:val="top"/>
          </w:tcPr>
          <w:p w14:paraId="664B6C49">
            <w:pPr>
              <w:rPr>
                <w:rFonts w:hint="eastAsia" w:ascii="仿宋" w:hAnsi="仿宋" w:eastAsia="仿宋" w:cs="仿宋"/>
                <w:color w:val="auto"/>
                <w:sz w:val="22"/>
                <w:szCs w:val="22"/>
              </w:rPr>
            </w:pPr>
          </w:p>
        </w:tc>
      </w:tr>
    </w:tbl>
    <w:p w14:paraId="61D623F8">
      <w:pPr>
        <w:spacing w:before="115" w:line="218" w:lineRule="auto"/>
        <w:ind w:left="134"/>
        <w:rPr>
          <w:rFonts w:ascii="仿宋" w:hAnsi="仿宋" w:eastAsia="仿宋" w:cs="仿宋"/>
          <w:color w:val="auto"/>
          <w:sz w:val="24"/>
          <w:szCs w:val="24"/>
        </w:rPr>
      </w:pPr>
      <w:r>
        <w:rPr>
          <w:rFonts w:hint="eastAsia" w:ascii="仿宋" w:hAnsi="仿宋" w:eastAsia="仿宋" w:cs="仿宋"/>
          <w:color w:val="auto"/>
          <w:spacing w:val="-13"/>
          <w:sz w:val="22"/>
          <w:szCs w:val="22"/>
        </w:rPr>
        <w:t>供</w:t>
      </w:r>
      <w:r>
        <w:rPr>
          <w:rFonts w:hint="eastAsia" w:ascii="仿宋" w:hAnsi="仿宋" w:eastAsia="仿宋" w:cs="仿宋"/>
          <w:color w:val="auto"/>
          <w:spacing w:val="-7"/>
          <w:sz w:val="22"/>
          <w:szCs w:val="22"/>
        </w:rPr>
        <w:t>应商电子签章：</w:t>
      </w:r>
    </w:p>
    <w:p w14:paraId="3950405A">
      <w:pPr>
        <w:rPr>
          <w:color w:val="auto"/>
        </w:rPr>
      </w:pPr>
    </w:p>
    <w:p w14:paraId="120A123A">
      <w:pPr>
        <w:rPr>
          <w:color w:val="auto"/>
        </w:rPr>
      </w:pPr>
    </w:p>
    <w:p w14:paraId="50A03827">
      <w:pPr>
        <w:rPr>
          <w:rFonts w:hint="eastAsia"/>
          <w:color w:val="auto"/>
        </w:rPr>
      </w:pPr>
      <w:r>
        <w:rPr>
          <w:rFonts w:hint="eastAsia"/>
          <w:color w:val="auto"/>
        </w:rPr>
        <w:t>备注：</w:t>
      </w:r>
    </w:p>
    <w:p w14:paraId="6B315304">
      <w:pPr>
        <w:ind w:firstLine="420" w:firstLineChars="200"/>
        <w:rPr>
          <w:color w:val="auto"/>
        </w:rPr>
        <w:sectPr>
          <w:footerReference r:id="rId20" w:type="default"/>
          <w:pgSz w:w="11921" w:h="16851"/>
          <w:pgMar w:top="1434" w:right="1697" w:bottom="1466" w:left="1682" w:header="0" w:footer="1303" w:gutter="0"/>
          <w:pgNumType w:fmt="decimal"/>
          <w:cols w:space="720" w:num="1"/>
        </w:sectPr>
      </w:pPr>
      <w:r>
        <w:rPr>
          <w:rFonts w:hint="eastAsia"/>
          <w:color w:val="auto"/>
        </w:rPr>
        <w:t>所列条款为对应本项目需求的全部服务内容。如有漏项或缺项，供应商承担全部责任。</w:t>
      </w:r>
    </w:p>
    <w:p w14:paraId="56768750">
      <w:pPr>
        <w:spacing w:before="68" w:line="221" w:lineRule="auto"/>
        <w:ind w:left="3557"/>
        <w:rPr>
          <w:rFonts w:hint="eastAsia" w:ascii="仿宋" w:hAnsi="仿宋" w:eastAsia="仿宋" w:cs="仿宋"/>
          <w:b/>
          <w:bCs/>
          <w:color w:val="auto"/>
          <w:spacing w:val="-2"/>
          <w:sz w:val="24"/>
          <w:szCs w:val="24"/>
          <w:lang w:val="en-US" w:eastAsia="zh-CN"/>
        </w:rPr>
      </w:pPr>
      <w:r>
        <w:rPr>
          <w:rFonts w:hint="eastAsia" w:ascii="仿宋" w:hAnsi="仿宋" w:eastAsia="仿宋" w:cs="仿宋"/>
          <w:b/>
          <w:bCs/>
          <w:color w:val="auto"/>
          <w:spacing w:val="-2"/>
          <w:sz w:val="24"/>
          <w:szCs w:val="24"/>
          <w:lang w:val="en-US" w:eastAsia="zh-CN"/>
        </w:rPr>
        <w:t>六、人员配备</w:t>
      </w:r>
    </w:p>
    <w:p w14:paraId="48F92415">
      <w:pPr>
        <w:spacing w:before="159" w:line="228" w:lineRule="auto"/>
        <w:ind w:left="224"/>
        <w:rPr>
          <w:rFonts w:hint="eastAsia" w:ascii="仿宋" w:hAnsi="仿宋" w:eastAsia="仿宋" w:cs="仿宋"/>
          <w:color w:val="auto"/>
          <w:sz w:val="22"/>
          <w:szCs w:val="22"/>
          <w14:textOutline w14:w="3831" w14:cap="flat" w14:cmpd="sng">
            <w14:solidFill>
              <w14:srgbClr w14:val="000000"/>
            </w14:solidFill>
            <w14:prstDash w14:val="solid"/>
            <w14:miter w14:val="0"/>
          </w14:textOutline>
        </w:rPr>
      </w:pPr>
      <w:r>
        <w:rPr>
          <w:rFonts w:hint="eastAsia" w:ascii="仿宋" w:hAnsi="仿宋" w:eastAsia="仿宋" w:cs="仿宋"/>
          <w:color w:val="auto"/>
          <w:sz w:val="22"/>
          <w:szCs w:val="22"/>
          <w:lang w:val="en-US" w:eastAsia="zh-CN"/>
          <w14:textOutline w14:w="3831" w14:cap="flat" w14:cmpd="sng">
            <w14:solidFill>
              <w14:srgbClr w14:val="000000"/>
            </w14:solidFill>
            <w14:prstDash w14:val="solid"/>
            <w14:miter w14:val="0"/>
          </w14:textOutline>
        </w:rPr>
        <w:t>(供应商可自行制作格式)</w:t>
      </w:r>
    </w:p>
    <w:p w14:paraId="2FDCA57E">
      <w:pPr>
        <w:spacing w:line="312" w:lineRule="auto"/>
        <w:rPr>
          <w:rFonts w:ascii="Arial"/>
          <w:color w:val="auto"/>
          <w:sz w:val="21"/>
        </w:rPr>
      </w:pPr>
    </w:p>
    <w:p w14:paraId="0AAD10BA">
      <w:pPr>
        <w:spacing w:line="312" w:lineRule="auto"/>
        <w:rPr>
          <w:rFonts w:ascii="Arial"/>
          <w:color w:val="auto"/>
          <w:sz w:val="21"/>
        </w:rPr>
      </w:pPr>
    </w:p>
    <w:p w14:paraId="686CE546">
      <w:pPr>
        <w:spacing w:line="312" w:lineRule="auto"/>
        <w:rPr>
          <w:rFonts w:ascii="Arial"/>
          <w:color w:val="auto"/>
          <w:sz w:val="21"/>
        </w:rPr>
      </w:pPr>
    </w:p>
    <w:p w14:paraId="53EC1B2D">
      <w:pPr>
        <w:spacing w:line="312" w:lineRule="auto"/>
        <w:rPr>
          <w:rFonts w:ascii="Arial"/>
          <w:color w:val="auto"/>
          <w:sz w:val="21"/>
        </w:rPr>
      </w:pPr>
    </w:p>
    <w:p w14:paraId="2DDA8537">
      <w:pPr>
        <w:spacing w:line="312" w:lineRule="auto"/>
        <w:rPr>
          <w:rFonts w:ascii="Arial"/>
          <w:color w:val="auto"/>
          <w:sz w:val="21"/>
        </w:rPr>
      </w:pPr>
    </w:p>
    <w:p w14:paraId="4DFA99C3">
      <w:pPr>
        <w:spacing w:line="312" w:lineRule="auto"/>
        <w:rPr>
          <w:rFonts w:ascii="Arial"/>
          <w:color w:val="auto"/>
          <w:sz w:val="21"/>
        </w:rPr>
      </w:pPr>
    </w:p>
    <w:p w14:paraId="002ED42F">
      <w:pPr>
        <w:spacing w:line="312" w:lineRule="auto"/>
        <w:rPr>
          <w:rFonts w:ascii="Arial"/>
          <w:color w:val="auto"/>
          <w:sz w:val="21"/>
        </w:rPr>
      </w:pPr>
    </w:p>
    <w:p w14:paraId="797C8791">
      <w:pPr>
        <w:spacing w:line="312" w:lineRule="auto"/>
        <w:rPr>
          <w:rFonts w:ascii="Arial"/>
          <w:color w:val="auto"/>
          <w:sz w:val="21"/>
        </w:rPr>
      </w:pPr>
    </w:p>
    <w:p w14:paraId="4DC8FAEB">
      <w:pPr>
        <w:spacing w:line="312" w:lineRule="auto"/>
        <w:rPr>
          <w:rFonts w:ascii="Arial"/>
          <w:color w:val="auto"/>
          <w:sz w:val="21"/>
        </w:rPr>
      </w:pPr>
    </w:p>
    <w:p w14:paraId="267DE368">
      <w:pPr>
        <w:spacing w:line="312" w:lineRule="auto"/>
        <w:rPr>
          <w:rFonts w:ascii="Arial"/>
          <w:color w:val="auto"/>
          <w:sz w:val="21"/>
        </w:rPr>
      </w:pPr>
    </w:p>
    <w:p w14:paraId="5FB35DB1">
      <w:pPr>
        <w:spacing w:line="312" w:lineRule="auto"/>
        <w:rPr>
          <w:rFonts w:ascii="Arial"/>
          <w:color w:val="auto"/>
          <w:sz w:val="21"/>
        </w:rPr>
      </w:pPr>
    </w:p>
    <w:p w14:paraId="7D05BC50">
      <w:pPr>
        <w:spacing w:line="312" w:lineRule="auto"/>
        <w:rPr>
          <w:rFonts w:ascii="Arial"/>
          <w:color w:val="auto"/>
          <w:sz w:val="21"/>
        </w:rPr>
      </w:pPr>
    </w:p>
    <w:p w14:paraId="638EF444">
      <w:pPr>
        <w:spacing w:line="312" w:lineRule="auto"/>
        <w:rPr>
          <w:rFonts w:ascii="Arial"/>
          <w:color w:val="auto"/>
          <w:sz w:val="21"/>
        </w:rPr>
      </w:pPr>
    </w:p>
    <w:p w14:paraId="32EB7EA3">
      <w:pPr>
        <w:spacing w:line="312" w:lineRule="auto"/>
        <w:rPr>
          <w:rFonts w:ascii="Arial"/>
          <w:color w:val="auto"/>
          <w:sz w:val="21"/>
        </w:rPr>
      </w:pPr>
    </w:p>
    <w:p w14:paraId="648456D0">
      <w:pPr>
        <w:spacing w:line="312" w:lineRule="auto"/>
        <w:rPr>
          <w:rFonts w:ascii="Arial"/>
          <w:color w:val="auto"/>
          <w:sz w:val="21"/>
        </w:rPr>
      </w:pPr>
    </w:p>
    <w:p w14:paraId="44DB0717">
      <w:pPr>
        <w:spacing w:line="312" w:lineRule="auto"/>
        <w:rPr>
          <w:rFonts w:ascii="Arial"/>
          <w:color w:val="auto"/>
          <w:sz w:val="21"/>
        </w:rPr>
      </w:pPr>
    </w:p>
    <w:p w14:paraId="006ED2EC">
      <w:pPr>
        <w:spacing w:line="312" w:lineRule="auto"/>
        <w:rPr>
          <w:rFonts w:ascii="Arial"/>
          <w:color w:val="auto"/>
          <w:sz w:val="21"/>
        </w:rPr>
      </w:pPr>
    </w:p>
    <w:p w14:paraId="749CAFEA">
      <w:pPr>
        <w:spacing w:line="312" w:lineRule="auto"/>
        <w:rPr>
          <w:rFonts w:ascii="Arial"/>
          <w:color w:val="auto"/>
          <w:sz w:val="21"/>
        </w:rPr>
      </w:pPr>
    </w:p>
    <w:p w14:paraId="7AB026B6">
      <w:pPr>
        <w:spacing w:line="312" w:lineRule="auto"/>
        <w:rPr>
          <w:rFonts w:ascii="Arial"/>
          <w:color w:val="auto"/>
          <w:sz w:val="21"/>
        </w:rPr>
      </w:pPr>
    </w:p>
    <w:p w14:paraId="5298AD45">
      <w:pPr>
        <w:spacing w:line="312" w:lineRule="auto"/>
        <w:rPr>
          <w:rFonts w:ascii="Arial"/>
          <w:color w:val="auto"/>
          <w:sz w:val="21"/>
        </w:rPr>
      </w:pPr>
    </w:p>
    <w:p w14:paraId="45EEC6B5">
      <w:pPr>
        <w:spacing w:line="312" w:lineRule="auto"/>
        <w:rPr>
          <w:rFonts w:ascii="Arial"/>
          <w:color w:val="auto"/>
          <w:sz w:val="21"/>
        </w:rPr>
      </w:pPr>
    </w:p>
    <w:p w14:paraId="241C50E8">
      <w:pPr>
        <w:spacing w:line="312" w:lineRule="auto"/>
        <w:rPr>
          <w:rFonts w:ascii="Arial"/>
          <w:color w:val="auto"/>
          <w:sz w:val="21"/>
        </w:rPr>
      </w:pPr>
    </w:p>
    <w:p w14:paraId="2278F161">
      <w:pPr>
        <w:spacing w:line="312" w:lineRule="auto"/>
        <w:rPr>
          <w:rFonts w:ascii="Arial"/>
          <w:color w:val="auto"/>
          <w:sz w:val="21"/>
        </w:rPr>
      </w:pPr>
    </w:p>
    <w:p w14:paraId="5D0F7B8B">
      <w:pPr>
        <w:spacing w:line="312" w:lineRule="auto"/>
        <w:rPr>
          <w:rFonts w:ascii="Arial"/>
          <w:color w:val="auto"/>
          <w:sz w:val="21"/>
        </w:rPr>
      </w:pPr>
    </w:p>
    <w:p w14:paraId="5DA03D4D">
      <w:pPr>
        <w:spacing w:line="312" w:lineRule="auto"/>
        <w:rPr>
          <w:rFonts w:ascii="Arial"/>
          <w:color w:val="auto"/>
          <w:sz w:val="21"/>
        </w:rPr>
      </w:pPr>
    </w:p>
    <w:p w14:paraId="78AD7D1E">
      <w:pPr>
        <w:spacing w:line="312" w:lineRule="auto"/>
        <w:rPr>
          <w:rFonts w:ascii="Arial"/>
          <w:color w:val="auto"/>
          <w:sz w:val="21"/>
        </w:rPr>
      </w:pPr>
    </w:p>
    <w:p w14:paraId="0F16073D">
      <w:pPr>
        <w:spacing w:line="312" w:lineRule="auto"/>
        <w:rPr>
          <w:rFonts w:ascii="Arial"/>
          <w:color w:val="auto"/>
          <w:sz w:val="21"/>
        </w:rPr>
      </w:pPr>
    </w:p>
    <w:p w14:paraId="46DC2555">
      <w:pPr>
        <w:spacing w:line="312" w:lineRule="auto"/>
        <w:rPr>
          <w:rFonts w:ascii="Arial"/>
          <w:color w:val="auto"/>
          <w:sz w:val="21"/>
        </w:rPr>
      </w:pPr>
    </w:p>
    <w:p w14:paraId="4C0BEC28">
      <w:pPr>
        <w:spacing w:line="312" w:lineRule="auto"/>
        <w:rPr>
          <w:rFonts w:ascii="Arial"/>
          <w:color w:val="auto"/>
          <w:sz w:val="21"/>
        </w:rPr>
      </w:pPr>
    </w:p>
    <w:p w14:paraId="03FE0739">
      <w:pPr>
        <w:spacing w:line="312" w:lineRule="auto"/>
        <w:rPr>
          <w:rFonts w:ascii="Arial"/>
          <w:color w:val="auto"/>
          <w:sz w:val="21"/>
        </w:rPr>
      </w:pPr>
    </w:p>
    <w:p w14:paraId="7B88A701">
      <w:pPr>
        <w:spacing w:line="312" w:lineRule="auto"/>
        <w:rPr>
          <w:rFonts w:ascii="Arial"/>
          <w:color w:val="auto"/>
          <w:sz w:val="21"/>
        </w:rPr>
      </w:pPr>
    </w:p>
    <w:p w14:paraId="1DC3F750">
      <w:pPr>
        <w:spacing w:line="312" w:lineRule="auto"/>
        <w:rPr>
          <w:rFonts w:ascii="Arial"/>
          <w:color w:val="auto"/>
          <w:sz w:val="21"/>
        </w:rPr>
      </w:pPr>
    </w:p>
    <w:p w14:paraId="64711C74">
      <w:pPr>
        <w:spacing w:line="312" w:lineRule="auto"/>
        <w:rPr>
          <w:rFonts w:ascii="Arial"/>
          <w:color w:val="auto"/>
          <w:sz w:val="21"/>
        </w:rPr>
      </w:pPr>
    </w:p>
    <w:p w14:paraId="42C2C47D">
      <w:pPr>
        <w:spacing w:line="312" w:lineRule="auto"/>
        <w:rPr>
          <w:rFonts w:ascii="Arial"/>
          <w:color w:val="auto"/>
          <w:sz w:val="21"/>
        </w:rPr>
      </w:pPr>
    </w:p>
    <w:p w14:paraId="1D313050">
      <w:pPr>
        <w:spacing w:line="312" w:lineRule="auto"/>
        <w:rPr>
          <w:rFonts w:ascii="Arial"/>
          <w:color w:val="auto"/>
          <w:sz w:val="21"/>
        </w:rPr>
      </w:pPr>
    </w:p>
    <w:p w14:paraId="37613FC3">
      <w:pPr>
        <w:spacing w:line="312" w:lineRule="auto"/>
        <w:rPr>
          <w:rFonts w:ascii="Arial"/>
          <w:color w:val="auto"/>
          <w:sz w:val="21"/>
        </w:rPr>
      </w:pPr>
    </w:p>
    <w:p w14:paraId="7C6D402C">
      <w:pPr>
        <w:spacing w:line="312" w:lineRule="auto"/>
        <w:rPr>
          <w:rFonts w:ascii="Arial"/>
          <w:color w:val="auto"/>
          <w:sz w:val="21"/>
        </w:rPr>
      </w:pPr>
    </w:p>
    <w:p w14:paraId="1F194705">
      <w:pPr>
        <w:spacing w:line="312" w:lineRule="auto"/>
        <w:rPr>
          <w:rFonts w:ascii="Arial"/>
          <w:color w:val="auto"/>
          <w:sz w:val="21"/>
        </w:rPr>
      </w:pPr>
    </w:p>
    <w:p w14:paraId="3E5E464C">
      <w:pPr>
        <w:spacing w:line="312" w:lineRule="auto"/>
        <w:rPr>
          <w:rFonts w:ascii="Arial"/>
          <w:color w:val="auto"/>
          <w:sz w:val="21"/>
        </w:rPr>
      </w:pPr>
    </w:p>
    <w:p w14:paraId="714E7A1E">
      <w:pPr>
        <w:spacing w:line="312" w:lineRule="auto"/>
        <w:rPr>
          <w:rFonts w:ascii="Arial"/>
          <w:color w:val="auto"/>
          <w:sz w:val="21"/>
        </w:rPr>
      </w:pPr>
    </w:p>
    <w:p w14:paraId="7373FA6C">
      <w:pPr>
        <w:spacing w:line="312" w:lineRule="auto"/>
        <w:rPr>
          <w:rFonts w:ascii="Arial"/>
          <w:color w:val="auto"/>
          <w:sz w:val="21"/>
        </w:rPr>
      </w:pPr>
    </w:p>
    <w:p w14:paraId="27D89ECD">
      <w:pPr>
        <w:spacing w:before="68" w:line="221" w:lineRule="auto"/>
        <w:ind w:left="3557"/>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lang w:val="en-US" w:eastAsia="zh-CN"/>
        </w:rPr>
        <w:t>七</w:t>
      </w:r>
      <w:r>
        <w:rPr>
          <w:rFonts w:hint="eastAsia" w:ascii="仿宋" w:hAnsi="仿宋" w:eastAsia="仿宋" w:cs="仿宋"/>
          <w:b/>
          <w:bCs/>
          <w:color w:val="auto"/>
          <w:spacing w:val="-2"/>
          <w:sz w:val="24"/>
          <w:szCs w:val="24"/>
        </w:rPr>
        <w:t>、</w:t>
      </w:r>
      <w:r>
        <w:rPr>
          <w:rFonts w:hint="eastAsia" w:ascii="仿宋" w:hAnsi="仿宋" w:eastAsia="仿宋" w:cs="仿宋"/>
          <w:b/>
          <w:bCs/>
          <w:color w:val="auto"/>
          <w:spacing w:val="-1"/>
          <w:sz w:val="24"/>
          <w:szCs w:val="24"/>
        </w:rPr>
        <w:t>服务方案</w:t>
      </w:r>
    </w:p>
    <w:p w14:paraId="0CC03715">
      <w:pPr>
        <w:spacing w:before="159" w:line="228" w:lineRule="auto"/>
        <w:ind w:left="224"/>
        <w:rPr>
          <w:rFonts w:ascii="Calibri" w:hAnsi="Calibri" w:eastAsia="Calibri" w:cs="Calibri"/>
          <w:color w:val="auto"/>
          <w:sz w:val="21"/>
          <w:szCs w:val="21"/>
        </w:rPr>
      </w:pPr>
      <w:r>
        <w:rPr>
          <w:rFonts w:hint="eastAsia" w:ascii="仿宋" w:hAnsi="仿宋" w:eastAsia="仿宋" w:cs="仿宋"/>
          <w:b/>
          <w:bCs/>
          <w:color w:val="auto"/>
          <w:spacing w:val="1"/>
          <w:sz w:val="22"/>
          <w:szCs w:val="22"/>
        </w:rPr>
        <w:t>(</w:t>
      </w:r>
      <w:r>
        <w:rPr>
          <w:rFonts w:hint="eastAsia" w:ascii="仿宋" w:hAnsi="仿宋" w:eastAsia="仿宋" w:cs="仿宋"/>
          <w:color w:val="auto"/>
          <w:sz w:val="22"/>
          <w:szCs w:val="22"/>
          <w14:textOutline w14:w="3831" w14:cap="flat" w14:cmpd="sng">
            <w14:solidFill>
              <w14:srgbClr w14:val="000000"/>
            </w14:solidFill>
            <w14:prstDash w14:val="solid"/>
            <w14:miter w14:val="0"/>
          </w14:textOutline>
        </w:rPr>
        <w:t>供应商可自行制作格式</w:t>
      </w:r>
      <w:r>
        <w:rPr>
          <w:rFonts w:hint="eastAsia" w:ascii="仿宋" w:hAnsi="仿宋" w:eastAsia="仿宋" w:cs="仿宋"/>
          <w:b/>
          <w:bCs/>
          <w:color w:val="auto"/>
          <w:sz w:val="22"/>
          <w:szCs w:val="22"/>
        </w:rPr>
        <w:t>)</w:t>
      </w:r>
    </w:p>
    <w:p w14:paraId="2823A9A2">
      <w:pPr>
        <w:rPr>
          <w:color w:val="auto"/>
        </w:rPr>
        <w:sectPr>
          <w:footerReference r:id="rId21" w:type="default"/>
          <w:pgSz w:w="11921" w:h="16851"/>
          <w:pgMar w:top="1434" w:right="1788" w:bottom="1465" w:left="1788" w:header="0" w:footer="1303" w:gutter="0"/>
          <w:pgNumType w:fmt="decimal"/>
          <w:cols w:space="720" w:num="1"/>
        </w:sectPr>
      </w:pPr>
    </w:p>
    <w:p w14:paraId="49481628">
      <w:pPr>
        <w:spacing w:line="312" w:lineRule="auto"/>
        <w:rPr>
          <w:rFonts w:ascii="Arial"/>
          <w:color w:val="auto"/>
          <w:sz w:val="21"/>
        </w:rPr>
      </w:pPr>
    </w:p>
    <w:p w14:paraId="2C62C9BA">
      <w:pPr>
        <w:spacing w:before="68" w:line="221" w:lineRule="auto"/>
        <w:ind w:left="3756"/>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lang w:val="en-US" w:eastAsia="zh-CN"/>
        </w:rPr>
        <w:t>八</w:t>
      </w:r>
      <w:r>
        <w:rPr>
          <w:rFonts w:hint="eastAsia" w:ascii="仿宋" w:hAnsi="仿宋" w:eastAsia="仿宋" w:cs="仿宋"/>
          <w:b/>
          <w:bCs/>
          <w:color w:val="auto"/>
          <w:spacing w:val="-2"/>
          <w:sz w:val="24"/>
          <w:szCs w:val="24"/>
        </w:rPr>
        <w:t>、服务</w:t>
      </w:r>
      <w:r>
        <w:rPr>
          <w:rFonts w:hint="eastAsia" w:ascii="仿宋" w:hAnsi="仿宋" w:eastAsia="仿宋" w:cs="仿宋"/>
          <w:b/>
          <w:bCs/>
          <w:color w:val="auto"/>
          <w:spacing w:val="-1"/>
          <w:sz w:val="24"/>
          <w:szCs w:val="24"/>
        </w:rPr>
        <w:t>承诺</w:t>
      </w:r>
    </w:p>
    <w:p w14:paraId="46B28780">
      <w:pPr>
        <w:spacing w:before="159" w:line="228" w:lineRule="auto"/>
        <w:rPr>
          <w:rFonts w:ascii="Calibri" w:hAnsi="Calibri" w:eastAsia="Calibri" w:cs="Calibri"/>
          <w:color w:val="auto"/>
          <w:sz w:val="22"/>
          <w:szCs w:val="22"/>
        </w:rPr>
      </w:pPr>
      <w:r>
        <w:rPr>
          <w:rFonts w:ascii="Calibri" w:hAnsi="Calibri" w:eastAsia="Calibri" w:cs="Calibri"/>
          <w:b/>
          <w:bCs/>
          <w:color w:val="auto"/>
          <w:spacing w:val="1"/>
          <w:sz w:val="22"/>
          <w:szCs w:val="22"/>
        </w:rPr>
        <w:t>(</w:t>
      </w:r>
      <w:r>
        <w:rPr>
          <w:rFonts w:ascii="宋体" w:hAnsi="宋体" w:eastAsia="宋体" w:cs="宋体"/>
          <w:color w:val="auto"/>
          <w:sz w:val="22"/>
          <w:szCs w:val="22"/>
          <w14:textOutline w14:w="3831" w14:cap="flat" w14:cmpd="sng">
            <w14:solidFill>
              <w14:srgbClr w14:val="000000"/>
            </w14:solidFill>
            <w14:prstDash w14:val="solid"/>
            <w14:miter w14:val="0"/>
          </w14:textOutline>
        </w:rPr>
        <w:t>供应商可自行制作格式</w:t>
      </w:r>
      <w:r>
        <w:rPr>
          <w:rFonts w:ascii="Calibri" w:hAnsi="Calibri" w:eastAsia="Calibri" w:cs="Calibri"/>
          <w:b/>
          <w:bCs/>
          <w:color w:val="auto"/>
          <w:sz w:val="22"/>
          <w:szCs w:val="22"/>
        </w:rPr>
        <w:t>)</w:t>
      </w:r>
    </w:p>
    <w:p w14:paraId="36A0B1BB">
      <w:pPr>
        <w:rPr>
          <w:color w:val="auto"/>
        </w:rPr>
        <w:sectPr>
          <w:footerReference r:id="rId22" w:type="default"/>
          <w:pgSz w:w="11921" w:h="16851"/>
          <w:pgMar w:top="1434" w:right="1788" w:bottom="1465" w:left="1590" w:header="0" w:footer="1303" w:gutter="0"/>
          <w:pgNumType w:fmt="decimal"/>
          <w:cols w:space="720" w:num="1"/>
        </w:sectPr>
      </w:pPr>
    </w:p>
    <w:p w14:paraId="2E65AC9C">
      <w:pPr>
        <w:spacing w:line="299" w:lineRule="auto"/>
        <w:rPr>
          <w:rFonts w:ascii="Arial"/>
          <w:color w:val="auto"/>
          <w:sz w:val="21"/>
        </w:rPr>
      </w:pPr>
    </w:p>
    <w:p w14:paraId="7563AEDE">
      <w:pPr>
        <w:spacing w:before="68" w:line="221" w:lineRule="auto"/>
        <w:jc w:val="center"/>
        <w:outlineLvl w:val="1"/>
        <w:rPr>
          <w:rFonts w:hint="eastAsia" w:ascii="仿宋" w:hAnsi="仿宋" w:eastAsia="仿宋" w:cs="仿宋"/>
          <w:color w:val="auto"/>
          <w:sz w:val="24"/>
          <w:szCs w:val="24"/>
          <w14:textOutline w14:w="3831" w14:cap="rnd" w14:cmpd="sng">
            <w14:solidFill>
              <w14:srgbClr w14:val="000000"/>
            </w14:solidFill>
            <w14:prstDash w14:val="solid"/>
            <w14:round/>
          </w14:textOutline>
        </w:rPr>
      </w:pPr>
      <w:r>
        <w:rPr>
          <w:rFonts w:hint="eastAsia" w:ascii="仿宋" w:hAnsi="仿宋" w:eastAsia="仿宋" w:cs="仿宋"/>
          <w:color w:val="auto"/>
          <w:spacing w:val="-1"/>
          <w:sz w:val="24"/>
          <w:szCs w:val="24"/>
          <w:lang w:val="en-US" w:eastAsia="zh-CN"/>
          <w14:textOutline w14:w="3831" w14:cap="rnd" w14:cmpd="sng">
            <w14:solidFill>
              <w14:srgbClr w14:val="000000"/>
            </w14:solidFill>
            <w14:prstDash w14:val="solid"/>
            <w14:round/>
          </w14:textOutline>
        </w:rPr>
        <w:t>九</w:t>
      </w:r>
      <w:r>
        <w:rPr>
          <w:rFonts w:hint="eastAsia" w:ascii="仿宋" w:hAnsi="仿宋" w:eastAsia="仿宋" w:cs="仿宋"/>
          <w:color w:val="auto"/>
          <w:sz w:val="24"/>
          <w:szCs w:val="24"/>
          <w14:textOutline w14:w="3831" w14:cap="rnd" w14:cmpd="sng">
            <w14:solidFill>
              <w14:srgbClr w14:val="000000"/>
            </w14:solidFill>
            <w14:prstDash w14:val="solid"/>
            <w14:round/>
          </w14:textOutline>
        </w:rPr>
        <w:t>、</w:t>
      </w:r>
      <w:r>
        <w:rPr>
          <w:rFonts w:hint="eastAsia" w:ascii="仿宋" w:hAnsi="仿宋" w:eastAsia="仿宋" w:cs="仿宋"/>
          <w:color w:val="auto"/>
          <w:sz w:val="24"/>
          <w:szCs w:val="24"/>
          <w:lang w:val="en-US" w:eastAsia="zh-CN"/>
          <w14:textOutline w14:w="3831" w14:cap="rnd" w14:cmpd="sng">
            <w14:solidFill>
              <w14:srgbClr w14:val="000000"/>
            </w14:solidFill>
            <w14:prstDash w14:val="solid"/>
            <w14:round/>
          </w14:textOutline>
        </w:rPr>
        <w:t>响应业绩承诺函</w:t>
      </w:r>
    </w:p>
    <w:p w14:paraId="229C6C43">
      <w:pPr>
        <w:spacing w:before="68" w:line="360" w:lineRule="auto"/>
        <w:ind w:left="3641"/>
        <w:outlineLvl w:val="1"/>
        <w:rPr>
          <w:rFonts w:ascii="Arial"/>
          <w:color w:val="auto"/>
          <w:sz w:val="22"/>
          <w:szCs w:val="22"/>
        </w:rPr>
      </w:pPr>
    </w:p>
    <w:p w14:paraId="07781564">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我单位承诺：响应文件中所提供的业绩均真实有效，若被发现存在任何虚假、隐瞒情况，我单位承担由此产生的一切后果。 </w:t>
      </w:r>
    </w:p>
    <w:p w14:paraId="6702B53E">
      <w:pPr>
        <w:keepNext w:val="0"/>
        <w:keepLines w:val="0"/>
        <w:widowControl/>
        <w:suppressLineNumbers w:val="0"/>
        <w:spacing w:line="360" w:lineRule="auto"/>
        <w:jc w:val="center"/>
        <w:rPr>
          <w:rFonts w:hint="default" w:ascii="仿宋" w:hAnsi="仿宋" w:eastAsia="仿宋" w:cs="仿宋"/>
          <w:sz w:val="22"/>
          <w:szCs w:val="22"/>
          <w:u w:val="single"/>
          <w:lang w:val="en-US"/>
        </w:rPr>
      </w:pPr>
      <w:r>
        <w:rPr>
          <w:rFonts w:hint="eastAsia" w:ascii="仿宋" w:hAnsi="仿宋" w:eastAsia="仿宋" w:cs="仿宋"/>
          <w:snapToGrid w:val="0"/>
          <w:color w:val="000000"/>
          <w:kern w:val="0"/>
          <w:sz w:val="22"/>
          <w:szCs w:val="22"/>
          <w:lang w:val="en-US" w:eastAsia="zh-CN" w:bidi="ar"/>
        </w:rPr>
        <w:t xml:space="preserve">                             供应商电子签章： </w:t>
      </w:r>
      <w:r>
        <w:rPr>
          <w:rFonts w:hint="eastAsia" w:ascii="仿宋" w:hAnsi="仿宋" w:eastAsia="仿宋" w:cs="仿宋"/>
          <w:snapToGrid w:val="0"/>
          <w:color w:val="000000"/>
          <w:kern w:val="0"/>
          <w:sz w:val="22"/>
          <w:szCs w:val="22"/>
          <w:u w:val="single"/>
          <w:lang w:val="en-US" w:eastAsia="zh-CN" w:bidi="ar"/>
        </w:rPr>
        <w:t xml:space="preserve">          </w:t>
      </w:r>
    </w:p>
    <w:p w14:paraId="6AA36925">
      <w:pPr>
        <w:keepNext w:val="0"/>
        <w:keepLines w:val="0"/>
        <w:widowControl/>
        <w:suppressLineNumbers w:val="0"/>
        <w:spacing w:line="360" w:lineRule="auto"/>
        <w:ind w:firstLine="5280" w:firstLineChars="2400"/>
        <w:jc w:val="both"/>
        <w:rPr>
          <w:rFonts w:hint="default" w:ascii="仿宋" w:hAnsi="仿宋" w:eastAsia="仿宋" w:cs="仿宋"/>
          <w:sz w:val="22"/>
          <w:szCs w:val="22"/>
          <w:u w:val="single"/>
          <w:lang w:val="en-US"/>
        </w:rPr>
      </w:pPr>
      <w:r>
        <w:rPr>
          <w:rFonts w:hint="eastAsia" w:ascii="仿宋" w:hAnsi="仿宋" w:eastAsia="仿宋" w:cs="仿宋"/>
          <w:snapToGrid w:val="0"/>
          <w:color w:val="000000"/>
          <w:kern w:val="0"/>
          <w:sz w:val="22"/>
          <w:szCs w:val="22"/>
          <w:lang w:val="en-US" w:eastAsia="zh-CN" w:bidi="ar"/>
        </w:rPr>
        <w:t>日期：</w:t>
      </w:r>
      <w:r>
        <w:rPr>
          <w:rFonts w:hint="eastAsia" w:ascii="仿宋" w:hAnsi="仿宋" w:eastAsia="仿宋" w:cs="仿宋"/>
          <w:snapToGrid w:val="0"/>
          <w:color w:val="000000"/>
          <w:kern w:val="0"/>
          <w:sz w:val="22"/>
          <w:szCs w:val="22"/>
          <w:u w:val="single"/>
          <w:lang w:val="en-US" w:eastAsia="zh-CN" w:bidi="ar"/>
        </w:rPr>
        <w:t xml:space="preserve">                    </w:t>
      </w:r>
    </w:p>
    <w:tbl>
      <w:tblPr>
        <w:tblStyle w:val="9"/>
        <w:tblpPr w:leftFromText="180" w:rightFromText="180" w:vertAnchor="text" w:horzAnchor="margin" w:tblpY="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3488"/>
        <w:gridCol w:w="2160"/>
        <w:gridCol w:w="2119"/>
      </w:tblGrid>
      <w:tr w14:paraId="56C5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885" w:type="dxa"/>
            <w:noWrap w:val="0"/>
            <w:vAlign w:val="top"/>
          </w:tcPr>
          <w:p w14:paraId="193DBA52">
            <w:pPr>
              <w:pStyle w:val="16"/>
              <w:spacing w:before="155" w:line="360" w:lineRule="auto"/>
              <w:ind w:left="134" w:right="123"/>
              <w:jc w:val="center"/>
              <w:rPr>
                <w:b/>
                <w:sz w:val="21"/>
                <w:szCs w:val="21"/>
                <w:lang w:eastAsia="en-US"/>
              </w:rPr>
            </w:pPr>
            <w:r>
              <w:rPr>
                <w:b/>
                <w:sz w:val="21"/>
                <w:szCs w:val="21"/>
                <w:lang w:eastAsia="en-US"/>
              </w:rPr>
              <w:t>序号</w:t>
            </w:r>
          </w:p>
        </w:tc>
        <w:tc>
          <w:tcPr>
            <w:tcW w:w="3488" w:type="dxa"/>
            <w:noWrap w:val="0"/>
            <w:vAlign w:val="top"/>
          </w:tcPr>
          <w:p w14:paraId="03DB2A27">
            <w:pPr>
              <w:pStyle w:val="16"/>
              <w:spacing w:before="155" w:line="360" w:lineRule="auto"/>
              <w:ind w:left="1000" w:right="998"/>
              <w:jc w:val="center"/>
              <w:rPr>
                <w:rFonts w:hint="eastAsia" w:eastAsia="宋体"/>
                <w:b/>
                <w:sz w:val="21"/>
                <w:szCs w:val="21"/>
                <w:lang w:eastAsia="zh-CN"/>
              </w:rPr>
            </w:pPr>
            <w:r>
              <w:rPr>
                <w:rFonts w:hint="eastAsia" w:eastAsia="宋体"/>
                <w:b/>
                <w:sz w:val="21"/>
                <w:szCs w:val="21"/>
                <w:lang w:val="en-US" w:eastAsia="zh-CN"/>
              </w:rPr>
              <w:t>项目名称</w:t>
            </w:r>
          </w:p>
        </w:tc>
        <w:tc>
          <w:tcPr>
            <w:tcW w:w="2160" w:type="dxa"/>
            <w:noWrap w:val="0"/>
            <w:vAlign w:val="top"/>
          </w:tcPr>
          <w:p w14:paraId="63B04FB4">
            <w:pPr>
              <w:pStyle w:val="16"/>
              <w:spacing w:before="155" w:line="360" w:lineRule="auto"/>
              <w:ind w:left="6"/>
              <w:jc w:val="center"/>
              <w:rPr>
                <w:b/>
                <w:sz w:val="21"/>
                <w:szCs w:val="21"/>
                <w:lang w:eastAsia="en-US"/>
              </w:rPr>
            </w:pPr>
            <w:r>
              <w:rPr>
                <w:rFonts w:hint="eastAsia"/>
                <w:b/>
                <w:sz w:val="21"/>
                <w:szCs w:val="21"/>
                <w:lang w:eastAsia="en-US"/>
              </w:rPr>
              <w:t>服务范围</w:t>
            </w:r>
          </w:p>
        </w:tc>
        <w:tc>
          <w:tcPr>
            <w:tcW w:w="2119" w:type="dxa"/>
            <w:noWrap w:val="0"/>
            <w:vAlign w:val="top"/>
          </w:tcPr>
          <w:p w14:paraId="60119DE0">
            <w:pPr>
              <w:pStyle w:val="16"/>
              <w:spacing w:before="155" w:line="360" w:lineRule="auto"/>
              <w:ind w:left="588" w:right="579"/>
              <w:jc w:val="center"/>
              <w:rPr>
                <w:rFonts w:hint="eastAsia" w:eastAsia="宋体"/>
                <w:b/>
                <w:sz w:val="21"/>
                <w:szCs w:val="21"/>
                <w:lang w:eastAsia="zh-CN"/>
              </w:rPr>
            </w:pPr>
            <w:r>
              <w:rPr>
                <w:rFonts w:hint="eastAsia" w:eastAsia="宋体"/>
                <w:b/>
                <w:sz w:val="21"/>
                <w:szCs w:val="21"/>
                <w:lang w:val="en-US" w:eastAsia="zh-CN"/>
              </w:rPr>
              <w:t>备注</w:t>
            </w:r>
          </w:p>
        </w:tc>
      </w:tr>
      <w:tr w14:paraId="6881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5" w:type="dxa"/>
            <w:noWrap w:val="0"/>
            <w:vAlign w:val="top"/>
          </w:tcPr>
          <w:p w14:paraId="1AE0E606">
            <w:pPr>
              <w:pStyle w:val="16"/>
              <w:spacing w:before="127" w:line="360" w:lineRule="auto"/>
              <w:ind w:left="6"/>
              <w:jc w:val="center"/>
              <w:rPr>
                <w:sz w:val="21"/>
                <w:szCs w:val="21"/>
                <w:lang w:eastAsia="en-US"/>
              </w:rPr>
            </w:pPr>
            <w:r>
              <w:rPr>
                <w:sz w:val="21"/>
                <w:szCs w:val="21"/>
                <w:lang w:eastAsia="en-US"/>
              </w:rPr>
              <w:t>1</w:t>
            </w:r>
          </w:p>
        </w:tc>
        <w:tc>
          <w:tcPr>
            <w:tcW w:w="3488" w:type="dxa"/>
            <w:noWrap w:val="0"/>
            <w:vAlign w:val="top"/>
          </w:tcPr>
          <w:p w14:paraId="5D12C5A8">
            <w:pPr>
              <w:pStyle w:val="16"/>
              <w:spacing w:line="360" w:lineRule="auto"/>
              <w:rPr>
                <w:sz w:val="21"/>
                <w:szCs w:val="21"/>
                <w:lang w:eastAsia="en-US"/>
              </w:rPr>
            </w:pPr>
          </w:p>
        </w:tc>
        <w:tc>
          <w:tcPr>
            <w:tcW w:w="2160" w:type="dxa"/>
            <w:noWrap w:val="0"/>
            <w:vAlign w:val="top"/>
          </w:tcPr>
          <w:p w14:paraId="75AD2047">
            <w:pPr>
              <w:pStyle w:val="16"/>
              <w:spacing w:line="360" w:lineRule="auto"/>
              <w:rPr>
                <w:sz w:val="21"/>
                <w:szCs w:val="21"/>
                <w:lang w:eastAsia="en-US"/>
              </w:rPr>
            </w:pPr>
          </w:p>
        </w:tc>
        <w:tc>
          <w:tcPr>
            <w:tcW w:w="2119" w:type="dxa"/>
            <w:noWrap w:val="0"/>
            <w:vAlign w:val="top"/>
          </w:tcPr>
          <w:p w14:paraId="6AAC0C9D">
            <w:pPr>
              <w:pStyle w:val="16"/>
              <w:spacing w:line="360" w:lineRule="auto"/>
              <w:rPr>
                <w:sz w:val="21"/>
                <w:szCs w:val="21"/>
                <w:lang w:eastAsia="en-US"/>
              </w:rPr>
            </w:pPr>
          </w:p>
        </w:tc>
      </w:tr>
      <w:tr w14:paraId="47A0A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85" w:type="dxa"/>
            <w:noWrap w:val="0"/>
            <w:vAlign w:val="top"/>
          </w:tcPr>
          <w:p w14:paraId="46440B7B">
            <w:pPr>
              <w:pStyle w:val="16"/>
              <w:spacing w:before="127" w:line="360" w:lineRule="auto"/>
              <w:ind w:left="6"/>
              <w:jc w:val="center"/>
              <w:rPr>
                <w:sz w:val="21"/>
                <w:szCs w:val="21"/>
                <w:lang w:eastAsia="en-US"/>
              </w:rPr>
            </w:pPr>
            <w:r>
              <w:rPr>
                <w:sz w:val="21"/>
                <w:szCs w:val="21"/>
                <w:lang w:eastAsia="en-US"/>
              </w:rPr>
              <w:t>2</w:t>
            </w:r>
          </w:p>
        </w:tc>
        <w:tc>
          <w:tcPr>
            <w:tcW w:w="3488" w:type="dxa"/>
            <w:noWrap w:val="0"/>
            <w:vAlign w:val="top"/>
          </w:tcPr>
          <w:p w14:paraId="28870B44">
            <w:pPr>
              <w:pStyle w:val="16"/>
              <w:spacing w:line="360" w:lineRule="auto"/>
              <w:rPr>
                <w:sz w:val="21"/>
                <w:szCs w:val="21"/>
                <w:lang w:eastAsia="en-US"/>
              </w:rPr>
            </w:pPr>
          </w:p>
        </w:tc>
        <w:tc>
          <w:tcPr>
            <w:tcW w:w="2160" w:type="dxa"/>
            <w:noWrap w:val="0"/>
            <w:vAlign w:val="top"/>
          </w:tcPr>
          <w:p w14:paraId="0B591832">
            <w:pPr>
              <w:pStyle w:val="16"/>
              <w:spacing w:line="360" w:lineRule="auto"/>
              <w:rPr>
                <w:sz w:val="21"/>
                <w:szCs w:val="21"/>
                <w:lang w:eastAsia="en-US"/>
              </w:rPr>
            </w:pPr>
          </w:p>
        </w:tc>
        <w:tc>
          <w:tcPr>
            <w:tcW w:w="2119" w:type="dxa"/>
            <w:noWrap w:val="0"/>
            <w:vAlign w:val="top"/>
          </w:tcPr>
          <w:p w14:paraId="082950C8">
            <w:pPr>
              <w:pStyle w:val="16"/>
              <w:spacing w:line="360" w:lineRule="auto"/>
              <w:rPr>
                <w:sz w:val="21"/>
                <w:szCs w:val="21"/>
                <w:lang w:eastAsia="en-US"/>
              </w:rPr>
            </w:pPr>
          </w:p>
        </w:tc>
      </w:tr>
      <w:tr w14:paraId="0377D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85" w:type="dxa"/>
            <w:noWrap w:val="0"/>
            <w:vAlign w:val="top"/>
          </w:tcPr>
          <w:p w14:paraId="77E805BF">
            <w:pPr>
              <w:pStyle w:val="16"/>
              <w:spacing w:before="127" w:line="360" w:lineRule="auto"/>
              <w:ind w:left="6"/>
              <w:jc w:val="center"/>
              <w:rPr>
                <w:sz w:val="21"/>
                <w:szCs w:val="21"/>
                <w:lang w:eastAsia="en-US"/>
              </w:rPr>
            </w:pPr>
            <w:r>
              <w:rPr>
                <w:sz w:val="21"/>
                <w:szCs w:val="21"/>
                <w:lang w:eastAsia="en-US"/>
              </w:rPr>
              <w:t>3</w:t>
            </w:r>
          </w:p>
        </w:tc>
        <w:tc>
          <w:tcPr>
            <w:tcW w:w="3488" w:type="dxa"/>
            <w:noWrap w:val="0"/>
            <w:vAlign w:val="top"/>
          </w:tcPr>
          <w:p w14:paraId="3BB4AE7C">
            <w:pPr>
              <w:pStyle w:val="16"/>
              <w:spacing w:line="360" w:lineRule="auto"/>
              <w:rPr>
                <w:sz w:val="21"/>
                <w:szCs w:val="21"/>
                <w:lang w:eastAsia="en-US"/>
              </w:rPr>
            </w:pPr>
          </w:p>
        </w:tc>
        <w:tc>
          <w:tcPr>
            <w:tcW w:w="2160" w:type="dxa"/>
            <w:noWrap w:val="0"/>
            <w:vAlign w:val="top"/>
          </w:tcPr>
          <w:p w14:paraId="20D747C6">
            <w:pPr>
              <w:pStyle w:val="16"/>
              <w:spacing w:line="360" w:lineRule="auto"/>
              <w:rPr>
                <w:sz w:val="21"/>
                <w:szCs w:val="21"/>
                <w:lang w:eastAsia="en-US"/>
              </w:rPr>
            </w:pPr>
          </w:p>
        </w:tc>
        <w:tc>
          <w:tcPr>
            <w:tcW w:w="2119" w:type="dxa"/>
            <w:noWrap w:val="0"/>
            <w:vAlign w:val="top"/>
          </w:tcPr>
          <w:p w14:paraId="4F318225">
            <w:pPr>
              <w:pStyle w:val="16"/>
              <w:spacing w:line="360" w:lineRule="auto"/>
              <w:rPr>
                <w:sz w:val="21"/>
                <w:szCs w:val="21"/>
                <w:lang w:eastAsia="en-US"/>
              </w:rPr>
            </w:pPr>
          </w:p>
        </w:tc>
      </w:tr>
      <w:tr w14:paraId="1D52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5" w:type="dxa"/>
            <w:noWrap w:val="0"/>
            <w:vAlign w:val="top"/>
          </w:tcPr>
          <w:p w14:paraId="06A127ED">
            <w:pPr>
              <w:pStyle w:val="16"/>
              <w:spacing w:before="130" w:line="360" w:lineRule="auto"/>
              <w:ind w:left="6"/>
              <w:jc w:val="center"/>
              <w:rPr>
                <w:sz w:val="21"/>
                <w:szCs w:val="21"/>
                <w:lang w:eastAsia="en-US"/>
              </w:rPr>
            </w:pPr>
            <w:r>
              <w:rPr>
                <w:w w:val="200"/>
                <w:sz w:val="21"/>
                <w:szCs w:val="21"/>
                <w:lang w:eastAsia="en-US"/>
              </w:rPr>
              <w:t>„</w:t>
            </w:r>
          </w:p>
        </w:tc>
        <w:tc>
          <w:tcPr>
            <w:tcW w:w="3488" w:type="dxa"/>
            <w:noWrap w:val="0"/>
            <w:vAlign w:val="top"/>
          </w:tcPr>
          <w:p w14:paraId="331F1148">
            <w:pPr>
              <w:pStyle w:val="16"/>
              <w:spacing w:line="360" w:lineRule="auto"/>
              <w:rPr>
                <w:sz w:val="21"/>
                <w:szCs w:val="21"/>
                <w:lang w:eastAsia="en-US"/>
              </w:rPr>
            </w:pPr>
          </w:p>
        </w:tc>
        <w:tc>
          <w:tcPr>
            <w:tcW w:w="2160" w:type="dxa"/>
            <w:noWrap w:val="0"/>
            <w:vAlign w:val="top"/>
          </w:tcPr>
          <w:p w14:paraId="27D838FF">
            <w:pPr>
              <w:pStyle w:val="16"/>
              <w:spacing w:line="360" w:lineRule="auto"/>
              <w:rPr>
                <w:sz w:val="21"/>
                <w:szCs w:val="21"/>
                <w:lang w:eastAsia="en-US"/>
              </w:rPr>
            </w:pPr>
          </w:p>
        </w:tc>
        <w:tc>
          <w:tcPr>
            <w:tcW w:w="2119" w:type="dxa"/>
            <w:noWrap w:val="0"/>
            <w:vAlign w:val="top"/>
          </w:tcPr>
          <w:p w14:paraId="73CFEA9C">
            <w:pPr>
              <w:pStyle w:val="16"/>
              <w:spacing w:line="360" w:lineRule="auto"/>
              <w:rPr>
                <w:sz w:val="21"/>
                <w:szCs w:val="21"/>
                <w:lang w:eastAsia="en-US"/>
              </w:rPr>
            </w:pPr>
          </w:p>
        </w:tc>
      </w:tr>
    </w:tbl>
    <w:p w14:paraId="0FF2D1E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 </w:t>
      </w:r>
    </w:p>
    <w:p w14:paraId="2BB890FE">
      <w:pPr>
        <w:spacing w:line="248" w:lineRule="auto"/>
        <w:rPr>
          <w:rFonts w:ascii="Arial"/>
          <w:color w:val="auto"/>
          <w:sz w:val="21"/>
        </w:rPr>
      </w:pPr>
    </w:p>
    <w:p w14:paraId="5600AD20">
      <w:pPr>
        <w:spacing w:line="248" w:lineRule="auto"/>
        <w:rPr>
          <w:rFonts w:ascii="Arial"/>
          <w:color w:val="auto"/>
          <w:sz w:val="21"/>
        </w:rPr>
      </w:pPr>
    </w:p>
    <w:p w14:paraId="1CA9FDFD">
      <w:pPr>
        <w:spacing w:line="248" w:lineRule="auto"/>
        <w:rPr>
          <w:rFonts w:ascii="Arial"/>
          <w:color w:val="auto"/>
          <w:sz w:val="21"/>
        </w:rPr>
      </w:pPr>
    </w:p>
    <w:p w14:paraId="72DA21B5">
      <w:pPr>
        <w:spacing w:line="248" w:lineRule="auto"/>
        <w:rPr>
          <w:rFonts w:ascii="Arial"/>
          <w:color w:val="auto"/>
          <w:sz w:val="21"/>
        </w:rPr>
      </w:pPr>
    </w:p>
    <w:p w14:paraId="5CE88EDD">
      <w:pPr>
        <w:keepNext w:val="0"/>
        <w:keepLines w:val="0"/>
        <w:widowControl/>
        <w:suppressLineNumbers w:val="0"/>
        <w:spacing w:line="360" w:lineRule="auto"/>
        <w:jc w:val="left"/>
        <w:rPr>
          <w:rFonts w:hint="eastAsia" w:ascii="仿宋" w:hAnsi="仿宋" w:eastAsia="仿宋" w:cs="仿宋"/>
          <w:sz w:val="22"/>
          <w:szCs w:val="22"/>
        </w:rPr>
      </w:pPr>
      <w:r>
        <w:rPr>
          <w:rFonts w:hint="eastAsia" w:ascii="仿宋" w:hAnsi="仿宋" w:eastAsia="仿宋" w:cs="仿宋"/>
          <w:b/>
          <w:bCs/>
          <w:snapToGrid w:val="0"/>
          <w:color w:val="000000"/>
          <w:kern w:val="0"/>
          <w:sz w:val="22"/>
          <w:szCs w:val="22"/>
          <w:lang w:val="en-US" w:eastAsia="zh-CN" w:bidi="ar"/>
        </w:rPr>
        <w:t xml:space="preserve">备注： </w:t>
      </w:r>
    </w:p>
    <w:p w14:paraId="6446F49E">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1.表中所列业绩应为供应商满足征集文件要求的业绩； </w:t>
      </w:r>
    </w:p>
    <w:p w14:paraId="4F278B7F">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2.入围供应商提供的以上业绩情况，如征集文件《供应商须知前附表》有约定的，将按约定随入围结果公告同时公告。</w:t>
      </w:r>
    </w:p>
    <w:p w14:paraId="639F361A">
      <w:pPr>
        <w:spacing w:before="64" w:line="187" w:lineRule="auto"/>
        <w:jc w:val="right"/>
        <w:rPr>
          <w:rFonts w:hint="eastAsia" w:ascii="仿宋" w:hAnsi="仿宋" w:eastAsia="仿宋" w:cs="仿宋"/>
          <w:color w:val="auto"/>
          <w:spacing w:val="97"/>
          <w:sz w:val="22"/>
          <w:szCs w:val="22"/>
          <w:lang w:val="en-US" w:eastAsia="zh-CN"/>
        </w:rPr>
        <w:sectPr>
          <w:footerReference r:id="rId23" w:type="default"/>
          <w:pgSz w:w="11912" w:h="16841"/>
          <w:pgMar w:top="1434" w:right="1377" w:bottom="1457" w:left="1586" w:header="0" w:footer="1293" w:gutter="0"/>
          <w:pgNumType w:fmt="decimal"/>
          <w:cols w:space="720" w:num="1"/>
        </w:sectPr>
      </w:pPr>
    </w:p>
    <w:p w14:paraId="7DD01A54">
      <w:pPr>
        <w:spacing w:line="356" w:lineRule="auto"/>
        <w:rPr>
          <w:rFonts w:ascii="Arial"/>
          <w:color w:val="auto"/>
          <w:sz w:val="21"/>
        </w:rPr>
      </w:pPr>
    </w:p>
    <w:p w14:paraId="7C09D80E">
      <w:pPr>
        <w:spacing w:before="68" w:line="220" w:lineRule="auto"/>
        <w:ind w:left="2829" w:firstLine="726" w:firstLineChars="300"/>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3831" w14:cap="flat" w14:cmpd="sng">
            <w14:solidFill>
              <w14:srgbClr w14:val="000000"/>
            </w14:solidFill>
            <w14:prstDash w14:val="solid"/>
            <w14:miter w14:val="0"/>
          </w14:textOutline>
        </w:rPr>
        <w:t>十</w:t>
      </w:r>
      <w:r>
        <w:rPr>
          <w:rFonts w:hint="eastAsia" w:ascii="仿宋" w:hAnsi="仿宋" w:eastAsia="仿宋" w:cs="仿宋"/>
          <w:color w:val="auto"/>
          <w:sz w:val="24"/>
          <w:szCs w:val="24"/>
          <w14:textOutline w14:w="3831" w14:cap="flat" w14:cmpd="sng">
            <w14:solidFill>
              <w14:srgbClr w14:val="000000"/>
            </w14:solidFill>
            <w14:prstDash w14:val="solid"/>
            <w14:miter w14:val="0"/>
          </w14:textOutline>
        </w:rPr>
        <w:t>、其他相关证明材料</w:t>
      </w:r>
    </w:p>
    <w:p w14:paraId="262A3C10">
      <w:pPr>
        <w:spacing w:line="359" w:lineRule="auto"/>
        <w:rPr>
          <w:rFonts w:ascii="Arial"/>
          <w:color w:val="auto"/>
          <w:sz w:val="21"/>
        </w:rPr>
      </w:pPr>
    </w:p>
    <w:p w14:paraId="0B5D5603">
      <w:pPr>
        <w:spacing w:before="68" w:line="219" w:lineRule="auto"/>
        <w:ind w:left="431" w:firstLine="220" w:firstLineChars="10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提供符合征集公告(</w:t>
      </w:r>
      <w:r>
        <w:rPr>
          <w:rFonts w:hint="eastAsia" w:ascii="仿宋" w:hAnsi="仿宋" w:eastAsia="仿宋" w:cs="仿宋"/>
          <w:color w:val="auto"/>
          <w:spacing w:val="0"/>
          <w:sz w:val="22"/>
          <w:szCs w:val="22"/>
          <w:lang w:val="en-US" w:eastAsia="zh-CN"/>
        </w:rPr>
        <w:t>征集</w:t>
      </w:r>
      <w:r>
        <w:rPr>
          <w:rFonts w:hint="eastAsia" w:ascii="仿宋" w:hAnsi="仿宋" w:eastAsia="仿宋" w:cs="仿宋"/>
          <w:color w:val="auto"/>
          <w:spacing w:val="0"/>
          <w:sz w:val="22"/>
          <w:szCs w:val="22"/>
        </w:rPr>
        <w:t>邀请</w:t>
      </w:r>
      <w:r>
        <w:rPr>
          <w:rFonts w:hint="eastAsia" w:ascii="仿宋" w:hAnsi="仿宋" w:eastAsia="仿宋" w:cs="仿宋"/>
          <w:color w:val="auto"/>
          <w:spacing w:val="0"/>
          <w:sz w:val="22"/>
          <w:szCs w:val="22"/>
          <w:lang w:eastAsia="zh-CN"/>
        </w:rPr>
        <w:t>）</w:t>
      </w:r>
      <w:r>
        <w:rPr>
          <w:rFonts w:hint="eastAsia" w:ascii="仿宋" w:hAnsi="仿宋" w:eastAsia="仿宋" w:cs="仿宋"/>
          <w:color w:val="auto"/>
          <w:spacing w:val="0"/>
          <w:sz w:val="22"/>
          <w:szCs w:val="22"/>
        </w:rPr>
        <w:t>、采购需求及</w:t>
      </w:r>
      <w:r>
        <w:rPr>
          <w:rFonts w:hint="eastAsia" w:ascii="仿宋" w:hAnsi="仿宋" w:eastAsia="仿宋" w:cs="仿宋"/>
          <w:color w:val="auto"/>
          <w:spacing w:val="0"/>
          <w:sz w:val="22"/>
          <w:szCs w:val="22"/>
          <w:lang w:val="en-US" w:eastAsia="zh-CN"/>
        </w:rPr>
        <w:t>评审</w:t>
      </w:r>
      <w:r>
        <w:rPr>
          <w:rFonts w:hint="eastAsia" w:ascii="仿宋" w:hAnsi="仿宋" w:eastAsia="仿宋" w:cs="仿宋"/>
          <w:color w:val="auto"/>
          <w:spacing w:val="0"/>
          <w:sz w:val="22"/>
          <w:szCs w:val="22"/>
        </w:rPr>
        <w:t>方法和标准规定的相关证明文件。</w:t>
      </w:r>
    </w:p>
    <w:p w14:paraId="01B39FA4">
      <w:pPr>
        <w:spacing w:line="277" w:lineRule="auto"/>
        <w:rPr>
          <w:rFonts w:hint="eastAsia" w:ascii="仿宋" w:hAnsi="仿宋" w:eastAsia="仿宋" w:cs="仿宋"/>
          <w:color w:val="auto"/>
          <w:spacing w:val="0"/>
          <w:sz w:val="22"/>
          <w:szCs w:val="22"/>
        </w:rPr>
      </w:pPr>
    </w:p>
    <w:p w14:paraId="1C3BB16C">
      <w:pPr>
        <w:spacing w:line="277" w:lineRule="auto"/>
        <w:rPr>
          <w:rFonts w:hint="eastAsia" w:ascii="仿宋" w:hAnsi="仿宋" w:eastAsia="仿宋" w:cs="仿宋"/>
          <w:color w:val="auto"/>
          <w:spacing w:val="0"/>
          <w:sz w:val="22"/>
          <w:szCs w:val="22"/>
        </w:rPr>
      </w:pPr>
    </w:p>
    <w:p w14:paraId="611CC3ED">
      <w:pPr>
        <w:spacing w:line="278" w:lineRule="auto"/>
        <w:rPr>
          <w:rFonts w:hint="eastAsia" w:ascii="仿宋" w:hAnsi="仿宋" w:eastAsia="仿宋" w:cs="仿宋"/>
          <w:color w:val="auto"/>
          <w:spacing w:val="0"/>
          <w:sz w:val="22"/>
          <w:szCs w:val="22"/>
        </w:rPr>
      </w:pPr>
    </w:p>
    <w:p w14:paraId="735FA9EC">
      <w:pPr>
        <w:spacing w:line="278" w:lineRule="auto"/>
        <w:rPr>
          <w:rFonts w:hint="eastAsia" w:ascii="仿宋" w:hAnsi="仿宋" w:eastAsia="仿宋" w:cs="仿宋"/>
          <w:color w:val="auto"/>
          <w:spacing w:val="0"/>
          <w:sz w:val="22"/>
          <w:szCs w:val="22"/>
        </w:rPr>
      </w:pPr>
    </w:p>
    <w:p w14:paraId="22C749FF">
      <w:pPr>
        <w:spacing w:before="68" w:line="221" w:lineRule="auto"/>
        <w:ind w:left="408"/>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14:textOutline w14:w="3831" w14:cap="flat" w14:cmpd="sng">
            <w14:solidFill>
              <w14:srgbClr w14:val="000000"/>
            </w14:solidFill>
            <w14:prstDash w14:val="solid"/>
            <w14:miter w14:val="0"/>
          </w14:textOutline>
        </w:rPr>
        <w:t>特别提示：</w:t>
      </w:r>
    </w:p>
    <w:p w14:paraId="3D99FEBB">
      <w:pPr>
        <w:spacing w:line="432" w:lineRule="auto"/>
        <w:rPr>
          <w:rFonts w:hint="eastAsia" w:ascii="仿宋" w:hAnsi="仿宋" w:eastAsia="仿宋" w:cs="仿宋"/>
          <w:color w:val="auto"/>
          <w:spacing w:val="0"/>
          <w:sz w:val="22"/>
          <w:szCs w:val="22"/>
        </w:rPr>
      </w:pPr>
    </w:p>
    <w:p w14:paraId="22BFA532">
      <w:pPr>
        <w:spacing w:before="68" w:line="371" w:lineRule="auto"/>
        <w:ind w:firstLine="43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供应商在征集响应文件制作时可在此栏内上传征集文件要求上传的证明资料，如营业执照、税务登记证、人员证书、资质证书、荣誉奖项等，应将上述证明材料制作成扫描件上传。</w:t>
      </w:r>
    </w:p>
    <w:p w14:paraId="71F39F16">
      <w:pPr>
        <w:spacing w:before="68" w:line="371" w:lineRule="auto"/>
        <w:ind w:firstLine="430"/>
        <w:rPr>
          <w:rFonts w:hint="eastAsia" w:ascii="仿宋" w:hAnsi="仿宋" w:eastAsia="仿宋" w:cs="仿宋"/>
          <w:color w:val="auto"/>
          <w:spacing w:val="0"/>
          <w:sz w:val="22"/>
          <w:szCs w:val="22"/>
        </w:rPr>
      </w:pPr>
    </w:p>
    <w:p w14:paraId="5F8A4335">
      <w:pPr>
        <w:spacing w:before="68" w:line="371" w:lineRule="auto"/>
        <w:ind w:firstLine="430"/>
        <w:rPr>
          <w:rFonts w:hint="eastAsia" w:ascii="仿宋" w:hAnsi="仿宋" w:eastAsia="仿宋" w:cs="仿宋"/>
          <w:color w:val="auto"/>
          <w:spacing w:val="0"/>
          <w:sz w:val="22"/>
          <w:szCs w:val="22"/>
        </w:rPr>
      </w:pPr>
    </w:p>
    <w:p w14:paraId="55F8FEFE">
      <w:pPr>
        <w:spacing w:before="68" w:line="371" w:lineRule="auto"/>
        <w:ind w:firstLine="430"/>
        <w:rPr>
          <w:rFonts w:hint="eastAsia" w:ascii="仿宋" w:hAnsi="仿宋" w:eastAsia="仿宋" w:cs="仿宋"/>
          <w:color w:val="auto"/>
          <w:spacing w:val="0"/>
          <w:sz w:val="22"/>
          <w:szCs w:val="22"/>
        </w:rPr>
      </w:pPr>
    </w:p>
    <w:p w14:paraId="129A2F5D">
      <w:pPr>
        <w:spacing w:before="68" w:line="371" w:lineRule="auto"/>
        <w:ind w:firstLine="430"/>
        <w:rPr>
          <w:rFonts w:hint="eastAsia" w:ascii="仿宋" w:hAnsi="仿宋" w:eastAsia="仿宋" w:cs="仿宋"/>
          <w:color w:val="auto"/>
          <w:spacing w:val="0"/>
          <w:sz w:val="22"/>
          <w:szCs w:val="22"/>
        </w:rPr>
      </w:pPr>
    </w:p>
    <w:p w14:paraId="5E905DD7">
      <w:pPr>
        <w:spacing w:before="68" w:line="371" w:lineRule="auto"/>
        <w:ind w:firstLine="430"/>
        <w:rPr>
          <w:rFonts w:hint="eastAsia" w:ascii="仿宋" w:hAnsi="仿宋" w:eastAsia="仿宋" w:cs="仿宋"/>
          <w:color w:val="auto"/>
          <w:spacing w:val="0"/>
          <w:sz w:val="22"/>
          <w:szCs w:val="22"/>
        </w:rPr>
      </w:pPr>
    </w:p>
    <w:p w14:paraId="00D34A5B">
      <w:pPr>
        <w:spacing w:before="68" w:line="371" w:lineRule="auto"/>
        <w:ind w:firstLine="430"/>
        <w:rPr>
          <w:rFonts w:hint="eastAsia" w:ascii="仿宋" w:hAnsi="仿宋" w:eastAsia="仿宋" w:cs="仿宋"/>
          <w:color w:val="auto"/>
          <w:spacing w:val="0"/>
          <w:sz w:val="22"/>
          <w:szCs w:val="22"/>
        </w:rPr>
      </w:pPr>
    </w:p>
    <w:p w14:paraId="53CE7D01">
      <w:pPr>
        <w:spacing w:before="68" w:line="371" w:lineRule="auto"/>
        <w:ind w:firstLine="430"/>
        <w:rPr>
          <w:rFonts w:hint="eastAsia" w:ascii="仿宋" w:hAnsi="仿宋" w:eastAsia="仿宋" w:cs="仿宋"/>
          <w:color w:val="auto"/>
          <w:spacing w:val="0"/>
          <w:sz w:val="22"/>
          <w:szCs w:val="22"/>
        </w:rPr>
      </w:pPr>
    </w:p>
    <w:p w14:paraId="0E8DA801">
      <w:pPr>
        <w:spacing w:before="68" w:line="371" w:lineRule="auto"/>
        <w:ind w:firstLine="430"/>
        <w:rPr>
          <w:rFonts w:hint="eastAsia" w:ascii="仿宋" w:hAnsi="仿宋" w:eastAsia="仿宋" w:cs="仿宋"/>
          <w:color w:val="auto"/>
          <w:spacing w:val="0"/>
          <w:sz w:val="22"/>
          <w:szCs w:val="22"/>
        </w:rPr>
      </w:pPr>
    </w:p>
    <w:p w14:paraId="41D3D4E3">
      <w:pPr>
        <w:spacing w:before="68" w:line="371" w:lineRule="auto"/>
        <w:ind w:firstLine="430"/>
        <w:rPr>
          <w:rFonts w:hint="eastAsia" w:ascii="仿宋" w:hAnsi="仿宋" w:eastAsia="仿宋" w:cs="仿宋"/>
          <w:color w:val="auto"/>
          <w:spacing w:val="0"/>
          <w:sz w:val="22"/>
          <w:szCs w:val="22"/>
        </w:rPr>
      </w:pPr>
    </w:p>
    <w:p w14:paraId="4A4EF713">
      <w:pPr>
        <w:spacing w:before="68" w:line="371" w:lineRule="auto"/>
        <w:ind w:firstLine="430"/>
        <w:rPr>
          <w:rFonts w:hint="eastAsia" w:ascii="仿宋" w:hAnsi="仿宋" w:eastAsia="仿宋" w:cs="仿宋"/>
          <w:color w:val="auto"/>
          <w:spacing w:val="0"/>
          <w:sz w:val="22"/>
          <w:szCs w:val="22"/>
        </w:rPr>
      </w:pPr>
    </w:p>
    <w:p w14:paraId="230D6EC5">
      <w:pPr>
        <w:spacing w:before="68" w:line="371" w:lineRule="auto"/>
        <w:ind w:firstLine="430"/>
        <w:rPr>
          <w:rFonts w:hint="eastAsia" w:ascii="仿宋" w:hAnsi="仿宋" w:eastAsia="仿宋" w:cs="仿宋"/>
          <w:color w:val="auto"/>
          <w:spacing w:val="0"/>
          <w:sz w:val="22"/>
          <w:szCs w:val="22"/>
        </w:rPr>
      </w:pPr>
    </w:p>
    <w:p w14:paraId="5AA1520A">
      <w:pPr>
        <w:spacing w:before="68" w:line="371" w:lineRule="auto"/>
        <w:ind w:firstLine="430"/>
        <w:rPr>
          <w:rFonts w:hint="eastAsia" w:ascii="仿宋" w:hAnsi="仿宋" w:eastAsia="仿宋" w:cs="仿宋"/>
          <w:color w:val="auto"/>
          <w:spacing w:val="0"/>
          <w:sz w:val="22"/>
          <w:szCs w:val="22"/>
        </w:rPr>
      </w:pPr>
    </w:p>
    <w:p w14:paraId="744F2FB3">
      <w:pPr>
        <w:spacing w:before="68" w:line="371" w:lineRule="auto"/>
        <w:ind w:firstLine="430"/>
        <w:rPr>
          <w:rFonts w:hint="eastAsia" w:ascii="仿宋" w:hAnsi="仿宋" w:eastAsia="仿宋" w:cs="仿宋"/>
          <w:color w:val="auto"/>
          <w:spacing w:val="0"/>
          <w:sz w:val="22"/>
          <w:szCs w:val="22"/>
        </w:rPr>
      </w:pPr>
    </w:p>
    <w:p w14:paraId="2A5E2D77">
      <w:pPr>
        <w:spacing w:before="68" w:line="371" w:lineRule="auto"/>
        <w:ind w:firstLine="430"/>
        <w:rPr>
          <w:rFonts w:hint="eastAsia" w:ascii="仿宋" w:hAnsi="仿宋" w:eastAsia="仿宋" w:cs="仿宋"/>
          <w:color w:val="auto"/>
          <w:spacing w:val="0"/>
          <w:sz w:val="22"/>
          <w:szCs w:val="22"/>
        </w:rPr>
      </w:pPr>
    </w:p>
    <w:p w14:paraId="28BBF565">
      <w:pPr>
        <w:spacing w:before="68" w:line="371" w:lineRule="auto"/>
        <w:ind w:firstLine="430"/>
        <w:rPr>
          <w:rFonts w:hint="eastAsia" w:ascii="仿宋" w:hAnsi="仿宋" w:eastAsia="仿宋" w:cs="仿宋"/>
          <w:color w:val="auto"/>
          <w:spacing w:val="0"/>
          <w:sz w:val="22"/>
          <w:szCs w:val="22"/>
        </w:rPr>
      </w:pPr>
    </w:p>
    <w:p w14:paraId="3A257229">
      <w:pPr>
        <w:spacing w:before="68" w:line="371" w:lineRule="auto"/>
        <w:ind w:firstLine="430"/>
        <w:rPr>
          <w:rFonts w:hint="eastAsia" w:ascii="仿宋" w:hAnsi="仿宋" w:eastAsia="仿宋" w:cs="仿宋"/>
          <w:color w:val="auto"/>
          <w:spacing w:val="0"/>
          <w:sz w:val="22"/>
          <w:szCs w:val="22"/>
        </w:rPr>
      </w:pPr>
    </w:p>
    <w:p w14:paraId="394BD3B8">
      <w:pPr>
        <w:pStyle w:val="2"/>
        <w:tabs>
          <w:tab w:val="left" w:pos="1126"/>
        </w:tabs>
        <w:spacing w:after="100" w:afterAutospacing="1" w:line="360" w:lineRule="auto"/>
        <w:ind w:right="136"/>
        <w:jc w:val="center"/>
        <w:rPr>
          <w:rFonts w:ascii="宋体" w:hAnsi="宋体"/>
          <w:sz w:val="30"/>
          <w:szCs w:val="30"/>
        </w:rPr>
      </w:pPr>
      <w:bookmarkStart w:id="17" w:name="_Toc38529151"/>
      <w:r>
        <w:rPr>
          <w:rFonts w:ascii="宋体" w:hAnsi="宋体"/>
          <w:sz w:val="30"/>
          <w:szCs w:val="30"/>
        </w:rPr>
        <w:t>第</w:t>
      </w:r>
      <w:r>
        <w:rPr>
          <w:rFonts w:hint="eastAsia" w:ascii="宋体" w:hAnsi="宋体" w:eastAsia="宋体"/>
          <w:sz w:val="30"/>
          <w:szCs w:val="30"/>
          <w:lang w:val="en-US" w:eastAsia="zh-CN"/>
        </w:rPr>
        <w:t>七</w:t>
      </w:r>
      <w:r>
        <w:rPr>
          <w:rFonts w:ascii="宋体" w:hAnsi="宋体"/>
          <w:sz w:val="30"/>
          <w:szCs w:val="30"/>
        </w:rPr>
        <w:t>章</w:t>
      </w:r>
      <w:r>
        <w:rPr>
          <w:rFonts w:ascii="宋体" w:hAnsi="宋体"/>
          <w:sz w:val="30"/>
          <w:szCs w:val="30"/>
        </w:rPr>
        <w:tab/>
      </w:r>
      <w:r>
        <w:rPr>
          <w:rFonts w:ascii="宋体" w:hAnsi="宋体"/>
          <w:sz w:val="30"/>
          <w:szCs w:val="30"/>
        </w:rPr>
        <w:t>政府采购供应商质疑函范本</w:t>
      </w:r>
      <w:bookmarkEnd w:id="17"/>
    </w:p>
    <w:p w14:paraId="02E2005F">
      <w:pPr>
        <w:spacing w:before="237" w:line="360" w:lineRule="auto"/>
        <w:ind w:left="1367" w:right="1500"/>
        <w:jc w:val="center"/>
        <w:rPr>
          <w:rFonts w:hint="eastAsia" w:ascii="宋体" w:hAnsi="宋体"/>
          <w:b/>
          <w:szCs w:val="21"/>
        </w:rPr>
      </w:pPr>
    </w:p>
    <w:p w14:paraId="168DFBC1">
      <w:pPr>
        <w:keepNext w:val="0"/>
        <w:keepLines w:val="0"/>
        <w:widowControl/>
        <w:suppressLineNumbers w:val="0"/>
        <w:jc w:val="center"/>
        <w:rPr>
          <w:sz w:val="22"/>
          <w:szCs w:val="22"/>
        </w:rPr>
      </w:pPr>
      <w:r>
        <w:rPr>
          <w:rFonts w:ascii="仿宋" w:hAnsi="仿宋" w:eastAsia="仿宋" w:cs="仿宋"/>
          <w:b/>
          <w:bCs/>
          <w:snapToGrid w:val="0"/>
          <w:color w:val="000000"/>
          <w:kern w:val="0"/>
          <w:sz w:val="22"/>
          <w:szCs w:val="22"/>
          <w:lang w:val="en-US" w:eastAsia="zh-CN" w:bidi="ar"/>
        </w:rPr>
        <w:t>询问函范本</w:t>
      </w:r>
    </w:p>
    <w:p w14:paraId="4061B0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center"/>
        <w:textAlignment w:val="baseline"/>
        <w:rPr>
          <w:rFonts w:hint="eastAsia" w:ascii="仿宋" w:hAnsi="仿宋" w:eastAsia="仿宋" w:cs="仿宋"/>
          <w:sz w:val="22"/>
          <w:szCs w:val="22"/>
        </w:rPr>
      </w:pPr>
      <w:r>
        <w:rPr>
          <w:rFonts w:hint="eastAsia" w:ascii="仿宋" w:hAnsi="仿宋" w:eastAsia="仿宋" w:cs="仿宋"/>
          <w:i/>
          <w:iCs/>
          <w:snapToGrid w:val="0"/>
          <w:color w:val="000000"/>
          <w:kern w:val="0"/>
          <w:sz w:val="22"/>
          <w:szCs w:val="22"/>
          <w:lang w:val="en-US" w:eastAsia="zh-CN" w:bidi="ar"/>
        </w:rPr>
        <w:t>（如为对采购文件或采购程序的询问或疑问，请按询问函范本或电子交易系统中网上询问格式附件进行提交）</w:t>
      </w:r>
    </w:p>
    <w:p w14:paraId="691AC6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致：</w:t>
      </w:r>
      <w:r>
        <w:rPr>
          <w:rFonts w:hint="eastAsia" w:ascii="仿宋" w:hAnsi="仿宋" w:eastAsia="仿宋" w:cs="仿宋"/>
          <w:snapToGrid w:val="0"/>
          <w:color w:val="000000"/>
          <w:kern w:val="0"/>
          <w:sz w:val="22"/>
          <w:szCs w:val="22"/>
          <w:u w:val="single"/>
          <w:lang w:val="en-US" w:eastAsia="zh-CN" w:bidi="ar"/>
        </w:rPr>
        <w:t>采购人</w:t>
      </w:r>
    </w:p>
    <w:p w14:paraId="6C67FBC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我单位拟参与</w:t>
      </w:r>
      <w:r>
        <w:rPr>
          <w:rFonts w:hint="eastAsia" w:ascii="仿宋" w:hAnsi="仿宋" w:eastAsia="仿宋" w:cs="仿宋"/>
          <w:snapToGrid w:val="0"/>
          <w:color w:val="000000"/>
          <w:kern w:val="0"/>
          <w:sz w:val="22"/>
          <w:szCs w:val="22"/>
          <w:u w:val="single"/>
          <w:lang w:val="en-US" w:eastAsia="zh-CN" w:bidi="ar"/>
        </w:rPr>
        <w:t xml:space="preserve">      </w:t>
      </w:r>
      <w:r>
        <w:rPr>
          <w:rFonts w:hint="eastAsia" w:ascii="仿宋" w:hAnsi="仿宋" w:eastAsia="仿宋" w:cs="仿宋"/>
          <w:snapToGrid w:val="0"/>
          <w:color w:val="000000"/>
          <w:kern w:val="0"/>
          <w:sz w:val="22"/>
          <w:szCs w:val="22"/>
          <w:lang w:val="en-US" w:eastAsia="zh-CN" w:bidi="ar"/>
        </w:rPr>
        <w:t xml:space="preserve">的采购活动，现有以下内容(或条款)存在疑问(或无法理解)，特提出询问。 </w:t>
      </w:r>
    </w:p>
    <w:p w14:paraId="6DFC67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一、(事项一) </w:t>
      </w:r>
    </w:p>
    <w:p w14:paraId="7B7777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1、(内容或条款) </w:t>
      </w:r>
    </w:p>
    <w:p w14:paraId="008C6B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2、(说明疑问或无法理解原因) </w:t>
      </w:r>
    </w:p>
    <w:p w14:paraId="260E11D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3、(建议) </w:t>
      </w:r>
    </w:p>
    <w:p w14:paraId="37903A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二、(事项二) </w:t>
      </w:r>
    </w:p>
    <w:p w14:paraId="3A1C95D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 随附相关证明材料如下： </w:t>
      </w:r>
    </w:p>
    <w:p w14:paraId="68B6B3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联 系 人： </w:t>
      </w:r>
    </w:p>
    <w:p w14:paraId="365B829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联系电话： </w:t>
      </w:r>
    </w:p>
    <w:p w14:paraId="7DE8D4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日 期：</w:t>
      </w:r>
    </w:p>
    <w:p w14:paraId="40D7C43F">
      <w:pPr>
        <w:spacing w:before="237" w:line="360" w:lineRule="auto"/>
        <w:ind w:left="1367" w:right="1500"/>
        <w:jc w:val="center"/>
        <w:rPr>
          <w:rFonts w:hint="eastAsia" w:ascii="宋体" w:hAnsi="宋体"/>
          <w:b/>
          <w:szCs w:val="21"/>
        </w:rPr>
      </w:pPr>
    </w:p>
    <w:p w14:paraId="4E464DF1">
      <w:pPr>
        <w:spacing w:before="237" w:line="360" w:lineRule="auto"/>
        <w:ind w:left="1367" w:right="1500"/>
        <w:jc w:val="center"/>
        <w:rPr>
          <w:rFonts w:hint="eastAsia" w:ascii="宋体" w:hAnsi="宋体"/>
          <w:b/>
          <w:szCs w:val="21"/>
        </w:rPr>
      </w:pPr>
    </w:p>
    <w:p w14:paraId="21311360">
      <w:pPr>
        <w:spacing w:before="237" w:line="360" w:lineRule="auto"/>
        <w:ind w:left="1367" w:right="1500"/>
        <w:jc w:val="center"/>
        <w:rPr>
          <w:rFonts w:hint="eastAsia" w:ascii="宋体" w:hAnsi="宋体"/>
          <w:b/>
          <w:szCs w:val="21"/>
        </w:rPr>
      </w:pPr>
    </w:p>
    <w:p w14:paraId="4D87F0ED">
      <w:pPr>
        <w:spacing w:before="237" w:line="360" w:lineRule="auto"/>
        <w:ind w:left="1367" w:right="1500"/>
        <w:jc w:val="center"/>
        <w:rPr>
          <w:rFonts w:hint="eastAsia" w:ascii="宋体" w:hAnsi="宋体"/>
          <w:b/>
          <w:szCs w:val="21"/>
        </w:rPr>
      </w:pPr>
    </w:p>
    <w:p w14:paraId="76143991">
      <w:pPr>
        <w:spacing w:before="237" w:line="360" w:lineRule="auto"/>
        <w:ind w:left="1367" w:right="1500"/>
        <w:jc w:val="center"/>
        <w:rPr>
          <w:rFonts w:hint="eastAsia" w:ascii="宋体" w:hAnsi="宋体"/>
          <w:b/>
          <w:szCs w:val="21"/>
        </w:rPr>
      </w:pPr>
    </w:p>
    <w:p w14:paraId="18D0FCDD">
      <w:pPr>
        <w:spacing w:before="237" w:line="360" w:lineRule="auto"/>
        <w:ind w:left="1367" w:right="1500"/>
        <w:jc w:val="center"/>
        <w:rPr>
          <w:rFonts w:hint="eastAsia" w:ascii="宋体" w:hAnsi="宋体"/>
          <w:b/>
          <w:szCs w:val="21"/>
        </w:rPr>
      </w:pPr>
    </w:p>
    <w:p w14:paraId="258638EE">
      <w:pPr>
        <w:spacing w:before="237" w:line="360" w:lineRule="auto"/>
        <w:ind w:left="1367" w:right="1500"/>
        <w:jc w:val="center"/>
        <w:rPr>
          <w:rFonts w:hint="eastAsia" w:ascii="宋体" w:hAnsi="宋体"/>
          <w:b/>
          <w:szCs w:val="21"/>
        </w:rPr>
      </w:pPr>
    </w:p>
    <w:p w14:paraId="795FAD83">
      <w:pPr>
        <w:spacing w:before="237" w:line="360" w:lineRule="auto"/>
        <w:ind w:left="1367" w:right="1500"/>
        <w:jc w:val="center"/>
        <w:rPr>
          <w:rFonts w:hint="eastAsia" w:ascii="宋体" w:hAnsi="宋体"/>
          <w:b/>
          <w:szCs w:val="21"/>
        </w:rPr>
      </w:pPr>
    </w:p>
    <w:p w14:paraId="21CD6026">
      <w:pPr>
        <w:spacing w:before="237" w:line="360" w:lineRule="auto"/>
        <w:ind w:left="1367" w:right="1500"/>
        <w:jc w:val="center"/>
        <w:rPr>
          <w:rFonts w:hint="eastAsia" w:ascii="宋体" w:hAnsi="宋体"/>
          <w:b/>
          <w:szCs w:val="21"/>
        </w:rPr>
      </w:pPr>
    </w:p>
    <w:p w14:paraId="304C7065">
      <w:pPr>
        <w:spacing w:before="237" w:line="360" w:lineRule="auto"/>
        <w:ind w:left="1367" w:right="1500"/>
        <w:jc w:val="center"/>
        <w:rPr>
          <w:rFonts w:hint="eastAsia" w:ascii="宋体" w:hAnsi="宋体"/>
          <w:b/>
          <w:szCs w:val="21"/>
        </w:rPr>
      </w:pPr>
    </w:p>
    <w:p w14:paraId="0A1F9AC2">
      <w:pPr>
        <w:spacing w:before="237" w:line="360" w:lineRule="auto"/>
        <w:ind w:left="1367" w:right="1500"/>
        <w:jc w:val="center"/>
        <w:rPr>
          <w:rFonts w:ascii="宋体" w:hAnsi="宋体"/>
          <w:b/>
          <w:szCs w:val="21"/>
        </w:rPr>
      </w:pPr>
      <w:r>
        <w:rPr>
          <w:rFonts w:hint="eastAsia" w:ascii="宋体" w:hAnsi="宋体"/>
          <w:b/>
          <w:szCs w:val="21"/>
        </w:rPr>
        <w:t>质疑函范本</w:t>
      </w:r>
    </w:p>
    <w:p w14:paraId="38C80B11">
      <w:pPr>
        <w:pStyle w:val="5"/>
        <w:spacing w:before="11" w:line="360" w:lineRule="auto"/>
        <w:ind w:left="0"/>
        <w:rPr>
          <w:b/>
          <w:sz w:val="21"/>
          <w:szCs w:val="21"/>
        </w:rPr>
      </w:pPr>
    </w:p>
    <w:p w14:paraId="2BEE4851">
      <w:pPr>
        <w:pStyle w:val="3"/>
        <w:spacing w:before="1" w:line="360" w:lineRule="auto"/>
        <w:ind w:left="0" w:leftChars="0" w:firstLine="0" w:firstLineChars="0"/>
        <w:rPr>
          <w:sz w:val="21"/>
          <w:szCs w:val="21"/>
        </w:rPr>
      </w:pPr>
      <w:r>
        <w:rPr>
          <w:sz w:val="21"/>
          <w:szCs w:val="21"/>
        </w:rPr>
        <w:t>一、质疑供应商基本信息</w:t>
      </w:r>
    </w:p>
    <w:p w14:paraId="4199546E">
      <w:pPr>
        <w:pStyle w:val="5"/>
        <w:tabs>
          <w:tab w:val="left" w:pos="6511"/>
        </w:tabs>
        <w:spacing w:before="160" w:line="360" w:lineRule="auto"/>
        <w:rPr>
          <w:sz w:val="21"/>
          <w:szCs w:val="21"/>
        </w:rPr>
      </w:pPr>
      <w:r>
        <w:rPr>
          <w:spacing w:val="-1"/>
          <w:sz w:val="21"/>
          <w:szCs w:val="21"/>
        </w:rPr>
        <w:t>质</w:t>
      </w:r>
      <w:r>
        <w:rPr>
          <w:sz w:val="21"/>
          <w:szCs w:val="21"/>
        </w:rPr>
        <w:t>疑供应商：</w:t>
      </w:r>
      <w:r>
        <w:rPr>
          <w:sz w:val="21"/>
          <w:szCs w:val="21"/>
          <w:u w:val="single"/>
        </w:rPr>
        <w:t xml:space="preserve"> </w:t>
      </w:r>
      <w:r>
        <w:rPr>
          <w:sz w:val="21"/>
          <w:szCs w:val="21"/>
          <w:u w:val="single"/>
        </w:rPr>
        <w:tab/>
      </w:r>
    </w:p>
    <w:p w14:paraId="77871814">
      <w:pPr>
        <w:pStyle w:val="5"/>
        <w:tabs>
          <w:tab w:val="left" w:pos="3820"/>
          <w:tab w:val="left" w:pos="4060"/>
          <w:tab w:val="left" w:pos="6511"/>
          <w:tab w:val="left" w:pos="8583"/>
        </w:tabs>
        <w:spacing w:before="158" w:line="360" w:lineRule="auto"/>
        <w:ind w:right="301"/>
        <w:jc w:val="both"/>
        <w:rPr>
          <w:sz w:val="21"/>
          <w:szCs w:val="21"/>
        </w:rPr>
      </w:pPr>
      <w:r>
        <w:rPr>
          <w:sz w:val="21"/>
          <w:szCs w:val="21"/>
        </w:rPr>
        <w:t>地址</w:t>
      </w:r>
      <w:r>
        <w:rPr>
          <w:spacing w:val="14"/>
          <w:sz w:val="21"/>
          <w:szCs w:val="21"/>
        </w:rPr>
        <w:t>：</w:t>
      </w:r>
      <w:r>
        <w:rPr>
          <w:spacing w:val="14"/>
          <w:sz w:val="21"/>
          <w:szCs w:val="21"/>
          <w:u w:val="single"/>
        </w:rPr>
        <w:t xml:space="preserve"> </w:t>
      </w:r>
      <w:r>
        <w:rPr>
          <w:spacing w:val="14"/>
          <w:sz w:val="21"/>
          <w:szCs w:val="21"/>
          <w:u w:val="single"/>
        </w:rPr>
        <w:tab/>
      </w:r>
      <w:r>
        <w:rPr>
          <w:spacing w:val="14"/>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联系人</w:t>
      </w:r>
      <w:r>
        <w:rPr>
          <w:spacing w:val="4"/>
          <w:sz w:val="21"/>
          <w:szCs w:val="21"/>
        </w:rPr>
        <w:t>：</w:t>
      </w:r>
      <w:r>
        <w:rPr>
          <w:spacing w:val="4"/>
          <w:sz w:val="21"/>
          <w:szCs w:val="21"/>
          <w:u w:val="single"/>
        </w:rPr>
        <w:t xml:space="preserve"> </w:t>
      </w:r>
      <w:r>
        <w:rPr>
          <w:spacing w:val="4"/>
          <w:sz w:val="21"/>
          <w:szCs w:val="21"/>
          <w:u w:val="single"/>
        </w:rPr>
        <w:tab/>
      </w:r>
      <w:r>
        <w:rPr>
          <w:sz w:val="21"/>
          <w:szCs w:val="21"/>
        </w:rPr>
        <w:t>联系电话：</w:t>
      </w:r>
      <w:r>
        <w:rPr>
          <w:spacing w:val="-96"/>
          <w:sz w:val="21"/>
          <w:szCs w:val="21"/>
        </w:rPr>
        <w:t xml:space="preserve"> </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27"/>
          <w:sz w:val="21"/>
          <w:szCs w:val="21"/>
          <w:u w:val="single"/>
        </w:rPr>
        <w:t xml:space="preserve"> </w:t>
      </w:r>
      <w:r>
        <w:rPr>
          <w:spacing w:val="-1"/>
          <w:sz w:val="21"/>
          <w:szCs w:val="21"/>
        </w:rPr>
        <w:t>授</w:t>
      </w:r>
      <w:r>
        <w:rPr>
          <w:sz w:val="21"/>
          <w:szCs w:val="21"/>
        </w:rPr>
        <w:t>权代表：</w:t>
      </w:r>
      <w:r>
        <w:rPr>
          <w:sz w:val="21"/>
          <w:szCs w:val="21"/>
          <w:u w:val="single"/>
        </w:rPr>
        <w:t xml:space="preserve"> </w:t>
      </w:r>
      <w:r>
        <w:rPr>
          <w:sz w:val="21"/>
          <w:szCs w:val="21"/>
          <w:u w:val="single"/>
        </w:rPr>
        <w:tab/>
      </w:r>
      <w:r>
        <w:rPr>
          <w:sz w:val="21"/>
          <w:szCs w:val="21"/>
          <w:u w:val="single"/>
        </w:rPr>
        <w:tab/>
      </w:r>
      <w:r>
        <w:rPr>
          <w:sz w:val="21"/>
          <w:szCs w:val="21"/>
          <w:u w:val="single"/>
        </w:rPr>
        <w:tab/>
      </w:r>
    </w:p>
    <w:p w14:paraId="453EA6B6">
      <w:pPr>
        <w:pStyle w:val="5"/>
        <w:tabs>
          <w:tab w:val="left" w:pos="6626"/>
        </w:tabs>
        <w:spacing w:line="360" w:lineRule="auto"/>
        <w:rPr>
          <w:sz w:val="21"/>
          <w:szCs w:val="21"/>
        </w:rPr>
      </w:pPr>
      <w:r>
        <w:rPr>
          <w:spacing w:val="-1"/>
          <w:sz w:val="21"/>
          <w:szCs w:val="21"/>
        </w:rPr>
        <w:t>联</w:t>
      </w:r>
      <w:r>
        <w:rPr>
          <w:sz w:val="21"/>
          <w:szCs w:val="21"/>
        </w:rPr>
        <w:t>系电话：</w:t>
      </w:r>
      <w:r>
        <w:rPr>
          <w:sz w:val="21"/>
          <w:szCs w:val="21"/>
          <w:u w:val="single"/>
        </w:rPr>
        <w:t xml:space="preserve"> </w:t>
      </w:r>
      <w:r>
        <w:rPr>
          <w:sz w:val="21"/>
          <w:szCs w:val="21"/>
          <w:u w:val="single"/>
        </w:rPr>
        <w:tab/>
      </w:r>
    </w:p>
    <w:p w14:paraId="0717B019">
      <w:pPr>
        <w:pStyle w:val="5"/>
        <w:tabs>
          <w:tab w:val="left" w:pos="3940"/>
          <w:tab w:val="left" w:pos="8583"/>
        </w:tabs>
        <w:spacing w:before="158" w:line="360" w:lineRule="auto"/>
        <w:rPr>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 xml:space="preserve"> </w:t>
      </w:r>
      <w:r>
        <w:rPr>
          <w:sz w:val="21"/>
          <w:szCs w:val="21"/>
          <w:u w:val="single"/>
        </w:rPr>
        <w:tab/>
      </w:r>
    </w:p>
    <w:p w14:paraId="343987FB">
      <w:pPr>
        <w:pStyle w:val="3"/>
        <w:spacing w:before="161" w:line="360" w:lineRule="auto"/>
        <w:ind w:left="220"/>
        <w:rPr>
          <w:sz w:val="21"/>
          <w:szCs w:val="21"/>
        </w:rPr>
      </w:pPr>
      <w:r>
        <w:rPr>
          <w:sz w:val="21"/>
          <w:szCs w:val="21"/>
        </w:rPr>
        <w:t>二、质疑项目基本情况</w:t>
      </w:r>
    </w:p>
    <w:p w14:paraId="758FC5C4">
      <w:pPr>
        <w:pStyle w:val="5"/>
        <w:tabs>
          <w:tab w:val="left" w:pos="3940"/>
          <w:tab w:val="left" w:pos="6626"/>
          <w:tab w:val="left" w:pos="6741"/>
        </w:tabs>
        <w:spacing w:before="158" w:line="360" w:lineRule="auto"/>
        <w:ind w:right="2142"/>
        <w:jc w:val="both"/>
        <w:rPr>
          <w:sz w:val="21"/>
          <w:szCs w:val="21"/>
        </w:rPr>
      </w:pPr>
      <w:r>
        <w:rPr>
          <w:sz w:val="21"/>
          <w:szCs w:val="21"/>
        </w:rPr>
        <w:t>质疑项目的名称：</w:t>
      </w:r>
      <w:r>
        <w:rPr>
          <w:spacing w:val="-97"/>
          <w:sz w:val="21"/>
          <w:szCs w:val="21"/>
        </w:rPr>
        <w:t xml:space="preserve"> </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15"/>
          <w:sz w:val="21"/>
          <w:szCs w:val="21"/>
          <w:u w:val="single"/>
        </w:rPr>
        <w:t xml:space="preserve"> </w:t>
      </w:r>
      <w:r>
        <w:rPr>
          <w:spacing w:val="-1"/>
          <w:sz w:val="21"/>
          <w:szCs w:val="21"/>
        </w:rPr>
        <w:t>采</w:t>
      </w:r>
      <w:r>
        <w:rPr>
          <w:sz w:val="21"/>
          <w:szCs w:val="21"/>
        </w:rPr>
        <w:t>购人名称：</w:t>
      </w:r>
      <w:r>
        <w:rPr>
          <w:sz w:val="21"/>
          <w:szCs w:val="21"/>
          <w:u w:val="single"/>
        </w:rPr>
        <w:t xml:space="preserve"> </w:t>
      </w:r>
      <w:r>
        <w:rPr>
          <w:sz w:val="21"/>
          <w:szCs w:val="21"/>
          <w:u w:val="single"/>
        </w:rPr>
        <w:tab/>
      </w:r>
      <w:r>
        <w:rPr>
          <w:sz w:val="21"/>
          <w:szCs w:val="21"/>
          <w:u w:val="single"/>
        </w:rPr>
        <w:tab/>
      </w:r>
    </w:p>
    <w:p w14:paraId="5ED18C7A">
      <w:pPr>
        <w:pStyle w:val="5"/>
        <w:tabs>
          <w:tab w:val="left" w:pos="7596"/>
        </w:tabs>
        <w:spacing w:line="360" w:lineRule="auto"/>
        <w:ind w:right="1287"/>
        <w:rPr>
          <w:b/>
          <w:sz w:val="21"/>
          <w:szCs w:val="21"/>
        </w:rPr>
      </w:pPr>
      <w:r>
        <w:rPr>
          <w:sz w:val="21"/>
          <w:szCs w:val="21"/>
        </w:rPr>
        <w:t>采购文件获取日期</w:t>
      </w:r>
      <w:r>
        <w:rPr>
          <w:spacing w:val="14"/>
          <w:sz w:val="21"/>
          <w:szCs w:val="21"/>
        </w:rPr>
        <w:t>：</w:t>
      </w:r>
      <w:r>
        <w:rPr>
          <w:sz w:val="21"/>
          <w:szCs w:val="21"/>
          <w:u w:val="single"/>
        </w:rPr>
        <w:t xml:space="preserve"> </w:t>
      </w:r>
      <w:r>
        <w:rPr>
          <w:sz w:val="21"/>
          <w:szCs w:val="21"/>
          <w:u w:val="single"/>
        </w:rPr>
        <w:tab/>
      </w:r>
      <w:r>
        <w:rPr>
          <w:sz w:val="21"/>
          <w:szCs w:val="21"/>
          <w:u w:val="single"/>
        </w:rPr>
        <w:t xml:space="preserve">                                          </w:t>
      </w:r>
      <w:r>
        <w:rPr>
          <w:b/>
          <w:sz w:val="21"/>
          <w:szCs w:val="21"/>
        </w:rPr>
        <w:t>三、质疑事项具体内容</w:t>
      </w:r>
    </w:p>
    <w:p w14:paraId="6FD6498F">
      <w:pPr>
        <w:pStyle w:val="5"/>
        <w:tabs>
          <w:tab w:val="left" w:pos="6511"/>
          <w:tab w:val="left" w:pos="6569"/>
        </w:tabs>
        <w:spacing w:before="5" w:line="360" w:lineRule="auto"/>
        <w:ind w:right="2315"/>
        <w:rPr>
          <w:sz w:val="21"/>
          <w:szCs w:val="21"/>
        </w:rPr>
      </w:pPr>
      <w:r>
        <w:rPr>
          <w:sz w:val="21"/>
          <w:szCs w:val="21"/>
        </w:rPr>
        <w:t>质疑事项</w:t>
      </w:r>
      <w:r>
        <w:rPr>
          <w:spacing w:val="-61"/>
          <w:sz w:val="21"/>
          <w:szCs w:val="21"/>
        </w:rPr>
        <w:t xml:space="preserve"> </w:t>
      </w:r>
      <w:r>
        <w:rPr>
          <w:sz w:val="21"/>
          <w:szCs w:val="21"/>
        </w:rPr>
        <w:t>1：</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39"/>
          <w:sz w:val="21"/>
          <w:szCs w:val="21"/>
          <w:u w:val="single"/>
        </w:rPr>
        <w:t xml:space="preserve"> </w:t>
      </w:r>
      <w:r>
        <w:rPr>
          <w:spacing w:val="-1"/>
          <w:sz w:val="21"/>
          <w:szCs w:val="21"/>
        </w:rPr>
        <w:t>事</w:t>
      </w:r>
      <w:r>
        <w:rPr>
          <w:sz w:val="21"/>
          <w:szCs w:val="21"/>
        </w:rPr>
        <w:t>实依据：</w:t>
      </w:r>
      <w:r>
        <w:rPr>
          <w:sz w:val="21"/>
          <w:szCs w:val="21"/>
          <w:u w:val="single"/>
        </w:rPr>
        <w:t xml:space="preserve"> </w:t>
      </w:r>
      <w:r>
        <w:rPr>
          <w:sz w:val="21"/>
          <w:szCs w:val="21"/>
          <w:u w:val="single"/>
        </w:rPr>
        <w:tab/>
      </w:r>
      <w:r>
        <w:rPr>
          <w:sz w:val="21"/>
          <w:szCs w:val="21"/>
          <w:lang w:val="en-US" w:bidi="ar-SA"/>
        </w:rPr>
        <mc:AlternateContent>
          <mc:Choice Requires="wpg">
            <w:drawing>
              <wp:anchor distT="0" distB="0" distL="114300" distR="114300" simplePos="0" relativeHeight="251664384" behindDoc="1" locked="0" layoutInCell="1" allowOverlap="1">
                <wp:simplePos x="0" y="0"/>
                <wp:positionH relativeFrom="page">
                  <wp:posOffset>1143000</wp:posOffset>
                </wp:positionH>
                <wp:positionV relativeFrom="paragraph">
                  <wp:posOffset>176530</wp:posOffset>
                </wp:positionV>
                <wp:extent cx="4179570" cy="7620"/>
                <wp:effectExtent l="0" t="0" r="0" b="0"/>
                <wp:wrapTopAndBottom/>
                <wp:docPr id="321" name="组合 321"/>
                <wp:cNvGraphicFramePr/>
                <a:graphic xmlns:a="http://schemas.openxmlformats.org/drawingml/2006/main">
                  <a:graphicData uri="http://schemas.microsoft.com/office/word/2010/wordprocessingGroup">
                    <wpg:wgp>
                      <wpg:cNvGrpSpPr/>
                      <wpg:grpSpPr>
                        <a:xfrm>
                          <a:off x="0" y="0"/>
                          <a:ext cx="4179570" cy="7620"/>
                          <a:chOff x="1800" y="278"/>
                          <a:chExt cx="6582" cy="12"/>
                        </a:xfrm>
                        <a:effectLst/>
                      </wpg:grpSpPr>
                      <wps:wsp>
                        <wps:cNvPr id="322" name="Rectangle 21"/>
                        <wps:cNvSpPr>
                          <a:spLocks noChangeArrowheads="1"/>
                        </wps:cNvSpPr>
                        <wps:spPr bwMode="auto">
                          <a:xfrm>
                            <a:off x="1800" y="278"/>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22"/>
                        <wps:cNvSpPr>
                          <a:spLocks noChangeArrowheads="1"/>
                        </wps:cNvSpPr>
                        <wps:spPr bwMode="auto">
                          <a:xfrm>
                            <a:off x="18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23"/>
                        <wps:cNvSpPr>
                          <a:spLocks noChangeArrowheads="1"/>
                        </wps:cNvSpPr>
                        <wps:spPr bwMode="auto">
                          <a:xfrm>
                            <a:off x="19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24"/>
                        <wps:cNvSpPr>
                          <a:spLocks noChangeArrowheads="1"/>
                        </wps:cNvSpPr>
                        <wps:spPr bwMode="auto">
                          <a:xfrm>
                            <a:off x="195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25"/>
                        <wps:cNvSpPr>
                          <a:spLocks noChangeArrowheads="1"/>
                        </wps:cNvSpPr>
                        <wps:spPr bwMode="auto">
                          <a:xfrm>
                            <a:off x="20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26"/>
                        <wps:cNvSpPr>
                          <a:spLocks noChangeArrowheads="1"/>
                        </wps:cNvSpPr>
                        <wps:spPr bwMode="auto">
                          <a:xfrm>
                            <a:off x="20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27"/>
                        <wps:cNvSpPr>
                          <a:spLocks noChangeArrowheads="1"/>
                        </wps:cNvSpPr>
                        <wps:spPr bwMode="auto">
                          <a:xfrm>
                            <a:off x="21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28"/>
                        <wps:cNvSpPr>
                          <a:spLocks noChangeArrowheads="1"/>
                        </wps:cNvSpPr>
                        <wps:spPr bwMode="auto">
                          <a:xfrm>
                            <a:off x="21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29"/>
                        <wps:cNvSpPr>
                          <a:spLocks noChangeArrowheads="1"/>
                        </wps:cNvSpPr>
                        <wps:spPr bwMode="auto">
                          <a:xfrm>
                            <a:off x="224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30"/>
                        <wps:cNvSpPr>
                          <a:spLocks noChangeArrowheads="1"/>
                        </wps:cNvSpPr>
                        <wps:spPr bwMode="auto">
                          <a:xfrm>
                            <a:off x="23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31"/>
                        <wps:cNvSpPr>
                          <a:spLocks noChangeArrowheads="1"/>
                        </wps:cNvSpPr>
                        <wps:spPr bwMode="auto">
                          <a:xfrm>
                            <a:off x="23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32"/>
                        <wps:cNvSpPr>
                          <a:spLocks noChangeArrowheads="1"/>
                        </wps:cNvSpPr>
                        <wps:spPr bwMode="auto">
                          <a:xfrm>
                            <a:off x="24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33"/>
                        <wps:cNvSpPr>
                          <a:spLocks noChangeArrowheads="1"/>
                        </wps:cNvSpPr>
                        <wps:spPr bwMode="auto">
                          <a:xfrm>
                            <a:off x="24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34"/>
                        <wps:cNvSpPr>
                          <a:spLocks noChangeArrowheads="1"/>
                        </wps:cNvSpPr>
                        <wps:spPr bwMode="auto">
                          <a:xfrm>
                            <a:off x="253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35"/>
                        <wps:cNvSpPr>
                          <a:spLocks noChangeArrowheads="1"/>
                        </wps:cNvSpPr>
                        <wps:spPr bwMode="auto">
                          <a:xfrm>
                            <a:off x="25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36"/>
                        <wps:cNvSpPr>
                          <a:spLocks noChangeArrowheads="1"/>
                        </wps:cNvSpPr>
                        <wps:spPr bwMode="auto">
                          <a:xfrm>
                            <a:off x="26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37"/>
                        <wps:cNvSpPr>
                          <a:spLocks noChangeArrowheads="1"/>
                        </wps:cNvSpPr>
                        <wps:spPr bwMode="auto">
                          <a:xfrm>
                            <a:off x="27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38"/>
                        <wps:cNvSpPr>
                          <a:spLocks noChangeArrowheads="1"/>
                        </wps:cNvSpPr>
                        <wps:spPr bwMode="auto">
                          <a:xfrm>
                            <a:off x="27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39"/>
                        <wps:cNvSpPr>
                          <a:spLocks noChangeArrowheads="1"/>
                        </wps:cNvSpPr>
                        <wps:spPr bwMode="auto">
                          <a:xfrm>
                            <a:off x="282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40"/>
                        <wps:cNvSpPr>
                          <a:spLocks noChangeArrowheads="1"/>
                        </wps:cNvSpPr>
                        <wps:spPr bwMode="auto">
                          <a:xfrm>
                            <a:off x="28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41"/>
                        <wps:cNvSpPr>
                          <a:spLocks noChangeArrowheads="1"/>
                        </wps:cNvSpPr>
                        <wps:spPr bwMode="auto">
                          <a:xfrm>
                            <a:off x="29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42"/>
                        <wps:cNvSpPr>
                          <a:spLocks noChangeArrowheads="1"/>
                        </wps:cNvSpPr>
                        <wps:spPr bwMode="auto">
                          <a:xfrm>
                            <a:off x="29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43"/>
                        <wps:cNvSpPr>
                          <a:spLocks noChangeArrowheads="1"/>
                        </wps:cNvSpPr>
                        <wps:spPr bwMode="auto">
                          <a:xfrm>
                            <a:off x="305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44"/>
                        <wps:cNvSpPr>
                          <a:spLocks noChangeArrowheads="1"/>
                        </wps:cNvSpPr>
                        <wps:spPr bwMode="auto">
                          <a:xfrm>
                            <a:off x="31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45"/>
                        <wps:cNvSpPr>
                          <a:spLocks noChangeArrowheads="1"/>
                        </wps:cNvSpPr>
                        <wps:spPr bwMode="auto">
                          <a:xfrm>
                            <a:off x="316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46"/>
                        <wps:cNvSpPr>
                          <a:spLocks noChangeArrowheads="1"/>
                        </wps:cNvSpPr>
                        <wps:spPr bwMode="auto">
                          <a:xfrm>
                            <a:off x="322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47"/>
                        <wps:cNvSpPr>
                          <a:spLocks noChangeArrowheads="1"/>
                        </wps:cNvSpPr>
                        <wps:spPr bwMode="auto">
                          <a:xfrm>
                            <a:off x="32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48"/>
                        <wps:cNvSpPr>
                          <a:spLocks noChangeArrowheads="1"/>
                        </wps:cNvSpPr>
                        <wps:spPr bwMode="auto">
                          <a:xfrm>
                            <a:off x="334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49"/>
                        <wps:cNvSpPr>
                          <a:spLocks noChangeArrowheads="1"/>
                        </wps:cNvSpPr>
                        <wps:spPr bwMode="auto">
                          <a:xfrm>
                            <a:off x="33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50"/>
                        <wps:cNvSpPr>
                          <a:spLocks noChangeArrowheads="1"/>
                        </wps:cNvSpPr>
                        <wps:spPr bwMode="auto">
                          <a:xfrm>
                            <a:off x="345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51"/>
                        <wps:cNvSpPr>
                          <a:spLocks noChangeArrowheads="1"/>
                        </wps:cNvSpPr>
                        <wps:spPr bwMode="auto">
                          <a:xfrm>
                            <a:off x="351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52"/>
                        <wps:cNvSpPr>
                          <a:spLocks noChangeArrowheads="1"/>
                        </wps:cNvSpPr>
                        <wps:spPr bwMode="auto">
                          <a:xfrm>
                            <a:off x="35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53"/>
                        <wps:cNvSpPr>
                          <a:spLocks noChangeArrowheads="1"/>
                        </wps:cNvSpPr>
                        <wps:spPr bwMode="auto">
                          <a:xfrm>
                            <a:off x="362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54"/>
                        <wps:cNvSpPr>
                          <a:spLocks noChangeArrowheads="1"/>
                        </wps:cNvSpPr>
                        <wps:spPr bwMode="auto">
                          <a:xfrm>
                            <a:off x="36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55"/>
                        <wps:cNvSpPr>
                          <a:spLocks noChangeArrowheads="1"/>
                        </wps:cNvSpPr>
                        <wps:spPr bwMode="auto">
                          <a:xfrm>
                            <a:off x="374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56"/>
                        <wps:cNvSpPr>
                          <a:spLocks noChangeArrowheads="1"/>
                        </wps:cNvSpPr>
                        <wps:spPr bwMode="auto">
                          <a:xfrm>
                            <a:off x="3802"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57"/>
                        <wps:cNvSpPr>
                          <a:spLocks noChangeArrowheads="1"/>
                        </wps:cNvSpPr>
                        <wps:spPr bwMode="auto">
                          <a:xfrm>
                            <a:off x="386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58"/>
                        <wps:cNvSpPr>
                          <a:spLocks noChangeArrowheads="1"/>
                        </wps:cNvSpPr>
                        <wps:spPr bwMode="auto">
                          <a:xfrm>
                            <a:off x="391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59"/>
                        <wps:cNvSpPr>
                          <a:spLocks noChangeArrowheads="1"/>
                        </wps:cNvSpPr>
                        <wps:spPr bwMode="auto">
                          <a:xfrm>
                            <a:off x="397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60"/>
                        <wps:cNvSpPr>
                          <a:spLocks noChangeArrowheads="1"/>
                        </wps:cNvSpPr>
                        <wps:spPr bwMode="auto">
                          <a:xfrm>
                            <a:off x="40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61"/>
                        <wps:cNvSpPr>
                          <a:spLocks noChangeArrowheads="1"/>
                        </wps:cNvSpPr>
                        <wps:spPr bwMode="auto">
                          <a:xfrm>
                            <a:off x="409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62"/>
                        <wps:cNvSpPr>
                          <a:spLocks noChangeArrowheads="1"/>
                        </wps:cNvSpPr>
                        <wps:spPr bwMode="auto">
                          <a:xfrm>
                            <a:off x="414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63"/>
                        <wps:cNvSpPr>
                          <a:spLocks noChangeArrowheads="1"/>
                        </wps:cNvSpPr>
                        <wps:spPr bwMode="auto">
                          <a:xfrm>
                            <a:off x="420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64"/>
                        <wps:cNvSpPr>
                          <a:spLocks noChangeArrowheads="1"/>
                        </wps:cNvSpPr>
                        <wps:spPr bwMode="auto">
                          <a:xfrm>
                            <a:off x="426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65"/>
                        <wps:cNvSpPr>
                          <a:spLocks noChangeArrowheads="1"/>
                        </wps:cNvSpPr>
                        <wps:spPr bwMode="auto">
                          <a:xfrm>
                            <a:off x="43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66"/>
                        <wps:cNvSpPr>
                          <a:spLocks noChangeArrowheads="1"/>
                        </wps:cNvSpPr>
                        <wps:spPr bwMode="auto">
                          <a:xfrm>
                            <a:off x="437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67"/>
                        <wps:cNvSpPr>
                          <a:spLocks noChangeArrowheads="1"/>
                        </wps:cNvSpPr>
                        <wps:spPr bwMode="auto">
                          <a:xfrm>
                            <a:off x="443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9" name="Rectangle 68"/>
                        <wps:cNvSpPr>
                          <a:spLocks noChangeArrowheads="1"/>
                        </wps:cNvSpPr>
                        <wps:spPr bwMode="auto">
                          <a:xfrm>
                            <a:off x="449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0" name="Rectangle 69"/>
                        <wps:cNvSpPr>
                          <a:spLocks noChangeArrowheads="1"/>
                        </wps:cNvSpPr>
                        <wps:spPr bwMode="auto">
                          <a:xfrm>
                            <a:off x="455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1" name="Rectangle 70"/>
                        <wps:cNvSpPr>
                          <a:spLocks noChangeArrowheads="1"/>
                        </wps:cNvSpPr>
                        <wps:spPr bwMode="auto">
                          <a:xfrm>
                            <a:off x="460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2" name="Rectangle 71"/>
                        <wps:cNvSpPr>
                          <a:spLocks noChangeArrowheads="1"/>
                        </wps:cNvSpPr>
                        <wps:spPr bwMode="auto">
                          <a:xfrm>
                            <a:off x="466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3" name="Rectangle 72"/>
                        <wps:cNvSpPr>
                          <a:spLocks noChangeArrowheads="1"/>
                        </wps:cNvSpPr>
                        <wps:spPr bwMode="auto">
                          <a:xfrm>
                            <a:off x="472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4" name="Rectangle 73"/>
                        <wps:cNvSpPr>
                          <a:spLocks noChangeArrowheads="1"/>
                        </wps:cNvSpPr>
                        <wps:spPr bwMode="auto">
                          <a:xfrm>
                            <a:off x="478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5" name="Rectangle 74"/>
                        <wps:cNvSpPr>
                          <a:spLocks noChangeArrowheads="1"/>
                        </wps:cNvSpPr>
                        <wps:spPr bwMode="auto">
                          <a:xfrm>
                            <a:off x="483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6" name="Rectangle 75"/>
                        <wps:cNvSpPr>
                          <a:spLocks noChangeArrowheads="1"/>
                        </wps:cNvSpPr>
                        <wps:spPr bwMode="auto">
                          <a:xfrm>
                            <a:off x="489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7" name="Rectangle 76"/>
                        <wps:cNvSpPr>
                          <a:spLocks noChangeArrowheads="1"/>
                        </wps:cNvSpPr>
                        <wps:spPr bwMode="auto">
                          <a:xfrm>
                            <a:off x="495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8" name="Rectangle 77"/>
                        <wps:cNvSpPr>
                          <a:spLocks noChangeArrowheads="1"/>
                        </wps:cNvSpPr>
                        <wps:spPr bwMode="auto">
                          <a:xfrm>
                            <a:off x="501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9" name="Rectangle 78"/>
                        <wps:cNvSpPr>
                          <a:spLocks noChangeArrowheads="1"/>
                        </wps:cNvSpPr>
                        <wps:spPr bwMode="auto">
                          <a:xfrm>
                            <a:off x="506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0" name="Rectangle 79"/>
                        <wps:cNvSpPr>
                          <a:spLocks noChangeArrowheads="1"/>
                        </wps:cNvSpPr>
                        <wps:spPr bwMode="auto">
                          <a:xfrm>
                            <a:off x="512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1" name="Rectangle 80"/>
                        <wps:cNvSpPr>
                          <a:spLocks noChangeArrowheads="1"/>
                        </wps:cNvSpPr>
                        <wps:spPr bwMode="auto">
                          <a:xfrm>
                            <a:off x="518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2" name="Rectangle 81"/>
                        <wps:cNvSpPr>
                          <a:spLocks noChangeArrowheads="1"/>
                        </wps:cNvSpPr>
                        <wps:spPr bwMode="auto">
                          <a:xfrm>
                            <a:off x="524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3" name="Rectangle 82"/>
                        <wps:cNvSpPr>
                          <a:spLocks noChangeArrowheads="1"/>
                        </wps:cNvSpPr>
                        <wps:spPr bwMode="auto">
                          <a:xfrm>
                            <a:off x="530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4" name="Rectangle 83"/>
                        <wps:cNvSpPr>
                          <a:spLocks noChangeArrowheads="1"/>
                        </wps:cNvSpPr>
                        <wps:spPr bwMode="auto">
                          <a:xfrm>
                            <a:off x="535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5" name="Rectangle 84"/>
                        <wps:cNvSpPr>
                          <a:spLocks noChangeArrowheads="1"/>
                        </wps:cNvSpPr>
                        <wps:spPr bwMode="auto">
                          <a:xfrm>
                            <a:off x="541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6" name="Rectangle 85"/>
                        <wps:cNvSpPr>
                          <a:spLocks noChangeArrowheads="1"/>
                        </wps:cNvSpPr>
                        <wps:spPr bwMode="auto">
                          <a:xfrm>
                            <a:off x="547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7" name="Rectangle 86"/>
                        <wps:cNvSpPr>
                          <a:spLocks noChangeArrowheads="1"/>
                        </wps:cNvSpPr>
                        <wps:spPr bwMode="auto">
                          <a:xfrm>
                            <a:off x="553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8" name="Rectangle 87"/>
                        <wps:cNvSpPr>
                          <a:spLocks noChangeArrowheads="1"/>
                        </wps:cNvSpPr>
                        <wps:spPr bwMode="auto">
                          <a:xfrm>
                            <a:off x="558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9" name="Rectangle 88"/>
                        <wps:cNvSpPr>
                          <a:spLocks noChangeArrowheads="1"/>
                        </wps:cNvSpPr>
                        <wps:spPr bwMode="auto">
                          <a:xfrm>
                            <a:off x="564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0" name="Rectangle 89"/>
                        <wps:cNvSpPr>
                          <a:spLocks noChangeArrowheads="1"/>
                        </wps:cNvSpPr>
                        <wps:spPr bwMode="auto">
                          <a:xfrm>
                            <a:off x="570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1" name="Rectangle 90"/>
                        <wps:cNvSpPr>
                          <a:spLocks noChangeArrowheads="1"/>
                        </wps:cNvSpPr>
                        <wps:spPr bwMode="auto">
                          <a:xfrm>
                            <a:off x="576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2" name="Rectangle 91"/>
                        <wps:cNvSpPr>
                          <a:spLocks noChangeArrowheads="1"/>
                        </wps:cNvSpPr>
                        <wps:spPr bwMode="auto">
                          <a:xfrm>
                            <a:off x="581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3" name="Rectangle 92"/>
                        <wps:cNvSpPr>
                          <a:spLocks noChangeArrowheads="1"/>
                        </wps:cNvSpPr>
                        <wps:spPr bwMode="auto">
                          <a:xfrm>
                            <a:off x="587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4" name="Rectangle 93"/>
                        <wps:cNvSpPr>
                          <a:spLocks noChangeArrowheads="1"/>
                        </wps:cNvSpPr>
                        <wps:spPr bwMode="auto">
                          <a:xfrm>
                            <a:off x="59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5" name="Rectangle 94"/>
                        <wps:cNvSpPr>
                          <a:spLocks noChangeArrowheads="1"/>
                        </wps:cNvSpPr>
                        <wps:spPr bwMode="auto">
                          <a:xfrm>
                            <a:off x="599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6" name="Rectangle 95"/>
                        <wps:cNvSpPr>
                          <a:spLocks noChangeArrowheads="1"/>
                        </wps:cNvSpPr>
                        <wps:spPr bwMode="auto">
                          <a:xfrm>
                            <a:off x="604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7" name="Rectangle 96"/>
                        <wps:cNvSpPr>
                          <a:spLocks noChangeArrowheads="1"/>
                        </wps:cNvSpPr>
                        <wps:spPr bwMode="auto">
                          <a:xfrm>
                            <a:off x="610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8" name="Rectangle 97"/>
                        <wps:cNvSpPr>
                          <a:spLocks noChangeArrowheads="1"/>
                        </wps:cNvSpPr>
                        <wps:spPr bwMode="auto">
                          <a:xfrm>
                            <a:off x="616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9" name="Rectangle 98"/>
                        <wps:cNvSpPr>
                          <a:spLocks noChangeArrowheads="1"/>
                        </wps:cNvSpPr>
                        <wps:spPr bwMode="auto">
                          <a:xfrm>
                            <a:off x="62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0" name="Rectangle 99"/>
                        <wps:cNvSpPr>
                          <a:spLocks noChangeArrowheads="1"/>
                        </wps:cNvSpPr>
                        <wps:spPr bwMode="auto">
                          <a:xfrm>
                            <a:off x="627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1" name="Rectangle 100"/>
                        <wps:cNvSpPr>
                          <a:spLocks noChangeArrowheads="1"/>
                        </wps:cNvSpPr>
                        <wps:spPr bwMode="auto">
                          <a:xfrm>
                            <a:off x="6337"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02" name="Rectangle 101"/>
                        <wps:cNvSpPr>
                          <a:spLocks noChangeArrowheads="1"/>
                        </wps:cNvSpPr>
                        <wps:spPr bwMode="auto">
                          <a:xfrm>
                            <a:off x="63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3" name="Rectangle 102"/>
                        <wps:cNvSpPr>
                          <a:spLocks noChangeArrowheads="1"/>
                        </wps:cNvSpPr>
                        <wps:spPr bwMode="auto">
                          <a:xfrm>
                            <a:off x="645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4" name="Rectangle 103"/>
                        <wps:cNvSpPr>
                          <a:spLocks noChangeArrowheads="1"/>
                        </wps:cNvSpPr>
                        <wps:spPr bwMode="auto">
                          <a:xfrm>
                            <a:off x="65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5" name="Rectangle 104"/>
                        <wps:cNvSpPr>
                          <a:spLocks noChangeArrowheads="1"/>
                        </wps:cNvSpPr>
                        <wps:spPr bwMode="auto">
                          <a:xfrm>
                            <a:off x="656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6" name="Rectangle 105"/>
                        <wps:cNvSpPr>
                          <a:spLocks noChangeArrowheads="1"/>
                        </wps:cNvSpPr>
                        <wps:spPr bwMode="auto">
                          <a:xfrm>
                            <a:off x="662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7" name="Rectangle 106"/>
                        <wps:cNvSpPr>
                          <a:spLocks noChangeArrowheads="1"/>
                        </wps:cNvSpPr>
                        <wps:spPr bwMode="auto">
                          <a:xfrm>
                            <a:off x="66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8" name="Rectangle 107"/>
                        <wps:cNvSpPr>
                          <a:spLocks noChangeArrowheads="1"/>
                        </wps:cNvSpPr>
                        <wps:spPr bwMode="auto">
                          <a:xfrm>
                            <a:off x="674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9" name="Rectangle 108"/>
                        <wps:cNvSpPr>
                          <a:spLocks noChangeArrowheads="1"/>
                        </wps:cNvSpPr>
                        <wps:spPr bwMode="auto">
                          <a:xfrm>
                            <a:off x="67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0" name="Rectangle 109"/>
                        <wps:cNvSpPr>
                          <a:spLocks noChangeArrowheads="1"/>
                        </wps:cNvSpPr>
                        <wps:spPr bwMode="auto">
                          <a:xfrm>
                            <a:off x="685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1" name="Rectangle 110"/>
                        <wps:cNvSpPr>
                          <a:spLocks noChangeArrowheads="1"/>
                        </wps:cNvSpPr>
                        <wps:spPr bwMode="auto">
                          <a:xfrm>
                            <a:off x="691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2" name="Rectangle 111"/>
                        <wps:cNvSpPr>
                          <a:spLocks noChangeArrowheads="1"/>
                        </wps:cNvSpPr>
                        <wps:spPr bwMode="auto">
                          <a:xfrm>
                            <a:off x="69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3" name="Rectangle 112"/>
                        <wps:cNvSpPr>
                          <a:spLocks noChangeArrowheads="1"/>
                        </wps:cNvSpPr>
                        <wps:spPr bwMode="auto">
                          <a:xfrm>
                            <a:off x="702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4" name="Rectangle 113"/>
                        <wps:cNvSpPr>
                          <a:spLocks noChangeArrowheads="1"/>
                        </wps:cNvSpPr>
                        <wps:spPr bwMode="auto">
                          <a:xfrm>
                            <a:off x="70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5" name="Rectangle 114"/>
                        <wps:cNvSpPr>
                          <a:spLocks noChangeArrowheads="1"/>
                        </wps:cNvSpPr>
                        <wps:spPr bwMode="auto">
                          <a:xfrm>
                            <a:off x="71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6" name="Rectangle 115"/>
                        <wps:cNvSpPr>
                          <a:spLocks noChangeArrowheads="1"/>
                        </wps:cNvSpPr>
                        <wps:spPr bwMode="auto">
                          <a:xfrm>
                            <a:off x="72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7" name="Rectangle 116"/>
                        <wps:cNvSpPr>
                          <a:spLocks noChangeArrowheads="1"/>
                        </wps:cNvSpPr>
                        <wps:spPr bwMode="auto">
                          <a:xfrm>
                            <a:off x="725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8" name="Rectangle 117"/>
                        <wps:cNvSpPr>
                          <a:spLocks noChangeArrowheads="1"/>
                        </wps:cNvSpPr>
                        <wps:spPr bwMode="auto">
                          <a:xfrm>
                            <a:off x="73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9" name="Rectangle 118"/>
                        <wps:cNvSpPr>
                          <a:spLocks noChangeArrowheads="1"/>
                        </wps:cNvSpPr>
                        <wps:spPr bwMode="auto">
                          <a:xfrm>
                            <a:off x="73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0" name="Rectangle 119"/>
                        <wps:cNvSpPr>
                          <a:spLocks noChangeArrowheads="1"/>
                        </wps:cNvSpPr>
                        <wps:spPr bwMode="auto">
                          <a:xfrm>
                            <a:off x="74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1" name="Rectangle 120"/>
                        <wps:cNvSpPr>
                          <a:spLocks noChangeArrowheads="1"/>
                        </wps:cNvSpPr>
                        <wps:spPr bwMode="auto">
                          <a:xfrm>
                            <a:off x="74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2" name="Rectangle 121"/>
                        <wps:cNvSpPr>
                          <a:spLocks noChangeArrowheads="1"/>
                        </wps:cNvSpPr>
                        <wps:spPr bwMode="auto">
                          <a:xfrm>
                            <a:off x="754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3" name="Rectangle 122"/>
                        <wps:cNvSpPr>
                          <a:spLocks noChangeArrowheads="1"/>
                        </wps:cNvSpPr>
                        <wps:spPr bwMode="auto">
                          <a:xfrm>
                            <a:off x="76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4" name="Rectangle 123"/>
                        <wps:cNvSpPr>
                          <a:spLocks noChangeArrowheads="1"/>
                        </wps:cNvSpPr>
                        <wps:spPr bwMode="auto">
                          <a:xfrm>
                            <a:off x="76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5" name="Rectangle 124"/>
                        <wps:cNvSpPr>
                          <a:spLocks noChangeArrowheads="1"/>
                        </wps:cNvSpPr>
                        <wps:spPr bwMode="auto">
                          <a:xfrm>
                            <a:off x="77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6" name="Rectangle 125"/>
                        <wps:cNvSpPr>
                          <a:spLocks noChangeArrowheads="1"/>
                        </wps:cNvSpPr>
                        <wps:spPr bwMode="auto">
                          <a:xfrm>
                            <a:off x="77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7" name="Rectangle 126"/>
                        <wps:cNvSpPr>
                          <a:spLocks noChangeArrowheads="1"/>
                        </wps:cNvSpPr>
                        <wps:spPr bwMode="auto">
                          <a:xfrm>
                            <a:off x="783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8" name="Rectangle 127"/>
                        <wps:cNvSpPr>
                          <a:spLocks noChangeArrowheads="1"/>
                        </wps:cNvSpPr>
                        <wps:spPr bwMode="auto">
                          <a:xfrm>
                            <a:off x="78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9" name="Rectangle 128"/>
                        <wps:cNvSpPr>
                          <a:spLocks noChangeArrowheads="1"/>
                        </wps:cNvSpPr>
                        <wps:spPr bwMode="auto">
                          <a:xfrm>
                            <a:off x="79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0" name="Rectangle 129"/>
                        <wps:cNvSpPr>
                          <a:spLocks noChangeArrowheads="1"/>
                        </wps:cNvSpPr>
                        <wps:spPr bwMode="auto">
                          <a:xfrm>
                            <a:off x="80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1" name="Rectangle 130"/>
                        <wps:cNvSpPr>
                          <a:spLocks noChangeArrowheads="1"/>
                        </wps:cNvSpPr>
                        <wps:spPr bwMode="auto">
                          <a:xfrm>
                            <a:off x="80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2" name="Rectangle 131"/>
                        <wps:cNvSpPr>
                          <a:spLocks noChangeArrowheads="1"/>
                        </wps:cNvSpPr>
                        <wps:spPr bwMode="auto">
                          <a:xfrm>
                            <a:off x="812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3" name="Rectangle 132"/>
                        <wps:cNvSpPr>
                          <a:spLocks noChangeArrowheads="1"/>
                        </wps:cNvSpPr>
                        <wps:spPr bwMode="auto">
                          <a:xfrm>
                            <a:off x="81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4" name="Rectangle 133"/>
                        <wps:cNvSpPr>
                          <a:spLocks noChangeArrowheads="1"/>
                        </wps:cNvSpPr>
                        <wps:spPr bwMode="auto">
                          <a:xfrm>
                            <a:off x="82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5" name="Rectangle 134"/>
                        <wps:cNvSpPr>
                          <a:spLocks noChangeArrowheads="1"/>
                        </wps:cNvSpPr>
                        <wps:spPr bwMode="auto">
                          <a:xfrm>
                            <a:off x="82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6" name="Rectangle 135"/>
                        <wps:cNvSpPr>
                          <a:spLocks noChangeArrowheads="1"/>
                        </wps:cNvSpPr>
                        <wps:spPr bwMode="auto">
                          <a:xfrm>
                            <a:off x="8353" y="278"/>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9pt;height:0.6pt;width:329.1pt;mso-position-horizontal-relative:page;mso-wrap-distance-bottom:0pt;mso-wrap-distance-top:0pt;z-index:-251652096;mso-width-relative:page;mso-height-relative:page;" coordorigin="1800,278" coordsize="6582,12" o:gfxdata="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">
                <o:lock v:ext="edit" aspectratio="f"/>
                <v:rect id="Rectangle 21" o:spid="_x0000_s1026" o:spt="1" style="position:absolute;left:1800;top:278;height:12;width:15;"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 o:spid="_x0000_s1026" o:spt="1" style="position:absolute;left:1843;top:278;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 o:spid="_x0000_s1026" o:spt="1" style="position:absolute;left:1901;top:278;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 o:spid="_x0000_s1026" o:spt="1" style="position:absolute;left:1958;top:278;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5" o:spid="_x0000_s1026" o:spt="1" style="position:absolute;left:2016;top:278;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6" o:spid="_x0000_s1026" o:spt="1" style="position:absolute;left:2074;top:278;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7" o:spid="_x0000_s1026" o:spt="1" style="position:absolute;left:2131;top:278;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8" o:spid="_x0000_s1026" o:spt="1" style="position:absolute;left:2189;top:278;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9" o:spid="_x0000_s1026" o:spt="1" style="position:absolute;left:2246;top:278;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0" o:spid="_x0000_s1026" o:spt="1" style="position:absolute;left:2304;top:278;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1" o:spid="_x0000_s1026" o:spt="1" style="position:absolute;left:2362;top:278;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2" o:spid="_x0000_s1026" o:spt="1" style="position:absolute;left:2419;top:278;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3" o:spid="_x0000_s1026" o:spt="1" style="position:absolute;left:2477;top:278;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4" o:spid="_x0000_s1026" o:spt="1" style="position:absolute;left:2534;top:278;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5" o:spid="_x0000_s1026" o:spt="1" style="position:absolute;left:2592;top:278;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6" o:spid="_x0000_s1026" o:spt="1" style="position:absolute;left:2650;top:278;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2707;top:278;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765;top:278;height:12;width:29;"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822;top:278;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880;top:278;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938;top:278;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2" o:spid="_x0000_s1026" o:spt="1" style="position:absolute;left:2995;top:278;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3" o:spid="_x0000_s1026" o:spt="1" style="position:absolute;left:3053;top:278;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4" o:spid="_x0000_s1026" o:spt="1" style="position:absolute;left:3110;top:278;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5" o:spid="_x0000_s1026" o:spt="1" style="position:absolute;left:3168;top:278;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6" o:spid="_x0000_s1026" o:spt="1" style="position:absolute;left:3226;top:278;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7" o:spid="_x0000_s1026" o:spt="1" style="position:absolute;left:3283;top:278;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8" o:spid="_x0000_s1026" o:spt="1" style="position:absolute;left:3341;top:278;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3398;top:278;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3456;top:278;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1" o:spid="_x0000_s1026" o:spt="1" style="position:absolute;left:3514;top:278;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3571;top:278;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3" o:spid="_x0000_s1026" o:spt="1" style="position:absolute;left:3629;top:278;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4" o:spid="_x0000_s1026" o:spt="1" style="position:absolute;left:3686;top:278;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5" o:spid="_x0000_s1026" o:spt="1" style="position:absolute;left:3744;top:278;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6" o:spid="_x0000_s1026" o:spt="1" style="position:absolute;left:3802;top:278;height:12;width:30;"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860;top:278;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8" o:spid="_x0000_s1026" o:spt="1" style="position:absolute;left:3917;top:278;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975;top:278;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0" o:spid="_x0000_s1026" o:spt="1" style="position:absolute;left:4033;top:278;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4090;top:278;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2" o:spid="_x0000_s1026" o:spt="1" style="position:absolute;left:4148;top:278;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3" o:spid="_x0000_s1026" o:spt="1" style="position:absolute;left:4205;top:278;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4263;top:278;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5" o:spid="_x0000_s1026" o:spt="1" style="position:absolute;left:4321;top:278;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6" o:spid="_x0000_s1026" o:spt="1" style="position:absolute;left:4378;top:278;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4436;top:278;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4493;top:278;height:12;width:29;" fillcolor="#000000" filled="t" stroked="f" coordsize="21600,21600" o:gfxdata="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Sd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4551;top:278;height:12;width:29;" fillcolor="#000000" filled="t" stroked="f" coordsize="21600,21600" o:gfxdata="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Uk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4609;top:278;height:12;width:29;" fillcolor="#000000" filled="t" stroked="f" coordsize="21600,21600" o:gfxdata="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ey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1" o:spid="_x0000_s1026" o:spt="1" style="position:absolute;left:4666;top:278;height:12;width:29;" fillcolor="#000000" filled="t" stroked="f" coordsize="21600,21600" o:gfxdata="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3L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4724;top:278;height:12;width:29;" fillcolor="#000000" filled="t" stroked="f" coordsize="21600,21600" o:gfxdata="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9dL&#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 o:spid="_x0000_s1026" o:spt="1" style="position:absolute;left:4781;top:278;height:12;width:29;" fillcolor="#000000" filled="t" stroked="f" coordsize="21600,21600" o:gfxdata="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Ck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4" o:spid="_x0000_s1026" o:spt="1" style="position:absolute;left:4839;top:278;height:12;width:29;" fillcolor="#000000" filled="t" stroked="f" coordsize="21600,21600" o:gfxdata="UEsDBAoAAAAAAIdO4kAAAAAAAAAAAAAAAAAEAAAAZHJzL1BLAwQUAAAACACHTuJAc0bqp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jI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uq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 o:spid="_x0000_s1026" o:spt="1" style="position:absolute;left:4897;top:278;height:12;width:29;" fillcolor="#000000" filled="t" stroked="f" coordsize="21600,21600" o:gfxdata="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lHT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954;top:278;height:12;width:29;" fillcolor="#000000" filled="t" stroked="f" coordsize="21600,21600" o:gfxdata="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2NF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5012;top:278;height:12;width:29;" fillcolor="#000000" filled="t" stroked="f" coordsize="21600,21600" o:gfxdata="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0U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8" o:spid="_x0000_s1026" o:spt="1" style="position:absolute;left:5069;top:278;height:12;width:29;" fillcolor="#000000" filled="t" stroked="f" coordsize="21600,21600" o:gfxdata="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C+C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5127;top:278;height:12;width:29;" fillcolor="#000000" filled="t" stroked="f" coordsize="21600,21600" o:gfxdata="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OR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0" o:spid="_x0000_s1026" o:spt="1" style="position:absolute;left:5185;top:278;height:12;width:29;" fillcolor="#000000" filled="t" stroked="f" coordsize="21600,21600" o:gfxdata="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J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1" o:spid="_x0000_s1026" o:spt="1" style="position:absolute;left:5242;top:278;height:12;width:29;" fillcolor="#000000" filled="t" stroked="f" coordsize="21600,21600" o:gfxdata="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egL3&#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2" o:spid="_x0000_s1026" o:spt="1" style="position:absolute;left:5300;top:278;height:12;width:29;" fillcolor="#000000" filled="t" stroked="f" coordsize="21600,21600" o:gfxdata="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qd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3" o:spid="_x0000_s1026" o:spt="1" style="position:absolute;left:5357;top:278;height:12;width:29;" fillcolor="#000000" filled="t" stroked="f" coordsize="21600,21600" o:gfxdata="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fPx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5415;top:278;height:12;width:29;" fillcolor="#000000" filled="t" stroked="f" coordsize="21600,21600" o:gfxdata="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Tmo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5" o:spid="_x0000_s1026" o:spt="1" style="position:absolute;left:5473;top:278;height:12;width:29;" fillcolor="#000000" filled="t" stroked="f" coordsize="21600,21600" o:gfxdata="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BBP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6" o:spid="_x0000_s1026" o:spt="1" style="position:absolute;left:5530;top:278;height:12;width:29;" fillcolor="#000000" filled="t" stroked="f" coordsize="21600,21600" o:gfxdata="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DaF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5588;top:278;height:12;width:29;" fillcolor="#000000" filled="t" stroked="f" coordsize="21600,21600" o:gfxdata="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SNR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5645;top:278;height:12;width:29;" fillcolor="#000000" filled="t" stroked="f" coordsize="21600,21600" o:gfxdata="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ekI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9" o:spid="_x0000_s1026" o:spt="1" style="position:absolute;left:5703;top:278;height:12;width:29;" fillcolor="#000000" filled="t" stroked="f" coordsize="21600,21600" o:gfxdata="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9r8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0" o:spid="_x0000_s1026" o:spt="1" style="position:absolute;left:5761;top:278;height:12;width:29;" fillcolor="#000000" filled="t" stroked="f" coordsize="21600,21600" o:gfxdata="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xCl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818;top:278;height:12;width:29;" fillcolor="#000000" filled="t" stroked="f" coordsize="21600,21600" o:gfxdata="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5Q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876;top:278;height:12;width:29;" fillcolor="#000000" filled="t" stroked="f" coordsize="21600,21600" o:gfxdata="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7zG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3" o:spid="_x0000_s1026" o:spt="1" style="position:absolute;left:5933;top:278;height:12;width:29;" fillcolor="#000000" filled="t" stroked="f" coordsize="21600,21600" o:gfxdata="UEsDBAoAAAAAAIdO4kAAAAAAAAAAAAAAAAAEAAAAZHJzL1BLAwQUAAAACACHTuJArAapxc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jI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Bqn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4" o:spid="_x0000_s1026" o:spt="1" style="position:absolute;left:5991;top:278;height:12;width:29;" fillcolor="#000000" filled="t" stroked="f" coordsize="21600,21600" o:gfxdata="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KDF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5" o:spid="_x0000_s1026" o:spt="1" style="position:absolute;left:6049;top:278;height:12;width:29;" fillcolor="#000000" filled="t" stroked="f" coordsize="21600,21600" o:gfxdata="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Yki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6" o:spid="_x0000_s1026" o:spt="1" style="position:absolute;left:6106;top:278;height:12;width:29;" fillcolor="#000000" filled="t" stroked="f" coordsize="21600,21600" o:gfxdata="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1De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6164;top:278;height:12;width:29;" fillcolor="#000000" filled="t" stroked="f" coordsize="21600,21600" o:gfxdata="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Lo8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6221;top:278;height:12;width:29;" fillcolor="#000000" filled="t" stroked="f" coordsize="21600,21600" o:gfxdata="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BwZ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6279;top:278;height:12;width:29;" fillcolor="#000000" filled="t" stroked="f" coordsize="21600,21600" o:gfxdata="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fc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0" o:spid="_x0000_s1026" o:spt="1" style="position:absolute;left:6337;top:278;height:12;width:30;" fillcolor="#000000" filled="t" stroked="f" coordsize="21600,21600" o:gfxdata="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RUr+/&#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6395;top:278;height:12;width:29;" fillcolor="#000000" filled="t" stroked="f" coordsize="21600,21600" o:gfxdata="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DzM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2" o:spid="_x0000_s1026" o:spt="1" style="position:absolute;left:6452;top:278;height:12;width:29;" fillcolor="#000000" filled="t" stroked="f" coordsize="21600,21600" o:gfxdata="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aV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6510;top:278;height:12;width:29;" fillcolor="#000000" filled="t" stroked="f" coordsize="21600,21600" o:gfxdata="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m8S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6567;top:278;height:12;width:29;" fillcolor="#000000" filled="t" stroked="f" coordsize="21600,21600" o:gfxdata="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Uv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5" o:spid="_x0000_s1026" o:spt="1" style="position:absolute;left:6625;top:278;height:12;width:29;" fillcolor="#000000" filled="t" stroked="f" coordsize="21600,21600" o:gfxdata="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Ky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6" o:spid="_x0000_s1026" o:spt="1" style="position:absolute;left:6683;top:278;height:12;width:29;" fillcolor="#000000" filled="t" stroked="f" coordsize="21600,21600" o:gfxdata="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RvU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7" o:spid="_x0000_s1026" o:spt="1" style="position:absolute;left:6740;top:278;height:12;width:29;" fillcolor="#000000" filled="t" stroked="f" coordsize="21600,21600" o:gfxdata="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6/s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8" o:spid="_x0000_s1026" o:spt="1" style="position:absolute;left:6798;top:278;height:12;width:29;" fillcolor="#000000" filled="t" stroked="f" coordsize="21600,21600" o:gfxdata="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Xr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855;top:278;height:12;width:29;" fillcolor="#000000" filled="t" stroked="f" coordsize="21600,21600" o:gfxdata="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0" o:spid="_x0000_s1026" o:spt="1" style="position:absolute;left:6913;top:278;height:12;width:29;" fillcolor="#000000" filled="t" stroked="f" coordsize="21600,21600" o:gfxdata="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IxG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971;top:278;height:12;width:29;" fillcolor="#000000" filled="t" stroked="f" coordsize="21600,21600" o:gfxdata="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2lo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7028;top:278;height:12;width:29;" fillcolor="#000000" filled="t" stroked="f" coordsize="21600,21600" o:gfxdata="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lv+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7086;top:278;height:12;width:29;" fillcolor="#000000" filled="t" stroked="f" coordsize="21600,21600" o:gfxdata="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Z/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7143;top:278;height:12;width:29;" fillcolor="#000000" filled="t" stroked="f" coordsize="21600,21600" o:gfxdata="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zw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7201;top:278;height:12;width:29;" fillcolor="#000000" filled="t" stroked="f" coordsize="21600,21600" o:gfxdata="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4Vw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7259;top:278;height:12;width:29;" fillcolor="#000000" filled="t" stroked="f" coordsize="21600,21600" o:gfxdata="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fm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7316;top:278;height:12;width:29;" fillcolor="#000000" filled="t" stroked="f" coordsize="21600,21600" o:gfxdata="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Mm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8" o:spid="_x0000_s1026" o:spt="1" style="position:absolute;left:7374;top:278;height:12;width:29;" fillcolor="#000000" filled="t" stroked="f" coordsize="21600,21600" o:gfxdata="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fsh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7431;top:278;height:12;width:29;" fillcolor="#000000" filled="t" stroked="f" coordsize="21600,21600" o:gfxdata="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KtE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0" o:spid="_x0000_s1026" o:spt="1" style="position:absolute;left:7489;top:278;height:12;width:29;" fillcolor="#000000" filled="t" stroked="f" coordsize="21600,21600" o:gfxdata="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A7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1" o:spid="_x0000_s1026" o:spt="1" style="position:absolute;left:7547;top:278;height:12;width:29;" fillcolor="#000000" filled="t" stroked="f" coordsize="21600,21600" o:gfxdata="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kK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7604;top:278;height:12;width:29;" fillcolor="#000000" filled="t" stroked="f" coordsize="21600,21600" o:gfxdata="UEsDBAoAAAAAAIdO4kAAAAAAAAAAAAAAAAAEAAAAZHJzL1BLAwQUAAAACACHTuJAQPo1M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UTa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U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3" o:spid="_x0000_s1026" o:spt="1" style="position:absolute;left:7662;top:278;height:12;width:29;" fillcolor="#000000" filled="t" stroked="f" coordsize="21600,21600" o:gfxdata="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61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7719;top:278;height:12;width:29;" fillcolor="#000000" filled="t" stroked="f" coordsize="21600,21600" o:gfxdata="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fC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5" o:spid="_x0000_s1026" o:spt="1" style="position:absolute;left:7777;top:278;height:12;width:29;" fillcolor="#000000" filled="t" stroked="f" coordsize="21600,21600" o:gfxdata="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jZa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835;top:278;height:12;width:29;" fillcolor="#000000" filled="t" stroked="f" coordsize="21600,21600" o:gfxdata="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Mz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892;top:278;height:12;width:29;" fillcolor="#000000" filled="t" stroked="f" coordsize="21600,21600" o:gfxdata="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qd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8" o:spid="_x0000_s1026" o:spt="1" style="position:absolute;left:7950;top:278;height:12;width:29;" fillcolor="#000000" filled="t" stroked="f" coordsize="21600,21600" o:gfxdata="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SA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8007;top:278;height:12;width:29;" fillcolor="#000000" filled="t" stroked="f" coordsize="21600,21600" o:gfxdata="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xPZ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0" o:spid="_x0000_s1026" o:spt="1" style="position:absolute;left:8065;top:278;height:12;width:29;" fillcolor="#000000" filled="t" stroked="f" coordsize="21600,21600" o:gfxdata="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vZg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1" o:spid="_x0000_s1026" o:spt="1" style="position:absolute;left:8123;top:278;height:12;width:29;" fillcolor="#000000" filled="t" stroked="f" coordsize="21600,21600" o:gfxdata="UEsDBAoAAAAAAIdO4kAAAAAAAAAAAAAAAAAEAAAAZHJzL1BLAwQUAAAACACHTuJAqm8Gd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0TC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wZ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8180;top:278;height:12;width:29;" fillcolor="#000000" filled="t" stroked="f" coordsize="21600,21600" o:gfxdata="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j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3" o:spid="_x0000_s1026" o:spt="1" style="position:absolute;left:8238;top:278;height:12;width:29;" fillcolor="#000000" filled="t" stroked="f" coordsize="21600,21600" o:gfxdata="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ju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4" o:spid="_x0000_s1026" o:spt="1" style="position:absolute;left:8295;top:278;height:12;width:29;" fillcolor="#000000" filled="t" stroked="f" coordsize="21600,21600" o:gfxdata="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Gng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8353;top:278;height:12;width:29;" fillcolor="#000000" filled="t" stroked="f" coordsize="21600,21600" o:gfxdata="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UAHa/&#10;AAAA3AAAAA8AAAAAAAAAAQAgAAAAIgAAAGRycy9kb3ducmV2LnhtbFBLAQIUABQAAAAIAIdO4kAz&#10;LwWeOwAAADkAAAAQAAAAAAAAAAEAIAAAAA4BAABkcnMvc2hhcGV4bWwueG1sUEsFBgAAAAAGAAYA&#10;WwEAALgDAAAAAA==&#10;">
                  <v:fill on="t" focussize="0,0"/>
                  <v:stroke on="f"/>
                  <v:imagedata o:title=""/>
                  <o:lock v:ext="edit" aspectratio="f"/>
                </v:rect>
                <w10:wrap type="topAndBottom"/>
              </v:group>
            </w:pict>
          </mc:Fallback>
        </mc:AlternateContent>
      </w:r>
    </w:p>
    <w:p w14:paraId="736F175D">
      <w:pPr>
        <w:pStyle w:val="5"/>
        <w:tabs>
          <w:tab w:val="left" w:pos="6511"/>
        </w:tabs>
        <w:spacing w:before="74" w:line="360" w:lineRule="auto"/>
        <w:rPr>
          <w:sz w:val="21"/>
          <w:szCs w:val="21"/>
        </w:rPr>
      </w:pPr>
      <w:r>
        <w:rPr>
          <w:spacing w:val="-1"/>
          <w:sz w:val="21"/>
          <w:szCs w:val="21"/>
        </w:rPr>
        <w:t>法</w:t>
      </w:r>
      <w:r>
        <w:rPr>
          <w:sz w:val="21"/>
          <w:szCs w:val="21"/>
        </w:rPr>
        <w:t>律依据：</w:t>
      </w:r>
      <w:r>
        <w:rPr>
          <w:sz w:val="21"/>
          <w:szCs w:val="21"/>
          <w:u w:val="single"/>
        </w:rPr>
        <w:t xml:space="preserve"> </w:t>
      </w:r>
      <w:r>
        <w:rPr>
          <w:sz w:val="21"/>
          <w:szCs w:val="21"/>
          <w:u w:val="single"/>
        </w:rPr>
        <w:tab/>
      </w:r>
    </w:p>
    <w:p w14:paraId="19A5FE98">
      <w:pPr>
        <w:pStyle w:val="5"/>
        <w:spacing w:before="4" w:line="360" w:lineRule="auto"/>
        <w:ind w:left="0"/>
        <w:rPr>
          <w:sz w:val="21"/>
          <w:szCs w:val="21"/>
        </w:rPr>
      </w:pPr>
      <w:r>
        <w:rPr>
          <w:sz w:val="21"/>
          <w:szCs w:val="21"/>
          <w:lang w:val="en-US" w:bidi="ar-SA"/>
        </w:rPr>
        <mc:AlternateContent>
          <mc:Choice Requires="wpg">
            <w:drawing>
              <wp:anchor distT="0" distB="0" distL="114300" distR="114300" simplePos="0" relativeHeight="251665408" behindDoc="1" locked="0" layoutInCell="1" allowOverlap="1">
                <wp:simplePos x="0" y="0"/>
                <wp:positionH relativeFrom="page">
                  <wp:posOffset>1143000</wp:posOffset>
                </wp:positionH>
                <wp:positionV relativeFrom="paragraph">
                  <wp:posOffset>129540</wp:posOffset>
                </wp:positionV>
                <wp:extent cx="4033520" cy="7620"/>
                <wp:effectExtent l="0" t="0" r="0" b="0"/>
                <wp:wrapTopAndBottom/>
                <wp:docPr id="1" name="组合 1"/>
                <wp:cNvGraphicFramePr/>
                <a:graphic xmlns:a="http://schemas.openxmlformats.org/drawingml/2006/main">
                  <a:graphicData uri="http://schemas.microsoft.com/office/word/2010/wordprocessingGroup">
                    <wpg:wgp>
                      <wpg:cNvGrpSpPr/>
                      <wpg:grpSpPr>
                        <a:xfrm>
                          <a:off x="0" y="0"/>
                          <a:ext cx="4033520" cy="7620"/>
                          <a:chOff x="1800" y="204"/>
                          <a:chExt cx="6352" cy="12"/>
                        </a:xfrm>
                        <a:effectLst/>
                      </wpg:grpSpPr>
                      <wps:wsp>
                        <wps:cNvPr id="17" name="Rectangle 137"/>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38"/>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39"/>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40"/>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41"/>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42"/>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43"/>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44"/>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45"/>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 name="Rectangle 146"/>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7"/>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 name="Rectangle 148"/>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 name="Rectangle 149"/>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150"/>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 name="Rectangle 151"/>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52"/>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53"/>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54"/>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55"/>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56"/>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57"/>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58"/>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59"/>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60"/>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61"/>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62"/>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63"/>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64"/>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65"/>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66"/>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67"/>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68"/>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69"/>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70"/>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71"/>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72"/>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46" name="Rectangle 173"/>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7" name="Rectangle 174"/>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8" name="Rectangle 175"/>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9" name="Rectangle 176"/>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0" name="Rectangle 177"/>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1" name="Rectangle 178"/>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2" name="Rectangle 179"/>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3" name="Rectangle 180"/>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4" name="Rectangle 181"/>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5" name="Rectangle 182"/>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6" name="Rectangle 183"/>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7" name="Rectangle 184"/>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8" name="Rectangle 185"/>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9" name="Rectangle 186"/>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0" name="Rectangle 187"/>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188"/>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189"/>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190"/>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191"/>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192"/>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193"/>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194"/>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195"/>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196"/>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197"/>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198"/>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199"/>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200"/>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201"/>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202"/>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203"/>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204"/>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205"/>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206"/>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207"/>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208"/>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209"/>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210"/>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211"/>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212"/>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213"/>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214"/>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215"/>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216"/>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217"/>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218"/>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219"/>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220"/>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221"/>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222"/>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223"/>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224"/>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225"/>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226"/>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227"/>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228"/>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229"/>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230"/>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231"/>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232"/>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233"/>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234"/>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235"/>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236"/>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237"/>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238"/>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239"/>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240"/>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241"/>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242"/>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243"/>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244"/>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245"/>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246"/>
                        <wps:cNvSpPr>
                          <a:spLocks noChangeArrowheads="1"/>
                        </wps:cNvSpPr>
                        <wps:spPr bwMode="auto">
                          <a:xfrm>
                            <a:off x="80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247"/>
                        <wps:cNvSpPr>
                          <a:spLocks noChangeArrowheads="1"/>
                        </wps:cNvSpPr>
                        <wps:spPr bwMode="auto">
                          <a:xfrm>
                            <a:off x="8123"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7.6pt;mso-position-horizontal-relative:page;mso-wrap-distance-bottom:0pt;mso-wrap-distance-top:0pt;z-index:-251651072;mso-width-relative:page;mso-height-relative:page;" coordorigin="1800,204" coordsize="6352,12" o:gfxdata="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">
                <o:lock v:ext="edit" aspectratio="f"/>
                <v:rect id="Rectangle 137" o:spid="_x0000_s1026" o:spt="1" style="position:absolute;left:1800;top:204;height:12;width:15;"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8" o:spid="_x0000_s1026" o:spt="1" style="position:absolute;left:1843;top:204;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1901;top:204;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0" o:spid="_x0000_s1026" o:spt="1" style="position:absolute;left:1958;top:204;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1" o:spid="_x0000_s1026" o:spt="1" style="position:absolute;left:2016;top:204;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2" o:spid="_x0000_s1026" o:spt="1" style="position:absolute;left:2074;top:204;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3" o:spid="_x0000_s1026" o:spt="1" style="position:absolute;left:2131;top:204;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4" o:spid="_x0000_s1026" o:spt="1" style="position:absolute;left:2189;top:204;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2246;top:204;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2304;top:204;height:12;width:29;"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7" o:spid="_x0000_s1026" o:spt="1" style="position:absolute;left:2362;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419;top:204;height:12;width:29;"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v:rect id="Rectangle 149" o:spid="_x0000_s1026" o:spt="1" style="position:absolute;left:2477;top:204;height:12;width:29;"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rect id="Rectangle 150" o:spid="_x0000_s1026" o:spt="1" style="position:absolute;left:2534;top:204;height:12;width:29;"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rect id="Rectangle 151" o:spid="_x0000_s1026" o:spt="1" style="position:absolute;left:2592;top:204;height:12;width:29;"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650;top:204;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3" o:spid="_x0000_s1026" o:spt="1" style="position:absolute;left:2707;top:204;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4" o:spid="_x0000_s1026" o:spt="1" style="position:absolute;left:2765;top:204;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5" o:spid="_x0000_s1026" o:spt="1" style="position:absolute;left:2822;top:204;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880;top:204;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7" o:spid="_x0000_s1026" o:spt="1" style="position:absolute;left:2938;top:204;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8" o:spid="_x0000_s1026" o:spt="1" style="position:absolute;left:2995;top:204;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9" o:spid="_x0000_s1026" o:spt="1" style="position:absolute;left:3053;top:204;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0" o:spid="_x0000_s1026" o:spt="1" style="position:absolute;left:3110;top:204;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1" o:spid="_x0000_s1026" o:spt="1" style="position:absolute;left:3168;top:204;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2" o:spid="_x0000_s1026" o:spt="1" style="position:absolute;left:3226;top:204;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3" o:spid="_x0000_s1026" o:spt="1" style="position:absolute;left:3283;top:204;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4" o:spid="_x0000_s1026" o:spt="1" style="position:absolute;left:3341;top:204;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5" o:spid="_x0000_s1026" o:spt="1" style="position:absolute;left:3398;top:204;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6" o:spid="_x0000_s1026" o:spt="1" style="position:absolute;left:3456;top:204;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67" o:spid="_x0000_s1026" o:spt="1" style="position:absolute;left:3514;top:204;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8" o:spid="_x0000_s1026" o:spt="1" style="position:absolute;left:3571;top:204;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69" o:spid="_x0000_s1026" o:spt="1" style="position:absolute;left:3629;top:204;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0" o:spid="_x0000_s1026" o:spt="1" style="position:absolute;left:3686;top:204;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744;top:204;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2" o:spid="_x0000_s1026" o:spt="1" style="position:absolute;left:3802;top:204;height:12;width:30;"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3" o:spid="_x0000_s1026" o:spt="1" style="position:absolute;left:3860;top:204;height:12;width:29;" fillcolor="#000000" filled="t" stroked="f" coordsize="21600,21600" o:gfxdata="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GbH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4" o:spid="_x0000_s1026" o:spt="1" style="position:absolute;left:3917;top:204;height:12;width:29;" fillcolor="#000000" filled="t" stroked="f" coordsize="21600,21600" o:gfxdata="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VFG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5" o:spid="_x0000_s1026" o:spt="1" style="position:absolute;left:3975;top:204;height:12;width:29;" fillcolor="#000000" filled="t" stroked="f" coordsize="21600,21600" o:gfxdata="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oAa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6" o:spid="_x0000_s1026" o:spt="1" style="position:absolute;left:4033;top:204;height:12;width:29;" fillcolor="#000000" filled="t" stroked="f" coordsize="21600,21600" o:gfxdata="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GJY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7" o:spid="_x0000_s1026" o:spt="1" style="position:absolute;left:4090;top:204;height:12;width:29;" fillcolor="#000000" filled="t" stroked="f" coordsize="21600,21600" o:gfxdata="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Rr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8" o:spid="_x0000_s1026" o:spt="1" style="position:absolute;left:4148;top:204;height:12;width:29;" fillcolor="#000000" filled="t" stroked="f" coordsize="21600,21600" o:gfxdata="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v1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9" o:spid="_x0000_s1026" o:spt="1" style="position:absolute;left:4205;top:204;height:12;width:29;" fillcolor="#000000" filled="t" stroked="f" coordsize="21600,21600" o:gfxdata="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yE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0" o:spid="_x0000_s1026" o:spt="1" style="position:absolute;left:4263;top:204;height:12;width:29;" fillcolor="#000000" filled="t" stroked="f" coordsize="21600,21600" o:gfxdata="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3hL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1" o:spid="_x0000_s1026" o:spt="1" style="position:absolute;left:4321;top:204;height:12;width:29;" fillcolor="#000000" filled="t" stroked="f" coordsize="21600,21600" o:gfxdata="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eHM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4378;top:204;height:12;width:29;" fillcolor="#000000" filled="t" stroked="f" coordsize="21600,21600" o:gfxdata="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Erl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3" o:spid="_x0000_s1026" o:spt="1" style="position:absolute;left:4436;top:204;height:12;width:29;" fillcolor="#000000" filled="t" stroked="f" coordsize="21600,21600" o:gfxdata="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AJy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4" o:spid="_x0000_s1026" o:spt="1" style="position:absolute;left:4493;top:204;height:12;width:29;" fillcolor="#000000" filled="t" stroked="f" coordsize="21600,21600" o:gfxdata="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jIK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5" o:spid="_x0000_s1026" o:spt="1" style="position:absolute;left:4551;top:204;height:12;width:29;" fillcolor="#000000" filled="t" stroked="f" coordsize="21600,21600" o:gfxdata="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xb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86" o:spid="_x0000_s1026" o:spt="1" style="position:absolute;left:4609;top:204;height:12;width:29;" fillcolor="#000000" filled="t" stroked="f" coordsize="21600,21600" o:gfxdata="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fs1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7" o:spid="_x0000_s1026" o:spt="1" style="position:absolute;left:4666;top:204;height:12;width:29;"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88" o:spid="_x0000_s1026" o:spt="1" style="position:absolute;left:4724;top:204;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9" o:spid="_x0000_s1026" o:spt="1" style="position:absolute;left:4781;top:204;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0" o:spid="_x0000_s1026" o:spt="1" style="position:absolute;left:4839;top:204;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897;top:204;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2" o:spid="_x0000_s1026" o:spt="1" style="position:absolute;left:4954;top:204;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3" o:spid="_x0000_s1026" o:spt="1" style="position:absolute;left:5012;top:204;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4" o:spid="_x0000_s1026" o:spt="1" style="position:absolute;left:5069;top:204;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5" o:spid="_x0000_s1026" o:spt="1" style="position:absolute;left:5127;top:204;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6" o:spid="_x0000_s1026" o:spt="1" style="position:absolute;left:5185;top:204;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7" o:spid="_x0000_s1026" o:spt="1" style="position:absolute;left:5242;top:204;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8" o:spid="_x0000_s1026" o:spt="1" style="position:absolute;left:5300;top:204;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9" o:spid="_x0000_s1026" o:spt="1" style="position:absolute;left:5357;top:204;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415;top:204;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1" o:spid="_x0000_s1026" o:spt="1" style="position:absolute;left:5473;top:204;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530;top:204;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3" o:spid="_x0000_s1026" o:spt="1" style="position:absolute;left:5588;top:204;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4" o:spid="_x0000_s1026" o:spt="1" style="position:absolute;left:5645;top:204;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5" o:spid="_x0000_s1026" o:spt="1" style="position:absolute;left:5703;top:204;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6" o:spid="_x0000_s1026" o:spt="1" style="position:absolute;left:5761;top:204;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7" o:spid="_x0000_s1026" o:spt="1" style="position:absolute;left:5818;top:204;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8" o:spid="_x0000_s1026" o:spt="1" style="position:absolute;left:5876;top:204;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9" o:spid="_x0000_s1026" o:spt="1" style="position:absolute;left:5933;top:204;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0" o:spid="_x0000_s1026" o:spt="1" style="position:absolute;left:5991;top:204;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1" o:spid="_x0000_s1026" o:spt="1" style="position:absolute;left:6049;top:204;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2" o:spid="_x0000_s1026" o:spt="1" style="position:absolute;left:6106;top:204;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3" o:spid="_x0000_s1026" o:spt="1" style="position:absolute;left:6164;top:204;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4" o:spid="_x0000_s1026" o:spt="1" style="position:absolute;left:6221;top:204;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5" o:spid="_x0000_s1026" o:spt="1" style="position:absolute;left:6279;top:204;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16" o:spid="_x0000_s1026" o:spt="1" style="position:absolute;left:6337;top:204;height:12;width:30;"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7" o:spid="_x0000_s1026" o:spt="1" style="position:absolute;left:6395;top:204;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18" o:spid="_x0000_s1026" o:spt="1" style="position:absolute;left:6452;top:204;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9" o:spid="_x0000_s1026" o:spt="1" style="position:absolute;left:6510;top:204;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0" o:spid="_x0000_s1026" o:spt="1" style="position:absolute;left:6567;top:204;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1" o:spid="_x0000_s1026" o:spt="1" style="position:absolute;left:6625;top:204;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2" o:spid="_x0000_s1026" o:spt="1" style="position:absolute;left:6683;top:204;height:12;width:29;"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3" o:spid="_x0000_s1026" o:spt="1" style="position:absolute;left:6740;top:204;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4" o:spid="_x0000_s1026" o:spt="1" style="position:absolute;left:6798;top:204;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5" o:spid="_x0000_s1026" o:spt="1" style="position:absolute;left:6855;top:204;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6" o:spid="_x0000_s1026" o:spt="1" style="position:absolute;left:6913;top:204;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971;top:204;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7028;top:204;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7086;top:204;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0" o:spid="_x0000_s1026" o:spt="1" style="position:absolute;left:7143;top:204;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31" o:spid="_x0000_s1026" o:spt="1" style="position:absolute;left:7201;top:204;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2" o:spid="_x0000_s1026" o:spt="1" style="position:absolute;left:7259;top:204;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3" o:spid="_x0000_s1026" o:spt="1" style="position:absolute;left:7316;top:204;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4" o:spid="_x0000_s1026" o:spt="1" style="position:absolute;left:7374;top:204;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5" o:spid="_x0000_s1026" o:spt="1" style="position:absolute;left:7431;top:204;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6" o:spid="_x0000_s1026" o:spt="1" style="position:absolute;left:7489;top:204;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7" o:spid="_x0000_s1026" o:spt="1" style="position:absolute;left:7547;top:204;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8" o:spid="_x0000_s1026" o:spt="1" style="position:absolute;left:7604;top:204;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662;top:204;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0" o:spid="_x0000_s1026" o:spt="1" style="position:absolute;left:7719;top:204;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1" o:spid="_x0000_s1026" o:spt="1" style="position:absolute;left:7777;top:204;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2" o:spid="_x0000_s1026" o:spt="1" style="position:absolute;left:7835;top:204;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3" o:spid="_x0000_s1026" o:spt="1" style="position:absolute;left:7892;top:204;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4" o:spid="_x0000_s1026" o:spt="1" style="position:absolute;left:7950;top:204;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5" o:spid="_x0000_s1026" o:spt="1" style="position:absolute;left:8007;top:204;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6" o:spid="_x0000_s1026" o:spt="1" style="position:absolute;left:8065;top:204;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7" o:spid="_x0000_s1026" o:spt="1" style="position:absolute;left:8123;top:204;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3359674D">
      <w:pPr>
        <w:pStyle w:val="5"/>
        <w:spacing w:before="66" w:line="360" w:lineRule="auto"/>
        <w:rPr>
          <w:sz w:val="21"/>
          <w:szCs w:val="21"/>
        </w:rPr>
      </w:pPr>
      <w:r>
        <w:rPr>
          <w:sz w:val="21"/>
          <w:szCs w:val="21"/>
        </w:rPr>
        <w:t>质疑事项 2</w:t>
      </w:r>
    </w:p>
    <w:p w14:paraId="1925799C">
      <w:pPr>
        <w:pStyle w:val="5"/>
        <w:spacing w:before="158" w:line="360" w:lineRule="auto"/>
        <w:rPr>
          <w:sz w:val="21"/>
          <w:szCs w:val="21"/>
        </w:rPr>
      </w:pPr>
      <w:r>
        <w:rPr>
          <w:w w:val="200"/>
          <w:sz w:val="21"/>
          <w:szCs w:val="21"/>
        </w:rPr>
        <w:t>„„</w:t>
      </w:r>
    </w:p>
    <w:p w14:paraId="42ACD9A9">
      <w:pPr>
        <w:pStyle w:val="3"/>
        <w:spacing w:before="161" w:line="360" w:lineRule="auto"/>
        <w:ind w:left="220"/>
        <w:rPr>
          <w:sz w:val="21"/>
          <w:szCs w:val="21"/>
        </w:rPr>
      </w:pPr>
      <w:r>
        <w:rPr>
          <w:sz w:val="21"/>
          <w:szCs w:val="21"/>
        </w:rPr>
        <w:t>四、与质疑事项相关的质疑请求</w:t>
      </w:r>
    </w:p>
    <w:p w14:paraId="0C6FBBC5">
      <w:pPr>
        <w:pStyle w:val="5"/>
        <w:tabs>
          <w:tab w:val="left" w:pos="6626"/>
        </w:tabs>
        <w:spacing w:before="158" w:line="360" w:lineRule="auto"/>
        <w:rPr>
          <w:sz w:val="21"/>
          <w:szCs w:val="21"/>
        </w:rPr>
      </w:pPr>
      <w:r>
        <w:rPr>
          <w:sz w:val="21"/>
          <w:szCs w:val="21"/>
        </w:rPr>
        <w:t>请求</w:t>
      </w:r>
      <w:r>
        <w:rPr>
          <w:spacing w:val="14"/>
          <w:sz w:val="21"/>
          <w:szCs w:val="21"/>
        </w:rPr>
        <w:t>：</w:t>
      </w:r>
      <w:r>
        <w:rPr>
          <w:sz w:val="21"/>
          <w:szCs w:val="21"/>
          <w:u w:val="single"/>
        </w:rPr>
        <w:t xml:space="preserve"> </w:t>
      </w:r>
      <w:r>
        <w:rPr>
          <w:sz w:val="21"/>
          <w:szCs w:val="21"/>
          <w:u w:val="single"/>
        </w:rPr>
        <w:tab/>
      </w:r>
    </w:p>
    <w:p w14:paraId="5D5952FA">
      <w:pPr>
        <w:pStyle w:val="5"/>
        <w:spacing w:before="1" w:line="360" w:lineRule="auto"/>
        <w:ind w:left="0"/>
        <w:rPr>
          <w:sz w:val="21"/>
          <w:szCs w:val="21"/>
        </w:rPr>
      </w:pPr>
    </w:p>
    <w:p w14:paraId="4CD43895">
      <w:pPr>
        <w:pStyle w:val="5"/>
        <w:tabs>
          <w:tab w:val="left" w:pos="3940"/>
        </w:tabs>
        <w:spacing w:before="66" w:line="360" w:lineRule="auto"/>
        <w:rPr>
          <w:sz w:val="21"/>
          <w:szCs w:val="21"/>
        </w:rPr>
      </w:pPr>
      <w:r>
        <w:rPr>
          <w:sz w:val="21"/>
          <w:szCs w:val="21"/>
        </w:rPr>
        <w:t>签字(签章)：</w:t>
      </w:r>
      <w:r>
        <w:rPr>
          <w:sz w:val="21"/>
          <w:szCs w:val="21"/>
        </w:rPr>
        <w:tab/>
      </w:r>
      <w:r>
        <w:rPr>
          <w:sz w:val="21"/>
          <w:szCs w:val="21"/>
        </w:rPr>
        <w:t>公章：</w:t>
      </w:r>
    </w:p>
    <w:p w14:paraId="01EB92A4">
      <w:pPr>
        <w:pStyle w:val="5"/>
        <w:spacing w:before="161" w:line="360" w:lineRule="auto"/>
        <w:rPr>
          <w:sz w:val="21"/>
          <w:szCs w:val="21"/>
        </w:rPr>
      </w:pPr>
      <w:r>
        <w:rPr>
          <w:sz w:val="21"/>
          <w:szCs w:val="21"/>
        </w:rPr>
        <w:t>日期：</w:t>
      </w:r>
    </w:p>
    <w:p w14:paraId="66E63EB3">
      <w:pPr>
        <w:spacing w:line="360" w:lineRule="auto"/>
        <w:rPr>
          <w:rFonts w:ascii="宋体" w:hAnsi="宋体"/>
          <w:szCs w:val="21"/>
        </w:rPr>
        <w:sectPr>
          <w:footerReference r:id="rId24" w:type="default"/>
          <w:pgSz w:w="11910" w:h="16840"/>
          <w:pgMar w:top="1380" w:right="1440" w:bottom="1500" w:left="1580" w:header="877" w:footer="1304" w:gutter="0"/>
          <w:pgNumType w:fmt="decimal"/>
          <w:cols w:space="720" w:num="1"/>
        </w:sectPr>
      </w:pPr>
    </w:p>
    <w:p w14:paraId="14012FB4">
      <w:pPr>
        <w:pStyle w:val="5"/>
        <w:spacing w:before="9" w:line="360" w:lineRule="auto"/>
        <w:ind w:left="0"/>
        <w:rPr>
          <w:sz w:val="21"/>
          <w:szCs w:val="21"/>
        </w:rPr>
      </w:pPr>
    </w:p>
    <w:p w14:paraId="7ACF6460">
      <w:pPr>
        <w:spacing w:before="61" w:line="360" w:lineRule="auto"/>
        <w:ind w:left="220"/>
        <w:rPr>
          <w:rFonts w:ascii="宋体" w:hAnsi="宋体"/>
          <w:b/>
          <w:szCs w:val="21"/>
        </w:rPr>
      </w:pPr>
      <w:r>
        <w:rPr>
          <w:rFonts w:ascii="宋体" w:hAnsi="宋体"/>
          <w:b/>
          <w:szCs w:val="21"/>
        </w:rPr>
        <w:t>质疑函制作说明：</w:t>
      </w:r>
    </w:p>
    <w:p w14:paraId="744C6AB9">
      <w:pPr>
        <w:pStyle w:val="17"/>
        <w:numPr>
          <w:ilvl w:val="0"/>
          <w:numId w:val="8"/>
        </w:numPr>
        <w:tabs>
          <w:tab w:val="left" w:pos="896"/>
        </w:tabs>
        <w:autoSpaceDE w:val="0"/>
        <w:autoSpaceDN w:val="0"/>
        <w:spacing w:before="212" w:line="360" w:lineRule="auto"/>
        <w:ind w:hanging="242" w:firstLineChars="0"/>
        <w:rPr>
          <w:rFonts w:ascii="宋体" w:hAnsi="宋体"/>
          <w:szCs w:val="21"/>
        </w:rPr>
      </w:pPr>
      <w:r>
        <w:rPr>
          <w:rFonts w:ascii="宋体" w:hAnsi="宋体"/>
          <w:szCs w:val="21"/>
        </w:rPr>
        <w:t>供应商提出质疑时，应提交质疑函和必要的证明材料。</w:t>
      </w:r>
    </w:p>
    <w:p w14:paraId="72C0E48E">
      <w:pPr>
        <w:pStyle w:val="17"/>
        <w:numPr>
          <w:ilvl w:val="0"/>
          <w:numId w:val="8"/>
        </w:numPr>
        <w:tabs>
          <w:tab w:val="left" w:pos="898"/>
        </w:tabs>
        <w:autoSpaceDE w:val="0"/>
        <w:autoSpaceDN w:val="0"/>
        <w:spacing w:before="160" w:line="360" w:lineRule="auto"/>
        <w:ind w:left="220" w:right="237" w:firstLine="434" w:firstLineChars="0"/>
        <w:rPr>
          <w:rFonts w:ascii="宋体" w:hAnsi="宋体"/>
          <w:szCs w:val="21"/>
        </w:rPr>
      </w:pPr>
      <w:r>
        <w:rPr>
          <w:rFonts w:ascii="宋体" w:hAnsi="宋体"/>
          <w:szCs w:val="21"/>
        </w:rPr>
        <w:t>质疑供应商若委托代理人进行质疑的，质疑函应按要求列明“授权代表”</w:t>
      </w:r>
      <w:r>
        <w:rPr>
          <w:rFonts w:ascii="宋体" w:hAnsi="宋体"/>
          <w:spacing w:val="-9"/>
          <w:szCs w:val="21"/>
        </w:rPr>
        <w:t>的有关内容，并在附件中提交由质疑供应商签署的授权委托书。授权委托书应载明代理人的姓名或者名称、代理事项、具体权限、期限和相关事项。</w:t>
      </w:r>
    </w:p>
    <w:p w14:paraId="19B0EBD8">
      <w:pPr>
        <w:pStyle w:val="17"/>
        <w:numPr>
          <w:ilvl w:val="0"/>
          <w:numId w:val="8"/>
        </w:numPr>
        <w:tabs>
          <w:tab w:val="left" w:pos="896"/>
        </w:tabs>
        <w:autoSpaceDE w:val="0"/>
        <w:autoSpaceDN w:val="0"/>
        <w:spacing w:before="2" w:line="360" w:lineRule="auto"/>
        <w:ind w:hanging="242" w:firstLineChars="0"/>
        <w:rPr>
          <w:rFonts w:ascii="宋体" w:hAnsi="宋体"/>
          <w:szCs w:val="21"/>
        </w:rPr>
      </w:pPr>
      <w:r>
        <w:rPr>
          <w:rFonts w:ascii="宋体" w:hAnsi="宋体"/>
          <w:szCs w:val="21"/>
        </w:rPr>
        <w:t>质疑供应商若对项目的某一分包进行质疑，质疑函中应列明具体分包号。</w:t>
      </w:r>
    </w:p>
    <w:p w14:paraId="4C2E2993">
      <w:pPr>
        <w:pStyle w:val="17"/>
        <w:numPr>
          <w:ilvl w:val="0"/>
          <w:numId w:val="8"/>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质疑函的质疑事项应具体、明确，并有必要的事实依据和法律依据。</w:t>
      </w:r>
    </w:p>
    <w:p w14:paraId="31743CBE">
      <w:pPr>
        <w:pStyle w:val="17"/>
        <w:numPr>
          <w:ilvl w:val="0"/>
          <w:numId w:val="8"/>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质疑函的质疑请求应与质疑事项相关。</w:t>
      </w:r>
    </w:p>
    <w:p w14:paraId="0964B054">
      <w:pPr>
        <w:pStyle w:val="17"/>
        <w:numPr>
          <w:ilvl w:val="0"/>
          <w:numId w:val="8"/>
        </w:numPr>
        <w:tabs>
          <w:tab w:val="left" w:pos="896"/>
        </w:tabs>
        <w:autoSpaceDE w:val="0"/>
        <w:autoSpaceDN w:val="0"/>
        <w:spacing w:before="160" w:line="360" w:lineRule="auto"/>
        <w:ind w:left="220" w:right="355" w:firstLine="434" w:firstLineChars="0"/>
        <w:rPr>
          <w:rFonts w:ascii="宋体" w:hAnsi="宋体"/>
          <w:szCs w:val="21"/>
        </w:rPr>
      </w:pPr>
      <w:r>
        <w:rPr>
          <w:rFonts w:ascii="宋体" w:hAnsi="宋体"/>
          <w:spacing w:val="-5"/>
          <w:szCs w:val="21"/>
        </w:rPr>
        <w:t>质疑供应商为自然人的，质疑函应由本人签字；质疑供应商为法人或者其</w:t>
      </w:r>
      <w:r>
        <w:rPr>
          <w:rFonts w:ascii="宋体" w:hAnsi="宋体"/>
          <w:spacing w:val="-22"/>
          <w:szCs w:val="21"/>
        </w:rPr>
        <w:t>他组织的，质疑函应由法定代表人、主要负责人，或者其授权代表签字或者盖章，</w:t>
      </w:r>
      <w:r>
        <w:rPr>
          <w:rFonts w:ascii="宋体" w:hAnsi="宋体"/>
          <w:szCs w:val="21"/>
        </w:rPr>
        <w:t>并加盖公章。</w:t>
      </w:r>
    </w:p>
    <w:p w14:paraId="26972DDD">
      <w:pPr>
        <w:pStyle w:val="5"/>
        <w:spacing w:before="160" w:line="360" w:lineRule="auto"/>
        <w:ind w:right="238" w:firstLine="434"/>
        <w:rPr>
          <w:sz w:val="21"/>
          <w:szCs w:val="21"/>
          <w:lang w:val="en-US"/>
        </w:rPr>
      </w:pPr>
    </w:p>
    <w:p w14:paraId="63CBE0A5">
      <w:pPr>
        <w:spacing w:before="68" w:line="371" w:lineRule="auto"/>
        <w:ind w:firstLine="430"/>
        <w:rPr>
          <w:rFonts w:hint="eastAsia" w:ascii="仿宋" w:hAnsi="仿宋" w:eastAsia="仿宋" w:cs="仿宋"/>
          <w:color w:val="auto"/>
          <w:spacing w:val="0"/>
          <w:sz w:val="22"/>
          <w:szCs w:val="22"/>
        </w:rPr>
      </w:pPr>
    </w:p>
    <w:sectPr>
      <w:footerReference r:id="rId25" w:type="default"/>
      <w:pgSz w:w="11912" w:h="16851"/>
      <w:pgMar w:top="1434" w:right="1181" w:bottom="1457" w:left="120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D6EE">
    <w:pPr>
      <w:pStyle w:val="6"/>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37EF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937EF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21A1">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DE78A">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10DE78A">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2D51">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8DBFC">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408DBFC">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3C75">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75A2B">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AF75A2B">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EF64">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28AE1">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7428AE1">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0B37">
    <w:pPr>
      <w:spacing w:line="177"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F05AA">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C4F05AA">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66CA">
    <w:pPr>
      <w:spacing w:line="176" w:lineRule="auto"/>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190CC">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25190CC">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5473">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68E0F">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DD68E0F">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1836">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DC58C">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37DC58C">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0982">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B8366">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2B8366">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EC82">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69DE2">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869DE2">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4ED7">
    <w:pPr>
      <w:spacing w:line="17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81A4A">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F81A4A">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0CCB">
    <w:pPr>
      <w:spacing w:line="178" w:lineRule="auto"/>
      <w:ind w:left="437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1D851">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7E1D851">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425B">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D2986">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CFD2986">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A163A">
    <w:pPr>
      <w:spacing w:line="178"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10048">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E10048">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53BD">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FBF71">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2DFBF71">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E7E9">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4F0F">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73D4F0F">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F99A">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0F833">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630F833">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69F8">
    <w:pPr>
      <w:keepNext w:val="0"/>
      <w:keepLines w:val="0"/>
      <w:widowControl/>
      <w:suppressLineNumbers w:val="0"/>
      <w:pBdr>
        <w:bottom w:val="single" w:color="auto" w:sz="4" w:space="0"/>
      </w:pBdr>
      <w:jc w:val="left"/>
      <w:rPr>
        <w:rFonts w:asciiTheme="minorEastAsia" w:hAnsiTheme="minorEastAsia" w:eastAsiaTheme="minorEastAsia"/>
      </w:rPr>
    </w:pPr>
    <w:r>
      <w:rPr>
        <w:rFonts w:ascii="微软雅黑" w:hAnsi="微软雅黑" w:eastAsia="微软雅黑" w:cs="微软雅黑"/>
        <w:snapToGrid w:val="0"/>
        <w:color w:val="000000"/>
        <w:kern w:val="0"/>
        <w:sz w:val="18"/>
        <w:szCs w:val="18"/>
        <w:lang w:val="en-US" w:eastAsia="zh-CN" w:bidi="ar"/>
      </w:rPr>
      <w:t>政府采购框架协议采购征集文件范本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5212">
    <w:pPr>
      <w:pStyle w:val="7"/>
    </w:pPr>
  </w:p>
  <w:p w14:paraId="7B6509DE">
    <w:pPr>
      <w:pStyle w:val="7"/>
    </w:pPr>
  </w:p>
  <w:p w14:paraId="35A5A56B">
    <w:pPr>
      <w:keepNext w:val="0"/>
      <w:keepLines w:val="0"/>
      <w:widowControl/>
      <w:suppressLineNumbers w:val="0"/>
      <w:pBdr>
        <w:bottom w:val="single" w:color="auto" w:sz="4" w:space="0"/>
      </w:pBdr>
      <w:jc w:val="left"/>
      <w:rPr>
        <w:rFonts w:asciiTheme="minorEastAsia" w:hAnsiTheme="minorEastAsia" w:eastAsiaTheme="minorEastAsia"/>
      </w:rPr>
    </w:pPr>
    <w:r>
      <w:rPr>
        <w:rFonts w:ascii="微软雅黑" w:hAnsi="微软雅黑" w:eastAsia="微软雅黑" w:cs="微软雅黑"/>
        <w:snapToGrid w:val="0"/>
        <w:color w:val="000000"/>
        <w:kern w:val="0"/>
        <w:sz w:val="18"/>
        <w:szCs w:val="18"/>
        <w:lang w:val="en-US" w:eastAsia="zh-CN" w:bidi="ar"/>
      </w:rPr>
      <w:t>政府采购框架协议采购征集文件范本</w:t>
    </w:r>
  </w:p>
  <w:p w14:paraId="0ED4F16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BBF3">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9622"/>
    <w:multiLevelType w:val="singleLevel"/>
    <w:tmpl w:val="80719622"/>
    <w:lvl w:ilvl="0" w:tentative="0">
      <w:start w:val="3"/>
      <w:numFmt w:val="decimal"/>
      <w:suff w:val="nothing"/>
      <w:lvlText w:val="（%1）"/>
      <w:lvlJc w:val="left"/>
    </w:lvl>
  </w:abstractNum>
  <w:abstractNum w:abstractNumId="1">
    <w:nsid w:val="B1422C19"/>
    <w:multiLevelType w:val="singleLevel"/>
    <w:tmpl w:val="B1422C19"/>
    <w:lvl w:ilvl="0" w:tentative="0">
      <w:start w:val="1"/>
      <w:numFmt w:val="decimal"/>
      <w:suff w:val="nothing"/>
      <w:lvlText w:val="%1、"/>
      <w:lvlJc w:val="left"/>
    </w:lvl>
  </w:abstractNum>
  <w:abstractNum w:abstractNumId="2">
    <w:nsid w:val="207DD4FE"/>
    <w:multiLevelType w:val="singleLevel"/>
    <w:tmpl w:val="207DD4FE"/>
    <w:lvl w:ilvl="0" w:tentative="0">
      <w:start w:val="1"/>
      <w:numFmt w:val="chineseCounting"/>
      <w:suff w:val="nothing"/>
      <w:lvlText w:val="%1、"/>
      <w:lvlJc w:val="left"/>
      <w:rPr>
        <w:rFonts w:hint="eastAsia"/>
      </w:rPr>
    </w:lvl>
  </w:abstractNum>
  <w:abstractNum w:abstractNumId="3">
    <w:nsid w:val="2CD77000"/>
    <w:multiLevelType w:val="multilevel"/>
    <w:tmpl w:val="2CD77000"/>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4">
    <w:nsid w:val="34E09537"/>
    <w:multiLevelType w:val="singleLevel"/>
    <w:tmpl w:val="34E09537"/>
    <w:lvl w:ilvl="0" w:tentative="0">
      <w:start w:val="1"/>
      <w:numFmt w:val="chineseCounting"/>
      <w:suff w:val="nothing"/>
      <w:lvlText w:val="%1、"/>
      <w:lvlJc w:val="left"/>
      <w:rPr>
        <w:rFonts w:hint="eastAsia"/>
      </w:rPr>
    </w:lvl>
  </w:abstractNum>
  <w:abstractNum w:abstractNumId="5">
    <w:nsid w:val="519167AC"/>
    <w:multiLevelType w:val="multilevel"/>
    <w:tmpl w:val="519167AC"/>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6">
    <w:nsid w:val="57230E40"/>
    <w:multiLevelType w:val="singleLevel"/>
    <w:tmpl w:val="57230E40"/>
    <w:lvl w:ilvl="0" w:tentative="0">
      <w:start w:val="4"/>
      <w:numFmt w:val="chineseCounting"/>
      <w:suff w:val="nothing"/>
      <w:lvlText w:val="%1、"/>
      <w:lvlJc w:val="left"/>
      <w:rPr>
        <w:rFonts w:hint="eastAsia"/>
      </w:rPr>
    </w:lvl>
  </w:abstractNum>
  <w:abstractNum w:abstractNumId="7">
    <w:nsid w:val="6E7C6148"/>
    <w:multiLevelType w:val="multilevel"/>
    <w:tmpl w:val="6E7C614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hZWMwM2RiZDhmZTE0ODY2NzhjNzAxZjc1Zjg5ZjIifQ=="/>
  </w:docVars>
  <w:rsids>
    <w:rsidRoot w:val="00000000"/>
    <w:rsid w:val="00BE5F7E"/>
    <w:rsid w:val="011902E7"/>
    <w:rsid w:val="01756D26"/>
    <w:rsid w:val="01AB6D84"/>
    <w:rsid w:val="01EE6970"/>
    <w:rsid w:val="02FC1AC3"/>
    <w:rsid w:val="036E7293"/>
    <w:rsid w:val="03C0602D"/>
    <w:rsid w:val="03F51722"/>
    <w:rsid w:val="0402581A"/>
    <w:rsid w:val="052F0B31"/>
    <w:rsid w:val="057243CD"/>
    <w:rsid w:val="06175AA0"/>
    <w:rsid w:val="06712DFB"/>
    <w:rsid w:val="06F616E1"/>
    <w:rsid w:val="08145EEF"/>
    <w:rsid w:val="087E4ECC"/>
    <w:rsid w:val="08830C2D"/>
    <w:rsid w:val="08FC3CCA"/>
    <w:rsid w:val="090E7104"/>
    <w:rsid w:val="09144621"/>
    <w:rsid w:val="09BE7806"/>
    <w:rsid w:val="09C05842"/>
    <w:rsid w:val="09CE2B51"/>
    <w:rsid w:val="09F46306"/>
    <w:rsid w:val="0A6429F3"/>
    <w:rsid w:val="0AAE1E1B"/>
    <w:rsid w:val="0B8066ED"/>
    <w:rsid w:val="0B8A10F7"/>
    <w:rsid w:val="0BA62C46"/>
    <w:rsid w:val="0BCC5F7D"/>
    <w:rsid w:val="0C8A7E56"/>
    <w:rsid w:val="0CCE225E"/>
    <w:rsid w:val="0CE00750"/>
    <w:rsid w:val="0E8B0DFF"/>
    <w:rsid w:val="0FAB0805"/>
    <w:rsid w:val="0FAE1089"/>
    <w:rsid w:val="0FF4115B"/>
    <w:rsid w:val="10E82E9F"/>
    <w:rsid w:val="12AF4B92"/>
    <w:rsid w:val="12F62D96"/>
    <w:rsid w:val="146614EC"/>
    <w:rsid w:val="146C4762"/>
    <w:rsid w:val="14E11EF6"/>
    <w:rsid w:val="14E72833"/>
    <w:rsid w:val="156A61C2"/>
    <w:rsid w:val="15B7006B"/>
    <w:rsid w:val="15DA63FA"/>
    <w:rsid w:val="15E3247F"/>
    <w:rsid w:val="16FC41DD"/>
    <w:rsid w:val="172F2BDB"/>
    <w:rsid w:val="17B46085"/>
    <w:rsid w:val="18DB06A3"/>
    <w:rsid w:val="191404B0"/>
    <w:rsid w:val="19784A03"/>
    <w:rsid w:val="19C21C4E"/>
    <w:rsid w:val="1A745D5C"/>
    <w:rsid w:val="1B0921EA"/>
    <w:rsid w:val="1B193824"/>
    <w:rsid w:val="1B675A5B"/>
    <w:rsid w:val="1B676DB3"/>
    <w:rsid w:val="1C7C389F"/>
    <w:rsid w:val="1CA42394"/>
    <w:rsid w:val="1CC57F42"/>
    <w:rsid w:val="1D181B85"/>
    <w:rsid w:val="1DD3648A"/>
    <w:rsid w:val="1E0501CF"/>
    <w:rsid w:val="20417462"/>
    <w:rsid w:val="20635017"/>
    <w:rsid w:val="20A83986"/>
    <w:rsid w:val="214C04E3"/>
    <w:rsid w:val="2185040B"/>
    <w:rsid w:val="239857CE"/>
    <w:rsid w:val="24534374"/>
    <w:rsid w:val="25744C04"/>
    <w:rsid w:val="26521602"/>
    <w:rsid w:val="26F24985"/>
    <w:rsid w:val="27693113"/>
    <w:rsid w:val="27745831"/>
    <w:rsid w:val="27B17E3C"/>
    <w:rsid w:val="27E46FF6"/>
    <w:rsid w:val="282C1744"/>
    <w:rsid w:val="28816A3A"/>
    <w:rsid w:val="2A1844D5"/>
    <w:rsid w:val="2A51195A"/>
    <w:rsid w:val="2BEC343A"/>
    <w:rsid w:val="2D1C4F41"/>
    <w:rsid w:val="2E3D462D"/>
    <w:rsid w:val="2E57511D"/>
    <w:rsid w:val="2EAA23F1"/>
    <w:rsid w:val="2EEF765C"/>
    <w:rsid w:val="2F62059B"/>
    <w:rsid w:val="304135EC"/>
    <w:rsid w:val="30684445"/>
    <w:rsid w:val="309712E2"/>
    <w:rsid w:val="30E33C27"/>
    <w:rsid w:val="31691908"/>
    <w:rsid w:val="31706F30"/>
    <w:rsid w:val="322512EF"/>
    <w:rsid w:val="32845A00"/>
    <w:rsid w:val="339F66EC"/>
    <w:rsid w:val="348055EC"/>
    <w:rsid w:val="34E62B57"/>
    <w:rsid w:val="36360C66"/>
    <w:rsid w:val="3680338E"/>
    <w:rsid w:val="37556749"/>
    <w:rsid w:val="379B7E94"/>
    <w:rsid w:val="37F4701F"/>
    <w:rsid w:val="385418A4"/>
    <w:rsid w:val="390A6F2C"/>
    <w:rsid w:val="39102DC5"/>
    <w:rsid w:val="392637B9"/>
    <w:rsid w:val="394702FC"/>
    <w:rsid w:val="3979126A"/>
    <w:rsid w:val="3B447ED6"/>
    <w:rsid w:val="3BB57101"/>
    <w:rsid w:val="3C431F01"/>
    <w:rsid w:val="3C553E04"/>
    <w:rsid w:val="3C99132A"/>
    <w:rsid w:val="3D4E0FA6"/>
    <w:rsid w:val="3D674B1C"/>
    <w:rsid w:val="3E1675C3"/>
    <w:rsid w:val="3E602562"/>
    <w:rsid w:val="3F19736B"/>
    <w:rsid w:val="3F282FB9"/>
    <w:rsid w:val="3FDD2059"/>
    <w:rsid w:val="407B7476"/>
    <w:rsid w:val="407E1D05"/>
    <w:rsid w:val="409F405C"/>
    <w:rsid w:val="41611042"/>
    <w:rsid w:val="41831BAE"/>
    <w:rsid w:val="418D4040"/>
    <w:rsid w:val="41EA6A5B"/>
    <w:rsid w:val="41F04C62"/>
    <w:rsid w:val="420F3F6D"/>
    <w:rsid w:val="4296514B"/>
    <w:rsid w:val="433B23E3"/>
    <w:rsid w:val="436B23DE"/>
    <w:rsid w:val="4379360A"/>
    <w:rsid w:val="43E1189D"/>
    <w:rsid w:val="45143C1A"/>
    <w:rsid w:val="4643102C"/>
    <w:rsid w:val="465B32E8"/>
    <w:rsid w:val="466D002F"/>
    <w:rsid w:val="46E25752"/>
    <w:rsid w:val="474C39E8"/>
    <w:rsid w:val="47DB3F9E"/>
    <w:rsid w:val="483526A3"/>
    <w:rsid w:val="48593CB8"/>
    <w:rsid w:val="48992F7E"/>
    <w:rsid w:val="48EB59A8"/>
    <w:rsid w:val="490B16F1"/>
    <w:rsid w:val="4920424E"/>
    <w:rsid w:val="495E2500"/>
    <w:rsid w:val="496479B2"/>
    <w:rsid w:val="498426CB"/>
    <w:rsid w:val="49B16DC9"/>
    <w:rsid w:val="49CD7C32"/>
    <w:rsid w:val="49DC0EDD"/>
    <w:rsid w:val="49F06759"/>
    <w:rsid w:val="4A2E0D8B"/>
    <w:rsid w:val="4B2A4BAA"/>
    <w:rsid w:val="4B346643"/>
    <w:rsid w:val="4B736055"/>
    <w:rsid w:val="4C0127D8"/>
    <w:rsid w:val="4C392FCD"/>
    <w:rsid w:val="4CA6320E"/>
    <w:rsid w:val="4CED75EE"/>
    <w:rsid w:val="4D004258"/>
    <w:rsid w:val="4D1E00B9"/>
    <w:rsid w:val="4DCF1F64"/>
    <w:rsid w:val="4F3C6021"/>
    <w:rsid w:val="4F766B20"/>
    <w:rsid w:val="4F8940EE"/>
    <w:rsid w:val="4FF33DF1"/>
    <w:rsid w:val="50811214"/>
    <w:rsid w:val="508658B3"/>
    <w:rsid w:val="508B18AB"/>
    <w:rsid w:val="50FB6A1E"/>
    <w:rsid w:val="511C3978"/>
    <w:rsid w:val="528B025B"/>
    <w:rsid w:val="52CC0306"/>
    <w:rsid w:val="54F21A5D"/>
    <w:rsid w:val="54F47C27"/>
    <w:rsid w:val="551B39E5"/>
    <w:rsid w:val="553D56DD"/>
    <w:rsid w:val="556B4C67"/>
    <w:rsid w:val="55BB1BEB"/>
    <w:rsid w:val="55D508E6"/>
    <w:rsid w:val="56372178"/>
    <w:rsid w:val="57016D6B"/>
    <w:rsid w:val="571B278D"/>
    <w:rsid w:val="576225A6"/>
    <w:rsid w:val="57BE4AFC"/>
    <w:rsid w:val="5873180F"/>
    <w:rsid w:val="58C9125F"/>
    <w:rsid w:val="58C919AA"/>
    <w:rsid w:val="58E04391"/>
    <w:rsid w:val="58F62E98"/>
    <w:rsid w:val="59420AA8"/>
    <w:rsid w:val="59564B01"/>
    <w:rsid w:val="598362E0"/>
    <w:rsid w:val="598C7885"/>
    <w:rsid w:val="5B131755"/>
    <w:rsid w:val="5B6F503B"/>
    <w:rsid w:val="5BD21AD7"/>
    <w:rsid w:val="5BE40F0C"/>
    <w:rsid w:val="5CA16EC6"/>
    <w:rsid w:val="5D0C00B7"/>
    <w:rsid w:val="5DC92D2C"/>
    <w:rsid w:val="5EE72758"/>
    <w:rsid w:val="5F1F1321"/>
    <w:rsid w:val="5FDA618F"/>
    <w:rsid w:val="5FF335CF"/>
    <w:rsid w:val="606D3E1E"/>
    <w:rsid w:val="608663EE"/>
    <w:rsid w:val="60F60B54"/>
    <w:rsid w:val="60F670B5"/>
    <w:rsid w:val="610006BA"/>
    <w:rsid w:val="624C5542"/>
    <w:rsid w:val="624D3BE8"/>
    <w:rsid w:val="62F24A77"/>
    <w:rsid w:val="633E4260"/>
    <w:rsid w:val="646B7DB9"/>
    <w:rsid w:val="64851AA5"/>
    <w:rsid w:val="65063F6A"/>
    <w:rsid w:val="654D7C2E"/>
    <w:rsid w:val="662A2B19"/>
    <w:rsid w:val="674A515B"/>
    <w:rsid w:val="67D4363B"/>
    <w:rsid w:val="68314F51"/>
    <w:rsid w:val="68AC41E6"/>
    <w:rsid w:val="692A78CC"/>
    <w:rsid w:val="69656522"/>
    <w:rsid w:val="699C5338"/>
    <w:rsid w:val="6A8F4B22"/>
    <w:rsid w:val="6ACE3652"/>
    <w:rsid w:val="6B232C0F"/>
    <w:rsid w:val="6B43565C"/>
    <w:rsid w:val="6B622FEB"/>
    <w:rsid w:val="6B771359"/>
    <w:rsid w:val="6B8E59E1"/>
    <w:rsid w:val="6BF419AB"/>
    <w:rsid w:val="6C282A43"/>
    <w:rsid w:val="6D14701B"/>
    <w:rsid w:val="6D7B6723"/>
    <w:rsid w:val="6E185D3B"/>
    <w:rsid w:val="6E674F9E"/>
    <w:rsid w:val="6EA2013C"/>
    <w:rsid w:val="71C31EF5"/>
    <w:rsid w:val="71D46B5B"/>
    <w:rsid w:val="71D83356"/>
    <w:rsid w:val="722A5CDA"/>
    <w:rsid w:val="72B029F5"/>
    <w:rsid w:val="732C3EDF"/>
    <w:rsid w:val="7361510B"/>
    <w:rsid w:val="7372081D"/>
    <w:rsid w:val="73BF7E01"/>
    <w:rsid w:val="74586227"/>
    <w:rsid w:val="74AE2004"/>
    <w:rsid w:val="74F069CE"/>
    <w:rsid w:val="75E44EB0"/>
    <w:rsid w:val="76BF646F"/>
    <w:rsid w:val="77360E62"/>
    <w:rsid w:val="77387FCF"/>
    <w:rsid w:val="77A9750D"/>
    <w:rsid w:val="78493CDD"/>
    <w:rsid w:val="789E0306"/>
    <w:rsid w:val="78C37F50"/>
    <w:rsid w:val="78E17CA0"/>
    <w:rsid w:val="78FA5BA7"/>
    <w:rsid w:val="7A0A18FF"/>
    <w:rsid w:val="7A1F4C28"/>
    <w:rsid w:val="7B034069"/>
    <w:rsid w:val="7BC81571"/>
    <w:rsid w:val="7C5A4D2E"/>
    <w:rsid w:val="7DE95B7F"/>
    <w:rsid w:val="7E5412C0"/>
    <w:rsid w:val="7E6C49B3"/>
    <w:rsid w:val="7EC3792E"/>
    <w:rsid w:val="EAEF4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keepNext/>
      <w:keepLines/>
      <w:spacing w:before="340" w:after="330" w:line="578" w:lineRule="auto"/>
      <w:outlineLvl w:val="0"/>
    </w:pPr>
    <w:rPr>
      <w:b/>
      <w:bCs/>
      <w:kern w:val="44"/>
      <w:sz w:val="44"/>
      <w:szCs w:val="44"/>
    </w:rPr>
  </w:style>
  <w:style w:type="paragraph" w:styleId="3">
    <w:name w:val="heading 3"/>
    <w:basedOn w:val="1"/>
    <w:qFormat/>
    <w:uiPriority w:val="1"/>
    <w:pPr>
      <w:autoSpaceDE w:val="0"/>
      <w:autoSpaceDN w:val="0"/>
      <w:spacing w:before="132"/>
      <w:ind w:left="1022"/>
      <w:jc w:val="left"/>
      <w:outlineLvl w:val="2"/>
    </w:pPr>
    <w:rPr>
      <w:rFonts w:ascii="宋体" w:hAnsi="宋体" w:eastAsia="宋体" w:cs="宋体"/>
      <w:b/>
      <w:bCs/>
      <w:kern w:val="0"/>
      <w:sz w:val="24"/>
      <w:szCs w:val="24"/>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next w:val="1"/>
    <w:unhideWhenUsed/>
    <w:qFormat/>
    <w:uiPriority w:val="99"/>
    <w:pPr>
      <w:jc w:val="left"/>
    </w:pPr>
    <w:rPr>
      <w:rFonts w:ascii="Times New Roman" w:hAnsi="Times New Roman" w:eastAsia="宋体" w:cs="Times New Roman"/>
      <w:kern w:val="0"/>
      <w:sz w:val="20"/>
      <w:szCs w:val="21"/>
    </w:rPr>
  </w:style>
  <w:style w:type="paragraph" w:styleId="5">
    <w:name w:val="Body Text"/>
    <w:basedOn w:val="1"/>
    <w:qFormat/>
    <w:uiPriority w:val="1"/>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character" w:styleId="11">
    <w:name w:val="HTML Sample"/>
    <w:basedOn w:val="10"/>
    <w:qFormat/>
    <w:uiPriority w:val="0"/>
    <w:rPr>
      <w:rFonts w:ascii="Courier New" w:hAnsi="Courier New"/>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黑体"/>
      <w:sz w:val="24"/>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style>
  <w:style w:type="paragraph" w:styleId="17">
    <w:name w:val="List Paragraph"/>
    <w:basedOn w:val="1"/>
    <w:qFormat/>
    <w:uiPriority w:val="1"/>
    <w:pPr>
      <w:ind w:firstLine="420" w:firstLineChars="200"/>
    </w:pPr>
    <w:rPr>
      <w:rFonts w:ascii="Calibri" w:hAnsi="Calibri" w:eastAsia="宋体" w:cs="Times New Roman"/>
    </w:rPr>
  </w:style>
  <w:style w:type="paragraph" w:customStyle="1" w:styleId="18">
    <w:name w:val="p15"/>
    <w:basedOn w:val="1"/>
    <w:next w:val="4"/>
    <w:qFormat/>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28156</Words>
  <Characters>29084</Characters>
  <TotalTime>28</TotalTime>
  <ScaleCrop>false</ScaleCrop>
  <LinksUpToDate>false</LinksUpToDate>
  <CharactersWithSpaces>30039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2022-10-22T00:48:00Z</dcterms:created>
  <dc:creator>NTKO</dc:creator>
  <cp:lastModifiedBy>W.D</cp:lastModifiedBy>
  <cp:lastPrinted>2023-10-31T09:43:00Z</cp:lastPrinted>
  <dcterms:modified xsi:type="dcterms:W3CDTF">2025-01-22T07:30:31Z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2023-05-06T16:46:57Z</vt:filetime>
  </property>
  <property fmtid="{D5CDD505-2E9C-101B-9397-08002B2CF9AE}" pid="4" name="KSOProductBuildVer">
    <vt:lpwstr>2052-12.1.0.19302</vt:lpwstr>
  </property>
  <property fmtid="{D5CDD505-2E9C-101B-9397-08002B2CF9AE}" pid="5" name="ICV">
    <vt:lpwstr>35A2B97439184BA49CFDC8C61FDD870C_13</vt:lpwstr>
  </property>
  <property fmtid="{D5CDD505-2E9C-101B-9397-08002B2CF9AE}" pid="6" name="KSOTemplateDocerSaveRecord">
    <vt:lpwstr>eyJoZGlkIjoiN2JhZWMwM2RiZDhmZTE0ODY2NzhjNzAxZjc1Zjg5ZjIiLCJ1c2VySWQiOiI0MzA3OTM4MTkifQ==</vt:lpwstr>
  </property>
</Properties>
</file>