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C0D2">
      <w:pPr>
        <w:tabs>
          <w:tab w:val="left" w:pos="315"/>
          <w:tab w:val="left" w:pos="8820"/>
        </w:tabs>
        <w:spacing w:before="312" w:beforeLines="100" w:after="156" w:afterLines="50" w:line="500" w:lineRule="exact"/>
        <w:ind w:right="267" w:rightChars="127"/>
        <w:jc w:val="center"/>
        <w:rPr>
          <w:b/>
          <w:bCs/>
          <w:sz w:val="52"/>
          <w:szCs w:val="52"/>
        </w:rPr>
      </w:pPr>
      <w:bookmarkStart w:id="0" w:name="_Hlk9544796"/>
      <w:bookmarkEnd w:id="0"/>
      <w:r>
        <w:rPr>
          <w:rFonts w:hint="eastAsia"/>
          <w:b/>
          <w:bCs/>
          <w:sz w:val="52"/>
          <w:szCs w:val="52"/>
        </w:rPr>
        <w:t>征集项目的详细说明和要求</w:t>
      </w:r>
    </w:p>
    <w:p w14:paraId="68933DB4">
      <w:pPr>
        <w:tabs>
          <w:tab w:val="left" w:pos="315"/>
          <w:tab w:val="left" w:pos="8820"/>
        </w:tabs>
        <w:spacing w:before="312" w:beforeLines="100" w:after="156" w:afterLines="50" w:line="500" w:lineRule="exact"/>
        <w:ind w:right="267" w:rightChars="127"/>
        <w:jc w:val="center"/>
        <w:rPr>
          <w:rFonts w:hint="eastAsia"/>
          <w:bCs/>
          <w:sz w:val="44"/>
          <w:szCs w:val="44"/>
        </w:rPr>
      </w:pPr>
      <w:r>
        <w:rPr>
          <w:rFonts w:hint="eastAsia"/>
          <w:bCs/>
          <w:sz w:val="44"/>
          <w:szCs w:val="44"/>
        </w:rPr>
        <w:t xml:space="preserve"> </w:t>
      </w:r>
    </w:p>
    <w:p w14:paraId="5975FEC1">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33F47134">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730AA351">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6B64C5D8">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70457B73">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62BCB10B">
      <w:pPr>
        <w:tabs>
          <w:tab w:val="left" w:pos="2410"/>
        </w:tabs>
        <w:autoSpaceDE w:val="0"/>
        <w:autoSpaceDN w:val="0"/>
        <w:adjustRightInd w:val="0"/>
        <w:snapToGrid w:val="0"/>
        <w:spacing w:line="360" w:lineRule="auto"/>
        <w:rPr>
          <w:rFonts w:hint="eastAsia"/>
          <w:b/>
          <w:spacing w:val="20"/>
          <w:kern w:val="0"/>
          <w:sz w:val="32"/>
          <w:szCs w:val="32"/>
        </w:rPr>
      </w:pPr>
      <w:r>
        <w:rPr>
          <w:rFonts w:hint="eastAsia"/>
          <w:b/>
          <w:spacing w:val="20"/>
          <w:kern w:val="0"/>
          <w:sz w:val="32"/>
          <w:szCs w:val="32"/>
        </w:rPr>
        <w:t>项目名称：马鞍山市公安局集约化运维网络线路采购</w:t>
      </w:r>
    </w:p>
    <w:p w14:paraId="583AD59A">
      <w:pPr>
        <w:tabs>
          <w:tab w:val="left" w:pos="2410"/>
        </w:tabs>
        <w:autoSpaceDE w:val="0"/>
        <w:autoSpaceDN w:val="0"/>
        <w:adjustRightInd w:val="0"/>
        <w:snapToGrid w:val="0"/>
        <w:spacing w:line="360" w:lineRule="auto"/>
        <w:rPr>
          <w:rFonts w:hint="eastAsia" w:eastAsia="宋体"/>
          <w:b/>
          <w:spacing w:val="20"/>
          <w:kern w:val="0"/>
          <w:sz w:val="32"/>
          <w:szCs w:val="32"/>
          <w:lang w:eastAsia="zh-CN"/>
        </w:rPr>
      </w:pPr>
      <w:r>
        <w:rPr>
          <w:rFonts w:hint="eastAsia"/>
          <w:b/>
          <w:spacing w:val="20"/>
          <w:kern w:val="0"/>
          <w:sz w:val="32"/>
          <w:szCs w:val="32"/>
        </w:rPr>
        <w:t>项目编号：</w:t>
      </w:r>
      <w:r>
        <w:rPr>
          <w:rFonts w:hint="eastAsia"/>
          <w:b/>
          <w:spacing w:val="20"/>
          <w:kern w:val="0"/>
          <w:sz w:val="32"/>
          <w:szCs w:val="32"/>
          <w:lang w:eastAsia="zh-CN"/>
        </w:rPr>
        <w:t>KJXY202512300585</w:t>
      </w:r>
    </w:p>
    <w:p w14:paraId="73B234F0">
      <w:pPr>
        <w:tabs>
          <w:tab w:val="left" w:pos="2410"/>
        </w:tabs>
        <w:autoSpaceDE w:val="0"/>
        <w:autoSpaceDN w:val="0"/>
        <w:adjustRightInd w:val="0"/>
        <w:snapToGrid w:val="0"/>
        <w:spacing w:line="360" w:lineRule="auto"/>
        <w:rPr>
          <w:rFonts w:hint="eastAsia"/>
          <w:b/>
          <w:spacing w:val="20"/>
          <w:kern w:val="0"/>
          <w:sz w:val="32"/>
          <w:szCs w:val="32"/>
        </w:rPr>
      </w:pPr>
      <w:r>
        <w:rPr>
          <w:rFonts w:hint="eastAsia"/>
          <w:b/>
          <w:spacing w:val="20"/>
          <w:kern w:val="0"/>
          <w:sz w:val="32"/>
          <w:szCs w:val="32"/>
        </w:rPr>
        <w:t>征集人：马鞍山市公安局</w:t>
      </w:r>
    </w:p>
    <w:p w14:paraId="41EDB18A">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392BB993">
      <w:pPr>
        <w:tabs>
          <w:tab w:val="left" w:pos="2410"/>
        </w:tabs>
        <w:autoSpaceDE w:val="0"/>
        <w:autoSpaceDN w:val="0"/>
        <w:adjustRightInd w:val="0"/>
        <w:snapToGrid w:val="0"/>
        <w:spacing w:line="360" w:lineRule="auto"/>
        <w:jc w:val="center"/>
        <w:rPr>
          <w:rFonts w:hint="eastAsia"/>
          <w:b/>
          <w:sz w:val="36"/>
          <w:szCs w:val="36"/>
        </w:rPr>
      </w:pPr>
      <w:r>
        <w:rPr>
          <w:rFonts w:hint="eastAsia"/>
          <w:b/>
          <w:sz w:val="36"/>
          <w:szCs w:val="36"/>
          <w:u w:val="single"/>
        </w:rPr>
        <w:t>二〇二五</w:t>
      </w:r>
      <w:r>
        <w:rPr>
          <w:rFonts w:hint="eastAsia"/>
          <w:b/>
          <w:sz w:val="36"/>
          <w:szCs w:val="36"/>
        </w:rPr>
        <w:t>年十二月</w:t>
      </w:r>
      <w:r>
        <w:rPr>
          <w:rFonts w:hint="eastAsia"/>
          <w:b/>
          <w:sz w:val="36"/>
          <w:szCs w:val="36"/>
        </w:rPr>
        <w:br w:type="page"/>
      </w:r>
    </w:p>
    <w:p w14:paraId="2A8ED696">
      <w:pPr>
        <w:tabs>
          <w:tab w:val="left" w:pos="2410"/>
        </w:tabs>
        <w:autoSpaceDE w:val="0"/>
        <w:autoSpaceDN w:val="0"/>
        <w:adjustRightInd w:val="0"/>
        <w:snapToGrid w:val="0"/>
        <w:spacing w:line="360" w:lineRule="auto"/>
        <w:jc w:val="center"/>
        <w:rPr>
          <w:rFonts w:hint="eastAsia"/>
          <w:b/>
          <w:sz w:val="28"/>
          <w:szCs w:val="28"/>
        </w:rPr>
      </w:pPr>
      <w:r>
        <w:rPr>
          <w:rFonts w:hint="eastAsia"/>
          <w:b/>
          <w:sz w:val="28"/>
          <w:szCs w:val="28"/>
        </w:rPr>
        <w:t>目  录</w:t>
      </w:r>
    </w:p>
    <w:p w14:paraId="37619892">
      <w:pPr>
        <w:pStyle w:val="9"/>
        <w:tabs>
          <w:tab w:val="right" w:leader="dot" w:pos="8306"/>
        </w:tabs>
        <w:spacing w:before="0" w:beforeAutospacing="0" w:line="276" w:lineRule="auto"/>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"_Toc4191 " </w:instrText>
      </w:r>
      <w:r>
        <w:rPr>
          <w:rFonts w:hint="eastAsia" w:ascii="宋体" w:hAnsi="宋体" w:eastAsia="宋体" w:cs="宋体"/>
          <w:color w:val="auto"/>
          <w:sz w:val="24"/>
          <w:szCs w:val="24"/>
          <w:u w:val="none"/>
        </w:rPr>
        <w:fldChar w:fldCharType="separate"/>
      </w:r>
      <w:r>
        <w:rPr>
          <w:rStyle w:val="14"/>
          <w:rFonts w:hint="eastAsia" w:ascii="宋体" w:hAnsi="宋体" w:eastAsia="宋体" w:cs="宋体"/>
          <w:b/>
          <w:bCs/>
          <w:color w:val="auto"/>
          <w:sz w:val="24"/>
          <w:szCs w:val="24"/>
          <w:u w:val="none"/>
        </w:rPr>
        <w:t>第一章  采购需求</w:t>
      </w:r>
      <w:r>
        <w:rPr>
          <w:rStyle w:val="14"/>
          <w:rFonts w:hint="eastAsia" w:ascii="宋体" w:hAnsi="宋体" w:eastAsia="宋体" w:cs="宋体"/>
          <w:b/>
          <w:bCs/>
          <w:color w:val="auto"/>
          <w:sz w:val="24"/>
          <w:szCs w:val="24"/>
          <w:u w:val="none"/>
        </w:rPr>
        <w:tab/>
      </w:r>
      <w:r>
        <w:rPr>
          <w:rStyle w:val="14"/>
          <w:rFonts w:hint="eastAsia" w:ascii="宋体" w:hAnsi="宋体" w:eastAsia="宋体" w:cs="宋体"/>
          <w:b/>
          <w:bCs/>
          <w:color w:val="auto"/>
          <w:sz w:val="24"/>
          <w:szCs w:val="24"/>
          <w:u w:val="none"/>
          <w:lang w:val="en-US" w:eastAsia="zh-CN"/>
        </w:rPr>
        <w:t>3</w:t>
      </w:r>
      <w:r>
        <w:rPr>
          <w:rStyle w:val="14"/>
          <w:rFonts w:hint="eastAsia" w:ascii="宋体" w:hAnsi="宋体" w:eastAsia="宋体" w:cs="宋体"/>
          <w:b/>
          <w:bCs/>
          <w:color w:val="auto"/>
          <w:sz w:val="24"/>
          <w:szCs w:val="24"/>
          <w:u w:val="none"/>
        </w:rPr>
        <w:fldChar w:fldCharType="end"/>
      </w:r>
    </w:p>
    <w:p w14:paraId="315D4645">
      <w:pPr>
        <w:pStyle w:val="9"/>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"_Toc25234 " </w:instrText>
      </w:r>
      <w:r>
        <w:rPr>
          <w:rFonts w:hint="eastAsia" w:ascii="宋体" w:hAnsi="宋体" w:eastAsia="宋体" w:cs="宋体"/>
          <w:color w:val="auto"/>
          <w:sz w:val="24"/>
          <w:szCs w:val="24"/>
          <w:u w:val="none"/>
        </w:rPr>
        <w:fldChar w:fldCharType="separate"/>
      </w:r>
      <w:r>
        <w:rPr>
          <w:rStyle w:val="14"/>
          <w:rFonts w:hint="eastAsia" w:ascii="宋体" w:hAnsi="宋体" w:eastAsia="宋体" w:cs="宋体"/>
          <w:b/>
          <w:bCs/>
          <w:color w:val="auto"/>
          <w:sz w:val="24"/>
          <w:szCs w:val="24"/>
          <w:u w:val="none"/>
        </w:rPr>
        <w:t>第二章  付费标准及支付方式</w:t>
      </w:r>
      <w:r>
        <w:rPr>
          <w:rStyle w:val="14"/>
          <w:rFonts w:hint="eastAsia" w:ascii="宋体" w:hAnsi="宋体" w:eastAsia="宋体" w:cs="宋体"/>
          <w:b/>
          <w:bCs/>
          <w:color w:val="auto"/>
          <w:sz w:val="24"/>
          <w:szCs w:val="24"/>
          <w:u w:val="none"/>
        </w:rPr>
        <w:tab/>
      </w:r>
      <w:r>
        <w:rPr>
          <w:rStyle w:val="14"/>
          <w:rFonts w:hint="eastAsia" w:ascii="宋体" w:hAnsi="宋体" w:eastAsia="宋体" w:cs="宋体"/>
          <w:b/>
          <w:bCs/>
          <w:color w:val="auto"/>
          <w:sz w:val="24"/>
          <w:szCs w:val="24"/>
          <w:u w:val="none"/>
          <w:lang w:val="en-US" w:eastAsia="zh-CN"/>
        </w:rPr>
        <w:t>6</w:t>
      </w:r>
      <w:r>
        <w:rPr>
          <w:rStyle w:val="14"/>
          <w:rFonts w:hint="eastAsia" w:ascii="宋体" w:hAnsi="宋体" w:eastAsia="宋体" w:cs="宋体"/>
          <w:b/>
          <w:bCs/>
          <w:color w:val="auto"/>
          <w:sz w:val="24"/>
          <w:szCs w:val="24"/>
          <w:u w:val="none"/>
        </w:rPr>
        <w:fldChar w:fldCharType="end"/>
      </w:r>
    </w:p>
    <w:p w14:paraId="42CC90A5">
      <w:pPr>
        <w:pStyle w:val="9"/>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"_Toc11634 " </w:instrText>
      </w:r>
      <w:r>
        <w:rPr>
          <w:rFonts w:hint="eastAsia" w:ascii="宋体" w:hAnsi="宋体" w:eastAsia="宋体" w:cs="宋体"/>
          <w:color w:val="auto"/>
          <w:sz w:val="24"/>
          <w:szCs w:val="24"/>
          <w:u w:val="none"/>
        </w:rPr>
        <w:fldChar w:fldCharType="separate"/>
      </w:r>
      <w:r>
        <w:rPr>
          <w:rStyle w:val="14"/>
          <w:rFonts w:hint="eastAsia" w:ascii="宋体" w:hAnsi="宋体" w:eastAsia="宋体" w:cs="宋体"/>
          <w:b/>
          <w:bCs/>
          <w:color w:val="auto"/>
          <w:sz w:val="24"/>
          <w:szCs w:val="24"/>
          <w:u w:val="none"/>
        </w:rPr>
        <w:t>第三章  用户反馈和评价机制</w:t>
      </w:r>
      <w:r>
        <w:rPr>
          <w:rStyle w:val="14"/>
          <w:rFonts w:hint="eastAsia" w:ascii="宋体" w:hAnsi="宋体" w:eastAsia="宋体" w:cs="宋体"/>
          <w:b/>
          <w:bCs/>
          <w:color w:val="auto"/>
          <w:sz w:val="24"/>
          <w:szCs w:val="24"/>
          <w:u w:val="none"/>
        </w:rPr>
        <w:tab/>
      </w:r>
      <w:r>
        <w:rPr>
          <w:rStyle w:val="14"/>
          <w:rFonts w:hint="eastAsia" w:ascii="宋体" w:hAnsi="宋体" w:eastAsia="宋体" w:cs="宋体"/>
          <w:b/>
          <w:bCs/>
          <w:color w:val="auto"/>
          <w:sz w:val="24"/>
          <w:szCs w:val="24"/>
          <w:u w:val="none"/>
          <w:lang w:val="en-US" w:eastAsia="zh-CN"/>
        </w:rPr>
        <w:t>7</w:t>
      </w:r>
      <w:r>
        <w:rPr>
          <w:rStyle w:val="14"/>
          <w:rFonts w:hint="eastAsia" w:ascii="宋体" w:hAnsi="宋体" w:eastAsia="宋体" w:cs="宋体"/>
          <w:b/>
          <w:bCs/>
          <w:color w:val="auto"/>
          <w:sz w:val="24"/>
          <w:szCs w:val="24"/>
          <w:u w:val="none"/>
        </w:rPr>
        <w:fldChar w:fldCharType="end"/>
      </w:r>
    </w:p>
    <w:p w14:paraId="714F1860">
      <w:pPr>
        <w:pStyle w:val="9"/>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"_Toc28115 " </w:instrText>
      </w:r>
      <w:r>
        <w:rPr>
          <w:rFonts w:hint="eastAsia" w:ascii="宋体" w:hAnsi="宋体" w:eastAsia="宋体" w:cs="宋体"/>
          <w:color w:val="auto"/>
          <w:sz w:val="24"/>
          <w:szCs w:val="24"/>
          <w:u w:val="none"/>
        </w:rPr>
        <w:fldChar w:fldCharType="separate"/>
      </w:r>
      <w:r>
        <w:rPr>
          <w:rStyle w:val="14"/>
          <w:rFonts w:hint="eastAsia" w:ascii="宋体" w:hAnsi="宋体" w:eastAsia="宋体" w:cs="宋体"/>
          <w:b/>
          <w:bCs/>
          <w:color w:val="auto"/>
          <w:sz w:val="24"/>
          <w:szCs w:val="24"/>
          <w:u w:val="none"/>
        </w:rPr>
        <w:t>第四章  入围供应商的清退机制和补充规则</w:t>
      </w:r>
      <w:r>
        <w:rPr>
          <w:rStyle w:val="14"/>
          <w:rFonts w:hint="eastAsia" w:ascii="宋体" w:hAnsi="宋体" w:eastAsia="宋体" w:cs="宋体"/>
          <w:b/>
          <w:bCs/>
          <w:color w:val="auto"/>
          <w:sz w:val="24"/>
          <w:szCs w:val="24"/>
          <w:u w:val="none"/>
        </w:rPr>
        <w:tab/>
      </w:r>
      <w:r>
        <w:rPr>
          <w:rStyle w:val="14"/>
          <w:rFonts w:hint="eastAsia" w:ascii="宋体" w:hAnsi="宋体" w:eastAsia="宋体" w:cs="宋体"/>
          <w:b/>
          <w:bCs/>
          <w:color w:val="auto"/>
          <w:sz w:val="24"/>
          <w:szCs w:val="24"/>
          <w:u w:val="none"/>
          <w:lang w:val="en-US" w:eastAsia="zh-CN"/>
        </w:rPr>
        <w:t>8</w:t>
      </w:r>
      <w:r>
        <w:rPr>
          <w:rStyle w:val="14"/>
          <w:rFonts w:hint="eastAsia" w:ascii="宋体" w:hAnsi="宋体" w:eastAsia="宋体" w:cs="宋体"/>
          <w:b/>
          <w:bCs/>
          <w:color w:val="auto"/>
          <w:sz w:val="24"/>
          <w:szCs w:val="24"/>
          <w:u w:val="none"/>
        </w:rPr>
        <w:fldChar w:fldCharType="end"/>
      </w:r>
    </w:p>
    <w:p w14:paraId="602BDA43">
      <w:pPr>
        <w:pStyle w:val="9"/>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"_Toc22882 " </w:instrText>
      </w:r>
      <w:r>
        <w:rPr>
          <w:rFonts w:hint="eastAsia" w:ascii="宋体" w:hAnsi="宋体" w:eastAsia="宋体" w:cs="宋体"/>
          <w:color w:val="auto"/>
          <w:sz w:val="24"/>
          <w:szCs w:val="24"/>
          <w:u w:val="none"/>
        </w:rPr>
        <w:fldChar w:fldCharType="separate"/>
      </w:r>
      <w:r>
        <w:rPr>
          <w:rStyle w:val="14"/>
          <w:rFonts w:hint="eastAsia" w:ascii="宋体" w:hAnsi="宋体" w:eastAsia="宋体" w:cs="宋体"/>
          <w:b/>
          <w:bCs/>
          <w:color w:val="auto"/>
          <w:sz w:val="24"/>
          <w:szCs w:val="24"/>
          <w:u w:val="none"/>
        </w:rPr>
        <w:t>第五章  供应商信用信息</w:t>
      </w:r>
      <w:r>
        <w:rPr>
          <w:rStyle w:val="14"/>
          <w:rFonts w:hint="eastAsia" w:ascii="宋体" w:hAnsi="宋体" w:eastAsia="宋体" w:cs="宋体"/>
          <w:b/>
          <w:bCs/>
          <w:color w:val="auto"/>
          <w:sz w:val="24"/>
          <w:szCs w:val="24"/>
          <w:u w:val="none"/>
        </w:rPr>
        <w:tab/>
      </w:r>
      <w:r>
        <w:rPr>
          <w:rStyle w:val="14"/>
          <w:rFonts w:hint="eastAsia" w:ascii="宋体" w:hAnsi="宋体" w:eastAsia="宋体" w:cs="宋体"/>
          <w:b/>
          <w:bCs/>
          <w:color w:val="auto"/>
          <w:sz w:val="24"/>
          <w:szCs w:val="24"/>
          <w:u w:val="none"/>
          <w:lang w:val="en-US" w:eastAsia="zh-CN"/>
        </w:rPr>
        <w:t>9</w:t>
      </w:r>
      <w:r>
        <w:rPr>
          <w:rStyle w:val="14"/>
          <w:rFonts w:hint="eastAsia" w:ascii="宋体" w:hAnsi="宋体" w:eastAsia="宋体" w:cs="宋体"/>
          <w:b/>
          <w:bCs/>
          <w:color w:val="auto"/>
          <w:sz w:val="24"/>
          <w:szCs w:val="24"/>
          <w:u w:val="none"/>
        </w:rPr>
        <w:fldChar w:fldCharType="end"/>
      </w:r>
    </w:p>
    <w:p w14:paraId="73F2DAD0">
      <w:pPr>
        <w:pStyle w:val="9"/>
        <w:tabs>
          <w:tab w:val="right" w:leader="dot" w:pos="8306"/>
        </w:tabs>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"_Toc8597 " </w:instrText>
      </w:r>
      <w:r>
        <w:rPr>
          <w:rFonts w:hint="eastAsia" w:ascii="宋体" w:hAnsi="宋体" w:eastAsia="宋体" w:cs="宋体"/>
          <w:color w:val="auto"/>
          <w:sz w:val="24"/>
          <w:szCs w:val="24"/>
          <w:u w:val="none"/>
        </w:rPr>
        <w:fldChar w:fldCharType="separate"/>
      </w:r>
      <w:r>
        <w:rPr>
          <w:rStyle w:val="14"/>
          <w:rFonts w:hint="eastAsia" w:ascii="宋体" w:hAnsi="宋体" w:eastAsia="宋体" w:cs="宋体"/>
          <w:b/>
          <w:bCs/>
          <w:color w:val="auto"/>
          <w:sz w:val="24"/>
          <w:szCs w:val="24"/>
          <w:u w:val="none"/>
        </w:rPr>
        <w:t>第六章  资格审查方法和标准</w:t>
      </w:r>
      <w:r>
        <w:rPr>
          <w:rStyle w:val="14"/>
          <w:rFonts w:hint="eastAsia" w:ascii="宋体" w:hAnsi="宋体" w:eastAsia="宋体" w:cs="宋体"/>
          <w:b/>
          <w:bCs/>
          <w:color w:val="auto"/>
          <w:sz w:val="24"/>
          <w:szCs w:val="24"/>
          <w:u w:val="none"/>
        </w:rPr>
        <w:tab/>
      </w:r>
      <w:r>
        <w:rPr>
          <w:rStyle w:val="14"/>
          <w:rFonts w:hint="eastAsia" w:ascii="宋体" w:hAnsi="宋体" w:eastAsia="宋体" w:cs="宋体"/>
          <w:b/>
          <w:bCs/>
          <w:color w:val="auto"/>
          <w:sz w:val="24"/>
          <w:szCs w:val="24"/>
          <w:u w:val="none"/>
          <w:lang w:val="en-US" w:eastAsia="zh-CN"/>
        </w:rPr>
        <w:t>1</w:t>
      </w:r>
      <w:r>
        <w:rPr>
          <w:rStyle w:val="14"/>
          <w:rFonts w:hint="eastAsia" w:ascii="宋体" w:hAnsi="宋体" w:eastAsia="宋体" w:cs="宋体"/>
          <w:b/>
          <w:bCs/>
          <w:color w:val="auto"/>
          <w:sz w:val="24"/>
          <w:szCs w:val="24"/>
          <w:u w:val="none"/>
        </w:rPr>
        <w:fldChar w:fldCharType="end"/>
      </w:r>
      <w:r>
        <w:rPr>
          <w:rStyle w:val="14"/>
          <w:rFonts w:hint="eastAsia" w:ascii="宋体" w:hAnsi="宋体" w:eastAsia="宋体" w:cs="宋体"/>
          <w:b/>
          <w:bCs/>
          <w:color w:val="auto"/>
          <w:sz w:val="24"/>
          <w:szCs w:val="24"/>
          <w:u w:val="none"/>
          <w:lang w:val="en-US" w:eastAsia="zh-CN"/>
        </w:rPr>
        <w:t>0</w:t>
      </w:r>
    </w:p>
    <w:p w14:paraId="59FB8150">
      <w:pPr>
        <w:pStyle w:val="9"/>
        <w:tabs>
          <w:tab w:val="right" w:leader="dot" w:pos="8306"/>
        </w:tabs>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"_Toc15099 " </w:instrText>
      </w:r>
      <w:r>
        <w:rPr>
          <w:rFonts w:hint="eastAsia" w:ascii="宋体" w:hAnsi="宋体" w:eastAsia="宋体" w:cs="宋体"/>
          <w:color w:val="auto"/>
          <w:sz w:val="24"/>
          <w:szCs w:val="24"/>
          <w:u w:val="none"/>
        </w:rPr>
        <w:fldChar w:fldCharType="separate"/>
      </w:r>
      <w:r>
        <w:rPr>
          <w:rStyle w:val="14"/>
          <w:rFonts w:hint="eastAsia" w:ascii="宋体" w:hAnsi="宋体" w:eastAsia="宋体" w:cs="宋体"/>
          <w:b/>
          <w:bCs/>
          <w:color w:val="auto"/>
          <w:sz w:val="24"/>
          <w:szCs w:val="24"/>
          <w:u w:val="none"/>
        </w:rPr>
        <w:t>第七章 采购合同文本</w:t>
      </w:r>
      <w:r>
        <w:rPr>
          <w:rStyle w:val="14"/>
          <w:rFonts w:hint="eastAsia" w:ascii="宋体" w:hAnsi="宋体" w:eastAsia="宋体" w:cs="宋体"/>
          <w:b/>
          <w:bCs/>
          <w:color w:val="auto"/>
          <w:sz w:val="24"/>
          <w:szCs w:val="24"/>
          <w:u w:val="none"/>
        </w:rPr>
        <w:tab/>
      </w:r>
      <w:r>
        <w:rPr>
          <w:rStyle w:val="14"/>
          <w:rFonts w:hint="eastAsia" w:ascii="宋体" w:hAnsi="宋体" w:eastAsia="宋体" w:cs="宋体"/>
          <w:b/>
          <w:bCs/>
          <w:color w:val="auto"/>
          <w:sz w:val="24"/>
          <w:szCs w:val="24"/>
          <w:u w:val="none"/>
          <w:lang w:val="en-US" w:eastAsia="zh-CN"/>
        </w:rPr>
        <w:t>1</w:t>
      </w:r>
      <w:r>
        <w:rPr>
          <w:rStyle w:val="14"/>
          <w:rFonts w:hint="eastAsia" w:ascii="宋体" w:hAnsi="宋体" w:eastAsia="宋体" w:cs="宋体"/>
          <w:b/>
          <w:bCs/>
          <w:color w:val="auto"/>
          <w:sz w:val="24"/>
          <w:szCs w:val="24"/>
          <w:u w:val="none"/>
        </w:rPr>
        <w:fldChar w:fldCharType="end"/>
      </w:r>
      <w:r>
        <w:rPr>
          <w:rStyle w:val="14"/>
          <w:rFonts w:hint="eastAsia" w:ascii="宋体" w:hAnsi="宋体" w:eastAsia="宋体" w:cs="宋体"/>
          <w:b/>
          <w:bCs/>
          <w:color w:val="auto"/>
          <w:sz w:val="24"/>
          <w:szCs w:val="24"/>
          <w:u w:val="none"/>
          <w:lang w:val="en-US" w:eastAsia="zh-CN"/>
        </w:rPr>
        <w:t>1</w:t>
      </w:r>
    </w:p>
    <w:p w14:paraId="45605F4E">
      <w:pPr>
        <w:pStyle w:val="9"/>
        <w:tabs>
          <w:tab w:val="right" w:leader="dot" w:pos="8306"/>
        </w:tabs>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"_Toc9311 " </w:instrText>
      </w:r>
      <w:r>
        <w:rPr>
          <w:rFonts w:hint="eastAsia" w:ascii="宋体" w:hAnsi="宋体" w:eastAsia="宋体" w:cs="宋体"/>
          <w:color w:val="auto"/>
          <w:sz w:val="24"/>
          <w:szCs w:val="24"/>
          <w:u w:val="none"/>
        </w:rPr>
        <w:fldChar w:fldCharType="separate"/>
      </w:r>
      <w:r>
        <w:rPr>
          <w:rStyle w:val="14"/>
          <w:rFonts w:hint="eastAsia" w:ascii="宋体" w:hAnsi="宋体" w:eastAsia="宋体" w:cs="宋体"/>
          <w:b/>
          <w:bCs/>
          <w:color w:val="auto"/>
          <w:sz w:val="24"/>
          <w:szCs w:val="24"/>
          <w:u w:val="none"/>
        </w:rPr>
        <w:t>第八章  对申请文件的要求</w:t>
      </w:r>
      <w:r>
        <w:rPr>
          <w:rStyle w:val="14"/>
          <w:rFonts w:hint="eastAsia" w:ascii="宋体" w:hAnsi="宋体" w:eastAsia="宋体" w:cs="宋体"/>
          <w:b/>
          <w:bCs/>
          <w:color w:val="auto"/>
          <w:sz w:val="24"/>
          <w:szCs w:val="24"/>
          <w:u w:val="none"/>
        </w:rPr>
        <w:tab/>
      </w:r>
      <w:r>
        <w:rPr>
          <w:rStyle w:val="14"/>
          <w:rFonts w:hint="eastAsia" w:ascii="宋体" w:hAnsi="宋体" w:eastAsia="宋体" w:cs="宋体"/>
          <w:b/>
          <w:bCs/>
          <w:color w:val="auto"/>
          <w:sz w:val="24"/>
          <w:szCs w:val="24"/>
          <w:u w:val="none"/>
          <w:lang w:val="en-US" w:eastAsia="zh-CN"/>
        </w:rPr>
        <w:t>1</w:t>
      </w:r>
      <w:r>
        <w:rPr>
          <w:rStyle w:val="14"/>
          <w:rFonts w:hint="eastAsia" w:ascii="宋体" w:hAnsi="宋体" w:eastAsia="宋体" w:cs="宋体"/>
          <w:b/>
          <w:bCs/>
          <w:color w:val="auto"/>
          <w:sz w:val="24"/>
          <w:szCs w:val="24"/>
          <w:u w:val="none"/>
        </w:rPr>
        <w:fldChar w:fldCharType="end"/>
      </w:r>
      <w:r>
        <w:rPr>
          <w:rStyle w:val="14"/>
          <w:rFonts w:hint="eastAsia" w:ascii="宋体" w:hAnsi="宋体" w:eastAsia="宋体" w:cs="宋体"/>
          <w:b/>
          <w:bCs/>
          <w:color w:val="auto"/>
          <w:sz w:val="24"/>
          <w:szCs w:val="24"/>
          <w:u w:val="none"/>
          <w:lang w:val="en-US" w:eastAsia="zh-CN"/>
        </w:rPr>
        <w:t>6</w:t>
      </w:r>
    </w:p>
    <w:p w14:paraId="4B6629F8">
      <w:pPr>
        <w:spacing w:line="360" w:lineRule="auto"/>
        <w:rPr>
          <w:rFonts w:hint="eastAsia"/>
          <w:b/>
          <w:sz w:val="32"/>
          <w:szCs w:val="32"/>
        </w:rPr>
      </w:pPr>
      <w:r>
        <w:rPr>
          <w:rFonts w:hint="eastAsia"/>
          <w:b/>
          <w:sz w:val="32"/>
          <w:szCs w:val="32"/>
        </w:rPr>
        <w:t xml:space="preserve"> </w:t>
      </w:r>
    </w:p>
    <w:p w14:paraId="64EA1C6C">
      <w:pPr>
        <w:widowControl/>
        <w:spacing w:line="360" w:lineRule="auto"/>
        <w:jc w:val="left"/>
        <w:rPr>
          <w:b/>
          <w:sz w:val="28"/>
          <w:szCs w:val="28"/>
        </w:rPr>
        <w:sectPr>
          <w:footerReference r:id="rId3" w:type="default"/>
          <w:pgSz w:w="11906" w:h="16838"/>
          <w:pgMar w:top="1440" w:right="1800" w:bottom="1440" w:left="1800" w:header="851" w:footer="992" w:gutter="0"/>
          <w:pgNumType w:fmt="decimal"/>
          <w:cols w:space="720" w:num="1"/>
          <w:docGrid w:type="lines" w:linePitch="312" w:charSpace="0"/>
        </w:sectPr>
      </w:pPr>
    </w:p>
    <w:p w14:paraId="5463E5A7">
      <w:pPr>
        <w:spacing w:line="360" w:lineRule="auto"/>
        <w:jc w:val="center"/>
        <w:outlineLvl w:val="0"/>
        <w:rPr>
          <w:rFonts w:hint="eastAsia"/>
          <w:b/>
          <w:sz w:val="28"/>
          <w:szCs w:val="28"/>
        </w:rPr>
      </w:pPr>
      <w:bookmarkStart w:id="1" w:name="_Toc4191"/>
      <w:bookmarkEnd w:id="1"/>
      <w:r>
        <w:rPr>
          <w:rFonts w:hint="eastAsia"/>
          <w:b/>
          <w:sz w:val="28"/>
          <w:szCs w:val="28"/>
        </w:rPr>
        <w:t>第一章  采购需求</w:t>
      </w:r>
    </w:p>
    <w:p w14:paraId="77A49B47">
      <w:pPr>
        <w:spacing w:line="360" w:lineRule="auto"/>
        <w:rPr>
          <w:rFonts w:hint="eastAsia"/>
          <w:sz w:val="24"/>
          <w:szCs w:val="24"/>
        </w:rPr>
      </w:pPr>
      <w:bookmarkStart w:id="2" w:name="_Hlk23621890"/>
      <w:bookmarkEnd w:id="2"/>
      <w:r>
        <w:rPr>
          <w:rFonts w:hint="eastAsia"/>
          <w:sz w:val="24"/>
          <w:szCs w:val="24"/>
        </w:rPr>
        <w:t xml:space="preserve"> </w:t>
      </w:r>
    </w:p>
    <w:p w14:paraId="04899DEA">
      <w:pPr>
        <w:spacing w:line="360" w:lineRule="auto"/>
        <w:jc w:val="center"/>
        <w:rPr>
          <w:rFonts w:hint="eastAsia"/>
          <w:sz w:val="28"/>
          <w:szCs w:val="28"/>
        </w:rPr>
      </w:pPr>
      <w:bookmarkStart w:id="3" w:name="_Hlk16461016"/>
      <w:bookmarkEnd w:id="3"/>
      <w:r>
        <w:rPr>
          <w:rFonts w:hint="eastAsia"/>
          <w:b/>
          <w:bCs/>
          <w:sz w:val="28"/>
          <w:szCs w:val="28"/>
        </w:rPr>
        <w:t>（一）采购清单</w:t>
      </w:r>
    </w:p>
    <w:tbl>
      <w:tblPr>
        <w:tblStyle w:val="12"/>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796"/>
        <w:gridCol w:w="797"/>
        <w:gridCol w:w="2412"/>
      </w:tblGrid>
      <w:tr w14:paraId="5677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89" w:type="dxa"/>
            <w:tcBorders>
              <w:top w:val="single" w:color="auto" w:sz="4" w:space="0"/>
              <w:left w:val="single" w:color="auto" w:sz="4" w:space="0"/>
              <w:bottom w:val="single" w:color="auto" w:sz="4" w:space="0"/>
              <w:right w:val="single" w:color="auto" w:sz="4" w:space="0"/>
            </w:tcBorders>
            <w:vAlign w:val="center"/>
          </w:tcPr>
          <w:p w14:paraId="70812F6B">
            <w:pPr>
              <w:pStyle w:val="16"/>
              <w:spacing w:line="460" w:lineRule="exact"/>
              <w:ind w:firstLine="0" w:firstLineChars="0"/>
              <w:jc w:val="center"/>
              <w:rPr>
                <w:rStyle w:val="23"/>
                <w:rFonts w:ascii="宋体" w:hAnsi="宋体" w:eastAsia="宋体"/>
                <w:b/>
                <w:bCs/>
                <w:sz w:val="28"/>
                <w:szCs w:val="28"/>
              </w:rPr>
            </w:pPr>
            <w:r>
              <w:rPr>
                <w:rStyle w:val="23"/>
                <w:rFonts w:hint="eastAsia" w:hAnsi="宋体" w:eastAsia="宋体"/>
                <w:b/>
                <w:bCs/>
                <w:sz w:val="28"/>
                <w:szCs w:val="28"/>
              </w:rPr>
              <w:t>项目名称（标的名称）</w:t>
            </w:r>
          </w:p>
        </w:tc>
        <w:tc>
          <w:tcPr>
            <w:tcW w:w="796" w:type="dxa"/>
            <w:tcBorders>
              <w:top w:val="single" w:color="auto" w:sz="4" w:space="0"/>
              <w:left w:val="single" w:color="auto" w:sz="4" w:space="0"/>
              <w:bottom w:val="single" w:color="auto" w:sz="4" w:space="0"/>
              <w:right w:val="single" w:color="auto" w:sz="4" w:space="0"/>
            </w:tcBorders>
            <w:vAlign w:val="center"/>
          </w:tcPr>
          <w:p w14:paraId="4F319163">
            <w:pPr>
              <w:pStyle w:val="16"/>
              <w:spacing w:line="460" w:lineRule="exact"/>
              <w:ind w:firstLine="0" w:firstLineChars="0"/>
              <w:jc w:val="center"/>
              <w:rPr>
                <w:rStyle w:val="23"/>
                <w:rFonts w:ascii="宋体" w:hAnsi="宋体" w:eastAsia="宋体"/>
                <w:b/>
                <w:bCs/>
                <w:sz w:val="28"/>
                <w:szCs w:val="28"/>
              </w:rPr>
            </w:pPr>
            <w:r>
              <w:rPr>
                <w:rStyle w:val="23"/>
                <w:rFonts w:hint="eastAsia" w:hAnsi="宋体" w:eastAsia="宋体"/>
                <w:b/>
                <w:bCs/>
                <w:sz w:val="28"/>
                <w:szCs w:val="28"/>
              </w:rPr>
              <w:t>数量</w:t>
            </w:r>
          </w:p>
        </w:tc>
        <w:tc>
          <w:tcPr>
            <w:tcW w:w="797" w:type="dxa"/>
            <w:tcBorders>
              <w:top w:val="single" w:color="auto" w:sz="4" w:space="0"/>
              <w:left w:val="single" w:color="auto" w:sz="4" w:space="0"/>
              <w:bottom w:val="single" w:color="auto" w:sz="4" w:space="0"/>
              <w:right w:val="single" w:color="auto" w:sz="4" w:space="0"/>
            </w:tcBorders>
            <w:vAlign w:val="center"/>
          </w:tcPr>
          <w:p w14:paraId="2F783C58">
            <w:pPr>
              <w:pStyle w:val="16"/>
              <w:spacing w:line="460" w:lineRule="exact"/>
              <w:ind w:firstLine="0" w:firstLineChars="0"/>
              <w:jc w:val="center"/>
              <w:rPr>
                <w:rStyle w:val="23"/>
                <w:rFonts w:ascii="宋体" w:hAnsi="宋体" w:eastAsia="宋体"/>
                <w:b/>
                <w:bCs/>
                <w:sz w:val="28"/>
                <w:szCs w:val="28"/>
              </w:rPr>
            </w:pPr>
            <w:r>
              <w:rPr>
                <w:rStyle w:val="23"/>
                <w:rFonts w:hint="eastAsia" w:hAnsi="宋体" w:eastAsia="宋体"/>
                <w:b/>
                <w:bCs/>
                <w:sz w:val="28"/>
                <w:szCs w:val="28"/>
              </w:rPr>
              <w:t>单位</w:t>
            </w:r>
          </w:p>
        </w:tc>
        <w:tc>
          <w:tcPr>
            <w:tcW w:w="2412" w:type="dxa"/>
            <w:tcBorders>
              <w:top w:val="single" w:color="auto" w:sz="4" w:space="0"/>
              <w:left w:val="single" w:color="auto" w:sz="4" w:space="0"/>
              <w:bottom w:val="single" w:color="auto" w:sz="4" w:space="0"/>
              <w:right w:val="single" w:color="auto" w:sz="4" w:space="0"/>
            </w:tcBorders>
            <w:shd w:val="clear" w:color="auto" w:fill="DCE6F2"/>
            <w:vAlign w:val="center"/>
          </w:tcPr>
          <w:p w14:paraId="64D09CD7">
            <w:pPr>
              <w:pStyle w:val="16"/>
              <w:spacing w:line="460" w:lineRule="exact"/>
              <w:ind w:firstLine="0" w:firstLineChars="0"/>
              <w:jc w:val="center"/>
              <w:rPr>
                <w:rStyle w:val="23"/>
                <w:rFonts w:ascii="宋体" w:hAnsi="宋体" w:eastAsia="宋体"/>
                <w:b/>
                <w:bCs/>
                <w:sz w:val="28"/>
                <w:szCs w:val="28"/>
              </w:rPr>
            </w:pPr>
            <w:r>
              <w:rPr>
                <w:rStyle w:val="23"/>
                <w:rFonts w:hint="eastAsia" w:hAnsi="宋体" w:eastAsia="宋体"/>
                <w:b/>
                <w:bCs/>
                <w:sz w:val="28"/>
                <w:szCs w:val="28"/>
              </w:rPr>
              <w:t>所属行业</w:t>
            </w:r>
          </w:p>
        </w:tc>
      </w:tr>
      <w:tr w14:paraId="6BBD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689" w:type="dxa"/>
            <w:tcBorders>
              <w:top w:val="single" w:color="auto" w:sz="4" w:space="0"/>
              <w:left w:val="single" w:color="auto" w:sz="4" w:space="0"/>
              <w:bottom w:val="single" w:color="auto" w:sz="4" w:space="0"/>
              <w:right w:val="single" w:color="auto" w:sz="4" w:space="0"/>
            </w:tcBorders>
            <w:vAlign w:val="center"/>
          </w:tcPr>
          <w:p w14:paraId="0722CD51">
            <w:pPr>
              <w:pStyle w:val="16"/>
              <w:spacing w:line="400" w:lineRule="exact"/>
              <w:ind w:firstLine="0" w:firstLineChars="0"/>
              <w:jc w:val="center"/>
              <w:rPr>
                <w:rStyle w:val="23"/>
                <w:rFonts w:ascii="宋体" w:hAnsi="宋体" w:eastAsia="宋体"/>
                <w:sz w:val="28"/>
                <w:szCs w:val="28"/>
              </w:rPr>
            </w:pPr>
            <w:r>
              <w:rPr>
                <w:rStyle w:val="23"/>
                <w:rFonts w:hint="eastAsia" w:hAnsi="宋体" w:eastAsia="宋体"/>
                <w:sz w:val="28"/>
                <w:szCs w:val="28"/>
              </w:rPr>
              <w:t>马鞍山市公安局集约化运维网络线路采购</w:t>
            </w:r>
          </w:p>
        </w:tc>
        <w:tc>
          <w:tcPr>
            <w:tcW w:w="796" w:type="dxa"/>
            <w:tcBorders>
              <w:top w:val="single" w:color="auto" w:sz="4" w:space="0"/>
              <w:left w:val="single" w:color="auto" w:sz="4" w:space="0"/>
              <w:bottom w:val="single" w:color="auto" w:sz="4" w:space="0"/>
              <w:right w:val="single" w:color="auto" w:sz="4" w:space="0"/>
            </w:tcBorders>
            <w:vAlign w:val="center"/>
          </w:tcPr>
          <w:p w14:paraId="39AD6649">
            <w:pPr>
              <w:pStyle w:val="16"/>
              <w:spacing w:line="460" w:lineRule="exact"/>
              <w:ind w:firstLine="0" w:firstLineChars="0"/>
              <w:jc w:val="center"/>
              <w:rPr>
                <w:rStyle w:val="23"/>
                <w:rFonts w:ascii="宋体" w:hAnsi="宋体" w:eastAsia="宋体"/>
                <w:sz w:val="28"/>
                <w:szCs w:val="28"/>
              </w:rPr>
            </w:pPr>
            <w:r>
              <w:rPr>
                <w:rStyle w:val="23"/>
                <w:rFonts w:hint="eastAsia" w:hAnsi="宋体" w:eastAsia="宋体"/>
                <w:sz w:val="28"/>
                <w:szCs w:val="28"/>
              </w:rPr>
              <w:t>1</w:t>
            </w:r>
          </w:p>
        </w:tc>
        <w:tc>
          <w:tcPr>
            <w:tcW w:w="797" w:type="dxa"/>
            <w:tcBorders>
              <w:top w:val="single" w:color="auto" w:sz="4" w:space="0"/>
              <w:left w:val="single" w:color="auto" w:sz="4" w:space="0"/>
              <w:bottom w:val="single" w:color="auto" w:sz="4" w:space="0"/>
              <w:right w:val="single" w:color="auto" w:sz="4" w:space="0"/>
            </w:tcBorders>
            <w:vAlign w:val="center"/>
          </w:tcPr>
          <w:p w14:paraId="459509D0">
            <w:pPr>
              <w:pStyle w:val="16"/>
              <w:spacing w:line="460" w:lineRule="exact"/>
              <w:ind w:firstLine="0" w:firstLineChars="0"/>
              <w:jc w:val="center"/>
              <w:rPr>
                <w:rStyle w:val="23"/>
                <w:rFonts w:ascii="宋体" w:hAnsi="宋体" w:eastAsia="宋体"/>
                <w:sz w:val="28"/>
                <w:szCs w:val="28"/>
              </w:rPr>
            </w:pPr>
            <w:r>
              <w:rPr>
                <w:rStyle w:val="23"/>
                <w:rFonts w:hint="eastAsia" w:hAnsi="宋体" w:eastAsia="宋体"/>
                <w:sz w:val="28"/>
                <w:szCs w:val="28"/>
              </w:rPr>
              <w:t>项</w:t>
            </w:r>
          </w:p>
        </w:tc>
        <w:tc>
          <w:tcPr>
            <w:tcW w:w="2412" w:type="dxa"/>
            <w:tcBorders>
              <w:top w:val="single" w:color="auto" w:sz="4" w:space="0"/>
              <w:left w:val="single" w:color="auto" w:sz="4" w:space="0"/>
              <w:bottom w:val="single" w:color="auto" w:sz="4" w:space="0"/>
              <w:right w:val="single" w:color="auto" w:sz="4" w:space="0"/>
            </w:tcBorders>
            <w:shd w:val="clear" w:color="auto" w:fill="DCE6F2"/>
            <w:vAlign w:val="center"/>
          </w:tcPr>
          <w:p w14:paraId="7F4502C5">
            <w:pPr>
              <w:pStyle w:val="16"/>
              <w:spacing w:line="400" w:lineRule="exact"/>
              <w:ind w:firstLine="0" w:firstLineChars="0"/>
              <w:jc w:val="center"/>
              <w:rPr>
                <w:rStyle w:val="23"/>
                <w:rFonts w:ascii="宋体" w:hAnsi="宋体" w:eastAsia="宋体"/>
                <w:sz w:val="28"/>
                <w:szCs w:val="28"/>
              </w:rPr>
            </w:pPr>
            <w:r>
              <w:rPr>
                <w:rStyle w:val="23"/>
                <w:rFonts w:hint="eastAsia" w:hAnsi="宋体" w:eastAsia="宋体"/>
                <w:sz w:val="28"/>
                <w:szCs w:val="28"/>
              </w:rPr>
              <w:t>信息传输业</w:t>
            </w:r>
          </w:p>
        </w:tc>
      </w:tr>
    </w:tbl>
    <w:p w14:paraId="4610B59D">
      <w:pPr>
        <w:spacing w:line="360" w:lineRule="auto"/>
        <w:rPr>
          <w:rFonts w:hint="eastAsia"/>
          <w:b/>
          <w:bCs/>
          <w:sz w:val="28"/>
          <w:szCs w:val="28"/>
        </w:rPr>
      </w:pPr>
      <w:r>
        <w:rPr>
          <w:rFonts w:hint="eastAsia"/>
          <w:b/>
          <w:bCs/>
          <w:sz w:val="28"/>
          <w:szCs w:val="28"/>
        </w:rPr>
        <w:t xml:space="preserve"> </w:t>
      </w:r>
    </w:p>
    <w:p w14:paraId="38576106">
      <w:pPr>
        <w:spacing w:line="360" w:lineRule="auto"/>
        <w:ind w:firstLine="435"/>
        <w:rPr>
          <w:rFonts w:hint="eastAsia"/>
          <w:sz w:val="28"/>
          <w:szCs w:val="28"/>
        </w:rPr>
      </w:pPr>
      <w:r>
        <w:rPr>
          <w:rFonts w:hint="eastAsia"/>
          <w:b/>
          <w:bCs/>
          <w:sz w:val="28"/>
          <w:szCs w:val="28"/>
        </w:rPr>
        <w:t>（二）适用本次框架协议的服务对象范围</w:t>
      </w:r>
    </w:p>
    <w:p w14:paraId="1771C17E">
      <w:pPr>
        <w:spacing w:line="360" w:lineRule="auto"/>
        <w:ind w:firstLine="435"/>
        <w:rPr>
          <w:rFonts w:hint="eastAsia"/>
          <w:sz w:val="24"/>
          <w:szCs w:val="24"/>
        </w:rPr>
      </w:pPr>
      <w:r>
        <w:rPr>
          <w:rFonts w:hint="eastAsia"/>
          <w:sz w:val="24"/>
          <w:szCs w:val="24"/>
        </w:rPr>
        <w:t>马鞍山市公安局及其下属单位。</w:t>
      </w:r>
    </w:p>
    <w:p w14:paraId="2EDE7906">
      <w:pPr>
        <w:numPr>
          <w:ilvl w:val="0"/>
          <w:numId w:val="1"/>
        </w:numPr>
        <w:spacing w:line="360" w:lineRule="auto"/>
        <w:ind w:firstLine="435"/>
        <w:rPr>
          <w:rFonts w:hint="eastAsia"/>
          <w:b/>
          <w:bCs/>
          <w:sz w:val="28"/>
          <w:szCs w:val="28"/>
        </w:rPr>
      </w:pPr>
      <w:r>
        <w:rPr>
          <w:rFonts w:hint="eastAsia"/>
          <w:b/>
          <w:bCs/>
          <w:sz w:val="28"/>
          <w:szCs w:val="28"/>
        </w:rPr>
        <w:t>项目概况</w:t>
      </w:r>
    </w:p>
    <w:p w14:paraId="72EE4D80">
      <w:pPr>
        <w:spacing w:line="360" w:lineRule="auto"/>
        <w:ind w:firstLine="435"/>
        <w:rPr>
          <w:rFonts w:hint="eastAsia"/>
          <w:sz w:val="24"/>
          <w:szCs w:val="24"/>
        </w:rPr>
      </w:pPr>
      <w:r>
        <w:rPr>
          <w:rFonts w:hint="eastAsia"/>
          <w:sz w:val="24"/>
          <w:szCs w:val="24"/>
        </w:rPr>
        <w:t>为进一步提高财政资金使用效益，结合当前过紧日子的形势，统筹规划全市网络线路运维管理，减少基层网络线路采购的繁琐流程，秉承为基层减负的精神，根据《马鞍山市政务信息化项目建设管理办法》统筹管理，集约建设管理要求，通过规模化采购、动态化监控的方式开展马鞍山市公安局集约化运维网络线路采购项目。</w:t>
      </w:r>
      <w:r>
        <w:rPr>
          <w:rFonts w:hint="eastAsia"/>
          <w:b/>
          <w:bCs/>
          <w:sz w:val="24"/>
          <w:szCs w:val="24"/>
          <w:highlight w:val="yellow"/>
        </w:rPr>
        <w:t>兴马公司和采购人不保证业务量。</w:t>
      </w:r>
    </w:p>
    <w:p w14:paraId="156FC7A7">
      <w:pPr>
        <w:spacing w:line="360" w:lineRule="auto"/>
        <w:ind w:firstLine="435"/>
        <w:rPr>
          <w:rFonts w:hint="eastAsia"/>
          <w:sz w:val="24"/>
          <w:szCs w:val="24"/>
        </w:rPr>
      </w:pPr>
      <w:r>
        <w:rPr>
          <w:rFonts w:hint="eastAsia"/>
          <w:sz w:val="24"/>
          <w:szCs w:val="24"/>
        </w:rPr>
        <w:t>框架协议的期限：24个月。</w:t>
      </w:r>
    </w:p>
    <w:p w14:paraId="6E32DA75">
      <w:pPr>
        <w:widowControl/>
        <w:numPr>
          <w:ilvl w:val="0"/>
          <w:numId w:val="1"/>
        </w:numPr>
        <w:ind w:firstLine="435"/>
        <w:jc w:val="left"/>
        <w:rPr>
          <w:rFonts w:hint="eastAsia"/>
          <w:b/>
          <w:bCs/>
          <w:sz w:val="28"/>
          <w:szCs w:val="28"/>
        </w:rPr>
      </w:pPr>
      <w:r>
        <w:rPr>
          <w:rFonts w:hint="eastAsia"/>
          <w:b/>
          <w:bCs/>
          <w:sz w:val="28"/>
          <w:szCs w:val="28"/>
        </w:rPr>
        <w:t>采购需求</w:t>
      </w:r>
    </w:p>
    <w:tbl>
      <w:tblPr>
        <w:tblStyle w:val="12"/>
        <w:tblW w:w="8035" w:type="dxa"/>
        <w:tblInd w:w="0" w:type="dxa"/>
        <w:tblLayout w:type="fixed"/>
        <w:tblCellMar>
          <w:top w:w="0" w:type="dxa"/>
          <w:left w:w="108" w:type="dxa"/>
          <w:bottom w:w="0" w:type="dxa"/>
          <w:right w:w="108" w:type="dxa"/>
        </w:tblCellMar>
      </w:tblPr>
      <w:tblGrid>
        <w:gridCol w:w="804"/>
        <w:gridCol w:w="1441"/>
        <w:gridCol w:w="2653"/>
        <w:gridCol w:w="1144"/>
        <w:gridCol w:w="1171"/>
        <w:gridCol w:w="822"/>
      </w:tblGrid>
      <w:tr w14:paraId="2B64DC72">
        <w:tblPrEx>
          <w:tblCellMar>
            <w:top w:w="0" w:type="dxa"/>
            <w:left w:w="108" w:type="dxa"/>
            <w:bottom w:w="0" w:type="dxa"/>
            <w:right w:w="108" w:type="dxa"/>
          </w:tblCellMar>
        </w:tblPrEx>
        <w:trPr>
          <w:trHeight w:val="37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77C4A4D1">
            <w:pPr>
              <w:widowControl/>
              <w:jc w:val="center"/>
              <w:textAlignment w:val="center"/>
              <w:rPr>
                <w:b/>
                <w:bCs/>
                <w:color w:val="000000"/>
                <w:kern w:val="0"/>
                <w:sz w:val="28"/>
                <w:szCs w:val="28"/>
              </w:rPr>
            </w:pPr>
            <w:r>
              <w:rPr>
                <w:rFonts w:hint="eastAsia"/>
                <w:b/>
                <w:bCs/>
                <w:color w:val="000000"/>
                <w:kern w:val="0"/>
                <w:sz w:val="28"/>
                <w:szCs w:val="28"/>
              </w:rPr>
              <w:t>序号</w:t>
            </w:r>
          </w:p>
        </w:tc>
        <w:tc>
          <w:tcPr>
            <w:tcW w:w="1441" w:type="dxa"/>
            <w:tcBorders>
              <w:top w:val="single" w:color="000000" w:sz="4" w:space="0"/>
              <w:left w:val="nil"/>
              <w:bottom w:val="single" w:color="000000" w:sz="4" w:space="0"/>
              <w:right w:val="single" w:color="000000" w:sz="4" w:space="0"/>
            </w:tcBorders>
            <w:vAlign w:val="center"/>
          </w:tcPr>
          <w:p w14:paraId="0FB9C968">
            <w:pPr>
              <w:widowControl/>
              <w:jc w:val="center"/>
              <w:textAlignment w:val="center"/>
              <w:rPr>
                <w:b/>
                <w:bCs/>
                <w:color w:val="000000"/>
                <w:sz w:val="28"/>
                <w:szCs w:val="28"/>
              </w:rPr>
            </w:pPr>
            <w:r>
              <w:rPr>
                <w:rFonts w:hint="eastAsia"/>
                <w:b/>
                <w:bCs/>
                <w:color w:val="000000"/>
                <w:kern w:val="0"/>
                <w:sz w:val="28"/>
                <w:szCs w:val="28"/>
              </w:rPr>
              <w:t>线路类型</w:t>
            </w:r>
          </w:p>
        </w:tc>
        <w:tc>
          <w:tcPr>
            <w:tcW w:w="2653" w:type="dxa"/>
            <w:tcBorders>
              <w:top w:val="single" w:color="000000" w:sz="4" w:space="0"/>
              <w:left w:val="nil"/>
              <w:bottom w:val="single" w:color="000000" w:sz="4" w:space="0"/>
              <w:right w:val="single" w:color="000000" w:sz="4" w:space="0"/>
            </w:tcBorders>
            <w:vAlign w:val="center"/>
          </w:tcPr>
          <w:p w14:paraId="7D5CBE66">
            <w:pPr>
              <w:widowControl/>
              <w:jc w:val="center"/>
              <w:textAlignment w:val="center"/>
              <w:rPr>
                <w:b/>
                <w:bCs/>
                <w:color w:val="000000"/>
                <w:sz w:val="28"/>
                <w:szCs w:val="28"/>
              </w:rPr>
            </w:pPr>
            <w:r>
              <w:rPr>
                <w:rFonts w:hint="eastAsia"/>
                <w:b/>
                <w:bCs/>
                <w:color w:val="000000"/>
                <w:kern w:val="0"/>
                <w:sz w:val="28"/>
                <w:szCs w:val="28"/>
              </w:rPr>
              <w:t>网络接入方式</w:t>
            </w:r>
          </w:p>
        </w:tc>
        <w:tc>
          <w:tcPr>
            <w:tcW w:w="1144" w:type="dxa"/>
            <w:tcBorders>
              <w:top w:val="single" w:color="000000" w:sz="4" w:space="0"/>
              <w:left w:val="nil"/>
              <w:bottom w:val="single" w:color="000000" w:sz="4" w:space="0"/>
              <w:right w:val="single" w:color="000000" w:sz="4" w:space="0"/>
            </w:tcBorders>
            <w:vAlign w:val="center"/>
          </w:tcPr>
          <w:p w14:paraId="59993F82">
            <w:pPr>
              <w:widowControl/>
              <w:jc w:val="center"/>
              <w:textAlignment w:val="center"/>
              <w:rPr>
                <w:b/>
                <w:bCs/>
                <w:color w:val="000000"/>
                <w:sz w:val="28"/>
                <w:szCs w:val="28"/>
              </w:rPr>
            </w:pPr>
            <w:r>
              <w:rPr>
                <w:rFonts w:hint="eastAsia"/>
                <w:b/>
                <w:bCs/>
                <w:color w:val="000000"/>
                <w:kern w:val="0"/>
                <w:sz w:val="28"/>
                <w:szCs w:val="28"/>
              </w:rPr>
              <w:t>带宽</w:t>
            </w:r>
          </w:p>
        </w:tc>
        <w:tc>
          <w:tcPr>
            <w:tcW w:w="1171" w:type="dxa"/>
            <w:tcBorders>
              <w:top w:val="single" w:color="000000" w:sz="4" w:space="0"/>
              <w:left w:val="nil"/>
              <w:bottom w:val="single" w:color="000000" w:sz="4" w:space="0"/>
              <w:right w:val="single" w:color="000000" w:sz="4" w:space="0"/>
            </w:tcBorders>
            <w:vAlign w:val="center"/>
          </w:tcPr>
          <w:p w14:paraId="3860A6A1">
            <w:pPr>
              <w:widowControl/>
              <w:jc w:val="center"/>
              <w:textAlignment w:val="center"/>
              <w:rPr>
                <w:b/>
                <w:bCs/>
                <w:color w:val="000000"/>
                <w:sz w:val="28"/>
                <w:szCs w:val="28"/>
              </w:rPr>
            </w:pPr>
            <w:r>
              <w:rPr>
                <w:rFonts w:hint="eastAsia"/>
                <w:b/>
                <w:bCs/>
                <w:color w:val="000000"/>
                <w:kern w:val="0"/>
                <w:sz w:val="28"/>
                <w:szCs w:val="28"/>
              </w:rPr>
              <w:t>基准定价/元/月</w:t>
            </w:r>
          </w:p>
        </w:tc>
        <w:tc>
          <w:tcPr>
            <w:tcW w:w="822" w:type="dxa"/>
            <w:tcBorders>
              <w:top w:val="single" w:color="000000" w:sz="4" w:space="0"/>
              <w:left w:val="nil"/>
              <w:bottom w:val="single" w:color="000000" w:sz="4" w:space="0"/>
              <w:right w:val="single" w:color="000000" w:sz="4" w:space="0"/>
            </w:tcBorders>
            <w:vAlign w:val="center"/>
          </w:tcPr>
          <w:p w14:paraId="14726B0F">
            <w:pPr>
              <w:widowControl/>
              <w:jc w:val="center"/>
              <w:textAlignment w:val="center"/>
              <w:rPr>
                <w:color w:val="000000"/>
                <w:sz w:val="24"/>
                <w:szCs w:val="24"/>
              </w:rPr>
            </w:pPr>
            <w:r>
              <w:rPr>
                <w:rFonts w:hint="eastAsia"/>
                <w:color w:val="000000"/>
                <w:kern w:val="0"/>
                <w:sz w:val="24"/>
                <w:szCs w:val="24"/>
              </w:rPr>
              <w:t>备注</w:t>
            </w:r>
          </w:p>
        </w:tc>
      </w:tr>
      <w:tr w14:paraId="3B275A31">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3596E10D">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5101A822">
            <w:pPr>
              <w:widowControl/>
              <w:jc w:val="center"/>
              <w:textAlignment w:val="center"/>
              <w:rPr>
                <w:color w:val="000000"/>
                <w:sz w:val="24"/>
                <w:szCs w:val="24"/>
              </w:rPr>
            </w:pPr>
            <w:r>
              <w:rPr>
                <w:rFonts w:hint="eastAsia"/>
                <w:color w:val="000000"/>
                <w:kern w:val="0"/>
                <w:sz w:val="24"/>
                <w:szCs w:val="24"/>
              </w:rPr>
              <w:t>数据（语音）中继线(市内)</w:t>
            </w:r>
          </w:p>
        </w:tc>
        <w:tc>
          <w:tcPr>
            <w:tcW w:w="2653" w:type="dxa"/>
            <w:tcBorders>
              <w:top w:val="single" w:color="000000" w:sz="4" w:space="0"/>
              <w:left w:val="nil"/>
              <w:bottom w:val="single" w:color="000000" w:sz="4" w:space="0"/>
              <w:right w:val="single" w:color="000000" w:sz="4" w:space="0"/>
            </w:tcBorders>
            <w:vAlign w:val="center"/>
          </w:tcPr>
          <w:p w14:paraId="47CB7C5C">
            <w:pPr>
              <w:widowControl/>
              <w:jc w:val="center"/>
              <w:textAlignment w:val="center"/>
              <w:rPr>
                <w:color w:val="000000"/>
                <w:sz w:val="24"/>
                <w:szCs w:val="24"/>
              </w:rPr>
            </w:pPr>
            <w:r>
              <w:rPr>
                <w:rFonts w:hint="eastAsia"/>
                <w:color w:val="000000"/>
                <w:kern w:val="0"/>
                <w:sz w:val="24"/>
                <w:szCs w:val="24"/>
              </w:rPr>
              <w:t>视频专网（PON接入单光猫）</w:t>
            </w:r>
          </w:p>
        </w:tc>
        <w:tc>
          <w:tcPr>
            <w:tcW w:w="1144" w:type="dxa"/>
            <w:tcBorders>
              <w:top w:val="single" w:color="000000" w:sz="4" w:space="0"/>
              <w:left w:val="nil"/>
              <w:bottom w:val="single" w:color="000000" w:sz="4" w:space="0"/>
              <w:right w:val="single" w:color="000000" w:sz="4" w:space="0"/>
            </w:tcBorders>
            <w:vAlign w:val="center"/>
          </w:tcPr>
          <w:p w14:paraId="080AB454">
            <w:pPr>
              <w:widowControl/>
              <w:jc w:val="center"/>
              <w:textAlignment w:val="center"/>
              <w:rPr>
                <w:color w:val="000000"/>
                <w:sz w:val="24"/>
                <w:szCs w:val="24"/>
              </w:rPr>
            </w:pPr>
            <w:r>
              <w:rPr>
                <w:rFonts w:hint="eastAsia"/>
                <w:color w:val="000000"/>
                <w:kern w:val="0"/>
                <w:sz w:val="24"/>
                <w:szCs w:val="24"/>
              </w:rPr>
              <w:t>100</w:t>
            </w:r>
          </w:p>
        </w:tc>
        <w:tc>
          <w:tcPr>
            <w:tcW w:w="1171" w:type="dxa"/>
            <w:tcBorders>
              <w:top w:val="single" w:color="000000" w:sz="4" w:space="0"/>
              <w:left w:val="nil"/>
              <w:bottom w:val="single" w:color="000000" w:sz="4" w:space="0"/>
              <w:right w:val="single" w:color="000000" w:sz="4" w:space="0"/>
            </w:tcBorders>
            <w:vAlign w:val="center"/>
          </w:tcPr>
          <w:p w14:paraId="3D698B1B">
            <w:pPr>
              <w:widowControl/>
              <w:jc w:val="center"/>
              <w:textAlignment w:val="center"/>
              <w:rPr>
                <w:color w:val="000000"/>
                <w:sz w:val="24"/>
                <w:szCs w:val="24"/>
              </w:rPr>
            </w:pPr>
            <w:r>
              <w:rPr>
                <w:rFonts w:hint="eastAsia"/>
                <w:color w:val="000000"/>
                <w:kern w:val="0"/>
                <w:sz w:val="24"/>
                <w:szCs w:val="24"/>
              </w:rPr>
              <w:t>850</w:t>
            </w:r>
          </w:p>
        </w:tc>
        <w:tc>
          <w:tcPr>
            <w:tcW w:w="822" w:type="dxa"/>
            <w:tcBorders>
              <w:top w:val="single" w:color="000000" w:sz="4" w:space="0"/>
              <w:left w:val="nil"/>
              <w:bottom w:val="single" w:color="000000" w:sz="4" w:space="0"/>
              <w:right w:val="single" w:color="000000" w:sz="4" w:space="0"/>
            </w:tcBorders>
            <w:vAlign w:val="center"/>
          </w:tcPr>
          <w:p w14:paraId="5F7096FB">
            <w:pPr>
              <w:jc w:val="center"/>
              <w:rPr>
                <w:color w:val="FF0000"/>
                <w:sz w:val="24"/>
                <w:szCs w:val="24"/>
              </w:rPr>
            </w:pPr>
          </w:p>
        </w:tc>
      </w:tr>
      <w:tr w14:paraId="5181930A">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4D50DF08">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33551D06">
            <w:pPr>
              <w:widowControl/>
              <w:jc w:val="center"/>
              <w:textAlignment w:val="center"/>
              <w:rPr>
                <w:color w:val="000000"/>
                <w:sz w:val="24"/>
                <w:szCs w:val="24"/>
              </w:rPr>
            </w:pPr>
            <w:r>
              <w:rPr>
                <w:rFonts w:hint="eastAsia"/>
                <w:color w:val="000000"/>
                <w:kern w:val="0"/>
                <w:sz w:val="24"/>
                <w:szCs w:val="24"/>
              </w:rPr>
              <w:t>财政数据专线(市内)</w:t>
            </w:r>
          </w:p>
        </w:tc>
        <w:tc>
          <w:tcPr>
            <w:tcW w:w="2653" w:type="dxa"/>
            <w:tcBorders>
              <w:top w:val="single" w:color="000000" w:sz="4" w:space="0"/>
              <w:left w:val="nil"/>
              <w:bottom w:val="single" w:color="000000" w:sz="4" w:space="0"/>
              <w:right w:val="single" w:color="000000" w:sz="4" w:space="0"/>
            </w:tcBorders>
            <w:vAlign w:val="center"/>
          </w:tcPr>
          <w:p w14:paraId="4722843F">
            <w:pPr>
              <w:widowControl/>
              <w:jc w:val="center"/>
              <w:textAlignment w:val="center"/>
              <w:rPr>
                <w:color w:val="000000"/>
                <w:sz w:val="24"/>
                <w:szCs w:val="24"/>
              </w:rPr>
            </w:pPr>
            <w:r>
              <w:rPr>
                <w:rFonts w:hint="eastAsia"/>
                <w:color w:val="000000"/>
                <w:kern w:val="0"/>
                <w:sz w:val="24"/>
                <w:szCs w:val="24"/>
              </w:rPr>
              <w:t>财政专线（PON接入单光猫）</w:t>
            </w:r>
          </w:p>
        </w:tc>
        <w:tc>
          <w:tcPr>
            <w:tcW w:w="1144" w:type="dxa"/>
            <w:tcBorders>
              <w:top w:val="single" w:color="000000" w:sz="4" w:space="0"/>
              <w:left w:val="nil"/>
              <w:bottom w:val="single" w:color="000000" w:sz="4" w:space="0"/>
              <w:right w:val="single" w:color="000000" w:sz="4" w:space="0"/>
            </w:tcBorders>
            <w:vAlign w:val="center"/>
          </w:tcPr>
          <w:p w14:paraId="563F0C53">
            <w:pPr>
              <w:widowControl/>
              <w:jc w:val="center"/>
              <w:textAlignment w:val="center"/>
              <w:rPr>
                <w:color w:val="000000"/>
                <w:sz w:val="24"/>
                <w:szCs w:val="24"/>
              </w:rPr>
            </w:pPr>
            <w:r>
              <w:rPr>
                <w:rFonts w:hint="eastAsia"/>
                <w:color w:val="000000"/>
                <w:kern w:val="0"/>
                <w:sz w:val="24"/>
                <w:szCs w:val="24"/>
              </w:rPr>
              <w:t>100M</w:t>
            </w:r>
          </w:p>
        </w:tc>
        <w:tc>
          <w:tcPr>
            <w:tcW w:w="1171" w:type="dxa"/>
            <w:tcBorders>
              <w:top w:val="single" w:color="000000" w:sz="4" w:space="0"/>
              <w:left w:val="nil"/>
              <w:bottom w:val="single" w:color="000000" w:sz="4" w:space="0"/>
              <w:right w:val="single" w:color="000000" w:sz="4" w:space="0"/>
            </w:tcBorders>
            <w:vAlign w:val="center"/>
          </w:tcPr>
          <w:p w14:paraId="462C9719">
            <w:pPr>
              <w:widowControl/>
              <w:jc w:val="center"/>
              <w:textAlignment w:val="center"/>
              <w:rPr>
                <w:color w:val="000000"/>
                <w:sz w:val="24"/>
                <w:szCs w:val="24"/>
              </w:rPr>
            </w:pPr>
            <w:r>
              <w:rPr>
                <w:rFonts w:hint="eastAsia"/>
                <w:color w:val="000000"/>
                <w:kern w:val="0"/>
                <w:sz w:val="24"/>
                <w:szCs w:val="24"/>
              </w:rPr>
              <w:t>100</w:t>
            </w:r>
          </w:p>
        </w:tc>
        <w:tc>
          <w:tcPr>
            <w:tcW w:w="822" w:type="dxa"/>
            <w:tcBorders>
              <w:top w:val="single" w:color="000000" w:sz="4" w:space="0"/>
              <w:left w:val="nil"/>
              <w:bottom w:val="single" w:color="000000" w:sz="4" w:space="0"/>
              <w:right w:val="single" w:color="000000" w:sz="4" w:space="0"/>
            </w:tcBorders>
            <w:vAlign w:val="center"/>
          </w:tcPr>
          <w:p w14:paraId="371D53CD">
            <w:pPr>
              <w:jc w:val="center"/>
              <w:rPr>
                <w:color w:val="FF0000"/>
                <w:sz w:val="24"/>
                <w:szCs w:val="24"/>
              </w:rPr>
            </w:pPr>
          </w:p>
        </w:tc>
      </w:tr>
      <w:tr w14:paraId="64D8C3D2">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48A81FDE">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573919A6">
            <w:pPr>
              <w:widowControl/>
              <w:jc w:val="center"/>
              <w:textAlignment w:val="center"/>
              <w:rPr>
                <w:color w:val="000000"/>
                <w:sz w:val="24"/>
                <w:szCs w:val="24"/>
              </w:rPr>
            </w:pPr>
            <w:r>
              <w:rPr>
                <w:rFonts w:hint="eastAsia"/>
                <w:color w:val="000000"/>
                <w:kern w:val="0"/>
                <w:sz w:val="24"/>
                <w:szCs w:val="24"/>
              </w:rPr>
              <w:t>固话</w:t>
            </w:r>
          </w:p>
        </w:tc>
        <w:tc>
          <w:tcPr>
            <w:tcW w:w="2653" w:type="dxa"/>
            <w:tcBorders>
              <w:top w:val="single" w:color="000000" w:sz="4" w:space="0"/>
              <w:left w:val="nil"/>
              <w:bottom w:val="single" w:color="000000" w:sz="4" w:space="0"/>
              <w:right w:val="single" w:color="000000" w:sz="4" w:space="0"/>
            </w:tcBorders>
            <w:vAlign w:val="center"/>
          </w:tcPr>
          <w:p w14:paraId="0277CD80">
            <w:pPr>
              <w:widowControl/>
              <w:jc w:val="center"/>
              <w:textAlignment w:val="center"/>
              <w:rPr>
                <w:color w:val="000000"/>
                <w:sz w:val="24"/>
                <w:szCs w:val="24"/>
              </w:rPr>
            </w:pPr>
            <w:r>
              <w:rPr>
                <w:rFonts w:hint="eastAsia"/>
                <w:color w:val="000000"/>
                <w:kern w:val="0"/>
                <w:sz w:val="24"/>
                <w:szCs w:val="24"/>
              </w:rPr>
              <w:t>备用中继遴选（MSTP接入）</w:t>
            </w:r>
          </w:p>
        </w:tc>
        <w:tc>
          <w:tcPr>
            <w:tcW w:w="1144" w:type="dxa"/>
            <w:tcBorders>
              <w:top w:val="single" w:color="000000" w:sz="4" w:space="0"/>
              <w:left w:val="nil"/>
              <w:bottom w:val="single" w:color="000000" w:sz="4" w:space="0"/>
              <w:right w:val="single" w:color="000000" w:sz="4" w:space="0"/>
            </w:tcBorders>
            <w:vAlign w:val="center"/>
          </w:tcPr>
          <w:p w14:paraId="0CF2DEF5">
            <w:pPr>
              <w:widowControl/>
              <w:jc w:val="center"/>
              <w:textAlignment w:val="center"/>
              <w:rPr>
                <w:color w:val="000000"/>
                <w:sz w:val="24"/>
                <w:szCs w:val="24"/>
              </w:rPr>
            </w:pPr>
            <w:r>
              <w:rPr>
                <w:rFonts w:hint="eastAsia"/>
                <w:color w:val="000000"/>
                <w:kern w:val="0"/>
                <w:sz w:val="24"/>
                <w:szCs w:val="24"/>
              </w:rPr>
              <w:t>备用中继遴选</w:t>
            </w:r>
          </w:p>
        </w:tc>
        <w:tc>
          <w:tcPr>
            <w:tcW w:w="1171" w:type="dxa"/>
            <w:tcBorders>
              <w:top w:val="single" w:color="000000" w:sz="4" w:space="0"/>
              <w:left w:val="nil"/>
              <w:bottom w:val="single" w:color="000000" w:sz="4" w:space="0"/>
              <w:right w:val="single" w:color="000000" w:sz="4" w:space="0"/>
            </w:tcBorders>
            <w:vAlign w:val="center"/>
          </w:tcPr>
          <w:p w14:paraId="576B3B6C">
            <w:pPr>
              <w:widowControl/>
              <w:jc w:val="center"/>
              <w:textAlignment w:val="center"/>
              <w:rPr>
                <w:color w:val="000000"/>
                <w:sz w:val="24"/>
                <w:szCs w:val="24"/>
              </w:rPr>
            </w:pPr>
            <w:r>
              <w:rPr>
                <w:rFonts w:hint="eastAsia"/>
                <w:color w:val="000000"/>
                <w:kern w:val="0"/>
                <w:sz w:val="24"/>
                <w:szCs w:val="24"/>
              </w:rPr>
              <w:t>50</w:t>
            </w:r>
          </w:p>
        </w:tc>
        <w:tc>
          <w:tcPr>
            <w:tcW w:w="822" w:type="dxa"/>
            <w:tcBorders>
              <w:top w:val="single" w:color="000000" w:sz="4" w:space="0"/>
              <w:left w:val="nil"/>
              <w:bottom w:val="single" w:color="000000" w:sz="4" w:space="0"/>
              <w:right w:val="single" w:color="000000" w:sz="4" w:space="0"/>
            </w:tcBorders>
            <w:vAlign w:val="center"/>
          </w:tcPr>
          <w:p w14:paraId="52930697">
            <w:pPr>
              <w:jc w:val="center"/>
              <w:rPr>
                <w:color w:val="FF0000"/>
                <w:sz w:val="24"/>
                <w:szCs w:val="24"/>
              </w:rPr>
            </w:pPr>
          </w:p>
        </w:tc>
      </w:tr>
      <w:tr w14:paraId="39240E98">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186F6792">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749E80B4">
            <w:pPr>
              <w:widowControl/>
              <w:jc w:val="center"/>
              <w:textAlignment w:val="center"/>
              <w:rPr>
                <w:color w:val="000000"/>
                <w:sz w:val="24"/>
                <w:szCs w:val="24"/>
              </w:rPr>
            </w:pPr>
            <w:r>
              <w:rPr>
                <w:rFonts w:hint="eastAsia"/>
                <w:color w:val="000000"/>
                <w:kern w:val="0"/>
                <w:sz w:val="24"/>
                <w:szCs w:val="24"/>
              </w:rPr>
              <w:t>互联网</w:t>
            </w:r>
          </w:p>
        </w:tc>
        <w:tc>
          <w:tcPr>
            <w:tcW w:w="2653" w:type="dxa"/>
            <w:tcBorders>
              <w:top w:val="single" w:color="000000" w:sz="4" w:space="0"/>
              <w:left w:val="nil"/>
              <w:bottom w:val="single" w:color="000000" w:sz="4" w:space="0"/>
              <w:right w:val="single" w:color="000000" w:sz="4" w:space="0"/>
            </w:tcBorders>
            <w:vAlign w:val="center"/>
          </w:tcPr>
          <w:p w14:paraId="1736EDBD">
            <w:pPr>
              <w:widowControl/>
              <w:jc w:val="center"/>
              <w:textAlignment w:val="center"/>
              <w:rPr>
                <w:color w:val="000000"/>
                <w:sz w:val="24"/>
                <w:szCs w:val="24"/>
              </w:rPr>
            </w:pPr>
            <w:r>
              <w:rPr>
                <w:rFonts w:hint="eastAsia"/>
                <w:color w:val="000000"/>
                <w:kern w:val="0"/>
                <w:sz w:val="24"/>
                <w:szCs w:val="24"/>
              </w:rPr>
              <w:t>宽带（100M-500M）</w:t>
            </w:r>
          </w:p>
        </w:tc>
        <w:tc>
          <w:tcPr>
            <w:tcW w:w="1144" w:type="dxa"/>
            <w:tcBorders>
              <w:top w:val="single" w:color="000000" w:sz="4" w:space="0"/>
              <w:left w:val="nil"/>
              <w:bottom w:val="single" w:color="000000" w:sz="4" w:space="0"/>
              <w:right w:val="single" w:color="000000" w:sz="4" w:space="0"/>
            </w:tcBorders>
            <w:vAlign w:val="center"/>
          </w:tcPr>
          <w:p w14:paraId="41F2CDB6">
            <w:pPr>
              <w:widowControl/>
              <w:jc w:val="center"/>
              <w:textAlignment w:val="center"/>
              <w:rPr>
                <w:color w:val="000000"/>
                <w:sz w:val="24"/>
                <w:szCs w:val="24"/>
              </w:rPr>
            </w:pPr>
            <w:r>
              <w:rPr>
                <w:rFonts w:hint="eastAsia"/>
                <w:color w:val="000000"/>
                <w:kern w:val="0"/>
                <w:sz w:val="24"/>
                <w:szCs w:val="24"/>
              </w:rPr>
              <w:t>500M</w:t>
            </w:r>
          </w:p>
        </w:tc>
        <w:tc>
          <w:tcPr>
            <w:tcW w:w="1171" w:type="dxa"/>
            <w:tcBorders>
              <w:top w:val="single" w:color="000000" w:sz="4" w:space="0"/>
              <w:left w:val="nil"/>
              <w:bottom w:val="single" w:color="000000" w:sz="4" w:space="0"/>
              <w:right w:val="single" w:color="000000" w:sz="4" w:space="0"/>
            </w:tcBorders>
            <w:vAlign w:val="center"/>
          </w:tcPr>
          <w:p w14:paraId="3F3FDC55">
            <w:pPr>
              <w:widowControl/>
              <w:jc w:val="center"/>
              <w:textAlignment w:val="center"/>
              <w:rPr>
                <w:color w:val="000000"/>
                <w:sz w:val="24"/>
                <w:szCs w:val="24"/>
              </w:rPr>
            </w:pPr>
            <w:r>
              <w:rPr>
                <w:rFonts w:hint="eastAsia"/>
                <w:color w:val="000000"/>
                <w:kern w:val="0"/>
                <w:sz w:val="24"/>
                <w:szCs w:val="24"/>
              </w:rPr>
              <w:t>50</w:t>
            </w:r>
          </w:p>
        </w:tc>
        <w:tc>
          <w:tcPr>
            <w:tcW w:w="822" w:type="dxa"/>
            <w:tcBorders>
              <w:top w:val="single" w:color="000000" w:sz="4" w:space="0"/>
              <w:left w:val="nil"/>
              <w:bottom w:val="single" w:color="000000" w:sz="4" w:space="0"/>
              <w:right w:val="single" w:color="000000" w:sz="4" w:space="0"/>
            </w:tcBorders>
            <w:vAlign w:val="center"/>
          </w:tcPr>
          <w:p w14:paraId="54D2C503">
            <w:pPr>
              <w:jc w:val="center"/>
              <w:rPr>
                <w:color w:val="FF0000"/>
                <w:sz w:val="24"/>
                <w:szCs w:val="24"/>
              </w:rPr>
            </w:pPr>
          </w:p>
        </w:tc>
      </w:tr>
      <w:tr w14:paraId="1F58719A">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7DA5A09A">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1CB0227D">
            <w:pPr>
              <w:widowControl/>
              <w:jc w:val="center"/>
              <w:textAlignment w:val="center"/>
              <w:rPr>
                <w:color w:val="000000"/>
                <w:sz w:val="24"/>
                <w:szCs w:val="24"/>
              </w:rPr>
            </w:pPr>
            <w:r>
              <w:rPr>
                <w:rFonts w:hint="eastAsia"/>
                <w:color w:val="000000"/>
                <w:kern w:val="0"/>
                <w:sz w:val="24"/>
                <w:szCs w:val="24"/>
              </w:rPr>
              <w:t>互联网专线</w:t>
            </w:r>
          </w:p>
        </w:tc>
        <w:tc>
          <w:tcPr>
            <w:tcW w:w="2653" w:type="dxa"/>
            <w:tcBorders>
              <w:top w:val="single" w:color="000000" w:sz="4" w:space="0"/>
              <w:left w:val="nil"/>
              <w:bottom w:val="single" w:color="000000" w:sz="4" w:space="0"/>
              <w:right w:val="single" w:color="000000" w:sz="4" w:space="0"/>
            </w:tcBorders>
            <w:vAlign w:val="center"/>
          </w:tcPr>
          <w:p w14:paraId="4DD0E827">
            <w:pPr>
              <w:widowControl/>
              <w:jc w:val="center"/>
              <w:textAlignment w:val="center"/>
              <w:rPr>
                <w:color w:val="000000"/>
                <w:sz w:val="24"/>
                <w:szCs w:val="24"/>
              </w:rPr>
            </w:pPr>
            <w:r>
              <w:rPr>
                <w:rFonts w:hint="eastAsia"/>
                <w:color w:val="000000"/>
                <w:kern w:val="0"/>
                <w:sz w:val="24"/>
                <w:szCs w:val="24"/>
              </w:rPr>
              <w:t>互联网（PON接入单光猫）</w:t>
            </w:r>
          </w:p>
        </w:tc>
        <w:tc>
          <w:tcPr>
            <w:tcW w:w="1144" w:type="dxa"/>
            <w:tcBorders>
              <w:top w:val="single" w:color="000000" w:sz="4" w:space="0"/>
              <w:left w:val="nil"/>
              <w:bottom w:val="single" w:color="000000" w:sz="4" w:space="0"/>
              <w:right w:val="single" w:color="000000" w:sz="4" w:space="0"/>
            </w:tcBorders>
            <w:vAlign w:val="center"/>
          </w:tcPr>
          <w:p w14:paraId="479E7BEE">
            <w:pPr>
              <w:widowControl/>
              <w:jc w:val="center"/>
              <w:textAlignment w:val="center"/>
              <w:rPr>
                <w:color w:val="000000"/>
                <w:sz w:val="24"/>
                <w:szCs w:val="24"/>
              </w:rPr>
            </w:pPr>
            <w:r>
              <w:rPr>
                <w:rFonts w:hint="eastAsia"/>
                <w:color w:val="000000"/>
                <w:kern w:val="0"/>
                <w:sz w:val="24"/>
                <w:szCs w:val="24"/>
              </w:rPr>
              <w:t>50M</w:t>
            </w:r>
          </w:p>
        </w:tc>
        <w:tc>
          <w:tcPr>
            <w:tcW w:w="1171" w:type="dxa"/>
            <w:tcBorders>
              <w:top w:val="single" w:color="000000" w:sz="4" w:space="0"/>
              <w:left w:val="nil"/>
              <w:bottom w:val="single" w:color="000000" w:sz="4" w:space="0"/>
              <w:right w:val="single" w:color="000000" w:sz="4" w:space="0"/>
            </w:tcBorders>
            <w:vAlign w:val="center"/>
          </w:tcPr>
          <w:p w14:paraId="105430E2">
            <w:pPr>
              <w:widowControl/>
              <w:jc w:val="center"/>
              <w:textAlignment w:val="center"/>
              <w:rPr>
                <w:color w:val="000000"/>
                <w:sz w:val="24"/>
                <w:szCs w:val="24"/>
              </w:rPr>
            </w:pPr>
            <w:r>
              <w:rPr>
                <w:rFonts w:hint="eastAsia"/>
                <w:color w:val="000000"/>
                <w:kern w:val="0"/>
                <w:sz w:val="24"/>
                <w:szCs w:val="24"/>
              </w:rPr>
              <w:t>400</w:t>
            </w:r>
          </w:p>
        </w:tc>
        <w:tc>
          <w:tcPr>
            <w:tcW w:w="822" w:type="dxa"/>
            <w:tcBorders>
              <w:top w:val="single" w:color="000000" w:sz="4" w:space="0"/>
              <w:left w:val="nil"/>
              <w:bottom w:val="single" w:color="000000" w:sz="4" w:space="0"/>
              <w:right w:val="single" w:color="000000" w:sz="4" w:space="0"/>
            </w:tcBorders>
            <w:vAlign w:val="center"/>
          </w:tcPr>
          <w:p w14:paraId="7FDF7AA3">
            <w:pPr>
              <w:jc w:val="center"/>
              <w:rPr>
                <w:color w:val="FF0000"/>
                <w:sz w:val="24"/>
                <w:szCs w:val="24"/>
              </w:rPr>
            </w:pPr>
          </w:p>
        </w:tc>
      </w:tr>
      <w:tr w14:paraId="545728B3">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6E6E3ABB">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6AF59C55">
            <w:pPr>
              <w:widowControl/>
              <w:jc w:val="center"/>
              <w:textAlignment w:val="center"/>
              <w:rPr>
                <w:color w:val="000000"/>
                <w:sz w:val="24"/>
                <w:szCs w:val="24"/>
              </w:rPr>
            </w:pPr>
            <w:r>
              <w:rPr>
                <w:rFonts w:hint="eastAsia"/>
                <w:color w:val="000000"/>
                <w:kern w:val="0"/>
                <w:sz w:val="24"/>
                <w:szCs w:val="24"/>
              </w:rPr>
              <w:t>互联网专线</w:t>
            </w:r>
          </w:p>
        </w:tc>
        <w:tc>
          <w:tcPr>
            <w:tcW w:w="2653" w:type="dxa"/>
            <w:tcBorders>
              <w:top w:val="single" w:color="000000" w:sz="4" w:space="0"/>
              <w:left w:val="nil"/>
              <w:bottom w:val="single" w:color="000000" w:sz="4" w:space="0"/>
              <w:right w:val="single" w:color="000000" w:sz="4" w:space="0"/>
            </w:tcBorders>
            <w:vAlign w:val="center"/>
          </w:tcPr>
          <w:p w14:paraId="0C858AF0">
            <w:pPr>
              <w:widowControl/>
              <w:jc w:val="center"/>
              <w:textAlignment w:val="center"/>
              <w:rPr>
                <w:color w:val="000000"/>
                <w:sz w:val="24"/>
                <w:szCs w:val="24"/>
              </w:rPr>
            </w:pPr>
            <w:r>
              <w:rPr>
                <w:rFonts w:hint="eastAsia"/>
                <w:color w:val="000000"/>
                <w:kern w:val="0"/>
                <w:sz w:val="24"/>
                <w:szCs w:val="24"/>
              </w:rPr>
              <w:t>互联网（PON接入单光猫）</w:t>
            </w:r>
          </w:p>
        </w:tc>
        <w:tc>
          <w:tcPr>
            <w:tcW w:w="1144" w:type="dxa"/>
            <w:tcBorders>
              <w:top w:val="single" w:color="000000" w:sz="4" w:space="0"/>
              <w:left w:val="nil"/>
              <w:bottom w:val="single" w:color="000000" w:sz="4" w:space="0"/>
              <w:right w:val="single" w:color="000000" w:sz="4" w:space="0"/>
            </w:tcBorders>
            <w:vAlign w:val="center"/>
          </w:tcPr>
          <w:p w14:paraId="311B6289">
            <w:pPr>
              <w:widowControl/>
              <w:jc w:val="center"/>
              <w:textAlignment w:val="center"/>
              <w:rPr>
                <w:color w:val="000000"/>
                <w:sz w:val="24"/>
                <w:szCs w:val="24"/>
              </w:rPr>
            </w:pPr>
            <w:r>
              <w:rPr>
                <w:rFonts w:hint="eastAsia"/>
                <w:color w:val="000000"/>
                <w:kern w:val="0"/>
                <w:sz w:val="24"/>
                <w:szCs w:val="24"/>
              </w:rPr>
              <w:t>100M</w:t>
            </w:r>
          </w:p>
        </w:tc>
        <w:tc>
          <w:tcPr>
            <w:tcW w:w="1171" w:type="dxa"/>
            <w:tcBorders>
              <w:top w:val="single" w:color="000000" w:sz="4" w:space="0"/>
              <w:left w:val="nil"/>
              <w:bottom w:val="single" w:color="000000" w:sz="4" w:space="0"/>
              <w:right w:val="single" w:color="000000" w:sz="4" w:space="0"/>
            </w:tcBorders>
            <w:vAlign w:val="center"/>
          </w:tcPr>
          <w:p w14:paraId="20DAF29C">
            <w:pPr>
              <w:widowControl/>
              <w:jc w:val="center"/>
              <w:textAlignment w:val="center"/>
              <w:rPr>
                <w:color w:val="000000"/>
                <w:sz w:val="24"/>
                <w:szCs w:val="24"/>
              </w:rPr>
            </w:pPr>
            <w:r>
              <w:rPr>
                <w:rFonts w:hint="eastAsia"/>
                <w:color w:val="000000"/>
                <w:kern w:val="0"/>
                <w:sz w:val="24"/>
                <w:szCs w:val="24"/>
              </w:rPr>
              <w:t>500</w:t>
            </w:r>
          </w:p>
        </w:tc>
        <w:tc>
          <w:tcPr>
            <w:tcW w:w="822" w:type="dxa"/>
            <w:tcBorders>
              <w:top w:val="single" w:color="000000" w:sz="4" w:space="0"/>
              <w:left w:val="nil"/>
              <w:bottom w:val="single" w:color="000000" w:sz="4" w:space="0"/>
              <w:right w:val="single" w:color="000000" w:sz="4" w:space="0"/>
            </w:tcBorders>
            <w:vAlign w:val="center"/>
          </w:tcPr>
          <w:p w14:paraId="627EF19A">
            <w:pPr>
              <w:jc w:val="center"/>
              <w:rPr>
                <w:color w:val="FF0000"/>
                <w:sz w:val="24"/>
                <w:szCs w:val="24"/>
              </w:rPr>
            </w:pPr>
          </w:p>
        </w:tc>
      </w:tr>
      <w:tr w14:paraId="161EB856">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5710746E">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0CC9C853">
            <w:pPr>
              <w:widowControl/>
              <w:jc w:val="center"/>
              <w:textAlignment w:val="center"/>
              <w:rPr>
                <w:color w:val="000000"/>
                <w:sz w:val="24"/>
                <w:szCs w:val="24"/>
              </w:rPr>
            </w:pPr>
            <w:r>
              <w:rPr>
                <w:rFonts w:hint="eastAsia"/>
                <w:color w:val="000000"/>
                <w:kern w:val="0"/>
                <w:sz w:val="24"/>
                <w:szCs w:val="24"/>
              </w:rPr>
              <w:t>互联网专线</w:t>
            </w:r>
          </w:p>
        </w:tc>
        <w:tc>
          <w:tcPr>
            <w:tcW w:w="2653" w:type="dxa"/>
            <w:tcBorders>
              <w:top w:val="single" w:color="000000" w:sz="4" w:space="0"/>
              <w:left w:val="nil"/>
              <w:bottom w:val="single" w:color="000000" w:sz="4" w:space="0"/>
              <w:right w:val="single" w:color="000000" w:sz="4" w:space="0"/>
            </w:tcBorders>
            <w:vAlign w:val="center"/>
          </w:tcPr>
          <w:p w14:paraId="376D81CF">
            <w:pPr>
              <w:widowControl/>
              <w:jc w:val="center"/>
              <w:textAlignment w:val="center"/>
              <w:rPr>
                <w:color w:val="000000"/>
                <w:sz w:val="24"/>
                <w:szCs w:val="24"/>
              </w:rPr>
            </w:pPr>
            <w:r>
              <w:rPr>
                <w:rFonts w:hint="eastAsia"/>
                <w:color w:val="000000"/>
                <w:kern w:val="0"/>
                <w:sz w:val="24"/>
                <w:szCs w:val="24"/>
              </w:rPr>
              <w:t>互联网（PON接入单光猫）</w:t>
            </w:r>
          </w:p>
        </w:tc>
        <w:tc>
          <w:tcPr>
            <w:tcW w:w="1144" w:type="dxa"/>
            <w:tcBorders>
              <w:top w:val="single" w:color="000000" w:sz="4" w:space="0"/>
              <w:left w:val="nil"/>
              <w:bottom w:val="single" w:color="000000" w:sz="4" w:space="0"/>
              <w:right w:val="single" w:color="000000" w:sz="4" w:space="0"/>
            </w:tcBorders>
            <w:vAlign w:val="center"/>
          </w:tcPr>
          <w:p w14:paraId="5F0E2EF0">
            <w:pPr>
              <w:widowControl/>
              <w:jc w:val="center"/>
              <w:textAlignment w:val="center"/>
              <w:rPr>
                <w:color w:val="000000"/>
                <w:sz w:val="24"/>
                <w:szCs w:val="24"/>
              </w:rPr>
            </w:pPr>
            <w:r>
              <w:rPr>
                <w:rFonts w:hint="eastAsia"/>
                <w:color w:val="000000"/>
                <w:kern w:val="0"/>
                <w:sz w:val="24"/>
                <w:szCs w:val="24"/>
              </w:rPr>
              <w:t>150M</w:t>
            </w:r>
          </w:p>
        </w:tc>
        <w:tc>
          <w:tcPr>
            <w:tcW w:w="1171" w:type="dxa"/>
            <w:tcBorders>
              <w:top w:val="single" w:color="000000" w:sz="4" w:space="0"/>
              <w:left w:val="nil"/>
              <w:bottom w:val="single" w:color="000000" w:sz="4" w:space="0"/>
              <w:right w:val="single" w:color="000000" w:sz="4" w:space="0"/>
            </w:tcBorders>
            <w:vAlign w:val="center"/>
          </w:tcPr>
          <w:p w14:paraId="08F560E9">
            <w:pPr>
              <w:widowControl/>
              <w:jc w:val="center"/>
              <w:textAlignment w:val="center"/>
              <w:rPr>
                <w:color w:val="000000"/>
                <w:sz w:val="24"/>
                <w:szCs w:val="24"/>
              </w:rPr>
            </w:pPr>
            <w:r>
              <w:rPr>
                <w:rFonts w:hint="eastAsia"/>
                <w:color w:val="000000"/>
                <w:kern w:val="0"/>
                <w:sz w:val="24"/>
                <w:szCs w:val="24"/>
              </w:rPr>
              <w:t>800</w:t>
            </w:r>
          </w:p>
        </w:tc>
        <w:tc>
          <w:tcPr>
            <w:tcW w:w="822" w:type="dxa"/>
            <w:tcBorders>
              <w:top w:val="single" w:color="000000" w:sz="4" w:space="0"/>
              <w:left w:val="nil"/>
              <w:bottom w:val="single" w:color="000000" w:sz="4" w:space="0"/>
              <w:right w:val="single" w:color="000000" w:sz="4" w:space="0"/>
            </w:tcBorders>
            <w:vAlign w:val="center"/>
          </w:tcPr>
          <w:p w14:paraId="2B6F65A7">
            <w:pPr>
              <w:jc w:val="center"/>
              <w:rPr>
                <w:color w:val="FF0000"/>
                <w:sz w:val="24"/>
                <w:szCs w:val="24"/>
              </w:rPr>
            </w:pPr>
          </w:p>
        </w:tc>
      </w:tr>
      <w:tr w14:paraId="396C8E57">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3E0EA1BD">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10576DF7">
            <w:pPr>
              <w:widowControl/>
              <w:jc w:val="center"/>
              <w:textAlignment w:val="center"/>
              <w:rPr>
                <w:color w:val="000000"/>
                <w:sz w:val="24"/>
                <w:szCs w:val="24"/>
              </w:rPr>
            </w:pPr>
            <w:r>
              <w:rPr>
                <w:rFonts w:hint="eastAsia"/>
                <w:color w:val="000000"/>
                <w:kern w:val="0"/>
                <w:sz w:val="24"/>
                <w:szCs w:val="24"/>
              </w:rPr>
              <w:t>互联网专线</w:t>
            </w:r>
          </w:p>
        </w:tc>
        <w:tc>
          <w:tcPr>
            <w:tcW w:w="2653" w:type="dxa"/>
            <w:tcBorders>
              <w:top w:val="single" w:color="000000" w:sz="4" w:space="0"/>
              <w:left w:val="nil"/>
              <w:bottom w:val="single" w:color="000000" w:sz="4" w:space="0"/>
              <w:right w:val="single" w:color="000000" w:sz="4" w:space="0"/>
            </w:tcBorders>
            <w:vAlign w:val="center"/>
          </w:tcPr>
          <w:p w14:paraId="32D4E44C">
            <w:pPr>
              <w:widowControl/>
              <w:jc w:val="center"/>
              <w:textAlignment w:val="center"/>
              <w:rPr>
                <w:color w:val="000000"/>
                <w:sz w:val="24"/>
                <w:szCs w:val="24"/>
              </w:rPr>
            </w:pPr>
            <w:r>
              <w:rPr>
                <w:rFonts w:hint="eastAsia"/>
                <w:color w:val="000000"/>
                <w:kern w:val="0"/>
                <w:sz w:val="24"/>
                <w:szCs w:val="24"/>
              </w:rPr>
              <w:t>互联网（PON接入单光猫）</w:t>
            </w:r>
          </w:p>
        </w:tc>
        <w:tc>
          <w:tcPr>
            <w:tcW w:w="1144" w:type="dxa"/>
            <w:tcBorders>
              <w:top w:val="single" w:color="000000" w:sz="4" w:space="0"/>
              <w:left w:val="nil"/>
              <w:bottom w:val="single" w:color="000000" w:sz="4" w:space="0"/>
              <w:right w:val="single" w:color="000000" w:sz="4" w:space="0"/>
            </w:tcBorders>
            <w:vAlign w:val="center"/>
          </w:tcPr>
          <w:p w14:paraId="48DE79B8">
            <w:pPr>
              <w:widowControl/>
              <w:jc w:val="center"/>
              <w:textAlignment w:val="center"/>
              <w:rPr>
                <w:color w:val="000000"/>
                <w:sz w:val="24"/>
                <w:szCs w:val="24"/>
              </w:rPr>
            </w:pPr>
            <w:r>
              <w:rPr>
                <w:rFonts w:hint="eastAsia"/>
                <w:color w:val="000000"/>
                <w:kern w:val="0"/>
                <w:sz w:val="24"/>
                <w:szCs w:val="24"/>
              </w:rPr>
              <w:t>200M</w:t>
            </w:r>
          </w:p>
        </w:tc>
        <w:tc>
          <w:tcPr>
            <w:tcW w:w="1171" w:type="dxa"/>
            <w:tcBorders>
              <w:top w:val="single" w:color="000000" w:sz="4" w:space="0"/>
              <w:left w:val="nil"/>
              <w:bottom w:val="single" w:color="000000" w:sz="4" w:space="0"/>
              <w:right w:val="single" w:color="000000" w:sz="4" w:space="0"/>
            </w:tcBorders>
            <w:vAlign w:val="center"/>
          </w:tcPr>
          <w:p w14:paraId="476A6331">
            <w:pPr>
              <w:widowControl/>
              <w:jc w:val="center"/>
              <w:textAlignment w:val="center"/>
              <w:rPr>
                <w:color w:val="000000"/>
                <w:sz w:val="24"/>
                <w:szCs w:val="24"/>
              </w:rPr>
            </w:pPr>
            <w:r>
              <w:rPr>
                <w:rFonts w:hint="eastAsia"/>
                <w:color w:val="000000"/>
                <w:kern w:val="0"/>
                <w:sz w:val="24"/>
                <w:szCs w:val="24"/>
              </w:rPr>
              <w:t>1500</w:t>
            </w:r>
          </w:p>
        </w:tc>
        <w:tc>
          <w:tcPr>
            <w:tcW w:w="822" w:type="dxa"/>
            <w:tcBorders>
              <w:top w:val="single" w:color="000000" w:sz="4" w:space="0"/>
              <w:left w:val="nil"/>
              <w:bottom w:val="single" w:color="000000" w:sz="4" w:space="0"/>
              <w:right w:val="single" w:color="000000" w:sz="4" w:space="0"/>
            </w:tcBorders>
            <w:vAlign w:val="center"/>
          </w:tcPr>
          <w:p w14:paraId="7C0ADA5D">
            <w:pPr>
              <w:jc w:val="center"/>
              <w:rPr>
                <w:color w:val="FF0000"/>
                <w:sz w:val="24"/>
                <w:szCs w:val="24"/>
              </w:rPr>
            </w:pPr>
          </w:p>
        </w:tc>
      </w:tr>
      <w:tr w14:paraId="31F25833">
        <w:tblPrEx>
          <w:tblCellMar>
            <w:top w:w="0" w:type="dxa"/>
            <w:left w:w="108" w:type="dxa"/>
            <w:bottom w:w="0" w:type="dxa"/>
            <w:right w:w="108" w:type="dxa"/>
          </w:tblCellMar>
        </w:tblPrEx>
        <w:trPr>
          <w:trHeight w:val="85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58F1F388">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61212D1A">
            <w:pPr>
              <w:widowControl/>
              <w:jc w:val="center"/>
              <w:textAlignment w:val="center"/>
              <w:rPr>
                <w:color w:val="000000"/>
                <w:sz w:val="24"/>
                <w:szCs w:val="24"/>
              </w:rPr>
            </w:pPr>
            <w:r>
              <w:rPr>
                <w:rFonts w:hint="eastAsia"/>
                <w:color w:val="000000"/>
                <w:kern w:val="0"/>
                <w:sz w:val="24"/>
                <w:szCs w:val="24"/>
              </w:rPr>
              <w:t>数据专线(市内)</w:t>
            </w:r>
          </w:p>
        </w:tc>
        <w:tc>
          <w:tcPr>
            <w:tcW w:w="2653" w:type="dxa"/>
            <w:tcBorders>
              <w:top w:val="single" w:color="000000" w:sz="4" w:space="0"/>
              <w:left w:val="nil"/>
              <w:bottom w:val="single" w:color="000000" w:sz="4" w:space="0"/>
              <w:right w:val="single" w:color="000000" w:sz="4" w:space="0"/>
            </w:tcBorders>
            <w:vAlign w:val="center"/>
          </w:tcPr>
          <w:p w14:paraId="357AA255">
            <w:pPr>
              <w:widowControl/>
              <w:jc w:val="center"/>
              <w:textAlignment w:val="center"/>
              <w:rPr>
                <w:color w:val="000000"/>
                <w:sz w:val="24"/>
                <w:szCs w:val="24"/>
              </w:rPr>
            </w:pPr>
            <w:r>
              <w:rPr>
                <w:rFonts w:hint="eastAsia"/>
                <w:color w:val="000000"/>
                <w:kern w:val="0"/>
                <w:sz w:val="24"/>
                <w:szCs w:val="24"/>
              </w:rPr>
              <w:t>点对点电路（PON接入单光猫）</w:t>
            </w:r>
          </w:p>
        </w:tc>
        <w:tc>
          <w:tcPr>
            <w:tcW w:w="1144" w:type="dxa"/>
            <w:tcBorders>
              <w:top w:val="single" w:color="000000" w:sz="4" w:space="0"/>
              <w:left w:val="nil"/>
              <w:bottom w:val="single" w:color="000000" w:sz="4" w:space="0"/>
              <w:right w:val="single" w:color="000000" w:sz="4" w:space="0"/>
            </w:tcBorders>
            <w:vAlign w:val="center"/>
          </w:tcPr>
          <w:p w14:paraId="2806225C">
            <w:pPr>
              <w:widowControl/>
              <w:jc w:val="center"/>
              <w:textAlignment w:val="center"/>
              <w:rPr>
                <w:color w:val="000000"/>
                <w:sz w:val="24"/>
                <w:szCs w:val="24"/>
              </w:rPr>
            </w:pPr>
            <w:r>
              <w:rPr>
                <w:rFonts w:hint="eastAsia"/>
                <w:color w:val="000000"/>
                <w:kern w:val="0"/>
                <w:sz w:val="24"/>
                <w:szCs w:val="24"/>
              </w:rPr>
              <w:t>100M</w:t>
            </w:r>
          </w:p>
        </w:tc>
        <w:tc>
          <w:tcPr>
            <w:tcW w:w="1171" w:type="dxa"/>
            <w:tcBorders>
              <w:top w:val="single" w:color="000000" w:sz="4" w:space="0"/>
              <w:left w:val="nil"/>
              <w:bottom w:val="single" w:color="000000" w:sz="4" w:space="0"/>
              <w:right w:val="single" w:color="000000" w:sz="4" w:space="0"/>
            </w:tcBorders>
            <w:vAlign w:val="center"/>
          </w:tcPr>
          <w:p w14:paraId="35B17FB6">
            <w:pPr>
              <w:widowControl/>
              <w:jc w:val="center"/>
              <w:textAlignment w:val="center"/>
              <w:rPr>
                <w:color w:val="000000"/>
                <w:sz w:val="24"/>
                <w:szCs w:val="24"/>
              </w:rPr>
            </w:pPr>
            <w:r>
              <w:rPr>
                <w:rFonts w:hint="eastAsia"/>
                <w:color w:val="000000"/>
                <w:kern w:val="0"/>
                <w:sz w:val="24"/>
                <w:szCs w:val="24"/>
              </w:rPr>
              <w:t>240</w:t>
            </w:r>
          </w:p>
        </w:tc>
        <w:tc>
          <w:tcPr>
            <w:tcW w:w="822" w:type="dxa"/>
            <w:tcBorders>
              <w:top w:val="single" w:color="000000" w:sz="4" w:space="0"/>
              <w:left w:val="nil"/>
              <w:bottom w:val="single" w:color="000000" w:sz="4" w:space="0"/>
              <w:right w:val="single" w:color="000000" w:sz="4" w:space="0"/>
            </w:tcBorders>
            <w:vAlign w:val="center"/>
          </w:tcPr>
          <w:p w14:paraId="2E360D4E">
            <w:pPr>
              <w:widowControl/>
              <w:jc w:val="center"/>
              <w:textAlignment w:val="center"/>
              <w:rPr>
                <w:color w:val="FF0000"/>
                <w:sz w:val="24"/>
                <w:szCs w:val="24"/>
              </w:rPr>
            </w:pPr>
            <w:r>
              <w:rPr>
                <w:rFonts w:hint="eastAsia"/>
                <w:color w:val="FF0000"/>
                <w:kern w:val="0"/>
                <w:sz w:val="24"/>
                <w:szCs w:val="24"/>
              </w:rPr>
              <w:t>适用于政务专线、公安业务延伸、视频监控（含道路监控）</w:t>
            </w:r>
          </w:p>
        </w:tc>
      </w:tr>
      <w:tr w14:paraId="43968843">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2347433B">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70BE0DD8">
            <w:pPr>
              <w:widowControl/>
              <w:jc w:val="center"/>
              <w:textAlignment w:val="center"/>
              <w:rPr>
                <w:color w:val="000000"/>
                <w:sz w:val="24"/>
                <w:szCs w:val="24"/>
              </w:rPr>
            </w:pPr>
            <w:r>
              <w:rPr>
                <w:rFonts w:hint="eastAsia"/>
                <w:color w:val="000000"/>
                <w:kern w:val="0"/>
                <w:sz w:val="24"/>
                <w:szCs w:val="24"/>
              </w:rPr>
              <w:t>数据专线(市内)</w:t>
            </w:r>
          </w:p>
        </w:tc>
        <w:tc>
          <w:tcPr>
            <w:tcW w:w="2653" w:type="dxa"/>
            <w:tcBorders>
              <w:top w:val="single" w:color="000000" w:sz="4" w:space="0"/>
              <w:left w:val="nil"/>
              <w:bottom w:val="single" w:color="000000" w:sz="4" w:space="0"/>
              <w:right w:val="single" w:color="000000" w:sz="4" w:space="0"/>
            </w:tcBorders>
            <w:vAlign w:val="center"/>
          </w:tcPr>
          <w:p w14:paraId="5ABB36C5">
            <w:pPr>
              <w:widowControl/>
              <w:jc w:val="center"/>
              <w:textAlignment w:val="center"/>
              <w:rPr>
                <w:color w:val="000000"/>
                <w:sz w:val="24"/>
                <w:szCs w:val="24"/>
              </w:rPr>
            </w:pPr>
            <w:r>
              <w:rPr>
                <w:rFonts w:hint="eastAsia"/>
                <w:color w:val="000000"/>
                <w:kern w:val="0"/>
                <w:sz w:val="24"/>
                <w:szCs w:val="24"/>
              </w:rPr>
              <w:t>点对点电路（PON接入单光猫）</w:t>
            </w:r>
          </w:p>
        </w:tc>
        <w:tc>
          <w:tcPr>
            <w:tcW w:w="1144" w:type="dxa"/>
            <w:tcBorders>
              <w:top w:val="single" w:color="000000" w:sz="4" w:space="0"/>
              <w:left w:val="nil"/>
              <w:bottom w:val="single" w:color="000000" w:sz="4" w:space="0"/>
              <w:right w:val="single" w:color="000000" w:sz="4" w:space="0"/>
            </w:tcBorders>
            <w:vAlign w:val="center"/>
          </w:tcPr>
          <w:p w14:paraId="23CE3C34">
            <w:pPr>
              <w:widowControl/>
              <w:jc w:val="center"/>
              <w:textAlignment w:val="center"/>
              <w:rPr>
                <w:color w:val="000000"/>
                <w:sz w:val="24"/>
                <w:szCs w:val="24"/>
              </w:rPr>
            </w:pPr>
            <w:r>
              <w:rPr>
                <w:rFonts w:hint="eastAsia"/>
                <w:color w:val="000000"/>
                <w:kern w:val="0"/>
                <w:sz w:val="24"/>
                <w:szCs w:val="24"/>
              </w:rPr>
              <w:t>350M</w:t>
            </w:r>
          </w:p>
        </w:tc>
        <w:tc>
          <w:tcPr>
            <w:tcW w:w="1171" w:type="dxa"/>
            <w:tcBorders>
              <w:top w:val="single" w:color="000000" w:sz="4" w:space="0"/>
              <w:left w:val="nil"/>
              <w:bottom w:val="single" w:color="000000" w:sz="4" w:space="0"/>
              <w:right w:val="single" w:color="000000" w:sz="4" w:space="0"/>
            </w:tcBorders>
            <w:vAlign w:val="center"/>
          </w:tcPr>
          <w:p w14:paraId="0D9A9BFD">
            <w:pPr>
              <w:widowControl/>
              <w:jc w:val="center"/>
              <w:textAlignment w:val="center"/>
              <w:rPr>
                <w:color w:val="000000"/>
                <w:sz w:val="24"/>
                <w:szCs w:val="24"/>
              </w:rPr>
            </w:pPr>
            <w:r>
              <w:rPr>
                <w:rFonts w:hint="eastAsia"/>
                <w:color w:val="000000"/>
                <w:kern w:val="0"/>
                <w:sz w:val="24"/>
                <w:szCs w:val="24"/>
              </w:rPr>
              <w:t>500</w:t>
            </w:r>
          </w:p>
        </w:tc>
        <w:tc>
          <w:tcPr>
            <w:tcW w:w="822" w:type="dxa"/>
            <w:tcBorders>
              <w:top w:val="single" w:color="000000" w:sz="4" w:space="0"/>
              <w:left w:val="nil"/>
              <w:bottom w:val="single" w:color="000000" w:sz="4" w:space="0"/>
              <w:right w:val="single" w:color="000000" w:sz="4" w:space="0"/>
            </w:tcBorders>
            <w:vAlign w:val="center"/>
          </w:tcPr>
          <w:p w14:paraId="63E448B9">
            <w:pPr>
              <w:jc w:val="center"/>
              <w:rPr>
                <w:color w:val="000000"/>
                <w:sz w:val="24"/>
                <w:szCs w:val="24"/>
              </w:rPr>
            </w:pPr>
          </w:p>
        </w:tc>
      </w:tr>
      <w:tr w14:paraId="58E72E2F">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0D9260A0">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27BB2089">
            <w:pPr>
              <w:widowControl/>
              <w:jc w:val="center"/>
              <w:textAlignment w:val="center"/>
              <w:rPr>
                <w:color w:val="000000"/>
                <w:sz w:val="24"/>
                <w:szCs w:val="24"/>
              </w:rPr>
            </w:pPr>
            <w:r>
              <w:rPr>
                <w:rFonts w:hint="eastAsia"/>
                <w:color w:val="000000"/>
                <w:kern w:val="0"/>
                <w:sz w:val="24"/>
                <w:szCs w:val="24"/>
              </w:rPr>
              <w:t>数据专线(市内)</w:t>
            </w:r>
          </w:p>
        </w:tc>
        <w:tc>
          <w:tcPr>
            <w:tcW w:w="2653" w:type="dxa"/>
            <w:tcBorders>
              <w:top w:val="single" w:color="000000" w:sz="4" w:space="0"/>
              <w:left w:val="nil"/>
              <w:bottom w:val="single" w:color="000000" w:sz="4" w:space="0"/>
              <w:right w:val="single" w:color="000000" w:sz="4" w:space="0"/>
            </w:tcBorders>
            <w:vAlign w:val="center"/>
          </w:tcPr>
          <w:p w14:paraId="654DFDAD">
            <w:pPr>
              <w:widowControl/>
              <w:jc w:val="center"/>
              <w:textAlignment w:val="center"/>
              <w:rPr>
                <w:color w:val="000000"/>
                <w:sz w:val="24"/>
                <w:szCs w:val="24"/>
              </w:rPr>
            </w:pPr>
            <w:r>
              <w:rPr>
                <w:rFonts w:hint="eastAsia"/>
                <w:color w:val="000000"/>
                <w:kern w:val="0"/>
                <w:sz w:val="24"/>
                <w:szCs w:val="24"/>
              </w:rPr>
              <w:t>政务云保密专线（PON接入单光猫）</w:t>
            </w:r>
          </w:p>
        </w:tc>
        <w:tc>
          <w:tcPr>
            <w:tcW w:w="1144" w:type="dxa"/>
            <w:tcBorders>
              <w:top w:val="single" w:color="000000" w:sz="4" w:space="0"/>
              <w:left w:val="nil"/>
              <w:bottom w:val="single" w:color="000000" w:sz="4" w:space="0"/>
              <w:right w:val="single" w:color="000000" w:sz="4" w:space="0"/>
            </w:tcBorders>
            <w:vAlign w:val="center"/>
          </w:tcPr>
          <w:p w14:paraId="166A3F1F">
            <w:pPr>
              <w:widowControl/>
              <w:jc w:val="center"/>
              <w:textAlignment w:val="center"/>
              <w:rPr>
                <w:color w:val="000000"/>
                <w:sz w:val="24"/>
                <w:szCs w:val="24"/>
              </w:rPr>
            </w:pPr>
            <w:r>
              <w:rPr>
                <w:rFonts w:hint="eastAsia"/>
                <w:color w:val="000000"/>
                <w:kern w:val="0"/>
                <w:sz w:val="24"/>
                <w:szCs w:val="24"/>
              </w:rPr>
              <w:t>500M</w:t>
            </w:r>
          </w:p>
        </w:tc>
        <w:tc>
          <w:tcPr>
            <w:tcW w:w="1171" w:type="dxa"/>
            <w:tcBorders>
              <w:top w:val="single" w:color="000000" w:sz="4" w:space="0"/>
              <w:left w:val="nil"/>
              <w:bottom w:val="single" w:color="000000" w:sz="4" w:space="0"/>
              <w:right w:val="single" w:color="000000" w:sz="4" w:space="0"/>
            </w:tcBorders>
            <w:vAlign w:val="center"/>
          </w:tcPr>
          <w:p w14:paraId="2D79E2AD">
            <w:pPr>
              <w:widowControl/>
              <w:jc w:val="center"/>
              <w:textAlignment w:val="center"/>
              <w:rPr>
                <w:color w:val="000000"/>
                <w:sz w:val="24"/>
                <w:szCs w:val="24"/>
              </w:rPr>
            </w:pPr>
            <w:r>
              <w:rPr>
                <w:rFonts w:hint="eastAsia"/>
                <w:color w:val="000000"/>
                <w:kern w:val="0"/>
                <w:sz w:val="24"/>
                <w:szCs w:val="24"/>
              </w:rPr>
              <w:t>500</w:t>
            </w:r>
          </w:p>
        </w:tc>
        <w:tc>
          <w:tcPr>
            <w:tcW w:w="822" w:type="dxa"/>
            <w:tcBorders>
              <w:top w:val="single" w:color="000000" w:sz="4" w:space="0"/>
              <w:left w:val="nil"/>
              <w:bottom w:val="single" w:color="000000" w:sz="4" w:space="0"/>
              <w:right w:val="single" w:color="000000" w:sz="4" w:space="0"/>
            </w:tcBorders>
            <w:vAlign w:val="center"/>
          </w:tcPr>
          <w:p w14:paraId="5C4C5887">
            <w:pPr>
              <w:jc w:val="center"/>
              <w:rPr>
                <w:color w:val="000000"/>
                <w:sz w:val="24"/>
                <w:szCs w:val="24"/>
              </w:rPr>
            </w:pPr>
          </w:p>
        </w:tc>
      </w:tr>
      <w:tr w14:paraId="5EFB5C78">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18929ABC">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75D9D19F">
            <w:pPr>
              <w:widowControl/>
              <w:jc w:val="center"/>
              <w:textAlignment w:val="center"/>
              <w:rPr>
                <w:color w:val="000000"/>
                <w:sz w:val="24"/>
                <w:szCs w:val="24"/>
              </w:rPr>
            </w:pPr>
            <w:r>
              <w:rPr>
                <w:rFonts w:hint="eastAsia"/>
                <w:color w:val="000000"/>
                <w:kern w:val="0"/>
                <w:sz w:val="24"/>
                <w:szCs w:val="24"/>
              </w:rPr>
              <w:t>数据专线(市内双路由)</w:t>
            </w:r>
          </w:p>
        </w:tc>
        <w:tc>
          <w:tcPr>
            <w:tcW w:w="2653" w:type="dxa"/>
            <w:tcBorders>
              <w:top w:val="single" w:color="000000" w:sz="4" w:space="0"/>
              <w:left w:val="nil"/>
              <w:bottom w:val="single" w:color="000000" w:sz="4" w:space="0"/>
              <w:right w:val="single" w:color="000000" w:sz="4" w:space="0"/>
            </w:tcBorders>
            <w:vAlign w:val="center"/>
          </w:tcPr>
          <w:p w14:paraId="2FE3088E">
            <w:pPr>
              <w:widowControl/>
              <w:jc w:val="center"/>
              <w:textAlignment w:val="center"/>
              <w:rPr>
                <w:color w:val="000000"/>
                <w:sz w:val="24"/>
                <w:szCs w:val="24"/>
              </w:rPr>
            </w:pPr>
            <w:r>
              <w:rPr>
                <w:rFonts w:hint="eastAsia"/>
                <w:color w:val="000000"/>
                <w:kern w:val="0"/>
                <w:sz w:val="24"/>
                <w:szCs w:val="24"/>
              </w:rPr>
              <w:t>点对点电路（PON接入单光猫）</w:t>
            </w:r>
          </w:p>
        </w:tc>
        <w:tc>
          <w:tcPr>
            <w:tcW w:w="1144" w:type="dxa"/>
            <w:tcBorders>
              <w:top w:val="single" w:color="000000" w:sz="4" w:space="0"/>
              <w:left w:val="nil"/>
              <w:bottom w:val="single" w:color="000000" w:sz="4" w:space="0"/>
              <w:right w:val="single" w:color="000000" w:sz="4" w:space="0"/>
            </w:tcBorders>
            <w:vAlign w:val="center"/>
          </w:tcPr>
          <w:p w14:paraId="1464D137">
            <w:pPr>
              <w:widowControl/>
              <w:jc w:val="center"/>
              <w:textAlignment w:val="center"/>
              <w:rPr>
                <w:color w:val="000000"/>
                <w:sz w:val="24"/>
                <w:szCs w:val="24"/>
              </w:rPr>
            </w:pPr>
            <w:r>
              <w:rPr>
                <w:rFonts w:hint="eastAsia"/>
                <w:color w:val="000000"/>
                <w:kern w:val="0"/>
                <w:sz w:val="24"/>
                <w:szCs w:val="24"/>
              </w:rPr>
              <w:t>200M</w:t>
            </w:r>
          </w:p>
        </w:tc>
        <w:tc>
          <w:tcPr>
            <w:tcW w:w="1171" w:type="dxa"/>
            <w:tcBorders>
              <w:top w:val="single" w:color="000000" w:sz="4" w:space="0"/>
              <w:left w:val="nil"/>
              <w:bottom w:val="single" w:color="000000" w:sz="4" w:space="0"/>
              <w:right w:val="single" w:color="000000" w:sz="4" w:space="0"/>
            </w:tcBorders>
            <w:vAlign w:val="center"/>
          </w:tcPr>
          <w:p w14:paraId="6FC40652">
            <w:pPr>
              <w:widowControl/>
              <w:jc w:val="center"/>
              <w:textAlignment w:val="center"/>
              <w:rPr>
                <w:color w:val="000000"/>
                <w:sz w:val="24"/>
                <w:szCs w:val="24"/>
              </w:rPr>
            </w:pPr>
            <w:r>
              <w:rPr>
                <w:rFonts w:hint="eastAsia"/>
                <w:color w:val="000000"/>
                <w:kern w:val="0"/>
                <w:sz w:val="24"/>
                <w:szCs w:val="24"/>
              </w:rPr>
              <w:t>300</w:t>
            </w:r>
          </w:p>
        </w:tc>
        <w:tc>
          <w:tcPr>
            <w:tcW w:w="822" w:type="dxa"/>
            <w:tcBorders>
              <w:top w:val="single" w:color="000000" w:sz="4" w:space="0"/>
              <w:left w:val="nil"/>
              <w:bottom w:val="single" w:color="000000" w:sz="4" w:space="0"/>
              <w:right w:val="single" w:color="000000" w:sz="4" w:space="0"/>
            </w:tcBorders>
            <w:vAlign w:val="center"/>
          </w:tcPr>
          <w:p w14:paraId="5D5999EC">
            <w:pPr>
              <w:jc w:val="center"/>
              <w:rPr>
                <w:color w:val="FF0000"/>
                <w:sz w:val="24"/>
                <w:szCs w:val="24"/>
              </w:rPr>
            </w:pPr>
          </w:p>
        </w:tc>
      </w:tr>
      <w:tr w14:paraId="3BE22F76">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4FF4DAC8">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15CDAB9C">
            <w:pPr>
              <w:widowControl/>
              <w:jc w:val="center"/>
              <w:textAlignment w:val="center"/>
              <w:rPr>
                <w:color w:val="000000"/>
                <w:sz w:val="24"/>
                <w:szCs w:val="24"/>
              </w:rPr>
            </w:pPr>
            <w:r>
              <w:rPr>
                <w:rFonts w:hint="eastAsia"/>
                <w:color w:val="000000"/>
                <w:kern w:val="0"/>
                <w:sz w:val="24"/>
                <w:szCs w:val="24"/>
              </w:rPr>
              <w:t>互联网专线（单列）</w:t>
            </w:r>
          </w:p>
        </w:tc>
        <w:tc>
          <w:tcPr>
            <w:tcW w:w="2653" w:type="dxa"/>
            <w:tcBorders>
              <w:top w:val="single" w:color="000000" w:sz="4" w:space="0"/>
              <w:left w:val="nil"/>
              <w:bottom w:val="single" w:color="000000" w:sz="4" w:space="0"/>
              <w:right w:val="single" w:color="000000" w:sz="4" w:space="0"/>
            </w:tcBorders>
            <w:vAlign w:val="center"/>
          </w:tcPr>
          <w:p w14:paraId="77A9D550">
            <w:pPr>
              <w:widowControl/>
              <w:jc w:val="center"/>
              <w:textAlignment w:val="center"/>
              <w:rPr>
                <w:color w:val="000000"/>
                <w:sz w:val="24"/>
                <w:szCs w:val="24"/>
              </w:rPr>
            </w:pPr>
            <w:r>
              <w:rPr>
                <w:rFonts w:hint="eastAsia"/>
                <w:color w:val="000000"/>
                <w:kern w:val="0"/>
                <w:sz w:val="24"/>
                <w:szCs w:val="24"/>
              </w:rPr>
              <w:t>互联网</w:t>
            </w:r>
          </w:p>
        </w:tc>
        <w:tc>
          <w:tcPr>
            <w:tcW w:w="1144" w:type="dxa"/>
            <w:tcBorders>
              <w:top w:val="single" w:color="000000" w:sz="4" w:space="0"/>
              <w:left w:val="nil"/>
              <w:bottom w:val="single" w:color="000000" w:sz="4" w:space="0"/>
              <w:right w:val="single" w:color="000000" w:sz="4" w:space="0"/>
            </w:tcBorders>
            <w:vAlign w:val="center"/>
          </w:tcPr>
          <w:p w14:paraId="41E1F19D">
            <w:pPr>
              <w:widowControl/>
              <w:jc w:val="center"/>
              <w:textAlignment w:val="center"/>
              <w:rPr>
                <w:color w:val="000000"/>
                <w:sz w:val="24"/>
                <w:szCs w:val="24"/>
              </w:rPr>
            </w:pPr>
            <w:r>
              <w:rPr>
                <w:rFonts w:hint="eastAsia"/>
                <w:color w:val="000000"/>
                <w:kern w:val="0"/>
                <w:sz w:val="24"/>
                <w:szCs w:val="24"/>
              </w:rPr>
              <w:t>300M</w:t>
            </w:r>
          </w:p>
        </w:tc>
        <w:tc>
          <w:tcPr>
            <w:tcW w:w="1171" w:type="dxa"/>
            <w:tcBorders>
              <w:top w:val="single" w:color="000000" w:sz="4" w:space="0"/>
              <w:left w:val="nil"/>
              <w:bottom w:val="single" w:color="000000" w:sz="4" w:space="0"/>
              <w:right w:val="single" w:color="000000" w:sz="4" w:space="0"/>
            </w:tcBorders>
            <w:vAlign w:val="center"/>
          </w:tcPr>
          <w:p w14:paraId="5B5E0754">
            <w:pPr>
              <w:widowControl/>
              <w:jc w:val="center"/>
              <w:textAlignment w:val="center"/>
              <w:rPr>
                <w:color w:val="000000"/>
                <w:sz w:val="24"/>
                <w:szCs w:val="24"/>
              </w:rPr>
            </w:pPr>
            <w:r>
              <w:rPr>
                <w:rFonts w:hint="eastAsia"/>
                <w:color w:val="000000"/>
                <w:kern w:val="0"/>
                <w:sz w:val="24"/>
                <w:szCs w:val="24"/>
              </w:rPr>
              <w:t>2000</w:t>
            </w:r>
          </w:p>
        </w:tc>
        <w:tc>
          <w:tcPr>
            <w:tcW w:w="822" w:type="dxa"/>
            <w:tcBorders>
              <w:top w:val="single" w:color="000000" w:sz="4" w:space="0"/>
              <w:left w:val="nil"/>
              <w:bottom w:val="single" w:color="000000" w:sz="4" w:space="0"/>
              <w:right w:val="single" w:color="000000" w:sz="4" w:space="0"/>
            </w:tcBorders>
            <w:vAlign w:val="center"/>
          </w:tcPr>
          <w:p w14:paraId="5EF811F8">
            <w:pPr>
              <w:jc w:val="center"/>
              <w:rPr>
                <w:color w:val="FF0000"/>
                <w:sz w:val="24"/>
                <w:szCs w:val="24"/>
              </w:rPr>
            </w:pPr>
          </w:p>
        </w:tc>
      </w:tr>
      <w:tr w14:paraId="2200312B">
        <w:tblPrEx>
          <w:tblCellMar>
            <w:top w:w="0" w:type="dxa"/>
            <w:left w:w="108" w:type="dxa"/>
            <w:bottom w:w="0" w:type="dxa"/>
            <w:right w:w="108" w:type="dxa"/>
          </w:tblCellMar>
        </w:tblPrEx>
        <w:trPr>
          <w:trHeight w:val="285" w:hRule="atLeast"/>
        </w:trPr>
        <w:tc>
          <w:tcPr>
            <w:tcW w:w="804" w:type="dxa"/>
            <w:tcBorders>
              <w:top w:val="single" w:color="000000" w:sz="4" w:space="0"/>
              <w:left w:val="single" w:color="000000" w:sz="4" w:space="0"/>
              <w:bottom w:val="single" w:color="000000" w:sz="4" w:space="0"/>
              <w:right w:val="single" w:color="000000" w:sz="4" w:space="0"/>
            </w:tcBorders>
            <w:vAlign w:val="center"/>
          </w:tcPr>
          <w:p w14:paraId="02E89496">
            <w:pPr>
              <w:widowControl/>
              <w:numPr>
                <w:ilvl w:val="0"/>
                <w:numId w:val="2"/>
              </w:numPr>
              <w:jc w:val="center"/>
              <w:textAlignment w:val="center"/>
              <w:rPr>
                <w:color w:val="000000"/>
                <w:kern w:val="0"/>
                <w:sz w:val="24"/>
                <w:szCs w:val="24"/>
              </w:rPr>
            </w:pPr>
          </w:p>
        </w:tc>
        <w:tc>
          <w:tcPr>
            <w:tcW w:w="1441" w:type="dxa"/>
            <w:tcBorders>
              <w:top w:val="single" w:color="000000" w:sz="4" w:space="0"/>
              <w:left w:val="nil"/>
              <w:bottom w:val="single" w:color="000000" w:sz="4" w:space="0"/>
              <w:right w:val="single" w:color="000000" w:sz="4" w:space="0"/>
            </w:tcBorders>
            <w:vAlign w:val="center"/>
          </w:tcPr>
          <w:p w14:paraId="43F8A3C5">
            <w:pPr>
              <w:widowControl/>
              <w:jc w:val="center"/>
              <w:textAlignment w:val="center"/>
              <w:rPr>
                <w:color w:val="000000"/>
                <w:sz w:val="24"/>
                <w:szCs w:val="24"/>
              </w:rPr>
            </w:pPr>
            <w:r>
              <w:rPr>
                <w:rFonts w:hint="eastAsia"/>
                <w:color w:val="000000"/>
                <w:kern w:val="0"/>
                <w:sz w:val="24"/>
                <w:szCs w:val="24"/>
              </w:rPr>
              <w:t>数据专线(高速)</w:t>
            </w:r>
          </w:p>
        </w:tc>
        <w:tc>
          <w:tcPr>
            <w:tcW w:w="2653" w:type="dxa"/>
            <w:tcBorders>
              <w:top w:val="single" w:color="000000" w:sz="4" w:space="0"/>
              <w:left w:val="nil"/>
              <w:bottom w:val="single" w:color="000000" w:sz="4" w:space="0"/>
              <w:right w:val="single" w:color="000000" w:sz="4" w:space="0"/>
            </w:tcBorders>
            <w:vAlign w:val="center"/>
          </w:tcPr>
          <w:p w14:paraId="7CF3617B">
            <w:pPr>
              <w:widowControl/>
              <w:jc w:val="center"/>
              <w:textAlignment w:val="center"/>
              <w:rPr>
                <w:color w:val="000000"/>
                <w:sz w:val="24"/>
                <w:szCs w:val="24"/>
              </w:rPr>
            </w:pPr>
            <w:r>
              <w:rPr>
                <w:rFonts w:hint="eastAsia"/>
                <w:color w:val="000000"/>
                <w:kern w:val="0"/>
                <w:sz w:val="24"/>
                <w:szCs w:val="24"/>
              </w:rPr>
              <w:t>点对点电路（PON接入单光猫）</w:t>
            </w:r>
          </w:p>
        </w:tc>
        <w:tc>
          <w:tcPr>
            <w:tcW w:w="1144" w:type="dxa"/>
            <w:tcBorders>
              <w:top w:val="single" w:color="000000" w:sz="4" w:space="0"/>
              <w:left w:val="nil"/>
              <w:bottom w:val="single" w:color="000000" w:sz="4" w:space="0"/>
              <w:right w:val="single" w:color="000000" w:sz="4" w:space="0"/>
            </w:tcBorders>
            <w:vAlign w:val="center"/>
          </w:tcPr>
          <w:p w14:paraId="0FFE85BF">
            <w:pPr>
              <w:widowControl/>
              <w:jc w:val="center"/>
              <w:textAlignment w:val="center"/>
              <w:rPr>
                <w:color w:val="000000"/>
                <w:sz w:val="24"/>
                <w:szCs w:val="24"/>
              </w:rPr>
            </w:pPr>
            <w:r>
              <w:rPr>
                <w:rFonts w:hint="eastAsia"/>
                <w:color w:val="000000"/>
                <w:kern w:val="0"/>
                <w:sz w:val="24"/>
                <w:szCs w:val="24"/>
              </w:rPr>
              <w:t>100M</w:t>
            </w:r>
          </w:p>
        </w:tc>
        <w:tc>
          <w:tcPr>
            <w:tcW w:w="1171" w:type="dxa"/>
            <w:tcBorders>
              <w:top w:val="single" w:color="000000" w:sz="4" w:space="0"/>
              <w:left w:val="nil"/>
              <w:bottom w:val="single" w:color="000000" w:sz="4" w:space="0"/>
              <w:right w:val="single" w:color="000000" w:sz="4" w:space="0"/>
            </w:tcBorders>
            <w:vAlign w:val="center"/>
          </w:tcPr>
          <w:p w14:paraId="1C9D48DA">
            <w:pPr>
              <w:widowControl/>
              <w:jc w:val="center"/>
              <w:textAlignment w:val="center"/>
              <w:rPr>
                <w:color w:val="000000"/>
                <w:sz w:val="24"/>
                <w:szCs w:val="24"/>
              </w:rPr>
            </w:pPr>
            <w:r>
              <w:rPr>
                <w:rFonts w:hint="eastAsia"/>
                <w:color w:val="000000"/>
                <w:kern w:val="0"/>
                <w:sz w:val="24"/>
                <w:szCs w:val="24"/>
              </w:rPr>
              <w:t>300</w:t>
            </w:r>
          </w:p>
        </w:tc>
        <w:tc>
          <w:tcPr>
            <w:tcW w:w="822" w:type="dxa"/>
            <w:tcBorders>
              <w:top w:val="single" w:color="000000" w:sz="4" w:space="0"/>
              <w:left w:val="nil"/>
              <w:bottom w:val="single" w:color="000000" w:sz="4" w:space="0"/>
              <w:right w:val="single" w:color="000000" w:sz="4" w:space="0"/>
            </w:tcBorders>
            <w:vAlign w:val="center"/>
          </w:tcPr>
          <w:p w14:paraId="4F0916C0">
            <w:pPr>
              <w:widowControl/>
              <w:jc w:val="center"/>
              <w:textAlignment w:val="center"/>
              <w:rPr>
                <w:color w:val="FF0000"/>
                <w:sz w:val="24"/>
                <w:szCs w:val="24"/>
              </w:rPr>
            </w:pPr>
            <w:r>
              <w:rPr>
                <w:rFonts w:hint="eastAsia"/>
                <w:color w:val="FF0000"/>
                <w:kern w:val="0"/>
                <w:sz w:val="24"/>
                <w:szCs w:val="24"/>
              </w:rPr>
              <w:t>适用于高速和偏远位置</w:t>
            </w:r>
          </w:p>
        </w:tc>
      </w:tr>
    </w:tbl>
    <w:p w14:paraId="3D2CBF5D">
      <w:pPr>
        <w:widowControl/>
        <w:ind w:left="435"/>
        <w:jc w:val="left"/>
        <w:rPr>
          <w:rFonts w:hint="eastAsia"/>
          <w:b/>
          <w:bCs/>
          <w:sz w:val="28"/>
          <w:szCs w:val="28"/>
        </w:rPr>
      </w:pPr>
      <w:r>
        <w:rPr>
          <w:rFonts w:hint="eastAsia"/>
          <w:b/>
          <w:bCs/>
          <w:sz w:val="28"/>
          <w:szCs w:val="28"/>
        </w:rPr>
        <w:t>（五）入围条件（供应商资格）</w:t>
      </w:r>
    </w:p>
    <w:p w14:paraId="4D042E88">
      <w:pPr>
        <w:spacing w:line="360" w:lineRule="auto"/>
        <w:ind w:firstLine="435"/>
        <w:rPr>
          <w:rFonts w:hint="eastAsia"/>
          <w:sz w:val="24"/>
          <w:szCs w:val="24"/>
        </w:rPr>
      </w:pPr>
      <w:r>
        <w:rPr>
          <w:rFonts w:hint="eastAsia"/>
          <w:sz w:val="24"/>
          <w:szCs w:val="24"/>
        </w:rPr>
        <w:t>入围供应商应具备以下基本条件：</w:t>
      </w:r>
    </w:p>
    <w:p w14:paraId="63B17FBE">
      <w:pPr>
        <w:spacing w:line="360" w:lineRule="auto"/>
        <w:ind w:firstLine="435"/>
        <w:jc w:val="left"/>
        <w:rPr>
          <w:rFonts w:hint="eastAsia"/>
          <w:b/>
          <w:bCs/>
          <w:sz w:val="24"/>
          <w:szCs w:val="24"/>
        </w:rPr>
      </w:pPr>
      <w:r>
        <w:rPr>
          <w:rFonts w:hint="eastAsia"/>
          <w:b/>
          <w:bCs/>
          <w:sz w:val="24"/>
          <w:szCs w:val="24"/>
        </w:rPr>
        <w:t>1.满足《中华人民共和国政府采购法》第二十二条规定</w:t>
      </w:r>
      <w:r>
        <w:rPr>
          <w:rFonts w:hint="eastAsia"/>
          <w:b/>
          <w:bCs/>
          <w:sz w:val="24"/>
          <w:szCs w:val="24"/>
          <w:highlight w:val="yellow"/>
        </w:rPr>
        <w:t>（申请文件中须提供有效期内的营业执照（或事业单位法人登记证书）的扫描件，否则申请无效）</w:t>
      </w:r>
      <w:r>
        <w:rPr>
          <w:rFonts w:hint="eastAsia"/>
          <w:b/>
          <w:bCs/>
          <w:sz w:val="24"/>
          <w:szCs w:val="24"/>
        </w:rPr>
        <w:t>；</w:t>
      </w:r>
    </w:p>
    <w:p w14:paraId="208FA1ED">
      <w:pPr>
        <w:spacing w:line="360" w:lineRule="auto"/>
        <w:ind w:firstLine="435"/>
        <w:jc w:val="left"/>
        <w:rPr>
          <w:rFonts w:hint="eastAsia"/>
          <w:sz w:val="24"/>
          <w:szCs w:val="24"/>
        </w:rPr>
      </w:pPr>
      <w:r>
        <w:rPr>
          <w:rFonts w:hint="eastAsia"/>
          <w:sz w:val="24"/>
          <w:szCs w:val="24"/>
        </w:rPr>
        <w:t>2.1本项目是否为专门面向中小企业采购：否</w:t>
      </w:r>
    </w:p>
    <w:p w14:paraId="679459E0">
      <w:pPr>
        <w:spacing w:line="360" w:lineRule="auto"/>
        <w:ind w:firstLine="435"/>
        <w:jc w:val="left"/>
        <w:rPr>
          <w:rFonts w:hint="eastAsia"/>
          <w:sz w:val="24"/>
          <w:szCs w:val="24"/>
        </w:rPr>
      </w:pPr>
      <w:r>
        <w:rPr>
          <w:rFonts w:hint="eastAsia"/>
          <w:sz w:val="24"/>
          <w:szCs w:val="24"/>
        </w:rPr>
        <w:t>2.1.1本项目符合财政部、工业和信息化部制定的《政府采购促进中小企业发展管理办法》第六条规定，为非专门面向中小企业采购项目。具体原因如下：本项目为宽带网络项目，需要专业技术。按照本办法规定预留采购份额无法确保充分供应、充分竞争，或者存在可能影响政府采购目标实现的情形。</w:t>
      </w:r>
    </w:p>
    <w:p w14:paraId="28746003">
      <w:pPr>
        <w:spacing w:line="360" w:lineRule="auto"/>
        <w:ind w:firstLine="435"/>
        <w:jc w:val="left"/>
        <w:rPr>
          <w:rFonts w:hint="eastAsia"/>
          <w:sz w:val="24"/>
          <w:szCs w:val="24"/>
        </w:rPr>
      </w:pPr>
      <w:r>
        <w:rPr>
          <w:rFonts w:hint="eastAsia"/>
          <w:sz w:val="24"/>
          <w:szCs w:val="24"/>
        </w:rPr>
        <w:t>2.1.2如对此项内容有疑问,可通过书面形式（纸质提交或登录马鞍山市公共资源交易系统在线提交）进行质疑。具体要求详见采购文件中“质疑与投诉”内容。；</w:t>
      </w:r>
    </w:p>
    <w:p w14:paraId="0DA5B0D3">
      <w:pPr>
        <w:spacing w:line="360" w:lineRule="auto"/>
        <w:ind w:firstLine="435"/>
        <w:rPr>
          <w:rFonts w:hint="eastAsia"/>
        </w:rPr>
      </w:pPr>
      <w:r>
        <w:rPr>
          <w:rFonts w:hint="eastAsia"/>
          <w:sz w:val="24"/>
          <w:szCs w:val="24"/>
        </w:rPr>
        <w:t>3.</w:t>
      </w:r>
      <w:r>
        <w:rPr>
          <w:rFonts w:hint="eastAsia"/>
          <w:sz w:val="24"/>
          <w:szCs w:val="24"/>
          <w:lang w:val="en-US" w:eastAsia="zh-CN"/>
        </w:rPr>
        <w:t>本项目特</w:t>
      </w:r>
      <w:bookmarkStart w:id="85" w:name="_GoBack"/>
      <w:bookmarkEnd w:id="85"/>
      <w:r>
        <w:rPr>
          <w:rFonts w:hint="eastAsia"/>
          <w:sz w:val="24"/>
          <w:szCs w:val="24"/>
          <w:lang w:val="en-US" w:eastAsia="zh-CN"/>
        </w:rPr>
        <w:t>定资格条件：</w:t>
      </w:r>
      <w:r>
        <w:rPr>
          <w:rFonts w:hint="eastAsia"/>
          <w:sz w:val="24"/>
          <w:szCs w:val="24"/>
        </w:rPr>
        <w:t>供应商（或供应商上级公司）须为具有工信部颁发的《中华人民共和国基础电信业务经营许可证》</w:t>
      </w:r>
      <w:r>
        <w:rPr>
          <w:rFonts w:hint="eastAsia"/>
          <w:b/>
          <w:bCs/>
          <w:sz w:val="24"/>
          <w:szCs w:val="24"/>
          <w:highlight w:val="yellow"/>
        </w:rPr>
        <w:t>（响应文件中须提供《中华人民共和国基础电信业务经营许可证》证明文件的扫描件，否则申请无效）；</w:t>
      </w:r>
    </w:p>
    <w:p w14:paraId="6F1000BD">
      <w:pPr>
        <w:widowControl/>
        <w:ind w:left="435"/>
        <w:jc w:val="left"/>
        <w:rPr>
          <w:rFonts w:hint="eastAsia"/>
          <w:b/>
          <w:bCs/>
          <w:sz w:val="28"/>
          <w:szCs w:val="28"/>
        </w:rPr>
      </w:pPr>
      <w:r>
        <w:rPr>
          <w:rFonts w:hint="eastAsia"/>
          <w:b/>
          <w:bCs/>
          <w:sz w:val="28"/>
          <w:szCs w:val="28"/>
        </w:rPr>
        <w:t>（六）服务要求</w:t>
      </w:r>
    </w:p>
    <w:p w14:paraId="5C226DBA">
      <w:pPr>
        <w:spacing w:line="360" w:lineRule="auto"/>
        <w:ind w:firstLine="435"/>
        <w:rPr>
          <w:rFonts w:hint="eastAsia"/>
          <w:sz w:val="24"/>
          <w:szCs w:val="24"/>
        </w:rPr>
      </w:pPr>
      <w:r>
        <w:rPr>
          <w:rFonts w:hint="eastAsia"/>
          <w:sz w:val="24"/>
          <w:szCs w:val="24"/>
        </w:rPr>
        <w:t>1、入围供应商应向采购人提供全方位及时而有效的技术支持和服务。</w:t>
      </w:r>
    </w:p>
    <w:p w14:paraId="3FAC8BAF">
      <w:pPr>
        <w:spacing w:line="360" w:lineRule="auto"/>
        <w:ind w:firstLine="435"/>
        <w:rPr>
          <w:rFonts w:hint="eastAsia"/>
          <w:sz w:val="24"/>
          <w:szCs w:val="24"/>
        </w:rPr>
      </w:pPr>
      <w:r>
        <w:rPr>
          <w:rFonts w:hint="eastAsia"/>
          <w:sz w:val="24"/>
          <w:szCs w:val="24"/>
        </w:rPr>
        <w:t>2、如入围供应商发生兼并、重组，采购人本项目的建设、维护等相关工作必须由新组建的公司按采购文件及响应文件承担相应的义务。</w:t>
      </w:r>
    </w:p>
    <w:p w14:paraId="1F2C6A6F">
      <w:pPr>
        <w:spacing w:line="360" w:lineRule="auto"/>
        <w:ind w:firstLine="435"/>
        <w:rPr>
          <w:rFonts w:hint="eastAsia"/>
          <w:sz w:val="24"/>
          <w:szCs w:val="24"/>
        </w:rPr>
      </w:pPr>
      <w:r>
        <w:rPr>
          <w:rFonts w:hint="eastAsia"/>
          <w:sz w:val="24"/>
          <w:szCs w:val="24"/>
        </w:rPr>
        <w:t>3、入围供应商负责提供通信网络系统，保证线路通畅、稳定、安全，传输链路应满足传输实时性要求，无明显延迟现象,保障无卡顿、无丢帧现象。</w:t>
      </w:r>
    </w:p>
    <w:p w14:paraId="0C7D71EC">
      <w:pPr>
        <w:spacing w:line="360" w:lineRule="auto"/>
        <w:ind w:firstLine="435"/>
        <w:rPr>
          <w:rFonts w:hint="eastAsia"/>
          <w:sz w:val="24"/>
          <w:szCs w:val="24"/>
        </w:rPr>
      </w:pPr>
      <w:r>
        <w:rPr>
          <w:rFonts w:hint="eastAsia"/>
          <w:sz w:val="24"/>
          <w:szCs w:val="24"/>
        </w:rPr>
        <w:t>4、入围供应商设定统一报修电话。采购人用户报修时应与维保人员预约维修时间，维保响应时间应小于2小时，常规事项4小时内解决，复杂事项8小时内解决，疑难问题短时间无法解决的要第一时间向业主方汇报，确定解决方案。具体维修时间可由用户和维保人员约定，上门前进行电话确认。维修时间一般在工作时间以内，如有紧急情况或要求工作时间外提供维修服务的应服从。</w:t>
      </w:r>
    </w:p>
    <w:p w14:paraId="1F5E39CE">
      <w:pPr>
        <w:spacing w:line="360" w:lineRule="auto"/>
        <w:ind w:firstLine="435"/>
        <w:rPr>
          <w:rFonts w:hint="eastAsia"/>
          <w:sz w:val="24"/>
          <w:szCs w:val="24"/>
        </w:rPr>
      </w:pPr>
      <w:r>
        <w:rPr>
          <w:rFonts w:hint="eastAsia"/>
          <w:sz w:val="24"/>
          <w:szCs w:val="24"/>
        </w:rPr>
        <w:t>5、如甲方新开线路或更换原有线路，入围供应商在租用合同签订前需提供该线路的一个月试用期，试用期结束后，甲方根据试用情况决定后续租用事项。</w:t>
      </w:r>
    </w:p>
    <w:p w14:paraId="64C1E26C">
      <w:pPr>
        <w:spacing w:line="360" w:lineRule="auto"/>
        <w:ind w:firstLine="435"/>
        <w:rPr>
          <w:rFonts w:hint="eastAsia"/>
          <w:sz w:val="24"/>
          <w:szCs w:val="24"/>
        </w:rPr>
      </w:pPr>
      <w:r>
        <w:rPr>
          <w:rFonts w:hint="eastAsia"/>
          <w:sz w:val="24"/>
          <w:szCs w:val="24"/>
          <w:lang w:val="en-US" w:eastAsia="zh-CN"/>
        </w:rPr>
        <w:t>6</w:t>
      </w:r>
      <w:r>
        <w:rPr>
          <w:rFonts w:hint="eastAsia"/>
          <w:sz w:val="24"/>
          <w:szCs w:val="24"/>
        </w:rPr>
        <w:t>、信息保密制度。成交供应商对服务内容有保守秘密的义务，需要做到以下几点：</w:t>
      </w:r>
    </w:p>
    <w:p w14:paraId="33963EC9">
      <w:pPr>
        <w:spacing w:line="360" w:lineRule="auto"/>
        <w:ind w:firstLine="435"/>
        <w:rPr>
          <w:rFonts w:hint="eastAsia"/>
          <w:sz w:val="24"/>
          <w:szCs w:val="24"/>
        </w:rPr>
      </w:pPr>
      <w:r>
        <w:rPr>
          <w:rFonts w:hint="eastAsia"/>
          <w:sz w:val="24"/>
          <w:szCs w:val="24"/>
        </w:rPr>
        <w:t>①服务技术支持人员保证遵守国家有关的政策、法律、法规和制度。</w:t>
      </w:r>
    </w:p>
    <w:p w14:paraId="08E785CF">
      <w:pPr>
        <w:spacing w:line="360" w:lineRule="auto"/>
        <w:ind w:firstLine="435"/>
        <w:rPr>
          <w:rFonts w:hint="eastAsia"/>
          <w:sz w:val="24"/>
          <w:szCs w:val="24"/>
        </w:rPr>
      </w:pPr>
      <w:r>
        <w:rPr>
          <w:rFonts w:hint="eastAsia"/>
          <w:sz w:val="24"/>
          <w:szCs w:val="24"/>
        </w:rPr>
        <w:t>②服务技术支持人员保证按照工作规范进行工作，凡接收到的重大服务请求，在未经用户同意的情况下不做任何处理。</w:t>
      </w:r>
    </w:p>
    <w:p w14:paraId="695AE858">
      <w:pPr>
        <w:spacing w:line="360" w:lineRule="auto"/>
        <w:ind w:firstLine="435"/>
        <w:rPr>
          <w:rFonts w:hint="eastAsia"/>
          <w:sz w:val="24"/>
          <w:szCs w:val="24"/>
        </w:rPr>
      </w:pPr>
      <w:r>
        <w:rPr>
          <w:rFonts w:hint="eastAsia"/>
          <w:sz w:val="24"/>
          <w:szCs w:val="24"/>
        </w:rPr>
        <w:t>③服务技术支持人员保证不向外泄漏任何业务和相关数据。</w:t>
      </w:r>
    </w:p>
    <w:p w14:paraId="7A8FF699">
      <w:pPr>
        <w:spacing w:line="360" w:lineRule="auto"/>
        <w:ind w:firstLine="435"/>
        <w:rPr>
          <w:rFonts w:hint="eastAsia"/>
          <w:sz w:val="24"/>
          <w:szCs w:val="24"/>
        </w:rPr>
      </w:pPr>
      <w:r>
        <w:rPr>
          <w:rFonts w:hint="eastAsia"/>
          <w:sz w:val="24"/>
          <w:szCs w:val="24"/>
        </w:rPr>
        <w:t>④服务技术支持人员保证不向外泄漏任何内部保密的资料。</w:t>
      </w:r>
    </w:p>
    <w:p w14:paraId="3F1E7BAD">
      <w:pPr>
        <w:spacing w:line="360" w:lineRule="auto"/>
        <w:ind w:firstLine="435"/>
        <w:rPr>
          <w:rFonts w:hint="eastAsia"/>
          <w:sz w:val="24"/>
          <w:szCs w:val="24"/>
        </w:rPr>
      </w:pPr>
      <w:r>
        <w:rPr>
          <w:rFonts w:hint="eastAsia"/>
          <w:sz w:val="24"/>
          <w:szCs w:val="24"/>
        </w:rPr>
        <w:t xml:space="preserve"> </w:t>
      </w:r>
    </w:p>
    <w:p w14:paraId="1514ADDB">
      <w:pPr>
        <w:widowControl/>
        <w:spacing w:line="360" w:lineRule="auto"/>
        <w:jc w:val="left"/>
        <w:rPr>
          <w:sz w:val="24"/>
          <w:szCs w:val="24"/>
        </w:rPr>
        <w:sectPr>
          <w:pgSz w:w="11906" w:h="16838"/>
          <w:pgMar w:top="1440" w:right="1800" w:bottom="1440" w:left="1800" w:header="851" w:footer="992" w:gutter="0"/>
          <w:pgNumType w:fmt="decimal"/>
          <w:cols w:space="720" w:num="1"/>
          <w:docGrid w:type="lines" w:linePitch="312" w:charSpace="0"/>
        </w:sectPr>
      </w:pPr>
    </w:p>
    <w:p w14:paraId="374C9949">
      <w:pPr>
        <w:spacing w:line="360" w:lineRule="auto"/>
        <w:jc w:val="center"/>
        <w:outlineLvl w:val="0"/>
        <w:rPr>
          <w:rFonts w:hint="eastAsia"/>
          <w:sz w:val="24"/>
          <w:szCs w:val="24"/>
        </w:rPr>
      </w:pPr>
      <w:bookmarkStart w:id="4" w:name="_Toc25234"/>
      <w:bookmarkEnd w:id="4"/>
      <w:r>
        <w:rPr>
          <w:rFonts w:hint="eastAsia"/>
          <w:b/>
          <w:sz w:val="28"/>
          <w:szCs w:val="28"/>
        </w:rPr>
        <w:t>第二章  付费标准及支付方式</w:t>
      </w:r>
    </w:p>
    <w:p w14:paraId="5C7D9983">
      <w:pPr>
        <w:spacing w:line="360" w:lineRule="auto"/>
        <w:ind w:firstLine="480" w:firstLineChars="200"/>
        <w:rPr>
          <w:rFonts w:hint="eastAsia"/>
          <w:sz w:val="24"/>
          <w:szCs w:val="24"/>
        </w:rPr>
      </w:pPr>
      <w:r>
        <w:rPr>
          <w:rFonts w:hint="eastAsia"/>
          <w:sz w:val="24"/>
          <w:szCs w:val="24"/>
        </w:rPr>
        <w:t>1、结算方式：</w:t>
      </w:r>
    </w:p>
    <w:p w14:paraId="3AEDE34F">
      <w:pPr>
        <w:spacing w:line="360" w:lineRule="auto"/>
        <w:ind w:firstLine="435"/>
        <w:rPr>
          <w:rFonts w:hint="eastAsia"/>
          <w:sz w:val="24"/>
          <w:szCs w:val="24"/>
        </w:rPr>
      </w:pPr>
      <w:r>
        <w:rPr>
          <w:rFonts w:hint="eastAsia"/>
          <w:sz w:val="24"/>
          <w:szCs w:val="24"/>
        </w:rPr>
        <w:t>本项目据实结算，结算方式为半年一结，乙方切实履行了该半年度的全部合同义务后，将半年度费用开具发票及供货清单明细至甲方处，甲方在收到乙方开具的发票并核对清单无误后结合考核支付货款。</w:t>
      </w:r>
    </w:p>
    <w:p w14:paraId="480C9B58">
      <w:pPr>
        <w:spacing w:line="360" w:lineRule="auto"/>
        <w:ind w:firstLine="480" w:firstLineChars="200"/>
        <w:rPr>
          <w:rFonts w:hint="eastAsia"/>
        </w:rPr>
      </w:pPr>
      <w:r>
        <w:rPr>
          <w:rFonts w:hint="eastAsia"/>
          <w:sz w:val="24"/>
          <w:szCs w:val="24"/>
        </w:rPr>
        <w:t>2、本项目按折扣报价，</w:t>
      </w:r>
      <w:r>
        <w:rPr>
          <w:rFonts w:hint="eastAsia"/>
          <w:b/>
          <w:bCs/>
          <w:sz w:val="24"/>
          <w:szCs w:val="24"/>
          <w:highlight w:val="yellow"/>
        </w:rPr>
        <w:t>综合费率最高限价为98%。</w:t>
      </w:r>
      <w:r>
        <w:rPr>
          <w:rFonts w:hint="eastAsia"/>
          <w:sz w:val="24"/>
          <w:szCs w:val="24"/>
        </w:rPr>
        <w:t>以征集文件发布的收费标准为基础，各供应商折扣以百分比的形式报价（例如：87.35%）。</w:t>
      </w:r>
    </w:p>
    <w:p w14:paraId="4F10A520">
      <w:pPr>
        <w:spacing w:line="360" w:lineRule="auto"/>
        <w:ind w:firstLine="482" w:firstLineChars="200"/>
        <w:rPr>
          <w:rFonts w:hint="eastAsia"/>
          <w:b/>
          <w:bCs/>
          <w:sz w:val="24"/>
          <w:szCs w:val="24"/>
        </w:rPr>
      </w:pPr>
      <w:r>
        <w:rPr>
          <w:rFonts w:hint="eastAsia"/>
          <w:b/>
          <w:bCs/>
          <w:sz w:val="24"/>
          <w:szCs w:val="24"/>
        </w:rPr>
        <w:t>2.1如供应商所报综合费率为80%，即采购人实际向成交供应商支付的全部费用按照基准定价的80%计算。与综合费率70%相比，80%的综合费率报价高，70%的综合费率报价低（低的对采购人更优惠）。</w:t>
      </w:r>
    </w:p>
    <w:p w14:paraId="0534A18E">
      <w:pPr>
        <w:spacing w:line="360" w:lineRule="auto"/>
        <w:ind w:firstLine="482" w:firstLineChars="200"/>
        <w:rPr>
          <w:rFonts w:hint="eastAsia"/>
          <w:b/>
          <w:bCs/>
          <w:sz w:val="24"/>
          <w:szCs w:val="24"/>
        </w:rPr>
      </w:pPr>
      <w:r>
        <w:rPr>
          <w:rFonts w:hint="eastAsia"/>
          <w:b/>
          <w:bCs/>
          <w:sz w:val="24"/>
          <w:szCs w:val="24"/>
        </w:rPr>
        <w:t>2.2结算标准：实际付款=∑基准定价×成交综合费率</w:t>
      </w:r>
    </w:p>
    <w:p w14:paraId="643500B2">
      <w:pPr>
        <w:spacing w:line="360" w:lineRule="auto"/>
        <w:ind w:firstLine="480" w:firstLineChars="200"/>
        <w:rPr>
          <w:rFonts w:hint="eastAsia"/>
        </w:rPr>
      </w:pPr>
      <w:r>
        <w:rPr>
          <w:rFonts w:hint="eastAsia"/>
          <w:sz w:val="24"/>
          <w:szCs w:val="24"/>
        </w:rPr>
        <w:t>2.3入围供应商第一阶段响应报价是服务对象确定第二阶段入围供应商的最高限价。结算时按照文件规定标准结算，合同签订时，成交综合费率由服务对象与入围供应商协商确定，但不得超过入围供应商的响应报价。</w:t>
      </w:r>
    </w:p>
    <w:p w14:paraId="3AF21A8A">
      <w:pPr>
        <w:widowControl/>
        <w:spacing w:line="360" w:lineRule="auto"/>
        <w:jc w:val="left"/>
        <w:rPr>
          <w:sz w:val="24"/>
          <w:szCs w:val="24"/>
        </w:rPr>
        <w:sectPr>
          <w:pgSz w:w="11906" w:h="16838"/>
          <w:pgMar w:top="1440" w:right="1800" w:bottom="1440" w:left="1800" w:header="851" w:footer="992" w:gutter="0"/>
          <w:pgNumType w:fmt="decimal"/>
          <w:cols w:space="720" w:num="1"/>
          <w:docGrid w:type="lines" w:linePitch="312" w:charSpace="0"/>
        </w:sectPr>
      </w:pPr>
    </w:p>
    <w:p w14:paraId="7676F938"/>
    <w:p w14:paraId="0D042190">
      <w:pPr>
        <w:spacing w:line="360" w:lineRule="auto"/>
        <w:jc w:val="center"/>
        <w:outlineLvl w:val="0"/>
        <w:rPr>
          <w:rFonts w:hint="eastAsia"/>
          <w:b/>
          <w:sz w:val="28"/>
          <w:szCs w:val="28"/>
        </w:rPr>
      </w:pPr>
      <w:bookmarkStart w:id="5" w:name="_Toc11634"/>
      <w:bookmarkEnd w:id="5"/>
      <w:r>
        <w:rPr>
          <w:rFonts w:hint="eastAsia"/>
          <w:b/>
          <w:sz w:val="28"/>
          <w:szCs w:val="28"/>
        </w:rPr>
        <w:t>第三章  用户反馈和评价机制</w:t>
      </w:r>
    </w:p>
    <w:p w14:paraId="47EA7A94">
      <w:pPr>
        <w:spacing w:line="360" w:lineRule="auto"/>
        <w:ind w:firstLine="480" w:firstLineChars="200"/>
        <w:rPr>
          <w:rFonts w:hint="eastAsia"/>
          <w:sz w:val="24"/>
          <w:szCs w:val="24"/>
        </w:rPr>
      </w:pPr>
      <w:r>
        <w:rPr>
          <w:rFonts w:hint="eastAsia"/>
          <w:sz w:val="24"/>
          <w:szCs w:val="24"/>
        </w:rPr>
        <w:t>征集人接受采购人和服务对象对入围供应商履行框架协议和采购合同情况的反馈与评价，并将用户反馈和评价情况向采购人和服务对象公开，可作为第二阶段直接选定入围供应商的参考。</w:t>
      </w:r>
    </w:p>
    <w:p w14:paraId="7FB12CEF">
      <w:pPr>
        <w:rPr>
          <w:rFonts w:hint="eastAsia"/>
          <w:b/>
          <w:sz w:val="28"/>
          <w:szCs w:val="28"/>
        </w:rPr>
      </w:pPr>
      <w:r>
        <w:rPr>
          <w:rFonts w:hint="eastAsia"/>
          <w:b/>
          <w:sz w:val="28"/>
          <w:szCs w:val="28"/>
        </w:rPr>
        <w:br w:type="page"/>
      </w:r>
    </w:p>
    <w:p w14:paraId="17668D3C">
      <w:pPr>
        <w:spacing w:line="360" w:lineRule="auto"/>
        <w:jc w:val="center"/>
        <w:outlineLvl w:val="0"/>
        <w:rPr>
          <w:rFonts w:hint="eastAsia"/>
          <w:sz w:val="24"/>
          <w:szCs w:val="24"/>
        </w:rPr>
      </w:pPr>
      <w:bookmarkStart w:id="6" w:name="_Toc28115"/>
      <w:bookmarkEnd w:id="6"/>
      <w:r>
        <w:rPr>
          <w:rFonts w:hint="eastAsia"/>
          <w:b/>
          <w:sz w:val="28"/>
          <w:szCs w:val="28"/>
        </w:rPr>
        <w:t>第四章  入围供应商的清退机制和补充规则</w:t>
      </w:r>
    </w:p>
    <w:p w14:paraId="090A8AED">
      <w:pPr>
        <w:spacing w:line="360" w:lineRule="auto"/>
        <w:ind w:firstLine="435"/>
        <w:jc w:val="center"/>
        <w:rPr>
          <w:rFonts w:hint="eastAsia"/>
          <w:b/>
          <w:bCs/>
          <w:sz w:val="24"/>
          <w:szCs w:val="24"/>
        </w:rPr>
      </w:pPr>
      <w:r>
        <w:rPr>
          <w:rFonts w:hint="eastAsia"/>
          <w:b/>
          <w:bCs/>
          <w:sz w:val="24"/>
          <w:szCs w:val="24"/>
        </w:rPr>
        <w:t xml:space="preserve"> </w:t>
      </w:r>
    </w:p>
    <w:p w14:paraId="15FD1C75">
      <w:pPr>
        <w:ind w:firstLine="482" w:firstLineChars="200"/>
        <w:rPr>
          <w:rFonts w:hint="eastAsia"/>
          <w:b/>
          <w:sz w:val="24"/>
          <w:szCs w:val="24"/>
        </w:rPr>
      </w:pPr>
      <w:r>
        <w:rPr>
          <w:rFonts w:hint="eastAsia"/>
          <w:b/>
          <w:sz w:val="24"/>
          <w:szCs w:val="24"/>
        </w:rPr>
        <w:t xml:space="preserve">一、入围供应商的清退机制 </w:t>
      </w:r>
    </w:p>
    <w:p w14:paraId="4ED2E4C1">
      <w:pPr>
        <w:ind w:firstLine="480" w:firstLineChars="200"/>
        <w:rPr>
          <w:rFonts w:hint="eastAsia"/>
          <w:bCs/>
          <w:sz w:val="24"/>
          <w:szCs w:val="24"/>
        </w:rPr>
      </w:pPr>
      <w:r>
        <w:rPr>
          <w:rFonts w:hint="eastAsia"/>
          <w:bCs/>
          <w:sz w:val="24"/>
          <w:szCs w:val="24"/>
        </w:rPr>
        <w:t xml:space="preserve">1.框架协议入围供应商可以随时申请退出框架协议。 </w:t>
      </w:r>
    </w:p>
    <w:p w14:paraId="5C9203A4">
      <w:pPr>
        <w:ind w:firstLine="480" w:firstLineChars="200"/>
        <w:rPr>
          <w:rFonts w:hint="eastAsia"/>
          <w:bCs/>
          <w:sz w:val="24"/>
          <w:szCs w:val="24"/>
        </w:rPr>
      </w:pPr>
      <w:r>
        <w:rPr>
          <w:rFonts w:hint="eastAsia"/>
          <w:bCs/>
          <w:sz w:val="24"/>
          <w:szCs w:val="24"/>
        </w:rPr>
        <w:t xml:space="preserve">2.入围供应商有下列情形之一的，取消其入围资格；情节严重的，报财政监 管部门依规处理： </w:t>
      </w:r>
    </w:p>
    <w:p w14:paraId="2776D943">
      <w:pPr>
        <w:ind w:firstLine="480" w:firstLineChars="200"/>
        <w:rPr>
          <w:rFonts w:hint="eastAsia"/>
          <w:bCs/>
          <w:sz w:val="24"/>
          <w:szCs w:val="24"/>
        </w:rPr>
      </w:pPr>
      <w:r>
        <w:rPr>
          <w:rFonts w:hint="eastAsia"/>
          <w:bCs/>
          <w:sz w:val="24"/>
          <w:szCs w:val="24"/>
        </w:rPr>
        <w:t xml:space="preserve">（1）恶意串通谋取入围或者合同成交的； </w:t>
      </w:r>
    </w:p>
    <w:p w14:paraId="1ED66CB0">
      <w:pPr>
        <w:ind w:firstLine="480" w:firstLineChars="200"/>
        <w:rPr>
          <w:rFonts w:hint="eastAsia"/>
          <w:bCs/>
          <w:sz w:val="24"/>
          <w:szCs w:val="24"/>
        </w:rPr>
      </w:pPr>
      <w:r>
        <w:rPr>
          <w:rFonts w:hint="eastAsia"/>
          <w:bCs/>
          <w:sz w:val="24"/>
          <w:szCs w:val="24"/>
        </w:rPr>
        <w:t xml:space="preserve">（2）提供虚假材料谋取入围或者合同成交的； </w:t>
      </w:r>
    </w:p>
    <w:p w14:paraId="6C8A4CC8">
      <w:pPr>
        <w:ind w:firstLine="480" w:firstLineChars="200"/>
        <w:rPr>
          <w:rFonts w:hint="eastAsia"/>
          <w:bCs/>
          <w:sz w:val="24"/>
          <w:szCs w:val="24"/>
        </w:rPr>
      </w:pPr>
      <w:r>
        <w:rPr>
          <w:rFonts w:hint="eastAsia"/>
          <w:bCs/>
          <w:sz w:val="24"/>
          <w:szCs w:val="24"/>
        </w:rPr>
        <w:t xml:space="preserve">（3）无正当理由拒不接受合同授予的； </w:t>
      </w:r>
    </w:p>
    <w:p w14:paraId="72314333">
      <w:pPr>
        <w:ind w:firstLine="480" w:firstLineChars="200"/>
        <w:rPr>
          <w:rFonts w:hint="eastAsia"/>
          <w:bCs/>
          <w:sz w:val="24"/>
          <w:szCs w:val="24"/>
        </w:rPr>
      </w:pPr>
      <w:r>
        <w:rPr>
          <w:rFonts w:hint="eastAsia"/>
          <w:bCs/>
          <w:sz w:val="24"/>
          <w:szCs w:val="24"/>
        </w:rPr>
        <w:t xml:space="preserve">（4）不履行合同义务或者履行合同义务不符合约定，经采购人请求履行后 仍不履行或者仍未按约定履行的； </w:t>
      </w:r>
    </w:p>
    <w:p w14:paraId="344C8195">
      <w:pPr>
        <w:ind w:firstLine="480" w:firstLineChars="200"/>
        <w:rPr>
          <w:rFonts w:hint="eastAsia"/>
          <w:bCs/>
          <w:sz w:val="24"/>
          <w:szCs w:val="24"/>
        </w:rPr>
      </w:pPr>
      <w:r>
        <w:rPr>
          <w:rFonts w:hint="eastAsia"/>
          <w:bCs/>
          <w:sz w:val="24"/>
          <w:szCs w:val="24"/>
        </w:rPr>
        <w:t xml:space="preserve">（5）框架协议有效期内，因违法行为被禁止或限制参加政府采购活动的； </w:t>
      </w:r>
    </w:p>
    <w:p w14:paraId="36976F51">
      <w:pPr>
        <w:ind w:firstLine="480" w:firstLineChars="200"/>
        <w:rPr>
          <w:rFonts w:hint="eastAsia"/>
          <w:bCs/>
          <w:sz w:val="24"/>
          <w:szCs w:val="24"/>
        </w:rPr>
      </w:pPr>
      <w:r>
        <w:rPr>
          <w:rFonts w:hint="eastAsia"/>
          <w:bCs/>
          <w:sz w:val="24"/>
          <w:szCs w:val="24"/>
        </w:rPr>
        <w:t xml:space="preserve">（6）框架协议约定的其他情形。 </w:t>
      </w:r>
    </w:p>
    <w:p w14:paraId="72784433">
      <w:pPr>
        <w:ind w:firstLine="482" w:firstLineChars="200"/>
        <w:rPr>
          <w:rFonts w:hint="eastAsia"/>
          <w:b/>
          <w:sz w:val="24"/>
          <w:szCs w:val="24"/>
        </w:rPr>
      </w:pPr>
      <w:r>
        <w:rPr>
          <w:rFonts w:hint="eastAsia"/>
          <w:b/>
          <w:sz w:val="24"/>
          <w:szCs w:val="24"/>
        </w:rPr>
        <w:t xml:space="preserve">二、入围供应商的补充规则 </w:t>
      </w:r>
    </w:p>
    <w:p w14:paraId="38C2DADF">
      <w:pPr>
        <w:ind w:firstLine="480" w:firstLineChars="200"/>
        <w:rPr>
          <w:rFonts w:hint="eastAsia"/>
          <w:bCs/>
          <w:sz w:val="24"/>
          <w:szCs w:val="24"/>
        </w:rPr>
      </w:pPr>
      <w:r>
        <w:rPr>
          <w:rFonts w:hint="eastAsia"/>
          <w:bCs/>
          <w:sz w:val="24"/>
          <w:szCs w:val="24"/>
        </w:rPr>
        <w:t xml:space="preserve">1.征集公告发布后至框架协议期满前，供应商可以按照征集公告要求，随时提交加入框架协议的申请。 </w:t>
      </w:r>
    </w:p>
    <w:p w14:paraId="52D3963A">
      <w:pPr>
        <w:ind w:firstLine="480" w:firstLineChars="200"/>
        <w:rPr>
          <w:rFonts w:hint="eastAsia"/>
          <w:bCs/>
          <w:sz w:val="24"/>
          <w:szCs w:val="24"/>
        </w:rPr>
      </w:pPr>
      <w:r>
        <w:rPr>
          <w:rFonts w:hint="eastAsia"/>
          <w:bCs/>
          <w:sz w:val="24"/>
          <w:szCs w:val="24"/>
        </w:rPr>
        <w:t xml:space="preserve">2.本轮征集期间，供应商按照征集公告的要求进行递交，递交的文件不予退还。 </w:t>
      </w:r>
    </w:p>
    <w:p w14:paraId="707DD693">
      <w:pPr>
        <w:ind w:firstLine="562" w:firstLineChars="200"/>
        <w:rPr>
          <w:rFonts w:hint="eastAsia"/>
          <w:b/>
          <w:sz w:val="28"/>
          <w:szCs w:val="28"/>
        </w:rPr>
      </w:pPr>
      <w:r>
        <w:rPr>
          <w:rFonts w:hint="eastAsia"/>
          <w:b/>
          <w:sz w:val="28"/>
          <w:szCs w:val="28"/>
        </w:rPr>
        <w:br w:type="page"/>
      </w:r>
    </w:p>
    <w:p w14:paraId="7A8588BA">
      <w:pPr>
        <w:spacing w:line="360" w:lineRule="auto"/>
        <w:jc w:val="center"/>
        <w:outlineLvl w:val="0"/>
        <w:rPr>
          <w:rFonts w:hint="eastAsia"/>
          <w:b/>
          <w:sz w:val="28"/>
          <w:szCs w:val="28"/>
        </w:rPr>
      </w:pPr>
      <w:bookmarkStart w:id="7" w:name="_Toc22882"/>
      <w:bookmarkEnd w:id="7"/>
      <w:r>
        <w:rPr>
          <w:rFonts w:hint="eastAsia"/>
          <w:b/>
          <w:sz w:val="28"/>
          <w:szCs w:val="28"/>
        </w:rPr>
        <w:t>第五章  供应商信用信息</w:t>
      </w:r>
    </w:p>
    <w:p w14:paraId="67F789C4">
      <w:pPr>
        <w:wordWrap w:val="0"/>
        <w:spacing w:line="360" w:lineRule="auto"/>
        <w:ind w:firstLine="437"/>
        <w:rPr>
          <w:rFonts w:hint="eastAsia"/>
          <w:sz w:val="24"/>
          <w:szCs w:val="24"/>
        </w:rPr>
      </w:pPr>
      <w:r>
        <w:rPr>
          <w:rFonts w:hint="eastAsia"/>
          <w:sz w:val="24"/>
          <w:szCs w:val="24"/>
        </w:rPr>
        <w:t>1.供应商存在不良信用记录的不得入围。</w:t>
      </w:r>
    </w:p>
    <w:p w14:paraId="009C458C">
      <w:pPr>
        <w:wordWrap w:val="0"/>
        <w:spacing w:line="360" w:lineRule="auto"/>
        <w:ind w:firstLine="437"/>
        <w:rPr>
          <w:rFonts w:hint="eastAsia"/>
          <w:sz w:val="24"/>
          <w:szCs w:val="24"/>
        </w:rPr>
      </w:pPr>
      <w:r>
        <w:rPr>
          <w:rFonts w:hint="eastAsia"/>
          <w:sz w:val="24"/>
          <w:szCs w:val="24"/>
        </w:rPr>
        <w:t>1.1不良信用记录是指：</w:t>
      </w:r>
    </w:p>
    <w:p w14:paraId="3B00EF59">
      <w:pPr>
        <w:wordWrap w:val="0"/>
        <w:spacing w:line="360" w:lineRule="auto"/>
        <w:ind w:firstLine="437"/>
        <w:rPr>
          <w:rFonts w:hint="eastAsia"/>
          <w:sz w:val="24"/>
          <w:szCs w:val="24"/>
        </w:rPr>
      </w:pPr>
      <w:r>
        <w:rPr>
          <w:rFonts w:hint="eastAsia"/>
          <w:sz w:val="24"/>
          <w:szCs w:val="24"/>
        </w:rPr>
        <w:t>（1）供应商被人民法院列入失信被执行人；</w:t>
      </w:r>
    </w:p>
    <w:p w14:paraId="560457FC">
      <w:pPr>
        <w:wordWrap w:val="0"/>
        <w:spacing w:line="360" w:lineRule="auto"/>
        <w:ind w:firstLine="437"/>
        <w:rPr>
          <w:rFonts w:hint="eastAsia"/>
          <w:sz w:val="24"/>
          <w:szCs w:val="24"/>
        </w:rPr>
      </w:pPr>
      <w:r>
        <w:rPr>
          <w:rFonts w:hint="eastAsia"/>
          <w:sz w:val="24"/>
          <w:szCs w:val="24"/>
        </w:rPr>
        <w:t>（2）供应商或其法定代表人或拟派项目经理（项目负责人）被人民检察院列入行贿犯罪档案；</w:t>
      </w:r>
    </w:p>
    <w:p w14:paraId="6296508B">
      <w:pPr>
        <w:wordWrap w:val="0"/>
        <w:spacing w:line="360" w:lineRule="auto"/>
        <w:ind w:firstLine="437"/>
        <w:rPr>
          <w:rFonts w:hint="eastAsia"/>
          <w:sz w:val="24"/>
          <w:szCs w:val="24"/>
        </w:rPr>
      </w:pPr>
      <w:r>
        <w:rPr>
          <w:rFonts w:hint="eastAsia"/>
          <w:sz w:val="24"/>
          <w:szCs w:val="24"/>
        </w:rPr>
        <w:t>（3）供应商被工商行政管理部门列入企业经营异常名录；</w:t>
      </w:r>
    </w:p>
    <w:p w14:paraId="645A1072">
      <w:pPr>
        <w:wordWrap w:val="0"/>
        <w:spacing w:line="360" w:lineRule="auto"/>
        <w:ind w:firstLine="437"/>
        <w:rPr>
          <w:rFonts w:hint="eastAsia"/>
          <w:sz w:val="24"/>
          <w:szCs w:val="24"/>
        </w:rPr>
      </w:pPr>
      <w:r>
        <w:rPr>
          <w:rFonts w:hint="eastAsia"/>
          <w:sz w:val="24"/>
          <w:szCs w:val="24"/>
        </w:rPr>
        <w:t>（4）供应商被税务部门列入重大税收违法案件当事人名单；</w:t>
      </w:r>
    </w:p>
    <w:p w14:paraId="4CF1B457">
      <w:pPr>
        <w:wordWrap w:val="0"/>
        <w:spacing w:line="360" w:lineRule="auto"/>
        <w:ind w:firstLine="437"/>
        <w:rPr>
          <w:rFonts w:hint="eastAsia"/>
          <w:sz w:val="24"/>
          <w:szCs w:val="24"/>
        </w:rPr>
      </w:pPr>
      <w:r>
        <w:rPr>
          <w:rFonts w:hint="eastAsia"/>
          <w:sz w:val="24"/>
          <w:szCs w:val="24"/>
        </w:rPr>
        <w:t>（5）供应商被政府采购监管部门列入政府采购严重违法失信行为记录名单，以及存在《中华人民共和国政府采购法实施条例》第十九条规定的行政处罚记录。</w:t>
      </w:r>
    </w:p>
    <w:p w14:paraId="607F1EC4">
      <w:pPr>
        <w:wordWrap w:val="0"/>
        <w:spacing w:line="360" w:lineRule="auto"/>
        <w:ind w:firstLine="437"/>
        <w:rPr>
          <w:rFonts w:hint="eastAsia"/>
          <w:sz w:val="24"/>
          <w:szCs w:val="24"/>
        </w:rPr>
      </w:pPr>
      <w:r>
        <w:rPr>
          <w:rFonts w:hint="eastAsia"/>
          <w:sz w:val="24"/>
          <w:szCs w:val="24"/>
        </w:rPr>
        <w:t>1.2信用信息查询渠道：中国政府采购网（www.ccgp.gov.cn）、“信用中国”网站（www.creditchina.gov.cn）、国家企业信用信息公示系统（www.gsxt.gov.cn）。</w:t>
      </w:r>
    </w:p>
    <w:p w14:paraId="525C67C4">
      <w:pPr>
        <w:spacing w:line="360" w:lineRule="auto"/>
        <w:ind w:firstLine="435"/>
        <w:rPr>
          <w:rFonts w:hint="eastAsia"/>
          <w:b/>
          <w:sz w:val="24"/>
          <w:szCs w:val="24"/>
        </w:rPr>
      </w:pPr>
      <w:r>
        <w:rPr>
          <w:rFonts w:hint="eastAsia"/>
          <w:b/>
          <w:sz w:val="24"/>
          <w:szCs w:val="24"/>
        </w:rPr>
        <w:t>注：</w:t>
      </w:r>
    </w:p>
    <w:p w14:paraId="3F6CD114">
      <w:pPr>
        <w:spacing w:line="360" w:lineRule="auto"/>
        <w:ind w:firstLine="435"/>
        <w:rPr>
          <w:rFonts w:hint="eastAsia"/>
          <w:sz w:val="24"/>
          <w:szCs w:val="24"/>
        </w:rPr>
      </w:pPr>
      <w:r>
        <w:rPr>
          <w:rFonts w:hint="eastAsia"/>
          <w:bCs/>
          <w:sz w:val="24"/>
          <w:szCs w:val="24"/>
        </w:rPr>
        <w:t>（1）企业</w:t>
      </w:r>
      <w:r>
        <w:rPr>
          <w:rFonts w:hint="eastAsia"/>
          <w:sz w:val="24"/>
          <w:szCs w:val="24"/>
        </w:rPr>
        <w:t>经营异常名录以国家企业信用信息公示系统查询结果为准。</w:t>
      </w:r>
    </w:p>
    <w:p w14:paraId="45CCDDDD">
      <w:pPr>
        <w:spacing w:line="360" w:lineRule="auto"/>
        <w:ind w:firstLine="435"/>
        <w:rPr>
          <w:rFonts w:hint="eastAsia"/>
          <w:sz w:val="24"/>
          <w:szCs w:val="24"/>
        </w:rPr>
      </w:pPr>
      <w:r>
        <w:rPr>
          <w:rFonts w:hint="eastAsia"/>
          <w:sz w:val="24"/>
          <w:szCs w:val="24"/>
        </w:rPr>
        <w:t>（2）供应商应自行查询信用信息。</w:t>
      </w:r>
    </w:p>
    <w:p w14:paraId="1C33451A">
      <w:pPr>
        <w:spacing w:line="360" w:lineRule="auto"/>
        <w:ind w:firstLine="435"/>
        <w:rPr>
          <w:rFonts w:hint="eastAsia"/>
          <w:sz w:val="24"/>
          <w:szCs w:val="24"/>
        </w:rPr>
      </w:pPr>
      <w:r>
        <w:rPr>
          <w:rFonts w:hint="eastAsia"/>
          <w:sz w:val="24"/>
          <w:szCs w:val="24"/>
        </w:rPr>
        <w:t>（3）征集人将在审核时查询供应商的信用记录。供应商存在不良信用记录的，其申请将被认定为无效。</w:t>
      </w:r>
    </w:p>
    <w:p w14:paraId="61F33065">
      <w:pPr>
        <w:rPr>
          <w:rFonts w:hint="eastAsia"/>
          <w:b/>
          <w:sz w:val="28"/>
          <w:szCs w:val="28"/>
        </w:rPr>
      </w:pPr>
      <w:r>
        <w:rPr>
          <w:rFonts w:hint="eastAsia"/>
          <w:b/>
          <w:sz w:val="28"/>
          <w:szCs w:val="28"/>
        </w:rPr>
        <w:br w:type="page"/>
      </w:r>
    </w:p>
    <w:p w14:paraId="43221DC0">
      <w:pPr>
        <w:spacing w:line="360" w:lineRule="auto"/>
        <w:jc w:val="center"/>
        <w:outlineLvl w:val="0"/>
        <w:rPr>
          <w:rFonts w:hint="eastAsia"/>
          <w:b/>
          <w:sz w:val="28"/>
          <w:szCs w:val="28"/>
        </w:rPr>
      </w:pPr>
      <w:bookmarkStart w:id="8" w:name="_Toc60602106"/>
      <w:bookmarkEnd w:id="8"/>
      <w:bookmarkStart w:id="9" w:name="_Toc8597"/>
      <w:r>
        <w:rPr>
          <w:rFonts w:hint="eastAsia"/>
          <w:b/>
          <w:sz w:val="28"/>
          <w:szCs w:val="28"/>
        </w:rPr>
        <w:t>第六章  资格审查方法和标准</w:t>
      </w:r>
      <w:bookmarkEnd w:id="9"/>
    </w:p>
    <w:p w14:paraId="15BF977D">
      <w:pPr>
        <w:spacing w:line="360" w:lineRule="auto"/>
        <w:ind w:firstLine="437"/>
        <w:outlineLvl w:val="1"/>
        <w:rPr>
          <w:rFonts w:hint="eastAsia"/>
          <w:b/>
          <w:sz w:val="24"/>
          <w:szCs w:val="24"/>
        </w:rPr>
      </w:pPr>
      <w:bookmarkStart w:id="10" w:name="_Toc6708"/>
      <w:bookmarkEnd w:id="10"/>
      <w:bookmarkStart w:id="11" w:name="_Toc12065"/>
      <w:bookmarkEnd w:id="11"/>
      <w:bookmarkStart w:id="12" w:name="_Toc30845"/>
      <w:bookmarkEnd w:id="12"/>
      <w:bookmarkStart w:id="13" w:name="_Toc836"/>
      <w:bookmarkEnd w:id="13"/>
      <w:bookmarkStart w:id="14" w:name="_Toc13702"/>
      <w:bookmarkEnd w:id="14"/>
      <w:bookmarkStart w:id="15" w:name="_Toc24953"/>
      <w:r>
        <w:rPr>
          <w:rFonts w:hint="eastAsia"/>
          <w:b/>
          <w:sz w:val="24"/>
          <w:szCs w:val="24"/>
        </w:rPr>
        <w:t>一、总则</w:t>
      </w:r>
      <w:bookmarkEnd w:id="15"/>
    </w:p>
    <w:p w14:paraId="3CF5CD33">
      <w:pPr>
        <w:spacing w:line="360" w:lineRule="auto"/>
        <w:ind w:firstLine="435"/>
        <w:rPr>
          <w:rFonts w:hint="eastAsia"/>
          <w:sz w:val="24"/>
          <w:szCs w:val="24"/>
        </w:rPr>
      </w:pPr>
      <w:r>
        <w:rPr>
          <w:rFonts w:hint="eastAsia"/>
          <w:sz w:val="24"/>
          <w:szCs w:val="24"/>
        </w:rPr>
        <w:t>本项目将按照征集项目的详细说明和要求的相关要求及本章的规定评审。</w:t>
      </w:r>
    </w:p>
    <w:p w14:paraId="03DF976F">
      <w:pPr>
        <w:spacing w:line="360" w:lineRule="auto"/>
        <w:ind w:firstLine="437"/>
        <w:outlineLvl w:val="1"/>
        <w:rPr>
          <w:rFonts w:hint="eastAsia"/>
          <w:b/>
          <w:sz w:val="24"/>
          <w:szCs w:val="24"/>
        </w:rPr>
      </w:pPr>
      <w:bookmarkStart w:id="16" w:name="_Toc18393"/>
      <w:bookmarkEnd w:id="16"/>
      <w:bookmarkStart w:id="17" w:name="_Toc31938"/>
      <w:bookmarkEnd w:id="17"/>
      <w:bookmarkStart w:id="18" w:name="_Toc19586"/>
      <w:bookmarkEnd w:id="18"/>
      <w:bookmarkStart w:id="19" w:name="_Toc16319"/>
      <w:bookmarkEnd w:id="19"/>
      <w:bookmarkStart w:id="20" w:name="_Toc30286"/>
      <w:bookmarkEnd w:id="20"/>
      <w:bookmarkStart w:id="21" w:name="_Toc10140"/>
      <w:r>
        <w:rPr>
          <w:rFonts w:hint="eastAsia"/>
          <w:b/>
          <w:sz w:val="24"/>
          <w:szCs w:val="24"/>
        </w:rPr>
        <w:t>二、评审方法</w:t>
      </w:r>
      <w:bookmarkEnd w:id="21"/>
    </w:p>
    <w:p w14:paraId="084F7B19">
      <w:pPr>
        <w:spacing w:line="360" w:lineRule="auto"/>
        <w:ind w:firstLine="435"/>
        <w:rPr>
          <w:rFonts w:hint="eastAsia"/>
          <w:sz w:val="24"/>
          <w:szCs w:val="24"/>
        </w:rPr>
      </w:pPr>
      <w:bookmarkStart w:id="22" w:name="_Toc6013"/>
      <w:bookmarkEnd w:id="22"/>
      <w:bookmarkStart w:id="23" w:name="_Toc61"/>
      <w:bookmarkEnd w:id="23"/>
      <w:bookmarkStart w:id="24" w:name="_Toc3986"/>
      <w:bookmarkEnd w:id="24"/>
      <w:bookmarkStart w:id="25" w:name="_Toc167"/>
      <w:bookmarkEnd w:id="25"/>
      <w:bookmarkStart w:id="26" w:name="_Toc21017"/>
      <w:r>
        <w:rPr>
          <w:rFonts w:hint="eastAsia"/>
          <w:sz w:val="24"/>
          <w:szCs w:val="24"/>
        </w:rPr>
        <w:t>1、</w:t>
      </w:r>
      <w:bookmarkEnd w:id="26"/>
      <w:r>
        <w:rPr>
          <w:rFonts w:hint="eastAsia"/>
          <w:sz w:val="24"/>
          <w:szCs w:val="24"/>
        </w:rPr>
        <w:t>申请文件解密结束后，对供应商的资格进行审查。</w:t>
      </w:r>
    </w:p>
    <w:p w14:paraId="34DC1F6D">
      <w:pPr>
        <w:spacing w:line="360" w:lineRule="auto"/>
        <w:ind w:firstLine="435"/>
        <w:rPr>
          <w:rFonts w:hint="eastAsia"/>
          <w:sz w:val="24"/>
          <w:szCs w:val="24"/>
        </w:rPr>
      </w:pPr>
      <w:r>
        <w:rPr>
          <w:rFonts w:hint="eastAsia"/>
          <w:sz w:val="24"/>
          <w:szCs w:val="24"/>
        </w:rPr>
        <w:t>2、征集人依据征集公告的要求，对供应商的资格进行审查，审查申请文件是否响应了征集公告的资格要求。当发现供应商或其申请文件存在下列情况之一时，将判定供应商的资格不符合要求，资格审查不通过：</w:t>
      </w:r>
    </w:p>
    <w:p w14:paraId="3056AC6E">
      <w:pPr>
        <w:spacing w:line="360" w:lineRule="auto"/>
        <w:ind w:firstLine="435"/>
        <w:rPr>
          <w:rFonts w:hint="eastAsia"/>
          <w:sz w:val="24"/>
          <w:szCs w:val="24"/>
        </w:rPr>
      </w:pPr>
      <w:r>
        <w:rPr>
          <w:rFonts w:hint="eastAsia"/>
          <w:sz w:val="24"/>
          <w:szCs w:val="24"/>
        </w:rPr>
        <w:t>2.1不符合《中华人民共和国政府采购法》第二十二条规定；</w:t>
      </w:r>
    </w:p>
    <w:p w14:paraId="7BBA65BA">
      <w:pPr>
        <w:spacing w:line="360" w:lineRule="auto"/>
        <w:ind w:firstLine="435"/>
        <w:rPr>
          <w:rFonts w:hint="eastAsia"/>
          <w:sz w:val="24"/>
          <w:szCs w:val="24"/>
        </w:rPr>
      </w:pPr>
      <w:r>
        <w:rPr>
          <w:rFonts w:hint="eastAsia"/>
          <w:sz w:val="24"/>
          <w:szCs w:val="24"/>
        </w:rPr>
        <w:t>2.2未按征集公告要求提供供应商营业执照、税务登记证（若供应商提供了“多证合一”的营业执照，无需另行提供税务登记证）扫描件；</w:t>
      </w:r>
    </w:p>
    <w:p w14:paraId="7912AA97">
      <w:pPr>
        <w:spacing w:line="360" w:lineRule="auto"/>
        <w:ind w:firstLine="435"/>
        <w:rPr>
          <w:rFonts w:hint="eastAsia"/>
          <w:b/>
          <w:bCs/>
          <w:sz w:val="24"/>
          <w:szCs w:val="24"/>
          <w:highlight w:val="yellow"/>
        </w:rPr>
      </w:pPr>
      <w:r>
        <w:rPr>
          <w:rFonts w:hint="eastAsia"/>
          <w:b/>
          <w:bCs/>
          <w:sz w:val="24"/>
          <w:szCs w:val="24"/>
          <w:highlight w:val="yellow"/>
        </w:rPr>
        <w:t>2.3未按征集公告要求提供供应商（或供应商上级公司）须为具有工信部颁发的《中华人民共和国基础电信业务经营许可证》材料；</w:t>
      </w:r>
    </w:p>
    <w:p w14:paraId="71406188">
      <w:pPr>
        <w:spacing w:line="360" w:lineRule="auto"/>
        <w:ind w:firstLine="435"/>
        <w:rPr>
          <w:rFonts w:hint="eastAsia"/>
          <w:b/>
          <w:bCs/>
          <w:sz w:val="24"/>
          <w:szCs w:val="24"/>
          <w:highlight w:val="yellow"/>
        </w:rPr>
      </w:pPr>
      <w:r>
        <w:rPr>
          <w:rFonts w:hint="eastAsia"/>
          <w:b/>
          <w:bCs/>
          <w:sz w:val="24"/>
          <w:szCs w:val="24"/>
          <w:highlight w:val="yellow"/>
        </w:rPr>
        <w:t>2.4专门面向中小企业采购的项目，未按征集文件要求提供中小企业声明函【注：供应商提供的货物（或服务或工程）须为中小企业制造（或提供或承接）】；</w:t>
      </w:r>
    </w:p>
    <w:p w14:paraId="3C81B5BA">
      <w:pPr>
        <w:spacing w:line="360" w:lineRule="auto"/>
        <w:ind w:firstLine="435"/>
        <w:rPr>
          <w:rFonts w:hint="eastAsia"/>
          <w:sz w:val="24"/>
          <w:szCs w:val="24"/>
        </w:rPr>
      </w:pPr>
      <w:r>
        <w:rPr>
          <w:rFonts w:hint="eastAsia"/>
          <w:sz w:val="24"/>
          <w:szCs w:val="24"/>
        </w:rPr>
        <w:t>2.</w:t>
      </w:r>
      <w:r>
        <w:rPr>
          <w:rFonts w:hint="eastAsia"/>
          <w:sz w:val="24"/>
          <w:szCs w:val="24"/>
          <w:lang w:val="en-US" w:eastAsia="zh-CN"/>
        </w:rPr>
        <w:t>5</w:t>
      </w:r>
      <w:r>
        <w:rPr>
          <w:rFonts w:hint="eastAsia"/>
          <w:sz w:val="24"/>
          <w:szCs w:val="24"/>
        </w:rPr>
        <w:t>未按征集文件要求提供</w:t>
      </w:r>
      <w:r>
        <w:rPr>
          <w:rFonts w:hint="eastAsia"/>
          <w:color w:val="000000"/>
          <w:kern w:val="0"/>
          <w:sz w:val="24"/>
          <w:szCs w:val="24"/>
        </w:rPr>
        <w:t>无重大违法记录声明函、无不良信用记录声明函；</w:t>
      </w:r>
    </w:p>
    <w:p w14:paraId="440253C8">
      <w:pPr>
        <w:spacing w:line="360" w:lineRule="auto"/>
        <w:ind w:firstLine="435"/>
        <w:rPr>
          <w:rFonts w:hint="eastAsia"/>
          <w:sz w:val="24"/>
          <w:szCs w:val="24"/>
        </w:rPr>
      </w:pPr>
      <w:r>
        <w:rPr>
          <w:rFonts w:hint="eastAsia"/>
          <w:sz w:val="24"/>
          <w:szCs w:val="24"/>
        </w:rPr>
        <w:t>2.</w:t>
      </w:r>
      <w:r>
        <w:rPr>
          <w:rFonts w:hint="eastAsia"/>
          <w:sz w:val="24"/>
          <w:szCs w:val="24"/>
          <w:lang w:val="en-US" w:eastAsia="zh-CN"/>
        </w:rPr>
        <w:t>6</w:t>
      </w:r>
      <w:r>
        <w:rPr>
          <w:rFonts w:hint="eastAsia"/>
          <w:sz w:val="24"/>
          <w:szCs w:val="24"/>
        </w:rPr>
        <w:t>供应商报价超过征集文件中规定的最高限制单价的；</w:t>
      </w:r>
    </w:p>
    <w:p w14:paraId="1291A099">
      <w:pPr>
        <w:spacing w:line="360" w:lineRule="auto"/>
        <w:ind w:firstLine="435"/>
        <w:rPr>
          <w:rFonts w:hint="eastAsia"/>
          <w:sz w:val="24"/>
          <w:szCs w:val="24"/>
        </w:rPr>
      </w:pPr>
      <w:r>
        <w:rPr>
          <w:rFonts w:hint="eastAsia"/>
          <w:sz w:val="24"/>
          <w:szCs w:val="24"/>
        </w:rPr>
        <w:t>2.</w:t>
      </w:r>
      <w:r>
        <w:rPr>
          <w:rFonts w:hint="eastAsia"/>
          <w:sz w:val="24"/>
          <w:szCs w:val="24"/>
          <w:lang w:val="en-US" w:eastAsia="zh-CN"/>
        </w:rPr>
        <w:t>7</w:t>
      </w:r>
      <w:r>
        <w:rPr>
          <w:rFonts w:hint="eastAsia"/>
          <w:sz w:val="24"/>
          <w:szCs w:val="24"/>
        </w:rPr>
        <w:t>未按征集公告要求提供申请文件；</w:t>
      </w:r>
    </w:p>
    <w:p w14:paraId="0C787A2B">
      <w:pPr>
        <w:spacing w:line="360" w:lineRule="auto"/>
        <w:ind w:firstLine="435"/>
        <w:rPr>
          <w:rFonts w:hint="eastAsia"/>
          <w:sz w:val="24"/>
          <w:szCs w:val="24"/>
        </w:rPr>
      </w:pPr>
      <w:r>
        <w:rPr>
          <w:rFonts w:hint="eastAsia"/>
          <w:sz w:val="24"/>
          <w:szCs w:val="24"/>
        </w:rPr>
        <w:t>2.</w:t>
      </w:r>
      <w:r>
        <w:rPr>
          <w:rFonts w:hint="eastAsia"/>
          <w:sz w:val="24"/>
          <w:szCs w:val="24"/>
          <w:lang w:val="en-US" w:eastAsia="zh-CN"/>
        </w:rPr>
        <w:t>8</w:t>
      </w:r>
      <w:r>
        <w:rPr>
          <w:rFonts w:hint="eastAsia"/>
          <w:sz w:val="24"/>
          <w:szCs w:val="24"/>
        </w:rPr>
        <w:t>不符合征集公告规定的其他资格条件；</w:t>
      </w:r>
    </w:p>
    <w:p w14:paraId="4FB136D2">
      <w:pPr>
        <w:spacing w:line="360" w:lineRule="auto"/>
        <w:ind w:firstLine="435"/>
        <w:rPr>
          <w:rFonts w:hint="eastAsia"/>
          <w:sz w:val="24"/>
          <w:szCs w:val="24"/>
        </w:rPr>
      </w:pPr>
      <w:r>
        <w:rPr>
          <w:rFonts w:hint="eastAsia"/>
          <w:sz w:val="24"/>
          <w:szCs w:val="24"/>
        </w:rPr>
        <w:t>3、对通过资格审查的供应商，即为入围供应商。</w:t>
      </w:r>
    </w:p>
    <w:p w14:paraId="2EEFB119">
      <w:pPr>
        <w:spacing w:line="360" w:lineRule="auto"/>
        <w:ind w:firstLine="437"/>
        <w:outlineLvl w:val="1"/>
        <w:rPr>
          <w:rFonts w:hint="eastAsia"/>
          <w:b/>
          <w:sz w:val="24"/>
          <w:szCs w:val="24"/>
        </w:rPr>
      </w:pPr>
      <w:bookmarkStart w:id="27" w:name="_Toc1492"/>
      <w:bookmarkEnd w:id="27"/>
      <w:r>
        <w:rPr>
          <w:rFonts w:hint="eastAsia"/>
          <w:b/>
          <w:sz w:val="24"/>
          <w:szCs w:val="24"/>
        </w:rPr>
        <w:t>三、入围供应商约定</w:t>
      </w:r>
    </w:p>
    <w:p w14:paraId="031B9FE2">
      <w:pPr>
        <w:spacing w:line="360" w:lineRule="auto"/>
        <w:ind w:firstLine="435"/>
        <w:rPr>
          <w:rFonts w:hint="eastAsia"/>
          <w:bCs/>
          <w:sz w:val="24"/>
          <w:szCs w:val="24"/>
        </w:rPr>
      </w:pPr>
      <w:r>
        <w:rPr>
          <w:rFonts w:hint="eastAsia"/>
          <w:sz w:val="24"/>
          <w:szCs w:val="24"/>
        </w:rPr>
        <w:t>提交申请文件和通过资格审查的供应商确定入围。</w:t>
      </w:r>
      <w:r>
        <w:rPr>
          <w:rFonts w:hint="eastAsia"/>
          <w:bCs/>
          <w:sz w:val="24"/>
          <w:szCs w:val="24"/>
        </w:rPr>
        <w:br w:type="page"/>
      </w:r>
    </w:p>
    <w:p w14:paraId="304D68C1">
      <w:pPr>
        <w:numPr>
          <w:ilvl w:val="0"/>
          <w:numId w:val="3"/>
        </w:numPr>
        <w:spacing w:line="360" w:lineRule="auto"/>
        <w:jc w:val="center"/>
        <w:outlineLvl w:val="0"/>
        <w:rPr>
          <w:rFonts w:hint="eastAsia"/>
          <w:b/>
          <w:sz w:val="28"/>
          <w:szCs w:val="28"/>
        </w:rPr>
      </w:pPr>
      <w:bookmarkStart w:id="28" w:name="_Toc60602108"/>
      <w:bookmarkEnd w:id="28"/>
      <w:bookmarkStart w:id="29" w:name="_Toc26644663"/>
      <w:r>
        <w:rPr>
          <w:rFonts w:hint="eastAsia"/>
          <w:b/>
          <w:sz w:val="28"/>
          <w:szCs w:val="28"/>
        </w:rPr>
        <w:t xml:space="preserve"> </w:t>
      </w:r>
      <w:bookmarkEnd w:id="29"/>
      <w:bookmarkStart w:id="30" w:name="_Toc15099"/>
      <w:bookmarkEnd w:id="30"/>
      <w:r>
        <w:rPr>
          <w:rFonts w:hint="eastAsia"/>
          <w:b/>
          <w:sz w:val="28"/>
          <w:szCs w:val="28"/>
        </w:rPr>
        <w:t>采购合同文本</w:t>
      </w:r>
    </w:p>
    <w:p w14:paraId="5EF987C4">
      <w:pPr>
        <w:spacing w:line="360" w:lineRule="auto"/>
        <w:ind w:firstLine="435"/>
        <w:jc w:val="center"/>
        <w:rPr>
          <w:rFonts w:hint="eastAsia"/>
        </w:rPr>
      </w:pPr>
      <w:r>
        <w:rPr>
          <w:rFonts w:hint="eastAsia"/>
          <w:b/>
          <w:bCs/>
          <w:sz w:val="24"/>
          <w:szCs w:val="24"/>
          <w:highlight w:val="yellow"/>
        </w:rPr>
        <w:t>（此为合同格式模板，具体以实际签订为准）</w:t>
      </w:r>
    </w:p>
    <w:p w14:paraId="06B3E138">
      <w:pPr>
        <w:spacing w:line="360" w:lineRule="auto"/>
        <w:ind w:firstLine="435"/>
        <w:rPr>
          <w:rFonts w:hint="eastAsia"/>
          <w:sz w:val="24"/>
          <w:szCs w:val="24"/>
        </w:rPr>
      </w:pPr>
      <w:r>
        <w:rPr>
          <w:rFonts w:hint="eastAsia"/>
          <w:sz w:val="24"/>
          <w:szCs w:val="24"/>
        </w:rPr>
        <w:t>（以下简称“甲方”）和（以下简称“乙方”）按照征集公告确定的事项签订本合同。</w:t>
      </w:r>
    </w:p>
    <w:p w14:paraId="41FA79AA">
      <w:pPr>
        <w:spacing w:line="360" w:lineRule="auto"/>
        <w:ind w:firstLine="435"/>
        <w:rPr>
          <w:rFonts w:hint="eastAsia"/>
          <w:sz w:val="24"/>
          <w:szCs w:val="24"/>
        </w:rPr>
      </w:pPr>
      <w:r>
        <w:rPr>
          <w:rFonts w:hint="eastAsia"/>
          <w:sz w:val="24"/>
          <w:szCs w:val="24"/>
        </w:rPr>
        <w:t>根据《中华人民共和国民法典》、《中华人民共和国政府采购法》、中华人民共和国财政部令第110号《政府采购框架协议采购方式管理暂行办法》等相关法律、法规、政策之规定，按照平等、自愿、公平和诚实信用的原则，经甲方和乙方协商一致，约定以下合同条款，以兹共同遵守、全面履行。</w:t>
      </w:r>
    </w:p>
    <w:p w14:paraId="71361DD7">
      <w:pPr>
        <w:spacing w:line="360" w:lineRule="auto"/>
        <w:ind w:firstLine="435"/>
        <w:rPr>
          <w:rFonts w:hint="eastAsia"/>
          <w:b/>
          <w:bCs/>
          <w:sz w:val="24"/>
          <w:szCs w:val="24"/>
        </w:rPr>
      </w:pPr>
      <w:r>
        <w:rPr>
          <w:rFonts w:hint="eastAsia"/>
          <w:b/>
          <w:bCs/>
          <w:sz w:val="24"/>
          <w:szCs w:val="24"/>
        </w:rPr>
        <w:t>一、服务名称及内容</w:t>
      </w:r>
    </w:p>
    <w:p w14:paraId="18C0A66E">
      <w:pPr>
        <w:spacing w:line="360" w:lineRule="auto"/>
        <w:ind w:firstLine="435"/>
        <w:rPr>
          <w:rFonts w:hint="eastAsia"/>
          <w:sz w:val="24"/>
          <w:szCs w:val="24"/>
        </w:rPr>
      </w:pPr>
      <w:r>
        <w:rPr>
          <w:rFonts w:hint="eastAsia"/>
          <w:sz w:val="24"/>
          <w:szCs w:val="24"/>
        </w:rPr>
        <w:t>本合同采购服务名称和内容：马鞍山市公安局集约化运维网络线路采购。</w:t>
      </w:r>
    </w:p>
    <w:tbl>
      <w:tblPr>
        <w:tblStyle w:val="12"/>
        <w:tblW w:w="7851" w:type="dxa"/>
        <w:tblInd w:w="303" w:type="dxa"/>
        <w:tblLayout w:type="fixed"/>
        <w:tblCellMar>
          <w:top w:w="0" w:type="dxa"/>
          <w:left w:w="108" w:type="dxa"/>
          <w:bottom w:w="0" w:type="dxa"/>
          <w:right w:w="108" w:type="dxa"/>
        </w:tblCellMar>
      </w:tblPr>
      <w:tblGrid>
        <w:gridCol w:w="1680"/>
        <w:gridCol w:w="2280"/>
        <w:gridCol w:w="1200"/>
        <w:gridCol w:w="1583"/>
        <w:gridCol w:w="1108"/>
      </w:tblGrid>
      <w:tr w14:paraId="0649BDF0">
        <w:tblPrEx>
          <w:tblCellMar>
            <w:top w:w="0" w:type="dxa"/>
            <w:left w:w="108" w:type="dxa"/>
            <w:bottom w:w="0" w:type="dxa"/>
            <w:right w:w="108" w:type="dxa"/>
          </w:tblCellMar>
        </w:tblPrEx>
        <w:trPr>
          <w:trHeight w:val="37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7777161C">
            <w:pPr>
              <w:widowControl/>
              <w:jc w:val="center"/>
              <w:textAlignment w:val="center"/>
              <w:rPr>
                <w:b/>
                <w:bCs/>
                <w:color w:val="000000"/>
                <w:sz w:val="28"/>
                <w:szCs w:val="28"/>
              </w:rPr>
            </w:pPr>
            <w:r>
              <w:rPr>
                <w:rFonts w:hint="eastAsia"/>
                <w:b/>
                <w:bCs/>
                <w:color w:val="000000"/>
                <w:kern w:val="0"/>
                <w:sz w:val="28"/>
                <w:szCs w:val="28"/>
              </w:rPr>
              <w:t>线路类型</w:t>
            </w:r>
          </w:p>
        </w:tc>
        <w:tc>
          <w:tcPr>
            <w:tcW w:w="2280" w:type="dxa"/>
            <w:tcBorders>
              <w:top w:val="single" w:color="000000" w:sz="4" w:space="0"/>
              <w:left w:val="nil"/>
              <w:bottom w:val="single" w:color="000000" w:sz="4" w:space="0"/>
              <w:right w:val="single" w:color="000000" w:sz="4" w:space="0"/>
            </w:tcBorders>
            <w:vAlign w:val="center"/>
          </w:tcPr>
          <w:p w14:paraId="495D0D97">
            <w:pPr>
              <w:widowControl/>
              <w:jc w:val="center"/>
              <w:textAlignment w:val="center"/>
              <w:rPr>
                <w:b/>
                <w:bCs/>
                <w:color w:val="000000"/>
                <w:sz w:val="28"/>
                <w:szCs w:val="28"/>
              </w:rPr>
            </w:pPr>
            <w:r>
              <w:rPr>
                <w:rFonts w:hint="eastAsia"/>
                <w:b/>
                <w:bCs/>
                <w:color w:val="000000"/>
                <w:kern w:val="0"/>
                <w:sz w:val="28"/>
                <w:szCs w:val="28"/>
              </w:rPr>
              <w:t>网络接入方式</w:t>
            </w:r>
          </w:p>
        </w:tc>
        <w:tc>
          <w:tcPr>
            <w:tcW w:w="1200" w:type="dxa"/>
            <w:tcBorders>
              <w:top w:val="single" w:color="000000" w:sz="4" w:space="0"/>
              <w:left w:val="nil"/>
              <w:bottom w:val="single" w:color="000000" w:sz="4" w:space="0"/>
              <w:right w:val="single" w:color="000000" w:sz="4" w:space="0"/>
            </w:tcBorders>
            <w:vAlign w:val="center"/>
          </w:tcPr>
          <w:p w14:paraId="0AD55592">
            <w:pPr>
              <w:widowControl/>
              <w:jc w:val="center"/>
              <w:textAlignment w:val="center"/>
              <w:rPr>
                <w:b/>
                <w:bCs/>
                <w:color w:val="000000"/>
                <w:sz w:val="28"/>
                <w:szCs w:val="28"/>
              </w:rPr>
            </w:pPr>
            <w:r>
              <w:rPr>
                <w:rFonts w:hint="eastAsia"/>
                <w:b/>
                <w:bCs/>
                <w:color w:val="000000"/>
                <w:kern w:val="0"/>
                <w:sz w:val="28"/>
                <w:szCs w:val="28"/>
              </w:rPr>
              <w:t>带宽</w:t>
            </w:r>
          </w:p>
        </w:tc>
        <w:tc>
          <w:tcPr>
            <w:tcW w:w="1583" w:type="dxa"/>
            <w:tcBorders>
              <w:top w:val="single" w:color="000000" w:sz="4" w:space="0"/>
              <w:left w:val="nil"/>
              <w:bottom w:val="single" w:color="000000" w:sz="4" w:space="0"/>
              <w:right w:val="single" w:color="000000" w:sz="4" w:space="0"/>
            </w:tcBorders>
            <w:vAlign w:val="center"/>
          </w:tcPr>
          <w:p w14:paraId="1DEB7C77">
            <w:pPr>
              <w:widowControl/>
              <w:autoSpaceDE w:val="0"/>
              <w:spacing w:line="300" w:lineRule="exact"/>
              <w:jc w:val="center"/>
              <w:textAlignment w:val="center"/>
              <w:rPr>
                <w:b/>
                <w:bCs/>
                <w:color w:val="000000"/>
                <w:sz w:val="28"/>
                <w:szCs w:val="28"/>
              </w:rPr>
            </w:pPr>
            <w:r>
              <w:rPr>
                <w:rFonts w:hint="eastAsia"/>
                <w:b/>
                <w:bCs/>
                <w:color w:val="000000"/>
                <w:kern w:val="0"/>
                <w:sz w:val="28"/>
                <w:szCs w:val="28"/>
              </w:rPr>
              <w:t>基准定价/元/月</w:t>
            </w:r>
          </w:p>
        </w:tc>
        <w:tc>
          <w:tcPr>
            <w:tcW w:w="1108" w:type="dxa"/>
            <w:tcBorders>
              <w:top w:val="single" w:color="000000" w:sz="4" w:space="0"/>
              <w:left w:val="nil"/>
              <w:bottom w:val="single" w:color="000000" w:sz="4" w:space="0"/>
              <w:right w:val="single" w:color="000000" w:sz="4" w:space="0"/>
            </w:tcBorders>
            <w:vAlign w:val="center"/>
          </w:tcPr>
          <w:p w14:paraId="617D5F8D">
            <w:pPr>
              <w:widowControl/>
              <w:jc w:val="center"/>
              <w:textAlignment w:val="center"/>
              <w:rPr>
                <w:color w:val="000000"/>
                <w:sz w:val="24"/>
                <w:szCs w:val="24"/>
              </w:rPr>
            </w:pPr>
            <w:r>
              <w:rPr>
                <w:rFonts w:hint="eastAsia"/>
                <w:b/>
                <w:color w:val="000000"/>
                <w:kern w:val="0"/>
                <w:sz w:val="28"/>
                <w:szCs w:val="28"/>
              </w:rPr>
              <w:t>备注</w:t>
            </w:r>
          </w:p>
        </w:tc>
      </w:tr>
      <w:tr w14:paraId="07D61B89">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5D4C7EAC">
            <w:pPr>
              <w:widowControl/>
              <w:jc w:val="center"/>
              <w:textAlignment w:val="center"/>
              <w:rPr>
                <w:color w:val="000000"/>
                <w:sz w:val="24"/>
                <w:szCs w:val="24"/>
              </w:rPr>
            </w:pPr>
            <w:r>
              <w:rPr>
                <w:rFonts w:hint="eastAsia"/>
                <w:bCs/>
                <w:color w:val="000000"/>
                <w:kern w:val="0"/>
                <w:sz w:val="24"/>
                <w:szCs w:val="24"/>
              </w:rPr>
              <w:t>数据（语音）中继线(市内)</w:t>
            </w:r>
          </w:p>
        </w:tc>
        <w:tc>
          <w:tcPr>
            <w:tcW w:w="2280" w:type="dxa"/>
            <w:tcBorders>
              <w:top w:val="single" w:color="000000" w:sz="4" w:space="0"/>
              <w:left w:val="nil"/>
              <w:bottom w:val="single" w:color="000000" w:sz="4" w:space="0"/>
              <w:right w:val="single" w:color="000000" w:sz="4" w:space="0"/>
            </w:tcBorders>
            <w:vAlign w:val="center"/>
          </w:tcPr>
          <w:p w14:paraId="16FC9BF9">
            <w:pPr>
              <w:widowControl/>
              <w:jc w:val="center"/>
              <w:textAlignment w:val="center"/>
              <w:rPr>
                <w:color w:val="000000"/>
                <w:sz w:val="24"/>
                <w:szCs w:val="24"/>
              </w:rPr>
            </w:pPr>
            <w:r>
              <w:rPr>
                <w:rFonts w:hint="eastAsia"/>
                <w:bCs/>
                <w:color w:val="000000"/>
                <w:kern w:val="0"/>
                <w:sz w:val="24"/>
                <w:szCs w:val="24"/>
              </w:rPr>
              <w:t>视频专网（PON接入单光猫）</w:t>
            </w:r>
          </w:p>
        </w:tc>
        <w:tc>
          <w:tcPr>
            <w:tcW w:w="1200" w:type="dxa"/>
            <w:tcBorders>
              <w:top w:val="single" w:color="000000" w:sz="4" w:space="0"/>
              <w:left w:val="nil"/>
              <w:bottom w:val="single" w:color="000000" w:sz="4" w:space="0"/>
              <w:right w:val="single" w:color="000000" w:sz="4" w:space="0"/>
            </w:tcBorders>
            <w:vAlign w:val="center"/>
          </w:tcPr>
          <w:p w14:paraId="5C438AF5">
            <w:pPr>
              <w:widowControl/>
              <w:jc w:val="center"/>
              <w:textAlignment w:val="center"/>
              <w:rPr>
                <w:color w:val="000000"/>
                <w:sz w:val="24"/>
                <w:szCs w:val="24"/>
              </w:rPr>
            </w:pPr>
            <w:r>
              <w:rPr>
                <w:rFonts w:hint="eastAsia"/>
                <w:bCs/>
                <w:color w:val="000000"/>
                <w:kern w:val="0"/>
                <w:sz w:val="24"/>
                <w:szCs w:val="24"/>
              </w:rPr>
              <w:t>100</w:t>
            </w:r>
          </w:p>
        </w:tc>
        <w:tc>
          <w:tcPr>
            <w:tcW w:w="1583" w:type="dxa"/>
            <w:tcBorders>
              <w:top w:val="single" w:color="000000" w:sz="4" w:space="0"/>
              <w:left w:val="nil"/>
              <w:bottom w:val="single" w:color="000000" w:sz="4" w:space="0"/>
              <w:right w:val="single" w:color="000000" w:sz="4" w:space="0"/>
            </w:tcBorders>
            <w:vAlign w:val="center"/>
          </w:tcPr>
          <w:p w14:paraId="38067586">
            <w:pPr>
              <w:widowControl/>
              <w:jc w:val="center"/>
              <w:textAlignment w:val="center"/>
              <w:rPr>
                <w:color w:val="000000"/>
                <w:sz w:val="24"/>
                <w:szCs w:val="24"/>
              </w:rPr>
            </w:pPr>
            <w:r>
              <w:rPr>
                <w:rFonts w:hint="eastAsia"/>
                <w:bCs/>
                <w:color w:val="000000"/>
                <w:kern w:val="0"/>
                <w:sz w:val="24"/>
                <w:szCs w:val="24"/>
              </w:rPr>
              <w:t>850</w:t>
            </w:r>
          </w:p>
        </w:tc>
        <w:tc>
          <w:tcPr>
            <w:tcW w:w="1108" w:type="dxa"/>
            <w:tcBorders>
              <w:top w:val="single" w:color="000000" w:sz="4" w:space="0"/>
              <w:left w:val="nil"/>
              <w:bottom w:val="single" w:color="000000" w:sz="4" w:space="0"/>
              <w:right w:val="single" w:color="000000" w:sz="4" w:space="0"/>
            </w:tcBorders>
            <w:vAlign w:val="center"/>
          </w:tcPr>
          <w:p w14:paraId="3A46B579">
            <w:pPr>
              <w:jc w:val="center"/>
              <w:rPr>
                <w:color w:val="FF0000"/>
                <w:sz w:val="24"/>
                <w:szCs w:val="24"/>
              </w:rPr>
            </w:pPr>
          </w:p>
        </w:tc>
      </w:tr>
      <w:tr w14:paraId="18956F4F">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28498959">
            <w:pPr>
              <w:widowControl/>
              <w:jc w:val="center"/>
              <w:textAlignment w:val="center"/>
              <w:rPr>
                <w:color w:val="000000"/>
                <w:sz w:val="24"/>
                <w:szCs w:val="24"/>
              </w:rPr>
            </w:pPr>
            <w:r>
              <w:rPr>
                <w:rFonts w:hint="eastAsia"/>
                <w:bCs/>
                <w:color w:val="000000"/>
                <w:kern w:val="0"/>
                <w:sz w:val="24"/>
                <w:szCs w:val="24"/>
              </w:rPr>
              <w:t>财政数据专线(市内)</w:t>
            </w:r>
          </w:p>
        </w:tc>
        <w:tc>
          <w:tcPr>
            <w:tcW w:w="2280" w:type="dxa"/>
            <w:tcBorders>
              <w:top w:val="single" w:color="000000" w:sz="4" w:space="0"/>
              <w:left w:val="nil"/>
              <w:bottom w:val="single" w:color="000000" w:sz="4" w:space="0"/>
              <w:right w:val="single" w:color="000000" w:sz="4" w:space="0"/>
            </w:tcBorders>
            <w:vAlign w:val="center"/>
          </w:tcPr>
          <w:p w14:paraId="66413B50">
            <w:pPr>
              <w:widowControl/>
              <w:jc w:val="center"/>
              <w:textAlignment w:val="center"/>
              <w:rPr>
                <w:color w:val="000000"/>
                <w:sz w:val="24"/>
                <w:szCs w:val="24"/>
              </w:rPr>
            </w:pPr>
            <w:r>
              <w:rPr>
                <w:rFonts w:hint="eastAsia"/>
                <w:bCs/>
                <w:color w:val="000000"/>
                <w:kern w:val="0"/>
                <w:sz w:val="24"/>
                <w:szCs w:val="24"/>
              </w:rPr>
              <w:t>财政专线（PON接入单光猫）</w:t>
            </w:r>
          </w:p>
        </w:tc>
        <w:tc>
          <w:tcPr>
            <w:tcW w:w="1200" w:type="dxa"/>
            <w:tcBorders>
              <w:top w:val="single" w:color="000000" w:sz="4" w:space="0"/>
              <w:left w:val="nil"/>
              <w:bottom w:val="single" w:color="000000" w:sz="4" w:space="0"/>
              <w:right w:val="single" w:color="000000" w:sz="4" w:space="0"/>
            </w:tcBorders>
            <w:vAlign w:val="center"/>
          </w:tcPr>
          <w:p w14:paraId="240F223A">
            <w:pPr>
              <w:widowControl/>
              <w:jc w:val="center"/>
              <w:textAlignment w:val="center"/>
              <w:rPr>
                <w:color w:val="000000"/>
                <w:sz w:val="24"/>
                <w:szCs w:val="24"/>
              </w:rPr>
            </w:pPr>
            <w:r>
              <w:rPr>
                <w:rFonts w:hint="eastAsia"/>
                <w:bCs/>
                <w:color w:val="000000"/>
                <w:kern w:val="0"/>
                <w:sz w:val="24"/>
                <w:szCs w:val="24"/>
              </w:rPr>
              <w:t>100M</w:t>
            </w:r>
          </w:p>
        </w:tc>
        <w:tc>
          <w:tcPr>
            <w:tcW w:w="1583" w:type="dxa"/>
            <w:tcBorders>
              <w:top w:val="single" w:color="000000" w:sz="4" w:space="0"/>
              <w:left w:val="nil"/>
              <w:bottom w:val="single" w:color="000000" w:sz="4" w:space="0"/>
              <w:right w:val="single" w:color="000000" w:sz="4" w:space="0"/>
            </w:tcBorders>
            <w:vAlign w:val="center"/>
          </w:tcPr>
          <w:p w14:paraId="3B530D92">
            <w:pPr>
              <w:widowControl/>
              <w:jc w:val="center"/>
              <w:textAlignment w:val="center"/>
              <w:rPr>
                <w:color w:val="000000"/>
                <w:sz w:val="24"/>
                <w:szCs w:val="24"/>
              </w:rPr>
            </w:pPr>
            <w:r>
              <w:rPr>
                <w:rFonts w:hint="eastAsia"/>
                <w:bCs/>
                <w:color w:val="000000"/>
                <w:kern w:val="0"/>
                <w:sz w:val="24"/>
                <w:szCs w:val="24"/>
              </w:rPr>
              <w:t>100</w:t>
            </w:r>
          </w:p>
        </w:tc>
        <w:tc>
          <w:tcPr>
            <w:tcW w:w="1108" w:type="dxa"/>
            <w:tcBorders>
              <w:top w:val="single" w:color="000000" w:sz="4" w:space="0"/>
              <w:left w:val="nil"/>
              <w:bottom w:val="single" w:color="000000" w:sz="4" w:space="0"/>
              <w:right w:val="single" w:color="000000" w:sz="4" w:space="0"/>
            </w:tcBorders>
            <w:vAlign w:val="center"/>
          </w:tcPr>
          <w:p w14:paraId="600CFFF3">
            <w:pPr>
              <w:jc w:val="center"/>
              <w:rPr>
                <w:color w:val="FF0000"/>
                <w:sz w:val="24"/>
                <w:szCs w:val="24"/>
              </w:rPr>
            </w:pPr>
          </w:p>
        </w:tc>
      </w:tr>
      <w:tr w14:paraId="633AA08B">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7283A91E">
            <w:pPr>
              <w:widowControl/>
              <w:jc w:val="center"/>
              <w:textAlignment w:val="center"/>
              <w:rPr>
                <w:color w:val="000000"/>
                <w:sz w:val="24"/>
                <w:szCs w:val="24"/>
              </w:rPr>
            </w:pPr>
            <w:r>
              <w:rPr>
                <w:rFonts w:hint="eastAsia"/>
                <w:bCs/>
                <w:color w:val="000000"/>
                <w:kern w:val="0"/>
                <w:sz w:val="24"/>
                <w:szCs w:val="24"/>
              </w:rPr>
              <w:t>互联网专线</w:t>
            </w:r>
          </w:p>
        </w:tc>
        <w:tc>
          <w:tcPr>
            <w:tcW w:w="2280" w:type="dxa"/>
            <w:tcBorders>
              <w:top w:val="single" w:color="000000" w:sz="4" w:space="0"/>
              <w:left w:val="nil"/>
              <w:bottom w:val="single" w:color="000000" w:sz="4" w:space="0"/>
              <w:right w:val="single" w:color="000000" w:sz="4" w:space="0"/>
            </w:tcBorders>
            <w:vAlign w:val="center"/>
          </w:tcPr>
          <w:p w14:paraId="7EA1E94B">
            <w:pPr>
              <w:widowControl/>
              <w:jc w:val="center"/>
              <w:textAlignment w:val="center"/>
              <w:rPr>
                <w:color w:val="000000"/>
                <w:sz w:val="24"/>
                <w:szCs w:val="24"/>
              </w:rPr>
            </w:pPr>
            <w:r>
              <w:rPr>
                <w:rFonts w:hint="eastAsia"/>
                <w:bCs/>
                <w:color w:val="000000"/>
                <w:kern w:val="0"/>
                <w:sz w:val="24"/>
                <w:szCs w:val="24"/>
              </w:rPr>
              <w:t>互联网（PON接入单光猫）</w:t>
            </w:r>
          </w:p>
        </w:tc>
        <w:tc>
          <w:tcPr>
            <w:tcW w:w="1200" w:type="dxa"/>
            <w:tcBorders>
              <w:top w:val="single" w:color="000000" w:sz="4" w:space="0"/>
              <w:left w:val="nil"/>
              <w:bottom w:val="single" w:color="000000" w:sz="4" w:space="0"/>
              <w:right w:val="single" w:color="000000" w:sz="4" w:space="0"/>
            </w:tcBorders>
            <w:vAlign w:val="center"/>
          </w:tcPr>
          <w:p w14:paraId="4A7C4150">
            <w:pPr>
              <w:widowControl/>
              <w:jc w:val="center"/>
              <w:textAlignment w:val="center"/>
              <w:rPr>
                <w:color w:val="000000"/>
                <w:sz w:val="24"/>
                <w:szCs w:val="24"/>
              </w:rPr>
            </w:pPr>
            <w:r>
              <w:rPr>
                <w:rFonts w:hint="eastAsia"/>
                <w:bCs/>
                <w:color w:val="000000"/>
                <w:kern w:val="0"/>
                <w:sz w:val="24"/>
                <w:szCs w:val="24"/>
              </w:rPr>
              <w:t>50M</w:t>
            </w:r>
          </w:p>
        </w:tc>
        <w:tc>
          <w:tcPr>
            <w:tcW w:w="1583" w:type="dxa"/>
            <w:tcBorders>
              <w:top w:val="single" w:color="000000" w:sz="4" w:space="0"/>
              <w:left w:val="nil"/>
              <w:bottom w:val="single" w:color="000000" w:sz="4" w:space="0"/>
              <w:right w:val="single" w:color="000000" w:sz="4" w:space="0"/>
            </w:tcBorders>
            <w:vAlign w:val="center"/>
          </w:tcPr>
          <w:p w14:paraId="631FA9CA">
            <w:pPr>
              <w:widowControl/>
              <w:jc w:val="center"/>
              <w:textAlignment w:val="center"/>
              <w:rPr>
                <w:color w:val="000000"/>
                <w:sz w:val="24"/>
                <w:szCs w:val="24"/>
              </w:rPr>
            </w:pPr>
            <w:r>
              <w:rPr>
                <w:rFonts w:hint="eastAsia"/>
                <w:bCs/>
                <w:color w:val="000000"/>
                <w:kern w:val="0"/>
                <w:sz w:val="24"/>
                <w:szCs w:val="24"/>
              </w:rPr>
              <w:t>400</w:t>
            </w:r>
          </w:p>
        </w:tc>
        <w:tc>
          <w:tcPr>
            <w:tcW w:w="1108" w:type="dxa"/>
            <w:tcBorders>
              <w:top w:val="single" w:color="000000" w:sz="4" w:space="0"/>
              <w:left w:val="nil"/>
              <w:bottom w:val="single" w:color="000000" w:sz="4" w:space="0"/>
              <w:right w:val="single" w:color="000000" w:sz="4" w:space="0"/>
            </w:tcBorders>
            <w:vAlign w:val="center"/>
          </w:tcPr>
          <w:p w14:paraId="2D1BFA26">
            <w:pPr>
              <w:jc w:val="center"/>
              <w:rPr>
                <w:color w:val="FF0000"/>
                <w:sz w:val="24"/>
                <w:szCs w:val="24"/>
              </w:rPr>
            </w:pPr>
          </w:p>
        </w:tc>
      </w:tr>
      <w:tr w14:paraId="746A431B">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59487BC9">
            <w:pPr>
              <w:widowControl/>
              <w:jc w:val="center"/>
              <w:textAlignment w:val="center"/>
              <w:rPr>
                <w:color w:val="000000"/>
                <w:sz w:val="24"/>
                <w:szCs w:val="24"/>
              </w:rPr>
            </w:pPr>
            <w:r>
              <w:rPr>
                <w:rFonts w:hint="eastAsia"/>
                <w:bCs/>
                <w:color w:val="000000"/>
                <w:kern w:val="0"/>
                <w:sz w:val="24"/>
                <w:szCs w:val="24"/>
              </w:rPr>
              <w:t>互联网专线</w:t>
            </w:r>
          </w:p>
        </w:tc>
        <w:tc>
          <w:tcPr>
            <w:tcW w:w="2280" w:type="dxa"/>
            <w:tcBorders>
              <w:top w:val="single" w:color="000000" w:sz="4" w:space="0"/>
              <w:left w:val="nil"/>
              <w:bottom w:val="single" w:color="000000" w:sz="4" w:space="0"/>
              <w:right w:val="single" w:color="000000" w:sz="4" w:space="0"/>
            </w:tcBorders>
            <w:vAlign w:val="center"/>
          </w:tcPr>
          <w:p w14:paraId="63B3A674">
            <w:pPr>
              <w:widowControl/>
              <w:jc w:val="center"/>
              <w:textAlignment w:val="center"/>
              <w:rPr>
                <w:color w:val="000000"/>
                <w:sz w:val="24"/>
                <w:szCs w:val="24"/>
              </w:rPr>
            </w:pPr>
            <w:r>
              <w:rPr>
                <w:rFonts w:hint="eastAsia"/>
                <w:bCs/>
                <w:color w:val="000000"/>
                <w:kern w:val="0"/>
                <w:sz w:val="24"/>
                <w:szCs w:val="24"/>
              </w:rPr>
              <w:t>互联网（PON接入单光猫）</w:t>
            </w:r>
          </w:p>
        </w:tc>
        <w:tc>
          <w:tcPr>
            <w:tcW w:w="1200" w:type="dxa"/>
            <w:tcBorders>
              <w:top w:val="single" w:color="000000" w:sz="4" w:space="0"/>
              <w:left w:val="nil"/>
              <w:bottom w:val="single" w:color="000000" w:sz="4" w:space="0"/>
              <w:right w:val="single" w:color="000000" w:sz="4" w:space="0"/>
            </w:tcBorders>
            <w:vAlign w:val="center"/>
          </w:tcPr>
          <w:p w14:paraId="0BF95649">
            <w:pPr>
              <w:widowControl/>
              <w:jc w:val="center"/>
              <w:textAlignment w:val="center"/>
              <w:rPr>
                <w:color w:val="000000"/>
                <w:sz w:val="24"/>
                <w:szCs w:val="24"/>
              </w:rPr>
            </w:pPr>
            <w:r>
              <w:rPr>
                <w:rFonts w:hint="eastAsia"/>
                <w:bCs/>
                <w:color w:val="000000"/>
                <w:kern w:val="0"/>
                <w:sz w:val="24"/>
                <w:szCs w:val="24"/>
              </w:rPr>
              <w:t>100M</w:t>
            </w:r>
          </w:p>
        </w:tc>
        <w:tc>
          <w:tcPr>
            <w:tcW w:w="1583" w:type="dxa"/>
            <w:tcBorders>
              <w:top w:val="single" w:color="000000" w:sz="4" w:space="0"/>
              <w:left w:val="nil"/>
              <w:bottom w:val="single" w:color="000000" w:sz="4" w:space="0"/>
              <w:right w:val="single" w:color="000000" w:sz="4" w:space="0"/>
            </w:tcBorders>
            <w:vAlign w:val="center"/>
          </w:tcPr>
          <w:p w14:paraId="0BC33F78">
            <w:pPr>
              <w:widowControl/>
              <w:jc w:val="center"/>
              <w:textAlignment w:val="center"/>
              <w:rPr>
                <w:color w:val="000000"/>
                <w:sz w:val="24"/>
                <w:szCs w:val="24"/>
              </w:rPr>
            </w:pPr>
            <w:r>
              <w:rPr>
                <w:rFonts w:hint="eastAsia"/>
                <w:bCs/>
                <w:color w:val="000000"/>
                <w:kern w:val="0"/>
                <w:sz w:val="24"/>
                <w:szCs w:val="24"/>
              </w:rPr>
              <w:t>500</w:t>
            </w:r>
          </w:p>
        </w:tc>
        <w:tc>
          <w:tcPr>
            <w:tcW w:w="1108" w:type="dxa"/>
            <w:tcBorders>
              <w:top w:val="single" w:color="000000" w:sz="4" w:space="0"/>
              <w:left w:val="nil"/>
              <w:bottom w:val="single" w:color="000000" w:sz="4" w:space="0"/>
              <w:right w:val="single" w:color="000000" w:sz="4" w:space="0"/>
            </w:tcBorders>
            <w:vAlign w:val="center"/>
          </w:tcPr>
          <w:p w14:paraId="16A2FD43">
            <w:pPr>
              <w:jc w:val="center"/>
              <w:rPr>
                <w:color w:val="FF0000"/>
                <w:sz w:val="24"/>
                <w:szCs w:val="24"/>
              </w:rPr>
            </w:pPr>
          </w:p>
        </w:tc>
      </w:tr>
      <w:tr w14:paraId="471B7847">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3CD9DF01">
            <w:pPr>
              <w:widowControl/>
              <w:jc w:val="center"/>
              <w:textAlignment w:val="center"/>
              <w:rPr>
                <w:color w:val="000000"/>
                <w:sz w:val="24"/>
                <w:szCs w:val="24"/>
              </w:rPr>
            </w:pPr>
            <w:r>
              <w:rPr>
                <w:rFonts w:hint="eastAsia"/>
                <w:bCs/>
                <w:color w:val="000000"/>
                <w:kern w:val="0"/>
                <w:sz w:val="24"/>
                <w:szCs w:val="24"/>
              </w:rPr>
              <w:t>互联网专线</w:t>
            </w:r>
          </w:p>
        </w:tc>
        <w:tc>
          <w:tcPr>
            <w:tcW w:w="2280" w:type="dxa"/>
            <w:tcBorders>
              <w:top w:val="single" w:color="000000" w:sz="4" w:space="0"/>
              <w:left w:val="nil"/>
              <w:bottom w:val="single" w:color="000000" w:sz="4" w:space="0"/>
              <w:right w:val="single" w:color="000000" w:sz="4" w:space="0"/>
            </w:tcBorders>
            <w:vAlign w:val="center"/>
          </w:tcPr>
          <w:p w14:paraId="4FBB349E">
            <w:pPr>
              <w:widowControl/>
              <w:jc w:val="center"/>
              <w:textAlignment w:val="center"/>
              <w:rPr>
                <w:color w:val="000000"/>
                <w:sz w:val="24"/>
                <w:szCs w:val="24"/>
              </w:rPr>
            </w:pPr>
            <w:r>
              <w:rPr>
                <w:rFonts w:hint="eastAsia"/>
                <w:bCs/>
                <w:color w:val="000000"/>
                <w:kern w:val="0"/>
                <w:sz w:val="24"/>
                <w:szCs w:val="24"/>
              </w:rPr>
              <w:t>互联网（PON接入单光猫）</w:t>
            </w:r>
          </w:p>
        </w:tc>
        <w:tc>
          <w:tcPr>
            <w:tcW w:w="1200" w:type="dxa"/>
            <w:tcBorders>
              <w:top w:val="single" w:color="000000" w:sz="4" w:space="0"/>
              <w:left w:val="nil"/>
              <w:bottom w:val="single" w:color="000000" w:sz="4" w:space="0"/>
              <w:right w:val="single" w:color="000000" w:sz="4" w:space="0"/>
            </w:tcBorders>
            <w:vAlign w:val="center"/>
          </w:tcPr>
          <w:p w14:paraId="74113B0B">
            <w:pPr>
              <w:widowControl/>
              <w:jc w:val="center"/>
              <w:textAlignment w:val="center"/>
              <w:rPr>
                <w:color w:val="000000"/>
                <w:sz w:val="24"/>
                <w:szCs w:val="24"/>
              </w:rPr>
            </w:pPr>
            <w:r>
              <w:rPr>
                <w:rFonts w:hint="eastAsia"/>
                <w:bCs/>
                <w:color w:val="000000"/>
                <w:kern w:val="0"/>
                <w:sz w:val="24"/>
                <w:szCs w:val="24"/>
              </w:rPr>
              <w:t>150M</w:t>
            </w:r>
          </w:p>
        </w:tc>
        <w:tc>
          <w:tcPr>
            <w:tcW w:w="1583" w:type="dxa"/>
            <w:tcBorders>
              <w:top w:val="single" w:color="000000" w:sz="4" w:space="0"/>
              <w:left w:val="nil"/>
              <w:bottom w:val="single" w:color="000000" w:sz="4" w:space="0"/>
              <w:right w:val="single" w:color="000000" w:sz="4" w:space="0"/>
            </w:tcBorders>
            <w:vAlign w:val="center"/>
          </w:tcPr>
          <w:p w14:paraId="0DCBC8B3">
            <w:pPr>
              <w:widowControl/>
              <w:jc w:val="center"/>
              <w:textAlignment w:val="center"/>
              <w:rPr>
                <w:color w:val="000000"/>
                <w:sz w:val="24"/>
                <w:szCs w:val="24"/>
              </w:rPr>
            </w:pPr>
            <w:r>
              <w:rPr>
                <w:rFonts w:hint="eastAsia"/>
                <w:bCs/>
                <w:color w:val="000000"/>
                <w:kern w:val="0"/>
                <w:sz w:val="24"/>
                <w:szCs w:val="24"/>
              </w:rPr>
              <w:t>800</w:t>
            </w:r>
          </w:p>
        </w:tc>
        <w:tc>
          <w:tcPr>
            <w:tcW w:w="1108" w:type="dxa"/>
            <w:tcBorders>
              <w:top w:val="single" w:color="000000" w:sz="4" w:space="0"/>
              <w:left w:val="nil"/>
              <w:bottom w:val="single" w:color="000000" w:sz="4" w:space="0"/>
              <w:right w:val="single" w:color="000000" w:sz="4" w:space="0"/>
            </w:tcBorders>
            <w:vAlign w:val="center"/>
          </w:tcPr>
          <w:p w14:paraId="01D8FBD8">
            <w:pPr>
              <w:jc w:val="center"/>
              <w:rPr>
                <w:color w:val="FF0000"/>
                <w:sz w:val="24"/>
                <w:szCs w:val="24"/>
              </w:rPr>
            </w:pPr>
          </w:p>
        </w:tc>
      </w:tr>
      <w:tr w14:paraId="5DF97616">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33791B39">
            <w:pPr>
              <w:widowControl/>
              <w:jc w:val="center"/>
              <w:textAlignment w:val="center"/>
              <w:rPr>
                <w:color w:val="000000"/>
                <w:sz w:val="24"/>
                <w:szCs w:val="24"/>
              </w:rPr>
            </w:pPr>
            <w:r>
              <w:rPr>
                <w:rFonts w:hint="eastAsia"/>
                <w:bCs/>
                <w:color w:val="000000"/>
                <w:kern w:val="0"/>
                <w:sz w:val="24"/>
                <w:szCs w:val="24"/>
              </w:rPr>
              <w:t>互联网专线</w:t>
            </w:r>
          </w:p>
        </w:tc>
        <w:tc>
          <w:tcPr>
            <w:tcW w:w="2280" w:type="dxa"/>
            <w:tcBorders>
              <w:top w:val="single" w:color="000000" w:sz="4" w:space="0"/>
              <w:left w:val="nil"/>
              <w:bottom w:val="single" w:color="000000" w:sz="4" w:space="0"/>
              <w:right w:val="single" w:color="000000" w:sz="4" w:space="0"/>
            </w:tcBorders>
            <w:vAlign w:val="center"/>
          </w:tcPr>
          <w:p w14:paraId="52D38FC6">
            <w:pPr>
              <w:widowControl/>
              <w:jc w:val="center"/>
              <w:textAlignment w:val="center"/>
              <w:rPr>
                <w:color w:val="000000"/>
                <w:sz w:val="24"/>
                <w:szCs w:val="24"/>
              </w:rPr>
            </w:pPr>
            <w:r>
              <w:rPr>
                <w:rFonts w:hint="eastAsia"/>
                <w:bCs/>
                <w:color w:val="000000"/>
                <w:kern w:val="0"/>
                <w:sz w:val="24"/>
                <w:szCs w:val="24"/>
              </w:rPr>
              <w:t>互联网（PON接入单光猫）</w:t>
            </w:r>
          </w:p>
        </w:tc>
        <w:tc>
          <w:tcPr>
            <w:tcW w:w="1200" w:type="dxa"/>
            <w:tcBorders>
              <w:top w:val="single" w:color="000000" w:sz="4" w:space="0"/>
              <w:left w:val="nil"/>
              <w:bottom w:val="single" w:color="000000" w:sz="4" w:space="0"/>
              <w:right w:val="single" w:color="000000" w:sz="4" w:space="0"/>
            </w:tcBorders>
            <w:vAlign w:val="center"/>
          </w:tcPr>
          <w:p w14:paraId="10228E4E">
            <w:pPr>
              <w:widowControl/>
              <w:jc w:val="center"/>
              <w:textAlignment w:val="center"/>
              <w:rPr>
                <w:color w:val="000000"/>
                <w:sz w:val="24"/>
                <w:szCs w:val="24"/>
              </w:rPr>
            </w:pPr>
            <w:r>
              <w:rPr>
                <w:rFonts w:hint="eastAsia"/>
                <w:bCs/>
                <w:color w:val="000000"/>
                <w:kern w:val="0"/>
                <w:sz w:val="24"/>
                <w:szCs w:val="24"/>
              </w:rPr>
              <w:t>200M</w:t>
            </w:r>
          </w:p>
        </w:tc>
        <w:tc>
          <w:tcPr>
            <w:tcW w:w="1583" w:type="dxa"/>
            <w:tcBorders>
              <w:top w:val="single" w:color="000000" w:sz="4" w:space="0"/>
              <w:left w:val="nil"/>
              <w:bottom w:val="single" w:color="000000" w:sz="4" w:space="0"/>
              <w:right w:val="single" w:color="000000" w:sz="4" w:space="0"/>
            </w:tcBorders>
            <w:vAlign w:val="center"/>
          </w:tcPr>
          <w:p w14:paraId="01767F57">
            <w:pPr>
              <w:widowControl/>
              <w:jc w:val="center"/>
              <w:textAlignment w:val="center"/>
              <w:rPr>
                <w:color w:val="000000"/>
                <w:sz w:val="24"/>
                <w:szCs w:val="24"/>
              </w:rPr>
            </w:pPr>
            <w:r>
              <w:rPr>
                <w:rFonts w:hint="eastAsia"/>
                <w:bCs/>
                <w:color w:val="000000"/>
                <w:kern w:val="0"/>
                <w:sz w:val="24"/>
                <w:szCs w:val="24"/>
              </w:rPr>
              <w:t>1500</w:t>
            </w:r>
          </w:p>
        </w:tc>
        <w:tc>
          <w:tcPr>
            <w:tcW w:w="1108" w:type="dxa"/>
            <w:tcBorders>
              <w:top w:val="single" w:color="000000" w:sz="4" w:space="0"/>
              <w:left w:val="nil"/>
              <w:bottom w:val="single" w:color="000000" w:sz="4" w:space="0"/>
              <w:right w:val="single" w:color="000000" w:sz="4" w:space="0"/>
            </w:tcBorders>
            <w:vAlign w:val="center"/>
          </w:tcPr>
          <w:p w14:paraId="7B45CFD2">
            <w:pPr>
              <w:jc w:val="center"/>
              <w:rPr>
                <w:color w:val="FF0000"/>
                <w:sz w:val="24"/>
                <w:szCs w:val="24"/>
              </w:rPr>
            </w:pPr>
          </w:p>
        </w:tc>
      </w:tr>
      <w:tr w14:paraId="3D7DCD51">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7FA2014D">
            <w:pPr>
              <w:widowControl/>
              <w:jc w:val="center"/>
              <w:textAlignment w:val="center"/>
              <w:rPr>
                <w:color w:val="000000"/>
                <w:sz w:val="24"/>
                <w:szCs w:val="24"/>
              </w:rPr>
            </w:pPr>
            <w:r>
              <w:rPr>
                <w:rFonts w:hint="eastAsia"/>
                <w:bCs/>
                <w:color w:val="000000"/>
                <w:kern w:val="0"/>
                <w:sz w:val="24"/>
                <w:szCs w:val="24"/>
              </w:rPr>
              <w:t>互联网专线</w:t>
            </w:r>
          </w:p>
        </w:tc>
        <w:tc>
          <w:tcPr>
            <w:tcW w:w="2280" w:type="dxa"/>
            <w:tcBorders>
              <w:top w:val="single" w:color="000000" w:sz="4" w:space="0"/>
              <w:left w:val="nil"/>
              <w:bottom w:val="single" w:color="000000" w:sz="4" w:space="0"/>
              <w:right w:val="single" w:color="000000" w:sz="4" w:space="0"/>
            </w:tcBorders>
            <w:vAlign w:val="center"/>
          </w:tcPr>
          <w:p w14:paraId="5C960827">
            <w:pPr>
              <w:widowControl/>
              <w:jc w:val="center"/>
              <w:textAlignment w:val="center"/>
              <w:rPr>
                <w:color w:val="000000"/>
                <w:sz w:val="24"/>
                <w:szCs w:val="24"/>
              </w:rPr>
            </w:pPr>
            <w:r>
              <w:rPr>
                <w:rFonts w:hint="eastAsia"/>
                <w:bCs/>
                <w:color w:val="000000"/>
                <w:kern w:val="0"/>
                <w:sz w:val="24"/>
                <w:szCs w:val="24"/>
              </w:rPr>
              <w:t>互联网（PON接入单光猫）</w:t>
            </w:r>
          </w:p>
        </w:tc>
        <w:tc>
          <w:tcPr>
            <w:tcW w:w="1200" w:type="dxa"/>
            <w:tcBorders>
              <w:top w:val="single" w:color="000000" w:sz="4" w:space="0"/>
              <w:left w:val="nil"/>
              <w:bottom w:val="single" w:color="000000" w:sz="4" w:space="0"/>
              <w:right w:val="single" w:color="000000" w:sz="4" w:space="0"/>
            </w:tcBorders>
            <w:vAlign w:val="center"/>
          </w:tcPr>
          <w:p w14:paraId="22FEC34C">
            <w:pPr>
              <w:widowControl/>
              <w:jc w:val="center"/>
              <w:textAlignment w:val="center"/>
              <w:rPr>
                <w:color w:val="000000"/>
                <w:sz w:val="24"/>
                <w:szCs w:val="24"/>
              </w:rPr>
            </w:pPr>
            <w:r>
              <w:rPr>
                <w:rFonts w:hint="eastAsia"/>
                <w:bCs/>
                <w:color w:val="000000"/>
                <w:kern w:val="0"/>
                <w:sz w:val="24"/>
                <w:szCs w:val="24"/>
              </w:rPr>
              <w:t>300M</w:t>
            </w:r>
          </w:p>
        </w:tc>
        <w:tc>
          <w:tcPr>
            <w:tcW w:w="1583" w:type="dxa"/>
            <w:tcBorders>
              <w:top w:val="single" w:color="000000" w:sz="4" w:space="0"/>
              <w:left w:val="nil"/>
              <w:bottom w:val="single" w:color="000000" w:sz="4" w:space="0"/>
              <w:right w:val="single" w:color="000000" w:sz="4" w:space="0"/>
            </w:tcBorders>
            <w:vAlign w:val="center"/>
          </w:tcPr>
          <w:p w14:paraId="57E32A11">
            <w:pPr>
              <w:widowControl/>
              <w:jc w:val="center"/>
              <w:textAlignment w:val="center"/>
              <w:rPr>
                <w:color w:val="000000"/>
                <w:sz w:val="24"/>
                <w:szCs w:val="24"/>
              </w:rPr>
            </w:pPr>
            <w:r>
              <w:rPr>
                <w:rFonts w:hint="eastAsia"/>
                <w:bCs/>
                <w:color w:val="000000"/>
                <w:kern w:val="0"/>
                <w:sz w:val="24"/>
                <w:szCs w:val="24"/>
              </w:rPr>
              <w:t>2000</w:t>
            </w:r>
          </w:p>
        </w:tc>
        <w:tc>
          <w:tcPr>
            <w:tcW w:w="1108" w:type="dxa"/>
            <w:tcBorders>
              <w:top w:val="single" w:color="000000" w:sz="4" w:space="0"/>
              <w:left w:val="nil"/>
              <w:bottom w:val="single" w:color="000000" w:sz="4" w:space="0"/>
              <w:right w:val="single" w:color="000000" w:sz="4" w:space="0"/>
            </w:tcBorders>
            <w:vAlign w:val="center"/>
          </w:tcPr>
          <w:p w14:paraId="75BCCC1F">
            <w:pPr>
              <w:jc w:val="center"/>
              <w:rPr>
                <w:color w:val="FF0000"/>
                <w:sz w:val="24"/>
                <w:szCs w:val="24"/>
              </w:rPr>
            </w:pPr>
          </w:p>
        </w:tc>
      </w:tr>
      <w:tr w14:paraId="2943496D">
        <w:tblPrEx>
          <w:tblCellMar>
            <w:top w:w="0" w:type="dxa"/>
            <w:left w:w="108" w:type="dxa"/>
            <w:bottom w:w="0" w:type="dxa"/>
            <w:right w:w="108" w:type="dxa"/>
          </w:tblCellMar>
        </w:tblPrEx>
        <w:trPr>
          <w:trHeight w:val="85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04F2AFB0">
            <w:pPr>
              <w:widowControl/>
              <w:jc w:val="center"/>
              <w:textAlignment w:val="center"/>
              <w:rPr>
                <w:color w:val="000000"/>
                <w:sz w:val="24"/>
                <w:szCs w:val="24"/>
              </w:rPr>
            </w:pPr>
            <w:r>
              <w:rPr>
                <w:rFonts w:hint="eastAsia"/>
                <w:bCs/>
                <w:color w:val="000000"/>
                <w:kern w:val="0"/>
                <w:sz w:val="24"/>
                <w:szCs w:val="24"/>
              </w:rPr>
              <w:t>数据专线(市内)</w:t>
            </w:r>
          </w:p>
        </w:tc>
        <w:tc>
          <w:tcPr>
            <w:tcW w:w="2280" w:type="dxa"/>
            <w:tcBorders>
              <w:top w:val="single" w:color="000000" w:sz="4" w:space="0"/>
              <w:left w:val="nil"/>
              <w:bottom w:val="single" w:color="000000" w:sz="4" w:space="0"/>
              <w:right w:val="single" w:color="000000" w:sz="4" w:space="0"/>
            </w:tcBorders>
            <w:vAlign w:val="center"/>
          </w:tcPr>
          <w:p w14:paraId="779762DE">
            <w:pPr>
              <w:widowControl/>
              <w:jc w:val="center"/>
              <w:textAlignment w:val="center"/>
              <w:rPr>
                <w:color w:val="000000"/>
                <w:sz w:val="24"/>
                <w:szCs w:val="24"/>
              </w:rPr>
            </w:pPr>
            <w:r>
              <w:rPr>
                <w:rFonts w:hint="eastAsia"/>
                <w:bCs/>
                <w:color w:val="000000"/>
                <w:kern w:val="0"/>
                <w:sz w:val="24"/>
                <w:szCs w:val="24"/>
              </w:rPr>
              <w:t>点对点电路（PON接入单光猫）</w:t>
            </w:r>
          </w:p>
        </w:tc>
        <w:tc>
          <w:tcPr>
            <w:tcW w:w="1200" w:type="dxa"/>
            <w:tcBorders>
              <w:top w:val="single" w:color="000000" w:sz="4" w:space="0"/>
              <w:left w:val="nil"/>
              <w:bottom w:val="single" w:color="000000" w:sz="4" w:space="0"/>
              <w:right w:val="single" w:color="000000" w:sz="4" w:space="0"/>
            </w:tcBorders>
            <w:vAlign w:val="center"/>
          </w:tcPr>
          <w:p w14:paraId="62AAE862">
            <w:pPr>
              <w:widowControl/>
              <w:jc w:val="center"/>
              <w:textAlignment w:val="center"/>
              <w:rPr>
                <w:color w:val="000000"/>
                <w:sz w:val="24"/>
                <w:szCs w:val="24"/>
              </w:rPr>
            </w:pPr>
            <w:r>
              <w:rPr>
                <w:rFonts w:hint="eastAsia"/>
                <w:bCs/>
                <w:color w:val="000000"/>
                <w:kern w:val="0"/>
                <w:sz w:val="24"/>
                <w:szCs w:val="24"/>
              </w:rPr>
              <w:t>100M</w:t>
            </w:r>
          </w:p>
        </w:tc>
        <w:tc>
          <w:tcPr>
            <w:tcW w:w="1583" w:type="dxa"/>
            <w:tcBorders>
              <w:top w:val="single" w:color="000000" w:sz="4" w:space="0"/>
              <w:left w:val="nil"/>
              <w:bottom w:val="single" w:color="000000" w:sz="4" w:space="0"/>
              <w:right w:val="single" w:color="000000" w:sz="4" w:space="0"/>
            </w:tcBorders>
            <w:vAlign w:val="center"/>
          </w:tcPr>
          <w:p w14:paraId="6571173F">
            <w:pPr>
              <w:widowControl/>
              <w:jc w:val="center"/>
              <w:textAlignment w:val="center"/>
              <w:rPr>
                <w:color w:val="000000"/>
                <w:sz w:val="24"/>
                <w:szCs w:val="24"/>
              </w:rPr>
            </w:pPr>
            <w:r>
              <w:rPr>
                <w:rFonts w:hint="eastAsia"/>
                <w:bCs/>
                <w:color w:val="000000"/>
                <w:kern w:val="0"/>
                <w:sz w:val="24"/>
                <w:szCs w:val="24"/>
              </w:rPr>
              <w:t>240</w:t>
            </w:r>
          </w:p>
        </w:tc>
        <w:tc>
          <w:tcPr>
            <w:tcW w:w="1108" w:type="dxa"/>
            <w:tcBorders>
              <w:top w:val="single" w:color="000000" w:sz="4" w:space="0"/>
              <w:left w:val="nil"/>
              <w:bottom w:val="single" w:color="000000" w:sz="4" w:space="0"/>
              <w:right w:val="single" w:color="000000" w:sz="4" w:space="0"/>
            </w:tcBorders>
            <w:vAlign w:val="center"/>
          </w:tcPr>
          <w:p w14:paraId="11D8736F">
            <w:pPr>
              <w:widowControl/>
              <w:jc w:val="center"/>
              <w:textAlignment w:val="center"/>
              <w:rPr>
                <w:color w:val="FF0000"/>
                <w:sz w:val="24"/>
                <w:szCs w:val="24"/>
              </w:rPr>
            </w:pPr>
            <w:r>
              <w:rPr>
                <w:rFonts w:hint="eastAsia"/>
                <w:bCs/>
                <w:color w:val="FF0000"/>
                <w:kern w:val="0"/>
                <w:sz w:val="24"/>
                <w:szCs w:val="24"/>
              </w:rPr>
              <w:t>适用于政务专线、公安业务延伸、视频监控（含道路监控）</w:t>
            </w:r>
          </w:p>
        </w:tc>
      </w:tr>
      <w:tr w14:paraId="314F27A1">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1F4EA481">
            <w:pPr>
              <w:widowControl/>
              <w:jc w:val="center"/>
              <w:textAlignment w:val="center"/>
              <w:rPr>
                <w:color w:val="000000"/>
                <w:sz w:val="24"/>
                <w:szCs w:val="24"/>
              </w:rPr>
            </w:pPr>
            <w:r>
              <w:rPr>
                <w:rFonts w:hint="eastAsia"/>
                <w:bCs/>
                <w:color w:val="000000"/>
                <w:kern w:val="0"/>
                <w:sz w:val="24"/>
                <w:szCs w:val="24"/>
              </w:rPr>
              <w:t>数据专线(市内)</w:t>
            </w:r>
          </w:p>
        </w:tc>
        <w:tc>
          <w:tcPr>
            <w:tcW w:w="2280" w:type="dxa"/>
            <w:tcBorders>
              <w:top w:val="single" w:color="000000" w:sz="4" w:space="0"/>
              <w:left w:val="nil"/>
              <w:bottom w:val="single" w:color="000000" w:sz="4" w:space="0"/>
              <w:right w:val="single" w:color="000000" w:sz="4" w:space="0"/>
            </w:tcBorders>
            <w:vAlign w:val="center"/>
          </w:tcPr>
          <w:p w14:paraId="387705F6">
            <w:pPr>
              <w:widowControl/>
              <w:jc w:val="center"/>
              <w:textAlignment w:val="center"/>
              <w:rPr>
                <w:color w:val="000000"/>
                <w:sz w:val="24"/>
                <w:szCs w:val="24"/>
              </w:rPr>
            </w:pPr>
            <w:r>
              <w:rPr>
                <w:rFonts w:hint="eastAsia"/>
                <w:bCs/>
                <w:color w:val="000000"/>
                <w:kern w:val="0"/>
                <w:sz w:val="24"/>
                <w:szCs w:val="24"/>
              </w:rPr>
              <w:t>点对点电路（PON接入单光猫）</w:t>
            </w:r>
          </w:p>
        </w:tc>
        <w:tc>
          <w:tcPr>
            <w:tcW w:w="1200" w:type="dxa"/>
            <w:tcBorders>
              <w:top w:val="single" w:color="000000" w:sz="4" w:space="0"/>
              <w:left w:val="nil"/>
              <w:bottom w:val="single" w:color="000000" w:sz="4" w:space="0"/>
              <w:right w:val="single" w:color="000000" w:sz="4" w:space="0"/>
            </w:tcBorders>
            <w:vAlign w:val="center"/>
          </w:tcPr>
          <w:p w14:paraId="75B43EF8">
            <w:pPr>
              <w:widowControl/>
              <w:jc w:val="center"/>
              <w:textAlignment w:val="center"/>
              <w:rPr>
                <w:color w:val="000000"/>
                <w:sz w:val="24"/>
                <w:szCs w:val="24"/>
              </w:rPr>
            </w:pPr>
            <w:r>
              <w:rPr>
                <w:rFonts w:hint="eastAsia"/>
                <w:bCs/>
                <w:color w:val="000000"/>
                <w:kern w:val="0"/>
                <w:sz w:val="24"/>
                <w:szCs w:val="24"/>
              </w:rPr>
              <w:t>350M</w:t>
            </w:r>
          </w:p>
        </w:tc>
        <w:tc>
          <w:tcPr>
            <w:tcW w:w="1583" w:type="dxa"/>
            <w:tcBorders>
              <w:top w:val="single" w:color="000000" w:sz="4" w:space="0"/>
              <w:left w:val="nil"/>
              <w:bottom w:val="single" w:color="000000" w:sz="4" w:space="0"/>
              <w:right w:val="single" w:color="000000" w:sz="4" w:space="0"/>
            </w:tcBorders>
            <w:vAlign w:val="center"/>
          </w:tcPr>
          <w:p w14:paraId="1C4B368E">
            <w:pPr>
              <w:widowControl/>
              <w:jc w:val="center"/>
              <w:textAlignment w:val="center"/>
              <w:rPr>
                <w:color w:val="000000"/>
                <w:sz w:val="24"/>
                <w:szCs w:val="24"/>
              </w:rPr>
            </w:pPr>
            <w:r>
              <w:rPr>
                <w:rFonts w:hint="eastAsia"/>
                <w:bCs/>
                <w:color w:val="000000"/>
                <w:kern w:val="0"/>
                <w:sz w:val="24"/>
                <w:szCs w:val="24"/>
              </w:rPr>
              <w:t>500</w:t>
            </w:r>
          </w:p>
        </w:tc>
        <w:tc>
          <w:tcPr>
            <w:tcW w:w="1108" w:type="dxa"/>
            <w:tcBorders>
              <w:top w:val="single" w:color="000000" w:sz="4" w:space="0"/>
              <w:left w:val="nil"/>
              <w:bottom w:val="single" w:color="000000" w:sz="4" w:space="0"/>
              <w:right w:val="single" w:color="000000" w:sz="4" w:space="0"/>
            </w:tcBorders>
            <w:vAlign w:val="center"/>
          </w:tcPr>
          <w:p w14:paraId="09297A0E">
            <w:pPr>
              <w:jc w:val="center"/>
              <w:rPr>
                <w:color w:val="000000"/>
                <w:sz w:val="24"/>
                <w:szCs w:val="24"/>
              </w:rPr>
            </w:pPr>
          </w:p>
        </w:tc>
      </w:tr>
      <w:tr w14:paraId="1496E438">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17A7EE29">
            <w:pPr>
              <w:widowControl/>
              <w:jc w:val="center"/>
              <w:textAlignment w:val="center"/>
              <w:rPr>
                <w:color w:val="000000"/>
                <w:sz w:val="24"/>
                <w:szCs w:val="24"/>
              </w:rPr>
            </w:pPr>
            <w:r>
              <w:rPr>
                <w:rFonts w:hint="eastAsia"/>
                <w:bCs/>
                <w:color w:val="000000"/>
                <w:kern w:val="0"/>
                <w:sz w:val="24"/>
                <w:szCs w:val="24"/>
              </w:rPr>
              <w:t>数据专线(市内)</w:t>
            </w:r>
          </w:p>
        </w:tc>
        <w:tc>
          <w:tcPr>
            <w:tcW w:w="2280" w:type="dxa"/>
            <w:tcBorders>
              <w:top w:val="single" w:color="000000" w:sz="4" w:space="0"/>
              <w:left w:val="nil"/>
              <w:bottom w:val="single" w:color="000000" w:sz="4" w:space="0"/>
              <w:right w:val="single" w:color="000000" w:sz="4" w:space="0"/>
            </w:tcBorders>
            <w:vAlign w:val="center"/>
          </w:tcPr>
          <w:p w14:paraId="4E65C933">
            <w:pPr>
              <w:widowControl/>
              <w:jc w:val="center"/>
              <w:textAlignment w:val="center"/>
              <w:rPr>
                <w:color w:val="000000"/>
                <w:sz w:val="24"/>
                <w:szCs w:val="24"/>
              </w:rPr>
            </w:pPr>
            <w:r>
              <w:rPr>
                <w:rFonts w:hint="eastAsia"/>
                <w:bCs/>
                <w:color w:val="000000"/>
                <w:kern w:val="0"/>
                <w:sz w:val="24"/>
                <w:szCs w:val="24"/>
              </w:rPr>
              <w:t>政务云保密专线（PON接入单光猫）</w:t>
            </w:r>
          </w:p>
        </w:tc>
        <w:tc>
          <w:tcPr>
            <w:tcW w:w="1200" w:type="dxa"/>
            <w:tcBorders>
              <w:top w:val="single" w:color="000000" w:sz="4" w:space="0"/>
              <w:left w:val="nil"/>
              <w:bottom w:val="single" w:color="000000" w:sz="4" w:space="0"/>
              <w:right w:val="single" w:color="000000" w:sz="4" w:space="0"/>
            </w:tcBorders>
            <w:vAlign w:val="center"/>
          </w:tcPr>
          <w:p w14:paraId="63811406">
            <w:pPr>
              <w:widowControl/>
              <w:jc w:val="center"/>
              <w:textAlignment w:val="center"/>
              <w:rPr>
                <w:color w:val="000000"/>
                <w:sz w:val="24"/>
                <w:szCs w:val="24"/>
              </w:rPr>
            </w:pPr>
            <w:r>
              <w:rPr>
                <w:rFonts w:hint="eastAsia"/>
                <w:bCs/>
                <w:color w:val="000000"/>
                <w:kern w:val="0"/>
                <w:sz w:val="24"/>
                <w:szCs w:val="24"/>
              </w:rPr>
              <w:t>500M</w:t>
            </w:r>
          </w:p>
        </w:tc>
        <w:tc>
          <w:tcPr>
            <w:tcW w:w="1583" w:type="dxa"/>
            <w:tcBorders>
              <w:top w:val="single" w:color="000000" w:sz="4" w:space="0"/>
              <w:left w:val="nil"/>
              <w:bottom w:val="single" w:color="000000" w:sz="4" w:space="0"/>
              <w:right w:val="single" w:color="000000" w:sz="4" w:space="0"/>
            </w:tcBorders>
            <w:vAlign w:val="center"/>
          </w:tcPr>
          <w:p w14:paraId="2D9D72EE">
            <w:pPr>
              <w:widowControl/>
              <w:jc w:val="center"/>
              <w:textAlignment w:val="center"/>
              <w:rPr>
                <w:color w:val="000000"/>
                <w:sz w:val="24"/>
                <w:szCs w:val="24"/>
              </w:rPr>
            </w:pPr>
            <w:r>
              <w:rPr>
                <w:rFonts w:hint="eastAsia"/>
                <w:bCs/>
                <w:color w:val="000000"/>
                <w:kern w:val="0"/>
                <w:sz w:val="24"/>
                <w:szCs w:val="24"/>
              </w:rPr>
              <w:t>500</w:t>
            </w:r>
          </w:p>
        </w:tc>
        <w:tc>
          <w:tcPr>
            <w:tcW w:w="1108" w:type="dxa"/>
            <w:tcBorders>
              <w:top w:val="single" w:color="000000" w:sz="4" w:space="0"/>
              <w:left w:val="nil"/>
              <w:bottom w:val="single" w:color="000000" w:sz="4" w:space="0"/>
              <w:right w:val="single" w:color="000000" w:sz="4" w:space="0"/>
            </w:tcBorders>
            <w:vAlign w:val="center"/>
          </w:tcPr>
          <w:p w14:paraId="59AA2AFA">
            <w:pPr>
              <w:jc w:val="center"/>
              <w:rPr>
                <w:color w:val="000000"/>
                <w:sz w:val="24"/>
                <w:szCs w:val="24"/>
              </w:rPr>
            </w:pPr>
          </w:p>
        </w:tc>
      </w:tr>
      <w:tr w14:paraId="3883E4B9">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3C61C308">
            <w:pPr>
              <w:widowControl/>
              <w:jc w:val="center"/>
              <w:textAlignment w:val="center"/>
              <w:rPr>
                <w:color w:val="000000"/>
                <w:sz w:val="24"/>
                <w:szCs w:val="24"/>
              </w:rPr>
            </w:pPr>
            <w:r>
              <w:rPr>
                <w:rFonts w:hint="eastAsia"/>
                <w:bCs/>
                <w:color w:val="000000"/>
                <w:kern w:val="0"/>
                <w:sz w:val="24"/>
                <w:szCs w:val="24"/>
              </w:rPr>
              <w:t>数据专线(市内双路由)</w:t>
            </w:r>
          </w:p>
        </w:tc>
        <w:tc>
          <w:tcPr>
            <w:tcW w:w="2280" w:type="dxa"/>
            <w:tcBorders>
              <w:top w:val="single" w:color="000000" w:sz="4" w:space="0"/>
              <w:left w:val="nil"/>
              <w:bottom w:val="single" w:color="000000" w:sz="4" w:space="0"/>
              <w:right w:val="single" w:color="000000" w:sz="4" w:space="0"/>
            </w:tcBorders>
            <w:vAlign w:val="center"/>
          </w:tcPr>
          <w:p w14:paraId="7FCB1EDC">
            <w:pPr>
              <w:widowControl/>
              <w:jc w:val="center"/>
              <w:textAlignment w:val="center"/>
              <w:rPr>
                <w:color w:val="000000"/>
                <w:sz w:val="24"/>
                <w:szCs w:val="24"/>
              </w:rPr>
            </w:pPr>
            <w:r>
              <w:rPr>
                <w:rFonts w:hint="eastAsia"/>
                <w:bCs/>
                <w:color w:val="000000"/>
                <w:kern w:val="0"/>
                <w:sz w:val="24"/>
                <w:szCs w:val="24"/>
              </w:rPr>
              <w:t>点对点电路（PON接入单光猫）</w:t>
            </w:r>
          </w:p>
        </w:tc>
        <w:tc>
          <w:tcPr>
            <w:tcW w:w="1200" w:type="dxa"/>
            <w:tcBorders>
              <w:top w:val="single" w:color="000000" w:sz="4" w:space="0"/>
              <w:left w:val="nil"/>
              <w:bottom w:val="single" w:color="000000" w:sz="4" w:space="0"/>
              <w:right w:val="single" w:color="000000" w:sz="4" w:space="0"/>
            </w:tcBorders>
            <w:vAlign w:val="center"/>
          </w:tcPr>
          <w:p w14:paraId="790BE6C3">
            <w:pPr>
              <w:widowControl/>
              <w:jc w:val="center"/>
              <w:textAlignment w:val="center"/>
              <w:rPr>
                <w:color w:val="000000"/>
                <w:sz w:val="24"/>
                <w:szCs w:val="24"/>
              </w:rPr>
            </w:pPr>
            <w:r>
              <w:rPr>
                <w:rFonts w:hint="eastAsia"/>
                <w:bCs/>
                <w:color w:val="000000"/>
                <w:kern w:val="0"/>
                <w:sz w:val="24"/>
                <w:szCs w:val="24"/>
              </w:rPr>
              <w:t>200M</w:t>
            </w:r>
          </w:p>
        </w:tc>
        <w:tc>
          <w:tcPr>
            <w:tcW w:w="1583" w:type="dxa"/>
            <w:tcBorders>
              <w:top w:val="single" w:color="000000" w:sz="4" w:space="0"/>
              <w:left w:val="nil"/>
              <w:bottom w:val="single" w:color="000000" w:sz="4" w:space="0"/>
              <w:right w:val="single" w:color="000000" w:sz="4" w:space="0"/>
            </w:tcBorders>
            <w:vAlign w:val="center"/>
          </w:tcPr>
          <w:p w14:paraId="50681391">
            <w:pPr>
              <w:widowControl/>
              <w:jc w:val="center"/>
              <w:textAlignment w:val="center"/>
              <w:rPr>
                <w:color w:val="000000"/>
                <w:sz w:val="24"/>
                <w:szCs w:val="24"/>
              </w:rPr>
            </w:pPr>
            <w:r>
              <w:rPr>
                <w:rFonts w:hint="eastAsia"/>
                <w:bCs/>
                <w:color w:val="000000"/>
                <w:kern w:val="0"/>
                <w:sz w:val="24"/>
                <w:szCs w:val="24"/>
              </w:rPr>
              <w:t>300</w:t>
            </w:r>
          </w:p>
        </w:tc>
        <w:tc>
          <w:tcPr>
            <w:tcW w:w="1108" w:type="dxa"/>
            <w:tcBorders>
              <w:top w:val="single" w:color="000000" w:sz="4" w:space="0"/>
              <w:left w:val="nil"/>
              <w:bottom w:val="single" w:color="000000" w:sz="4" w:space="0"/>
              <w:right w:val="single" w:color="000000" w:sz="4" w:space="0"/>
            </w:tcBorders>
            <w:vAlign w:val="center"/>
          </w:tcPr>
          <w:p w14:paraId="6506F2D8">
            <w:pPr>
              <w:jc w:val="center"/>
              <w:rPr>
                <w:color w:val="FF0000"/>
                <w:sz w:val="24"/>
                <w:szCs w:val="24"/>
              </w:rPr>
            </w:pPr>
          </w:p>
        </w:tc>
      </w:tr>
      <w:tr w14:paraId="71AE777C">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5B33ABBF">
            <w:pPr>
              <w:widowControl/>
              <w:jc w:val="center"/>
              <w:textAlignment w:val="center"/>
              <w:rPr>
                <w:color w:val="000000"/>
                <w:sz w:val="24"/>
                <w:szCs w:val="24"/>
              </w:rPr>
            </w:pPr>
            <w:r>
              <w:rPr>
                <w:rFonts w:hint="eastAsia"/>
                <w:bCs/>
                <w:color w:val="000000"/>
                <w:kern w:val="0"/>
                <w:sz w:val="24"/>
                <w:szCs w:val="24"/>
              </w:rPr>
              <w:t>数据专线(高速)</w:t>
            </w:r>
          </w:p>
        </w:tc>
        <w:tc>
          <w:tcPr>
            <w:tcW w:w="2280" w:type="dxa"/>
            <w:tcBorders>
              <w:top w:val="single" w:color="000000" w:sz="4" w:space="0"/>
              <w:left w:val="nil"/>
              <w:bottom w:val="single" w:color="000000" w:sz="4" w:space="0"/>
              <w:right w:val="single" w:color="000000" w:sz="4" w:space="0"/>
            </w:tcBorders>
            <w:vAlign w:val="center"/>
          </w:tcPr>
          <w:p w14:paraId="3FB32E75">
            <w:pPr>
              <w:widowControl/>
              <w:jc w:val="center"/>
              <w:textAlignment w:val="center"/>
              <w:rPr>
                <w:color w:val="000000"/>
                <w:sz w:val="24"/>
                <w:szCs w:val="24"/>
              </w:rPr>
            </w:pPr>
            <w:r>
              <w:rPr>
                <w:rFonts w:hint="eastAsia"/>
                <w:bCs/>
                <w:color w:val="000000"/>
                <w:kern w:val="0"/>
                <w:sz w:val="24"/>
                <w:szCs w:val="24"/>
              </w:rPr>
              <w:t>点对点电路（PON接入单光猫）</w:t>
            </w:r>
          </w:p>
        </w:tc>
        <w:tc>
          <w:tcPr>
            <w:tcW w:w="1200" w:type="dxa"/>
            <w:tcBorders>
              <w:top w:val="single" w:color="000000" w:sz="4" w:space="0"/>
              <w:left w:val="nil"/>
              <w:bottom w:val="single" w:color="000000" w:sz="4" w:space="0"/>
              <w:right w:val="single" w:color="000000" w:sz="4" w:space="0"/>
            </w:tcBorders>
            <w:vAlign w:val="center"/>
          </w:tcPr>
          <w:p w14:paraId="5001B53F">
            <w:pPr>
              <w:widowControl/>
              <w:jc w:val="center"/>
              <w:textAlignment w:val="center"/>
              <w:rPr>
                <w:color w:val="000000"/>
                <w:sz w:val="24"/>
                <w:szCs w:val="24"/>
              </w:rPr>
            </w:pPr>
            <w:r>
              <w:rPr>
                <w:rFonts w:hint="eastAsia"/>
                <w:bCs/>
                <w:color w:val="000000"/>
                <w:kern w:val="0"/>
                <w:sz w:val="24"/>
                <w:szCs w:val="24"/>
              </w:rPr>
              <w:t>100M</w:t>
            </w:r>
          </w:p>
        </w:tc>
        <w:tc>
          <w:tcPr>
            <w:tcW w:w="1583" w:type="dxa"/>
            <w:tcBorders>
              <w:top w:val="single" w:color="000000" w:sz="4" w:space="0"/>
              <w:left w:val="nil"/>
              <w:bottom w:val="single" w:color="000000" w:sz="4" w:space="0"/>
              <w:right w:val="single" w:color="000000" w:sz="4" w:space="0"/>
            </w:tcBorders>
            <w:vAlign w:val="center"/>
          </w:tcPr>
          <w:p w14:paraId="332415B8">
            <w:pPr>
              <w:widowControl/>
              <w:jc w:val="center"/>
              <w:textAlignment w:val="center"/>
              <w:rPr>
                <w:color w:val="000000"/>
                <w:sz w:val="24"/>
                <w:szCs w:val="24"/>
              </w:rPr>
            </w:pPr>
            <w:r>
              <w:rPr>
                <w:rFonts w:hint="eastAsia"/>
                <w:bCs/>
                <w:color w:val="000000"/>
                <w:kern w:val="0"/>
                <w:sz w:val="24"/>
                <w:szCs w:val="24"/>
              </w:rPr>
              <w:t>300</w:t>
            </w:r>
          </w:p>
        </w:tc>
        <w:tc>
          <w:tcPr>
            <w:tcW w:w="1108" w:type="dxa"/>
            <w:tcBorders>
              <w:top w:val="single" w:color="000000" w:sz="4" w:space="0"/>
              <w:left w:val="nil"/>
              <w:bottom w:val="single" w:color="000000" w:sz="4" w:space="0"/>
              <w:right w:val="single" w:color="000000" w:sz="4" w:space="0"/>
            </w:tcBorders>
            <w:vAlign w:val="center"/>
          </w:tcPr>
          <w:p w14:paraId="44A7AC93">
            <w:pPr>
              <w:widowControl/>
              <w:jc w:val="center"/>
              <w:textAlignment w:val="center"/>
              <w:rPr>
                <w:color w:val="FF0000"/>
                <w:sz w:val="24"/>
                <w:szCs w:val="24"/>
              </w:rPr>
            </w:pPr>
            <w:r>
              <w:rPr>
                <w:rFonts w:hint="eastAsia"/>
                <w:bCs/>
                <w:color w:val="FF0000"/>
                <w:kern w:val="0"/>
                <w:sz w:val="24"/>
                <w:szCs w:val="24"/>
              </w:rPr>
              <w:t>适用于高速和偏远位置</w:t>
            </w:r>
          </w:p>
        </w:tc>
      </w:tr>
      <w:tr w14:paraId="06A125ED">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70658B00">
            <w:pPr>
              <w:widowControl/>
              <w:jc w:val="center"/>
              <w:textAlignment w:val="center"/>
              <w:rPr>
                <w:color w:val="000000"/>
                <w:sz w:val="24"/>
                <w:szCs w:val="24"/>
              </w:rPr>
            </w:pPr>
            <w:r>
              <w:rPr>
                <w:rFonts w:hint="eastAsia"/>
                <w:bCs/>
                <w:color w:val="000000"/>
                <w:kern w:val="0"/>
                <w:sz w:val="24"/>
                <w:szCs w:val="24"/>
              </w:rPr>
              <w:t>固话</w:t>
            </w:r>
          </w:p>
        </w:tc>
        <w:tc>
          <w:tcPr>
            <w:tcW w:w="2280" w:type="dxa"/>
            <w:tcBorders>
              <w:top w:val="single" w:color="000000" w:sz="4" w:space="0"/>
              <w:left w:val="nil"/>
              <w:bottom w:val="single" w:color="000000" w:sz="4" w:space="0"/>
              <w:right w:val="single" w:color="000000" w:sz="4" w:space="0"/>
            </w:tcBorders>
            <w:vAlign w:val="center"/>
          </w:tcPr>
          <w:p w14:paraId="6BBE520B">
            <w:pPr>
              <w:widowControl/>
              <w:jc w:val="center"/>
              <w:textAlignment w:val="center"/>
              <w:rPr>
                <w:color w:val="000000"/>
                <w:sz w:val="24"/>
                <w:szCs w:val="24"/>
              </w:rPr>
            </w:pPr>
            <w:r>
              <w:rPr>
                <w:rFonts w:hint="eastAsia"/>
                <w:bCs/>
                <w:color w:val="000000"/>
                <w:kern w:val="0"/>
                <w:sz w:val="24"/>
                <w:szCs w:val="24"/>
              </w:rPr>
              <w:t>备用中继遴选（MSTP接入）</w:t>
            </w:r>
          </w:p>
        </w:tc>
        <w:tc>
          <w:tcPr>
            <w:tcW w:w="1200" w:type="dxa"/>
            <w:tcBorders>
              <w:top w:val="single" w:color="000000" w:sz="4" w:space="0"/>
              <w:left w:val="nil"/>
              <w:bottom w:val="single" w:color="000000" w:sz="4" w:space="0"/>
              <w:right w:val="single" w:color="000000" w:sz="4" w:space="0"/>
            </w:tcBorders>
            <w:vAlign w:val="center"/>
          </w:tcPr>
          <w:p w14:paraId="55D8DC5A">
            <w:pPr>
              <w:widowControl/>
              <w:jc w:val="center"/>
              <w:textAlignment w:val="center"/>
              <w:rPr>
                <w:color w:val="000000"/>
                <w:sz w:val="24"/>
                <w:szCs w:val="24"/>
              </w:rPr>
            </w:pPr>
            <w:r>
              <w:rPr>
                <w:rFonts w:hint="eastAsia"/>
                <w:bCs/>
                <w:color w:val="000000"/>
                <w:kern w:val="0"/>
                <w:sz w:val="24"/>
                <w:szCs w:val="24"/>
              </w:rPr>
              <w:t>备用中继遴选</w:t>
            </w:r>
          </w:p>
        </w:tc>
        <w:tc>
          <w:tcPr>
            <w:tcW w:w="1583" w:type="dxa"/>
            <w:tcBorders>
              <w:top w:val="single" w:color="000000" w:sz="4" w:space="0"/>
              <w:left w:val="nil"/>
              <w:bottom w:val="single" w:color="000000" w:sz="4" w:space="0"/>
              <w:right w:val="single" w:color="000000" w:sz="4" w:space="0"/>
            </w:tcBorders>
            <w:vAlign w:val="center"/>
          </w:tcPr>
          <w:p w14:paraId="4750924E">
            <w:pPr>
              <w:widowControl/>
              <w:jc w:val="center"/>
              <w:textAlignment w:val="center"/>
              <w:rPr>
                <w:color w:val="000000"/>
                <w:sz w:val="24"/>
                <w:szCs w:val="24"/>
              </w:rPr>
            </w:pPr>
            <w:r>
              <w:rPr>
                <w:rFonts w:hint="eastAsia"/>
                <w:bCs/>
                <w:color w:val="000000"/>
                <w:kern w:val="0"/>
                <w:sz w:val="24"/>
                <w:szCs w:val="24"/>
              </w:rPr>
              <w:t>50</w:t>
            </w:r>
          </w:p>
        </w:tc>
        <w:tc>
          <w:tcPr>
            <w:tcW w:w="1108" w:type="dxa"/>
            <w:tcBorders>
              <w:top w:val="single" w:color="000000" w:sz="4" w:space="0"/>
              <w:left w:val="nil"/>
              <w:bottom w:val="single" w:color="000000" w:sz="4" w:space="0"/>
              <w:right w:val="single" w:color="000000" w:sz="4" w:space="0"/>
            </w:tcBorders>
            <w:vAlign w:val="center"/>
          </w:tcPr>
          <w:p w14:paraId="635603D4">
            <w:pPr>
              <w:jc w:val="center"/>
              <w:rPr>
                <w:color w:val="FF0000"/>
                <w:sz w:val="24"/>
                <w:szCs w:val="24"/>
              </w:rPr>
            </w:pPr>
          </w:p>
        </w:tc>
      </w:tr>
      <w:tr w14:paraId="7FE41687">
        <w:tblPrEx>
          <w:tblCellMar>
            <w:top w:w="0" w:type="dxa"/>
            <w:left w:w="108" w:type="dxa"/>
            <w:bottom w:w="0" w:type="dxa"/>
            <w:right w:w="108" w:type="dxa"/>
          </w:tblCellMar>
        </w:tblPrEx>
        <w:trPr>
          <w:trHeight w:val="285" w:hRule="atLeast"/>
        </w:trPr>
        <w:tc>
          <w:tcPr>
            <w:tcW w:w="1680" w:type="dxa"/>
            <w:tcBorders>
              <w:top w:val="single" w:color="000000" w:sz="4" w:space="0"/>
              <w:left w:val="single" w:color="000000" w:sz="4" w:space="0"/>
              <w:bottom w:val="single" w:color="000000" w:sz="4" w:space="0"/>
              <w:right w:val="single" w:color="000000" w:sz="4" w:space="0"/>
            </w:tcBorders>
            <w:vAlign w:val="center"/>
          </w:tcPr>
          <w:p w14:paraId="0B5509C5">
            <w:pPr>
              <w:widowControl/>
              <w:jc w:val="center"/>
              <w:textAlignment w:val="center"/>
              <w:rPr>
                <w:color w:val="000000"/>
                <w:sz w:val="24"/>
                <w:szCs w:val="24"/>
              </w:rPr>
            </w:pPr>
            <w:r>
              <w:rPr>
                <w:rFonts w:hint="eastAsia"/>
                <w:bCs/>
                <w:color w:val="000000"/>
                <w:kern w:val="0"/>
                <w:sz w:val="24"/>
                <w:szCs w:val="24"/>
              </w:rPr>
              <w:t>互联网</w:t>
            </w:r>
          </w:p>
        </w:tc>
        <w:tc>
          <w:tcPr>
            <w:tcW w:w="2280" w:type="dxa"/>
            <w:tcBorders>
              <w:top w:val="single" w:color="000000" w:sz="4" w:space="0"/>
              <w:left w:val="nil"/>
              <w:bottom w:val="single" w:color="000000" w:sz="4" w:space="0"/>
              <w:right w:val="single" w:color="000000" w:sz="4" w:space="0"/>
            </w:tcBorders>
            <w:vAlign w:val="center"/>
          </w:tcPr>
          <w:p w14:paraId="67BEC858">
            <w:pPr>
              <w:widowControl/>
              <w:jc w:val="center"/>
              <w:textAlignment w:val="center"/>
              <w:rPr>
                <w:color w:val="000000"/>
                <w:sz w:val="24"/>
                <w:szCs w:val="24"/>
              </w:rPr>
            </w:pPr>
            <w:r>
              <w:rPr>
                <w:rFonts w:hint="eastAsia"/>
                <w:bCs/>
                <w:color w:val="000000"/>
                <w:kern w:val="0"/>
                <w:sz w:val="24"/>
                <w:szCs w:val="24"/>
              </w:rPr>
              <w:t>宽带（100M-500M）</w:t>
            </w:r>
          </w:p>
        </w:tc>
        <w:tc>
          <w:tcPr>
            <w:tcW w:w="1200" w:type="dxa"/>
            <w:tcBorders>
              <w:top w:val="single" w:color="000000" w:sz="4" w:space="0"/>
              <w:left w:val="nil"/>
              <w:bottom w:val="single" w:color="000000" w:sz="4" w:space="0"/>
              <w:right w:val="single" w:color="000000" w:sz="4" w:space="0"/>
            </w:tcBorders>
            <w:vAlign w:val="center"/>
          </w:tcPr>
          <w:p w14:paraId="5C11C964">
            <w:pPr>
              <w:widowControl/>
              <w:jc w:val="center"/>
              <w:textAlignment w:val="center"/>
              <w:rPr>
                <w:color w:val="000000"/>
                <w:sz w:val="24"/>
                <w:szCs w:val="24"/>
              </w:rPr>
            </w:pPr>
            <w:r>
              <w:rPr>
                <w:rFonts w:hint="eastAsia"/>
                <w:bCs/>
                <w:color w:val="000000"/>
                <w:kern w:val="0"/>
                <w:sz w:val="24"/>
                <w:szCs w:val="24"/>
              </w:rPr>
              <w:t>500M</w:t>
            </w:r>
          </w:p>
        </w:tc>
        <w:tc>
          <w:tcPr>
            <w:tcW w:w="1583" w:type="dxa"/>
            <w:tcBorders>
              <w:top w:val="single" w:color="000000" w:sz="4" w:space="0"/>
              <w:left w:val="nil"/>
              <w:bottom w:val="single" w:color="000000" w:sz="4" w:space="0"/>
              <w:right w:val="single" w:color="000000" w:sz="4" w:space="0"/>
            </w:tcBorders>
            <w:vAlign w:val="center"/>
          </w:tcPr>
          <w:p w14:paraId="594CC4A1">
            <w:pPr>
              <w:widowControl/>
              <w:jc w:val="center"/>
              <w:textAlignment w:val="center"/>
              <w:rPr>
                <w:color w:val="000000"/>
                <w:sz w:val="24"/>
                <w:szCs w:val="24"/>
              </w:rPr>
            </w:pPr>
            <w:r>
              <w:rPr>
                <w:rFonts w:hint="eastAsia"/>
                <w:bCs/>
                <w:color w:val="000000"/>
                <w:kern w:val="0"/>
                <w:sz w:val="24"/>
                <w:szCs w:val="24"/>
              </w:rPr>
              <w:t>50</w:t>
            </w:r>
          </w:p>
          <w:p w14:paraId="5FB876E6"/>
        </w:tc>
        <w:tc>
          <w:tcPr>
            <w:tcW w:w="1108" w:type="dxa"/>
            <w:tcBorders>
              <w:top w:val="single" w:color="000000" w:sz="4" w:space="0"/>
              <w:left w:val="nil"/>
              <w:bottom w:val="single" w:color="000000" w:sz="4" w:space="0"/>
              <w:right w:val="single" w:color="000000" w:sz="4" w:space="0"/>
            </w:tcBorders>
            <w:vAlign w:val="center"/>
          </w:tcPr>
          <w:p w14:paraId="1063058B">
            <w:pPr>
              <w:jc w:val="center"/>
              <w:rPr>
                <w:color w:val="FF0000"/>
                <w:sz w:val="24"/>
                <w:szCs w:val="24"/>
              </w:rPr>
            </w:pPr>
          </w:p>
        </w:tc>
      </w:tr>
    </w:tbl>
    <w:p w14:paraId="4C72AF78">
      <w:pPr>
        <w:spacing w:line="360" w:lineRule="auto"/>
        <w:ind w:firstLine="435"/>
        <w:rPr>
          <w:rFonts w:hint="eastAsia"/>
          <w:sz w:val="24"/>
          <w:szCs w:val="24"/>
        </w:rPr>
      </w:pPr>
      <w:r>
        <w:rPr>
          <w:rFonts w:hint="eastAsia"/>
          <w:sz w:val="24"/>
          <w:szCs w:val="24"/>
        </w:rPr>
        <w:t xml:space="preserve"> </w:t>
      </w:r>
    </w:p>
    <w:p w14:paraId="0BCF4C41">
      <w:pPr>
        <w:numPr>
          <w:ilvl w:val="0"/>
          <w:numId w:val="4"/>
        </w:numPr>
        <w:spacing w:line="360" w:lineRule="auto"/>
        <w:ind w:firstLine="435"/>
        <w:rPr>
          <w:rFonts w:hint="eastAsia"/>
          <w:b/>
          <w:bCs/>
          <w:sz w:val="24"/>
          <w:szCs w:val="24"/>
        </w:rPr>
      </w:pPr>
      <w:r>
        <w:rPr>
          <w:rFonts w:hint="eastAsia"/>
          <w:b/>
          <w:bCs/>
          <w:sz w:val="24"/>
          <w:szCs w:val="24"/>
        </w:rPr>
        <w:t>组成合同的文件</w:t>
      </w:r>
    </w:p>
    <w:p w14:paraId="7F80CE83">
      <w:pPr>
        <w:spacing w:line="360" w:lineRule="auto"/>
        <w:ind w:firstLine="480" w:firstLineChars="200"/>
        <w:rPr>
          <w:rFonts w:hint="eastAsia"/>
          <w:sz w:val="24"/>
          <w:szCs w:val="24"/>
        </w:rPr>
      </w:pPr>
      <w:r>
        <w:rPr>
          <w:rFonts w:hint="eastAsia"/>
          <w:sz w:val="24"/>
          <w:szCs w:val="24"/>
        </w:rPr>
        <w:t>1.“马鞍山市公安局集约化运维网络线路采购”征集公告及更正公告；</w:t>
      </w:r>
    </w:p>
    <w:p w14:paraId="0D4E040F">
      <w:pPr>
        <w:spacing w:line="360" w:lineRule="auto"/>
        <w:ind w:firstLine="435"/>
        <w:rPr>
          <w:rFonts w:hint="eastAsia"/>
          <w:sz w:val="24"/>
          <w:szCs w:val="24"/>
        </w:rPr>
      </w:pPr>
      <w:r>
        <w:rPr>
          <w:rFonts w:hint="eastAsia"/>
          <w:sz w:val="24"/>
          <w:szCs w:val="24"/>
        </w:rPr>
        <w:t>2.“马鞍山市公安局集约化运维网络线路采购”入围结果公告；</w:t>
      </w:r>
    </w:p>
    <w:p w14:paraId="15213207">
      <w:pPr>
        <w:spacing w:line="360" w:lineRule="auto"/>
        <w:ind w:firstLine="435"/>
        <w:rPr>
          <w:rFonts w:hint="eastAsia"/>
          <w:sz w:val="24"/>
          <w:szCs w:val="24"/>
        </w:rPr>
      </w:pPr>
      <w:r>
        <w:rPr>
          <w:rFonts w:hint="eastAsia"/>
          <w:sz w:val="24"/>
          <w:szCs w:val="24"/>
        </w:rPr>
        <w:t>3.“马鞍山市公安局集约化运维网络线路采购”项目申请文件及书面承诺函；</w:t>
      </w:r>
    </w:p>
    <w:p w14:paraId="5D6314D0">
      <w:pPr>
        <w:spacing w:line="360" w:lineRule="auto"/>
        <w:ind w:firstLine="435"/>
        <w:rPr>
          <w:rFonts w:hint="eastAsia"/>
          <w:sz w:val="24"/>
          <w:szCs w:val="24"/>
        </w:rPr>
      </w:pPr>
      <w:r>
        <w:rPr>
          <w:rFonts w:hint="eastAsia"/>
          <w:sz w:val="24"/>
          <w:szCs w:val="24"/>
        </w:rPr>
        <w:t>4.双方另行签订的补充协议。（本协议签订后，双方可根据实际情况签订租用协议约定租用细节，但不得超出本协议约定范围或与本协定冲突。）</w:t>
      </w:r>
    </w:p>
    <w:p w14:paraId="6B858BD3">
      <w:pPr>
        <w:spacing w:line="360" w:lineRule="auto"/>
        <w:ind w:firstLine="435"/>
        <w:rPr>
          <w:rFonts w:hint="eastAsia"/>
          <w:b/>
          <w:bCs/>
          <w:sz w:val="24"/>
          <w:szCs w:val="24"/>
        </w:rPr>
      </w:pPr>
      <w:r>
        <w:rPr>
          <w:rFonts w:hint="eastAsia"/>
          <w:b/>
          <w:bCs/>
          <w:sz w:val="24"/>
          <w:szCs w:val="24"/>
        </w:rPr>
        <w:t>三、合同金额：协议价格</w:t>
      </w:r>
    </w:p>
    <w:p w14:paraId="3D78DA24">
      <w:pPr>
        <w:spacing w:line="360" w:lineRule="auto"/>
        <w:ind w:firstLine="435"/>
        <w:rPr>
          <w:rFonts w:hint="eastAsia"/>
          <w:sz w:val="24"/>
          <w:szCs w:val="24"/>
        </w:rPr>
      </w:pPr>
      <w:r>
        <w:rPr>
          <w:rFonts w:hint="eastAsia"/>
          <w:sz w:val="24"/>
          <w:szCs w:val="24"/>
        </w:rPr>
        <w:t>成交综合费率：</w:t>
      </w:r>
      <w:r>
        <w:rPr>
          <w:rFonts w:hint="eastAsia"/>
          <w:sz w:val="24"/>
          <w:szCs w:val="24"/>
          <w:u w:val="single"/>
        </w:rPr>
        <w:t xml:space="preserve">     </w:t>
      </w:r>
      <w:r>
        <w:rPr>
          <w:rFonts w:hint="eastAsia"/>
          <w:sz w:val="24"/>
          <w:szCs w:val="24"/>
        </w:rPr>
        <w:t xml:space="preserve"> ％（大写：百分之</w:t>
      </w:r>
      <w:r>
        <w:rPr>
          <w:rFonts w:hint="eastAsia"/>
          <w:sz w:val="24"/>
          <w:szCs w:val="24"/>
          <w:u w:val="single"/>
        </w:rPr>
        <w:t xml:space="preserve">          </w:t>
      </w:r>
      <w:r>
        <w:rPr>
          <w:rFonts w:hint="eastAsia"/>
          <w:sz w:val="24"/>
          <w:szCs w:val="24"/>
        </w:rPr>
        <w:t xml:space="preserve"> ）</w:t>
      </w:r>
    </w:p>
    <w:p w14:paraId="28608C42">
      <w:pPr>
        <w:spacing w:line="360" w:lineRule="auto"/>
        <w:ind w:firstLine="435"/>
        <w:rPr>
          <w:rFonts w:hint="eastAsia"/>
          <w:b/>
          <w:bCs/>
          <w:sz w:val="24"/>
          <w:szCs w:val="24"/>
        </w:rPr>
      </w:pPr>
      <w:r>
        <w:rPr>
          <w:rFonts w:hint="eastAsia"/>
          <w:b/>
          <w:bCs/>
          <w:sz w:val="24"/>
          <w:szCs w:val="24"/>
        </w:rPr>
        <w:t>四、框架协议的期限、履行合同的地域范围</w:t>
      </w:r>
    </w:p>
    <w:p w14:paraId="7712792B">
      <w:pPr>
        <w:spacing w:line="360" w:lineRule="auto"/>
        <w:ind w:firstLine="435"/>
        <w:rPr>
          <w:rFonts w:hint="eastAsia"/>
          <w:sz w:val="24"/>
          <w:szCs w:val="24"/>
        </w:rPr>
      </w:pPr>
      <w:r>
        <w:rPr>
          <w:rFonts w:hint="eastAsia"/>
          <w:sz w:val="24"/>
          <w:szCs w:val="24"/>
        </w:rPr>
        <w:t>框架协议的期限：24个月。</w:t>
      </w:r>
    </w:p>
    <w:p w14:paraId="223F51F2">
      <w:pPr>
        <w:spacing w:line="400" w:lineRule="exact"/>
        <w:ind w:firstLine="480" w:firstLineChars="200"/>
        <w:rPr>
          <w:rFonts w:hint="eastAsia"/>
          <w:sz w:val="24"/>
          <w:szCs w:val="24"/>
        </w:rPr>
      </w:pPr>
      <w:r>
        <w:rPr>
          <w:rFonts w:hint="eastAsia"/>
          <w:sz w:val="24"/>
          <w:szCs w:val="24"/>
        </w:rPr>
        <w:t>履行合同的地域范围：马鞍山市（甲方指定地点）。</w:t>
      </w:r>
    </w:p>
    <w:p w14:paraId="0857E452">
      <w:pPr>
        <w:spacing w:line="360" w:lineRule="auto"/>
        <w:ind w:firstLine="435"/>
        <w:rPr>
          <w:rFonts w:hint="eastAsia"/>
          <w:b/>
          <w:bCs/>
          <w:sz w:val="24"/>
          <w:szCs w:val="24"/>
        </w:rPr>
      </w:pPr>
      <w:r>
        <w:rPr>
          <w:rFonts w:hint="eastAsia"/>
          <w:b/>
          <w:bCs/>
          <w:sz w:val="24"/>
          <w:szCs w:val="24"/>
        </w:rPr>
        <w:t>五、验收要求</w:t>
      </w:r>
    </w:p>
    <w:p w14:paraId="08F2C0B6">
      <w:pPr>
        <w:spacing w:line="360" w:lineRule="auto"/>
        <w:ind w:firstLine="435"/>
        <w:rPr>
          <w:rFonts w:hint="eastAsia"/>
          <w:sz w:val="24"/>
          <w:szCs w:val="24"/>
        </w:rPr>
      </w:pPr>
      <w:r>
        <w:rPr>
          <w:rFonts w:hint="eastAsia"/>
          <w:sz w:val="24"/>
          <w:szCs w:val="24"/>
        </w:rPr>
        <w:t>（一）质量标准</w:t>
      </w:r>
    </w:p>
    <w:p w14:paraId="3DEBFB68">
      <w:pPr>
        <w:spacing w:line="360" w:lineRule="auto"/>
        <w:ind w:firstLine="435"/>
        <w:rPr>
          <w:rFonts w:hint="eastAsia"/>
          <w:sz w:val="24"/>
          <w:szCs w:val="24"/>
        </w:rPr>
      </w:pPr>
      <w:r>
        <w:rPr>
          <w:rFonts w:hint="eastAsia"/>
          <w:sz w:val="24"/>
          <w:szCs w:val="24"/>
        </w:rPr>
        <w:t>乙方保证提供的服务质量应符合中华人民共和国相关标准及相应的技术规范、本次采购相关文件中的全部相关要求及乙方相关服务标准及相应的技术规范中之较高者。</w:t>
      </w:r>
    </w:p>
    <w:p w14:paraId="77AA42B6">
      <w:pPr>
        <w:spacing w:line="360" w:lineRule="auto"/>
        <w:ind w:firstLine="435"/>
        <w:rPr>
          <w:rFonts w:hint="eastAsia"/>
          <w:sz w:val="24"/>
          <w:szCs w:val="24"/>
        </w:rPr>
      </w:pPr>
      <w:r>
        <w:rPr>
          <w:rFonts w:hint="eastAsia"/>
          <w:sz w:val="24"/>
          <w:szCs w:val="24"/>
        </w:rPr>
        <w:t>（二）验收组织</w:t>
      </w:r>
    </w:p>
    <w:p w14:paraId="731AA523">
      <w:pPr>
        <w:spacing w:line="360" w:lineRule="auto"/>
        <w:ind w:firstLine="435"/>
        <w:rPr>
          <w:rFonts w:hint="eastAsia"/>
          <w:sz w:val="24"/>
          <w:szCs w:val="24"/>
        </w:rPr>
      </w:pPr>
      <w:r>
        <w:rPr>
          <w:rFonts w:hint="eastAsia"/>
          <w:sz w:val="24"/>
          <w:szCs w:val="24"/>
        </w:rPr>
        <w:t>甲方在双方正式签订线路租用合同，乙方提供正常线路服务一个月后负责组织验收工作。</w:t>
      </w:r>
    </w:p>
    <w:p w14:paraId="78F28FE7">
      <w:pPr>
        <w:spacing w:line="360" w:lineRule="auto"/>
        <w:ind w:firstLine="435"/>
        <w:rPr>
          <w:rFonts w:hint="eastAsia"/>
          <w:sz w:val="24"/>
          <w:szCs w:val="24"/>
        </w:rPr>
      </w:pPr>
      <w:r>
        <w:rPr>
          <w:rFonts w:hint="eastAsia"/>
          <w:sz w:val="24"/>
          <w:szCs w:val="24"/>
        </w:rPr>
        <w:t>（三）验收程序</w:t>
      </w:r>
    </w:p>
    <w:p w14:paraId="6B3D79E7">
      <w:pPr>
        <w:spacing w:line="360" w:lineRule="auto"/>
        <w:ind w:firstLine="435"/>
        <w:rPr>
          <w:rFonts w:hint="eastAsia"/>
          <w:sz w:val="24"/>
          <w:szCs w:val="24"/>
        </w:rPr>
      </w:pPr>
      <w:r>
        <w:rPr>
          <w:rFonts w:hint="eastAsia"/>
          <w:sz w:val="24"/>
          <w:szCs w:val="24"/>
        </w:rPr>
        <w:t>1.成立验收小组，验收人员应由甲方代表和技术专家组成。</w:t>
      </w:r>
    </w:p>
    <w:p w14:paraId="029466EE">
      <w:pPr>
        <w:spacing w:line="360" w:lineRule="auto"/>
        <w:ind w:firstLine="435"/>
        <w:rPr>
          <w:rFonts w:hint="eastAsia"/>
          <w:sz w:val="24"/>
          <w:szCs w:val="24"/>
        </w:rPr>
      </w:pPr>
      <w:r>
        <w:rPr>
          <w:rFonts w:hint="eastAsia"/>
          <w:sz w:val="24"/>
          <w:szCs w:val="24"/>
        </w:rPr>
        <w:t>2.验收前要编制含线路质量、服务情况的验收表格。</w:t>
      </w:r>
    </w:p>
    <w:p w14:paraId="689D94A1">
      <w:pPr>
        <w:spacing w:line="360" w:lineRule="auto"/>
        <w:ind w:firstLine="435"/>
        <w:rPr>
          <w:rFonts w:hint="eastAsia"/>
          <w:sz w:val="24"/>
          <w:szCs w:val="24"/>
        </w:rPr>
      </w:pPr>
      <w:r>
        <w:rPr>
          <w:rFonts w:hint="eastAsia"/>
          <w:sz w:val="24"/>
          <w:szCs w:val="24"/>
        </w:rPr>
        <w:t>3.验收时双方要按照验收表格逐项验收。</w:t>
      </w:r>
    </w:p>
    <w:p w14:paraId="4EF80E99">
      <w:pPr>
        <w:spacing w:line="360" w:lineRule="auto"/>
        <w:ind w:firstLine="435"/>
        <w:rPr>
          <w:rFonts w:hint="eastAsia"/>
          <w:sz w:val="24"/>
          <w:szCs w:val="24"/>
        </w:rPr>
      </w:pPr>
      <w:r>
        <w:rPr>
          <w:rFonts w:hint="eastAsia"/>
          <w:sz w:val="24"/>
          <w:szCs w:val="24"/>
        </w:rPr>
        <w:t>4.验收方出具验收报告。</w:t>
      </w:r>
    </w:p>
    <w:p w14:paraId="49C35C06">
      <w:pPr>
        <w:spacing w:line="360" w:lineRule="auto"/>
        <w:ind w:firstLine="435"/>
        <w:rPr>
          <w:rFonts w:hint="eastAsia"/>
          <w:sz w:val="24"/>
          <w:szCs w:val="24"/>
        </w:rPr>
      </w:pPr>
      <w:r>
        <w:rPr>
          <w:rFonts w:hint="eastAsia"/>
          <w:sz w:val="24"/>
          <w:szCs w:val="24"/>
        </w:rPr>
        <w:t>六、付款方式</w:t>
      </w:r>
    </w:p>
    <w:p w14:paraId="302F95FC">
      <w:pPr>
        <w:spacing w:line="360" w:lineRule="auto"/>
        <w:ind w:firstLine="435"/>
        <w:rPr>
          <w:rFonts w:hint="eastAsia"/>
          <w:sz w:val="24"/>
          <w:szCs w:val="24"/>
        </w:rPr>
      </w:pPr>
      <w:r>
        <w:rPr>
          <w:rFonts w:hint="eastAsia"/>
          <w:sz w:val="24"/>
          <w:szCs w:val="24"/>
        </w:rPr>
        <w:t>本项目据实结算，结算方式为半年一结，乙方切实履行了该半年度的全部合同义务后，将半年度费用开具发票及供货清单明细至甲方处，甲方在收到乙方开具的发票并核对清单无误后结合考核支付货款。</w:t>
      </w:r>
    </w:p>
    <w:p w14:paraId="55B1FEEA">
      <w:pPr>
        <w:spacing w:line="360" w:lineRule="auto"/>
        <w:ind w:firstLine="435"/>
        <w:rPr>
          <w:rFonts w:hint="eastAsia"/>
          <w:sz w:val="24"/>
          <w:szCs w:val="24"/>
        </w:rPr>
      </w:pPr>
      <w:r>
        <w:rPr>
          <w:rFonts w:hint="eastAsia"/>
          <w:sz w:val="24"/>
          <w:szCs w:val="24"/>
        </w:rPr>
        <w:t>七、违约责任</w:t>
      </w:r>
    </w:p>
    <w:p w14:paraId="6F62817D">
      <w:pPr>
        <w:spacing w:line="360" w:lineRule="auto"/>
        <w:ind w:firstLine="435"/>
        <w:rPr>
          <w:rFonts w:hint="eastAsia"/>
          <w:sz w:val="24"/>
          <w:szCs w:val="24"/>
        </w:rPr>
      </w:pPr>
      <w:r>
        <w:rPr>
          <w:rFonts w:hint="eastAsia"/>
          <w:sz w:val="24"/>
          <w:szCs w:val="24"/>
        </w:rPr>
        <w:t xml:space="preserve">1、除不可抗力外，如果乙方延期履行本合同约定的服务期限，那么甲方可要求乙方支付违约金，违约金按每延期履行一日的应提供而未提供服务价格的  </w:t>
      </w:r>
      <w:r>
        <w:rPr>
          <w:rFonts w:hint="eastAsia"/>
          <w:sz w:val="24"/>
          <w:szCs w:val="24"/>
          <w:u w:val="single"/>
        </w:rPr>
        <w:t xml:space="preserve">0.03 </w:t>
      </w:r>
      <w:r>
        <w:rPr>
          <w:rFonts w:hint="eastAsia"/>
          <w:sz w:val="24"/>
          <w:szCs w:val="24"/>
        </w:rPr>
        <w:t xml:space="preserve"> %计算，最高限额为本合同总价的 </w:t>
      </w:r>
      <w:r>
        <w:rPr>
          <w:rFonts w:hint="eastAsia"/>
          <w:sz w:val="24"/>
          <w:szCs w:val="24"/>
          <w:u w:val="single"/>
        </w:rPr>
        <w:t xml:space="preserve"> </w:t>
      </w:r>
      <w:r>
        <w:rPr>
          <w:rFonts w:hint="eastAsia"/>
          <w:sz w:val="24"/>
          <w:szCs w:val="24"/>
          <w:u w:val="single"/>
          <w:lang w:val="en-US" w:eastAsia="zh-CN"/>
        </w:rPr>
        <w:t>5</w:t>
      </w:r>
      <w:r>
        <w:rPr>
          <w:rFonts w:hint="eastAsia"/>
          <w:sz w:val="24"/>
          <w:szCs w:val="24"/>
          <w:u w:val="single"/>
        </w:rPr>
        <w:t xml:space="preserve"> </w:t>
      </w:r>
      <w:r>
        <w:rPr>
          <w:rFonts w:hint="eastAsia"/>
          <w:sz w:val="24"/>
          <w:szCs w:val="24"/>
        </w:rPr>
        <w:t xml:space="preserve"> %；延期履行的违约金计算数额达到前述最高限额之日起，甲方有权在要求乙方支付违约金的同时，书面通知乙方解除本合同；</w:t>
      </w:r>
    </w:p>
    <w:p w14:paraId="362D3F7C">
      <w:pPr>
        <w:bidi w:val="0"/>
        <w:rPr>
          <w:rFonts w:hint="eastAsia"/>
          <w:sz w:val="24"/>
          <w:szCs w:val="24"/>
        </w:rPr>
      </w:pPr>
      <w:r>
        <w:rPr>
          <w:rFonts w:hint="eastAsia"/>
          <w:sz w:val="24"/>
          <w:szCs w:val="24"/>
        </w:rPr>
        <w:t xml:space="preserve">2、除不可抗力外，如果甲方延期支付合同款项（或延期返还履约保证金），那么乙方可要求甲方支付违约金，违约金按每延期付款（或延期返还）一日的应付而未付（或应返还而未返还）款的 </w:t>
      </w:r>
      <w:r>
        <w:rPr>
          <w:rFonts w:hint="eastAsia"/>
          <w:sz w:val="24"/>
          <w:szCs w:val="24"/>
          <w:u w:val="single"/>
        </w:rPr>
        <w:t xml:space="preserve">0.03 </w:t>
      </w:r>
      <w:r>
        <w:rPr>
          <w:rFonts w:hint="eastAsia"/>
          <w:sz w:val="24"/>
          <w:szCs w:val="24"/>
        </w:rPr>
        <w:t>%计算，最高限额为本合同总价的</w:t>
      </w:r>
      <w:r>
        <w:rPr>
          <w:rFonts w:hint="eastAsia"/>
          <w:sz w:val="24"/>
          <w:szCs w:val="24"/>
          <w:u w:val="single"/>
        </w:rPr>
        <w:t xml:space="preserve"> </w:t>
      </w:r>
      <w:r>
        <w:rPr>
          <w:rFonts w:hint="eastAsia"/>
          <w:sz w:val="24"/>
          <w:szCs w:val="24"/>
          <w:u w:val="single"/>
          <w:lang w:val="en-US" w:eastAsia="zh-CN"/>
        </w:rPr>
        <w:t>5</w:t>
      </w:r>
      <w:r>
        <w:rPr>
          <w:rFonts w:hint="eastAsia"/>
          <w:sz w:val="24"/>
          <w:szCs w:val="24"/>
          <w:u w:val="single"/>
        </w:rPr>
        <w:t xml:space="preserve"> </w:t>
      </w:r>
      <w:r>
        <w:rPr>
          <w:rFonts w:hint="eastAsia"/>
          <w:sz w:val="24"/>
          <w:szCs w:val="24"/>
        </w:rPr>
        <w:t>%；延期付款（或返还）的违约金计算数额达到前述最高限额之日起，乙方有权在要求甲方支付违约金的同时，书面通知甲方解除本合同；</w:t>
      </w:r>
    </w:p>
    <w:p w14:paraId="6405A057">
      <w:pPr>
        <w:spacing w:line="360" w:lineRule="auto"/>
        <w:ind w:firstLine="435"/>
        <w:rPr>
          <w:rFonts w:hint="eastAsia"/>
          <w:sz w:val="24"/>
          <w:szCs w:val="24"/>
        </w:rPr>
      </w:pPr>
      <w:r>
        <w:rPr>
          <w:rFonts w:hint="eastAsia"/>
          <w:sz w:val="24"/>
          <w:szCs w:val="24"/>
        </w:rPr>
        <w:t>3、因一方原因导致变更、中止或终止合同的，违约方应按照</w:t>
      </w:r>
      <w:r>
        <w:rPr>
          <w:rFonts w:hint="eastAsia"/>
          <w:sz w:val="24"/>
          <w:szCs w:val="24"/>
          <w:lang w:val="en-US" w:eastAsia="zh-CN"/>
        </w:rPr>
        <w:t>守约方</w:t>
      </w:r>
      <w:r>
        <w:rPr>
          <w:rFonts w:hint="eastAsia"/>
          <w:sz w:val="24"/>
          <w:szCs w:val="24"/>
        </w:rPr>
        <w:t>实际损失情况予以赔偿或补偿。</w:t>
      </w:r>
    </w:p>
    <w:p w14:paraId="4DA6EF2C">
      <w:pPr>
        <w:spacing w:line="360" w:lineRule="auto"/>
        <w:ind w:firstLine="435"/>
        <w:rPr>
          <w:rFonts w:hint="eastAsia"/>
          <w:sz w:val="24"/>
          <w:szCs w:val="24"/>
        </w:rPr>
      </w:pPr>
      <w:r>
        <w:rPr>
          <w:rFonts w:hint="eastAsia"/>
          <w:sz w:val="24"/>
          <w:szCs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5DBD3EC">
      <w:pPr>
        <w:spacing w:line="360" w:lineRule="auto"/>
        <w:ind w:firstLine="435"/>
        <w:rPr>
          <w:rFonts w:hint="eastAsia"/>
          <w:sz w:val="24"/>
          <w:szCs w:val="24"/>
        </w:rPr>
      </w:pPr>
      <w:r>
        <w:rPr>
          <w:rFonts w:hint="eastAsia"/>
          <w:sz w:val="24"/>
          <w:szCs w:val="24"/>
        </w:rPr>
        <w:t>5、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743E5B0">
      <w:pPr>
        <w:spacing w:line="360" w:lineRule="auto"/>
        <w:ind w:firstLine="435"/>
        <w:rPr>
          <w:rFonts w:hint="eastAsia"/>
          <w:sz w:val="24"/>
          <w:szCs w:val="24"/>
        </w:rPr>
      </w:pPr>
      <w:r>
        <w:rPr>
          <w:rFonts w:hint="eastAsia"/>
          <w:sz w:val="24"/>
          <w:szCs w:val="24"/>
        </w:rPr>
        <w:t>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F1A43A9">
      <w:pPr>
        <w:spacing w:line="360" w:lineRule="auto"/>
        <w:ind w:firstLine="435"/>
        <w:rPr>
          <w:rFonts w:hint="eastAsia"/>
          <w:sz w:val="24"/>
          <w:szCs w:val="24"/>
        </w:rPr>
      </w:pPr>
      <w:r>
        <w:rPr>
          <w:rFonts w:hint="eastAsia"/>
          <w:sz w:val="24"/>
          <w:szCs w:val="24"/>
        </w:rPr>
        <w:t>7、如果出现政府采购监督管理部门在处理投诉事项期间，书面通知甲方暂停采购活动的情形，或者询问或质疑事项可能影响入围结果的，导致甲方中止履行合同的情形，均不视为甲方违约。</w:t>
      </w:r>
    </w:p>
    <w:p w14:paraId="1570F593">
      <w:pPr>
        <w:spacing w:line="360" w:lineRule="auto"/>
        <w:ind w:firstLine="435"/>
        <w:rPr>
          <w:rFonts w:hint="eastAsia"/>
          <w:sz w:val="24"/>
          <w:szCs w:val="24"/>
        </w:rPr>
      </w:pPr>
      <w:r>
        <w:rPr>
          <w:rFonts w:hint="eastAsia"/>
          <w:sz w:val="24"/>
          <w:szCs w:val="24"/>
        </w:rPr>
        <w:t>8、乙方人员如存在违反安全管理的行为（包括但不限于：设备安全方面，擅自携带危险品、存在无线网络功能或存储功能的设备、未经审批的人员和设备进入网络设备间，擅自超出申请范围操作网络设备；网络安全方面：擅自抄录、复制、拍摄公安敏感信息，擅自将公安网络与任何外部网络、设备连接，擅自利用公安网络恶意操作其他网络或传播恶意代码；数据安全方面，违规下载、留存、使用公安数据，篡改、毁损、出售公安数据；安全保密方面，擅自扩大与服务事项相关信息的知悉范围，不及时清除、收回离职离岗或者不再参与信息化建设人员持有的公安文档资料、数据等），甲方有权要求乙方立即调整人员并就造成的损失要求乙方赔偿。</w:t>
      </w:r>
    </w:p>
    <w:p w14:paraId="0DB36157">
      <w:pPr>
        <w:spacing w:line="360" w:lineRule="auto"/>
        <w:ind w:firstLine="435"/>
        <w:rPr>
          <w:rFonts w:hint="eastAsia"/>
        </w:rPr>
      </w:pPr>
      <w:r>
        <w:rPr>
          <w:rFonts w:hint="eastAsia"/>
          <w:sz w:val="24"/>
          <w:szCs w:val="24"/>
        </w:rPr>
        <w:t>9、网络运维中涉及大量公安信息设备，乙方应确保网络信息设备安全，严防事故发生。乙方因违规操作导致泄密、数据泄露、公安网络中断等安全事故造成较严重后果的，甲方按照内部有关管理规定要求追究乙方责任，如一年累计发生两起以上较大安全事故的，甲方有权解除合同，并进行追偿。</w:t>
      </w:r>
    </w:p>
    <w:p w14:paraId="40247F83">
      <w:pPr>
        <w:spacing w:line="360" w:lineRule="auto"/>
        <w:ind w:firstLine="435"/>
        <w:rPr>
          <w:rFonts w:hint="eastAsia"/>
          <w:sz w:val="24"/>
          <w:szCs w:val="24"/>
        </w:rPr>
      </w:pPr>
      <w:r>
        <w:rPr>
          <w:rFonts w:hint="eastAsia"/>
          <w:sz w:val="24"/>
          <w:szCs w:val="24"/>
        </w:rPr>
        <w:t xml:space="preserve">八、合同的终止 </w:t>
      </w:r>
    </w:p>
    <w:p w14:paraId="06870999">
      <w:pPr>
        <w:spacing w:line="360" w:lineRule="auto"/>
        <w:ind w:firstLine="435"/>
        <w:rPr>
          <w:rFonts w:hint="eastAsia"/>
          <w:sz w:val="24"/>
          <w:szCs w:val="24"/>
        </w:rPr>
      </w:pPr>
      <w:r>
        <w:rPr>
          <w:rFonts w:hint="eastAsia"/>
          <w:sz w:val="24"/>
          <w:szCs w:val="24"/>
        </w:rPr>
        <w:t xml:space="preserve">（一）本合同因下列原因而终止： </w:t>
      </w:r>
    </w:p>
    <w:p w14:paraId="4F848CD3">
      <w:pPr>
        <w:spacing w:line="360" w:lineRule="auto"/>
        <w:ind w:firstLine="435"/>
        <w:rPr>
          <w:rFonts w:hint="eastAsia"/>
          <w:sz w:val="24"/>
          <w:szCs w:val="24"/>
        </w:rPr>
      </w:pPr>
      <w:r>
        <w:rPr>
          <w:rFonts w:hint="eastAsia"/>
          <w:sz w:val="24"/>
          <w:szCs w:val="24"/>
        </w:rPr>
        <w:t xml:space="preserve">1.本合同正常履行完毕； </w:t>
      </w:r>
    </w:p>
    <w:p w14:paraId="35E07422">
      <w:pPr>
        <w:spacing w:line="360" w:lineRule="auto"/>
        <w:ind w:firstLine="435"/>
        <w:rPr>
          <w:rFonts w:hint="eastAsia"/>
          <w:sz w:val="24"/>
          <w:szCs w:val="24"/>
        </w:rPr>
      </w:pPr>
      <w:r>
        <w:rPr>
          <w:rFonts w:hint="eastAsia"/>
          <w:sz w:val="24"/>
          <w:szCs w:val="24"/>
        </w:rPr>
        <w:t xml:space="preserve">2.合同双方协议终止本合同的履行； </w:t>
      </w:r>
    </w:p>
    <w:p w14:paraId="555EBFF3">
      <w:pPr>
        <w:spacing w:line="360" w:lineRule="auto"/>
        <w:ind w:firstLine="435"/>
        <w:rPr>
          <w:rFonts w:hint="eastAsia"/>
          <w:sz w:val="24"/>
          <w:szCs w:val="24"/>
        </w:rPr>
      </w:pPr>
      <w:r>
        <w:rPr>
          <w:rFonts w:hint="eastAsia"/>
          <w:sz w:val="24"/>
          <w:szCs w:val="24"/>
        </w:rPr>
        <w:t>3.不可抗力事件导致本合同无法履行或履行不必要；</w:t>
      </w:r>
    </w:p>
    <w:p w14:paraId="104254BA">
      <w:pPr>
        <w:spacing w:line="360" w:lineRule="auto"/>
        <w:ind w:firstLine="435"/>
        <w:rPr>
          <w:rFonts w:hint="default" w:eastAsia="宋体"/>
          <w:sz w:val="24"/>
          <w:szCs w:val="24"/>
          <w:lang w:val="en-US" w:eastAsia="zh-CN"/>
        </w:rPr>
      </w:pPr>
      <w:r>
        <w:rPr>
          <w:rFonts w:hint="eastAsia"/>
          <w:sz w:val="24"/>
          <w:szCs w:val="24"/>
          <w:lang w:val="en-US" w:eastAsia="zh-CN"/>
        </w:rPr>
        <w:t>4.乙方提供的服务无法满足甲方业务需求，经整改仍无法满足的情况下；</w:t>
      </w:r>
    </w:p>
    <w:p w14:paraId="716D64E7">
      <w:pPr>
        <w:spacing w:line="360" w:lineRule="auto"/>
        <w:ind w:firstLine="435"/>
        <w:rPr>
          <w:rFonts w:hint="eastAsia"/>
          <w:sz w:val="24"/>
          <w:szCs w:val="24"/>
        </w:rPr>
      </w:pPr>
      <w:r>
        <w:rPr>
          <w:rFonts w:hint="eastAsia"/>
          <w:sz w:val="24"/>
          <w:szCs w:val="24"/>
          <w:lang w:val="en-US" w:eastAsia="zh-CN"/>
        </w:rPr>
        <w:t>5</w:t>
      </w:r>
      <w:r>
        <w:rPr>
          <w:rFonts w:hint="eastAsia"/>
          <w:sz w:val="24"/>
          <w:szCs w:val="24"/>
        </w:rPr>
        <w:t xml:space="preserve">.符合本合同约定的其他终止合同的条款。 </w:t>
      </w:r>
    </w:p>
    <w:p w14:paraId="5FB0942D">
      <w:pPr>
        <w:spacing w:line="360" w:lineRule="auto"/>
        <w:ind w:firstLine="435"/>
        <w:rPr>
          <w:rFonts w:hint="eastAsia"/>
          <w:sz w:val="24"/>
          <w:szCs w:val="24"/>
        </w:rPr>
      </w:pPr>
      <w:r>
        <w:rPr>
          <w:rFonts w:hint="eastAsia"/>
          <w:sz w:val="24"/>
          <w:szCs w:val="24"/>
        </w:rPr>
        <w:t xml:space="preserve">（二）对本合同终止有过错的一方应赔偿另一方因合同终止而受到的损失。对合同终止双方均无过错的，则各自承担所受到的损失。 </w:t>
      </w:r>
    </w:p>
    <w:p w14:paraId="33104D8F">
      <w:pPr>
        <w:spacing w:line="360" w:lineRule="auto"/>
        <w:ind w:firstLine="435"/>
        <w:rPr>
          <w:rFonts w:hint="eastAsia"/>
          <w:sz w:val="24"/>
          <w:szCs w:val="24"/>
        </w:rPr>
      </w:pPr>
      <w:r>
        <w:rPr>
          <w:rFonts w:hint="eastAsia"/>
          <w:sz w:val="24"/>
          <w:szCs w:val="24"/>
        </w:rPr>
        <w:t xml:space="preserve">九、其他 </w:t>
      </w:r>
    </w:p>
    <w:p w14:paraId="3A0C182F">
      <w:pPr>
        <w:spacing w:line="360" w:lineRule="auto"/>
        <w:ind w:firstLine="435"/>
        <w:rPr>
          <w:rFonts w:hint="eastAsia"/>
          <w:sz w:val="24"/>
          <w:szCs w:val="24"/>
        </w:rPr>
      </w:pPr>
      <w:r>
        <w:rPr>
          <w:rFonts w:hint="eastAsia"/>
          <w:sz w:val="24"/>
          <w:szCs w:val="24"/>
        </w:rPr>
        <w:t xml:space="preserve">1、甲乙双方必须严格按照征集公告及有关承诺签订采购合同，不得擅自变更。合同执行期内，甲乙双方均不得随意变更或解除合同。 </w:t>
      </w:r>
    </w:p>
    <w:p w14:paraId="7F9C23E1">
      <w:pPr>
        <w:spacing w:line="360" w:lineRule="auto"/>
        <w:ind w:firstLine="435"/>
        <w:rPr>
          <w:rFonts w:hint="eastAsia"/>
          <w:sz w:val="24"/>
          <w:szCs w:val="24"/>
        </w:rPr>
      </w:pPr>
      <w:r>
        <w:rPr>
          <w:rFonts w:hint="eastAsia"/>
          <w:sz w:val="24"/>
          <w:szCs w:val="24"/>
        </w:rPr>
        <w:t xml:space="preserve">2、本合同执行期间，如遇不可抗力，致使合同无法履行时，甲乙双方应按有关法律规定及时协商处理。 </w:t>
      </w:r>
    </w:p>
    <w:p w14:paraId="5597125B">
      <w:pPr>
        <w:spacing w:line="360" w:lineRule="auto"/>
        <w:ind w:firstLine="435"/>
        <w:rPr>
          <w:rFonts w:hint="eastAsia"/>
          <w:sz w:val="24"/>
          <w:szCs w:val="24"/>
        </w:rPr>
      </w:pPr>
      <w:r>
        <w:rPr>
          <w:rFonts w:hint="eastAsia"/>
          <w:sz w:val="24"/>
          <w:szCs w:val="24"/>
        </w:rPr>
        <w:t>3、合同未尽事宜，甲乙双方另行签订补充协议，补充协议是合同的组成部分。</w:t>
      </w:r>
    </w:p>
    <w:p w14:paraId="7997842A">
      <w:pPr>
        <w:spacing w:line="360" w:lineRule="auto"/>
        <w:ind w:firstLine="435"/>
        <w:rPr>
          <w:rFonts w:hint="eastAsia"/>
          <w:sz w:val="24"/>
          <w:szCs w:val="24"/>
        </w:rPr>
      </w:pPr>
      <w:r>
        <w:rPr>
          <w:rFonts w:hint="eastAsia"/>
          <w:sz w:val="24"/>
          <w:szCs w:val="24"/>
        </w:rPr>
        <w:t>4、乙方应自觉接受甲方及有关部门对合同履行情况的全程监督。</w:t>
      </w:r>
    </w:p>
    <w:p w14:paraId="24A5AC54">
      <w:pPr>
        <w:spacing w:line="360" w:lineRule="auto"/>
        <w:ind w:firstLine="435"/>
        <w:rPr>
          <w:rFonts w:hint="eastAsia"/>
          <w:sz w:val="24"/>
          <w:szCs w:val="24"/>
        </w:rPr>
      </w:pPr>
      <w:r>
        <w:rPr>
          <w:rFonts w:hint="eastAsia"/>
          <w:sz w:val="24"/>
          <w:szCs w:val="24"/>
        </w:rPr>
        <w:t>十、未尽事宜，甲乙双方友好协商解决。</w:t>
      </w:r>
    </w:p>
    <w:p w14:paraId="2585A65A">
      <w:pPr>
        <w:spacing w:line="360" w:lineRule="auto"/>
        <w:ind w:firstLine="435"/>
        <w:rPr>
          <w:rFonts w:hint="eastAsia"/>
          <w:sz w:val="24"/>
          <w:szCs w:val="24"/>
        </w:rPr>
      </w:pPr>
      <w:r>
        <w:rPr>
          <w:rFonts w:hint="eastAsia"/>
          <w:sz w:val="24"/>
          <w:szCs w:val="24"/>
        </w:rPr>
        <w:t>十一、争议的解决方式</w:t>
      </w:r>
    </w:p>
    <w:p w14:paraId="73D2F995">
      <w:pPr>
        <w:spacing w:line="360" w:lineRule="auto"/>
        <w:ind w:firstLine="435"/>
        <w:rPr>
          <w:rFonts w:hint="eastAsia"/>
          <w:sz w:val="24"/>
          <w:szCs w:val="24"/>
        </w:rPr>
      </w:pPr>
      <w:r>
        <w:rPr>
          <w:rFonts w:hint="eastAsia"/>
          <w:sz w:val="24"/>
          <w:szCs w:val="24"/>
        </w:rPr>
        <w:t>与本合同有关的一切争议，甲方和乙方双方应通过友好协商解决，如协商仍不能解决，双方同意提交马鞍山仲裁委员会进行裁决。</w:t>
      </w:r>
    </w:p>
    <w:p w14:paraId="3F47E27B">
      <w:pPr>
        <w:spacing w:line="360" w:lineRule="auto"/>
        <w:ind w:firstLine="435"/>
        <w:rPr>
          <w:rFonts w:hint="eastAsia"/>
          <w:sz w:val="24"/>
          <w:szCs w:val="24"/>
        </w:rPr>
      </w:pPr>
      <w:r>
        <w:rPr>
          <w:rFonts w:hint="eastAsia"/>
          <w:sz w:val="24"/>
          <w:szCs w:val="24"/>
        </w:rPr>
        <w:t>十二、合同一式   份，在甲乙双方签字、盖章后生效。甲方   份、乙方   份、批准本项目预算的财政部门1份。</w:t>
      </w:r>
    </w:p>
    <w:tbl>
      <w:tblPr>
        <w:tblStyle w:val="12"/>
        <w:tblW w:w="8368"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84"/>
        <w:gridCol w:w="4184"/>
      </w:tblGrid>
      <w:tr w14:paraId="5DBA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tcBorders>
              <w:top w:val="single" w:color="auto" w:sz="4" w:space="0"/>
              <w:left w:val="single" w:color="auto" w:sz="4" w:space="0"/>
              <w:bottom w:val="single" w:color="auto" w:sz="4" w:space="0"/>
              <w:right w:val="single" w:color="auto" w:sz="4" w:space="0"/>
            </w:tcBorders>
            <w:vAlign w:val="center"/>
          </w:tcPr>
          <w:p w14:paraId="3CB0A5A4">
            <w:pPr>
              <w:spacing w:line="360" w:lineRule="auto"/>
              <w:rPr>
                <w:sz w:val="24"/>
                <w:szCs w:val="24"/>
              </w:rPr>
            </w:pPr>
            <w:r>
              <w:rPr>
                <w:rFonts w:hint="eastAsia"/>
                <w:sz w:val="24"/>
                <w:szCs w:val="24"/>
              </w:rPr>
              <w:t>甲方：</w:t>
            </w:r>
          </w:p>
        </w:tc>
        <w:tc>
          <w:tcPr>
            <w:tcW w:w="4184" w:type="dxa"/>
            <w:tcBorders>
              <w:top w:val="single" w:color="auto" w:sz="4" w:space="0"/>
              <w:left w:val="single" w:color="auto" w:sz="4" w:space="0"/>
              <w:bottom w:val="single" w:color="auto" w:sz="4" w:space="0"/>
              <w:right w:val="single" w:color="auto" w:sz="4" w:space="0"/>
            </w:tcBorders>
            <w:vAlign w:val="center"/>
          </w:tcPr>
          <w:p w14:paraId="072619E9">
            <w:pPr>
              <w:spacing w:line="360" w:lineRule="auto"/>
              <w:rPr>
                <w:sz w:val="24"/>
                <w:szCs w:val="24"/>
              </w:rPr>
            </w:pPr>
            <w:r>
              <w:rPr>
                <w:rFonts w:hint="eastAsia"/>
                <w:sz w:val="24"/>
                <w:szCs w:val="24"/>
              </w:rPr>
              <w:t>乙方：</w:t>
            </w:r>
          </w:p>
        </w:tc>
      </w:tr>
      <w:tr w14:paraId="1C3D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tcBorders>
              <w:top w:val="single" w:color="auto" w:sz="4" w:space="0"/>
              <w:left w:val="single" w:color="auto" w:sz="4" w:space="0"/>
              <w:bottom w:val="single" w:color="auto" w:sz="4" w:space="0"/>
              <w:right w:val="single" w:color="auto" w:sz="4" w:space="0"/>
            </w:tcBorders>
            <w:vAlign w:val="center"/>
          </w:tcPr>
          <w:p w14:paraId="4293147C">
            <w:pPr>
              <w:spacing w:line="360" w:lineRule="auto"/>
              <w:rPr>
                <w:sz w:val="24"/>
                <w:szCs w:val="24"/>
              </w:rPr>
            </w:pPr>
            <w:r>
              <w:rPr>
                <w:rFonts w:hint="eastAsia"/>
                <w:sz w:val="24"/>
                <w:szCs w:val="24"/>
              </w:rPr>
              <w:t>通讯地址：</w:t>
            </w:r>
          </w:p>
        </w:tc>
        <w:tc>
          <w:tcPr>
            <w:tcW w:w="4184" w:type="dxa"/>
            <w:tcBorders>
              <w:top w:val="single" w:color="auto" w:sz="4" w:space="0"/>
              <w:left w:val="single" w:color="auto" w:sz="4" w:space="0"/>
              <w:bottom w:val="single" w:color="auto" w:sz="4" w:space="0"/>
              <w:right w:val="single" w:color="auto" w:sz="4" w:space="0"/>
            </w:tcBorders>
            <w:vAlign w:val="center"/>
          </w:tcPr>
          <w:p w14:paraId="5726C085">
            <w:pPr>
              <w:spacing w:line="360" w:lineRule="auto"/>
              <w:rPr>
                <w:sz w:val="24"/>
                <w:szCs w:val="24"/>
              </w:rPr>
            </w:pPr>
            <w:r>
              <w:rPr>
                <w:rFonts w:hint="eastAsia"/>
                <w:sz w:val="24"/>
                <w:szCs w:val="24"/>
              </w:rPr>
              <w:t>通讯地址：</w:t>
            </w:r>
          </w:p>
        </w:tc>
      </w:tr>
      <w:tr w14:paraId="5E63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tcBorders>
              <w:top w:val="single" w:color="auto" w:sz="4" w:space="0"/>
              <w:left w:val="single" w:color="auto" w:sz="4" w:space="0"/>
              <w:bottom w:val="single" w:color="auto" w:sz="4" w:space="0"/>
              <w:right w:val="single" w:color="auto" w:sz="4" w:space="0"/>
            </w:tcBorders>
            <w:vAlign w:val="center"/>
          </w:tcPr>
          <w:p w14:paraId="4F0C7349">
            <w:pPr>
              <w:spacing w:line="360" w:lineRule="auto"/>
              <w:rPr>
                <w:sz w:val="24"/>
                <w:szCs w:val="24"/>
              </w:rPr>
            </w:pPr>
            <w:r>
              <w:rPr>
                <w:rFonts w:hint="eastAsia"/>
                <w:sz w:val="24"/>
                <w:szCs w:val="24"/>
              </w:rPr>
              <w:t>邮政编码：</w:t>
            </w:r>
          </w:p>
        </w:tc>
        <w:tc>
          <w:tcPr>
            <w:tcW w:w="4184" w:type="dxa"/>
            <w:tcBorders>
              <w:top w:val="single" w:color="auto" w:sz="4" w:space="0"/>
              <w:left w:val="single" w:color="auto" w:sz="4" w:space="0"/>
              <w:bottom w:val="single" w:color="auto" w:sz="4" w:space="0"/>
              <w:right w:val="single" w:color="auto" w:sz="4" w:space="0"/>
            </w:tcBorders>
            <w:vAlign w:val="center"/>
          </w:tcPr>
          <w:p w14:paraId="5E5CC37C">
            <w:pPr>
              <w:spacing w:line="360" w:lineRule="auto"/>
              <w:rPr>
                <w:sz w:val="24"/>
                <w:szCs w:val="24"/>
              </w:rPr>
            </w:pPr>
            <w:r>
              <w:rPr>
                <w:rFonts w:hint="eastAsia"/>
                <w:sz w:val="24"/>
                <w:szCs w:val="24"/>
              </w:rPr>
              <w:t>邮政编码：</w:t>
            </w:r>
          </w:p>
        </w:tc>
      </w:tr>
      <w:tr w14:paraId="4111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tcBorders>
              <w:top w:val="single" w:color="auto" w:sz="4" w:space="0"/>
              <w:left w:val="single" w:color="auto" w:sz="4" w:space="0"/>
              <w:bottom w:val="single" w:color="auto" w:sz="4" w:space="0"/>
              <w:right w:val="single" w:color="auto" w:sz="4" w:space="0"/>
            </w:tcBorders>
            <w:vAlign w:val="center"/>
          </w:tcPr>
          <w:p w14:paraId="68AF78F8">
            <w:pPr>
              <w:spacing w:line="360" w:lineRule="auto"/>
              <w:rPr>
                <w:sz w:val="24"/>
                <w:szCs w:val="24"/>
              </w:rPr>
            </w:pPr>
            <w:r>
              <w:rPr>
                <w:rFonts w:hint="eastAsia"/>
                <w:sz w:val="24"/>
                <w:szCs w:val="24"/>
              </w:rPr>
              <w:t>电话：</w:t>
            </w:r>
          </w:p>
        </w:tc>
        <w:tc>
          <w:tcPr>
            <w:tcW w:w="4184" w:type="dxa"/>
            <w:tcBorders>
              <w:top w:val="single" w:color="auto" w:sz="4" w:space="0"/>
              <w:left w:val="single" w:color="auto" w:sz="4" w:space="0"/>
              <w:bottom w:val="single" w:color="auto" w:sz="4" w:space="0"/>
              <w:right w:val="single" w:color="auto" w:sz="4" w:space="0"/>
            </w:tcBorders>
            <w:vAlign w:val="center"/>
          </w:tcPr>
          <w:p w14:paraId="6EB0374F">
            <w:pPr>
              <w:spacing w:line="360" w:lineRule="auto"/>
              <w:rPr>
                <w:sz w:val="24"/>
                <w:szCs w:val="24"/>
              </w:rPr>
            </w:pPr>
            <w:r>
              <w:rPr>
                <w:rFonts w:hint="eastAsia"/>
                <w:sz w:val="24"/>
                <w:szCs w:val="24"/>
              </w:rPr>
              <w:t>电话：</w:t>
            </w:r>
          </w:p>
        </w:tc>
      </w:tr>
      <w:tr w14:paraId="00BE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tcBorders>
              <w:top w:val="single" w:color="auto" w:sz="4" w:space="0"/>
              <w:left w:val="single" w:color="auto" w:sz="4" w:space="0"/>
              <w:bottom w:val="single" w:color="auto" w:sz="4" w:space="0"/>
              <w:right w:val="single" w:color="auto" w:sz="4" w:space="0"/>
            </w:tcBorders>
            <w:vAlign w:val="center"/>
          </w:tcPr>
          <w:p w14:paraId="0B04A2E8">
            <w:pPr>
              <w:spacing w:line="360" w:lineRule="auto"/>
              <w:rPr>
                <w:sz w:val="24"/>
                <w:szCs w:val="24"/>
              </w:rPr>
            </w:pPr>
          </w:p>
        </w:tc>
        <w:tc>
          <w:tcPr>
            <w:tcW w:w="4184" w:type="dxa"/>
            <w:tcBorders>
              <w:top w:val="single" w:color="auto" w:sz="4" w:space="0"/>
              <w:left w:val="single" w:color="auto" w:sz="4" w:space="0"/>
              <w:bottom w:val="single" w:color="auto" w:sz="4" w:space="0"/>
              <w:right w:val="single" w:color="auto" w:sz="4" w:space="0"/>
            </w:tcBorders>
            <w:vAlign w:val="center"/>
          </w:tcPr>
          <w:p w14:paraId="1D818B0D">
            <w:pPr>
              <w:spacing w:line="360" w:lineRule="auto"/>
              <w:rPr>
                <w:sz w:val="24"/>
                <w:szCs w:val="24"/>
              </w:rPr>
            </w:pPr>
            <w:r>
              <w:rPr>
                <w:rFonts w:hint="eastAsia"/>
                <w:sz w:val="24"/>
                <w:szCs w:val="24"/>
              </w:rPr>
              <w:t>开户银行：</w:t>
            </w:r>
          </w:p>
        </w:tc>
      </w:tr>
      <w:tr w14:paraId="68BA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tcBorders>
              <w:top w:val="single" w:color="auto" w:sz="4" w:space="0"/>
              <w:left w:val="single" w:color="auto" w:sz="4" w:space="0"/>
              <w:bottom w:val="single" w:color="auto" w:sz="4" w:space="0"/>
              <w:right w:val="single" w:color="auto" w:sz="4" w:space="0"/>
            </w:tcBorders>
            <w:vAlign w:val="center"/>
          </w:tcPr>
          <w:p w14:paraId="692B52EF">
            <w:pPr>
              <w:spacing w:line="360" w:lineRule="auto"/>
              <w:rPr>
                <w:sz w:val="24"/>
                <w:szCs w:val="24"/>
              </w:rPr>
            </w:pPr>
          </w:p>
        </w:tc>
        <w:tc>
          <w:tcPr>
            <w:tcW w:w="4184" w:type="dxa"/>
            <w:tcBorders>
              <w:top w:val="single" w:color="auto" w:sz="4" w:space="0"/>
              <w:left w:val="single" w:color="auto" w:sz="4" w:space="0"/>
              <w:bottom w:val="single" w:color="auto" w:sz="4" w:space="0"/>
              <w:right w:val="single" w:color="auto" w:sz="4" w:space="0"/>
            </w:tcBorders>
            <w:vAlign w:val="center"/>
          </w:tcPr>
          <w:p w14:paraId="1E4EB5B9">
            <w:pPr>
              <w:spacing w:line="360" w:lineRule="auto"/>
              <w:rPr>
                <w:sz w:val="24"/>
                <w:szCs w:val="24"/>
              </w:rPr>
            </w:pPr>
            <w:r>
              <w:rPr>
                <w:rFonts w:hint="eastAsia"/>
                <w:sz w:val="24"/>
                <w:szCs w:val="24"/>
              </w:rPr>
              <w:t>账号：</w:t>
            </w:r>
          </w:p>
        </w:tc>
      </w:tr>
    </w:tbl>
    <w:p w14:paraId="4239D6C7">
      <w:pPr>
        <w:spacing w:line="360" w:lineRule="auto"/>
        <w:rPr>
          <w:rFonts w:hint="eastAsia"/>
          <w:sz w:val="24"/>
          <w:szCs w:val="24"/>
        </w:rPr>
      </w:pPr>
      <w:r>
        <w:rPr>
          <w:rFonts w:hint="eastAsia"/>
          <w:sz w:val="24"/>
          <w:szCs w:val="24"/>
        </w:rPr>
        <w:t xml:space="preserve">甲方：                                 乙方：            </w:t>
      </w:r>
    </w:p>
    <w:p w14:paraId="22717BEC">
      <w:pPr>
        <w:spacing w:line="360" w:lineRule="auto"/>
        <w:rPr>
          <w:rFonts w:hint="eastAsia"/>
          <w:sz w:val="24"/>
          <w:szCs w:val="24"/>
        </w:rPr>
      </w:pPr>
      <w:r>
        <w:rPr>
          <w:rFonts w:hint="eastAsia"/>
          <w:sz w:val="24"/>
          <w:szCs w:val="24"/>
        </w:rPr>
        <w:t xml:space="preserve">单位盖章：                             单位盖章：              </w:t>
      </w:r>
    </w:p>
    <w:p w14:paraId="30A5B249">
      <w:pPr>
        <w:spacing w:line="360" w:lineRule="auto"/>
        <w:rPr>
          <w:rFonts w:hint="eastAsia"/>
          <w:sz w:val="24"/>
          <w:szCs w:val="24"/>
        </w:rPr>
      </w:pPr>
      <w:r>
        <w:rPr>
          <w:rFonts w:hint="eastAsia"/>
          <w:sz w:val="24"/>
          <w:szCs w:val="24"/>
        </w:rPr>
        <w:t xml:space="preserve">代表签字：                             代表签字：              </w:t>
      </w:r>
    </w:p>
    <w:p w14:paraId="79E327FE">
      <w:pPr>
        <w:spacing w:line="360" w:lineRule="auto"/>
        <w:ind w:firstLine="435"/>
        <w:rPr>
          <w:rFonts w:hint="eastAsia"/>
          <w:sz w:val="24"/>
          <w:szCs w:val="24"/>
        </w:rPr>
      </w:pPr>
      <w:r>
        <w:rPr>
          <w:rFonts w:hint="eastAsia"/>
          <w:sz w:val="24"/>
          <w:szCs w:val="24"/>
        </w:rPr>
        <w:t xml:space="preserve"> </w:t>
      </w:r>
    </w:p>
    <w:p w14:paraId="1DA20093">
      <w:pPr>
        <w:spacing w:line="360" w:lineRule="auto"/>
        <w:ind w:firstLine="435"/>
        <w:jc w:val="right"/>
        <w:rPr>
          <w:rFonts w:hint="eastAsia"/>
          <w:sz w:val="24"/>
          <w:szCs w:val="24"/>
        </w:rPr>
      </w:pPr>
      <w:bookmarkStart w:id="31" w:name="_Toc6720"/>
      <w:bookmarkEnd w:id="31"/>
      <w:r>
        <w:rPr>
          <w:rFonts w:hint="eastAsia"/>
          <w:sz w:val="24"/>
          <w:szCs w:val="24"/>
        </w:rPr>
        <w:t>签订时间：     年  月  日</w:t>
      </w:r>
    </w:p>
    <w:p w14:paraId="0DB122A4">
      <w:pPr>
        <w:pStyle w:val="11"/>
        <w:ind w:firstLine="400"/>
        <w:rPr>
          <w:rFonts w:hint="eastAsia" w:ascii="宋体" w:hAnsi="宋体"/>
        </w:rPr>
      </w:pPr>
      <w:r>
        <w:rPr>
          <w:rFonts w:hint="eastAsia" w:ascii="宋体" w:hAnsi="宋体"/>
        </w:rPr>
        <w:t xml:space="preserve"> </w:t>
      </w:r>
    </w:p>
    <w:p w14:paraId="53438879">
      <w:pPr>
        <w:rPr>
          <w:rFonts w:hint="eastAsia"/>
          <w:b/>
          <w:sz w:val="28"/>
          <w:szCs w:val="28"/>
        </w:rPr>
      </w:pPr>
      <w:r>
        <w:rPr>
          <w:rFonts w:hint="eastAsia"/>
          <w:b/>
          <w:sz w:val="28"/>
          <w:szCs w:val="28"/>
        </w:rPr>
        <w:br w:type="page"/>
      </w:r>
    </w:p>
    <w:p w14:paraId="65FFACB3">
      <w:pPr>
        <w:spacing w:line="360" w:lineRule="auto"/>
        <w:jc w:val="center"/>
        <w:outlineLvl w:val="0"/>
        <w:rPr>
          <w:rFonts w:hint="eastAsia"/>
          <w:b/>
          <w:sz w:val="28"/>
          <w:szCs w:val="28"/>
        </w:rPr>
      </w:pPr>
      <w:bookmarkStart w:id="32" w:name="_Toc9311"/>
      <w:bookmarkEnd w:id="32"/>
      <w:r>
        <w:rPr>
          <w:rFonts w:hint="eastAsia"/>
          <w:b/>
          <w:sz w:val="28"/>
          <w:szCs w:val="28"/>
        </w:rPr>
        <w:t>第八章  对申请文件的要求</w:t>
      </w:r>
    </w:p>
    <w:p w14:paraId="6B8F370D">
      <w:pPr>
        <w:spacing w:line="500" w:lineRule="exact"/>
        <w:jc w:val="center"/>
        <w:outlineLvl w:val="1"/>
        <w:rPr>
          <w:rFonts w:hint="eastAsia"/>
          <w:b/>
          <w:sz w:val="30"/>
          <w:szCs w:val="30"/>
        </w:rPr>
      </w:pPr>
      <w:r>
        <w:rPr>
          <w:rFonts w:hint="eastAsia"/>
          <w:b/>
          <w:sz w:val="30"/>
          <w:szCs w:val="30"/>
        </w:rPr>
        <w:t>马鞍山市公安局集约化运维网络线路采购</w:t>
      </w:r>
    </w:p>
    <w:p w14:paraId="5B69C2A9">
      <w:pPr>
        <w:spacing w:line="900" w:lineRule="exact"/>
        <w:jc w:val="center"/>
        <w:rPr>
          <w:rFonts w:hint="eastAsia"/>
          <w:b/>
          <w:sz w:val="72"/>
          <w:szCs w:val="72"/>
        </w:rPr>
      </w:pPr>
      <w:r>
        <w:rPr>
          <w:rFonts w:hint="eastAsia"/>
          <w:b/>
          <w:sz w:val="72"/>
          <w:szCs w:val="72"/>
        </w:rPr>
        <w:t xml:space="preserve"> </w:t>
      </w:r>
    </w:p>
    <w:p w14:paraId="4E5CDEDA">
      <w:pPr>
        <w:spacing w:line="900" w:lineRule="exact"/>
        <w:jc w:val="center"/>
        <w:outlineLvl w:val="2"/>
        <w:rPr>
          <w:rFonts w:hint="eastAsia"/>
          <w:b/>
          <w:sz w:val="72"/>
          <w:szCs w:val="72"/>
        </w:rPr>
      </w:pPr>
      <w:r>
        <w:rPr>
          <w:rFonts w:hint="eastAsia"/>
          <w:b/>
          <w:sz w:val="72"/>
          <w:szCs w:val="72"/>
        </w:rPr>
        <w:t>申</w:t>
      </w:r>
    </w:p>
    <w:p w14:paraId="3BE448C6">
      <w:pPr>
        <w:spacing w:line="900" w:lineRule="exact"/>
        <w:jc w:val="center"/>
        <w:rPr>
          <w:rFonts w:hint="eastAsia"/>
          <w:b/>
          <w:sz w:val="72"/>
          <w:szCs w:val="72"/>
        </w:rPr>
      </w:pPr>
      <w:r>
        <w:rPr>
          <w:rFonts w:hint="eastAsia"/>
          <w:b/>
          <w:sz w:val="72"/>
          <w:szCs w:val="72"/>
        </w:rPr>
        <w:t xml:space="preserve"> </w:t>
      </w:r>
    </w:p>
    <w:p w14:paraId="79EEA41D">
      <w:pPr>
        <w:spacing w:line="900" w:lineRule="exact"/>
        <w:jc w:val="center"/>
        <w:outlineLvl w:val="2"/>
        <w:rPr>
          <w:rFonts w:hint="eastAsia"/>
          <w:b/>
          <w:sz w:val="72"/>
          <w:szCs w:val="72"/>
        </w:rPr>
      </w:pPr>
      <w:r>
        <w:rPr>
          <w:rFonts w:hint="eastAsia"/>
          <w:b/>
          <w:sz w:val="72"/>
          <w:szCs w:val="72"/>
        </w:rPr>
        <w:t>请</w:t>
      </w:r>
    </w:p>
    <w:p w14:paraId="5C628585">
      <w:pPr>
        <w:spacing w:line="900" w:lineRule="exact"/>
        <w:jc w:val="center"/>
        <w:rPr>
          <w:rFonts w:hint="eastAsia"/>
          <w:b/>
          <w:sz w:val="72"/>
          <w:szCs w:val="72"/>
        </w:rPr>
      </w:pPr>
      <w:r>
        <w:rPr>
          <w:rFonts w:hint="eastAsia"/>
          <w:b/>
          <w:sz w:val="72"/>
          <w:szCs w:val="72"/>
        </w:rPr>
        <w:t xml:space="preserve"> </w:t>
      </w:r>
    </w:p>
    <w:p w14:paraId="4C493090">
      <w:pPr>
        <w:spacing w:line="900" w:lineRule="exact"/>
        <w:jc w:val="center"/>
        <w:outlineLvl w:val="2"/>
        <w:rPr>
          <w:rFonts w:hint="eastAsia"/>
          <w:b/>
          <w:sz w:val="72"/>
          <w:szCs w:val="72"/>
        </w:rPr>
      </w:pPr>
      <w:r>
        <w:rPr>
          <w:rFonts w:hint="eastAsia"/>
          <w:b/>
          <w:sz w:val="72"/>
          <w:szCs w:val="72"/>
        </w:rPr>
        <w:t>文</w:t>
      </w:r>
    </w:p>
    <w:p w14:paraId="7D9B0ECA">
      <w:pPr>
        <w:spacing w:line="900" w:lineRule="exact"/>
        <w:jc w:val="center"/>
        <w:rPr>
          <w:rFonts w:hint="eastAsia"/>
          <w:b/>
          <w:sz w:val="72"/>
          <w:szCs w:val="72"/>
        </w:rPr>
      </w:pPr>
      <w:r>
        <w:rPr>
          <w:rFonts w:hint="eastAsia"/>
          <w:b/>
          <w:sz w:val="72"/>
          <w:szCs w:val="72"/>
        </w:rPr>
        <w:t xml:space="preserve"> </w:t>
      </w:r>
    </w:p>
    <w:p w14:paraId="79A04B99">
      <w:pPr>
        <w:jc w:val="center"/>
        <w:outlineLvl w:val="2"/>
        <w:rPr>
          <w:rFonts w:hint="eastAsia"/>
          <w:b/>
          <w:sz w:val="72"/>
          <w:szCs w:val="72"/>
        </w:rPr>
      </w:pPr>
      <w:r>
        <w:rPr>
          <w:rFonts w:hint="eastAsia"/>
          <w:b/>
          <w:sz w:val="72"/>
          <w:szCs w:val="72"/>
        </w:rPr>
        <w:t>件</w:t>
      </w:r>
    </w:p>
    <w:p w14:paraId="1A5E5ECE">
      <w:pPr>
        <w:spacing w:after="156" w:afterLines="50"/>
        <w:jc w:val="center"/>
        <w:rPr>
          <w:rFonts w:hint="eastAsia"/>
          <w:b/>
          <w:sz w:val="72"/>
          <w:szCs w:val="72"/>
        </w:rPr>
      </w:pPr>
      <w:r>
        <w:rPr>
          <w:rFonts w:hint="eastAsia"/>
          <w:b/>
          <w:sz w:val="72"/>
          <w:szCs w:val="72"/>
        </w:rPr>
        <w:t xml:space="preserve"> </w:t>
      </w:r>
    </w:p>
    <w:p w14:paraId="607ADF27">
      <w:pPr>
        <w:spacing w:line="500" w:lineRule="exact"/>
        <w:outlineLvl w:val="0"/>
        <w:rPr>
          <w:rFonts w:hint="eastAsia"/>
          <w:b/>
          <w:sz w:val="32"/>
          <w:szCs w:val="32"/>
          <w:u w:val="single"/>
        </w:rPr>
      </w:pPr>
      <w:bookmarkStart w:id="33" w:name="_Toc5538"/>
      <w:bookmarkEnd w:id="33"/>
      <w:bookmarkStart w:id="34" w:name="_Toc14073"/>
      <w:bookmarkEnd w:id="34"/>
      <w:bookmarkStart w:id="35" w:name="_Toc1504"/>
      <w:r>
        <w:rPr>
          <w:rFonts w:hint="eastAsia"/>
          <w:b/>
          <w:sz w:val="32"/>
          <w:szCs w:val="32"/>
        </w:rPr>
        <w:t>供应商（加盖公章或电子签章）：</w:t>
      </w:r>
      <w:bookmarkEnd w:id="35"/>
    </w:p>
    <w:p w14:paraId="0CBB6734">
      <w:pPr>
        <w:spacing w:line="500" w:lineRule="exact"/>
        <w:outlineLvl w:val="0"/>
        <w:rPr>
          <w:rFonts w:hint="eastAsia"/>
          <w:b/>
          <w:sz w:val="32"/>
          <w:szCs w:val="32"/>
          <w:u w:val="single"/>
        </w:rPr>
      </w:pPr>
      <w:bookmarkStart w:id="36" w:name="_Toc14923"/>
      <w:bookmarkEnd w:id="36"/>
      <w:bookmarkStart w:id="37" w:name="_Toc9622"/>
      <w:bookmarkEnd w:id="37"/>
      <w:bookmarkStart w:id="38" w:name="_Toc7530"/>
      <w:r>
        <w:rPr>
          <w:rFonts w:hint="eastAsia"/>
          <w:b/>
          <w:sz w:val="32"/>
          <w:szCs w:val="32"/>
        </w:rPr>
        <w:t>法定代表人姓名：</w:t>
      </w:r>
      <w:bookmarkEnd w:id="38"/>
    </w:p>
    <w:p w14:paraId="2AE2A5C6">
      <w:pPr>
        <w:spacing w:line="500" w:lineRule="exact"/>
        <w:outlineLvl w:val="0"/>
        <w:rPr>
          <w:rFonts w:hint="eastAsia"/>
          <w:b/>
          <w:sz w:val="32"/>
          <w:szCs w:val="32"/>
          <w:u w:val="single"/>
        </w:rPr>
      </w:pPr>
      <w:bookmarkStart w:id="39" w:name="_Toc25853"/>
      <w:bookmarkEnd w:id="39"/>
      <w:bookmarkStart w:id="40" w:name="_Toc32659"/>
      <w:bookmarkEnd w:id="40"/>
      <w:bookmarkStart w:id="41" w:name="_Toc14124"/>
      <w:r>
        <w:rPr>
          <w:rFonts w:hint="eastAsia"/>
          <w:b/>
          <w:sz w:val="32"/>
          <w:szCs w:val="32"/>
        </w:rPr>
        <w:t>地址：</w:t>
      </w:r>
      <w:bookmarkEnd w:id="41"/>
    </w:p>
    <w:p w14:paraId="320D9195">
      <w:pPr>
        <w:spacing w:line="500" w:lineRule="exact"/>
        <w:outlineLvl w:val="0"/>
        <w:rPr>
          <w:rFonts w:hint="eastAsia"/>
          <w:b/>
          <w:sz w:val="32"/>
          <w:szCs w:val="32"/>
          <w:u w:val="single"/>
        </w:rPr>
      </w:pPr>
      <w:bookmarkStart w:id="42" w:name="_Toc21383"/>
      <w:bookmarkEnd w:id="42"/>
      <w:bookmarkStart w:id="43" w:name="_Toc7419"/>
      <w:bookmarkEnd w:id="43"/>
      <w:bookmarkStart w:id="44" w:name="_Toc5291"/>
      <w:r>
        <w:rPr>
          <w:rFonts w:hint="eastAsia"/>
          <w:b/>
          <w:sz w:val="32"/>
          <w:szCs w:val="32"/>
        </w:rPr>
        <w:t>电话：</w:t>
      </w:r>
      <w:bookmarkEnd w:id="44"/>
    </w:p>
    <w:p w14:paraId="04BB2EE2">
      <w:pPr>
        <w:spacing w:line="500" w:lineRule="exact"/>
        <w:outlineLvl w:val="0"/>
        <w:rPr>
          <w:rFonts w:hint="eastAsia"/>
          <w:bCs/>
          <w:sz w:val="32"/>
          <w:szCs w:val="32"/>
        </w:rPr>
      </w:pPr>
      <w:bookmarkStart w:id="45" w:name="_Toc7101"/>
      <w:bookmarkEnd w:id="45"/>
      <w:bookmarkStart w:id="46" w:name="_Toc2757"/>
      <w:bookmarkEnd w:id="46"/>
      <w:bookmarkStart w:id="47" w:name="_Toc16620"/>
      <w:r>
        <w:rPr>
          <w:rFonts w:hint="eastAsia"/>
          <w:b/>
          <w:sz w:val="32"/>
          <w:szCs w:val="32"/>
        </w:rPr>
        <w:t>授权代表：</w:t>
      </w:r>
      <w:bookmarkEnd w:id="47"/>
    </w:p>
    <w:p w14:paraId="0DB34DEB">
      <w:pPr>
        <w:spacing w:line="500" w:lineRule="exact"/>
        <w:outlineLvl w:val="0"/>
        <w:rPr>
          <w:rFonts w:hint="eastAsia"/>
          <w:b/>
          <w:sz w:val="32"/>
          <w:szCs w:val="32"/>
          <w:u w:val="single"/>
        </w:rPr>
      </w:pPr>
      <w:bookmarkStart w:id="48" w:name="_Toc15232"/>
      <w:bookmarkEnd w:id="48"/>
      <w:bookmarkStart w:id="49" w:name="_Toc9359"/>
      <w:bookmarkEnd w:id="49"/>
      <w:bookmarkStart w:id="50" w:name="_Toc32530"/>
      <w:r>
        <w:rPr>
          <w:rFonts w:hint="eastAsia"/>
          <w:b/>
          <w:sz w:val="32"/>
          <w:szCs w:val="32"/>
        </w:rPr>
        <w:t>电子邮箱：    身份证号码：</w:t>
      </w:r>
      <w:bookmarkEnd w:id="50"/>
    </w:p>
    <w:p w14:paraId="00B4448D">
      <w:pPr>
        <w:spacing w:line="500" w:lineRule="exact"/>
        <w:outlineLvl w:val="0"/>
        <w:rPr>
          <w:rFonts w:hint="eastAsia"/>
          <w:b/>
          <w:sz w:val="32"/>
          <w:szCs w:val="32"/>
        </w:rPr>
      </w:pPr>
      <w:bookmarkStart w:id="51" w:name="_Toc13108"/>
      <w:bookmarkEnd w:id="51"/>
      <w:bookmarkStart w:id="52" w:name="_Toc18409"/>
      <w:bookmarkEnd w:id="52"/>
      <w:bookmarkStart w:id="53" w:name="_Toc11091"/>
      <w:r>
        <w:rPr>
          <w:rFonts w:hint="eastAsia"/>
          <w:b/>
          <w:sz w:val="32"/>
          <w:szCs w:val="32"/>
        </w:rPr>
        <w:t>手机：日期：</w:t>
      </w:r>
      <w:bookmarkEnd w:id="53"/>
      <w:r>
        <w:rPr>
          <w:rFonts w:hint="eastAsia"/>
          <w:b/>
          <w:sz w:val="32"/>
          <w:szCs w:val="32"/>
          <w:u w:val="single"/>
        </w:rPr>
        <w:t xml:space="preserve">     年   月   日</w:t>
      </w:r>
    </w:p>
    <w:p w14:paraId="4DFD9A6F">
      <w:pPr>
        <w:widowControl/>
        <w:jc w:val="left"/>
        <w:rPr>
          <w:rFonts w:hint="eastAsia"/>
          <w:b/>
          <w:sz w:val="28"/>
          <w:szCs w:val="28"/>
        </w:rPr>
      </w:pPr>
      <w:r>
        <w:rPr>
          <w:rFonts w:hint="eastAsia"/>
          <w:b/>
          <w:sz w:val="28"/>
          <w:szCs w:val="28"/>
        </w:rPr>
        <w:br w:type="page"/>
      </w:r>
    </w:p>
    <w:p w14:paraId="0F1CF387">
      <w:pPr>
        <w:spacing w:line="360" w:lineRule="auto"/>
        <w:ind w:firstLine="435"/>
        <w:jc w:val="center"/>
        <w:rPr>
          <w:rFonts w:hint="eastAsia"/>
          <w:sz w:val="24"/>
          <w:szCs w:val="24"/>
        </w:rPr>
      </w:pPr>
      <w:r>
        <w:rPr>
          <w:rFonts w:hint="eastAsia"/>
          <w:b/>
          <w:bCs/>
          <w:sz w:val="24"/>
          <w:szCs w:val="24"/>
        </w:rPr>
        <w:t>一、征集公告中供应商的各类资质证书及其他重要资料</w:t>
      </w:r>
    </w:p>
    <w:p w14:paraId="0990034C">
      <w:pPr>
        <w:spacing w:line="360" w:lineRule="auto"/>
        <w:ind w:firstLine="435"/>
        <w:rPr>
          <w:rFonts w:hint="eastAsia"/>
          <w:sz w:val="24"/>
          <w:szCs w:val="24"/>
        </w:rPr>
      </w:pPr>
      <w:r>
        <w:rPr>
          <w:rFonts w:hint="eastAsia"/>
          <w:sz w:val="24"/>
          <w:szCs w:val="24"/>
        </w:rPr>
        <w:t>1、营业执照扫描件/事业单位法人证书扫描件/社会团体法人登记证书扫描件/民办非企业单位登记证书扫描件</w:t>
      </w:r>
    </w:p>
    <w:p w14:paraId="144303A6">
      <w:pPr>
        <w:spacing w:line="360" w:lineRule="auto"/>
        <w:ind w:firstLine="435"/>
        <w:rPr>
          <w:rFonts w:hint="eastAsia"/>
          <w:sz w:val="24"/>
          <w:szCs w:val="24"/>
        </w:rPr>
      </w:pPr>
      <w:r>
        <w:rPr>
          <w:rFonts w:hint="eastAsia"/>
          <w:sz w:val="24"/>
          <w:szCs w:val="24"/>
        </w:rPr>
        <w:t>2、税务登记证（若供应商提供了“多证合一”的营业执照，无需另行提供税务登记证）扫描件</w:t>
      </w:r>
    </w:p>
    <w:p w14:paraId="1BD41323">
      <w:pPr>
        <w:spacing w:line="360" w:lineRule="auto"/>
        <w:ind w:firstLine="435"/>
        <w:rPr>
          <w:rFonts w:hint="eastAsia"/>
          <w:sz w:val="24"/>
          <w:szCs w:val="24"/>
        </w:rPr>
      </w:pPr>
      <w:r>
        <w:rPr>
          <w:rFonts w:hint="eastAsia"/>
          <w:sz w:val="24"/>
          <w:szCs w:val="24"/>
        </w:rPr>
        <w:t>3、有效期内的具有工信部颁发的《中华人民共和国基础电信业务经营许可证》扫描件</w:t>
      </w:r>
    </w:p>
    <w:p w14:paraId="51697BAF">
      <w:pPr>
        <w:spacing w:line="360" w:lineRule="auto"/>
        <w:ind w:firstLine="435"/>
        <w:rPr>
          <w:rFonts w:hint="eastAsia"/>
          <w:sz w:val="24"/>
          <w:szCs w:val="24"/>
        </w:rPr>
      </w:pPr>
      <w:r>
        <w:rPr>
          <w:rFonts w:hint="eastAsia"/>
          <w:sz w:val="24"/>
          <w:szCs w:val="24"/>
        </w:rPr>
        <w:t xml:space="preserve"> </w:t>
      </w:r>
    </w:p>
    <w:p w14:paraId="0839A0C4">
      <w:pPr>
        <w:spacing w:line="360" w:lineRule="auto"/>
        <w:ind w:firstLine="435"/>
        <w:rPr>
          <w:rFonts w:hint="eastAsia"/>
          <w:sz w:val="24"/>
          <w:szCs w:val="24"/>
        </w:rPr>
      </w:pPr>
      <w:r>
        <w:rPr>
          <w:rFonts w:hint="eastAsia"/>
          <w:sz w:val="24"/>
          <w:szCs w:val="24"/>
        </w:rPr>
        <w:t xml:space="preserve"> </w:t>
      </w:r>
    </w:p>
    <w:p w14:paraId="35F3F716">
      <w:pPr>
        <w:spacing w:line="360" w:lineRule="auto"/>
        <w:ind w:firstLine="435"/>
        <w:jc w:val="center"/>
        <w:rPr>
          <w:rFonts w:hint="eastAsia"/>
          <w:b/>
          <w:bCs/>
          <w:sz w:val="24"/>
          <w:szCs w:val="24"/>
        </w:rPr>
      </w:pPr>
      <w:r>
        <w:rPr>
          <w:rFonts w:hint="eastAsia"/>
          <w:b/>
          <w:bCs/>
          <w:sz w:val="24"/>
          <w:szCs w:val="24"/>
        </w:rPr>
        <w:t>二、相关承诺</w:t>
      </w:r>
    </w:p>
    <w:p w14:paraId="3BFAA3A6">
      <w:pPr>
        <w:spacing w:line="360" w:lineRule="auto"/>
        <w:ind w:firstLine="435"/>
        <w:rPr>
          <w:rFonts w:hint="eastAsia"/>
          <w:sz w:val="24"/>
          <w:szCs w:val="24"/>
        </w:rPr>
      </w:pPr>
      <w:r>
        <w:rPr>
          <w:rFonts w:hint="eastAsia"/>
          <w:sz w:val="24"/>
          <w:szCs w:val="24"/>
        </w:rPr>
        <w:t>我公司承诺（填写“符合”或“不符合”，如未填写视为“不符合”）《中华人民共和国政府采购法》第二十二条规定。</w:t>
      </w:r>
    </w:p>
    <w:p w14:paraId="7B437B28">
      <w:pPr>
        <w:spacing w:line="360" w:lineRule="auto"/>
        <w:ind w:firstLine="435"/>
        <w:rPr>
          <w:rFonts w:hint="eastAsia"/>
          <w:sz w:val="24"/>
          <w:szCs w:val="24"/>
        </w:rPr>
      </w:pPr>
      <w:r>
        <w:rPr>
          <w:rFonts w:hint="eastAsia"/>
          <w:sz w:val="24"/>
          <w:szCs w:val="24"/>
        </w:rPr>
        <w:br w:type="page"/>
      </w:r>
    </w:p>
    <w:p w14:paraId="73C1DAD2">
      <w:pPr>
        <w:spacing w:line="360" w:lineRule="auto"/>
        <w:jc w:val="center"/>
        <w:outlineLvl w:val="0"/>
        <w:rPr>
          <w:rFonts w:hint="eastAsia"/>
          <w:b/>
          <w:sz w:val="28"/>
          <w:szCs w:val="28"/>
        </w:rPr>
      </w:pPr>
      <w:bookmarkStart w:id="54" w:name="_Toc32685"/>
      <w:bookmarkEnd w:id="54"/>
      <w:bookmarkStart w:id="55" w:name="_Toc28438"/>
      <w:bookmarkEnd w:id="55"/>
      <w:bookmarkStart w:id="56" w:name="_Toc15097"/>
      <w:bookmarkEnd w:id="56"/>
      <w:bookmarkStart w:id="57" w:name="_Toc31361"/>
      <w:r>
        <w:rPr>
          <w:rFonts w:hint="eastAsia"/>
          <w:b/>
          <w:sz w:val="28"/>
          <w:szCs w:val="28"/>
        </w:rPr>
        <w:t>三、服务报价</w:t>
      </w:r>
      <w:bookmarkEnd w:id="57"/>
    </w:p>
    <w:tbl>
      <w:tblPr>
        <w:tblStyle w:val="12"/>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17"/>
        <w:gridCol w:w="1894"/>
        <w:gridCol w:w="2209"/>
      </w:tblGrid>
      <w:tr w14:paraId="09A6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1" w:hRule="atLeast"/>
          <w:jc w:val="center"/>
        </w:trPr>
        <w:tc>
          <w:tcPr>
            <w:tcW w:w="4317" w:type="dxa"/>
            <w:tcBorders>
              <w:top w:val="single" w:color="auto" w:sz="4" w:space="0"/>
              <w:left w:val="single" w:color="auto" w:sz="4" w:space="0"/>
              <w:bottom w:val="single" w:color="auto" w:sz="4" w:space="0"/>
              <w:right w:val="single" w:color="auto" w:sz="4" w:space="0"/>
            </w:tcBorders>
            <w:vAlign w:val="center"/>
          </w:tcPr>
          <w:p w14:paraId="60E39050">
            <w:pPr>
              <w:pStyle w:val="19"/>
              <w:spacing w:line="300" w:lineRule="exact"/>
              <w:contextualSpacing/>
              <w:rPr>
                <w:rFonts w:ascii="宋体" w:hAnsi="宋体"/>
                <w:b/>
              </w:rPr>
            </w:pPr>
            <w:r>
              <w:rPr>
                <w:rFonts w:hint="eastAsia" w:ascii="宋体" w:hAnsi="宋体"/>
                <w:b/>
              </w:rPr>
              <w:t>服务名称</w:t>
            </w:r>
            <w:r>
              <w:rPr>
                <w:rFonts w:hint="eastAsia" w:ascii="宋体" w:hAnsi="宋体"/>
                <w:b/>
                <w:bCs/>
              </w:rPr>
              <w:t>（标的名称）</w:t>
            </w:r>
          </w:p>
        </w:tc>
        <w:tc>
          <w:tcPr>
            <w:tcW w:w="1894" w:type="dxa"/>
            <w:tcBorders>
              <w:top w:val="single" w:color="auto" w:sz="4" w:space="0"/>
              <w:left w:val="single" w:color="auto" w:sz="4" w:space="0"/>
              <w:bottom w:val="single" w:color="auto" w:sz="4" w:space="0"/>
              <w:right w:val="single" w:color="auto" w:sz="4" w:space="0"/>
            </w:tcBorders>
            <w:vAlign w:val="center"/>
          </w:tcPr>
          <w:p w14:paraId="08EAA87C">
            <w:pPr>
              <w:spacing w:line="300" w:lineRule="exact"/>
              <w:contextualSpacing/>
              <w:jc w:val="center"/>
              <w:rPr>
                <w:b/>
                <w:sz w:val="28"/>
                <w:szCs w:val="28"/>
              </w:rPr>
            </w:pPr>
            <w:r>
              <w:rPr>
                <w:rFonts w:hint="eastAsia"/>
                <w:b/>
                <w:sz w:val="28"/>
                <w:szCs w:val="28"/>
              </w:rPr>
              <w:t>服务提供商</w:t>
            </w:r>
          </w:p>
        </w:tc>
        <w:tc>
          <w:tcPr>
            <w:tcW w:w="2209" w:type="dxa"/>
            <w:tcBorders>
              <w:top w:val="single" w:color="auto" w:sz="4" w:space="0"/>
              <w:left w:val="single" w:color="auto" w:sz="4" w:space="0"/>
              <w:bottom w:val="single" w:color="auto" w:sz="4" w:space="0"/>
              <w:right w:val="single" w:color="auto" w:sz="4" w:space="0"/>
            </w:tcBorders>
            <w:vAlign w:val="center"/>
          </w:tcPr>
          <w:p w14:paraId="722ED66E">
            <w:pPr>
              <w:spacing w:line="300" w:lineRule="exact"/>
              <w:contextualSpacing/>
              <w:jc w:val="center"/>
              <w:rPr>
                <w:b/>
                <w:sz w:val="28"/>
                <w:szCs w:val="28"/>
              </w:rPr>
            </w:pPr>
            <w:r>
              <w:rPr>
                <w:rFonts w:hint="eastAsia"/>
                <w:b/>
                <w:sz w:val="28"/>
                <w:szCs w:val="28"/>
              </w:rPr>
              <w:t>响应报价（综合费率）</w:t>
            </w:r>
          </w:p>
        </w:tc>
      </w:tr>
      <w:tr w14:paraId="7738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50" w:hRule="atLeast"/>
          <w:jc w:val="center"/>
        </w:trPr>
        <w:tc>
          <w:tcPr>
            <w:tcW w:w="4317" w:type="dxa"/>
            <w:tcBorders>
              <w:top w:val="single" w:color="auto" w:sz="4" w:space="0"/>
              <w:left w:val="single" w:color="auto" w:sz="4" w:space="0"/>
              <w:bottom w:val="single" w:color="auto" w:sz="4" w:space="0"/>
              <w:right w:val="single" w:color="auto" w:sz="4" w:space="0"/>
            </w:tcBorders>
            <w:vAlign w:val="center"/>
          </w:tcPr>
          <w:p w14:paraId="6471571A">
            <w:pPr>
              <w:widowControl/>
              <w:spacing w:line="300" w:lineRule="exact"/>
              <w:jc w:val="center"/>
              <w:textAlignment w:val="center"/>
              <w:rPr>
                <w:bCs/>
                <w:color w:val="000000"/>
                <w:kern w:val="0"/>
                <w:sz w:val="28"/>
                <w:szCs w:val="28"/>
              </w:rPr>
            </w:pPr>
            <w:r>
              <w:rPr>
                <w:rFonts w:hint="eastAsia"/>
                <w:bCs/>
                <w:color w:val="000000"/>
                <w:kern w:val="0"/>
                <w:sz w:val="28"/>
                <w:szCs w:val="28"/>
              </w:rPr>
              <w:t>马鞍山市公安局集约化运维网络线路采购</w:t>
            </w:r>
          </w:p>
        </w:tc>
        <w:tc>
          <w:tcPr>
            <w:tcW w:w="1894" w:type="dxa"/>
            <w:tcBorders>
              <w:top w:val="single" w:color="auto" w:sz="4" w:space="0"/>
              <w:left w:val="single" w:color="auto" w:sz="4" w:space="0"/>
              <w:bottom w:val="single" w:color="auto" w:sz="4" w:space="0"/>
              <w:right w:val="single" w:color="auto" w:sz="4" w:space="0"/>
            </w:tcBorders>
            <w:vAlign w:val="center"/>
          </w:tcPr>
          <w:p w14:paraId="360EBDC1">
            <w:pPr>
              <w:spacing w:line="300" w:lineRule="exact"/>
              <w:contextualSpacing/>
              <w:jc w:val="center"/>
              <w:rPr>
                <w:b/>
                <w:sz w:val="28"/>
                <w:szCs w:val="28"/>
              </w:rPr>
            </w:pPr>
          </w:p>
        </w:tc>
        <w:tc>
          <w:tcPr>
            <w:tcW w:w="2209" w:type="dxa"/>
            <w:tcBorders>
              <w:top w:val="single" w:color="auto" w:sz="4" w:space="0"/>
              <w:left w:val="single" w:color="auto" w:sz="4" w:space="0"/>
              <w:bottom w:val="single" w:color="auto" w:sz="4" w:space="0"/>
              <w:right w:val="single" w:color="auto" w:sz="4" w:space="0"/>
            </w:tcBorders>
            <w:vAlign w:val="center"/>
          </w:tcPr>
          <w:p w14:paraId="038DBC5B">
            <w:pPr>
              <w:spacing w:line="300" w:lineRule="exact"/>
              <w:ind w:firstLine="280" w:firstLineChars="100"/>
              <w:contextualSpacing/>
              <w:rPr>
                <w:b/>
                <w:sz w:val="28"/>
                <w:szCs w:val="28"/>
              </w:rPr>
            </w:pPr>
            <w:r>
              <w:rPr>
                <w:rFonts w:hint="eastAsia"/>
                <w:bCs/>
                <w:color w:val="000000"/>
                <w:kern w:val="0"/>
                <w:sz w:val="28"/>
                <w:szCs w:val="28"/>
                <w:u w:val="single"/>
              </w:rPr>
              <w:t xml:space="preserve">       </w:t>
            </w:r>
            <w:r>
              <w:rPr>
                <w:rFonts w:hint="eastAsia"/>
                <w:bCs/>
                <w:color w:val="000000"/>
                <w:kern w:val="0"/>
                <w:sz w:val="28"/>
                <w:szCs w:val="28"/>
              </w:rPr>
              <w:t xml:space="preserve"> %</w:t>
            </w:r>
          </w:p>
        </w:tc>
      </w:tr>
    </w:tbl>
    <w:p w14:paraId="5BF7778D">
      <w:pPr>
        <w:spacing w:line="360" w:lineRule="auto"/>
        <w:jc w:val="right"/>
        <w:rPr>
          <w:rFonts w:hint="eastAsia"/>
          <w:sz w:val="24"/>
          <w:szCs w:val="24"/>
        </w:rPr>
      </w:pPr>
      <w:r>
        <w:rPr>
          <w:rFonts w:hint="eastAsia"/>
          <w:sz w:val="24"/>
          <w:szCs w:val="24"/>
        </w:rPr>
        <w:t>供应商公章：</w:t>
      </w:r>
    </w:p>
    <w:p w14:paraId="0032FECB">
      <w:pPr>
        <w:widowControl/>
        <w:jc w:val="left"/>
        <w:sectPr>
          <w:pgSz w:w="11906" w:h="16838"/>
          <w:pgMar w:top="1440" w:right="1800" w:bottom="1440" w:left="1800" w:header="851" w:footer="992" w:gutter="0"/>
          <w:pgNumType w:fmt="decimal"/>
          <w:cols w:space="720" w:num="1"/>
          <w:docGrid w:type="lines" w:linePitch="312" w:charSpace="0"/>
        </w:sectPr>
      </w:pPr>
    </w:p>
    <w:p w14:paraId="0DEA5F22">
      <w:pPr>
        <w:rPr>
          <w:rFonts w:hint="eastAsia"/>
        </w:rPr>
      </w:pPr>
      <w:r>
        <w:rPr>
          <w:rFonts w:hint="eastAsia"/>
        </w:rPr>
        <w:t xml:space="preserve"> </w:t>
      </w:r>
    </w:p>
    <w:p w14:paraId="5571D8AF">
      <w:pPr>
        <w:pStyle w:val="3"/>
        <w:spacing w:line="400" w:lineRule="exact"/>
        <w:jc w:val="center"/>
        <w:rPr>
          <w:rFonts w:hint="eastAsia"/>
          <w:b/>
          <w:sz w:val="28"/>
          <w:szCs w:val="28"/>
        </w:rPr>
      </w:pPr>
      <w:bookmarkStart w:id="58" w:name="_Toc8334"/>
      <w:bookmarkEnd w:id="58"/>
      <w:bookmarkStart w:id="59" w:name="_Toc22721"/>
      <w:r>
        <w:rPr>
          <w:rFonts w:hint="eastAsia"/>
          <w:b/>
          <w:sz w:val="28"/>
          <w:szCs w:val="28"/>
        </w:rPr>
        <w:t>中小企业声明函（服务）</w:t>
      </w:r>
      <w:bookmarkEnd w:id="59"/>
    </w:p>
    <w:p w14:paraId="6304AA0F">
      <w:pPr>
        <w:autoSpaceDE w:val="0"/>
        <w:autoSpaceDN w:val="0"/>
        <w:spacing w:line="400" w:lineRule="exact"/>
        <w:ind w:firstLine="480" w:firstLineChars="200"/>
        <w:rPr>
          <w:rFonts w:hint="eastAsia"/>
          <w:sz w:val="24"/>
          <w:szCs w:val="24"/>
        </w:rPr>
      </w:pPr>
      <w:r>
        <w:rPr>
          <w:rFonts w:hint="eastAsia"/>
          <w:sz w:val="24"/>
          <w:szCs w:val="24"/>
        </w:rPr>
        <w:t>本公司（联合体）郑重声明，根据《政府采购促进中小企业发展管理办法》（财库〔2020〕46号）的规定，本公司（联合体）参加</w:t>
      </w:r>
      <w:r>
        <w:rPr>
          <w:rFonts w:hint="eastAsia"/>
          <w:b/>
          <w:bCs/>
          <w:sz w:val="24"/>
          <w:szCs w:val="24"/>
          <w:highlight w:val="yellow"/>
          <w:u w:val="single"/>
        </w:rPr>
        <w:t>马鞍山市公安局</w:t>
      </w:r>
      <w:r>
        <w:rPr>
          <w:rFonts w:hint="eastAsia"/>
          <w:sz w:val="24"/>
          <w:szCs w:val="24"/>
        </w:rPr>
        <w:t>的</w:t>
      </w:r>
      <w:r>
        <w:rPr>
          <w:rFonts w:hint="eastAsia"/>
          <w:b/>
          <w:bCs/>
          <w:sz w:val="24"/>
          <w:szCs w:val="24"/>
          <w:highlight w:val="yellow"/>
          <w:u w:val="single"/>
        </w:rPr>
        <w:t>马鞍山市公安局集约化运维网络线路采购（项目编号：</w:t>
      </w:r>
      <w:r>
        <w:rPr>
          <w:rFonts w:hint="eastAsia"/>
          <w:b/>
          <w:bCs/>
          <w:sz w:val="24"/>
          <w:szCs w:val="24"/>
          <w:highlight w:val="yellow"/>
          <w:u w:val="single"/>
          <w:lang w:eastAsia="zh-CN"/>
        </w:rPr>
        <w:t>KJXY202512300585</w:t>
      </w:r>
      <w:r>
        <w:rPr>
          <w:rFonts w:hint="eastAsia"/>
          <w:b/>
          <w:bCs/>
          <w:sz w:val="24"/>
          <w:szCs w:val="24"/>
          <w:highlight w:val="yellow"/>
          <w:u w:val="single"/>
        </w:rPr>
        <w:t>）</w:t>
      </w:r>
      <w:r>
        <w:rPr>
          <w:rFonts w:hint="eastAsia"/>
          <w:sz w:val="24"/>
          <w:szCs w:val="24"/>
        </w:rPr>
        <w:t>采购活动，工程的施工单位全部由符合政策要求的中小企业（或者：服务全部由符合政策要求的中小企业承接）。相关企业（含联合体中的中小企业、签订分包意向协议的中小企业）的具体情况如下：</w:t>
      </w:r>
    </w:p>
    <w:p w14:paraId="02F3163C">
      <w:pPr>
        <w:autoSpaceDE w:val="0"/>
        <w:autoSpaceDN w:val="0"/>
        <w:spacing w:line="400" w:lineRule="exact"/>
        <w:ind w:left="80" w:leftChars="38" w:right="40" w:firstLine="480" w:firstLineChars="200"/>
        <w:rPr>
          <w:rFonts w:hint="eastAsia"/>
          <w:sz w:val="24"/>
          <w:szCs w:val="24"/>
        </w:rPr>
      </w:pPr>
      <w:r>
        <w:rPr>
          <w:rFonts w:hint="eastAsia"/>
          <w:sz w:val="24"/>
          <w:szCs w:val="24"/>
          <w:u w:val="single"/>
        </w:rPr>
        <w:t>（标的名称）</w:t>
      </w:r>
      <w:r>
        <w:rPr>
          <w:rFonts w:hint="eastAsia"/>
          <w:sz w:val="24"/>
          <w:szCs w:val="24"/>
        </w:rPr>
        <w:t>，属于</w:t>
      </w:r>
      <w:r>
        <w:rPr>
          <w:rFonts w:hint="eastAsia"/>
          <w:b/>
          <w:bCs/>
          <w:sz w:val="24"/>
          <w:szCs w:val="24"/>
          <w:u w:val="single"/>
        </w:rPr>
        <w:t>（标的所属行业）</w:t>
      </w:r>
      <w:r>
        <w:rPr>
          <w:rFonts w:hint="eastAsia"/>
          <w:sz w:val="24"/>
          <w:szCs w:val="24"/>
        </w:rPr>
        <w:t>；承建（承接）企业为</w:t>
      </w:r>
      <w:r>
        <w:rPr>
          <w:rFonts w:hint="eastAsia"/>
          <w:sz w:val="24"/>
          <w:szCs w:val="24"/>
          <w:u w:val="single"/>
        </w:rPr>
        <w:t>（企业名称）</w:t>
      </w:r>
      <w:r>
        <w:rPr>
          <w:rFonts w:hint="eastAsia"/>
          <w:sz w:val="24"/>
          <w:szCs w:val="24"/>
        </w:rPr>
        <w:t>，从业人员人，营业收入为万元，资产总额为万元，属于</w:t>
      </w:r>
      <w:r>
        <w:rPr>
          <w:rFonts w:hint="eastAsia"/>
          <w:sz w:val="24"/>
          <w:szCs w:val="24"/>
          <w:u w:val="single"/>
        </w:rPr>
        <w:t>（中型企业、小型企业、微型企业）</w:t>
      </w:r>
      <w:r>
        <w:rPr>
          <w:rFonts w:hint="eastAsia"/>
          <w:sz w:val="24"/>
          <w:szCs w:val="24"/>
        </w:rPr>
        <w:t>；</w:t>
      </w:r>
    </w:p>
    <w:p w14:paraId="1D6E7AF6">
      <w:pPr>
        <w:pStyle w:val="3"/>
        <w:spacing w:line="400" w:lineRule="exact"/>
        <w:ind w:firstLine="480" w:firstLineChars="200"/>
        <w:rPr>
          <w:rFonts w:hint="eastAsia"/>
          <w:kern w:val="2"/>
          <w:sz w:val="24"/>
          <w:szCs w:val="24"/>
        </w:rPr>
      </w:pPr>
      <w:r>
        <w:rPr>
          <w:rFonts w:hint="eastAsia"/>
          <w:kern w:val="2"/>
          <w:sz w:val="24"/>
          <w:szCs w:val="24"/>
        </w:rPr>
        <w:t xml:space="preserve"> </w:t>
      </w:r>
    </w:p>
    <w:p w14:paraId="48AB1CA4">
      <w:pPr>
        <w:pStyle w:val="3"/>
        <w:spacing w:line="400" w:lineRule="exact"/>
        <w:ind w:firstLine="480" w:firstLineChars="200"/>
        <w:rPr>
          <w:rFonts w:hint="eastAsia"/>
          <w:kern w:val="2"/>
          <w:sz w:val="24"/>
          <w:szCs w:val="24"/>
        </w:rPr>
      </w:pPr>
      <w:r>
        <w:rPr>
          <w:rFonts w:hint="eastAsia"/>
          <w:kern w:val="2"/>
          <w:sz w:val="24"/>
          <w:szCs w:val="24"/>
        </w:rPr>
        <w:t>以上企业，不属于大企业的分支机构，不存在控股股东为大企业的情形，也不存在与大企业的负责人为同一人的情形。</w:t>
      </w:r>
    </w:p>
    <w:p w14:paraId="431D7FC9">
      <w:pPr>
        <w:pStyle w:val="3"/>
        <w:spacing w:line="400" w:lineRule="exact"/>
        <w:ind w:firstLine="480" w:firstLineChars="200"/>
        <w:rPr>
          <w:rFonts w:hint="eastAsia"/>
          <w:kern w:val="2"/>
          <w:sz w:val="24"/>
          <w:szCs w:val="24"/>
        </w:rPr>
      </w:pPr>
      <w:r>
        <w:rPr>
          <w:rFonts w:hint="eastAsia"/>
          <w:kern w:val="2"/>
          <w:sz w:val="24"/>
          <w:szCs w:val="24"/>
        </w:rPr>
        <w:t>本企业对上述声明内容的真实性负责。如有虚假，将依法承担相应责任。</w:t>
      </w:r>
    </w:p>
    <w:p w14:paraId="6E776782">
      <w:pPr>
        <w:pStyle w:val="3"/>
        <w:spacing w:line="400" w:lineRule="exact"/>
        <w:ind w:firstLine="480" w:firstLineChars="200"/>
        <w:jc w:val="right"/>
        <w:rPr>
          <w:rFonts w:hint="eastAsia"/>
          <w:kern w:val="2"/>
          <w:sz w:val="24"/>
          <w:szCs w:val="24"/>
        </w:rPr>
      </w:pPr>
      <w:r>
        <w:rPr>
          <w:rFonts w:hint="eastAsia"/>
          <w:kern w:val="2"/>
          <w:sz w:val="24"/>
          <w:szCs w:val="24"/>
        </w:rPr>
        <w:t>供应商（盖单位公章）：</w:t>
      </w:r>
    </w:p>
    <w:p w14:paraId="439B6E9C">
      <w:pPr>
        <w:pStyle w:val="3"/>
        <w:spacing w:line="400" w:lineRule="exact"/>
        <w:ind w:firstLine="480" w:firstLineChars="200"/>
        <w:jc w:val="right"/>
        <w:rPr>
          <w:rFonts w:hint="eastAsia"/>
          <w:kern w:val="2"/>
          <w:sz w:val="24"/>
          <w:szCs w:val="24"/>
        </w:rPr>
      </w:pPr>
      <w:r>
        <w:rPr>
          <w:rFonts w:hint="eastAsia"/>
          <w:kern w:val="2"/>
          <w:sz w:val="24"/>
          <w:szCs w:val="24"/>
        </w:rPr>
        <w:t>日期：</w:t>
      </w:r>
      <w:r>
        <w:rPr>
          <w:rFonts w:hint="eastAsia"/>
          <w:sz w:val="24"/>
          <w:szCs w:val="24"/>
          <w:u w:val="single"/>
        </w:rPr>
        <w:t>2025年*月*日</w:t>
      </w:r>
    </w:p>
    <w:p w14:paraId="62B357F4">
      <w:pPr>
        <w:pStyle w:val="3"/>
        <w:spacing w:line="400" w:lineRule="exact"/>
        <w:ind w:firstLine="482" w:firstLineChars="200"/>
        <w:rPr>
          <w:rFonts w:hint="eastAsia"/>
          <w:b/>
          <w:kern w:val="2"/>
          <w:sz w:val="24"/>
          <w:szCs w:val="24"/>
        </w:rPr>
      </w:pPr>
      <w:r>
        <w:rPr>
          <w:rFonts w:hint="eastAsia"/>
          <w:b/>
          <w:kern w:val="2"/>
          <w:sz w:val="24"/>
          <w:szCs w:val="24"/>
        </w:rPr>
        <w:t>注：</w:t>
      </w:r>
    </w:p>
    <w:p w14:paraId="26CD4D8D">
      <w:pPr>
        <w:pStyle w:val="3"/>
        <w:spacing w:line="400" w:lineRule="exact"/>
        <w:ind w:firstLine="482" w:firstLineChars="200"/>
        <w:rPr>
          <w:rFonts w:hint="eastAsia"/>
          <w:b/>
          <w:kern w:val="2"/>
          <w:sz w:val="24"/>
          <w:szCs w:val="24"/>
        </w:rPr>
      </w:pPr>
      <w:r>
        <w:rPr>
          <w:rFonts w:hint="eastAsia"/>
          <w:b/>
          <w:kern w:val="2"/>
          <w:sz w:val="24"/>
          <w:szCs w:val="24"/>
        </w:rPr>
        <w:t>1、从业人员、营业收入、资产总额填报上一年度数据，无上一年度数据的新成立企业可不填报。</w:t>
      </w:r>
    </w:p>
    <w:p w14:paraId="752B64CB">
      <w:pPr>
        <w:pStyle w:val="3"/>
        <w:spacing w:line="400" w:lineRule="exact"/>
        <w:ind w:firstLine="482" w:firstLineChars="200"/>
        <w:rPr>
          <w:rFonts w:hint="eastAsia"/>
          <w:b/>
          <w:kern w:val="2"/>
          <w:sz w:val="24"/>
          <w:szCs w:val="24"/>
        </w:rPr>
      </w:pPr>
      <w:r>
        <w:rPr>
          <w:rFonts w:hint="eastAsia"/>
          <w:b/>
          <w:kern w:val="2"/>
          <w:sz w:val="24"/>
          <w:szCs w:val="24"/>
        </w:rPr>
        <w:t>2、如供应商未按要求填写上述内容，则不享受</w:t>
      </w:r>
      <w:r>
        <w:rPr>
          <w:rFonts w:hint="eastAsia"/>
          <w:b/>
          <w:bCs/>
          <w:kern w:val="2"/>
          <w:sz w:val="24"/>
          <w:szCs w:val="24"/>
        </w:rPr>
        <w:t>中小企业扶持政策</w:t>
      </w:r>
      <w:r>
        <w:rPr>
          <w:rFonts w:hint="eastAsia"/>
          <w:b/>
          <w:kern w:val="2"/>
          <w:sz w:val="24"/>
          <w:szCs w:val="24"/>
        </w:rPr>
        <w:t>。</w:t>
      </w:r>
    </w:p>
    <w:p w14:paraId="424EC3F3">
      <w:pPr>
        <w:pStyle w:val="3"/>
        <w:spacing w:line="400" w:lineRule="exact"/>
        <w:ind w:firstLine="482" w:firstLineChars="200"/>
        <w:rPr>
          <w:rFonts w:hint="eastAsia"/>
          <w:b/>
          <w:kern w:val="2"/>
          <w:sz w:val="24"/>
          <w:szCs w:val="24"/>
        </w:rPr>
      </w:pPr>
      <w:r>
        <w:rPr>
          <w:rFonts w:hint="eastAsia"/>
          <w:b/>
          <w:kern w:val="2"/>
          <w:sz w:val="24"/>
          <w:szCs w:val="24"/>
        </w:rPr>
        <w:t>3、若供应商提供的声明函内容不实，属于提供虚假材料谋取入围，依照《中华人民共和国政府采购法》等国家有关规定追究相应责任。请供应商详细阅读供应商须知前附表中关于中小企业声明的要求，谨慎声明。</w:t>
      </w:r>
    </w:p>
    <w:p w14:paraId="46C0CAF7">
      <w:pPr>
        <w:pStyle w:val="3"/>
        <w:spacing w:line="400" w:lineRule="exact"/>
        <w:ind w:firstLine="482" w:firstLineChars="200"/>
        <w:rPr>
          <w:rFonts w:hint="eastAsia"/>
          <w:b/>
          <w:kern w:val="2"/>
          <w:sz w:val="24"/>
          <w:szCs w:val="24"/>
        </w:rPr>
      </w:pPr>
      <w:r>
        <w:rPr>
          <w:rFonts w:hint="eastAsia"/>
          <w:b/>
          <w:kern w:val="2"/>
          <w:sz w:val="24"/>
          <w:szCs w:val="24"/>
        </w:rPr>
        <w:t>4、供应商在“采购文件中明确的所属行业”一栏中填写所属行业，所属行业详见“第五章  采购内容及总体要求”。</w:t>
      </w:r>
      <w:r>
        <w:rPr>
          <w:rFonts w:hint="eastAsia"/>
          <w:b/>
          <w:kern w:val="2"/>
          <w:sz w:val="24"/>
          <w:szCs w:val="24"/>
          <w:highlight w:val="yellow"/>
        </w:rPr>
        <w:t>采购文件中明确的所属行业标的品目，需在中小企业声明函中列出；所属行业标注为“/”的标的品目，无需在中小企业声明函中列出。</w:t>
      </w:r>
    </w:p>
    <w:p w14:paraId="34CD3D2E">
      <w:pPr>
        <w:pStyle w:val="3"/>
        <w:spacing w:line="400" w:lineRule="exact"/>
        <w:ind w:firstLine="482" w:firstLineChars="200"/>
        <w:rPr>
          <w:rFonts w:hint="eastAsia"/>
        </w:rPr>
      </w:pPr>
      <w:r>
        <w:rPr>
          <w:rFonts w:hint="eastAsia"/>
          <w:b/>
          <w:kern w:val="2"/>
          <w:sz w:val="24"/>
          <w:szCs w:val="24"/>
        </w:rPr>
        <w:t>5、供应商在“中型企业、小型企业、微型企业”一栏中只需填写其中一种类型。</w:t>
      </w:r>
    </w:p>
    <w:p w14:paraId="09668CE1">
      <w:pPr>
        <w:widowControl/>
        <w:jc w:val="left"/>
        <w:rPr>
          <w:b/>
          <w:sz w:val="24"/>
          <w:szCs w:val="24"/>
        </w:rPr>
        <w:sectPr>
          <w:pgSz w:w="11906" w:h="16838"/>
          <w:pgMar w:top="1440" w:right="1800" w:bottom="1440" w:left="1800" w:header="851" w:footer="992" w:gutter="0"/>
          <w:pgNumType w:fmt="decimal"/>
          <w:cols w:space="720" w:num="1"/>
          <w:docGrid w:type="lines" w:linePitch="312" w:charSpace="0"/>
        </w:sectPr>
      </w:pPr>
    </w:p>
    <w:p w14:paraId="2564A393"/>
    <w:p w14:paraId="1C659CE6">
      <w:pPr>
        <w:pStyle w:val="21"/>
        <w:spacing w:line="280" w:lineRule="exact"/>
        <w:ind w:firstLine="0" w:firstLineChars="0"/>
        <w:jc w:val="center"/>
        <w:rPr>
          <w:rFonts w:ascii="宋体" w:hAnsi="宋体" w:eastAsia="宋体"/>
          <w:b/>
          <w:color w:val="FF0000"/>
        </w:rPr>
      </w:pPr>
      <w:r>
        <w:rPr>
          <w:rFonts w:hint="eastAsia" w:ascii="宋体" w:hAnsi="宋体" w:eastAsia="宋体"/>
          <w:b/>
          <w:color w:val="FF0000"/>
        </w:rPr>
        <w:t xml:space="preserve"> </w:t>
      </w:r>
    </w:p>
    <w:p w14:paraId="66FC355F">
      <w:pPr>
        <w:pStyle w:val="21"/>
        <w:spacing w:line="280" w:lineRule="exact"/>
        <w:ind w:firstLine="0" w:firstLineChars="0"/>
        <w:jc w:val="center"/>
        <w:rPr>
          <w:rFonts w:hint="eastAsia" w:ascii="宋体" w:hAnsi="宋体" w:eastAsia="宋体"/>
          <w:b/>
          <w:color w:val="FF0000"/>
        </w:rPr>
      </w:pPr>
      <w:r>
        <w:rPr>
          <w:rFonts w:hint="eastAsia" w:ascii="宋体" w:hAnsi="宋体" w:eastAsia="宋体"/>
          <w:b/>
          <w:color w:val="FF0000"/>
        </w:rPr>
        <w:t>各行业划型标准</w:t>
      </w:r>
    </w:p>
    <w:p w14:paraId="5D2E4E95">
      <w:pPr>
        <w:pStyle w:val="21"/>
        <w:spacing w:line="280" w:lineRule="exact"/>
        <w:ind w:firstLine="390" w:firstLineChars="0"/>
        <w:rPr>
          <w:rFonts w:hint="eastAsia" w:ascii="宋体" w:hAnsi="宋体" w:eastAsia="宋体"/>
          <w:color w:val="FF0000"/>
        </w:rPr>
      </w:pPr>
      <w:r>
        <w:rPr>
          <w:rFonts w:hint="eastAsia" w:ascii="宋体" w:hAnsi="宋体" w:eastAsia="宋体"/>
          <w:color w:val="FF0000"/>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olor w:val="FF0000"/>
        </w:rPr>
        <w:br w:type="textWrapping"/>
      </w:r>
      <w:r>
        <w:rPr>
          <w:rFonts w:hint="eastAsia" w:ascii="宋体" w:hAnsi="宋体" w:eastAsia="宋体"/>
          <w:color w:val="FF0000"/>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olor w:val="FF0000"/>
        </w:rPr>
        <w:br w:type="textWrapping"/>
      </w:r>
      <w:r>
        <w:rPr>
          <w:rFonts w:hint="eastAsia" w:ascii="宋体" w:hAnsi="宋体" w:eastAsia="宋体"/>
          <w:color w:val="FF0000"/>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olor w:val="FF0000"/>
        </w:rPr>
        <w:br w:type="textWrapping"/>
      </w:r>
      <w:r>
        <w:rPr>
          <w:rFonts w:hint="eastAsia" w:ascii="宋体" w:hAnsi="宋体" w:eastAsia="宋体"/>
          <w:color w:val="FF0000"/>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olor w:val="FF0000"/>
        </w:rPr>
        <w:br w:type="textWrapping"/>
      </w:r>
      <w:r>
        <w:rPr>
          <w:rFonts w:hint="eastAsia" w:ascii="宋体" w:hAnsi="宋体" w:eastAsia="宋体"/>
          <w:color w:val="FF0000"/>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olor w:val="FF0000"/>
        </w:rPr>
        <w:br w:type="textWrapping"/>
      </w:r>
      <w:r>
        <w:rPr>
          <w:rFonts w:hint="eastAsia" w:ascii="宋体" w:hAnsi="宋体" w:eastAsia="宋体"/>
          <w:color w:val="FF0000"/>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olor w:val="FF0000"/>
        </w:rPr>
        <w:br w:type="textWrapping"/>
      </w:r>
      <w:r>
        <w:rPr>
          <w:rFonts w:hint="eastAsia" w:ascii="宋体" w:hAnsi="宋体" w:eastAsia="宋体"/>
          <w:color w:val="FF0000"/>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olor w:val="FF0000"/>
        </w:rPr>
        <w:br w:type="textWrapping"/>
      </w:r>
      <w:r>
        <w:rPr>
          <w:rFonts w:hint="eastAsia" w:ascii="宋体" w:hAnsi="宋体" w:eastAsia="宋体"/>
          <w:color w:val="FF0000"/>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olor w:val="FF0000"/>
        </w:rPr>
        <w:br w:type="textWrapping"/>
      </w:r>
      <w:r>
        <w:rPr>
          <w:rFonts w:hint="eastAsia" w:ascii="宋体" w:hAnsi="宋体" w:eastAsia="宋体"/>
          <w:color w:val="FF0000"/>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olor w:val="FF0000"/>
        </w:rPr>
        <w:br w:type="textWrapping"/>
      </w:r>
      <w:r>
        <w:rPr>
          <w:rFonts w:hint="eastAsia" w:ascii="宋体" w:hAnsi="宋体" w:eastAsia="宋体"/>
          <w:color w:val="FF0000"/>
        </w:rPr>
        <w:t xml:space="preserve">  （十六）其他未列明行业。从业人员300人以下的为中小微型企业。其中，从业人员100人及以上的为中型企业；从业人员10人及以上的为小型企业；从业人员10人以下的为微型企业。</w:t>
      </w:r>
    </w:p>
    <w:p w14:paraId="17275CB0">
      <w:pPr>
        <w:widowControl/>
        <w:jc w:val="left"/>
        <w:sectPr>
          <w:pgSz w:w="11906" w:h="16838"/>
          <w:pgMar w:top="1440" w:right="1800" w:bottom="1440" w:left="1800" w:header="851" w:footer="992" w:gutter="0"/>
          <w:pgNumType w:fmt="decimal"/>
          <w:cols w:space="720" w:num="1"/>
          <w:docGrid w:type="lines" w:linePitch="312" w:charSpace="0"/>
        </w:sectPr>
      </w:pPr>
    </w:p>
    <w:p w14:paraId="5BBC47DE">
      <w:pPr>
        <w:pStyle w:val="11"/>
        <w:ind w:firstLine="400"/>
        <w:rPr>
          <w:rFonts w:hint="eastAsia" w:ascii="宋体" w:hAnsi="宋体"/>
        </w:rPr>
      </w:pPr>
      <w:r>
        <w:rPr>
          <w:rFonts w:hint="eastAsia" w:ascii="宋体" w:hAnsi="宋体"/>
        </w:rPr>
        <w:t xml:space="preserve"> </w:t>
      </w:r>
    </w:p>
    <w:p w14:paraId="00C10B1E">
      <w:pPr>
        <w:spacing w:line="360" w:lineRule="auto"/>
        <w:jc w:val="center"/>
        <w:outlineLvl w:val="0"/>
        <w:rPr>
          <w:rFonts w:hint="eastAsia"/>
          <w:b/>
          <w:sz w:val="28"/>
          <w:szCs w:val="28"/>
        </w:rPr>
      </w:pPr>
      <w:bookmarkStart w:id="60" w:name="_Toc3347"/>
      <w:bookmarkEnd w:id="60"/>
      <w:r>
        <w:rPr>
          <w:rFonts w:hint="eastAsia"/>
          <w:b/>
          <w:sz w:val="28"/>
          <w:szCs w:val="28"/>
        </w:rPr>
        <w:t>四、无重大违法记录声明函、无不良信用记录声明函</w:t>
      </w:r>
    </w:p>
    <w:p w14:paraId="592B69D0">
      <w:pPr>
        <w:wordWrap w:val="0"/>
        <w:spacing w:line="360" w:lineRule="auto"/>
        <w:ind w:firstLine="437"/>
        <w:rPr>
          <w:rFonts w:hint="eastAsia"/>
          <w:sz w:val="24"/>
          <w:szCs w:val="24"/>
        </w:rPr>
      </w:pPr>
      <w:bookmarkStart w:id="61" w:name="_Hlk16464098"/>
      <w:bookmarkEnd w:id="61"/>
      <w:r>
        <w:rPr>
          <w:rFonts w:hint="eastAsia"/>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A1F51A6">
      <w:pPr>
        <w:wordWrap w:val="0"/>
        <w:spacing w:line="360" w:lineRule="auto"/>
        <w:ind w:firstLine="437"/>
        <w:rPr>
          <w:rFonts w:hint="eastAsia"/>
          <w:sz w:val="24"/>
          <w:szCs w:val="24"/>
        </w:rPr>
      </w:pPr>
      <w:r>
        <w:rPr>
          <w:rFonts w:hint="eastAsia"/>
          <w:sz w:val="24"/>
          <w:szCs w:val="24"/>
        </w:rPr>
        <w:t>2.本单位郑重声明，我单位无以下不良信用记录情形：</w:t>
      </w:r>
    </w:p>
    <w:p w14:paraId="769F02F1">
      <w:pPr>
        <w:wordWrap w:val="0"/>
        <w:spacing w:line="360" w:lineRule="auto"/>
        <w:ind w:firstLine="437"/>
        <w:rPr>
          <w:rFonts w:hint="eastAsia"/>
          <w:sz w:val="24"/>
          <w:szCs w:val="24"/>
        </w:rPr>
      </w:pPr>
      <w:r>
        <w:rPr>
          <w:rFonts w:hint="eastAsia"/>
          <w:sz w:val="24"/>
          <w:szCs w:val="24"/>
        </w:rPr>
        <w:t>（1）被人民法院列入失信被执行人；</w:t>
      </w:r>
    </w:p>
    <w:p w14:paraId="0BF337A2">
      <w:pPr>
        <w:wordWrap w:val="0"/>
        <w:spacing w:line="360" w:lineRule="auto"/>
        <w:ind w:firstLine="437"/>
        <w:rPr>
          <w:rFonts w:hint="eastAsia"/>
          <w:sz w:val="24"/>
          <w:szCs w:val="24"/>
        </w:rPr>
      </w:pPr>
      <w:r>
        <w:rPr>
          <w:rFonts w:hint="eastAsia"/>
          <w:sz w:val="24"/>
          <w:szCs w:val="24"/>
        </w:rPr>
        <w:t>（2）单位、法定代表人或拟派项目经理（项目负责人）被人民检察院列入行贿犯罪档案；</w:t>
      </w:r>
    </w:p>
    <w:p w14:paraId="071C4962">
      <w:pPr>
        <w:wordWrap w:val="0"/>
        <w:spacing w:line="360" w:lineRule="auto"/>
        <w:ind w:firstLine="437"/>
        <w:rPr>
          <w:rFonts w:hint="eastAsia"/>
          <w:sz w:val="24"/>
          <w:szCs w:val="24"/>
        </w:rPr>
      </w:pPr>
      <w:r>
        <w:rPr>
          <w:rFonts w:hint="eastAsia"/>
          <w:sz w:val="24"/>
          <w:szCs w:val="24"/>
        </w:rPr>
        <w:t>（3）被工商行政管理部门列入企业经营异常名录；</w:t>
      </w:r>
    </w:p>
    <w:p w14:paraId="44BF8312">
      <w:pPr>
        <w:wordWrap w:val="0"/>
        <w:spacing w:line="360" w:lineRule="auto"/>
        <w:ind w:firstLine="437"/>
        <w:rPr>
          <w:rFonts w:hint="eastAsia"/>
          <w:sz w:val="24"/>
          <w:szCs w:val="24"/>
        </w:rPr>
      </w:pPr>
      <w:r>
        <w:rPr>
          <w:rFonts w:hint="eastAsia"/>
          <w:sz w:val="24"/>
          <w:szCs w:val="24"/>
        </w:rPr>
        <w:t>（4）被税务部门列入重大税收违法案件当事人名单；</w:t>
      </w:r>
    </w:p>
    <w:p w14:paraId="038D1357">
      <w:pPr>
        <w:wordWrap w:val="0"/>
        <w:spacing w:line="360" w:lineRule="auto"/>
        <w:ind w:firstLine="437"/>
        <w:rPr>
          <w:rFonts w:hint="eastAsia"/>
          <w:sz w:val="24"/>
          <w:szCs w:val="24"/>
        </w:rPr>
      </w:pPr>
      <w:r>
        <w:rPr>
          <w:rFonts w:hint="eastAsia"/>
          <w:sz w:val="24"/>
          <w:szCs w:val="24"/>
        </w:rPr>
        <w:t>（5）被政府采购监管部门列入政府采购严重违法失信行为记录名单。</w:t>
      </w:r>
    </w:p>
    <w:p w14:paraId="0B0B833D">
      <w:pPr>
        <w:wordWrap w:val="0"/>
        <w:spacing w:line="360" w:lineRule="auto"/>
        <w:ind w:firstLine="437"/>
        <w:rPr>
          <w:rFonts w:hint="eastAsia"/>
          <w:sz w:val="24"/>
          <w:szCs w:val="24"/>
        </w:rPr>
      </w:pPr>
      <w:r>
        <w:rPr>
          <w:rFonts w:hint="eastAsia"/>
          <w:sz w:val="24"/>
          <w:szCs w:val="24"/>
        </w:rPr>
        <w:t>本单位对上述声明的真实性负责。如有虚假，将依法承担相应责任。</w:t>
      </w:r>
    </w:p>
    <w:p w14:paraId="528637C1">
      <w:pPr>
        <w:wordWrap w:val="0"/>
        <w:spacing w:line="360" w:lineRule="auto"/>
        <w:ind w:firstLine="437"/>
        <w:rPr>
          <w:rFonts w:hint="eastAsia"/>
          <w:sz w:val="24"/>
          <w:szCs w:val="24"/>
        </w:rPr>
      </w:pPr>
      <w:r>
        <w:rPr>
          <w:rFonts w:hint="eastAsia"/>
          <w:sz w:val="24"/>
          <w:szCs w:val="24"/>
        </w:rPr>
        <w:t>3.经我单位自行查询中国政府采购网（www.ccgp.gov.cn）、“信用中国”网站（www.creditchina.gov.cn）、国家企业信用信息公示系统（www.gsxt.gov.cn），我单位承诺不存在不良信用记录。</w:t>
      </w:r>
    </w:p>
    <w:p w14:paraId="670ABD7A">
      <w:pPr>
        <w:spacing w:line="360" w:lineRule="auto"/>
        <w:rPr>
          <w:rFonts w:hint="eastAsia"/>
          <w:sz w:val="24"/>
          <w:szCs w:val="24"/>
        </w:rPr>
      </w:pPr>
      <w:r>
        <w:rPr>
          <w:rFonts w:hint="eastAsia"/>
          <w:sz w:val="24"/>
          <w:szCs w:val="24"/>
        </w:rPr>
        <w:t xml:space="preserve"> </w:t>
      </w:r>
    </w:p>
    <w:p w14:paraId="25C4E9F8">
      <w:pPr>
        <w:spacing w:line="360" w:lineRule="auto"/>
        <w:rPr>
          <w:rFonts w:hint="eastAsia"/>
          <w:sz w:val="24"/>
          <w:szCs w:val="24"/>
        </w:rPr>
      </w:pPr>
      <w:r>
        <w:rPr>
          <w:rFonts w:hint="eastAsia"/>
          <w:sz w:val="24"/>
          <w:szCs w:val="24"/>
        </w:rPr>
        <w:t>供应商公章或电子签章：</w:t>
      </w:r>
    </w:p>
    <w:p w14:paraId="30FA4BDA">
      <w:pPr>
        <w:tabs>
          <w:tab w:val="left" w:pos="630"/>
        </w:tabs>
        <w:spacing w:line="360" w:lineRule="auto"/>
        <w:rPr>
          <w:rFonts w:hint="eastAsia"/>
          <w:sz w:val="24"/>
          <w:szCs w:val="24"/>
        </w:rPr>
      </w:pPr>
      <w:r>
        <w:rPr>
          <w:rFonts w:hint="eastAsia"/>
          <w:sz w:val="24"/>
          <w:szCs w:val="24"/>
        </w:rPr>
        <w:t xml:space="preserve"> </w:t>
      </w:r>
    </w:p>
    <w:p w14:paraId="379C4647">
      <w:pPr>
        <w:tabs>
          <w:tab w:val="left" w:pos="630"/>
        </w:tabs>
        <w:spacing w:line="360" w:lineRule="auto"/>
        <w:rPr>
          <w:rFonts w:hint="eastAsia"/>
          <w:sz w:val="24"/>
          <w:szCs w:val="24"/>
        </w:rPr>
      </w:pPr>
      <w:r>
        <w:rPr>
          <w:rFonts w:hint="eastAsia"/>
          <w:sz w:val="24"/>
          <w:szCs w:val="24"/>
        </w:rPr>
        <w:br w:type="page"/>
      </w:r>
    </w:p>
    <w:p w14:paraId="1B969C7B">
      <w:pPr>
        <w:spacing w:line="360" w:lineRule="auto"/>
        <w:jc w:val="center"/>
        <w:outlineLvl w:val="0"/>
        <w:rPr>
          <w:rFonts w:hint="eastAsia"/>
          <w:b/>
          <w:sz w:val="28"/>
          <w:szCs w:val="28"/>
        </w:rPr>
      </w:pPr>
      <w:bookmarkStart w:id="62" w:name="_Toc25582"/>
      <w:bookmarkEnd w:id="62"/>
      <w:bookmarkStart w:id="63" w:name="_Toc20524"/>
      <w:bookmarkEnd w:id="63"/>
      <w:bookmarkStart w:id="64" w:name="_Hlk11531103"/>
      <w:bookmarkEnd w:id="64"/>
      <w:bookmarkStart w:id="65" w:name="_Toc2546"/>
      <w:bookmarkEnd w:id="65"/>
      <w:bookmarkStart w:id="66" w:name="_Toc23286"/>
      <w:bookmarkEnd w:id="66"/>
      <w:bookmarkStart w:id="67" w:name="_Toc9146"/>
      <w:bookmarkEnd w:id="67"/>
      <w:bookmarkStart w:id="68" w:name="_Toc1590"/>
      <w:r>
        <w:rPr>
          <w:rFonts w:hint="eastAsia"/>
          <w:b/>
          <w:sz w:val="28"/>
          <w:szCs w:val="28"/>
        </w:rPr>
        <w:t>五</w:t>
      </w:r>
      <w:bookmarkEnd w:id="68"/>
      <w:r>
        <w:rPr>
          <w:rFonts w:hint="eastAsia"/>
          <w:b/>
          <w:sz w:val="28"/>
          <w:szCs w:val="28"/>
        </w:rPr>
        <w:t>、</w:t>
      </w:r>
      <w:bookmarkStart w:id="69" w:name="_Toc17776"/>
      <w:bookmarkEnd w:id="69"/>
      <w:bookmarkStart w:id="70" w:name="_Toc20406"/>
      <w:bookmarkEnd w:id="70"/>
      <w:bookmarkStart w:id="71" w:name="_Toc6331"/>
      <w:bookmarkEnd w:id="71"/>
      <w:r>
        <w:rPr>
          <w:rFonts w:hint="eastAsia"/>
          <w:b/>
          <w:sz w:val="28"/>
          <w:szCs w:val="28"/>
        </w:rPr>
        <w:t>响应函</w:t>
      </w:r>
    </w:p>
    <w:p w14:paraId="2CA11331">
      <w:pPr>
        <w:pStyle w:val="5"/>
        <w:spacing w:line="360" w:lineRule="auto"/>
        <w:rPr>
          <w:rFonts w:hint="eastAsia" w:ascii="宋体" w:hAnsi="宋体"/>
          <w:sz w:val="24"/>
          <w:szCs w:val="24"/>
          <w:u w:val="single"/>
        </w:rPr>
      </w:pPr>
      <w:r>
        <w:rPr>
          <w:rFonts w:hint="eastAsia" w:ascii="宋体" w:hAnsi="宋体"/>
          <w:sz w:val="24"/>
          <w:szCs w:val="24"/>
        </w:rPr>
        <w:t>致：</w:t>
      </w:r>
      <w:r>
        <w:rPr>
          <w:rFonts w:hint="eastAsia" w:ascii="宋体" w:hAnsi="宋体"/>
          <w:sz w:val="24"/>
          <w:szCs w:val="24"/>
          <w:u w:val="single"/>
        </w:rPr>
        <w:t>马鞍山市公安局</w:t>
      </w:r>
    </w:p>
    <w:p w14:paraId="07EFF242">
      <w:pPr>
        <w:spacing w:line="360" w:lineRule="auto"/>
        <w:ind w:firstLine="435"/>
        <w:rPr>
          <w:rFonts w:hint="eastAsia"/>
          <w:sz w:val="24"/>
          <w:szCs w:val="24"/>
        </w:rPr>
      </w:pPr>
      <w:r>
        <w:rPr>
          <w:rFonts w:hint="eastAsia"/>
          <w:sz w:val="24"/>
          <w:szCs w:val="24"/>
        </w:rPr>
        <w:t xml:space="preserve">根据贵方的征集公告和征集邀请，我方兹宣布同意如下： </w:t>
      </w:r>
    </w:p>
    <w:p w14:paraId="6CD3D442">
      <w:pPr>
        <w:spacing w:line="360" w:lineRule="auto"/>
        <w:ind w:firstLine="480" w:firstLineChars="200"/>
        <w:rPr>
          <w:rFonts w:hint="eastAsia"/>
          <w:sz w:val="24"/>
          <w:szCs w:val="24"/>
        </w:rPr>
      </w:pPr>
      <w:r>
        <w:rPr>
          <w:rFonts w:hint="eastAsia"/>
          <w:sz w:val="24"/>
          <w:szCs w:val="24"/>
        </w:rPr>
        <w:t>1、按征集文件规定提供服务的最终投标报价见开标一览表，如我方入围，我方承诺愿意按征集文件规定缴纳履约保证金和采购代理服务费。</w:t>
      </w:r>
    </w:p>
    <w:p w14:paraId="72BD28DB">
      <w:pPr>
        <w:spacing w:line="360" w:lineRule="auto"/>
        <w:ind w:firstLine="480" w:firstLineChars="200"/>
        <w:rPr>
          <w:rFonts w:hint="eastAsia"/>
          <w:sz w:val="24"/>
          <w:szCs w:val="24"/>
        </w:rPr>
      </w:pPr>
      <w:r>
        <w:rPr>
          <w:rFonts w:hint="eastAsia"/>
          <w:sz w:val="24"/>
          <w:szCs w:val="24"/>
        </w:rPr>
        <w:t xml:space="preserve">2、我方根据征集文件的规定，严格履行合同的责任和义务,并保证于采购人要求的日期内完成服务，并通过采购人验收。 </w:t>
      </w:r>
    </w:p>
    <w:p w14:paraId="0C2D4E47">
      <w:pPr>
        <w:spacing w:line="360" w:lineRule="auto"/>
        <w:ind w:firstLine="480" w:firstLineChars="200"/>
        <w:rPr>
          <w:rFonts w:hint="eastAsia"/>
          <w:sz w:val="24"/>
          <w:szCs w:val="24"/>
        </w:rPr>
      </w:pPr>
      <w:r>
        <w:rPr>
          <w:rFonts w:hint="eastAsia"/>
          <w:sz w:val="24"/>
          <w:szCs w:val="24"/>
        </w:rPr>
        <w:t>3、我方承诺报价低于同类货物和服务的市场平均价格。</w:t>
      </w:r>
    </w:p>
    <w:p w14:paraId="5D75F673">
      <w:pPr>
        <w:spacing w:line="360" w:lineRule="auto"/>
        <w:ind w:firstLine="480" w:firstLineChars="200"/>
        <w:rPr>
          <w:rFonts w:hint="eastAsia"/>
          <w:sz w:val="24"/>
          <w:szCs w:val="24"/>
        </w:rPr>
      </w:pPr>
      <w:r>
        <w:rPr>
          <w:rFonts w:hint="eastAsia"/>
          <w:sz w:val="24"/>
          <w:szCs w:val="24"/>
        </w:rPr>
        <w:t xml:space="preserve">4、我方同意从征集文件规定的开标日期起遵循本征集文件，并在征集文件规定的投标有效期之前均具有约束力。 </w:t>
      </w:r>
    </w:p>
    <w:p w14:paraId="66195152">
      <w:pPr>
        <w:spacing w:line="360" w:lineRule="auto"/>
        <w:ind w:firstLine="480" w:firstLineChars="200"/>
        <w:rPr>
          <w:rFonts w:hint="eastAsia"/>
          <w:sz w:val="24"/>
          <w:szCs w:val="24"/>
        </w:rPr>
      </w:pPr>
      <w:r>
        <w:rPr>
          <w:rFonts w:hint="eastAsia"/>
          <w:sz w:val="24"/>
          <w:szCs w:val="24"/>
        </w:rPr>
        <w:t xml:space="preserve">5、我方声明响应文件所提供的一切资料均真实无误、及时、有效，企业运营正常。由于我方提供资料不实而造成的责任和后果由我方承担。我方同意按照贵方提出的要求，提供与投标有关的任何证据、数据或资料。 </w:t>
      </w:r>
    </w:p>
    <w:p w14:paraId="10BD0AFE">
      <w:pPr>
        <w:spacing w:line="360" w:lineRule="auto"/>
        <w:ind w:firstLine="480" w:firstLineChars="200"/>
        <w:rPr>
          <w:rFonts w:hint="eastAsia"/>
          <w:sz w:val="24"/>
          <w:szCs w:val="24"/>
        </w:rPr>
      </w:pPr>
      <w:r>
        <w:rPr>
          <w:rFonts w:hint="eastAsia"/>
          <w:sz w:val="24"/>
          <w:szCs w:val="24"/>
        </w:rPr>
        <w:t xml:space="preserve">6、我方完全理解贵方不一定接受最低报价的投标。 </w:t>
      </w:r>
    </w:p>
    <w:p w14:paraId="167911C4">
      <w:pPr>
        <w:spacing w:line="360" w:lineRule="auto"/>
        <w:ind w:firstLine="480" w:firstLineChars="200"/>
        <w:rPr>
          <w:rFonts w:hint="eastAsia"/>
          <w:sz w:val="24"/>
          <w:szCs w:val="24"/>
        </w:rPr>
      </w:pPr>
      <w:r>
        <w:rPr>
          <w:rFonts w:hint="eastAsia"/>
          <w:sz w:val="24"/>
          <w:szCs w:val="24"/>
        </w:rPr>
        <w:t>7、我方接受征集文件规定的付款方式要求。</w:t>
      </w:r>
    </w:p>
    <w:p w14:paraId="6552ACC2">
      <w:pPr>
        <w:spacing w:line="360" w:lineRule="auto"/>
        <w:ind w:firstLine="480" w:firstLineChars="200"/>
        <w:rPr>
          <w:rFonts w:hint="eastAsia"/>
          <w:sz w:val="24"/>
          <w:szCs w:val="24"/>
        </w:rPr>
      </w:pPr>
      <w:r>
        <w:rPr>
          <w:rFonts w:hint="eastAsia"/>
          <w:sz w:val="24"/>
          <w:szCs w:val="24"/>
        </w:rPr>
        <w:t>8、我方承诺我方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0D6E7988">
      <w:pPr>
        <w:spacing w:line="360" w:lineRule="auto"/>
        <w:ind w:firstLine="480" w:firstLineChars="200"/>
        <w:rPr>
          <w:rFonts w:hint="eastAsia"/>
          <w:sz w:val="24"/>
          <w:szCs w:val="24"/>
        </w:rPr>
      </w:pPr>
      <w:r>
        <w:rPr>
          <w:rFonts w:hint="eastAsia"/>
          <w:sz w:val="24"/>
          <w:szCs w:val="24"/>
        </w:rPr>
        <w:t>9、我方承诺我方或我方法定代表人或我方配备项目经理（项目负责人）未被人民检察院列入行贿犯罪档案。</w:t>
      </w:r>
    </w:p>
    <w:p w14:paraId="597A1182">
      <w:pPr>
        <w:spacing w:line="360" w:lineRule="auto"/>
        <w:ind w:firstLine="480" w:firstLineChars="200"/>
        <w:jc w:val="right"/>
        <w:rPr>
          <w:rFonts w:hint="eastAsia"/>
          <w:color w:val="FF0000"/>
          <w:sz w:val="24"/>
          <w:szCs w:val="24"/>
        </w:rPr>
      </w:pPr>
      <w:r>
        <w:rPr>
          <w:rFonts w:hint="eastAsia"/>
          <w:color w:val="FF0000"/>
          <w:sz w:val="24"/>
          <w:szCs w:val="24"/>
        </w:rPr>
        <w:t>供应商（盖单位公章）：</w:t>
      </w:r>
    </w:p>
    <w:p w14:paraId="0930EE6A">
      <w:pPr>
        <w:widowControl/>
        <w:jc w:val="left"/>
        <w:rPr>
          <w:rFonts w:hint="eastAsia"/>
          <w:sz w:val="24"/>
          <w:szCs w:val="24"/>
        </w:rPr>
      </w:pPr>
      <w:r>
        <w:rPr>
          <w:rFonts w:hint="eastAsia"/>
          <w:sz w:val="24"/>
          <w:szCs w:val="24"/>
        </w:rPr>
        <w:br w:type="page"/>
      </w:r>
    </w:p>
    <w:p w14:paraId="5E4B1512">
      <w:pPr>
        <w:spacing w:line="360" w:lineRule="auto"/>
        <w:jc w:val="center"/>
        <w:outlineLvl w:val="0"/>
        <w:rPr>
          <w:rFonts w:hint="eastAsia"/>
          <w:b/>
          <w:sz w:val="24"/>
          <w:szCs w:val="24"/>
        </w:rPr>
      </w:pPr>
      <w:bookmarkStart w:id="72" w:name="_Toc520299348"/>
      <w:bookmarkEnd w:id="72"/>
      <w:bookmarkStart w:id="73" w:name="_Toc3773"/>
      <w:bookmarkEnd w:id="73"/>
      <w:bookmarkStart w:id="74" w:name="_Toc457768004"/>
      <w:bookmarkEnd w:id="74"/>
      <w:bookmarkStart w:id="75" w:name="_Hlk11701496"/>
      <w:bookmarkEnd w:id="75"/>
      <w:bookmarkStart w:id="76" w:name="_Toc6752"/>
      <w:bookmarkEnd w:id="76"/>
      <w:bookmarkStart w:id="77" w:name="_Toc300210382"/>
      <w:bookmarkEnd w:id="77"/>
      <w:bookmarkStart w:id="78" w:name="_Toc19564"/>
      <w:bookmarkEnd w:id="78"/>
      <w:bookmarkStart w:id="79" w:name="_Toc13022"/>
      <w:bookmarkEnd w:id="79"/>
      <w:bookmarkStart w:id="80" w:name="_Toc18279"/>
      <w:bookmarkEnd w:id="80"/>
      <w:bookmarkStart w:id="81" w:name="_Toc31242"/>
      <w:r>
        <w:rPr>
          <w:rFonts w:hint="eastAsia"/>
          <w:b/>
          <w:sz w:val="24"/>
          <w:szCs w:val="24"/>
        </w:rPr>
        <w:t>六</w:t>
      </w:r>
      <w:bookmarkEnd w:id="81"/>
      <w:r>
        <w:rPr>
          <w:rFonts w:hint="eastAsia"/>
          <w:b/>
          <w:sz w:val="24"/>
          <w:szCs w:val="24"/>
        </w:rPr>
        <w:t>、</w:t>
      </w:r>
      <w:bookmarkStart w:id="82" w:name="_Toc6713"/>
      <w:bookmarkEnd w:id="82"/>
      <w:bookmarkStart w:id="83" w:name="_Toc29029"/>
      <w:bookmarkEnd w:id="83"/>
      <w:bookmarkStart w:id="84" w:name="_Toc26837"/>
      <w:bookmarkEnd w:id="84"/>
      <w:r>
        <w:rPr>
          <w:rFonts w:hint="eastAsia"/>
          <w:b/>
          <w:sz w:val="24"/>
          <w:szCs w:val="24"/>
        </w:rPr>
        <w:t>其他相关证明材料</w:t>
      </w:r>
    </w:p>
    <w:p w14:paraId="1EE9D963">
      <w:pPr>
        <w:spacing w:line="360" w:lineRule="auto"/>
        <w:ind w:firstLine="435"/>
        <w:rPr>
          <w:rFonts w:hint="eastAsia"/>
          <w:sz w:val="24"/>
          <w:szCs w:val="24"/>
        </w:rPr>
      </w:pPr>
      <w:r>
        <w:rPr>
          <w:rFonts w:hint="eastAsia"/>
          <w:sz w:val="24"/>
          <w:szCs w:val="24"/>
        </w:rPr>
        <w:t>提供符合征集公告、采购需求及资格审查方法和标准规定的相关证明文件。</w:t>
      </w:r>
    </w:p>
    <w:p w14:paraId="1F2E88A8">
      <w:pPr>
        <w:spacing w:line="360" w:lineRule="auto"/>
        <w:ind w:firstLine="480" w:firstLineChars="200"/>
        <w:rPr>
          <w:rFonts w:hint="eastAsia"/>
          <w:sz w:val="24"/>
          <w:szCs w:val="24"/>
        </w:rPr>
      </w:pPr>
      <w:r>
        <w:rPr>
          <w:rFonts w:hint="eastAsia"/>
          <w:sz w:val="24"/>
          <w:szCs w:val="24"/>
        </w:rPr>
        <w:t xml:space="preserve"> </w:t>
      </w:r>
    </w:p>
    <w:p w14:paraId="01A2E1BC">
      <w:pPr>
        <w:spacing w:line="360" w:lineRule="auto"/>
        <w:ind w:firstLine="435"/>
        <w:rPr>
          <w:rFonts w:hint="eastAsia"/>
          <w:b/>
          <w:sz w:val="24"/>
          <w:szCs w:val="24"/>
        </w:rPr>
      </w:pPr>
      <w:r>
        <w:rPr>
          <w:rFonts w:hint="eastAsia"/>
          <w:b/>
          <w:sz w:val="24"/>
          <w:szCs w:val="24"/>
        </w:rPr>
        <w:t>特别提示：</w:t>
      </w:r>
    </w:p>
    <w:p w14:paraId="343E7138">
      <w:pPr>
        <w:spacing w:line="360" w:lineRule="auto"/>
        <w:ind w:firstLine="435"/>
        <w:rPr>
          <w:rFonts w:hint="eastAsia"/>
          <w:sz w:val="24"/>
          <w:szCs w:val="24"/>
        </w:rPr>
      </w:pPr>
      <w:r>
        <w:rPr>
          <w:rFonts w:hint="eastAsia"/>
          <w:sz w:val="24"/>
          <w:szCs w:val="24"/>
        </w:rPr>
        <w:t>供应商在申请文件制作时可在此章节内上传要求上传的证明资料及承诺等。</w:t>
      </w:r>
    </w:p>
    <w:p w14:paraId="0E20B3D6">
      <w:pPr>
        <w:spacing w:line="360" w:lineRule="auto"/>
        <w:rPr>
          <w:rFonts w:hint="eastAsia"/>
          <w:sz w:val="24"/>
          <w:szCs w:val="24"/>
        </w:rPr>
      </w:pPr>
      <w:r>
        <w:rPr>
          <w:rFonts w:hint="eastAsia"/>
          <w:sz w:val="24"/>
          <w:szCs w:val="24"/>
        </w:rPr>
        <w:t xml:space="preserve"> </w:t>
      </w:r>
    </w:p>
    <w:p w14:paraId="0914F96F">
      <w:pPr>
        <w:rPr>
          <w:rFonts w:hint="eastAsia"/>
          <w:bCs/>
          <w:sz w:val="24"/>
          <w:szCs w:val="24"/>
        </w:rPr>
      </w:pPr>
      <w:r>
        <w:rPr>
          <w:rFonts w:hint="eastAsia"/>
          <w:bCs/>
          <w:sz w:val="24"/>
          <w:szCs w:val="24"/>
        </w:rPr>
        <w:t xml:space="preserve"> </w:t>
      </w:r>
    </w:p>
    <w:p w14:paraId="656CCF49">
      <w:pPr>
        <w:rPr>
          <w:rFonts w:hint="eastAsia"/>
        </w:rPr>
      </w:pPr>
      <w:r>
        <w:rPr>
          <w:rFonts w:hint="eastAsia"/>
        </w:rPr>
        <w:t xml:space="preserve"> </w:t>
      </w:r>
    </w:p>
    <w:p w14:paraId="30E0DF5A"/>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16F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5C87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05C87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523EE"/>
    <w:multiLevelType w:val="multilevel"/>
    <w:tmpl w:val="180523EE"/>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5CE18C3"/>
    <w:multiLevelType w:val="multilevel"/>
    <w:tmpl w:val="25CE18C3"/>
    <w:lvl w:ilvl="0" w:tentative="0">
      <w:start w:val="7"/>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5034D13"/>
    <w:multiLevelType w:val="multilevel"/>
    <w:tmpl w:val="45034D13"/>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5552CAD"/>
    <w:multiLevelType w:val="multilevel"/>
    <w:tmpl w:val="65552CAD"/>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2B"/>
    <w:rsid w:val="00093D7C"/>
    <w:rsid w:val="000B6108"/>
    <w:rsid w:val="000E5368"/>
    <w:rsid w:val="001453AD"/>
    <w:rsid w:val="00173C28"/>
    <w:rsid w:val="001A7291"/>
    <w:rsid w:val="001F5F68"/>
    <w:rsid w:val="002107FC"/>
    <w:rsid w:val="00260FB6"/>
    <w:rsid w:val="002B2B9F"/>
    <w:rsid w:val="003110A6"/>
    <w:rsid w:val="003C6F45"/>
    <w:rsid w:val="00424A84"/>
    <w:rsid w:val="00446F3C"/>
    <w:rsid w:val="00454A7C"/>
    <w:rsid w:val="004757E7"/>
    <w:rsid w:val="0048364C"/>
    <w:rsid w:val="004C2C00"/>
    <w:rsid w:val="004F7F04"/>
    <w:rsid w:val="005A09BC"/>
    <w:rsid w:val="005C3583"/>
    <w:rsid w:val="00613B03"/>
    <w:rsid w:val="006B6C41"/>
    <w:rsid w:val="006C3976"/>
    <w:rsid w:val="006E1AA6"/>
    <w:rsid w:val="007778AA"/>
    <w:rsid w:val="007A299E"/>
    <w:rsid w:val="007B70E8"/>
    <w:rsid w:val="007C4F0A"/>
    <w:rsid w:val="007D02C8"/>
    <w:rsid w:val="007F4A37"/>
    <w:rsid w:val="00850746"/>
    <w:rsid w:val="00852938"/>
    <w:rsid w:val="008B0A61"/>
    <w:rsid w:val="008D7FAA"/>
    <w:rsid w:val="008E396D"/>
    <w:rsid w:val="009250D3"/>
    <w:rsid w:val="00982FB6"/>
    <w:rsid w:val="009A4706"/>
    <w:rsid w:val="009E5A95"/>
    <w:rsid w:val="009F6691"/>
    <w:rsid w:val="00A209DE"/>
    <w:rsid w:val="00A40957"/>
    <w:rsid w:val="00A54DFA"/>
    <w:rsid w:val="00AC7522"/>
    <w:rsid w:val="00AD1F31"/>
    <w:rsid w:val="00AF21B3"/>
    <w:rsid w:val="00B52FC1"/>
    <w:rsid w:val="00BA1632"/>
    <w:rsid w:val="00BC7CFD"/>
    <w:rsid w:val="00BE1FD4"/>
    <w:rsid w:val="00C14EEC"/>
    <w:rsid w:val="00C21797"/>
    <w:rsid w:val="00C66A0C"/>
    <w:rsid w:val="00CE4E87"/>
    <w:rsid w:val="00D96AA9"/>
    <w:rsid w:val="00DC4103"/>
    <w:rsid w:val="00E52AB2"/>
    <w:rsid w:val="00E83D7F"/>
    <w:rsid w:val="00E914B6"/>
    <w:rsid w:val="00EA6B6C"/>
    <w:rsid w:val="00F76E2B"/>
    <w:rsid w:val="00F77F40"/>
    <w:rsid w:val="00FD10A1"/>
    <w:rsid w:val="0D0711A1"/>
    <w:rsid w:val="0F274194"/>
    <w:rsid w:val="17B22C3C"/>
    <w:rsid w:val="252F26E8"/>
    <w:rsid w:val="295F2681"/>
    <w:rsid w:val="2E6E3CFB"/>
    <w:rsid w:val="31045AF3"/>
    <w:rsid w:val="373E1CFE"/>
    <w:rsid w:val="3E5541D1"/>
    <w:rsid w:val="42976F25"/>
    <w:rsid w:val="45AD2A78"/>
    <w:rsid w:val="484C58AB"/>
    <w:rsid w:val="4A4A3635"/>
    <w:rsid w:val="5E5D3BE4"/>
    <w:rsid w:val="60C3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Body Text"/>
    <w:basedOn w:val="1"/>
    <w:next w:val="1"/>
    <w:link w:val="20"/>
    <w:unhideWhenUsed/>
    <w:uiPriority w:val="99"/>
    <w:pPr>
      <w:jc w:val="left"/>
    </w:pPr>
    <w:rPr>
      <w:kern w:val="0"/>
      <w:sz w:val="20"/>
      <w:szCs w:val="20"/>
    </w:rPr>
  </w:style>
  <w:style w:type="paragraph" w:styleId="4">
    <w:name w:val="Body Text Indent"/>
    <w:basedOn w:val="1"/>
    <w:link w:val="17"/>
    <w:semiHidden/>
    <w:unhideWhenUsed/>
    <w:qFormat/>
    <w:uiPriority w:val="99"/>
    <w:pPr>
      <w:spacing w:after="120"/>
      <w:ind w:left="420" w:leftChars="200"/>
    </w:pPr>
  </w:style>
  <w:style w:type="paragraph" w:styleId="5">
    <w:name w:val="Date"/>
    <w:basedOn w:val="1"/>
    <w:next w:val="1"/>
    <w:link w:val="22"/>
    <w:unhideWhenUsed/>
    <w:uiPriority w:val="99"/>
    <w:rPr>
      <w:rFonts w:ascii="Arial" w:hAnsi="Arial" w:cs="Arial"/>
      <w:b/>
      <w:sz w:val="28"/>
      <w:szCs w:val="28"/>
    </w:rPr>
  </w:style>
  <w:style w:type="paragraph" w:styleId="6">
    <w:name w:val="Balloon Text"/>
    <w:basedOn w:val="1"/>
    <w:link w:val="26"/>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semiHidden/>
    <w:unhideWhenUsed/>
    <w:uiPriority w:val="99"/>
    <w:pPr>
      <w:widowControl/>
      <w:spacing w:before="100" w:beforeAutospacing="1" w:after="100" w:line="273" w:lineRule="auto"/>
      <w:jc w:val="left"/>
    </w:pPr>
    <w:rPr>
      <w:rFonts w:ascii="Calibri" w:hAnsi="Calibri" w:cs="Times New Roman"/>
      <w:kern w:val="0"/>
      <w:sz w:val="22"/>
      <w:szCs w:val="22"/>
    </w:rPr>
  </w:style>
  <w:style w:type="paragraph" w:styleId="10">
    <w:name w:val="annotation subject"/>
    <w:basedOn w:val="2"/>
    <w:next w:val="2"/>
    <w:link w:val="25"/>
    <w:semiHidden/>
    <w:unhideWhenUsed/>
    <w:qFormat/>
    <w:uiPriority w:val="99"/>
    <w:rPr>
      <w:b/>
      <w:bCs/>
    </w:rPr>
  </w:style>
  <w:style w:type="paragraph" w:styleId="11">
    <w:name w:val="Body Text First Indent 2"/>
    <w:basedOn w:val="4"/>
    <w:link w:val="18"/>
    <w:unhideWhenUsed/>
    <w:uiPriority w:val="99"/>
    <w:pPr>
      <w:spacing w:after="0"/>
      <w:ind w:left="0" w:leftChars="0" w:firstLine="420" w:firstLineChars="200"/>
    </w:pPr>
    <w:rPr>
      <w:rFonts w:ascii="Calibri" w:hAnsi="Calibri" w:cs="Calibri"/>
      <w:kern w:val="0"/>
      <w:sz w:val="20"/>
      <w:szCs w:val="20"/>
    </w:r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paragraph" w:customStyle="1" w:styleId="16">
    <w:name w:val="文档正文"/>
    <w:basedOn w:val="1"/>
    <w:qFormat/>
    <w:uiPriority w:val="0"/>
    <w:pPr>
      <w:adjustRightInd w:val="0"/>
      <w:spacing w:line="480" w:lineRule="atLeast"/>
      <w:ind w:firstLine="464" w:firstLineChars="200"/>
      <w:jc w:val="left"/>
      <w:textAlignment w:val="baseline"/>
    </w:pPr>
    <w:rPr>
      <w:rFonts w:hAnsi="Arial" w:eastAsia="仿宋"/>
      <w:kern w:val="0"/>
      <w:sz w:val="24"/>
      <w:szCs w:val="24"/>
    </w:rPr>
  </w:style>
  <w:style w:type="character" w:customStyle="1" w:styleId="17">
    <w:name w:val="正文文本缩进 Char"/>
    <w:basedOn w:val="13"/>
    <w:link w:val="4"/>
    <w:semiHidden/>
    <w:qFormat/>
    <w:uiPriority w:val="99"/>
    <w:rPr>
      <w:rFonts w:ascii="宋体" w:hAnsi="宋体" w:eastAsia="宋体" w:cs="宋体"/>
      <w:szCs w:val="21"/>
    </w:rPr>
  </w:style>
  <w:style w:type="character" w:customStyle="1" w:styleId="18">
    <w:name w:val="正文首行缩进 2 Char"/>
    <w:basedOn w:val="17"/>
    <w:link w:val="11"/>
    <w:qFormat/>
    <w:uiPriority w:val="99"/>
    <w:rPr>
      <w:rFonts w:ascii="Calibri" w:hAnsi="Calibri" w:eastAsia="宋体" w:cs="Calibri"/>
      <w:kern w:val="0"/>
      <w:sz w:val="20"/>
      <w:szCs w:val="20"/>
    </w:rPr>
  </w:style>
  <w:style w:type="paragraph" w:customStyle="1" w:styleId="19">
    <w:name w:val="节标题"/>
    <w:basedOn w:val="1"/>
    <w:next w:val="1"/>
    <w:qFormat/>
    <w:uiPriority w:val="0"/>
    <w:pPr>
      <w:widowControl/>
      <w:spacing w:line="289" w:lineRule="atLeast"/>
      <w:jc w:val="center"/>
    </w:pPr>
    <w:rPr>
      <w:rFonts w:ascii="Times New Roman" w:hAnsi="Times New Roman" w:cs="Times New Roman"/>
      <w:color w:val="000000"/>
      <w:kern w:val="0"/>
      <w:sz w:val="28"/>
      <w:szCs w:val="28"/>
    </w:rPr>
  </w:style>
  <w:style w:type="character" w:customStyle="1" w:styleId="20">
    <w:name w:val="正文文本 Char"/>
    <w:basedOn w:val="13"/>
    <w:link w:val="3"/>
    <w:qFormat/>
    <w:uiPriority w:val="99"/>
    <w:rPr>
      <w:rFonts w:ascii="宋体" w:hAnsi="宋体" w:eastAsia="宋体" w:cs="宋体"/>
      <w:kern w:val="0"/>
      <w:sz w:val="20"/>
      <w:szCs w:val="20"/>
    </w:rPr>
  </w:style>
  <w:style w:type="paragraph" w:customStyle="1" w:styleId="21">
    <w:name w:val="标书正文格式"/>
    <w:basedOn w:val="1"/>
    <w:qFormat/>
    <w:uiPriority w:val="0"/>
    <w:pPr>
      <w:widowControl/>
      <w:spacing w:line="360" w:lineRule="auto"/>
      <w:ind w:firstLine="200" w:firstLineChars="200"/>
      <w:jc w:val="left"/>
    </w:pPr>
    <w:rPr>
      <w:rFonts w:ascii="Times New Roman" w:hAnsi="Times New Roman" w:eastAsia="楷体_GB2312" w:cs="Times New Roman"/>
      <w:sz w:val="24"/>
      <w:szCs w:val="24"/>
    </w:rPr>
  </w:style>
  <w:style w:type="character" w:customStyle="1" w:styleId="22">
    <w:name w:val="日期 Char"/>
    <w:basedOn w:val="13"/>
    <w:link w:val="5"/>
    <w:qFormat/>
    <w:uiPriority w:val="99"/>
    <w:rPr>
      <w:rFonts w:ascii="Arial" w:hAnsi="Arial" w:eastAsia="宋体" w:cs="Arial"/>
      <w:b/>
      <w:sz w:val="28"/>
      <w:szCs w:val="28"/>
    </w:rPr>
  </w:style>
  <w:style w:type="character" w:customStyle="1" w:styleId="23">
    <w:name w:val="15"/>
    <w:basedOn w:val="13"/>
    <w:qFormat/>
    <w:uiPriority w:val="0"/>
    <w:rPr>
      <w:rFonts w:hint="default" w:ascii="Times New Roman" w:hAnsi="Times New Roman" w:cs="Times New Roman"/>
      <w:sz w:val="21"/>
      <w:szCs w:val="21"/>
    </w:rPr>
  </w:style>
  <w:style w:type="character" w:customStyle="1" w:styleId="24">
    <w:name w:val="批注文字 Char"/>
    <w:basedOn w:val="13"/>
    <w:link w:val="2"/>
    <w:semiHidden/>
    <w:qFormat/>
    <w:uiPriority w:val="99"/>
    <w:rPr>
      <w:rFonts w:ascii="宋体" w:hAnsi="宋体" w:eastAsia="宋体" w:cs="宋体"/>
      <w:szCs w:val="21"/>
    </w:rPr>
  </w:style>
  <w:style w:type="character" w:customStyle="1" w:styleId="25">
    <w:name w:val="批注主题 Char"/>
    <w:basedOn w:val="24"/>
    <w:link w:val="10"/>
    <w:semiHidden/>
    <w:qFormat/>
    <w:uiPriority w:val="99"/>
    <w:rPr>
      <w:rFonts w:ascii="宋体" w:hAnsi="宋体" w:eastAsia="宋体" w:cs="宋体"/>
      <w:b/>
      <w:bCs/>
      <w:szCs w:val="21"/>
    </w:rPr>
  </w:style>
  <w:style w:type="character" w:customStyle="1" w:styleId="26">
    <w:name w:val="批注框文本 Char"/>
    <w:basedOn w:val="13"/>
    <w:link w:val="6"/>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10424</Words>
  <Characters>11112</Characters>
  <Lines>92</Lines>
  <Paragraphs>25</Paragraphs>
  <TotalTime>982</TotalTime>
  <ScaleCrop>false</ScaleCrop>
  <LinksUpToDate>false</LinksUpToDate>
  <CharactersWithSpaces>11445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2025-12-18T07:18:00Z</dcterms:created>
  <dc:creator>PC</dc:creator>
  <cp:lastModifiedBy>zhehenkaimen</cp:lastModifiedBy>
  <dcterms:modified xsi:type="dcterms:W3CDTF">2025-12-30T03:33:45Z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eyJoZGlkIjoiZWZiMzFhZDE2YWQzZWRlZjA0MDc3NGU1YjY1MjNiZmYiLCJ1c2VySWQiOiI2NzA0NzI0MDUifQ==</vt:lpwstr>
  </property>
  <property fmtid="{D5CDD505-2E9C-101B-9397-08002B2CF9AE}" pid="3" name="KSOProductBuildVer">
    <vt:lpwstr>2052-12.1.0.24034</vt:lpwstr>
  </property>
  <property fmtid="{D5CDD505-2E9C-101B-9397-08002B2CF9AE}" pid="4" name="ICV">
    <vt:lpwstr>51A581C602154367A2DA6000AFB6581E_13</vt:lpwstr>
  </property>
</Properties>
</file>