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CC0D2">
      <w:pPr>
        <w:tabs>
          <w:tab w:val="left" w:pos="315"/>
          <w:tab w:val="left" w:pos="8820"/>
        </w:tabs>
        <w:spacing w:before="312" w:beforeLines="100" w:after="156" w:afterLines="50" w:line="500" w:lineRule="exact"/>
        <w:ind w:right="267" w:rightChars="127"/>
        <w:jc w:val="center"/>
        <w:rPr>
          <w:b/>
          <w:bCs/>
          <w:sz w:val="52"/>
          <w:szCs w:val="52"/>
        </w:rPr>
      </w:pPr>
      <w:bookmarkStart w:id="0" w:name="_Hlk9544796"/>
      <w:bookmarkEnd w:id="0"/>
      <w:r>
        <w:rPr>
          <w:rFonts w:hint="eastAsia"/>
          <w:b/>
          <w:bCs/>
          <w:sz w:val="52"/>
          <w:szCs w:val="52"/>
        </w:rPr>
        <w:t>征集项目的详细说明和要求</w:t>
      </w:r>
    </w:p>
    <w:p w14:paraId="68933DB4">
      <w:pPr>
        <w:tabs>
          <w:tab w:val="left" w:pos="315"/>
          <w:tab w:val="left" w:pos="8820"/>
        </w:tabs>
        <w:spacing w:before="312" w:beforeLines="100" w:after="156" w:afterLines="50" w:line="500" w:lineRule="exact"/>
        <w:ind w:right="267" w:rightChars="127"/>
        <w:jc w:val="center"/>
        <w:rPr>
          <w:rFonts w:hint="eastAsia"/>
          <w:bCs/>
          <w:sz w:val="44"/>
          <w:szCs w:val="44"/>
        </w:rPr>
      </w:pPr>
      <w:r>
        <w:rPr>
          <w:rFonts w:hint="eastAsia"/>
          <w:bCs/>
          <w:sz w:val="44"/>
          <w:szCs w:val="44"/>
        </w:rPr>
        <w:t xml:space="preserve"> </w:t>
      </w:r>
    </w:p>
    <w:p w14:paraId="5975FEC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3F47134">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30AA351">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B64C5D8">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70457B73">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62BCB10B">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项目名称：</w:t>
      </w:r>
      <w:r>
        <w:rPr>
          <w:rFonts w:hint="eastAsia"/>
          <w:b/>
          <w:spacing w:val="20"/>
          <w:kern w:val="0"/>
          <w:sz w:val="32"/>
          <w:szCs w:val="32"/>
          <w:lang w:eastAsia="zh-CN"/>
        </w:rPr>
        <w:t>马鞍山市2026-2027年公务用车维修服务（综合类）框架协议采购</w:t>
      </w:r>
    </w:p>
    <w:p w14:paraId="583AD59A">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项目编号：</w:t>
      </w:r>
      <w:r>
        <w:rPr>
          <w:rFonts w:hint="eastAsia"/>
          <w:b/>
          <w:spacing w:val="20"/>
          <w:kern w:val="0"/>
          <w:sz w:val="32"/>
          <w:szCs w:val="32"/>
          <w:lang w:eastAsia="zh-CN"/>
        </w:rPr>
        <w:t>KJXY202603180641</w:t>
      </w:r>
    </w:p>
    <w:p w14:paraId="73B234F0">
      <w:pPr>
        <w:tabs>
          <w:tab w:val="left" w:pos="2410"/>
        </w:tabs>
        <w:autoSpaceDE w:val="0"/>
        <w:autoSpaceDN w:val="0"/>
        <w:adjustRightInd w:val="0"/>
        <w:snapToGrid w:val="0"/>
        <w:spacing w:line="360" w:lineRule="auto"/>
        <w:rPr>
          <w:rFonts w:hint="eastAsia" w:eastAsia="宋体"/>
          <w:b/>
          <w:spacing w:val="20"/>
          <w:kern w:val="0"/>
          <w:sz w:val="32"/>
          <w:szCs w:val="32"/>
          <w:lang w:eastAsia="zh-CN"/>
        </w:rPr>
      </w:pPr>
      <w:r>
        <w:rPr>
          <w:rFonts w:hint="eastAsia"/>
          <w:b/>
          <w:spacing w:val="20"/>
          <w:kern w:val="0"/>
          <w:sz w:val="32"/>
          <w:szCs w:val="32"/>
        </w:rPr>
        <w:t>征集人：</w:t>
      </w:r>
      <w:r>
        <w:rPr>
          <w:rFonts w:hint="eastAsia"/>
          <w:b/>
          <w:spacing w:val="20"/>
          <w:kern w:val="0"/>
          <w:sz w:val="32"/>
          <w:szCs w:val="32"/>
          <w:lang w:eastAsia="zh-CN"/>
        </w:rPr>
        <w:t>马鞍山市机关事务管理中心</w:t>
      </w:r>
    </w:p>
    <w:p w14:paraId="41EDB18A">
      <w:pPr>
        <w:tabs>
          <w:tab w:val="left" w:pos="315"/>
          <w:tab w:val="left" w:pos="8820"/>
        </w:tabs>
        <w:spacing w:before="312" w:beforeLines="100" w:after="156" w:afterLines="50" w:line="500" w:lineRule="exact"/>
        <w:ind w:right="267" w:rightChars="127"/>
        <w:jc w:val="center"/>
        <w:rPr>
          <w:rFonts w:hint="eastAsia"/>
          <w:b/>
          <w:bCs/>
          <w:sz w:val="44"/>
          <w:szCs w:val="44"/>
        </w:rPr>
      </w:pPr>
      <w:r>
        <w:rPr>
          <w:rFonts w:hint="eastAsia"/>
          <w:b/>
          <w:bCs/>
          <w:sz w:val="44"/>
          <w:szCs w:val="44"/>
        </w:rPr>
        <w:t xml:space="preserve"> </w:t>
      </w:r>
    </w:p>
    <w:p w14:paraId="392BB993">
      <w:pPr>
        <w:tabs>
          <w:tab w:val="left" w:pos="2410"/>
        </w:tabs>
        <w:autoSpaceDE w:val="0"/>
        <w:autoSpaceDN w:val="0"/>
        <w:adjustRightInd w:val="0"/>
        <w:snapToGrid w:val="0"/>
        <w:spacing w:line="360" w:lineRule="auto"/>
        <w:jc w:val="center"/>
        <w:rPr>
          <w:rFonts w:hint="eastAsia"/>
          <w:b/>
          <w:sz w:val="36"/>
          <w:szCs w:val="36"/>
        </w:rPr>
      </w:pPr>
      <w:r>
        <w:rPr>
          <w:rFonts w:hint="eastAsia"/>
          <w:b/>
          <w:sz w:val="36"/>
          <w:szCs w:val="36"/>
          <w:u w:val="single"/>
        </w:rPr>
        <w:t>二〇二</w:t>
      </w:r>
      <w:r>
        <w:rPr>
          <w:rFonts w:hint="eastAsia"/>
          <w:b/>
          <w:sz w:val="36"/>
          <w:szCs w:val="36"/>
          <w:u w:val="single"/>
          <w:lang w:val="en-US" w:eastAsia="zh-CN"/>
        </w:rPr>
        <w:t>六</w:t>
      </w:r>
      <w:r>
        <w:rPr>
          <w:rFonts w:hint="eastAsia"/>
          <w:b/>
          <w:sz w:val="36"/>
          <w:szCs w:val="36"/>
        </w:rPr>
        <w:t>年</w:t>
      </w:r>
      <w:r>
        <w:rPr>
          <w:rFonts w:hint="eastAsia"/>
          <w:b/>
          <w:sz w:val="36"/>
          <w:szCs w:val="36"/>
          <w:lang w:val="en-US" w:eastAsia="zh-CN"/>
        </w:rPr>
        <w:t>五</w:t>
      </w:r>
      <w:r>
        <w:rPr>
          <w:rFonts w:hint="eastAsia"/>
          <w:b/>
          <w:sz w:val="36"/>
          <w:szCs w:val="36"/>
        </w:rPr>
        <w:t>月</w:t>
      </w:r>
      <w:r>
        <w:rPr>
          <w:rFonts w:hint="eastAsia"/>
          <w:b/>
          <w:sz w:val="36"/>
          <w:szCs w:val="36"/>
        </w:rPr>
        <w:br w:type="page"/>
      </w:r>
    </w:p>
    <w:p w14:paraId="2A8ED696">
      <w:pPr>
        <w:tabs>
          <w:tab w:val="left" w:pos="2410"/>
        </w:tabs>
        <w:autoSpaceDE w:val="0"/>
        <w:autoSpaceDN w:val="0"/>
        <w:adjustRightInd w:val="0"/>
        <w:snapToGrid w:val="0"/>
        <w:spacing w:line="360" w:lineRule="auto"/>
        <w:jc w:val="center"/>
        <w:rPr>
          <w:rFonts w:hint="eastAsia"/>
          <w:b/>
          <w:sz w:val="28"/>
          <w:szCs w:val="28"/>
        </w:rPr>
      </w:pPr>
      <w:r>
        <w:rPr>
          <w:rFonts w:hint="eastAsia"/>
          <w:b/>
          <w:sz w:val="28"/>
          <w:szCs w:val="28"/>
        </w:rPr>
        <w:t>目  录</w:t>
      </w:r>
    </w:p>
    <w:p w14:paraId="37619892">
      <w:pPr>
        <w:pStyle w:val="11"/>
        <w:tabs>
          <w:tab w:val="right" w:leader="dot" w:pos="8306"/>
        </w:tabs>
        <w:spacing w:before="0" w:beforeAutospacing="0" w:line="276" w:lineRule="auto"/>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"_Toc4191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第一章  采购需求</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3</w:t>
      </w:r>
      <w:r>
        <w:rPr>
          <w:rStyle w:val="16"/>
          <w:rFonts w:hint="eastAsia" w:ascii="宋体" w:hAnsi="宋体" w:eastAsia="宋体" w:cs="宋体"/>
          <w:b/>
          <w:bCs/>
          <w:color w:val="auto"/>
          <w:sz w:val="24"/>
          <w:szCs w:val="24"/>
          <w:u w:val="none"/>
        </w:rPr>
        <w:fldChar w:fldCharType="end"/>
      </w:r>
    </w:p>
    <w:p w14:paraId="315D4645">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"_Toc25234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第二章  付费标准及支付方式</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6</w:t>
      </w:r>
      <w:r>
        <w:rPr>
          <w:rStyle w:val="16"/>
          <w:rFonts w:hint="eastAsia" w:ascii="宋体" w:hAnsi="宋体" w:eastAsia="宋体" w:cs="宋体"/>
          <w:b/>
          <w:bCs/>
          <w:color w:val="auto"/>
          <w:sz w:val="24"/>
          <w:szCs w:val="24"/>
          <w:u w:val="none"/>
        </w:rPr>
        <w:fldChar w:fldCharType="end"/>
      </w:r>
    </w:p>
    <w:p w14:paraId="42CC90A5">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"_Toc11634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第三章  用户反馈和评价机制</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7</w:t>
      </w:r>
      <w:r>
        <w:rPr>
          <w:rStyle w:val="16"/>
          <w:rFonts w:hint="eastAsia" w:ascii="宋体" w:hAnsi="宋体" w:eastAsia="宋体" w:cs="宋体"/>
          <w:b/>
          <w:bCs/>
          <w:color w:val="auto"/>
          <w:sz w:val="24"/>
          <w:szCs w:val="24"/>
          <w:u w:val="none"/>
        </w:rPr>
        <w:fldChar w:fldCharType="end"/>
      </w:r>
    </w:p>
    <w:p w14:paraId="714F1860">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"_Toc28115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第四章  入围供应商的清退机制和补充规则</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8</w:t>
      </w:r>
      <w:r>
        <w:rPr>
          <w:rStyle w:val="16"/>
          <w:rFonts w:hint="eastAsia" w:ascii="宋体" w:hAnsi="宋体" w:eastAsia="宋体" w:cs="宋体"/>
          <w:b/>
          <w:bCs/>
          <w:color w:val="auto"/>
          <w:sz w:val="24"/>
          <w:szCs w:val="24"/>
          <w:u w:val="none"/>
        </w:rPr>
        <w:fldChar w:fldCharType="end"/>
      </w:r>
    </w:p>
    <w:p w14:paraId="602BDA43">
      <w:pPr>
        <w:pStyle w:val="11"/>
        <w:tabs>
          <w:tab w:val="right" w:leader="dot" w:pos="8306"/>
        </w:tabs>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"_Toc22882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第五章  供应商信用信息</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9</w:t>
      </w:r>
      <w:r>
        <w:rPr>
          <w:rStyle w:val="16"/>
          <w:rFonts w:hint="eastAsia" w:ascii="宋体" w:hAnsi="宋体" w:eastAsia="宋体" w:cs="宋体"/>
          <w:b/>
          <w:bCs/>
          <w:color w:val="auto"/>
          <w:sz w:val="24"/>
          <w:szCs w:val="24"/>
          <w:u w:val="none"/>
        </w:rPr>
        <w:fldChar w:fldCharType="end"/>
      </w:r>
    </w:p>
    <w:p w14:paraId="73F2DAD0">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"_Toc8597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第六章  资格审查方法和标准</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1</w:t>
      </w:r>
      <w:r>
        <w:rPr>
          <w:rStyle w:val="16"/>
          <w:rFonts w:hint="eastAsia" w:ascii="宋体" w:hAnsi="宋体" w:eastAsia="宋体" w:cs="宋体"/>
          <w:b/>
          <w:bCs/>
          <w:color w:val="auto"/>
          <w:sz w:val="24"/>
          <w:szCs w:val="24"/>
          <w:u w:val="none"/>
        </w:rPr>
        <w:fldChar w:fldCharType="end"/>
      </w:r>
      <w:r>
        <w:rPr>
          <w:rStyle w:val="16"/>
          <w:rFonts w:hint="eastAsia" w:ascii="宋体" w:hAnsi="宋体" w:eastAsia="宋体" w:cs="宋体"/>
          <w:b/>
          <w:bCs/>
          <w:color w:val="auto"/>
          <w:sz w:val="24"/>
          <w:szCs w:val="24"/>
          <w:u w:val="none"/>
          <w:lang w:val="en-US" w:eastAsia="zh-CN"/>
        </w:rPr>
        <w:t>0</w:t>
      </w:r>
    </w:p>
    <w:p w14:paraId="59FB8150">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"_Toc15099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第七章 采购合同文本</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1</w:t>
      </w:r>
      <w:r>
        <w:rPr>
          <w:rStyle w:val="16"/>
          <w:rFonts w:hint="eastAsia" w:ascii="宋体" w:hAnsi="宋体" w:eastAsia="宋体" w:cs="宋体"/>
          <w:b/>
          <w:bCs/>
          <w:color w:val="auto"/>
          <w:sz w:val="24"/>
          <w:szCs w:val="24"/>
          <w:u w:val="none"/>
        </w:rPr>
        <w:fldChar w:fldCharType="end"/>
      </w:r>
      <w:r>
        <w:rPr>
          <w:rStyle w:val="16"/>
          <w:rFonts w:hint="eastAsia" w:ascii="宋体" w:hAnsi="宋体" w:eastAsia="宋体" w:cs="宋体"/>
          <w:b/>
          <w:bCs/>
          <w:color w:val="auto"/>
          <w:sz w:val="24"/>
          <w:szCs w:val="24"/>
          <w:u w:val="none"/>
          <w:lang w:val="en-US" w:eastAsia="zh-CN"/>
        </w:rPr>
        <w:t>1</w:t>
      </w:r>
    </w:p>
    <w:p w14:paraId="45605F4E">
      <w:pPr>
        <w:pStyle w:val="11"/>
        <w:tabs>
          <w:tab w:val="right" w:leader="dot" w:pos="8306"/>
        </w:tabs>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"file:///F:\\史长欣\\文件编制\\2025下半年\\113-马鞍山市公安局集约化运维网络线路采购\\12.12-马鞍山市公安局集约化运维网络线路采购.docx" \l "_Toc9311 " </w:instrText>
      </w:r>
      <w:r>
        <w:rPr>
          <w:rFonts w:hint="eastAsia" w:ascii="宋体" w:hAnsi="宋体" w:eastAsia="宋体" w:cs="宋体"/>
          <w:color w:val="auto"/>
          <w:sz w:val="24"/>
          <w:szCs w:val="24"/>
          <w:u w:val="none"/>
        </w:rPr>
        <w:fldChar w:fldCharType="separate"/>
      </w:r>
      <w:r>
        <w:rPr>
          <w:rStyle w:val="16"/>
          <w:rFonts w:hint="eastAsia" w:ascii="宋体" w:hAnsi="宋体" w:eastAsia="宋体" w:cs="宋体"/>
          <w:b/>
          <w:bCs/>
          <w:color w:val="auto"/>
          <w:sz w:val="24"/>
          <w:szCs w:val="24"/>
          <w:u w:val="none"/>
        </w:rPr>
        <w:t>第八章  对申请文件的要求</w:t>
      </w:r>
      <w:r>
        <w:rPr>
          <w:rStyle w:val="16"/>
          <w:rFonts w:hint="eastAsia" w:ascii="宋体" w:hAnsi="宋体" w:eastAsia="宋体" w:cs="宋体"/>
          <w:b/>
          <w:bCs/>
          <w:color w:val="auto"/>
          <w:sz w:val="24"/>
          <w:szCs w:val="24"/>
          <w:u w:val="none"/>
        </w:rPr>
        <w:tab/>
      </w:r>
      <w:r>
        <w:rPr>
          <w:rStyle w:val="16"/>
          <w:rFonts w:hint="eastAsia" w:ascii="宋体" w:hAnsi="宋体" w:eastAsia="宋体" w:cs="宋体"/>
          <w:b/>
          <w:bCs/>
          <w:color w:val="auto"/>
          <w:sz w:val="24"/>
          <w:szCs w:val="24"/>
          <w:u w:val="none"/>
          <w:lang w:val="en-US" w:eastAsia="zh-CN"/>
        </w:rPr>
        <w:t>1</w:t>
      </w:r>
      <w:r>
        <w:rPr>
          <w:rStyle w:val="16"/>
          <w:rFonts w:hint="eastAsia" w:ascii="宋体" w:hAnsi="宋体" w:eastAsia="宋体" w:cs="宋体"/>
          <w:b/>
          <w:bCs/>
          <w:color w:val="auto"/>
          <w:sz w:val="24"/>
          <w:szCs w:val="24"/>
          <w:u w:val="none"/>
        </w:rPr>
        <w:fldChar w:fldCharType="end"/>
      </w:r>
      <w:r>
        <w:rPr>
          <w:rStyle w:val="16"/>
          <w:rFonts w:hint="eastAsia" w:ascii="宋体" w:hAnsi="宋体" w:eastAsia="宋体" w:cs="宋体"/>
          <w:b/>
          <w:bCs/>
          <w:color w:val="auto"/>
          <w:sz w:val="24"/>
          <w:szCs w:val="24"/>
          <w:u w:val="none"/>
          <w:lang w:val="en-US" w:eastAsia="zh-CN"/>
        </w:rPr>
        <w:t>6</w:t>
      </w:r>
    </w:p>
    <w:p w14:paraId="4B6629F8">
      <w:pPr>
        <w:spacing w:line="360" w:lineRule="auto"/>
        <w:rPr>
          <w:rFonts w:hint="eastAsia"/>
          <w:b/>
          <w:sz w:val="32"/>
          <w:szCs w:val="32"/>
        </w:rPr>
      </w:pPr>
      <w:r>
        <w:rPr>
          <w:rFonts w:hint="eastAsia"/>
          <w:b/>
          <w:sz w:val="32"/>
          <w:szCs w:val="32"/>
        </w:rPr>
        <w:t xml:space="preserve"> </w:t>
      </w:r>
    </w:p>
    <w:p w14:paraId="64EA1C6C">
      <w:pPr>
        <w:widowControl/>
        <w:spacing w:line="360" w:lineRule="auto"/>
        <w:jc w:val="left"/>
        <w:rPr>
          <w:b/>
          <w:sz w:val="28"/>
          <w:szCs w:val="28"/>
        </w:rPr>
        <w:sectPr>
          <w:footerReference r:id="rId3" w:type="default"/>
          <w:pgSz w:w="11906" w:h="16838"/>
          <w:pgMar w:top="1440" w:right="1800" w:bottom="1440" w:left="1800" w:header="851" w:footer="992" w:gutter="0"/>
          <w:pgNumType w:fmt="decimal"/>
          <w:cols w:space="720" w:num="1"/>
          <w:docGrid w:type="lines" w:linePitch="312" w:charSpace="0"/>
        </w:sectPr>
      </w:pPr>
    </w:p>
    <w:p w14:paraId="5463E5A7">
      <w:pPr>
        <w:spacing w:line="360" w:lineRule="auto"/>
        <w:jc w:val="center"/>
        <w:outlineLvl w:val="0"/>
        <w:rPr>
          <w:rFonts w:hint="eastAsia"/>
          <w:b/>
          <w:sz w:val="28"/>
          <w:szCs w:val="28"/>
        </w:rPr>
      </w:pPr>
      <w:bookmarkStart w:id="1" w:name="_Toc4191"/>
      <w:bookmarkEnd w:id="1"/>
      <w:r>
        <w:rPr>
          <w:rFonts w:hint="eastAsia"/>
          <w:b/>
          <w:sz w:val="28"/>
          <w:szCs w:val="28"/>
        </w:rPr>
        <w:t>第一章  采购需求</w:t>
      </w:r>
    </w:p>
    <w:p w14:paraId="04899DEA">
      <w:pPr>
        <w:spacing w:line="360" w:lineRule="auto"/>
        <w:jc w:val="center"/>
        <w:rPr>
          <w:rFonts w:hint="eastAsia"/>
          <w:sz w:val="28"/>
          <w:szCs w:val="28"/>
        </w:rPr>
      </w:pPr>
      <w:bookmarkStart w:id="2" w:name="_Hlk16461016"/>
      <w:bookmarkEnd w:id="2"/>
      <w:bookmarkStart w:id="3" w:name="_Hlk23621890"/>
      <w:bookmarkEnd w:id="3"/>
      <w:r>
        <w:rPr>
          <w:rFonts w:hint="eastAsia"/>
          <w:b/>
          <w:bCs/>
          <w:sz w:val="28"/>
          <w:szCs w:val="28"/>
        </w:rPr>
        <w:t>（一）采购清单</w:t>
      </w:r>
    </w:p>
    <w:tbl>
      <w:tblPr>
        <w:tblStyle w:val="14"/>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796"/>
        <w:gridCol w:w="797"/>
        <w:gridCol w:w="2412"/>
      </w:tblGrid>
      <w:tr w14:paraId="5677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689" w:type="dxa"/>
            <w:tcBorders>
              <w:top w:val="single" w:color="auto" w:sz="4" w:space="0"/>
              <w:left w:val="single" w:color="auto" w:sz="4" w:space="0"/>
              <w:bottom w:val="single" w:color="auto" w:sz="4" w:space="0"/>
              <w:right w:val="single" w:color="auto" w:sz="4" w:space="0"/>
            </w:tcBorders>
            <w:vAlign w:val="center"/>
          </w:tcPr>
          <w:p w14:paraId="70812F6B">
            <w:pPr>
              <w:pStyle w:val="18"/>
              <w:spacing w:line="460" w:lineRule="exact"/>
              <w:ind w:firstLine="0" w:firstLineChars="0"/>
              <w:jc w:val="center"/>
              <w:rPr>
                <w:rStyle w:val="25"/>
                <w:rFonts w:ascii="宋体" w:hAnsi="宋体" w:eastAsia="宋体"/>
                <w:b/>
                <w:bCs/>
                <w:sz w:val="28"/>
                <w:szCs w:val="28"/>
              </w:rPr>
            </w:pPr>
            <w:r>
              <w:rPr>
                <w:rStyle w:val="25"/>
                <w:rFonts w:hint="eastAsia" w:hAnsi="宋体" w:eastAsia="宋体"/>
                <w:b/>
                <w:bCs/>
                <w:sz w:val="28"/>
                <w:szCs w:val="28"/>
              </w:rPr>
              <w:t>项目名称（标的名称）</w:t>
            </w:r>
          </w:p>
        </w:tc>
        <w:tc>
          <w:tcPr>
            <w:tcW w:w="796" w:type="dxa"/>
            <w:tcBorders>
              <w:top w:val="single" w:color="auto" w:sz="4" w:space="0"/>
              <w:left w:val="single" w:color="auto" w:sz="4" w:space="0"/>
              <w:bottom w:val="single" w:color="auto" w:sz="4" w:space="0"/>
              <w:right w:val="single" w:color="auto" w:sz="4" w:space="0"/>
            </w:tcBorders>
            <w:vAlign w:val="center"/>
          </w:tcPr>
          <w:p w14:paraId="4F319163">
            <w:pPr>
              <w:pStyle w:val="18"/>
              <w:spacing w:line="460" w:lineRule="exact"/>
              <w:ind w:firstLine="0" w:firstLineChars="0"/>
              <w:jc w:val="center"/>
              <w:rPr>
                <w:rStyle w:val="25"/>
                <w:rFonts w:ascii="宋体" w:hAnsi="宋体" w:eastAsia="宋体"/>
                <w:b/>
                <w:bCs/>
                <w:sz w:val="28"/>
                <w:szCs w:val="28"/>
              </w:rPr>
            </w:pPr>
            <w:r>
              <w:rPr>
                <w:rStyle w:val="25"/>
                <w:rFonts w:hint="eastAsia" w:hAnsi="宋体" w:eastAsia="宋体"/>
                <w:b/>
                <w:bCs/>
                <w:sz w:val="28"/>
                <w:szCs w:val="28"/>
              </w:rPr>
              <w:t>数量</w:t>
            </w:r>
          </w:p>
        </w:tc>
        <w:tc>
          <w:tcPr>
            <w:tcW w:w="797" w:type="dxa"/>
            <w:tcBorders>
              <w:top w:val="single" w:color="auto" w:sz="4" w:space="0"/>
              <w:left w:val="single" w:color="auto" w:sz="4" w:space="0"/>
              <w:bottom w:val="single" w:color="auto" w:sz="4" w:space="0"/>
              <w:right w:val="single" w:color="auto" w:sz="4" w:space="0"/>
            </w:tcBorders>
            <w:vAlign w:val="center"/>
          </w:tcPr>
          <w:p w14:paraId="2F783C58">
            <w:pPr>
              <w:pStyle w:val="18"/>
              <w:spacing w:line="460" w:lineRule="exact"/>
              <w:ind w:firstLine="0" w:firstLineChars="0"/>
              <w:jc w:val="center"/>
              <w:rPr>
                <w:rStyle w:val="25"/>
                <w:rFonts w:ascii="宋体" w:hAnsi="宋体" w:eastAsia="宋体"/>
                <w:b/>
                <w:bCs/>
                <w:sz w:val="28"/>
                <w:szCs w:val="28"/>
              </w:rPr>
            </w:pPr>
            <w:r>
              <w:rPr>
                <w:rStyle w:val="25"/>
                <w:rFonts w:hint="eastAsia" w:hAnsi="宋体" w:eastAsia="宋体"/>
                <w:b/>
                <w:bCs/>
                <w:sz w:val="28"/>
                <w:szCs w:val="28"/>
              </w:rPr>
              <w:t>单位</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64D09CD7">
            <w:pPr>
              <w:pStyle w:val="18"/>
              <w:spacing w:line="460" w:lineRule="exact"/>
              <w:ind w:firstLine="0" w:firstLineChars="0"/>
              <w:jc w:val="center"/>
              <w:rPr>
                <w:rStyle w:val="25"/>
                <w:rFonts w:ascii="宋体" w:hAnsi="宋体" w:eastAsia="宋体"/>
                <w:b/>
                <w:bCs/>
                <w:sz w:val="28"/>
                <w:szCs w:val="28"/>
              </w:rPr>
            </w:pPr>
            <w:r>
              <w:rPr>
                <w:rStyle w:val="25"/>
                <w:rFonts w:hint="eastAsia" w:hAnsi="宋体" w:eastAsia="宋体"/>
                <w:b/>
                <w:bCs/>
                <w:sz w:val="28"/>
                <w:szCs w:val="28"/>
              </w:rPr>
              <w:t>所属行业</w:t>
            </w:r>
          </w:p>
        </w:tc>
      </w:tr>
      <w:tr w14:paraId="6BBD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689" w:type="dxa"/>
            <w:tcBorders>
              <w:top w:val="single" w:color="auto" w:sz="4" w:space="0"/>
              <w:left w:val="single" w:color="auto" w:sz="4" w:space="0"/>
              <w:bottom w:val="single" w:color="auto" w:sz="4" w:space="0"/>
              <w:right w:val="single" w:color="auto" w:sz="4" w:space="0"/>
            </w:tcBorders>
            <w:vAlign w:val="center"/>
          </w:tcPr>
          <w:p w14:paraId="0722CD51">
            <w:pPr>
              <w:pStyle w:val="18"/>
              <w:spacing w:line="400" w:lineRule="exact"/>
              <w:ind w:firstLine="0" w:firstLineChars="0"/>
              <w:jc w:val="center"/>
              <w:rPr>
                <w:rStyle w:val="25"/>
                <w:rFonts w:hint="eastAsia" w:ascii="宋体" w:hAnsi="宋体" w:eastAsia="宋体"/>
                <w:sz w:val="28"/>
                <w:szCs w:val="28"/>
                <w:lang w:eastAsia="zh-CN"/>
              </w:rPr>
            </w:pPr>
            <w:r>
              <w:rPr>
                <w:rStyle w:val="25"/>
                <w:rFonts w:hint="eastAsia" w:hAnsi="宋体" w:eastAsia="宋体"/>
                <w:sz w:val="28"/>
                <w:szCs w:val="28"/>
                <w:lang w:eastAsia="zh-CN"/>
              </w:rPr>
              <w:t>马鞍山市2026-2027年公务用车维修服务（综合类）框架协议采购</w:t>
            </w:r>
          </w:p>
        </w:tc>
        <w:tc>
          <w:tcPr>
            <w:tcW w:w="796" w:type="dxa"/>
            <w:tcBorders>
              <w:top w:val="single" w:color="auto" w:sz="4" w:space="0"/>
              <w:left w:val="single" w:color="auto" w:sz="4" w:space="0"/>
              <w:bottom w:val="single" w:color="auto" w:sz="4" w:space="0"/>
              <w:right w:val="single" w:color="auto" w:sz="4" w:space="0"/>
            </w:tcBorders>
            <w:vAlign w:val="center"/>
          </w:tcPr>
          <w:p w14:paraId="39AD6649">
            <w:pPr>
              <w:pStyle w:val="18"/>
              <w:spacing w:line="460" w:lineRule="exact"/>
              <w:ind w:firstLine="0" w:firstLineChars="0"/>
              <w:jc w:val="center"/>
              <w:rPr>
                <w:rStyle w:val="25"/>
                <w:rFonts w:ascii="宋体" w:hAnsi="宋体" w:eastAsia="宋体"/>
                <w:sz w:val="28"/>
                <w:szCs w:val="28"/>
              </w:rPr>
            </w:pPr>
            <w:r>
              <w:rPr>
                <w:rStyle w:val="25"/>
                <w:rFonts w:hint="eastAsia" w:hAnsi="宋体" w:eastAsia="宋体"/>
                <w:sz w:val="28"/>
                <w:szCs w:val="28"/>
              </w:rPr>
              <w:t>1</w:t>
            </w:r>
          </w:p>
        </w:tc>
        <w:tc>
          <w:tcPr>
            <w:tcW w:w="797" w:type="dxa"/>
            <w:tcBorders>
              <w:top w:val="single" w:color="auto" w:sz="4" w:space="0"/>
              <w:left w:val="single" w:color="auto" w:sz="4" w:space="0"/>
              <w:bottom w:val="single" w:color="auto" w:sz="4" w:space="0"/>
              <w:right w:val="single" w:color="auto" w:sz="4" w:space="0"/>
            </w:tcBorders>
            <w:vAlign w:val="center"/>
          </w:tcPr>
          <w:p w14:paraId="459509D0">
            <w:pPr>
              <w:pStyle w:val="18"/>
              <w:spacing w:line="460" w:lineRule="exact"/>
              <w:ind w:firstLine="0" w:firstLineChars="0"/>
              <w:jc w:val="center"/>
              <w:rPr>
                <w:rStyle w:val="25"/>
                <w:rFonts w:ascii="宋体" w:hAnsi="宋体" w:eastAsia="宋体"/>
                <w:sz w:val="28"/>
                <w:szCs w:val="28"/>
              </w:rPr>
            </w:pPr>
            <w:r>
              <w:rPr>
                <w:rStyle w:val="25"/>
                <w:rFonts w:hint="eastAsia" w:hAnsi="宋体" w:eastAsia="宋体"/>
                <w:sz w:val="28"/>
                <w:szCs w:val="28"/>
              </w:rPr>
              <w:t>项</w:t>
            </w:r>
          </w:p>
        </w:tc>
        <w:tc>
          <w:tcPr>
            <w:tcW w:w="2412" w:type="dxa"/>
            <w:tcBorders>
              <w:top w:val="single" w:color="auto" w:sz="4" w:space="0"/>
              <w:left w:val="single" w:color="auto" w:sz="4" w:space="0"/>
              <w:bottom w:val="single" w:color="auto" w:sz="4" w:space="0"/>
              <w:right w:val="single" w:color="auto" w:sz="4" w:space="0"/>
            </w:tcBorders>
            <w:shd w:val="clear" w:color="auto" w:fill="DCE6F2"/>
            <w:vAlign w:val="center"/>
          </w:tcPr>
          <w:p w14:paraId="7F4502C5">
            <w:pPr>
              <w:pStyle w:val="18"/>
              <w:spacing w:line="400" w:lineRule="exact"/>
              <w:ind w:firstLine="0" w:firstLineChars="0"/>
              <w:jc w:val="center"/>
              <w:rPr>
                <w:rStyle w:val="25"/>
                <w:rFonts w:ascii="宋体" w:hAnsi="宋体" w:eastAsia="宋体"/>
                <w:sz w:val="28"/>
                <w:szCs w:val="28"/>
              </w:rPr>
            </w:pPr>
            <w:r>
              <w:rPr>
                <w:rFonts w:hAnsi="宋体" w:eastAsia="宋体"/>
                <w:color w:val="000000"/>
                <w:kern w:val="2"/>
                <w:sz w:val="28"/>
                <w:szCs w:val="28"/>
              </w:rPr>
              <w:t>其他未列明行业</w:t>
            </w:r>
          </w:p>
        </w:tc>
      </w:tr>
    </w:tbl>
    <w:p w14:paraId="68AA1446">
      <w:pPr>
        <w:spacing w:line="360" w:lineRule="auto"/>
        <w:ind w:firstLine="435"/>
        <w:jc w:val="center"/>
        <w:rPr>
          <w:rFonts w:ascii="宋体" w:hAnsi="宋体" w:eastAsia="宋体"/>
          <w:sz w:val="28"/>
          <w:szCs w:val="28"/>
        </w:rPr>
      </w:pPr>
      <w:r>
        <w:rPr>
          <w:rFonts w:hint="eastAsia" w:ascii="宋体" w:hAnsi="宋体" w:eastAsia="宋体"/>
          <w:b/>
          <w:bCs/>
          <w:sz w:val="28"/>
          <w:szCs w:val="28"/>
        </w:rPr>
        <w:t>（二）适用本次框架协议的服务对象范围</w:t>
      </w:r>
    </w:p>
    <w:p w14:paraId="5542069C">
      <w:pPr>
        <w:spacing w:line="360" w:lineRule="auto"/>
        <w:ind w:firstLine="435"/>
        <w:rPr>
          <w:rFonts w:ascii="宋体" w:hAnsi="宋体" w:eastAsia="宋体"/>
          <w:sz w:val="24"/>
          <w:szCs w:val="18"/>
        </w:rPr>
      </w:pPr>
      <w:r>
        <w:rPr>
          <w:rFonts w:hint="eastAsia" w:ascii="宋体" w:hAnsi="宋体" w:eastAsia="宋体"/>
          <w:sz w:val="24"/>
          <w:szCs w:val="18"/>
          <w:lang w:eastAsia="zh-CN"/>
        </w:rPr>
        <w:t>马鞍山市市直党政机关及</w:t>
      </w:r>
      <w:r>
        <w:rPr>
          <w:rFonts w:hint="eastAsia" w:ascii="宋体" w:hAnsi="宋体" w:eastAsia="宋体"/>
          <w:sz w:val="24"/>
          <w:szCs w:val="18"/>
          <w:lang w:val="en-US" w:eastAsia="zh-CN"/>
        </w:rPr>
        <w:t>事业单位</w:t>
      </w:r>
      <w:r>
        <w:rPr>
          <w:rFonts w:hint="eastAsia" w:ascii="宋体" w:hAnsi="宋体" w:eastAsia="宋体"/>
          <w:sz w:val="24"/>
          <w:szCs w:val="18"/>
          <w:lang w:eastAsia="zh-CN"/>
        </w:rPr>
        <w:t>。</w:t>
      </w:r>
    </w:p>
    <w:p w14:paraId="284ECF44">
      <w:pPr>
        <w:numPr>
          <w:ilvl w:val="0"/>
          <w:numId w:val="0"/>
        </w:numPr>
        <w:spacing w:line="360" w:lineRule="auto"/>
        <w:ind w:firstLine="435" w:firstLineChars="0"/>
        <w:jc w:val="center"/>
        <w:rPr>
          <w:rFonts w:ascii="宋体" w:hAnsi="宋体" w:eastAsia="宋体"/>
          <w:b/>
          <w:bCs/>
          <w:sz w:val="28"/>
          <w:szCs w:val="28"/>
        </w:rPr>
      </w:pPr>
      <w:r>
        <w:rPr>
          <w:rFonts w:hint="eastAsia" w:ascii="宋体" w:hAnsi="宋体" w:eastAsia="宋体" w:cs="宋体"/>
          <w:b/>
          <w:bCs/>
          <w:kern w:val="2"/>
          <w:sz w:val="28"/>
          <w:szCs w:val="28"/>
          <w:lang w:val="en-US" w:eastAsia="zh-CN" w:bidi="ar-SA"/>
        </w:rPr>
        <w:t>（三）</w:t>
      </w:r>
      <w:r>
        <w:rPr>
          <w:rFonts w:hint="eastAsia" w:ascii="宋体" w:hAnsi="宋体" w:eastAsia="宋体"/>
          <w:b/>
          <w:bCs/>
          <w:sz w:val="28"/>
          <w:szCs w:val="28"/>
        </w:rPr>
        <w:t>项目概况</w:t>
      </w:r>
    </w:p>
    <w:p w14:paraId="5D32426F">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1、车型：主要为轿车、商务车、越野车及其他大中小型客车等。</w:t>
      </w:r>
    </w:p>
    <w:p w14:paraId="3C478E90">
      <w:pPr>
        <w:spacing w:line="360" w:lineRule="auto"/>
        <w:ind w:firstLine="435"/>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lang w:val="en-US" w:eastAsia="zh-CN"/>
        </w:rPr>
        <w:t>2、如服务期内合同履行服务满意度低于80%，或出现重大事故及较大经济损失的，或违反双方签订合同约定的有关要求的，采购人可以终止合同。</w:t>
      </w:r>
    </w:p>
    <w:p w14:paraId="3ACB1F8D">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3、市属各县区行政事业单位可参照执行。</w:t>
      </w:r>
    </w:p>
    <w:p w14:paraId="121399D1">
      <w:pPr>
        <w:spacing w:line="360" w:lineRule="auto"/>
        <w:ind w:firstLine="435"/>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4、征集人不保证入围供应商业务量。</w:t>
      </w:r>
    </w:p>
    <w:p w14:paraId="231CB742">
      <w:pPr>
        <w:numPr>
          <w:ilvl w:val="0"/>
          <w:numId w:val="0"/>
        </w:numPr>
        <w:spacing w:line="360" w:lineRule="auto"/>
        <w:ind w:firstLine="435" w:firstLineChars="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（四）技术要求</w:t>
      </w:r>
    </w:p>
    <w:p w14:paraId="346F7C7B">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1、维修范围及内容</w:t>
      </w:r>
    </w:p>
    <w:p w14:paraId="36268644">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范围：马鞍山市市直党政机关及事业单位公务用车维修、保养。新购置的车辆，在质保期内均不包含在此范围中；由保险公司负责理赔维修的车辆，按其有关规定执行；无法在定点维修机构维修的特种专业用车等不包含在此范围内。</w:t>
      </w:r>
    </w:p>
    <w:p w14:paraId="79C8C0F3">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（2）内容：马鞍山市市直党政机关及事业单位公务用车维修保养，涵盖汽车维修保养全部内容；车辆维修是指除事故车、车内音响设施、沙发及内外装潢、改装等以外的所有维修项目。</w:t>
      </w:r>
    </w:p>
    <w:p w14:paraId="6C1884C6">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（3）协议履行期间，实行价格备案制，维修价格报采购人，维修费用应低于马鞍山市市场价格。</w:t>
      </w:r>
    </w:p>
    <w:p w14:paraId="760C7322">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2、维修履约及服务要求</w:t>
      </w:r>
    </w:p>
    <w:p w14:paraId="0C143303">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（1）遵守《交通运输部关于修改〈机动车维修管理规定〉的决定》（中华人民共和国交通运输部令2020年第20号）以及其他相关法律法规。</w:t>
      </w:r>
    </w:p>
    <w:p w14:paraId="0ECF0A7A">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（2）维修企业提供24小时维修服务；周末、节假日随时有人值班维修。</w:t>
      </w:r>
    </w:p>
    <w:p w14:paraId="6900F4E4">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（3）车辆随到随修，故障车进入维修企业厂区内随时有人接待并安排人员检修。</w:t>
      </w:r>
    </w:p>
    <w:p w14:paraId="26C4897E">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（4）保证一般常用、易损配件库存充裕，随时更换；非易损件损坏需更换，国产车不超过2天，进口车不超过5天。</w:t>
      </w:r>
    </w:p>
    <w:p w14:paraId="63540901">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（5）本市范围内（主城区内）出现故障（车辆无法行驶），维修企业人员40分钟内赶到现场；车辆在主城区外（50公里范围内）发生故障抛锚，维修企业人员2小时内赶到现场。</w:t>
      </w:r>
    </w:p>
    <w:p w14:paraId="74F9CA9C">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（6）所更换的配件必须为正品新配件，杜绝假冒伪劣配件装车。</w:t>
      </w:r>
    </w:p>
    <w:p w14:paraId="63514696">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（7）积极协助市直各单位办理车辆更换大件（如：发动机、车架等）的有关编码更新手续。</w:t>
      </w:r>
    </w:p>
    <w:p w14:paraId="11C6CD53">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（8）车辆质保期结束后，将车辆送市机动车综合性能检测线检测，保证符合国家《机动车安全运行技术条件》的标准要求（因重大交通事故造成车辆严重损坏者除外）。</w:t>
      </w:r>
    </w:p>
    <w:p w14:paraId="1AA163A4">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（9）须承诺建立维修车辆维修档案，实行“一车一档”档案管理，维修档案内容包括：车辆所属单位、驾驶员姓名、车牌号、维修内容、更换配件名称、配件价格、维修工时、工时价格、维修金额等。</w:t>
      </w:r>
    </w:p>
    <w:p w14:paraId="2B036ED1">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（10）妥善保管好更换的旧件，出厂时交送修方处理，未经送修方同意不得擅自丢弃；可以维修的部件不得以换代修；不得与任何人串通，虚假修车或虚报维修项目等。</w:t>
      </w:r>
    </w:p>
    <w:p w14:paraId="7985CD5D">
      <w:pPr>
        <w:spacing w:line="360" w:lineRule="auto"/>
        <w:ind w:firstLine="435"/>
        <w:jc w:val="left"/>
        <w:rPr>
          <w:rFonts w:hint="eastAsia" w:ascii="宋体" w:hAnsi="宋体" w:eastAsia="宋体"/>
          <w:sz w:val="24"/>
          <w:szCs w:val="18"/>
          <w:highlight w:val="yellow"/>
          <w:u w:val="none"/>
          <w:lang w:val="en-US" w:eastAsia="zh-CN"/>
        </w:rPr>
      </w:pPr>
      <w:r>
        <w:rPr>
          <w:rFonts w:hint="eastAsia" w:ascii="宋体" w:hAnsi="宋体" w:eastAsia="宋体"/>
          <w:sz w:val="24"/>
          <w:szCs w:val="18"/>
          <w:highlight w:val="yellow"/>
          <w:u w:val="none"/>
          <w:lang w:val="en-US" w:eastAsia="zh-CN"/>
        </w:rPr>
        <w:t>（11）工时费计算严格按照交通运输行业标准《汽车维修工时定额核定方法》（JT/T 1525-2024）规定的方法核定，并依据《安徽省机动车维修工时定额》对应项目标准执行。供应商所报价格小于最高限价20%（即小于30元，不含30元）</w:t>
      </w:r>
      <w:r>
        <w:rPr>
          <w:rFonts w:hint="eastAsia"/>
          <w:sz w:val="24"/>
          <w:szCs w:val="18"/>
          <w:highlight w:val="yellow"/>
          <w:u w:val="none"/>
          <w:lang w:val="en-US" w:eastAsia="zh-CN"/>
        </w:rPr>
        <w:t>的</w:t>
      </w:r>
      <w:r>
        <w:rPr>
          <w:rFonts w:hint="eastAsia" w:ascii="宋体" w:hAnsi="宋体" w:eastAsia="宋体"/>
          <w:sz w:val="24"/>
          <w:szCs w:val="18"/>
          <w:highlight w:val="yellow"/>
          <w:u w:val="none"/>
          <w:lang w:val="en-US" w:eastAsia="zh-CN"/>
        </w:rPr>
        <w:t>，</w:t>
      </w:r>
      <w:r>
        <w:rPr>
          <w:rFonts w:hint="eastAsia"/>
          <w:sz w:val="24"/>
          <w:szCs w:val="18"/>
          <w:highlight w:val="yellow"/>
          <w:u w:val="none"/>
          <w:lang w:val="en-US" w:eastAsia="zh-CN"/>
        </w:rPr>
        <w:t>应在响应文件中</w:t>
      </w:r>
      <w:r>
        <w:rPr>
          <w:rFonts w:hint="eastAsia" w:ascii="宋体" w:hAnsi="宋体" w:eastAsia="宋体"/>
          <w:sz w:val="24"/>
          <w:szCs w:val="18"/>
          <w:highlight w:val="yellow"/>
          <w:u w:val="none"/>
          <w:lang w:val="en-US" w:eastAsia="zh-CN"/>
        </w:rPr>
        <w:t>提供异常报价说明（格式自拟）。</w:t>
      </w:r>
      <w:r>
        <w:rPr>
          <w:rFonts w:hint="eastAsia"/>
          <w:sz w:val="24"/>
          <w:szCs w:val="18"/>
          <w:highlight w:val="yellow"/>
          <w:u w:val="none"/>
          <w:lang w:val="en-US" w:eastAsia="zh-CN"/>
        </w:rPr>
        <w:t>（</w:t>
      </w:r>
      <w:r>
        <w:rPr>
          <w:rFonts w:hint="eastAsia" w:ascii="宋体" w:hAnsi="宋体" w:eastAsia="宋体"/>
          <w:sz w:val="24"/>
          <w:szCs w:val="18"/>
          <w:highlight w:val="yellow"/>
          <w:u w:val="none"/>
          <w:lang w:val="en-US" w:eastAsia="zh-CN"/>
        </w:rPr>
        <w:t>无法提供</w:t>
      </w:r>
      <w:r>
        <w:rPr>
          <w:rFonts w:hint="eastAsia"/>
          <w:sz w:val="24"/>
          <w:szCs w:val="18"/>
          <w:highlight w:val="yellow"/>
          <w:u w:val="none"/>
          <w:lang w:val="en-US" w:eastAsia="zh-CN"/>
        </w:rPr>
        <w:t>的，征集人视为申请无效）</w:t>
      </w:r>
    </w:p>
    <w:p w14:paraId="0B476619">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3、履约监督检查</w:t>
      </w:r>
    </w:p>
    <w:p w14:paraId="2F813C5F">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入围后，采购人将不定期对入围供应商实施履约监督检查，检查内容如下：</w:t>
      </w:r>
    </w:p>
    <w:p w14:paraId="5C8ABCAD">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（1）维修企业的维修资质、操作流程和规章制度是否在醒目位置上墙公示。</w:t>
      </w:r>
    </w:p>
    <w:p w14:paraId="44E57569">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（2）是否按响应文件所承诺的价格标准、维修质量和服务承诺提供服务。</w:t>
      </w:r>
    </w:p>
    <w:p w14:paraId="6AB2343D">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（3）是否严格按技术标准、汽车维修工艺规范提供维修服务。</w:t>
      </w:r>
    </w:p>
    <w:p w14:paraId="1158A950">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（4）是否严格按合同约定,维修所用材料是全新的、原厂生产的合格正品。</w:t>
      </w:r>
    </w:p>
    <w:p w14:paraId="56F70DE7">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（5）是否存在使用假冒伪劣产品或以次充好、以旧顶新等情形。</w:t>
      </w:r>
    </w:p>
    <w:p w14:paraId="11F5A9F1">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（6）是否如实建立《车辆维修项目记录档案》等。</w:t>
      </w:r>
    </w:p>
    <w:p w14:paraId="04557B19">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（7）有无违背服务承诺或其他违法违纪行为。</w:t>
      </w:r>
    </w:p>
    <w:p w14:paraId="786FE082">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（8）自觉接受财政、采购、业务监管部门的监督检查。</w:t>
      </w:r>
    </w:p>
    <w:p w14:paraId="5B3BA554">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4、违约责任</w:t>
      </w:r>
    </w:p>
    <w:p w14:paraId="6E779154">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入围供应商必须提供优质服务，保证服务质量，且不能低于征集文件响应要求规定的范围和种类。采购人将不定期对服务情况进行检查。成交供应商在履行公务车维修合同期间，出现下列情况之一，经调查属实后，解除维修框架协议，情节严重的，根据相关法律、法规处理。</w:t>
      </w:r>
    </w:p>
    <w:p w14:paraId="0A62CF5A">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①违反法律法规、行业规范要求被有关部门查处的；</w:t>
      </w:r>
    </w:p>
    <w:p w14:paraId="57A512A5">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②实际维修厂房、停车场、客户接待区及相关设施与响应文件承诺严重不符的；</w:t>
      </w:r>
    </w:p>
    <w:p w14:paraId="64DB3D8D">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③不按征集文件要求提供应承担的维修服务的；</w:t>
      </w:r>
    </w:p>
    <w:p w14:paraId="0BED75DC">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④一年内被有效投诉两次以上的；</w:t>
      </w:r>
    </w:p>
    <w:p w14:paraId="41F596AB">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⑤不按响应文件要求和承诺计费的；</w:t>
      </w:r>
    </w:p>
    <w:p w14:paraId="6B5BB266">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⑥拒绝接受采购人和有关部门的监督检查，不如实反映情况或提供虚假材料的。</w:t>
      </w:r>
    </w:p>
    <w:p w14:paraId="781F0A00">
      <w:pPr>
        <w:pStyle w:val="2"/>
      </w:pPr>
      <w:r>
        <w:rPr>
          <w:rFonts w:hint="eastAsia" w:ascii="宋体" w:hAnsi="宋体" w:eastAsia="宋体"/>
          <w:sz w:val="24"/>
          <w:szCs w:val="18"/>
          <w:highlight w:val="none"/>
          <w:u w:val="none"/>
          <w:lang w:val="en-US" w:eastAsia="zh-CN"/>
        </w:rPr>
        <w:t>成交供应商未经采购人同意而单方面终止合同的，采购人将依法上报有关部门处理，同时采购人可以以书面形式通知其，拒绝其在一定期限内参与本单位投标活动。</w:t>
      </w:r>
    </w:p>
    <w:p w14:paraId="16E4B976">
      <w:pPr>
        <w:numPr>
          <w:ilvl w:val="0"/>
          <w:numId w:val="0"/>
        </w:numPr>
        <w:spacing w:line="360" w:lineRule="auto"/>
        <w:ind w:firstLine="435" w:firstLineChars="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（五）入围条件（供应商资格）</w:t>
      </w:r>
    </w:p>
    <w:p w14:paraId="552E1E32">
      <w:pPr>
        <w:spacing w:line="360" w:lineRule="auto"/>
        <w:ind w:firstLine="435"/>
        <w:rPr>
          <w:rFonts w:ascii="宋体" w:hAnsi="宋体" w:eastAsia="宋体"/>
          <w:sz w:val="24"/>
          <w:szCs w:val="18"/>
        </w:rPr>
      </w:pPr>
      <w:r>
        <w:rPr>
          <w:rFonts w:hint="eastAsia" w:ascii="宋体" w:hAnsi="宋体" w:eastAsia="宋体"/>
          <w:sz w:val="24"/>
          <w:szCs w:val="18"/>
        </w:rPr>
        <w:t>入围供应商应具备以下基本条件：</w:t>
      </w:r>
    </w:p>
    <w:p w14:paraId="25AC96E7">
      <w:pPr>
        <w:spacing w:line="360" w:lineRule="auto"/>
        <w:ind w:firstLine="435"/>
        <w:jc w:val="left"/>
        <w:rPr>
          <w:rFonts w:hint="eastAsia" w:ascii="宋体" w:hAnsi="宋体" w:eastAsia="宋体"/>
          <w:b/>
          <w:bCs/>
          <w:sz w:val="24"/>
          <w:szCs w:val="18"/>
          <w:highlight w:val="none"/>
          <w:u w:val="none"/>
          <w:lang w:val="en-US" w:eastAsia="zh-CN"/>
        </w:rPr>
      </w:pPr>
      <w:r>
        <w:rPr>
          <w:rFonts w:hint="eastAsia" w:ascii="宋体" w:hAnsi="宋体" w:eastAsia="宋体"/>
          <w:b/>
          <w:bCs/>
          <w:sz w:val="24"/>
          <w:szCs w:val="18"/>
          <w:highlight w:val="none"/>
          <w:u w:val="none"/>
          <w:lang w:val="en-US" w:eastAsia="zh-CN"/>
        </w:rPr>
        <w:t>1.满足《中华人民共和国政府采购法》第二十二条规定</w:t>
      </w:r>
      <w:r>
        <w:rPr>
          <w:rFonts w:hint="eastAsia" w:ascii="宋体" w:hAnsi="宋体" w:eastAsia="宋体"/>
          <w:b/>
          <w:bCs/>
          <w:sz w:val="24"/>
          <w:szCs w:val="18"/>
          <w:highlight w:val="yellow"/>
          <w:u w:val="none"/>
          <w:lang w:val="en-US" w:eastAsia="zh-CN"/>
        </w:rPr>
        <w:t>（申请文件中须提供有效期内的营业执照（或事业单位法人登记证书）的扫描件，否则申请无效）</w:t>
      </w:r>
      <w:r>
        <w:rPr>
          <w:rFonts w:hint="eastAsia" w:ascii="宋体" w:hAnsi="宋体" w:eastAsia="宋体"/>
          <w:b/>
          <w:bCs/>
          <w:sz w:val="24"/>
          <w:szCs w:val="18"/>
          <w:highlight w:val="none"/>
          <w:u w:val="none"/>
          <w:lang w:val="en-US" w:eastAsia="zh-CN"/>
        </w:rPr>
        <w:t>；</w:t>
      </w:r>
    </w:p>
    <w:p w14:paraId="2443006F">
      <w:pPr>
        <w:spacing w:line="360" w:lineRule="auto"/>
        <w:ind w:firstLine="435"/>
        <w:jc w:val="left"/>
        <w:rPr>
          <w:rFonts w:hint="eastAsia" w:ascii="宋体" w:hAnsi="宋体" w:eastAsia="宋体"/>
          <w:b/>
          <w:bCs/>
          <w:sz w:val="24"/>
          <w:szCs w:val="18"/>
          <w:highlight w:val="none"/>
          <w:u w:val="none"/>
          <w:lang w:val="en-US" w:eastAsia="zh-CN"/>
        </w:rPr>
      </w:pPr>
      <w:r>
        <w:rPr>
          <w:rFonts w:hint="eastAsia" w:ascii="宋体" w:hAnsi="宋体" w:eastAsia="宋体"/>
          <w:b/>
          <w:bCs/>
          <w:sz w:val="24"/>
          <w:szCs w:val="18"/>
          <w:highlight w:val="none"/>
          <w:u w:val="none"/>
          <w:lang w:val="en-US" w:eastAsia="zh-CN"/>
        </w:rPr>
        <w:t>2.本项目是否专门面向中小企业：是。</w:t>
      </w:r>
    </w:p>
    <w:p w14:paraId="10A0ED01">
      <w:pPr>
        <w:spacing w:line="360" w:lineRule="auto"/>
        <w:ind w:firstLine="435"/>
        <w:jc w:val="left"/>
        <w:rPr>
          <w:rFonts w:ascii="宋体" w:hAnsi="宋体" w:eastAsia="宋体"/>
          <w:sz w:val="24"/>
          <w:szCs w:val="18"/>
        </w:rPr>
      </w:pPr>
      <w:r>
        <w:rPr>
          <w:rFonts w:hint="eastAsia" w:ascii="宋体" w:hAnsi="宋体" w:eastAsia="宋体"/>
          <w:b/>
          <w:bCs/>
          <w:sz w:val="24"/>
          <w:szCs w:val="18"/>
          <w:highlight w:val="none"/>
          <w:u w:val="none"/>
          <w:lang w:val="en-US" w:eastAsia="zh-CN"/>
        </w:rPr>
        <w:t>2.1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b/>
          <w:bCs/>
          <w:sz w:val="24"/>
          <w:szCs w:val="18"/>
          <w:highlight w:val="yellow"/>
          <w:u w:val="none"/>
          <w:lang w:val="en-US" w:eastAsia="zh-CN"/>
        </w:rPr>
        <w:t>（申请文件中须按征集文件要求</w:t>
      </w:r>
      <w:r>
        <w:rPr>
          <w:rFonts w:hint="eastAsia" w:asciiTheme="minorEastAsia" w:hAnsiTheme="minorEastAsia" w:eastAsiaTheme="minorEastAsia"/>
          <w:b/>
          <w:bCs/>
          <w:color w:val="auto"/>
          <w:sz w:val="24"/>
          <w:highlight w:val="yellow"/>
        </w:rPr>
        <w:t>提供中小企业声明函</w:t>
      </w:r>
      <w:r>
        <w:rPr>
          <w:rFonts w:hint="eastAsia" w:ascii="宋体" w:hAnsi="宋体" w:eastAsia="宋体"/>
          <w:b/>
          <w:bCs/>
          <w:sz w:val="24"/>
          <w:szCs w:val="18"/>
          <w:highlight w:val="yellow"/>
          <w:u w:val="none"/>
          <w:lang w:val="en-US" w:eastAsia="zh-CN"/>
        </w:rPr>
        <w:t>，否则申请无效）</w:t>
      </w:r>
      <w:r>
        <w:rPr>
          <w:rFonts w:hint="eastAsia" w:ascii="宋体" w:hAnsi="宋体" w:eastAsia="宋体"/>
          <w:sz w:val="24"/>
          <w:szCs w:val="18"/>
        </w:rPr>
        <w:t>；</w:t>
      </w:r>
    </w:p>
    <w:p w14:paraId="1E2FA0FD">
      <w:pPr>
        <w:spacing w:line="360" w:lineRule="auto"/>
        <w:ind w:firstLine="435"/>
        <w:rPr>
          <w:rFonts w:ascii="宋体" w:hAnsi="宋体" w:eastAsia="宋体"/>
          <w:sz w:val="24"/>
          <w:szCs w:val="18"/>
          <w:highlight w:val="yellow"/>
        </w:rPr>
      </w:pPr>
      <w:r>
        <w:rPr>
          <w:rFonts w:hint="eastAsia" w:ascii="宋体" w:hAnsi="宋体" w:eastAsia="宋体"/>
          <w:b/>
          <w:bCs/>
          <w:sz w:val="24"/>
          <w:szCs w:val="18"/>
          <w:lang w:val="en-US" w:eastAsia="zh-CN"/>
        </w:rPr>
        <w:t>3</w:t>
      </w:r>
      <w:r>
        <w:rPr>
          <w:rFonts w:hint="eastAsia" w:ascii="宋体" w:hAnsi="宋体" w:eastAsia="宋体"/>
          <w:b/>
          <w:bCs/>
          <w:sz w:val="24"/>
          <w:szCs w:val="18"/>
        </w:rPr>
        <w:t>.具有有效期内</w:t>
      </w:r>
      <w:r>
        <w:rPr>
          <w:rFonts w:hint="eastAsia" w:ascii="宋体" w:hAnsi="宋体" w:eastAsia="宋体"/>
          <w:b/>
          <w:bCs/>
          <w:sz w:val="24"/>
          <w:szCs w:val="18"/>
          <w:lang w:eastAsia="zh-CN"/>
        </w:rPr>
        <w:t>综合维修二类及以上汽车维修经营资质证书或备案证明材料</w:t>
      </w:r>
      <w:r>
        <w:rPr>
          <w:rFonts w:hint="eastAsia" w:ascii="宋体" w:hAnsi="宋体" w:eastAsia="宋体"/>
          <w:b/>
          <w:bCs/>
          <w:sz w:val="24"/>
          <w:szCs w:val="18"/>
          <w:highlight w:val="yellow"/>
        </w:rPr>
        <w:t>（响应文件中须提供维修资质证书或证明文件的</w:t>
      </w:r>
      <w:r>
        <w:rPr>
          <w:rFonts w:hint="eastAsia" w:ascii="宋体" w:hAnsi="宋体" w:eastAsia="宋体"/>
          <w:b/>
          <w:bCs/>
          <w:sz w:val="24"/>
          <w:szCs w:val="18"/>
          <w:highlight w:val="yellow"/>
          <w:lang w:eastAsia="zh-CN"/>
        </w:rPr>
        <w:t>扫描件</w:t>
      </w:r>
      <w:r>
        <w:rPr>
          <w:rFonts w:hint="eastAsia" w:ascii="宋体" w:hAnsi="宋体" w:eastAsia="宋体"/>
          <w:b/>
          <w:bCs/>
          <w:sz w:val="24"/>
          <w:szCs w:val="18"/>
          <w:highlight w:val="yellow"/>
        </w:rPr>
        <w:t>，否则申请无效）；</w:t>
      </w:r>
    </w:p>
    <w:p w14:paraId="06A31107">
      <w:pPr>
        <w:numPr>
          <w:ilvl w:val="0"/>
          <w:numId w:val="0"/>
        </w:numPr>
        <w:spacing w:line="360" w:lineRule="auto"/>
        <w:ind w:firstLine="562" w:firstLineChars="20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（六）商务要求</w:t>
      </w:r>
    </w:p>
    <w:p w14:paraId="6CDDB94F">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1、服务地点：马鞍山市(采购人指定地点)。</w:t>
      </w:r>
    </w:p>
    <w:p w14:paraId="00D96A17">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2、服务期：</w:t>
      </w:r>
      <w:r>
        <w:rPr>
          <w:rFonts w:hint="eastAsia"/>
          <w:sz w:val="24"/>
          <w:szCs w:val="18"/>
          <w:highlight w:val="none"/>
          <w:u w:val="none"/>
          <w:lang w:val="en-US" w:eastAsia="zh-CN"/>
        </w:rPr>
        <w:t>12个月</w:t>
      </w:r>
      <w:r>
        <w:rPr>
          <w:rFonts w:hint="eastAsia" w:ascii="宋体" w:hAnsi="宋体" w:eastAsia="宋体"/>
          <w:sz w:val="24"/>
          <w:szCs w:val="18"/>
          <w:highlight w:val="none"/>
          <w:u w:val="none"/>
          <w:lang w:val="en-US" w:eastAsia="zh-CN"/>
        </w:rPr>
        <w:t>。</w:t>
      </w:r>
    </w:p>
    <w:p w14:paraId="0A7BA7C6">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3、供应商为本项目配备人员不少于5人。（</w:t>
      </w:r>
      <w:r>
        <w:rPr>
          <w:rFonts w:hint="eastAsia" w:ascii="宋体" w:hAnsi="宋体" w:eastAsia="宋体"/>
          <w:b/>
          <w:bCs/>
          <w:sz w:val="24"/>
          <w:szCs w:val="18"/>
          <w:highlight w:val="yellow"/>
          <w:u w:val="none"/>
          <w:lang w:val="en-US" w:eastAsia="zh-CN"/>
        </w:rPr>
        <w:t>申请文件中须提供配备人员的姓名、岗位和工种，否则申请无效</w:t>
      </w:r>
      <w:r>
        <w:rPr>
          <w:rFonts w:hint="eastAsia" w:ascii="宋体" w:hAnsi="宋体" w:eastAsia="宋体"/>
          <w:sz w:val="24"/>
          <w:szCs w:val="18"/>
          <w:highlight w:val="none"/>
          <w:u w:val="none"/>
          <w:lang w:val="en-US" w:eastAsia="zh-CN"/>
        </w:rPr>
        <w:t>）</w:t>
      </w:r>
    </w:p>
    <w:p w14:paraId="2A0384CD">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4、供应商为本项目配备人员中具有特种作业操作证的不少于1人。（</w:t>
      </w:r>
      <w:r>
        <w:rPr>
          <w:rFonts w:hint="eastAsia" w:ascii="宋体" w:hAnsi="宋体" w:eastAsia="宋体"/>
          <w:b/>
          <w:bCs/>
          <w:sz w:val="24"/>
          <w:szCs w:val="18"/>
          <w:highlight w:val="yellow"/>
          <w:u w:val="none"/>
          <w:lang w:val="en-US" w:eastAsia="zh-CN"/>
        </w:rPr>
        <w:t>申请文件中须提供证书的扫描件，否则申请无效</w:t>
      </w:r>
      <w:r>
        <w:rPr>
          <w:rFonts w:hint="eastAsia" w:ascii="宋体" w:hAnsi="宋体" w:eastAsia="宋体"/>
          <w:sz w:val="24"/>
          <w:szCs w:val="18"/>
          <w:highlight w:val="none"/>
          <w:u w:val="none"/>
          <w:lang w:val="en-US" w:eastAsia="zh-CN"/>
        </w:rPr>
        <w:t>）</w:t>
      </w:r>
    </w:p>
    <w:p w14:paraId="37B22182">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5、供应商须具有维修厂房。（</w:t>
      </w:r>
      <w:r>
        <w:rPr>
          <w:rFonts w:hint="eastAsia" w:ascii="宋体" w:hAnsi="宋体" w:eastAsia="宋体"/>
          <w:b/>
          <w:bCs/>
          <w:sz w:val="24"/>
          <w:szCs w:val="18"/>
          <w:highlight w:val="yellow"/>
          <w:u w:val="none"/>
          <w:lang w:val="en-US" w:eastAsia="zh-CN"/>
        </w:rPr>
        <w:t>申请文件中须提供租赁合同或自有产权证明的扫描件，否则申请无效</w:t>
      </w:r>
      <w:r>
        <w:rPr>
          <w:rFonts w:hint="eastAsia" w:ascii="宋体" w:hAnsi="宋体" w:eastAsia="宋体"/>
          <w:sz w:val="24"/>
          <w:szCs w:val="18"/>
          <w:highlight w:val="none"/>
          <w:u w:val="none"/>
          <w:lang w:val="en-US" w:eastAsia="zh-CN"/>
        </w:rPr>
        <w:t>）</w:t>
      </w:r>
    </w:p>
    <w:p w14:paraId="4E90DA48">
      <w:pPr>
        <w:spacing w:line="360" w:lineRule="auto"/>
        <w:ind w:firstLine="435"/>
        <w:jc w:val="left"/>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6、供应商须具有烤漆房（需配备环保柜）和举升机。（</w:t>
      </w:r>
      <w:r>
        <w:rPr>
          <w:rFonts w:hint="eastAsia" w:ascii="宋体" w:hAnsi="宋体" w:eastAsia="宋体"/>
          <w:b/>
          <w:bCs/>
          <w:sz w:val="24"/>
          <w:szCs w:val="18"/>
          <w:highlight w:val="yellow"/>
          <w:u w:val="none"/>
          <w:lang w:val="en-US" w:eastAsia="zh-CN"/>
        </w:rPr>
        <w:t>申请文件中须同时提供烤漆房、环保柜和举升机的租赁合同扫描件或设备购买发票的扫描件或现场照片，否则申请无效</w:t>
      </w:r>
      <w:r>
        <w:rPr>
          <w:rFonts w:hint="eastAsia" w:ascii="宋体" w:hAnsi="宋体" w:eastAsia="宋体"/>
          <w:sz w:val="24"/>
          <w:szCs w:val="18"/>
          <w:highlight w:val="none"/>
          <w:u w:val="none"/>
          <w:lang w:val="en-US" w:eastAsia="zh-CN"/>
        </w:rPr>
        <w:t>）</w:t>
      </w:r>
    </w:p>
    <w:p w14:paraId="6FBDA5A3">
      <w:pPr>
        <w:spacing w:line="360" w:lineRule="auto"/>
        <w:ind w:firstLine="435"/>
        <w:jc w:val="left"/>
      </w:pPr>
      <w:r>
        <w:rPr>
          <w:rFonts w:hint="eastAsia" w:ascii="宋体" w:hAnsi="宋体" w:eastAsia="宋体"/>
          <w:sz w:val="24"/>
          <w:szCs w:val="18"/>
          <w:highlight w:val="none"/>
          <w:u w:val="none"/>
          <w:lang w:val="en-US" w:eastAsia="zh-CN"/>
        </w:rPr>
        <w:t>7、供应商须具有环境保护措施：须明确废油、废电池、固废的处置方式。（</w:t>
      </w:r>
      <w:r>
        <w:rPr>
          <w:rFonts w:hint="eastAsia" w:ascii="宋体" w:hAnsi="宋体" w:eastAsia="宋体"/>
          <w:b/>
          <w:bCs/>
          <w:sz w:val="24"/>
          <w:szCs w:val="18"/>
          <w:highlight w:val="yellow"/>
          <w:u w:val="none"/>
          <w:lang w:val="en-US" w:eastAsia="zh-CN"/>
        </w:rPr>
        <w:t>申请文件中须提供相关合同或其他相关证明材料的扫描件，否则申请无效</w:t>
      </w:r>
      <w:r>
        <w:rPr>
          <w:rFonts w:hint="eastAsia" w:ascii="宋体" w:hAnsi="宋体" w:eastAsia="宋体"/>
          <w:sz w:val="24"/>
          <w:szCs w:val="18"/>
          <w:highlight w:val="none"/>
          <w:u w:val="none"/>
          <w:lang w:val="en-US" w:eastAsia="zh-CN"/>
        </w:rPr>
        <w:t>）</w:t>
      </w:r>
    </w:p>
    <w:p w14:paraId="72B3602B">
      <w:pPr>
        <w:spacing w:line="360" w:lineRule="auto"/>
        <w:ind w:firstLine="435"/>
        <w:jc w:val="left"/>
        <w:rPr>
          <w:rFonts w:hint="default"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8、供应商</w:t>
      </w:r>
      <w:r>
        <w:rPr>
          <w:rFonts w:hint="eastAsia"/>
          <w:sz w:val="24"/>
          <w:szCs w:val="18"/>
          <w:highlight w:val="none"/>
          <w:u w:val="none"/>
          <w:lang w:val="en-US" w:eastAsia="zh-CN"/>
        </w:rPr>
        <w:t>的</w:t>
      </w:r>
      <w:r>
        <w:rPr>
          <w:rFonts w:hint="eastAsia" w:ascii="宋体" w:hAnsi="宋体" w:eastAsia="宋体"/>
          <w:sz w:val="24"/>
          <w:szCs w:val="18"/>
          <w:highlight w:val="none"/>
          <w:u w:val="none"/>
          <w:lang w:val="en-US" w:eastAsia="zh-CN"/>
        </w:rPr>
        <w:t>工时费报价</w:t>
      </w:r>
      <w:r>
        <w:rPr>
          <w:rFonts w:hint="eastAsia"/>
          <w:sz w:val="24"/>
          <w:szCs w:val="18"/>
          <w:highlight w:val="none"/>
          <w:u w:val="none"/>
          <w:lang w:val="en-US" w:eastAsia="zh-CN"/>
        </w:rPr>
        <w:t>需</w:t>
      </w:r>
      <w:r>
        <w:rPr>
          <w:rFonts w:hint="eastAsia" w:ascii="宋体" w:hAnsi="宋体" w:eastAsia="宋体"/>
          <w:sz w:val="24"/>
          <w:szCs w:val="18"/>
          <w:highlight w:val="none"/>
          <w:u w:val="none"/>
          <w:lang w:val="en-US" w:eastAsia="zh-CN"/>
        </w:rPr>
        <w:t>严格按照交通运输行业标准《汽车维修工时定额核定方法》（JT/T 1525-2024）规定，并依据《安徽省机动车维修工时定额》对应项目标准执行</w:t>
      </w:r>
      <w:r>
        <w:rPr>
          <w:rFonts w:hint="eastAsia"/>
          <w:sz w:val="24"/>
          <w:szCs w:val="18"/>
          <w:highlight w:val="none"/>
          <w:u w:val="none"/>
          <w:lang w:val="en-US" w:eastAsia="zh-CN"/>
        </w:rPr>
        <w:t>。</w:t>
      </w:r>
      <w:r>
        <w:rPr>
          <w:rFonts w:hint="eastAsia" w:ascii="宋体" w:hAnsi="宋体" w:eastAsia="宋体" w:cs="宋体"/>
          <w:sz w:val="24"/>
          <w:szCs w:val="18"/>
          <w:highlight w:val="none"/>
          <w:u w:val="none"/>
          <w:lang w:val="en-US" w:eastAsia="zh-CN"/>
        </w:rPr>
        <w:t>【</w:t>
      </w:r>
      <w:r>
        <w:rPr>
          <w:rFonts w:hint="eastAsia" w:ascii="宋体" w:hAnsi="宋体" w:eastAsia="宋体"/>
          <w:b w:val="0"/>
          <w:bCs w:val="0"/>
          <w:sz w:val="24"/>
          <w:szCs w:val="18"/>
          <w:highlight w:val="yellow"/>
          <w:u w:val="none"/>
          <w:lang w:val="en-US" w:eastAsia="zh-CN"/>
        </w:rPr>
        <w:t>申请文件中须提供</w:t>
      </w:r>
      <w:r>
        <w:rPr>
          <w:rFonts w:hint="eastAsia"/>
          <w:b/>
          <w:bCs/>
          <w:sz w:val="24"/>
          <w:szCs w:val="18"/>
          <w:highlight w:val="yellow"/>
          <w:u w:val="none"/>
          <w:lang w:val="en-US" w:eastAsia="zh-CN"/>
        </w:rPr>
        <w:t>工时费报价事项知晓确认书</w:t>
      </w:r>
      <w:r>
        <w:rPr>
          <w:rFonts w:hint="eastAsia"/>
          <w:b w:val="0"/>
          <w:bCs w:val="0"/>
          <w:sz w:val="24"/>
          <w:szCs w:val="18"/>
          <w:highlight w:val="yellow"/>
          <w:u w:val="none"/>
          <w:lang w:val="en-US" w:eastAsia="zh-CN"/>
        </w:rPr>
        <w:t>（格式自拟），</w:t>
      </w:r>
      <w:r>
        <w:rPr>
          <w:rFonts w:hint="eastAsia" w:ascii="宋体" w:hAnsi="宋体" w:eastAsia="宋体"/>
          <w:b w:val="0"/>
          <w:bCs w:val="0"/>
          <w:sz w:val="24"/>
          <w:szCs w:val="18"/>
          <w:highlight w:val="yellow"/>
          <w:u w:val="none"/>
          <w:lang w:val="en-US" w:eastAsia="zh-CN"/>
        </w:rPr>
        <w:t>否则申请无效</w:t>
      </w:r>
      <w:r>
        <w:rPr>
          <w:rFonts w:hint="eastAsia" w:ascii="宋体" w:hAnsi="宋体" w:eastAsia="宋体" w:cs="宋体"/>
          <w:sz w:val="24"/>
          <w:szCs w:val="18"/>
          <w:highlight w:val="none"/>
          <w:u w:val="none"/>
          <w:lang w:val="en-US" w:eastAsia="zh-CN"/>
        </w:rPr>
        <w:t>】</w:t>
      </w:r>
    </w:p>
    <w:p w14:paraId="32D008A0">
      <w:pPr>
        <w:spacing w:line="360" w:lineRule="auto"/>
        <w:ind w:firstLine="435"/>
        <w:jc w:val="left"/>
        <w:rPr>
          <w:rFonts w:hint="eastAsia" w:ascii="宋体" w:hAnsi="宋体" w:eastAsia="宋体"/>
          <w:sz w:val="24"/>
          <w:szCs w:val="18"/>
          <w:highlight w:val="none"/>
          <w:u w:val="none"/>
          <w:lang w:val="en-US" w:eastAsia="zh-CN"/>
        </w:rPr>
      </w:pPr>
      <w:r>
        <w:rPr>
          <w:rFonts w:hint="eastAsia"/>
          <w:sz w:val="24"/>
          <w:szCs w:val="18"/>
          <w:highlight w:val="none"/>
          <w:u w:val="none"/>
          <w:lang w:val="en-US" w:eastAsia="zh-CN"/>
        </w:rPr>
        <w:t>9</w:t>
      </w:r>
      <w:r>
        <w:rPr>
          <w:rFonts w:hint="eastAsia" w:ascii="宋体" w:hAnsi="宋体" w:eastAsia="宋体"/>
          <w:sz w:val="24"/>
          <w:szCs w:val="18"/>
          <w:highlight w:val="none"/>
          <w:u w:val="none"/>
          <w:lang w:val="en-US" w:eastAsia="zh-CN"/>
        </w:rPr>
        <w:t>、响应文件中为本项目配备的人员力量，在合同履行期间，成交供应商须按采购人要求到达本项目现场提供相应服务，否则采购人有权解除采购合同。</w:t>
      </w:r>
    </w:p>
    <w:p w14:paraId="668251EC">
      <w:pPr>
        <w:spacing w:line="360" w:lineRule="auto"/>
        <w:ind w:firstLine="435"/>
        <w:jc w:val="left"/>
        <w:rPr>
          <w:rFonts w:hint="default" w:ascii="宋体" w:hAnsi="宋体" w:eastAsia="宋体"/>
          <w:sz w:val="24"/>
          <w:szCs w:val="18"/>
          <w:highlight w:val="none"/>
          <w:u w:val="none"/>
          <w:lang w:val="en-US" w:eastAsia="zh-CN"/>
        </w:rPr>
      </w:pPr>
      <w:r>
        <w:rPr>
          <w:rFonts w:hint="eastAsia"/>
          <w:sz w:val="24"/>
          <w:szCs w:val="18"/>
          <w:highlight w:val="none"/>
          <w:u w:val="none"/>
          <w:lang w:val="en-US" w:eastAsia="zh-CN"/>
        </w:rPr>
        <w:t>10</w:t>
      </w:r>
      <w:r>
        <w:rPr>
          <w:rFonts w:hint="eastAsia" w:ascii="宋体" w:hAnsi="宋体" w:eastAsia="宋体"/>
          <w:sz w:val="24"/>
          <w:szCs w:val="18"/>
          <w:highlight w:val="none"/>
          <w:u w:val="none"/>
          <w:lang w:val="en-US" w:eastAsia="zh-CN"/>
        </w:rPr>
        <w:t>、入围合同签订后，采购人将组织人员进行现场勘查，若发现虚假响应情形，采购人有权解除入围合同，取消入围资格。</w:t>
      </w:r>
    </w:p>
    <w:p w14:paraId="22EEEFC4">
      <w:pPr>
        <w:spacing w:line="360" w:lineRule="auto"/>
        <w:ind w:firstLine="435"/>
        <w:rPr>
          <w:rFonts w:hint="eastAsia" w:ascii="宋体" w:hAnsi="宋体" w:eastAsia="宋体"/>
          <w:sz w:val="24"/>
          <w:szCs w:val="18"/>
          <w:highlight w:val="none"/>
          <w:u w:val="none"/>
          <w:lang w:val="en-US" w:eastAsia="zh-CN"/>
        </w:rPr>
      </w:pPr>
      <w:r>
        <w:rPr>
          <w:rFonts w:hint="eastAsia" w:ascii="宋体" w:hAnsi="宋体" w:eastAsia="宋体"/>
          <w:sz w:val="24"/>
          <w:szCs w:val="18"/>
          <w:highlight w:val="none"/>
          <w:u w:val="none"/>
          <w:lang w:val="en-US" w:eastAsia="zh-CN"/>
        </w:rPr>
        <w:t>1</w:t>
      </w:r>
      <w:r>
        <w:rPr>
          <w:rFonts w:hint="eastAsia"/>
          <w:sz w:val="24"/>
          <w:szCs w:val="18"/>
          <w:highlight w:val="none"/>
          <w:u w:val="none"/>
          <w:lang w:val="en-US" w:eastAsia="zh-CN"/>
        </w:rPr>
        <w:t>1</w:t>
      </w:r>
      <w:r>
        <w:rPr>
          <w:rFonts w:hint="eastAsia" w:ascii="宋体" w:hAnsi="宋体" w:eastAsia="宋体"/>
          <w:sz w:val="24"/>
          <w:szCs w:val="18"/>
          <w:highlight w:val="none"/>
          <w:u w:val="none"/>
          <w:lang w:val="en-US" w:eastAsia="zh-CN"/>
        </w:rPr>
        <w:t>、本项目总报价包含了履行本项目所有内容的全部费用，及所有价内价外税金及合理利润等。</w:t>
      </w:r>
    </w:p>
    <w:p w14:paraId="6359F555">
      <w:pPr>
        <w:pStyle w:val="2"/>
      </w:pPr>
    </w:p>
    <w:p w14:paraId="45D42E84">
      <w:pPr>
        <w:spacing w:line="360" w:lineRule="auto"/>
        <w:ind w:firstLine="435"/>
        <w:rPr>
          <w:rFonts w:ascii="宋体" w:hAnsi="宋体" w:eastAsia="宋体"/>
          <w:sz w:val="24"/>
          <w:szCs w:val="18"/>
        </w:rPr>
        <w:sectPr>
          <w:footerReference r:id="rId4" w:type="default"/>
          <w:pgSz w:w="11906" w:h="16838"/>
          <w:pgMar w:top="1440" w:right="1800" w:bottom="1440" w:left="1800" w:header="851" w:footer="992" w:gutter="0"/>
          <w:pgNumType w:start="1"/>
          <w:cols w:space="425" w:num="1"/>
          <w:docGrid w:type="lines" w:linePitch="312" w:charSpace="0"/>
        </w:sectPr>
      </w:pPr>
    </w:p>
    <w:p w14:paraId="374C9949">
      <w:pPr>
        <w:spacing w:line="360" w:lineRule="auto"/>
        <w:jc w:val="center"/>
        <w:outlineLvl w:val="0"/>
        <w:rPr>
          <w:rFonts w:hint="eastAsia"/>
          <w:sz w:val="24"/>
          <w:szCs w:val="24"/>
        </w:rPr>
      </w:pPr>
      <w:bookmarkStart w:id="4" w:name="_Toc25234"/>
      <w:bookmarkEnd w:id="4"/>
      <w:r>
        <w:rPr>
          <w:rFonts w:hint="eastAsia"/>
          <w:b/>
          <w:sz w:val="28"/>
          <w:szCs w:val="28"/>
        </w:rPr>
        <w:t>第二章  付费标准及支付方式</w:t>
      </w:r>
    </w:p>
    <w:p w14:paraId="5CC15A72">
      <w:pPr>
        <w:spacing w:line="590" w:lineRule="exact"/>
        <w:rPr>
          <w:rFonts w:hint="eastAsia" w:ascii="宋体" w:hAnsi="宋体" w:eastAsia="宋体" w:cs="宋体"/>
          <w:sz w:val="24"/>
          <w:szCs w:val="24"/>
        </w:rPr>
      </w:pPr>
      <w:r>
        <w:rPr>
          <w:rFonts w:hint="eastAsia" w:ascii="宋体" w:hAnsi="宋体" w:eastAsia="宋体" w:cs="宋体"/>
          <w:sz w:val="24"/>
          <w:szCs w:val="24"/>
        </w:rPr>
        <w:t>1.结算方式：</w:t>
      </w:r>
    </w:p>
    <w:p w14:paraId="78C73302">
      <w:pPr>
        <w:spacing w:line="59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本项目据实结算，结算方式为月结，成交供应商需在次月10号前将上月费用开具发票及供货清单明细至采购人处，采购人在收到成交供应商开具的发票并核对清单无误后结合考核支付货款。</w:t>
      </w:r>
    </w:p>
    <w:p w14:paraId="78BBE7DD">
      <w:pPr>
        <w:spacing w:line="590" w:lineRule="exact"/>
        <w:rPr>
          <w:rFonts w:hint="eastAsia" w:ascii="宋体" w:hAnsi="宋体" w:eastAsia="宋体" w:cs="宋体"/>
          <w:sz w:val="24"/>
          <w:szCs w:val="24"/>
        </w:rPr>
      </w:pPr>
      <w:r>
        <w:rPr>
          <w:rFonts w:hint="eastAsia" w:ascii="宋体" w:hAnsi="宋体" w:eastAsia="宋体" w:cs="宋体"/>
          <w:sz w:val="24"/>
          <w:szCs w:val="24"/>
          <w:lang w:val="en-US" w:eastAsia="zh-CN"/>
        </w:rPr>
        <w:t>2、报价要求</w:t>
      </w:r>
    </w:p>
    <w:p w14:paraId="52873D0E">
      <w:pPr>
        <w:spacing w:line="59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2.1工时费单价≤</w:t>
      </w:r>
      <w:r>
        <w:rPr>
          <w:rFonts w:hint="eastAsia" w:cs="宋体"/>
          <w:sz w:val="24"/>
          <w:szCs w:val="24"/>
          <w:lang w:val="en-US" w:eastAsia="zh-CN"/>
        </w:rPr>
        <w:t>150</w:t>
      </w:r>
      <w:r>
        <w:rPr>
          <w:rFonts w:hint="eastAsia" w:ascii="宋体" w:hAnsi="宋体" w:eastAsia="宋体" w:cs="宋体"/>
          <w:sz w:val="24"/>
          <w:szCs w:val="24"/>
          <w:lang w:val="en-US" w:eastAsia="zh-CN"/>
        </w:rPr>
        <w:t>元</w:t>
      </w:r>
    </w:p>
    <w:p w14:paraId="27A2E432">
      <w:pPr>
        <w:spacing w:line="59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2.2实际修理费=材料费+工时费=材料费+成交工时费单价×工时定额</w:t>
      </w:r>
      <w:r>
        <w:rPr>
          <w:rFonts w:hint="eastAsia" w:cs="宋体"/>
          <w:sz w:val="24"/>
          <w:szCs w:val="24"/>
          <w:lang w:val="en-US" w:eastAsia="zh-CN"/>
        </w:rPr>
        <w:t>。</w:t>
      </w:r>
      <w:r>
        <w:rPr>
          <w:rFonts w:hint="eastAsia" w:ascii="宋体" w:hAnsi="宋体" w:eastAsia="宋体" w:cs="宋体"/>
          <w:sz w:val="24"/>
          <w:szCs w:val="24"/>
          <w:highlight w:val="yellow"/>
          <w:lang w:val="en-US" w:eastAsia="zh-CN"/>
        </w:rPr>
        <w:t>【工时定额按照交通运输行业标准《汽车维修工时定额核定方法》（JT/T 1525-2024）规定的方法核定，并依据《安徽省机动车维修工时定额》对应项目标准执行】</w:t>
      </w:r>
    </w:p>
    <w:p w14:paraId="4FB32AC6">
      <w:pPr>
        <w:spacing w:line="59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入围供应商第一阶段响应报价是服务对象确定第二阶段成交供应商的最高限价。结算时按照文件规定标准结算，合同签订时，成交工时费单价由服务对象与入围供应商协商确定，但不得超过入围供应商的响应报价。</w:t>
      </w:r>
    </w:p>
    <w:p w14:paraId="28C27A32">
      <w:pPr>
        <w:widowControl/>
        <w:spacing w:line="360" w:lineRule="auto"/>
        <w:jc w:val="left"/>
        <w:rPr>
          <w:sz w:val="24"/>
          <w:szCs w:val="24"/>
        </w:rPr>
      </w:pPr>
    </w:p>
    <w:p w14:paraId="33447844">
      <w:pPr>
        <w:pStyle w:val="2"/>
        <w:sectPr>
          <w:pgSz w:w="11906" w:h="16838"/>
          <w:pgMar w:top="1440" w:right="1800" w:bottom="1440" w:left="1800" w:header="851" w:footer="992" w:gutter="0"/>
          <w:pgNumType w:fmt="decimal"/>
          <w:cols w:space="720" w:num="1"/>
          <w:docGrid w:type="lines" w:linePitch="312" w:charSpace="0"/>
        </w:sectPr>
      </w:pPr>
    </w:p>
    <w:p w14:paraId="7676F938"/>
    <w:p w14:paraId="0D042190">
      <w:pPr>
        <w:spacing w:line="360" w:lineRule="auto"/>
        <w:jc w:val="center"/>
        <w:outlineLvl w:val="0"/>
        <w:rPr>
          <w:rFonts w:hint="eastAsia"/>
          <w:b/>
          <w:sz w:val="28"/>
          <w:szCs w:val="28"/>
        </w:rPr>
      </w:pPr>
      <w:bookmarkStart w:id="5" w:name="_Toc11634"/>
      <w:bookmarkEnd w:id="5"/>
      <w:r>
        <w:rPr>
          <w:rFonts w:hint="eastAsia"/>
          <w:b/>
          <w:sz w:val="28"/>
          <w:szCs w:val="28"/>
        </w:rPr>
        <w:t>第三章  用户反馈和评价机制</w:t>
      </w:r>
    </w:p>
    <w:p w14:paraId="47EA7A94">
      <w:pPr>
        <w:spacing w:line="360" w:lineRule="auto"/>
        <w:ind w:firstLine="480" w:firstLineChars="200"/>
        <w:rPr>
          <w:rFonts w:hint="eastAsia"/>
          <w:sz w:val="24"/>
          <w:szCs w:val="24"/>
        </w:rPr>
      </w:pPr>
      <w:r>
        <w:rPr>
          <w:rFonts w:hint="eastAsia"/>
          <w:sz w:val="24"/>
          <w:szCs w:val="24"/>
        </w:rPr>
        <w:t>征集人接受采购人和服务对象对入围供应商履行框架协议和采购合同情况的反馈与评价，并将用户反馈和评价情况向采购人和服务对象公开，可作为第二阶段直接选定入围供应商的参考。</w:t>
      </w:r>
    </w:p>
    <w:p w14:paraId="7FB12CEF">
      <w:pPr>
        <w:rPr>
          <w:rFonts w:hint="eastAsia"/>
          <w:b/>
          <w:sz w:val="28"/>
          <w:szCs w:val="28"/>
        </w:rPr>
      </w:pPr>
      <w:r>
        <w:rPr>
          <w:rFonts w:hint="eastAsia"/>
          <w:b/>
          <w:sz w:val="28"/>
          <w:szCs w:val="28"/>
        </w:rPr>
        <w:br w:type="page"/>
      </w:r>
    </w:p>
    <w:p w14:paraId="17668D3C">
      <w:pPr>
        <w:spacing w:line="360" w:lineRule="auto"/>
        <w:jc w:val="center"/>
        <w:outlineLvl w:val="0"/>
        <w:rPr>
          <w:rFonts w:hint="eastAsia"/>
          <w:sz w:val="24"/>
          <w:szCs w:val="24"/>
        </w:rPr>
      </w:pPr>
      <w:bookmarkStart w:id="6" w:name="_Toc28115"/>
      <w:bookmarkEnd w:id="6"/>
      <w:r>
        <w:rPr>
          <w:rFonts w:hint="eastAsia"/>
          <w:b/>
          <w:sz w:val="28"/>
          <w:szCs w:val="28"/>
        </w:rPr>
        <w:t>第四章  入围供应商的清退机制和补充规则</w:t>
      </w:r>
    </w:p>
    <w:p w14:paraId="090A8AED">
      <w:pPr>
        <w:spacing w:line="360" w:lineRule="auto"/>
        <w:ind w:firstLine="435"/>
        <w:jc w:val="center"/>
        <w:rPr>
          <w:rFonts w:hint="eastAsia"/>
          <w:b/>
          <w:bCs/>
          <w:sz w:val="24"/>
          <w:szCs w:val="24"/>
        </w:rPr>
      </w:pPr>
    </w:p>
    <w:p w14:paraId="15FD1C75">
      <w:pPr>
        <w:ind w:firstLine="482" w:firstLineChars="200"/>
        <w:rPr>
          <w:rFonts w:hint="eastAsia"/>
          <w:b/>
          <w:sz w:val="24"/>
          <w:szCs w:val="24"/>
        </w:rPr>
      </w:pPr>
      <w:r>
        <w:rPr>
          <w:rFonts w:hint="eastAsia"/>
          <w:b/>
          <w:sz w:val="24"/>
          <w:szCs w:val="24"/>
        </w:rPr>
        <w:t xml:space="preserve">一、入围供应商的清退机制 </w:t>
      </w:r>
    </w:p>
    <w:p w14:paraId="4ED2E4C1">
      <w:pPr>
        <w:ind w:firstLine="480" w:firstLineChars="200"/>
        <w:rPr>
          <w:rFonts w:hint="eastAsia"/>
          <w:bCs/>
          <w:sz w:val="24"/>
          <w:szCs w:val="24"/>
        </w:rPr>
      </w:pPr>
      <w:r>
        <w:rPr>
          <w:rFonts w:hint="eastAsia"/>
          <w:bCs/>
          <w:sz w:val="24"/>
          <w:szCs w:val="24"/>
        </w:rPr>
        <w:t>1.框架协议入围供应商可以随时申请退出框架协议。</w:t>
      </w:r>
    </w:p>
    <w:p w14:paraId="5C9203A4">
      <w:pPr>
        <w:ind w:firstLine="480" w:firstLineChars="200"/>
        <w:rPr>
          <w:rFonts w:hint="eastAsia"/>
          <w:bCs/>
          <w:sz w:val="24"/>
          <w:szCs w:val="24"/>
        </w:rPr>
      </w:pPr>
      <w:r>
        <w:rPr>
          <w:rFonts w:hint="eastAsia"/>
          <w:bCs/>
          <w:sz w:val="24"/>
          <w:szCs w:val="24"/>
        </w:rPr>
        <w:t>2.入围供应商有下列情形之一的，取消其入围资格；情节严重的，报财政监 管部门依规处理：</w:t>
      </w:r>
    </w:p>
    <w:p w14:paraId="2776D943">
      <w:pPr>
        <w:ind w:firstLine="480" w:firstLineChars="200"/>
        <w:rPr>
          <w:rFonts w:hint="eastAsia"/>
          <w:bCs/>
          <w:sz w:val="24"/>
          <w:szCs w:val="24"/>
        </w:rPr>
      </w:pPr>
      <w:r>
        <w:rPr>
          <w:rFonts w:hint="eastAsia"/>
          <w:bCs/>
          <w:sz w:val="24"/>
          <w:szCs w:val="24"/>
        </w:rPr>
        <w:t>（1）恶意串通谋取入围或者合同成交的；</w:t>
      </w:r>
    </w:p>
    <w:p w14:paraId="1ED66CB0">
      <w:pPr>
        <w:ind w:firstLine="480" w:firstLineChars="200"/>
        <w:rPr>
          <w:rFonts w:hint="eastAsia"/>
          <w:bCs/>
          <w:sz w:val="24"/>
          <w:szCs w:val="24"/>
        </w:rPr>
      </w:pPr>
      <w:r>
        <w:rPr>
          <w:rFonts w:hint="eastAsia"/>
          <w:bCs/>
          <w:sz w:val="24"/>
          <w:szCs w:val="24"/>
        </w:rPr>
        <w:t>（2）提供虚假材料谋取入围或者合同成交的；</w:t>
      </w:r>
    </w:p>
    <w:p w14:paraId="6C8A4CC8">
      <w:pPr>
        <w:ind w:firstLine="480" w:firstLineChars="200"/>
        <w:rPr>
          <w:rFonts w:hint="eastAsia"/>
          <w:bCs/>
          <w:sz w:val="24"/>
          <w:szCs w:val="24"/>
        </w:rPr>
      </w:pPr>
      <w:r>
        <w:rPr>
          <w:rFonts w:hint="eastAsia"/>
          <w:bCs/>
          <w:sz w:val="24"/>
          <w:szCs w:val="24"/>
        </w:rPr>
        <w:t>（3）无正当理由拒不接受合同授予的；</w:t>
      </w:r>
    </w:p>
    <w:p w14:paraId="72314333">
      <w:pPr>
        <w:ind w:firstLine="480" w:firstLineChars="200"/>
        <w:rPr>
          <w:rFonts w:hint="eastAsia"/>
          <w:bCs/>
          <w:sz w:val="24"/>
          <w:szCs w:val="24"/>
        </w:rPr>
      </w:pPr>
      <w:r>
        <w:rPr>
          <w:rFonts w:hint="eastAsia"/>
          <w:bCs/>
          <w:sz w:val="24"/>
          <w:szCs w:val="24"/>
        </w:rPr>
        <w:t>（4）不履行合同义务或者履行合同义务不符合约定，经采购人请求履行后仍不履行或者仍未按约定履行的；</w:t>
      </w:r>
    </w:p>
    <w:p w14:paraId="344C8195">
      <w:pPr>
        <w:ind w:firstLine="480" w:firstLineChars="200"/>
        <w:rPr>
          <w:rFonts w:hint="eastAsia"/>
          <w:bCs/>
          <w:sz w:val="24"/>
          <w:szCs w:val="24"/>
        </w:rPr>
      </w:pPr>
      <w:r>
        <w:rPr>
          <w:rFonts w:hint="eastAsia"/>
          <w:bCs/>
          <w:sz w:val="24"/>
          <w:szCs w:val="24"/>
        </w:rPr>
        <w:t>（5）框架协议有效期内，因违法行为被禁止或限制参加政府采购活动的；</w:t>
      </w:r>
    </w:p>
    <w:p w14:paraId="36976F51">
      <w:pPr>
        <w:ind w:firstLine="480" w:firstLineChars="200"/>
        <w:rPr>
          <w:rFonts w:hint="eastAsia"/>
          <w:bCs/>
          <w:sz w:val="24"/>
          <w:szCs w:val="24"/>
        </w:rPr>
      </w:pPr>
      <w:r>
        <w:rPr>
          <w:rFonts w:hint="eastAsia"/>
          <w:bCs/>
          <w:sz w:val="24"/>
          <w:szCs w:val="24"/>
        </w:rPr>
        <w:t>（6）框架协议约定的其他情形。</w:t>
      </w:r>
    </w:p>
    <w:p w14:paraId="72784433">
      <w:pPr>
        <w:ind w:firstLine="482" w:firstLineChars="200"/>
        <w:rPr>
          <w:rFonts w:hint="eastAsia"/>
          <w:b/>
          <w:sz w:val="24"/>
          <w:szCs w:val="24"/>
        </w:rPr>
      </w:pPr>
      <w:r>
        <w:rPr>
          <w:rFonts w:hint="eastAsia"/>
          <w:b/>
          <w:sz w:val="24"/>
          <w:szCs w:val="24"/>
        </w:rPr>
        <w:t>二、入围供应商的补充规则</w:t>
      </w:r>
    </w:p>
    <w:p w14:paraId="38C2DADF">
      <w:pPr>
        <w:ind w:firstLine="480" w:firstLineChars="200"/>
        <w:rPr>
          <w:rFonts w:hint="eastAsia"/>
          <w:bCs/>
          <w:sz w:val="24"/>
          <w:szCs w:val="24"/>
        </w:rPr>
      </w:pPr>
      <w:r>
        <w:rPr>
          <w:rFonts w:hint="eastAsia"/>
          <w:bCs/>
          <w:sz w:val="24"/>
          <w:szCs w:val="24"/>
        </w:rPr>
        <w:t>1.征集公告发布后至框架协议期满前，供应商可以按照征集公告要求，随时提交加入框架协议的申请。</w:t>
      </w:r>
    </w:p>
    <w:p w14:paraId="2BE4E5C1">
      <w:pPr>
        <w:widowControl w:val="0"/>
        <w:spacing w:line="360" w:lineRule="auto"/>
        <w:ind w:left="0" w:leftChars="0" w:firstLine="435" w:firstLineChars="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w:t>
      </w:r>
      <w:r>
        <w:rPr>
          <w:rFonts w:hint="eastAsia" w:ascii="宋体" w:hAnsi="宋体" w:eastAsia="宋体" w:cs="宋体"/>
          <w:b/>
          <w:kern w:val="2"/>
          <w:sz w:val="24"/>
          <w:szCs w:val="24"/>
          <w:highlight w:val="yellow"/>
          <w:lang w:val="en-US" w:eastAsia="zh-CN" w:bidi="ar-SA"/>
        </w:rPr>
        <w:t>本轮征集期间，供应商须同时从“徽彩云”电子交易系统递交电子响应文件和以书面形式递交纸质响应文件，否则征集人有权不予审核，视为申请无效。递交的文件不予退还。</w:t>
      </w:r>
    </w:p>
    <w:p w14:paraId="4F4AB39A">
      <w:pPr>
        <w:ind w:firstLine="480" w:firstLineChars="200"/>
        <w:rPr>
          <w:rFonts w:hint="eastAsia"/>
          <w:bCs/>
          <w:sz w:val="24"/>
          <w:szCs w:val="24"/>
          <w:lang w:val="en-US" w:eastAsia="zh-CN"/>
        </w:rPr>
      </w:pPr>
      <w:r>
        <w:rPr>
          <w:rFonts w:hint="eastAsia"/>
          <w:bCs/>
          <w:sz w:val="24"/>
          <w:szCs w:val="24"/>
          <w:lang w:val="en-US" w:eastAsia="zh-CN"/>
        </w:rPr>
        <w:t>2.1电子响应文件递交方式：按照征集公告的要求递交响应文件。</w:t>
      </w:r>
    </w:p>
    <w:p w14:paraId="0AE4A889">
      <w:pPr>
        <w:ind w:firstLine="480" w:firstLineChars="200"/>
        <w:rPr>
          <w:rFonts w:hint="eastAsia"/>
          <w:bCs/>
          <w:sz w:val="24"/>
          <w:szCs w:val="24"/>
          <w:lang w:val="en-US" w:eastAsia="zh-CN"/>
        </w:rPr>
      </w:pPr>
      <w:r>
        <w:rPr>
          <w:rFonts w:hint="eastAsia"/>
          <w:bCs/>
          <w:sz w:val="24"/>
          <w:szCs w:val="24"/>
          <w:lang w:val="en-US" w:eastAsia="zh-CN"/>
        </w:rPr>
        <w:t>2.2纸质响应文件递交方式（</w:t>
      </w:r>
      <w:r>
        <w:rPr>
          <w:rFonts w:hint="eastAsia"/>
          <w:bCs/>
          <w:sz w:val="24"/>
          <w:szCs w:val="24"/>
        </w:rPr>
        <w:t>本一份、副本一份，均须装订成册，不得散落</w:t>
      </w:r>
      <w:r>
        <w:rPr>
          <w:rFonts w:hint="eastAsia"/>
          <w:bCs/>
          <w:sz w:val="24"/>
          <w:szCs w:val="24"/>
          <w:lang w:eastAsia="zh-CN"/>
        </w:rPr>
        <w:t>）。</w:t>
      </w:r>
    </w:p>
    <w:p w14:paraId="5E2754D7">
      <w:pPr>
        <w:ind w:firstLine="480" w:firstLineChars="200"/>
        <w:rPr>
          <w:rFonts w:hint="eastAsia"/>
          <w:bCs/>
          <w:sz w:val="24"/>
          <w:szCs w:val="24"/>
          <w:lang w:val="en-US" w:eastAsia="zh-CN"/>
        </w:rPr>
      </w:pPr>
      <w:r>
        <w:rPr>
          <w:rFonts w:hint="eastAsia"/>
          <w:bCs/>
          <w:sz w:val="24"/>
          <w:szCs w:val="24"/>
          <w:lang w:val="en-US" w:eastAsia="zh-CN"/>
        </w:rPr>
        <w:t>地址：马鞍山市雨山区太白大道2008号行政楼6号楼一楼市公车中心综合部</w:t>
      </w:r>
    </w:p>
    <w:p w14:paraId="5DC11FBE">
      <w:pPr>
        <w:ind w:firstLine="480" w:firstLineChars="200"/>
        <w:rPr>
          <w:rFonts w:hint="eastAsia"/>
          <w:bCs/>
          <w:sz w:val="24"/>
          <w:szCs w:val="24"/>
          <w:lang w:val="en-US" w:eastAsia="zh-CN"/>
        </w:rPr>
      </w:pPr>
      <w:r>
        <w:rPr>
          <w:rFonts w:hint="eastAsia"/>
          <w:bCs/>
          <w:sz w:val="24"/>
          <w:szCs w:val="24"/>
          <w:lang w:val="en-US" w:eastAsia="zh-CN"/>
        </w:rPr>
        <w:t>时间：工作时间(周一至周五,上午8：00-12：00,下午14：30-17：30,节假日休息)</w:t>
      </w:r>
    </w:p>
    <w:p w14:paraId="283F0BB7">
      <w:pPr>
        <w:ind w:firstLine="480" w:firstLineChars="200"/>
        <w:rPr>
          <w:rFonts w:hint="eastAsia"/>
          <w:bCs/>
          <w:sz w:val="24"/>
          <w:szCs w:val="24"/>
          <w:lang w:val="en-US" w:eastAsia="zh-CN"/>
        </w:rPr>
      </w:pPr>
      <w:r>
        <w:rPr>
          <w:rFonts w:hint="eastAsia"/>
          <w:bCs/>
          <w:sz w:val="24"/>
          <w:szCs w:val="24"/>
          <w:lang w:val="en-US" w:eastAsia="zh-CN"/>
        </w:rPr>
        <w:t>电话：0555-8355014</w:t>
      </w:r>
    </w:p>
    <w:p w14:paraId="708EEFFF">
      <w:pPr>
        <w:ind w:firstLine="480" w:firstLineChars="200"/>
        <w:rPr>
          <w:rFonts w:hint="default"/>
          <w:bCs/>
          <w:sz w:val="24"/>
          <w:szCs w:val="24"/>
          <w:lang w:val="en-US" w:eastAsia="zh-CN"/>
        </w:rPr>
      </w:pPr>
      <w:r>
        <w:rPr>
          <w:rFonts w:hint="default"/>
          <w:bCs/>
          <w:sz w:val="24"/>
          <w:szCs w:val="24"/>
          <w:lang w:val="en-US" w:eastAsia="zh-CN"/>
        </w:rPr>
        <w:t>3.征集人应当在收到供应商申请后7个工作日内完成审核，并将审核结果发布入围结果公告。</w:t>
      </w:r>
      <w:bookmarkStart w:id="78" w:name="_GoBack"/>
      <w:bookmarkEnd w:id="78"/>
    </w:p>
    <w:p w14:paraId="4377747F">
      <w:pPr>
        <w:rPr>
          <w:rFonts w:hint="eastAsia"/>
          <w:b/>
          <w:sz w:val="28"/>
          <w:szCs w:val="28"/>
        </w:rPr>
      </w:pPr>
      <w:r>
        <w:rPr>
          <w:rFonts w:hint="eastAsia"/>
          <w:b/>
          <w:sz w:val="28"/>
          <w:szCs w:val="28"/>
        </w:rPr>
        <w:br w:type="page"/>
      </w:r>
    </w:p>
    <w:p w14:paraId="7A8588BA">
      <w:pPr>
        <w:spacing w:line="360" w:lineRule="auto"/>
        <w:jc w:val="center"/>
        <w:outlineLvl w:val="0"/>
        <w:rPr>
          <w:rFonts w:hint="eastAsia"/>
          <w:b/>
          <w:sz w:val="28"/>
          <w:szCs w:val="28"/>
        </w:rPr>
      </w:pPr>
      <w:bookmarkStart w:id="7" w:name="_Toc22882"/>
      <w:bookmarkEnd w:id="7"/>
      <w:r>
        <w:rPr>
          <w:rFonts w:hint="eastAsia"/>
          <w:b/>
          <w:sz w:val="28"/>
          <w:szCs w:val="28"/>
        </w:rPr>
        <w:t>第五章  供应商信用信息</w:t>
      </w:r>
    </w:p>
    <w:p w14:paraId="67F789C4">
      <w:pPr>
        <w:wordWrap w:val="0"/>
        <w:spacing w:line="360" w:lineRule="auto"/>
        <w:ind w:firstLine="437"/>
        <w:rPr>
          <w:rFonts w:hint="eastAsia"/>
          <w:sz w:val="24"/>
          <w:szCs w:val="24"/>
        </w:rPr>
      </w:pPr>
      <w:r>
        <w:rPr>
          <w:rFonts w:hint="eastAsia"/>
          <w:sz w:val="24"/>
          <w:szCs w:val="24"/>
        </w:rPr>
        <w:t>1.供应商存在不良信用记录的不得入围。</w:t>
      </w:r>
    </w:p>
    <w:p w14:paraId="009C458C">
      <w:pPr>
        <w:wordWrap w:val="0"/>
        <w:spacing w:line="360" w:lineRule="auto"/>
        <w:ind w:firstLine="437"/>
        <w:rPr>
          <w:rFonts w:hint="eastAsia"/>
          <w:sz w:val="24"/>
          <w:szCs w:val="24"/>
        </w:rPr>
      </w:pPr>
      <w:r>
        <w:rPr>
          <w:rFonts w:hint="eastAsia"/>
          <w:sz w:val="24"/>
          <w:szCs w:val="24"/>
        </w:rPr>
        <w:t>1.1不良信用记录是指：</w:t>
      </w:r>
    </w:p>
    <w:p w14:paraId="3B00EF59">
      <w:pPr>
        <w:wordWrap w:val="0"/>
        <w:spacing w:line="360" w:lineRule="auto"/>
        <w:ind w:firstLine="437"/>
        <w:rPr>
          <w:rFonts w:hint="eastAsia"/>
          <w:sz w:val="24"/>
          <w:szCs w:val="24"/>
        </w:rPr>
      </w:pPr>
      <w:r>
        <w:rPr>
          <w:rFonts w:hint="eastAsia"/>
          <w:sz w:val="24"/>
          <w:szCs w:val="24"/>
        </w:rPr>
        <w:t>（1）供应商被人民法院列入失信被执行人；</w:t>
      </w:r>
    </w:p>
    <w:p w14:paraId="560457FC">
      <w:pPr>
        <w:wordWrap w:val="0"/>
        <w:spacing w:line="360" w:lineRule="auto"/>
        <w:ind w:firstLine="437"/>
        <w:rPr>
          <w:rFonts w:hint="eastAsia"/>
          <w:sz w:val="24"/>
          <w:szCs w:val="24"/>
        </w:rPr>
      </w:pPr>
      <w:r>
        <w:rPr>
          <w:rFonts w:hint="eastAsia"/>
          <w:sz w:val="24"/>
          <w:szCs w:val="24"/>
        </w:rPr>
        <w:t>（2）供应商或其法定代表人或拟派项目经理（项目负责人）被人民检察院列入行贿犯罪档案；</w:t>
      </w:r>
    </w:p>
    <w:p w14:paraId="6296508B">
      <w:pPr>
        <w:wordWrap w:val="0"/>
        <w:spacing w:line="360" w:lineRule="auto"/>
        <w:ind w:firstLine="437"/>
        <w:rPr>
          <w:rFonts w:hint="eastAsia"/>
          <w:sz w:val="24"/>
          <w:szCs w:val="24"/>
        </w:rPr>
      </w:pPr>
      <w:r>
        <w:rPr>
          <w:rFonts w:hint="eastAsia"/>
          <w:sz w:val="24"/>
          <w:szCs w:val="24"/>
        </w:rPr>
        <w:t>（3）供应商被工商行政管理部门列入企业经营异常名录；</w:t>
      </w:r>
    </w:p>
    <w:p w14:paraId="645A1072">
      <w:pPr>
        <w:wordWrap w:val="0"/>
        <w:spacing w:line="360" w:lineRule="auto"/>
        <w:ind w:firstLine="437"/>
        <w:rPr>
          <w:rFonts w:hint="eastAsia"/>
          <w:sz w:val="24"/>
          <w:szCs w:val="24"/>
        </w:rPr>
      </w:pPr>
      <w:r>
        <w:rPr>
          <w:rFonts w:hint="eastAsia"/>
          <w:sz w:val="24"/>
          <w:szCs w:val="24"/>
        </w:rPr>
        <w:t>（4）供应商被税务部门列入重大税收违法案件当事人名单；</w:t>
      </w:r>
    </w:p>
    <w:p w14:paraId="4CF1B457">
      <w:pPr>
        <w:wordWrap w:val="0"/>
        <w:spacing w:line="360" w:lineRule="auto"/>
        <w:ind w:firstLine="437"/>
        <w:rPr>
          <w:rFonts w:hint="eastAsia"/>
          <w:sz w:val="24"/>
          <w:szCs w:val="24"/>
        </w:rPr>
      </w:pPr>
      <w:r>
        <w:rPr>
          <w:rFonts w:hint="eastAsia"/>
          <w:sz w:val="24"/>
          <w:szCs w:val="24"/>
        </w:rPr>
        <w:t>（5）供应商被政府采购监管部门列入政府采购严重违法失信行为记录名单，以及存在《中华人民共和国政府采购法实施条例》第十九条规定的行政处罚记录。</w:t>
      </w:r>
    </w:p>
    <w:p w14:paraId="607F1EC4">
      <w:pPr>
        <w:wordWrap w:val="0"/>
        <w:spacing w:line="360" w:lineRule="auto"/>
        <w:ind w:firstLine="437"/>
        <w:rPr>
          <w:rFonts w:hint="eastAsia"/>
          <w:sz w:val="24"/>
          <w:szCs w:val="24"/>
        </w:rPr>
      </w:pPr>
      <w:r>
        <w:rPr>
          <w:rFonts w:hint="eastAsia"/>
          <w:sz w:val="24"/>
          <w:szCs w:val="24"/>
        </w:rPr>
        <w:t>1.2信用信息查询渠道：中国政府采购网（www.ccgp.gov.cn）、“信用中国”网站（www.creditchina.gov.cn）、国家企业信用信息公示系统（www.gsxt.gov.cn）。</w:t>
      </w:r>
    </w:p>
    <w:p w14:paraId="525C67C4">
      <w:pPr>
        <w:spacing w:line="360" w:lineRule="auto"/>
        <w:ind w:firstLine="435"/>
        <w:rPr>
          <w:rFonts w:hint="eastAsia"/>
          <w:b/>
          <w:sz w:val="24"/>
          <w:szCs w:val="24"/>
        </w:rPr>
      </w:pPr>
      <w:r>
        <w:rPr>
          <w:rFonts w:hint="eastAsia"/>
          <w:b/>
          <w:sz w:val="24"/>
          <w:szCs w:val="24"/>
        </w:rPr>
        <w:t>注：</w:t>
      </w:r>
    </w:p>
    <w:p w14:paraId="3F6CD114">
      <w:pPr>
        <w:spacing w:line="360" w:lineRule="auto"/>
        <w:ind w:firstLine="435"/>
        <w:rPr>
          <w:rFonts w:hint="eastAsia"/>
          <w:sz w:val="24"/>
          <w:szCs w:val="24"/>
        </w:rPr>
      </w:pPr>
      <w:r>
        <w:rPr>
          <w:rFonts w:hint="eastAsia"/>
          <w:bCs/>
          <w:sz w:val="24"/>
          <w:szCs w:val="24"/>
        </w:rPr>
        <w:t>（1）企业</w:t>
      </w:r>
      <w:r>
        <w:rPr>
          <w:rFonts w:hint="eastAsia"/>
          <w:sz w:val="24"/>
          <w:szCs w:val="24"/>
        </w:rPr>
        <w:t>经营异常名录以国家企业信用信息公示系统查询结果为准。</w:t>
      </w:r>
    </w:p>
    <w:p w14:paraId="45CCDDDD">
      <w:pPr>
        <w:spacing w:line="360" w:lineRule="auto"/>
        <w:ind w:firstLine="435"/>
        <w:rPr>
          <w:rFonts w:hint="eastAsia"/>
          <w:sz w:val="24"/>
          <w:szCs w:val="24"/>
        </w:rPr>
      </w:pPr>
      <w:r>
        <w:rPr>
          <w:rFonts w:hint="eastAsia"/>
          <w:sz w:val="24"/>
          <w:szCs w:val="24"/>
        </w:rPr>
        <w:t>（2）供应商应自行查询信用信息。</w:t>
      </w:r>
    </w:p>
    <w:p w14:paraId="1C33451A">
      <w:pPr>
        <w:spacing w:line="360" w:lineRule="auto"/>
        <w:ind w:firstLine="435"/>
        <w:rPr>
          <w:rFonts w:hint="eastAsia"/>
          <w:sz w:val="24"/>
          <w:szCs w:val="24"/>
        </w:rPr>
      </w:pPr>
      <w:r>
        <w:rPr>
          <w:rFonts w:hint="eastAsia"/>
          <w:sz w:val="24"/>
          <w:szCs w:val="24"/>
        </w:rPr>
        <w:t>（3）征集人将在审核时查询供应商的信用记录。供应商存在不良信用记录的，其申请将被认定为无效。</w:t>
      </w:r>
    </w:p>
    <w:p w14:paraId="61F33065">
      <w:pPr>
        <w:rPr>
          <w:rFonts w:hint="eastAsia"/>
          <w:b/>
          <w:sz w:val="28"/>
          <w:szCs w:val="28"/>
        </w:rPr>
      </w:pPr>
      <w:r>
        <w:rPr>
          <w:rFonts w:hint="eastAsia"/>
          <w:b/>
          <w:sz w:val="28"/>
          <w:szCs w:val="28"/>
        </w:rPr>
        <w:br w:type="page"/>
      </w:r>
    </w:p>
    <w:p w14:paraId="43221DC0">
      <w:pPr>
        <w:spacing w:line="360" w:lineRule="auto"/>
        <w:jc w:val="center"/>
        <w:outlineLvl w:val="0"/>
        <w:rPr>
          <w:rFonts w:hint="eastAsia"/>
          <w:b/>
          <w:sz w:val="28"/>
          <w:szCs w:val="28"/>
        </w:rPr>
      </w:pPr>
      <w:bookmarkStart w:id="8" w:name="_Toc60602106"/>
      <w:bookmarkEnd w:id="8"/>
      <w:bookmarkStart w:id="9" w:name="_Toc8597"/>
      <w:r>
        <w:rPr>
          <w:rFonts w:hint="eastAsia"/>
          <w:b/>
          <w:sz w:val="28"/>
          <w:szCs w:val="28"/>
        </w:rPr>
        <w:t>第六章  资格审查方法和标准</w:t>
      </w:r>
      <w:bookmarkEnd w:id="9"/>
    </w:p>
    <w:p w14:paraId="15BF977D">
      <w:pPr>
        <w:spacing w:line="360" w:lineRule="auto"/>
        <w:ind w:firstLine="437"/>
        <w:outlineLvl w:val="1"/>
        <w:rPr>
          <w:rFonts w:hint="eastAsia"/>
          <w:b/>
          <w:sz w:val="24"/>
          <w:szCs w:val="24"/>
        </w:rPr>
      </w:pPr>
      <w:bookmarkStart w:id="10" w:name="_Toc30845"/>
      <w:bookmarkEnd w:id="10"/>
      <w:bookmarkStart w:id="11" w:name="_Toc13702"/>
      <w:bookmarkEnd w:id="11"/>
      <w:bookmarkStart w:id="12" w:name="_Toc6708"/>
      <w:bookmarkEnd w:id="12"/>
      <w:bookmarkStart w:id="13" w:name="_Toc12065"/>
      <w:bookmarkEnd w:id="13"/>
      <w:bookmarkStart w:id="14" w:name="_Toc836"/>
      <w:bookmarkEnd w:id="14"/>
      <w:bookmarkStart w:id="15" w:name="_Toc24953"/>
      <w:r>
        <w:rPr>
          <w:rFonts w:hint="eastAsia"/>
          <w:b/>
          <w:sz w:val="24"/>
          <w:szCs w:val="24"/>
        </w:rPr>
        <w:t>一、总则</w:t>
      </w:r>
      <w:bookmarkEnd w:id="15"/>
    </w:p>
    <w:p w14:paraId="3CF5CD33">
      <w:pPr>
        <w:spacing w:line="360" w:lineRule="auto"/>
        <w:ind w:firstLine="435"/>
        <w:rPr>
          <w:rFonts w:hint="eastAsia"/>
          <w:sz w:val="24"/>
          <w:szCs w:val="24"/>
        </w:rPr>
      </w:pPr>
      <w:r>
        <w:rPr>
          <w:rFonts w:hint="eastAsia"/>
          <w:sz w:val="24"/>
          <w:szCs w:val="24"/>
        </w:rPr>
        <w:t>本项目将按照征集项目的详细说明和要求的相关要求及本章的规定评审。</w:t>
      </w:r>
    </w:p>
    <w:p w14:paraId="03DF976F">
      <w:pPr>
        <w:spacing w:line="360" w:lineRule="auto"/>
        <w:ind w:firstLine="437"/>
        <w:outlineLvl w:val="1"/>
        <w:rPr>
          <w:rFonts w:hint="eastAsia"/>
          <w:b/>
          <w:sz w:val="24"/>
          <w:szCs w:val="24"/>
        </w:rPr>
      </w:pPr>
      <w:bookmarkStart w:id="16" w:name="_Toc19586"/>
      <w:bookmarkEnd w:id="16"/>
      <w:bookmarkStart w:id="17" w:name="_Toc16319"/>
      <w:bookmarkEnd w:id="17"/>
      <w:bookmarkStart w:id="18" w:name="_Toc18393"/>
      <w:bookmarkEnd w:id="18"/>
      <w:bookmarkStart w:id="19" w:name="_Toc31938"/>
      <w:bookmarkEnd w:id="19"/>
      <w:bookmarkStart w:id="20" w:name="_Toc30286"/>
      <w:bookmarkEnd w:id="20"/>
      <w:bookmarkStart w:id="21" w:name="_Toc10140"/>
      <w:r>
        <w:rPr>
          <w:rFonts w:hint="eastAsia"/>
          <w:b/>
          <w:sz w:val="24"/>
          <w:szCs w:val="24"/>
        </w:rPr>
        <w:t>二、评审方法</w:t>
      </w:r>
      <w:bookmarkEnd w:id="21"/>
    </w:p>
    <w:p w14:paraId="084F7B19">
      <w:pPr>
        <w:spacing w:line="360" w:lineRule="auto"/>
        <w:ind w:firstLine="435"/>
        <w:rPr>
          <w:rFonts w:hint="eastAsia"/>
          <w:sz w:val="24"/>
          <w:szCs w:val="24"/>
        </w:rPr>
      </w:pPr>
      <w:bookmarkStart w:id="22" w:name="_Toc6013"/>
      <w:bookmarkEnd w:id="22"/>
      <w:bookmarkStart w:id="23" w:name="_Toc3986"/>
      <w:bookmarkEnd w:id="23"/>
      <w:bookmarkStart w:id="24" w:name="_Toc61"/>
      <w:bookmarkEnd w:id="24"/>
      <w:bookmarkStart w:id="25" w:name="_Toc167"/>
      <w:bookmarkEnd w:id="25"/>
      <w:bookmarkStart w:id="26" w:name="_Toc21017"/>
      <w:r>
        <w:rPr>
          <w:rFonts w:hint="eastAsia"/>
          <w:sz w:val="24"/>
          <w:szCs w:val="24"/>
        </w:rPr>
        <w:t>1、</w:t>
      </w:r>
      <w:bookmarkEnd w:id="26"/>
      <w:r>
        <w:rPr>
          <w:rFonts w:hint="eastAsia"/>
          <w:sz w:val="24"/>
          <w:szCs w:val="24"/>
        </w:rPr>
        <w:t>申请文件解密结束后，对供应商的资格进行审查。</w:t>
      </w:r>
    </w:p>
    <w:p w14:paraId="34DC1F6D">
      <w:pPr>
        <w:spacing w:line="360" w:lineRule="auto"/>
        <w:ind w:firstLine="435"/>
        <w:rPr>
          <w:rFonts w:hint="eastAsia"/>
          <w:sz w:val="24"/>
          <w:szCs w:val="24"/>
        </w:rPr>
      </w:pPr>
      <w:r>
        <w:rPr>
          <w:rFonts w:hint="eastAsia"/>
          <w:sz w:val="24"/>
          <w:szCs w:val="24"/>
        </w:rPr>
        <w:t>2、征集人依据征集公告的要求，对供应商的资格进行审查，审查申请文件是否响应了征集公告的资格要求。当发现供应商或其申请文件存在下列情况之一时，将判定供应商的资格不符合要求，资格审查不通过：</w:t>
      </w:r>
    </w:p>
    <w:p w14:paraId="3056AC6E">
      <w:pPr>
        <w:spacing w:line="360" w:lineRule="auto"/>
        <w:ind w:firstLine="435"/>
        <w:rPr>
          <w:rFonts w:hint="eastAsia"/>
          <w:sz w:val="24"/>
          <w:szCs w:val="24"/>
        </w:rPr>
      </w:pPr>
      <w:r>
        <w:rPr>
          <w:rFonts w:hint="eastAsia"/>
          <w:sz w:val="24"/>
          <w:szCs w:val="24"/>
        </w:rPr>
        <w:t>2.1不符合《中华人民共和国政府采购法》第二十二条规定；</w:t>
      </w:r>
    </w:p>
    <w:p w14:paraId="7BBA65BA">
      <w:pPr>
        <w:spacing w:line="360" w:lineRule="auto"/>
        <w:ind w:firstLine="435"/>
        <w:rPr>
          <w:rFonts w:hint="eastAsia"/>
          <w:sz w:val="24"/>
          <w:szCs w:val="24"/>
        </w:rPr>
      </w:pPr>
      <w:r>
        <w:rPr>
          <w:rFonts w:hint="eastAsia"/>
          <w:sz w:val="24"/>
          <w:szCs w:val="24"/>
        </w:rPr>
        <w:t>2.2未按征集公告要求提供供应商营业执照、税务登记证（若供应商提供了“多证合一”的营业执照，无需另行提供税务登记证）扫描件；</w:t>
      </w:r>
    </w:p>
    <w:p w14:paraId="2B438F70">
      <w:pPr>
        <w:spacing w:line="360" w:lineRule="auto"/>
        <w:ind w:firstLine="435"/>
        <w:rPr>
          <w:rFonts w:asciiTheme="minorEastAsia" w:hAnsiTheme="minorEastAsia" w:eastAsiaTheme="minorEastAsia"/>
          <w:b/>
          <w:bCs/>
          <w:sz w:val="24"/>
          <w:highlight w:val="yellow"/>
          <w:lang w:val="zh-CN"/>
        </w:rPr>
      </w:pPr>
      <w:r>
        <w:rPr>
          <w:rFonts w:hint="eastAsia" w:asciiTheme="minorEastAsia" w:hAnsiTheme="minorEastAsia" w:eastAsiaTheme="minorEastAsia"/>
          <w:b/>
          <w:bCs/>
          <w:sz w:val="24"/>
          <w:highlight w:val="yellow"/>
        </w:rPr>
        <w:t>2.3</w:t>
      </w:r>
      <w:r>
        <w:rPr>
          <w:rFonts w:hint="eastAsia" w:asciiTheme="minorEastAsia" w:hAnsiTheme="minorEastAsia" w:eastAsiaTheme="minorEastAsia"/>
          <w:b/>
          <w:bCs/>
          <w:sz w:val="24"/>
          <w:highlight w:val="yellow"/>
          <w:lang w:val="zh-CN"/>
        </w:rPr>
        <w:t>未按</w:t>
      </w:r>
      <w:r>
        <w:rPr>
          <w:rFonts w:hint="eastAsia" w:asciiTheme="minorEastAsia" w:hAnsiTheme="minorEastAsia" w:eastAsiaTheme="minorEastAsia"/>
          <w:b/>
          <w:bCs/>
          <w:sz w:val="24"/>
          <w:highlight w:val="yellow"/>
        </w:rPr>
        <w:t>征集公告</w:t>
      </w:r>
      <w:r>
        <w:rPr>
          <w:rFonts w:hint="eastAsia" w:asciiTheme="minorEastAsia" w:hAnsiTheme="minorEastAsia" w:eastAsiaTheme="minorEastAsia"/>
          <w:b/>
          <w:bCs/>
          <w:sz w:val="24"/>
          <w:highlight w:val="yellow"/>
          <w:lang w:val="zh-CN"/>
        </w:rPr>
        <w:t>要求提供有效期内的综合维修二类及以上汽车维修经营资质证书或备案证明材料；</w:t>
      </w:r>
    </w:p>
    <w:p w14:paraId="115D36D3">
      <w:pPr>
        <w:spacing w:line="360" w:lineRule="auto"/>
        <w:ind w:firstLine="435"/>
        <w:rPr>
          <w:rFonts w:hint="eastAsia" w:asciiTheme="minorEastAsia" w:hAnsiTheme="minorEastAsia" w:eastAsiaTheme="minorEastAsia"/>
          <w:b/>
          <w:bCs/>
          <w:sz w:val="24"/>
          <w:highlight w:val="yellow"/>
        </w:rPr>
      </w:pPr>
      <w:r>
        <w:rPr>
          <w:rFonts w:hint="eastAsia" w:asciiTheme="minorEastAsia" w:hAnsiTheme="minorEastAsia" w:eastAsiaTheme="minorEastAsia"/>
          <w:b/>
          <w:bCs/>
          <w:sz w:val="24"/>
          <w:highlight w:val="yellow"/>
        </w:rPr>
        <w:t>2.4专门面向中小企业采购的项目，未按征集文件要求提供中小企业声明函【注：供应商提供的货物（或服务或工程）须为中小企业制造（或提供或承接）】；</w:t>
      </w:r>
    </w:p>
    <w:p w14:paraId="626AC9DB">
      <w:pPr>
        <w:spacing w:line="360" w:lineRule="auto"/>
        <w:ind w:firstLine="435"/>
        <w:rPr>
          <w:rFonts w:asciiTheme="minorEastAsia" w:hAnsiTheme="minorEastAsia" w:eastAsiaTheme="minorEastAsia"/>
          <w:b/>
          <w:bCs/>
          <w:sz w:val="24"/>
          <w:highlight w:val="yellow"/>
          <w:lang w:val="zh-CN"/>
        </w:rPr>
      </w:pPr>
      <w:r>
        <w:rPr>
          <w:rFonts w:hint="eastAsia" w:asciiTheme="minorEastAsia" w:hAnsiTheme="minorEastAsia" w:eastAsiaTheme="minorEastAsia"/>
          <w:b/>
          <w:bCs/>
          <w:sz w:val="24"/>
          <w:highlight w:val="yellow"/>
          <w:lang w:val="en-US" w:eastAsia="zh-CN"/>
        </w:rPr>
        <w:t>2.5未按征集文件“商务要求”中要求提供相关材料扫描件及</w:t>
      </w:r>
      <w:r>
        <w:rPr>
          <w:rFonts w:hint="eastAsia"/>
          <w:b/>
          <w:bCs/>
          <w:sz w:val="24"/>
          <w:szCs w:val="18"/>
          <w:highlight w:val="yellow"/>
          <w:u w:val="none"/>
          <w:lang w:val="en-US" w:eastAsia="zh-CN"/>
        </w:rPr>
        <w:t>事项知晓确认书</w:t>
      </w:r>
      <w:r>
        <w:rPr>
          <w:rFonts w:hint="eastAsia" w:asciiTheme="minorEastAsia" w:hAnsiTheme="minorEastAsia" w:eastAsiaTheme="minorEastAsia"/>
          <w:b/>
          <w:bCs/>
          <w:sz w:val="24"/>
          <w:highlight w:val="yellow"/>
          <w:lang w:val="zh-CN"/>
        </w:rPr>
        <w:t>；</w:t>
      </w:r>
    </w:p>
    <w:p w14:paraId="3C81B5BA">
      <w:pPr>
        <w:spacing w:line="360" w:lineRule="auto"/>
        <w:ind w:firstLine="435"/>
        <w:rPr>
          <w:rFonts w:hint="eastAsia"/>
          <w:sz w:val="24"/>
          <w:szCs w:val="24"/>
        </w:rPr>
      </w:pPr>
      <w:r>
        <w:rPr>
          <w:rFonts w:hint="eastAsia"/>
          <w:sz w:val="24"/>
          <w:szCs w:val="24"/>
        </w:rPr>
        <w:t>2.</w:t>
      </w:r>
      <w:r>
        <w:rPr>
          <w:rFonts w:hint="eastAsia"/>
          <w:sz w:val="24"/>
          <w:szCs w:val="24"/>
          <w:lang w:val="en-US" w:eastAsia="zh-CN"/>
        </w:rPr>
        <w:t>5</w:t>
      </w:r>
      <w:r>
        <w:rPr>
          <w:rFonts w:hint="eastAsia"/>
          <w:sz w:val="24"/>
          <w:szCs w:val="24"/>
        </w:rPr>
        <w:t>未按征集文件要求提供</w:t>
      </w:r>
      <w:r>
        <w:rPr>
          <w:rFonts w:hint="eastAsia"/>
          <w:color w:val="000000"/>
          <w:kern w:val="0"/>
          <w:sz w:val="24"/>
          <w:szCs w:val="24"/>
        </w:rPr>
        <w:t>无重大违法记录声明函、无不良信用记录声明函；</w:t>
      </w:r>
    </w:p>
    <w:p w14:paraId="440253C8">
      <w:pPr>
        <w:spacing w:line="360" w:lineRule="auto"/>
        <w:ind w:firstLine="435"/>
        <w:rPr>
          <w:rFonts w:hint="eastAsia"/>
          <w:sz w:val="24"/>
          <w:szCs w:val="24"/>
        </w:rPr>
      </w:pPr>
      <w:r>
        <w:rPr>
          <w:rFonts w:hint="eastAsia"/>
          <w:sz w:val="24"/>
          <w:szCs w:val="24"/>
        </w:rPr>
        <w:t>2.</w:t>
      </w:r>
      <w:r>
        <w:rPr>
          <w:rFonts w:hint="eastAsia"/>
          <w:sz w:val="24"/>
          <w:szCs w:val="24"/>
          <w:lang w:val="en-US" w:eastAsia="zh-CN"/>
        </w:rPr>
        <w:t>6</w:t>
      </w:r>
      <w:r>
        <w:rPr>
          <w:rFonts w:hint="eastAsia"/>
          <w:sz w:val="24"/>
          <w:szCs w:val="24"/>
        </w:rPr>
        <w:t>供应商报价超过征集文件中规定的最高限制单价的；</w:t>
      </w:r>
    </w:p>
    <w:p w14:paraId="1291A099">
      <w:pPr>
        <w:spacing w:line="360" w:lineRule="auto"/>
        <w:ind w:firstLine="435"/>
        <w:rPr>
          <w:rFonts w:hint="eastAsia"/>
          <w:sz w:val="24"/>
          <w:szCs w:val="24"/>
        </w:rPr>
      </w:pPr>
      <w:r>
        <w:rPr>
          <w:rFonts w:hint="eastAsia"/>
          <w:sz w:val="24"/>
          <w:szCs w:val="24"/>
        </w:rPr>
        <w:t>2.</w:t>
      </w:r>
      <w:r>
        <w:rPr>
          <w:rFonts w:hint="eastAsia"/>
          <w:sz w:val="24"/>
          <w:szCs w:val="24"/>
          <w:lang w:val="en-US" w:eastAsia="zh-CN"/>
        </w:rPr>
        <w:t>7</w:t>
      </w:r>
      <w:r>
        <w:rPr>
          <w:rFonts w:hint="eastAsia"/>
          <w:sz w:val="24"/>
          <w:szCs w:val="24"/>
        </w:rPr>
        <w:t>未按征集公告要求提供申请文件；</w:t>
      </w:r>
    </w:p>
    <w:p w14:paraId="0C787A2B">
      <w:pPr>
        <w:spacing w:line="360" w:lineRule="auto"/>
        <w:ind w:firstLine="435"/>
        <w:rPr>
          <w:rFonts w:hint="eastAsia"/>
          <w:sz w:val="24"/>
          <w:szCs w:val="24"/>
        </w:rPr>
      </w:pPr>
      <w:r>
        <w:rPr>
          <w:rFonts w:hint="eastAsia"/>
          <w:sz w:val="24"/>
          <w:szCs w:val="24"/>
        </w:rPr>
        <w:t>2.</w:t>
      </w:r>
      <w:r>
        <w:rPr>
          <w:rFonts w:hint="eastAsia"/>
          <w:sz w:val="24"/>
          <w:szCs w:val="24"/>
          <w:lang w:val="en-US" w:eastAsia="zh-CN"/>
        </w:rPr>
        <w:t>8</w:t>
      </w:r>
      <w:r>
        <w:rPr>
          <w:rFonts w:hint="eastAsia"/>
          <w:sz w:val="24"/>
          <w:szCs w:val="24"/>
        </w:rPr>
        <w:t>不符合征集公告规定的其他资格条件；</w:t>
      </w:r>
    </w:p>
    <w:p w14:paraId="4FB136D2">
      <w:pPr>
        <w:spacing w:line="360" w:lineRule="auto"/>
        <w:ind w:firstLine="435"/>
        <w:rPr>
          <w:rFonts w:hint="eastAsia"/>
          <w:sz w:val="24"/>
          <w:szCs w:val="24"/>
        </w:rPr>
      </w:pPr>
      <w:r>
        <w:rPr>
          <w:rFonts w:hint="eastAsia"/>
          <w:sz w:val="24"/>
          <w:szCs w:val="24"/>
        </w:rPr>
        <w:t>3、对通过资格审查的供应商，即为入围供应商。</w:t>
      </w:r>
    </w:p>
    <w:p w14:paraId="2EEFB119">
      <w:pPr>
        <w:spacing w:line="360" w:lineRule="auto"/>
        <w:ind w:firstLine="437"/>
        <w:outlineLvl w:val="1"/>
        <w:rPr>
          <w:rFonts w:hint="eastAsia"/>
          <w:b/>
          <w:sz w:val="24"/>
          <w:szCs w:val="24"/>
        </w:rPr>
      </w:pPr>
      <w:bookmarkStart w:id="27" w:name="_Toc1492"/>
      <w:bookmarkEnd w:id="27"/>
      <w:r>
        <w:rPr>
          <w:rFonts w:hint="eastAsia"/>
          <w:b/>
          <w:sz w:val="24"/>
          <w:szCs w:val="24"/>
        </w:rPr>
        <w:t>三、入围供应商约定</w:t>
      </w:r>
    </w:p>
    <w:p w14:paraId="249ADF20">
      <w:pPr>
        <w:spacing w:line="360" w:lineRule="auto"/>
        <w:ind w:firstLine="435"/>
        <w:rPr>
          <w:rFonts w:hint="eastAsia"/>
          <w:sz w:val="24"/>
          <w:szCs w:val="24"/>
        </w:rPr>
      </w:pPr>
      <w:r>
        <w:rPr>
          <w:rFonts w:hint="eastAsia"/>
          <w:sz w:val="24"/>
          <w:szCs w:val="24"/>
        </w:rPr>
        <w:t>提交申请文件和通过资格审查的供应商确定入围。</w:t>
      </w:r>
    </w:p>
    <w:p w14:paraId="031B9FE2">
      <w:pPr>
        <w:spacing w:line="360" w:lineRule="auto"/>
        <w:ind w:firstLine="435"/>
        <w:rPr>
          <w:rFonts w:hint="eastAsia"/>
          <w:bCs/>
          <w:sz w:val="24"/>
          <w:szCs w:val="24"/>
        </w:rPr>
      </w:pPr>
      <w:r>
        <w:rPr>
          <w:rFonts w:hint="eastAsia"/>
          <w:bCs/>
          <w:sz w:val="24"/>
          <w:szCs w:val="24"/>
        </w:rPr>
        <w:br w:type="page"/>
      </w:r>
    </w:p>
    <w:p w14:paraId="304D68C1">
      <w:pPr>
        <w:numPr>
          <w:ilvl w:val="0"/>
          <w:numId w:val="1"/>
        </w:numPr>
        <w:spacing w:line="360" w:lineRule="auto"/>
        <w:jc w:val="center"/>
        <w:outlineLvl w:val="0"/>
        <w:rPr>
          <w:rFonts w:hint="eastAsia"/>
          <w:b/>
          <w:sz w:val="28"/>
          <w:szCs w:val="28"/>
        </w:rPr>
      </w:pPr>
      <w:bookmarkStart w:id="28" w:name="_Toc60602108"/>
      <w:bookmarkEnd w:id="28"/>
      <w:bookmarkStart w:id="29" w:name="_Toc26644663"/>
      <w:r>
        <w:rPr>
          <w:rFonts w:hint="eastAsia"/>
          <w:b/>
          <w:sz w:val="28"/>
          <w:szCs w:val="28"/>
        </w:rPr>
        <w:t xml:space="preserve"> </w:t>
      </w:r>
      <w:bookmarkEnd w:id="29"/>
      <w:bookmarkStart w:id="30" w:name="_Toc15099"/>
      <w:bookmarkEnd w:id="30"/>
      <w:r>
        <w:rPr>
          <w:rFonts w:hint="eastAsia"/>
          <w:b/>
          <w:sz w:val="28"/>
          <w:szCs w:val="28"/>
        </w:rPr>
        <w:t>采购合同文本</w:t>
      </w:r>
    </w:p>
    <w:p w14:paraId="1E36FBD0">
      <w:pPr>
        <w:spacing w:line="360" w:lineRule="auto"/>
        <w:ind w:firstLine="435"/>
        <w:jc w:val="center"/>
        <w:rPr>
          <w:rFonts w:hint="eastAsia"/>
          <w:b/>
          <w:bCs/>
          <w:sz w:val="24"/>
          <w:szCs w:val="24"/>
          <w:highlight w:val="yellow"/>
        </w:rPr>
      </w:pPr>
      <w:r>
        <w:rPr>
          <w:rFonts w:hint="eastAsia"/>
          <w:b/>
          <w:bCs/>
          <w:sz w:val="24"/>
          <w:szCs w:val="24"/>
          <w:highlight w:val="yellow"/>
        </w:rPr>
        <w:t>（此为合同格式模板，具体以实际签订为准）</w:t>
      </w:r>
    </w:p>
    <w:p w14:paraId="48743414">
      <w:pPr>
        <w:spacing w:line="360" w:lineRule="auto"/>
        <w:ind w:firstLine="435"/>
        <w:jc w:val="left"/>
        <w:rPr>
          <w:rFonts w:asciiTheme="minorEastAsia" w:hAnsiTheme="minorEastAsia" w:eastAsiaTheme="minorEastAsia"/>
          <w:sz w:val="24"/>
        </w:rPr>
      </w:pPr>
      <w:r>
        <w:rPr>
          <w:rFonts w:hint="eastAsia"/>
          <w:b/>
          <w:bCs/>
          <w:sz w:val="24"/>
          <w:szCs w:val="24"/>
          <w:highlight w:val="none"/>
          <w:u w:val="single"/>
          <w:lang w:val="en-US" w:eastAsia="zh-CN"/>
        </w:rPr>
        <w:t xml:space="preserve">            </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以下简称“甲方”）和</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（以下简称“乙方”）按照征集公告确定的事项签订本合同。</w:t>
      </w:r>
    </w:p>
    <w:p w14:paraId="5AE6C6B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中华人民共和国民法典》、《中华人民共和国政府采购法》、中华人民共和国财政部令第110号《政府采购框架协议采购方式管理暂行办法》等相关法律、法规、政策之规定，按照平等、自愿、公平和诚实信用的原则，经甲方和乙方协商一致，约定以下合同条款，以兹共同遵守、全面履行。</w:t>
      </w:r>
    </w:p>
    <w:p w14:paraId="0E3C5604">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一、服务名称及内容</w:t>
      </w:r>
    </w:p>
    <w:p w14:paraId="581A30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本合同采购服务名称和内容：</w:t>
      </w:r>
      <w:r>
        <w:rPr>
          <w:rFonts w:hint="eastAsia" w:asciiTheme="minorEastAsia" w:hAnsiTheme="minorEastAsia" w:eastAsiaTheme="minorEastAsia"/>
          <w:sz w:val="24"/>
          <w:lang w:eastAsia="zh-CN"/>
        </w:rPr>
        <w:t>马鞍山市2026-2027年公务用车维修服务（综合类）框架协议采购</w:t>
      </w:r>
      <w:r>
        <w:rPr>
          <w:rFonts w:hint="eastAsia" w:asciiTheme="minorEastAsia" w:hAnsiTheme="minorEastAsia" w:eastAsiaTheme="minorEastAsia"/>
          <w:sz w:val="24"/>
        </w:rPr>
        <w:t>。</w:t>
      </w:r>
    </w:p>
    <w:p w14:paraId="192ACB35">
      <w:pPr>
        <w:numPr>
          <w:ilvl w:val="0"/>
          <w:numId w:val="2"/>
        </w:num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组成合同的文件</w:t>
      </w:r>
    </w:p>
    <w:p w14:paraId="4CABF58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马鞍山市2026-2027年公务用车维修服务（综合类）框架协议采购</w:t>
      </w:r>
      <w:r>
        <w:rPr>
          <w:rFonts w:hint="eastAsia" w:asciiTheme="minorEastAsia" w:hAnsiTheme="minorEastAsia" w:eastAsiaTheme="minorEastAsia"/>
          <w:sz w:val="24"/>
        </w:rPr>
        <w:t>”征集公告及更正公告；</w:t>
      </w:r>
    </w:p>
    <w:p w14:paraId="290EEB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马鞍山市2026-2027年公务用车维修服务（综合类）框架协议采购</w:t>
      </w:r>
      <w:r>
        <w:rPr>
          <w:rFonts w:hint="eastAsia" w:asciiTheme="minorEastAsia" w:hAnsiTheme="minorEastAsia" w:eastAsiaTheme="minorEastAsia"/>
          <w:sz w:val="24"/>
        </w:rPr>
        <w:t>”入围结果公告；</w:t>
      </w:r>
    </w:p>
    <w:p w14:paraId="4F238B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eastAsia="zh-CN"/>
        </w:rPr>
        <w:t>马鞍山市2026-2027年公务用车维修服务（综合类）框架协议采购</w:t>
      </w:r>
      <w:r>
        <w:rPr>
          <w:rFonts w:hint="eastAsia" w:asciiTheme="minorEastAsia" w:hAnsiTheme="minorEastAsia" w:eastAsiaTheme="minorEastAsia"/>
          <w:sz w:val="24"/>
        </w:rPr>
        <w:t>”项目申请文件及书面承诺函；</w:t>
      </w:r>
    </w:p>
    <w:p w14:paraId="482CD2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4.双方另行签订的补充协议。</w:t>
      </w:r>
    </w:p>
    <w:p w14:paraId="248AA844">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三、合同金额：最高限制单价（协议价格）</w:t>
      </w:r>
    </w:p>
    <w:p w14:paraId="696491DD">
      <w:pPr>
        <w:spacing w:line="360" w:lineRule="auto"/>
        <w:ind w:firstLine="435"/>
        <w:rPr>
          <w:rFonts w:hint="default"/>
          <w:lang w:val="en-US" w:eastAsia="zh-CN"/>
        </w:rPr>
      </w:pPr>
      <w:r>
        <w:rPr>
          <w:rFonts w:hint="eastAsia" w:ascii="宋体" w:hAnsi="宋体" w:eastAsia="宋体" w:cs="宋体"/>
          <w:sz w:val="24"/>
          <w:szCs w:val="24"/>
          <w:lang w:val="en-US" w:eastAsia="zh-CN"/>
        </w:rPr>
        <w:t>工时费单价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 xml:space="preserve"> 元</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26B8D878">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四、框架协议的期限、履行合同的地域范围</w:t>
      </w:r>
    </w:p>
    <w:p w14:paraId="0E1BCE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框架协议的期限：</w:t>
      </w:r>
      <w:r>
        <w:rPr>
          <w:rFonts w:hint="eastAsia" w:asciiTheme="minorEastAsia" w:hAnsiTheme="minorEastAsia" w:eastAsiaTheme="minorEastAsia"/>
          <w:sz w:val="24"/>
          <w:lang w:val="en-US" w:eastAsia="zh-CN"/>
        </w:rPr>
        <w:t>12个月</w:t>
      </w:r>
      <w:r>
        <w:rPr>
          <w:rFonts w:hint="eastAsia" w:asciiTheme="minorEastAsia" w:hAnsiTheme="minorEastAsia" w:eastAsiaTheme="minorEastAsia"/>
          <w:sz w:val="24"/>
        </w:rPr>
        <w:t>。</w:t>
      </w:r>
    </w:p>
    <w:p w14:paraId="48247DC8">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履行合同的地域范围：马鞍山市（甲方指定地点）。</w:t>
      </w:r>
    </w:p>
    <w:p w14:paraId="1A05D866">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五、验收要求</w:t>
      </w:r>
    </w:p>
    <w:p w14:paraId="3BB644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（一）质量标准</w:t>
      </w:r>
    </w:p>
    <w:p w14:paraId="1EA545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乙方保证提供的服务质量应符合中华人民共和国相关标准及相应的技术规范、本次采购相关文件中的全部相关要求及乙方相关服务标准及相应的技术规范中之较高者。</w:t>
      </w:r>
    </w:p>
    <w:p w14:paraId="38172F2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（二）验收组织</w:t>
      </w:r>
    </w:p>
    <w:p w14:paraId="57FF686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甲方负责组织验收工作。</w:t>
      </w:r>
    </w:p>
    <w:p w14:paraId="27F38C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六、付款方式</w:t>
      </w:r>
    </w:p>
    <w:p w14:paraId="0403ADED">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本项目据实结算，结算方式为月结，乙方需在次月10号前将上月费用开具发票及供货清单明细至甲方处，甲方在收到乙方开具的发票并核对清单无误后结合考核支付货款。</w:t>
      </w:r>
    </w:p>
    <w:p w14:paraId="2E5F68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七、违约责任</w:t>
      </w:r>
    </w:p>
    <w:p w14:paraId="79E4EF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1、除不可抗力外，如果乙方延期履行本合同约定的服务期限，那么甲方可要求乙方支付违约金，违约金按每延期履行一日的应提供而未提供服务价格的  </w:t>
      </w:r>
      <w:r>
        <w:rPr>
          <w:rFonts w:hint="eastAsia" w:asciiTheme="minorEastAsia" w:hAnsiTheme="minorEastAsia" w:eastAsiaTheme="minorEastAsia"/>
          <w:sz w:val="24"/>
          <w:u w:val="single"/>
        </w:rPr>
        <w:t xml:space="preserve">0.03 </w:t>
      </w:r>
      <w:r>
        <w:rPr>
          <w:rFonts w:hint="eastAsia" w:asciiTheme="minorEastAsia" w:hAnsiTheme="minorEastAsia" w:eastAsiaTheme="minorEastAsia"/>
          <w:sz w:val="24"/>
        </w:rPr>
        <w:t xml:space="preserve"> %计算，最高限额为本合同总价的</w:t>
      </w:r>
      <w:r>
        <w:rPr>
          <w:rFonts w:hint="eastAsia" w:asciiTheme="minorEastAsia" w:hAnsiTheme="minorEastAsia" w:eastAsiaTheme="minorEastAsia"/>
          <w:sz w:val="24"/>
          <w:lang w:val="en-US" w:eastAsia="zh-CN"/>
        </w:rPr>
        <w:t>20</w:t>
      </w:r>
      <w:r>
        <w:rPr>
          <w:rFonts w:hint="eastAsia" w:asciiTheme="minorEastAsia" w:hAnsiTheme="minorEastAsia" w:eastAsiaTheme="minorEastAsia"/>
          <w:sz w:val="24"/>
        </w:rPr>
        <w:t>%；延期履行的违约金计算数额达到前述最高限额之日起，甲方有权在要求乙方支付违约金的同时，书面通知乙方解除本合同；</w:t>
      </w:r>
    </w:p>
    <w:p w14:paraId="0EA6D2A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2、除不可抗力外，如果甲方延期支付合同款项（或延期返还履约保证金），那么乙方可要求甲方支付违约金，违约金按每延期付款（或延期返还）一日的应付而未付（或应返还而未返还）款的 </w:t>
      </w:r>
      <w:r>
        <w:rPr>
          <w:rFonts w:hint="eastAsia" w:asciiTheme="minorEastAsia" w:hAnsiTheme="minorEastAsia" w:eastAsiaTheme="minorEastAsia"/>
          <w:sz w:val="24"/>
          <w:u w:val="single"/>
        </w:rPr>
        <w:t xml:space="preserve">0.03 </w:t>
      </w:r>
      <w:r>
        <w:rPr>
          <w:rFonts w:hint="eastAsia" w:asciiTheme="minorEastAsia" w:hAnsiTheme="minorEastAsia" w:eastAsiaTheme="minorEastAsia"/>
          <w:sz w:val="24"/>
        </w:rPr>
        <w:t>%计算，最高限额为本合同总价的</w:t>
      </w:r>
      <w:r>
        <w:rPr>
          <w:rFonts w:hint="eastAsia" w:asciiTheme="minorEastAsia" w:hAnsiTheme="minorEastAsia" w:eastAsiaTheme="minorEastAsia"/>
          <w:sz w:val="24"/>
          <w:u w:val="single"/>
          <w:lang w:val="en-US" w:eastAsia="zh-CN"/>
        </w:rPr>
        <w:t>20</w:t>
      </w:r>
      <w:r>
        <w:rPr>
          <w:rFonts w:hint="eastAsia" w:asciiTheme="minorEastAsia" w:hAnsiTheme="minorEastAsia" w:eastAsiaTheme="minorEastAsia"/>
          <w:sz w:val="24"/>
        </w:rPr>
        <w:t>%；延期付款（或返还）的违约金计算数额达到前述最高限额之日起，乙方有权在要求甲方支付违约金的同时，书面通知甲方解除本合同；</w:t>
      </w:r>
    </w:p>
    <w:p w14:paraId="0971EE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3、因甲方原因导致变更、中止或终止合同的，甲方应按照乙方实际损失情况予以赔偿或补偿。</w:t>
      </w:r>
    </w:p>
    <w:p w14:paraId="612FF7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3810C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lang w:val="en-US" w:eastAsia="zh-CN"/>
        </w:rPr>
        <w:t>任何</w:t>
      </w:r>
      <w:r>
        <w:rPr>
          <w:rFonts w:hint="eastAsia" w:asciiTheme="minorEastAsia" w:hAnsiTheme="minorEastAsia" w:eastAsiaTheme="minorEastAsia"/>
          <w:sz w:val="24"/>
        </w:rPr>
        <w:t>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3D453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A758D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7、如果出现政府采购监督管理部门在处理投诉事项期间，书面通知甲方暂停采购活动的情形，或者询问或质疑事项可能影响</w:t>
      </w:r>
      <w:r>
        <w:rPr>
          <w:rFonts w:hint="eastAsia" w:asciiTheme="minorEastAsia" w:hAnsiTheme="minorEastAsia" w:eastAsiaTheme="minorEastAsia"/>
          <w:sz w:val="24"/>
          <w:lang w:val="en-US" w:eastAsia="zh-CN"/>
        </w:rPr>
        <w:t>入围</w:t>
      </w:r>
      <w:r>
        <w:rPr>
          <w:rFonts w:hint="eastAsia" w:asciiTheme="minorEastAsia" w:hAnsiTheme="minorEastAsia" w:eastAsiaTheme="minorEastAsia"/>
          <w:sz w:val="24"/>
        </w:rPr>
        <w:t>结果的，导致甲方中止履行合同的情形，均不视为甲方违约。</w:t>
      </w:r>
    </w:p>
    <w:p w14:paraId="6082015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八、合同的终止 </w:t>
      </w:r>
    </w:p>
    <w:p w14:paraId="348515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（一）本合同因下列原因而终止： </w:t>
      </w:r>
    </w:p>
    <w:p w14:paraId="6DF6E3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1.本合同正常履行完毕； </w:t>
      </w:r>
    </w:p>
    <w:p w14:paraId="002A96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2.合同双方协议终止本合同的履行； </w:t>
      </w:r>
    </w:p>
    <w:p w14:paraId="09D925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3.不可抗力事件导致本合同无法履行或履行不必要； </w:t>
      </w:r>
    </w:p>
    <w:p w14:paraId="081BC4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4.符合本合同约定的其他终止合同的条款。 </w:t>
      </w:r>
    </w:p>
    <w:p w14:paraId="665F073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（二）对本合同终止有过错的一方应赔偿另一方因合同终止而受到的损失。对合同终止双方均无过错的，则各自承担所受到的损失。 </w:t>
      </w:r>
    </w:p>
    <w:p w14:paraId="246238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九、其他 </w:t>
      </w:r>
    </w:p>
    <w:p w14:paraId="61C2557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1、甲乙双方必须严格按照征集公告及有关承诺签订采购合同，不得擅自变更。合同执行期内，甲乙双方均不得随意变更或解除合同。 </w:t>
      </w:r>
    </w:p>
    <w:p w14:paraId="22F5E89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2、本合同执行期间，如遇不可抗力，致使合同无法履行时，甲乙双方应按有关法律规定及时协商处理。 </w:t>
      </w:r>
    </w:p>
    <w:p w14:paraId="3D9A5CF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3、合同未尽事宜，甲乙双方另行签订补充协议，补充协议是合同的组成部分。</w:t>
      </w:r>
    </w:p>
    <w:p w14:paraId="7CE2F6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4、乙方应自觉接受甲方及有关部门对合同履行情况的全程监督。</w:t>
      </w:r>
    </w:p>
    <w:p w14:paraId="4D3839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十、未尽事宜，甲乙双方友好协商解决。</w:t>
      </w:r>
    </w:p>
    <w:p w14:paraId="22BEE1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十一、争议的解决方式</w:t>
      </w:r>
    </w:p>
    <w:p w14:paraId="6C595C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与本合同有关的一切争议，甲方和乙方双方应通过友好协商解决，如协商仍不能解决，双方同意提交马鞍山仲裁委员会进行裁决。</w:t>
      </w:r>
    </w:p>
    <w:p w14:paraId="400AF4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十二、合同一式   份，在甲乙双方签字、盖章后生效。甲方   份、乙方   份、批准本项目预算的财政部门1份。</w:t>
      </w:r>
    </w:p>
    <w:tbl>
      <w:tblPr>
        <w:tblStyle w:val="14"/>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84"/>
        <w:gridCol w:w="4184"/>
      </w:tblGrid>
      <w:tr w14:paraId="5580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4A9A6169">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w:t>
            </w:r>
          </w:p>
        </w:tc>
        <w:tc>
          <w:tcPr>
            <w:tcW w:w="4184" w:type="dxa"/>
            <w:vAlign w:val="center"/>
          </w:tcPr>
          <w:p w14:paraId="7E0EF35A">
            <w:pPr>
              <w:spacing w:line="360" w:lineRule="auto"/>
              <w:rPr>
                <w:rFonts w:asciiTheme="minorEastAsia" w:hAnsiTheme="minorEastAsia" w:eastAsiaTheme="minorEastAsia"/>
                <w:sz w:val="24"/>
              </w:rPr>
            </w:pPr>
            <w:r>
              <w:rPr>
                <w:rFonts w:hint="eastAsia" w:asciiTheme="minorEastAsia" w:hAnsiTheme="minorEastAsia" w:eastAsiaTheme="minorEastAsia"/>
                <w:sz w:val="24"/>
              </w:rPr>
              <w:t>乙方：</w:t>
            </w:r>
          </w:p>
        </w:tc>
      </w:tr>
      <w:tr w14:paraId="5EE2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26F2CBC5">
            <w:pPr>
              <w:spacing w:line="360" w:lineRule="auto"/>
              <w:rPr>
                <w:rFonts w:asciiTheme="minorEastAsia" w:hAnsiTheme="minorEastAsia" w:eastAsiaTheme="minorEastAsia"/>
                <w:sz w:val="24"/>
              </w:rPr>
            </w:pPr>
            <w:r>
              <w:rPr>
                <w:rFonts w:hint="eastAsia" w:asciiTheme="minorEastAsia" w:hAnsiTheme="minorEastAsia" w:eastAsiaTheme="minorEastAsia"/>
                <w:sz w:val="24"/>
              </w:rPr>
              <w:t>通讯地址：</w:t>
            </w:r>
          </w:p>
        </w:tc>
        <w:tc>
          <w:tcPr>
            <w:tcW w:w="4184" w:type="dxa"/>
            <w:vAlign w:val="center"/>
          </w:tcPr>
          <w:p w14:paraId="0766FD5C">
            <w:pPr>
              <w:spacing w:line="360" w:lineRule="auto"/>
              <w:rPr>
                <w:rFonts w:asciiTheme="minorEastAsia" w:hAnsiTheme="minorEastAsia" w:eastAsiaTheme="minorEastAsia"/>
                <w:sz w:val="24"/>
              </w:rPr>
            </w:pPr>
            <w:r>
              <w:rPr>
                <w:rFonts w:hint="eastAsia" w:asciiTheme="minorEastAsia" w:hAnsiTheme="minorEastAsia" w:eastAsiaTheme="minorEastAsia"/>
                <w:sz w:val="24"/>
              </w:rPr>
              <w:t>通讯地址：</w:t>
            </w:r>
          </w:p>
        </w:tc>
      </w:tr>
      <w:tr w14:paraId="3246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2AF08E2F">
            <w:pPr>
              <w:spacing w:line="360" w:lineRule="auto"/>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4184" w:type="dxa"/>
            <w:vAlign w:val="center"/>
          </w:tcPr>
          <w:p w14:paraId="59430C50">
            <w:pPr>
              <w:spacing w:line="360" w:lineRule="auto"/>
              <w:rPr>
                <w:rFonts w:asciiTheme="minorEastAsia" w:hAnsiTheme="minorEastAsia" w:eastAsiaTheme="minorEastAsia"/>
                <w:sz w:val="24"/>
              </w:rPr>
            </w:pPr>
            <w:r>
              <w:rPr>
                <w:rFonts w:hint="eastAsia" w:asciiTheme="minorEastAsia" w:hAnsiTheme="minorEastAsia" w:eastAsiaTheme="minorEastAsia"/>
                <w:sz w:val="24"/>
              </w:rPr>
              <w:t>邮政编码：</w:t>
            </w:r>
          </w:p>
        </w:tc>
      </w:tr>
      <w:tr w14:paraId="052F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3C000778">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w:t>
            </w:r>
          </w:p>
        </w:tc>
        <w:tc>
          <w:tcPr>
            <w:tcW w:w="4184" w:type="dxa"/>
            <w:vAlign w:val="center"/>
          </w:tcPr>
          <w:p w14:paraId="1A60AF7B">
            <w:pPr>
              <w:spacing w:line="360" w:lineRule="auto"/>
              <w:rPr>
                <w:rFonts w:asciiTheme="minorEastAsia" w:hAnsiTheme="minorEastAsia" w:eastAsiaTheme="minorEastAsia"/>
                <w:sz w:val="24"/>
              </w:rPr>
            </w:pPr>
            <w:r>
              <w:rPr>
                <w:rFonts w:hint="eastAsia" w:asciiTheme="minorEastAsia" w:hAnsiTheme="minorEastAsia" w:eastAsiaTheme="minorEastAsia"/>
                <w:sz w:val="24"/>
              </w:rPr>
              <w:t>电话：</w:t>
            </w:r>
          </w:p>
        </w:tc>
      </w:tr>
      <w:tr w14:paraId="5526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63758096">
            <w:pPr>
              <w:spacing w:line="360" w:lineRule="auto"/>
              <w:rPr>
                <w:rFonts w:asciiTheme="minorEastAsia" w:hAnsiTheme="minorEastAsia" w:eastAsiaTheme="minorEastAsia"/>
                <w:sz w:val="24"/>
              </w:rPr>
            </w:pPr>
          </w:p>
        </w:tc>
        <w:tc>
          <w:tcPr>
            <w:tcW w:w="4184" w:type="dxa"/>
            <w:vAlign w:val="center"/>
          </w:tcPr>
          <w:p w14:paraId="2F55934D">
            <w:pPr>
              <w:spacing w:line="360" w:lineRule="auto"/>
              <w:rPr>
                <w:rFonts w:asciiTheme="minorEastAsia" w:hAnsiTheme="minorEastAsia" w:eastAsiaTheme="minorEastAsia"/>
                <w:sz w:val="24"/>
              </w:rPr>
            </w:pPr>
            <w:r>
              <w:rPr>
                <w:rFonts w:hint="eastAsia" w:asciiTheme="minorEastAsia" w:hAnsiTheme="minorEastAsia" w:eastAsiaTheme="minorEastAsia"/>
                <w:sz w:val="24"/>
              </w:rPr>
              <w:t>开户银行：</w:t>
            </w:r>
          </w:p>
        </w:tc>
      </w:tr>
      <w:tr w14:paraId="2D5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4184" w:type="dxa"/>
            <w:vAlign w:val="center"/>
          </w:tcPr>
          <w:p w14:paraId="5E563C95">
            <w:pPr>
              <w:spacing w:line="360" w:lineRule="auto"/>
              <w:rPr>
                <w:rFonts w:asciiTheme="minorEastAsia" w:hAnsiTheme="minorEastAsia" w:eastAsiaTheme="minorEastAsia"/>
                <w:sz w:val="24"/>
              </w:rPr>
            </w:pPr>
          </w:p>
        </w:tc>
        <w:tc>
          <w:tcPr>
            <w:tcW w:w="4184" w:type="dxa"/>
            <w:vAlign w:val="center"/>
          </w:tcPr>
          <w:p w14:paraId="7B8CB354">
            <w:pPr>
              <w:spacing w:line="360" w:lineRule="auto"/>
              <w:rPr>
                <w:rFonts w:asciiTheme="minorEastAsia" w:hAnsiTheme="minorEastAsia" w:eastAsiaTheme="minorEastAsia"/>
                <w:sz w:val="24"/>
              </w:rPr>
            </w:pPr>
            <w:r>
              <w:rPr>
                <w:rFonts w:hint="eastAsia" w:asciiTheme="minorEastAsia" w:hAnsiTheme="minorEastAsia" w:eastAsiaTheme="minorEastAsia"/>
                <w:sz w:val="24"/>
              </w:rPr>
              <w:t>账号：</w:t>
            </w:r>
          </w:p>
        </w:tc>
      </w:tr>
    </w:tbl>
    <w:p w14:paraId="5EC33346">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甲方：                                 乙方：            </w:t>
      </w:r>
    </w:p>
    <w:p w14:paraId="144FDFBE">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单位盖章：                             单位盖章：              </w:t>
      </w:r>
    </w:p>
    <w:p w14:paraId="400CEC02">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代表签字：                             代表签字：              </w:t>
      </w:r>
    </w:p>
    <w:p w14:paraId="00B520F6">
      <w:pPr>
        <w:spacing w:line="360" w:lineRule="auto"/>
        <w:ind w:firstLine="435"/>
        <w:rPr>
          <w:rFonts w:asciiTheme="minorEastAsia" w:hAnsiTheme="minorEastAsia" w:eastAsiaTheme="minorEastAsia"/>
          <w:sz w:val="24"/>
        </w:rPr>
      </w:pPr>
    </w:p>
    <w:p w14:paraId="0DB122A4">
      <w:pPr>
        <w:pStyle w:val="13"/>
        <w:ind w:firstLine="400"/>
        <w:rPr>
          <w:rFonts w:hint="eastAsia" w:ascii="宋体" w:hAnsi="宋体"/>
        </w:rPr>
      </w:pPr>
      <w:bookmarkStart w:id="31" w:name="_Toc6720"/>
      <w:r>
        <w:rPr>
          <w:rFonts w:hint="eastAsia" w:asciiTheme="minorEastAsia" w:hAnsiTheme="minorEastAsia" w:eastAsiaTheme="minorEastAsia"/>
          <w:sz w:val="24"/>
        </w:rPr>
        <w:t>签订时间：     年  月  日</w:t>
      </w:r>
      <w:bookmarkEnd w:id="31"/>
      <w:r>
        <w:rPr>
          <w:rFonts w:hint="eastAsia" w:ascii="宋体" w:hAnsi="宋体"/>
        </w:rPr>
        <w:t xml:space="preserve"> </w:t>
      </w:r>
    </w:p>
    <w:p w14:paraId="53438879">
      <w:pPr>
        <w:rPr>
          <w:rFonts w:hint="eastAsia"/>
          <w:b/>
          <w:sz w:val="28"/>
          <w:szCs w:val="28"/>
        </w:rPr>
      </w:pPr>
      <w:r>
        <w:rPr>
          <w:rFonts w:hint="eastAsia"/>
          <w:b/>
          <w:sz w:val="28"/>
          <w:szCs w:val="28"/>
        </w:rPr>
        <w:br w:type="page"/>
      </w:r>
    </w:p>
    <w:p w14:paraId="65FFACB3">
      <w:pPr>
        <w:spacing w:line="360" w:lineRule="auto"/>
        <w:jc w:val="center"/>
        <w:outlineLvl w:val="0"/>
        <w:rPr>
          <w:rFonts w:hint="eastAsia"/>
          <w:b/>
          <w:sz w:val="28"/>
          <w:szCs w:val="28"/>
        </w:rPr>
      </w:pPr>
      <w:bookmarkStart w:id="32" w:name="_Toc9311"/>
      <w:bookmarkEnd w:id="32"/>
      <w:r>
        <w:rPr>
          <w:rFonts w:hint="eastAsia"/>
          <w:b/>
          <w:sz w:val="28"/>
          <w:szCs w:val="28"/>
        </w:rPr>
        <w:t>第八章  对申请文件的要求</w:t>
      </w:r>
    </w:p>
    <w:p w14:paraId="6B8F370D">
      <w:pPr>
        <w:spacing w:line="500" w:lineRule="exact"/>
        <w:jc w:val="center"/>
        <w:outlineLvl w:val="1"/>
        <w:rPr>
          <w:rFonts w:hint="eastAsia" w:eastAsia="宋体"/>
          <w:b/>
          <w:sz w:val="30"/>
          <w:szCs w:val="30"/>
          <w:lang w:eastAsia="zh-CN"/>
        </w:rPr>
      </w:pPr>
      <w:r>
        <w:rPr>
          <w:rFonts w:hint="eastAsia"/>
          <w:b/>
          <w:sz w:val="30"/>
          <w:szCs w:val="30"/>
          <w:lang w:eastAsia="zh-CN"/>
        </w:rPr>
        <w:t>马鞍山市2026-2027年公务用车维修服务（综合类）框架协议采购</w:t>
      </w:r>
    </w:p>
    <w:p w14:paraId="5B69C2A9">
      <w:pPr>
        <w:spacing w:line="900" w:lineRule="exact"/>
        <w:jc w:val="center"/>
        <w:rPr>
          <w:rFonts w:hint="eastAsia"/>
          <w:b/>
          <w:sz w:val="72"/>
          <w:szCs w:val="72"/>
        </w:rPr>
      </w:pPr>
      <w:r>
        <w:rPr>
          <w:rFonts w:hint="eastAsia"/>
          <w:b/>
          <w:sz w:val="72"/>
          <w:szCs w:val="72"/>
        </w:rPr>
        <w:t xml:space="preserve"> </w:t>
      </w:r>
    </w:p>
    <w:p w14:paraId="4E5CDEDA">
      <w:pPr>
        <w:spacing w:line="900" w:lineRule="exact"/>
        <w:jc w:val="center"/>
        <w:outlineLvl w:val="2"/>
        <w:rPr>
          <w:rFonts w:hint="eastAsia"/>
          <w:b/>
          <w:sz w:val="72"/>
          <w:szCs w:val="72"/>
        </w:rPr>
      </w:pPr>
      <w:r>
        <w:rPr>
          <w:rFonts w:hint="eastAsia"/>
          <w:b/>
          <w:sz w:val="72"/>
          <w:szCs w:val="72"/>
        </w:rPr>
        <w:t>申</w:t>
      </w:r>
    </w:p>
    <w:p w14:paraId="3BE448C6">
      <w:pPr>
        <w:spacing w:line="900" w:lineRule="exact"/>
        <w:jc w:val="center"/>
        <w:rPr>
          <w:rFonts w:hint="eastAsia"/>
          <w:b/>
          <w:sz w:val="72"/>
          <w:szCs w:val="72"/>
        </w:rPr>
      </w:pPr>
      <w:r>
        <w:rPr>
          <w:rFonts w:hint="eastAsia"/>
          <w:b/>
          <w:sz w:val="72"/>
          <w:szCs w:val="72"/>
        </w:rPr>
        <w:t xml:space="preserve"> </w:t>
      </w:r>
    </w:p>
    <w:p w14:paraId="79EEA41D">
      <w:pPr>
        <w:spacing w:line="900" w:lineRule="exact"/>
        <w:jc w:val="center"/>
        <w:outlineLvl w:val="2"/>
        <w:rPr>
          <w:rFonts w:hint="eastAsia"/>
          <w:b/>
          <w:sz w:val="72"/>
          <w:szCs w:val="72"/>
        </w:rPr>
      </w:pPr>
      <w:r>
        <w:rPr>
          <w:rFonts w:hint="eastAsia"/>
          <w:b/>
          <w:sz w:val="72"/>
          <w:szCs w:val="72"/>
        </w:rPr>
        <w:t>请</w:t>
      </w:r>
    </w:p>
    <w:p w14:paraId="5C628585">
      <w:pPr>
        <w:spacing w:line="900" w:lineRule="exact"/>
        <w:jc w:val="center"/>
        <w:rPr>
          <w:rFonts w:hint="eastAsia"/>
          <w:b/>
          <w:sz w:val="72"/>
          <w:szCs w:val="72"/>
        </w:rPr>
      </w:pPr>
      <w:r>
        <w:rPr>
          <w:rFonts w:hint="eastAsia"/>
          <w:b/>
          <w:sz w:val="72"/>
          <w:szCs w:val="72"/>
        </w:rPr>
        <w:t xml:space="preserve"> </w:t>
      </w:r>
    </w:p>
    <w:p w14:paraId="4C493090">
      <w:pPr>
        <w:spacing w:line="900" w:lineRule="exact"/>
        <w:jc w:val="center"/>
        <w:outlineLvl w:val="2"/>
        <w:rPr>
          <w:rFonts w:hint="eastAsia"/>
          <w:b/>
          <w:sz w:val="72"/>
          <w:szCs w:val="72"/>
        </w:rPr>
      </w:pPr>
      <w:r>
        <w:rPr>
          <w:rFonts w:hint="eastAsia"/>
          <w:b/>
          <w:sz w:val="72"/>
          <w:szCs w:val="72"/>
        </w:rPr>
        <w:t>文</w:t>
      </w:r>
    </w:p>
    <w:p w14:paraId="7D9B0ECA">
      <w:pPr>
        <w:spacing w:line="900" w:lineRule="exact"/>
        <w:jc w:val="center"/>
        <w:rPr>
          <w:rFonts w:hint="eastAsia"/>
          <w:b/>
          <w:sz w:val="72"/>
          <w:szCs w:val="72"/>
        </w:rPr>
      </w:pPr>
      <w:r>
        <w:rPr>
          <w:rFonts w:hint="eastAsia"/>
          <w:b/>
          <w:sz w:val="72"/>
          <w:szCs w:val="72"/>
        </w:rPr>
        <w:t xml:space="preserve"> </w:t>
      </w:r>
    </w:p>
    <w:p w14:paraId="79A04B99">
      <w:pPr>
        <w:jc w:val="center"/>
        <w:outlineLvl w:val="2"/>
        <w:rPr>
          <w:rFonts w:hint="eastAsia"/>
          <w:b/>
          <w:sz w:val="72"/>
          <w:szCs w:val="72"/>
        </w:rPr>
      </w:pPr>
      <w:r>
        <w:rPr>
          <w:rFonts w:hint="eastAsia"/>
          <w:b/>
          <w:sz w:val="72"/>
          <w:szCs w:val="72"/>
        </w:rPr>
        <w:t>件</w:t>
      </w:r>
    </w:p>
    <w:p w14:paraId="1A5E5ECE">
      <w:pPr>
        <w:spacing w:after="156" w:afterLines="50"/>
        <w:jc w:val="center"/>
        <w:rPr>
          <w:rFonts w:hint="eastAsia"/>
          <w:b/>
          <w:sz w:val="72"/>
          <w:szCs w:val="72"/>
        </w:rPr>
      </w:pPr>
      <w:r>
        <w:rPr>
          <w:rFonts w:hint="eastAsia"/>
          <w:b/>
          <w:sz w:val="72"/>
          <w:szCs w:val="72"/>
        </w:rPr>
        <w:t xml:space="preserve"> </w:t>
      </w:r>
    </w:p>
    <w:p w14:paraId="66182C36">
      <w:pPr>
        <w:spacing w:line="500" w:lineRule="exact"/>
        <w:outlineLvl w:val="0"/>
        <w:rPr>
          <w:rFonts w:hint="default" w:asciiTheme="minorEastAsia" w:hAnsiTheme="minorEastAsia" w:eastAsiaTheme="minorEastAsia" w:cstheme="minorEastAsia"/>
          <w:b/>
          <w:color w:val="auto"/>
          <w:sz w:val="32"/>
          <w:szCs w:val="32"/>
          <w:highlight w:val="none"/>
          <w:u w:val="single"/>
          <w:lang w:val="en-US" w:eastAsia="zh-CN"/>
        </w:rPr>
      </w:pPr>
      <w:bookmarkStart w:id="33" w:name="_Toc14073"/>
      <w:bookmarkEnd w:id="33"/>
      <w:bookmarkStart w:id="34" w:name="_Toc5538"/>
      <w:bookmarkEnd w:id="34"/>
      <w:r>
        <w:rPr>
          <w:rFonts w:hint="eastAsia" w:asciiTheme="minorEastAsia" w:hAnsiTheme="minorEastAsia" w:eastAsiaTheme="minorEastAsia" w:cstheme="minorEastAsia"/>
          <w:b/>
          <w:color w:val="auto"/>
          <w:sz w:val="32"/>
          <w:szCs w:val="32"/>
          <w:highlight w:val="none"/>
        </w:rPr>
        <w:t>供</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应</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商</w:t>
      </w:r>
      <w:r>
        <w:rPr>
          <w:rFonts w:hint="eastAsia" w:asciiTheme="minorEastAsia" w:hAnsiTheme="minorEastAsia" w:eastAsiaTheme="minorEastAsia" w:cstheme="minorEastAsia"/>
          <w:b/>
          <w:color w:val="auto"/>
          <w:sz w:val="32"/>
          <w:szCs w:val="32"/>
          <w:highlight w:val="none"/>
          <w:lang w:eastAsia="zh-CN"/>
        </w:rPr>
        <w:t>（加盖</w:t>
      </w:r>
      <w:r>
        <w:rPr>
          <w:rFonts w:hint="eastAsia" w:asciiTheme="minorEastAsia" w:hAnsiTheme="minorEastAsia" w:eastAsiaTheme="minorEastAsia" w:cstheme="minorEastAsia"/>
          <w:b/>
          <w:color w:val="auto"/>
          <w:sz w:val="32"/>
          <w:szCs w:val="32"/>
          <w:highlight w:val="none"/>
          <w:lang w:val="en-US" w:eastAsia="zh-CN"/>
        </w:rPr>
        <w:t>公章或电子签章</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30E7926D">
      <w:pPr>
        <w:spacing w:line="500" w:lineRule="exact"/>
        <w:outlineLvl w:val="0"/>
        <w:rPr>
          <w:rFonts w:hint="default" w:asciiTheme="minorEastAsia" w:hAnsiTheme="minorEastAsia" w:eastAsiaTheme="minorEastAsia" w:cstheme="minorEastAsia"/>
          <w:b/>
          <w:color w:val="auto"/>
          <w:sz w:val="32"/>
          <w:szCs w:val="32"/>
          <w:highlight w:val="none"/>
          <w:u w:val="single"/>
          <w:lang w:val="en-US" w:eastAsia="zh-CN"/>
        </w:rPr>
      </w:pPr>
      <w:bookmarkStart w:id="35" w:name="_Toc14923"/>
      <w:bookmarkStart w:id="36" w:name="_Toc7530"/>
      <w:r>
        <w:rPr>
          <w:rFonts w:hint="eastAsia" w:asciiTheme="minorEastAsia" w:hAnsiTheme="minorEastAsia" w:eastAsiaTheme="minorEastAsia" w:cstheme="minorEastAsia"/>
          <w:b/>
          <w:color w:val="auto"/>
          <w:sz w:val="32"/>
          <w:szCs w:val="32"/>
          <w:highlight w:val="none"/>
        </w:rPr>
        <w:t>法定代表人姓名：</w:t>
      </w:r>
      <w:bookmarkEnd w:id="35"/>
      <w:bookmarkEnd w:id="36"/>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558F130E">
      <w:pPr>
        <w:spacing w:line="500" w:lineRule="exact"/>
        <w:outlineLvl w:val="0"/>
        <w:rPr>
          <w:rFonts w:hint="eastAsia" w:asciiTheme="minorEastAsia" w:hAnsiTheme="minorEastAsia" w:eastAsiaTheme="minorEastAsia" w:cstheme="minorEastAsia"/>
          <w:b/>
          <w:color w:val="auto"/>
          <w:sz w:val="32"/>
          <w:szCs w:val="32"/>
          <w:highlight w:val="none"/>
          <w:u w:val="single"/>
          <w:lang w:val="en-US" w:eastAsia="zh-CN"/>
        </w:rPr>
      </w:pPr>
      <w:bookmarkStart w:id="37" w:name="_Toc25853"/>
      <w:bookmarkStart w:id="38" w:name="_Toc14124"/>
      <w:r>
        <w:rPr>
          <w:rFonts w:hint="eastAsia" w:asciiTheme="minorEastAsia" w:hAnsiTheme="minorEastAsia" w:eastAsiaTheme="minorEastAsia" w:cstheme="minorEastAsia"/>
          <w:b/>
          <w:color w:val="auto"/>
          <w:sz w:val="32"/>
          <w:szCs w:val="32"/>
          <w:highlight w:val="none"/>
        </w:rPr>
        <w:t>地</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址：</w:t>
      </w:r>
      <w:bookmarkEnd w:id="37"/>
      <w:bookmarkEnd w:id="38"/>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01FA18D2">
      <w:pPr>
        <w:spacing w:line="500" w:lineRule="exact"/>
        <w:outlineLvl w:val="0"/>
        <w:rPr>
          <w:rFonts w:hint="default" w:asciiTheme="minorEastAsia" w:hAnsiTheme="minorEastAsia" w:eastAsiaTheme="minorEastAsia" w:cstheme="minorEastAsia"/>
          <w:b/>
          <w:color w:val="auto"/>
          <w:sz w:val="32"/>
          <w:szCs w:val="32"/>
          <w:highlight w:val="none"/>
          <w:u w:val="single"/>
          <w:lang w:val="en-US" w:eastAsia="zh-CN"/>
        </w:rPr>
      </w:pPr>
      <w:bookmarkStart w:id="39" w:name="_Toc7419"/>
      <w:bookmarkStart w:id="40" w:name="_Toc21383"/>
      <w:r>
        <w:rPr>
          <w:rFonts w:hint="eastAsia" w:asciiTheme="minorEastAsia" w:hAnsiTheme="minorEastAsia" w:eastAsiaTheme="minorEastAsia" w:cstheme="minorEastAsia"/>
          <w:b/>
          <w:color w:val="auto"/>
          <w:sz w:val="32"/>
          <w:szCs w:val="32"/>
          <w:highlight w:val="none"/>
        </w:rPr>
        <w:t>电</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话：</w:t>
      </w:r>
      <w:bookmarkEnd w:id="39"/>
      <w:bookmarkEnd w:id="40"/>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165C05A3">
      <w:pPr>
        <w:spacing w:line="500" w:lineRule="exact"/>
        <w:outlineLvl w:val="0"/>
        <w:rPr>
          <w:rFonts w:hint="eastAsia" w:asciiTheme="minorEastAsia" w:hAnsiTheme="minorEastAsia" w:eastAsiaTheme="minorEastAsia" w:cstheme="minorEastAsia"/>
          <w:b w:val="0"/>
          <w:bCs/>
          <w:color w:val="auto"/>
          <w:sz w:val="32"/>
          <w:szCs w:val="32"/>
          <w:highlight w:val="none"/>
          <w:u w:val="none"/>
          <w:lang w:val="en-US" w:eastAsia="zh-CN"/>
        </w:rPr>
      </w:pPr>
      <w:bookmarkStart w:id="41" w:name="_Toc2757"/>
      <w:bookmarkStart w:id="42" w:name="_Toc7101"/>
      <w:r>
        <w:rPr>
          <w:rFonts w:hint="eastAsia" w:asciiTheme="minorEastAsia" w:hAnsiTheme="minorEastAsia" w:eastAsiaTheme="minorEastAsia" w:cstheme="minorEastAsia"/>
          <w:b/>
          <w:color w:val="auto"/>
          <w:sz w:val="32"/>
          <w:szCs w:val="32"/>
          <w:highlight w:val="none"/>
          <w:lang w:val="en-US" w:eastAsia="zh-CN"/>
        </w:rPr>
        <w:t>授权</w:t>
      </w:r>
      <w:r>
        <w:rPr>
          <w:rFonts w:hint="eastAsia" w:asciiTheme="minorEastAsia" w:hAnsiTheme="minorEastAsia" w:eastAsiaTheme="minorEastAsia" w:cstheme="minorEastAsia"/>
          <w:b/>
          <w:color w:val="auto"/>
          <w:sz w:val="32"/>
          <w:szCs w:val="32"/>
          <w:highlight w:val="none"/>
        </w:rPr>
        <w:t>代表：</w:t>
      </w:r>
      <w:bookmarkEnd w:id="41"/>
      <w:bookmarkEnd w:id="42"/>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45AE0AC5">
      <w:pPr>
        <w:spacing w:line="500" w:lineRule="exact"/>
        <w:outlineLvl w:val="0"/>
        <w:rPr>
          <w:rFonts w:hint="default" w:asciiTheme="minorEastAsia" w:hAnsiTheme="minorEastAsia" w:eastAsiaTheme="minorEastAsia" w:cstheme="minorEastAsia"/>
          <w:b/>
          <w:color w:val="auto"/>
          <w:sz w:val="32"/>
          <w:szCs w:val="32"/>
          <w:highlight w:val="none"/>
          <w:u w:val="single"/>
          <w:lang w:val="en-US"/>
        </w:rPr>
      </w:pPr>
      <w:bookmarkStart w:id="43" w:name="_Toc32530"/>
      <w:bookmarkStart w:id="44" w:name="_Toc9359"/>
      <w:r>
        <w:rPr>
          <w:rFonts w:hint="eastAsia" w:asciiTheme="minorEastAsia" w:hAnsiTheme="minorEastAsia" w:eastAsiaTheme="minorEastAsia" w:cstheme="minorEastAsia"/>
          <w:b/>
          <w:color w:val="auto"/>
          <w:sz w:val="32"/>
          <w:szCs w:val="32"/>
          <w:highlight w:val="none"/>
        </w:rPr>
        <w:t>电子邮箱：</w:t>
      </w:r>
      <w:r>
        <w:rPr>
          <w:rFonts w:hint="eastAsia" w:asciiTheme="minorEastAsia" w:hAnsiTheme="minorEastAsia" w:eastAsiaTheme="minorEastAsia" w:cstheme="minorEastAsia"/>
          <w:b/>
          <w:color w:val="auto"/>
          <w:sz w:val="32"/>
          <w:szCs w:val="32"/>
          <w:highlight w:val="none"/>
          <w:u w:val="single"/>
          <w:lang w:val="en-US" w:eastAsia="zh-CN"/>
        </w:rPr>
        <w:t xml:space="preserve">           </w:t>
      </w:r>
      <w:r>
        <w:rPr>
          <w:rFonts w:hint="eastAsia" w:asciiTheme="minorEastAsia" w:hAnsiTheme="minorEastAsia" w:eastAsiaTheme="minorEastAsia" w:cstheme="minorEastAsia"/>
          <w:b/>
          <w:color w:val="auto"/>
          <w:sz w:val="32"/>
          <w:szCs w:val="32"/>
          <w:highlight w:val="none"/>
          <w:u w:val="none"/>
          <w:lang w:val="en-US" w:eastAsia="zh-CN"/>
        </w:rPr>
        <w:t xml:space="preserve">    身份证号码：</w:t>
      </w:r>
      <w:bookmarkEnd w:id="43"/>
      <w:bookmarkEnd w:id="44"/>
      <w:r>
        <w:rPr>
          <w:rFonts w:hint="eastAsia" w:asciiTheme="minorEastAsia" w:hAnsiTheme="minorEastAsia" w:eastAsiaTheme="minorEastAsia" w:cstheme="minorEastAsia"/>
          <w:b/>
          <w:color w:val="auto"/>
          <w:sz w:val="32"/>
          <w:szCs w:val="32"/>
          <w:highlight w:val="none"/>
          <w:u w:val="single"/>
          <w:lang w:val="en-US" w:eastAsia="zh-CN"/>
        </w:rPr>
        <w:t xml:space="preserve">              </w:t>
      </w:r>
    </w:p>
    <w:p w14:paraId="1E89C70E">
      <w:pPr>
        <w:spacing w:line="500" w:lineRule="exact"/>
        <w:outlineLvl w:val="0"/>
        <w:rPr>
          <w:rFonts w:hint="eastAsia" w:asciiTheme="minorEastAsia" w:hAnsiTheme="minorEastAsia" w:eastAsiaTheme="minorEastAsia" w:cstheme="minorEastAsia"/>
          <w:b/>
          <w:color w:val="auto"/>
          <w:sz w:val="32"/>
          <w:szCs w:val="32"/>
          <w:highlight w:val="none"/>
        </w:rPr>
      </w:pPr>
      <w:bookmarkStart w:id="45" w:name="_Toc13108"/>
      <w:bookmarkStart w:id="46" w:name="_Toc11091"/>
      <w:r>
        <w:rPr>
          <w:rFonts w:hint="eastAsia" w:asciiTheme="minorEastAsia" w:hAnsiTheme="minorEastAsia" w:eastAsiaTheme="minorEastAsia" w:cstheme="minorEastAsia"/>
          <w:b/>
          <w:color w:val="auto"/>
          <w:sz w:val="32"/>
          <w:szCs w:val="32"/>
          <w:highlight w:val="none"/>
        </w:rPr>
        <w:t>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机：</w:t>
      </w:r>
      <w:r>
        <w:rPr>
          <w:rFonts w:hint="eastAsia" w:asciiTheme="minorEastAsia" w:hAnsiTheme="minorEastAsia" w:eastAsiaTheme="minorEastAsia" w:cstheme="minorEastAsia"/>
          <w:b/>
          <w:color w:val="auto"/>
          <w:sz w:val="32"/>
          <w:szCs w:val="32"/>
          <w:highlight w:val="none"/>
          <w:u w:val="single"/>
          <w:lang w:val="en-US" w:eastAsia="zh-CN"/>
        </w:rPr>
        <w:t xml:space="preserve">           </w:t>
      </w:r>
      <w:r>
        <w:rPr>
          <w:rFonts w:hint="eastAsia" w:asciiTheme="minorEastAsia" w:hAnsiTheme="minorEastAsia" w:eastAsiaTheme="minorEastAsia" w:cstheme="minorEastAsia"/>
          <w:b/>
          <w:color w:val="auto"/>
          <w:sz w:val="32"/>
          <w:szCs w:val="32"/>
          <w:highlight w:val="none"/>
        </w:rPr>
        <w:t xml:space="preserve">  </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rPr>
        <w:t>日期：</w:t>
      </w:r>
      <w:r>
        <w:rPr>
          <w:rFonts w:hint="eastAsia" w:asciiTheme="minorEastAsia" w:hAnsiTheme="minorEastAsia" w:eastAsiaTheme="minorEastAsia" w:cstheme="minorEastAsia"/>
          <w:b/>
          <w:color w:val="auto"/>
          <w:sz w:val="32"/>
          <w:szCs w:val="32"/>
          <w:highlight w:val="none"/>
          <w:u w:val="single"/>
          <w:lang w:val="en-US" w:eastAsia="zh-CN"/>
        </w:rPr>
        <w:t xml:space="preserve">     年   月   日</w:t>
      </w:r>
      <w:bookmarkEnd w:id="45"/>
      <w:bookmarkEnd w:id="46"/>
    </w:p>
    <w:p w14:paraId="4DFD9A6F">
      <w:pPr>
        <w:widowControl/>
        <w:jc w:val="left"/>
        <w:rPr>
          <w:rFonts w:hint="eastAsia"/>
          <w:b/>
          <w:sz w:val="28"/>
          <w:szCs w:val="28"/>
        </w:rPr>
      </w:pPr>
      <w:r>
        <w:rPr>
          <w:rFonts w:hint="eastAsia"/>
          <w:b/>
          <w:sz w:val="28"/>
          <w:szCs w:val="28"/>
        </w:rPr>
        <w:br w:type="page"/>
      </w:r>
    </w:p>
    <w:p w14:paraId="0F1CF387">
      <w:pPr>
        <w:spacing w:line="360" w:lineRule="auto"/>
        <w:ind w:firstLine="435"/>
        <w:jc w:val="center"/>
        <w:rPr>
          <w:rFonts w:hint="eastAsia"/>
          <w:sz w:val="24"/>
          <w:szCs w:val="24"/>
        </w:rPr>
      </w:pPr>
      <w:r>
        <w:rPr>
          <w:rFonts w:hint="eastAsia"/>
          <w:b/>
          <w:bCs/>
          <w:sz w:val="24"/>
          <w:szCs w:val="24"/>
        </w:rPr>
        <w:t>一、征集公告中供应商的各类资质证书及其他重要资料</w:t>
      </w:r>
    </w:p>
    <w:p w14:paraId="0990034C">
      <w:pPr>
        <w:spacing w:line="360" w:lineRule="auto"/>
        <w:ind w:firstLine="435"/>
        <w:rPr>
          <w:rFonts w:hint="eastAsia"/>
          <w:sz w:val="24"/>
          <w:szCs w:val="24"/>
        </w:rPr>
      </w:pPr>
      <w:r>
        <w:rPr>
          <w:rFonts w:hint="eastAsia"/>
          <w:sz w:val="24"/>
          <w:szCs w:val="24"/>
        </w:rPr>
        <w:t>1、营业执照扫描件/事业单位法人证书扫描件/社会团体法人登记证书扫描件/民办非企业单位登记证书扫描件</w:t>
      </w:r>
    </w:p>
    <w:p w14:paraId="144303A6">
      <w:pPr>
        <w:spacing w:line="360" w:lineRule="auto"/>
        <w:ind w:firstLine="435"/>
        <w:rPr>
          <w:rFonts w:hint="eastAsia"/>
          <w:sz w:val="24"/>
          <w:szCs w:val="24"/>
        </w:rPr>
      </w:pPr>
      <w:r>
        <w:rPr>
          <w:rFonts w:hint="eastAsia"/>
          <w:sz w:val="24"/>
          <w:szCs w:val="24"/>
        </w:rPr>
        <w:t>2、税务登记证（若供应商提供了“多证合一”的营业执照，无需另行提供税务登记证）扫描件</w:t>
      </w:r>
    </w:p>
    <w:p w14:paraId="6D3F95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3、综合维修二类及以上汽车维修经营资质证书或备案证明材料</w:t>
      </w:r>
      <w:r>
        <w:rPr>
          <w:rFonts w:hint="eastAsia" w:asciiTheme="minorEastAsia" w:hAnsiTheme="minorEastAsia" w:eastAsiaTheme="minorEastAsia"/>
          <w:color w:val="auto"/>
          <w:sz w:val="24"/>
          <w:highlight w:val="none"/>
          <w:lang w:eastAsia="zh-CN"/>
        </w:rPr>
        <w:t>扫描件</w:t>
      </w:r>
    </w:p>
    <w:p w14:paraId="088A38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4、中小企业声明函</w:t>
      </w:r>
    </w:p>
    <w:p w14:paraId="7B7C7D44">
      <w:pPr>
        <w:spacing w:line="360" w:lineRule="auto"/>
        <w:ind w:firstLine="435"/>
        <w:rPr>
          <w:rFonts w:hint="eastAsia" w:ascii="宋体" w:hAnsi="宋体" w:eastAsia="宋体"/>
          <w:sz w:val="24"/>
          <w:szCs w:val="18"/>
          <w:highlight w:val="none"/>
          <w:u w:val="none"/>
          <w:lang w:val="en-US" w:eastAsia="zh-CN"/>
        </w:rPr>
      </w:pPr>
      <w:r>
        <w:rPr>
          <w:rFonts w:hint="eastAsia" w:asciiTheme="minorEastAsia" w:hAnsiTheme="minorEastAsia" w:eastAsiaTheme="minorEastAsia"/>
          <w:b w:val="0"/>
          <w:bCs w:val="0"/>
          <w:color w:val="auto"/>
          <w:sz w:val="24"/>
          <w:highlight w:val="none"/>
          <w:lang w:val="en-US" w:eastAsia="zh-CN"/>
        </w:rPr>
        <w:t>5、</w:t>
      </w:r>
      <w:r>
        <w:rPr>
          <w:rFonts w:hint="eastAsia" w:ascii="宋体" w:hAnsi="宋体" w:eastAsia="宋体"/>
          <w:sz w:val="24"/>
          <w:szCs w:val="18"/>
          <w:highlight w:val="none"/>
          <w:u w:val="none"/>
          <w:lang w:val="en-US" w:eastAsia="zh-CN"/>
        </w:rPr>
        <w:t>特种作业操作证扫描件</w:t>
      </w:r>
    </w:p>
    <w:p w14:paraId="14F592C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6、维修厂房租赁合同或自有产权证明的扫描件</w:t>
      </w:r>
    </w:p>
    <w:p w14:paraId="70685DAA">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7、烤漆房、环保柜和举升机租赁合同扫描件或设备购买发票的扫描件或现场照片</w:t>
      </w:r>
    </w:p>
    <w:p w14:paraId="05B08741">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8、环境保护措施的相关合同或其他相关证明材料的扫描件</w:t>
      </w:r>
    </w:p>
    <w:p w14:paraId="01A0AB7D">
      <w:pPr>
        <w:spacing w:line="360" w:lineRule="auto"/>
        <w:ind w:firstLine="435"/>
        <w:rPr>
          <w:rFonts w:hint="default" w:asciiTheme="minorEastAsia" w:hAnsiTheme="minorEastAsia" w:eastAsiaTheme="minorEastAsia"/>
          <w:color w:val="auto"/>
          <w:sz w:val="24"/>
          <w:highlight w:val="none"/>
          <w:lang w:val="en-US" w:eastAsia="zh-CN"/>
        </w:rPr>
      </w:pPr>
      <w:r>
        <w:rPr>
          <w:rFonts w:hint="eastAsia" w:eastAsiaTheme="minorEastAsia"/>
          <w:sz w:val="24"/>
          <w:szCs w:val="24"/>
          <w:lang w:val="en-US" w:eastAsia="zh-CN"/>
        </w:rPr>
        <w:t>9</w:t>
      </w:r>
      <w:r>
        <w:rPr>
          <w:rFonts w:hint="eastAsia" w:asciiTheme="minorEastAsia" w:hAnsiTheme="minorEastAsia" w:eastAsiaTheme="minorEastAsia"/>
          <w:color w:val="auto"/>
          <w:sz w:val="24"/>
          <w:highlight w:val="none"/>
          <w:lang w:val="en-US" w:eastAsia="zh-CN"/>
        </w:rPr>
        <w:t>、人员力量</w:t>
      </w:r>
    </w:p>
    <w:tbl>
      <w:tblPr>
        <w:tblStyle w:val="1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9"/>
        <w:gridCol w:w="716"/>
        <w:gridCol w:w="653"/>
        <w:gridCol w:w="881"/>
        <w:gridCol w:w="1041"/>
        <w:gridCol w:w="1417"/>
        <w:gridCol w:w="2474"/>
      </w:tblGrid>
      <w:tr w14:paraId="113D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684" w:type="pct"/>
            <w:tcBorders>
              <w:top w:val="single" w:color="auto" w:sz="4" w:space="0"/>
              <w:left w:val="single" w:color="auto" w:sz="4" w:space="0"/>
              <w:bottom w:val="single" w:color="auto" w:sz="4" w:space="0"/>
              <w:right w:val="single" w:color="auto" w:sz="4" w:space="0"/>
            </w:tcBorders>
            <w:noWrap w:val="0"/>
            <w:vAlign w:val="center"/>
          </w:tcPr>
          <w:p w14:paraId="07A08AFF">
            <w:pPr>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B60E2BC">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5855BD98">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岗位</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D54E70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工种</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5509760E">
            <w:pPr>
              <w:jc w:val="center"/>
              <w:rPr>
                <w:rFonts w:hint="eastAsia" w:ascii="宋体" w:hAnsi="宋体" w:eastAsia="宋体" w:cs="宋体"/>
                <w:b/>
                <w:bCs/>
                <w:sz w:val="24"/>
                <w:szCs w:val="24"/>
              </w:rPr>
            </w:pPr>
            <w:r>
              <w:rPr>
                <w:rFonts w:hint="eastAsia" w:ascii="宋体" w:hAnsi="宋体" w:eastAsia="宋体" w:cs="宋体"/>
                <w:b/>
                <w:bCs/>
                <w:sz w:val="24"/>
                <w:szCs w:val="24"/>
              </w:rPr>
              <w:t>手机号码</w:t>
            </w:r>
          </w:p>
        </w:tc>
        <w:tc>
          <w:tcPr>
            <w:tcW w:w="851" w:type="pct"/>
            <w:tcBorders>
              <w:top w:val="single" w:color="auto" w:sz="4" w:space="0"/>
              <w:left w:val="single" w:color="auto" w:sz="4" w:space="0"/>
              <w:bottom w:val="single" w:color="auto" w:sz="4" w:space="0"/>
              <w:right w:val="single" w:color="auto" w:sz="4" w:space="0"/>
            </w:tcBorders>
            <w:noWrap w:val="0"/>
            <w:vAlign w:val="center"/>
          </w:tcPr>
          <w:p w14:paraId="11661ABF">
            <w:pPr>
              <w:jc w:val="center"/>
              <w:rPr>
                <w:rFonts w:hint="eastAsia" w:ascii="宋体" w:hAnsi="宋体" w:eastAsia="宋体" w:cs="宋体"/>
                <w:b/>
                <w:bCs/>
                <w:sz w:val="24"/>
                <w:szCs w:val="24"/>
              </w:rPr>
            </w:pPr>
            <w:r>
              <w:rPr>
                <w:rFonts w:hint="eastAsia" w:ascii="宋体" w:hAnsi="宋体" w:eastAsia="宋体" w:cs="宋体"/>
                <w:b/>
                <w:bCs/>
                <w:sz w:val="24"/>
                <w:szCs w:val="24"/>
              </w:rPr>
              <w:t>身份证号码</w:t>
            </w:r>
          </w:p>
        </w:tc>
        <w:tc>
          <w:tcPr>
            <w:tcW w:w="1486" w:type="pct"/>
            <w:tcBorders>
              <w:top w:val="single" w:color="auto" w:sz="4" w:space="0"/>
              <w:left w:val="single" w:color="auto" w:sz="4" w:space="0"/>
              <w:bottom w:val="single" w:color="auto" w:sz="4" w:space="0"/>
              <w:right w:val="single" w:color="auto" w:sz="4" w:space="0"/>
            </w:tcBorders>
            <w:noWrap w:val="0"/>
            <w:vAlign w:val="center"/>
          </w:tcPr>
          <w:p w14:paraId="31658D04">
            <w:pPr>
              <w:jc w:val="center"/>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是否为投标人单位当前在职在岗人员（填写“是/否”）</w:t>
            </w:r>
          </w:p>
        </w:tc>
      </w:tr>
      <w:tr w14:paraId="411C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84" w:type="pct"/>
            <w:vMerge w:val="restart"/>
            <w:tcBorders>
              <w:top w:val="single" w:color="auto" w:sz="4" w:space="0"/>
              <w:left w:val="single" w:color="auto" w:sz="4" w:space="0"/>
              <w:right w:val="single" w:color="auto" w:sz="4" w:space="0"/>
            </w:tcBorders>
            <w:noWrap w:val="0"/>
            <w:vAlign w:val="center"/>
          </w:tcPr>
          <w:p w14:paraId="2D330785">
            <w:pPr>
              <w:jc w:val="center"/>
              <w:rPr>
                <w:rFonts w:hint="eastAsia" w:ascii="宋体" w:hAnsi="宋体" w:eastAsia="宋体" w:cs="宋体"/>
                <w:sz w:val="24"/>
                <w:szCs w:val="24"/>
              </w:rPr>
            </w:pPr>
            <w:r>
              <w:rPr>
                <w:rFonts w:hint="eastAsia" w:ascii="宋体" w:hAnsi="宋体" w:eastAsia="宋体" w:cs="宋体"/>
                <w:sz w:val="24"/>
                <w:szCs w:val="24"/>
              </w:rPr>
              <w:t>项目组成员</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8184BAE">
            <w:pPr>
              <w:jc w:val="center"/>
              <w:rPr>
                <w:rFonts w:hint="eastAsia" w:ascii="宋体" w:hAnsi="宋体" w:eastAsia="宋体" w:cs="宋体"/>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7335109">
            <w:pPr>
              <w:jc w:val="center"/>
              <w:rPr>
                <w:rFonts w:hint="eastAsia" w:ascii="宋体" w:hAnsi="宋体" w:eastAsia="宋体" w:cs="宋体"/>
                <w:sz w:val="24"/>
                <w:szCs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2B2643EC">
            <w:pPr>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7E139255">
            <w:pPr>
              <w:jc w:val="center"/>
              <w:rPr>
                <w:rFonts w:hint="eastAsia" w:ascii="宋体" w:hAnsi="宋体" w:eastAsia="宋体" w:cs="宋体"/>
                <w:sz w:val="24"/>
                <w:szCs w:val="24"/>
              </w:rPr>
            </w:pPr>
          </w:p>
        </w:tc>
        <w:tc>
          <w:tcPr>
            <w:tcW w:w="851" w:type="pct"/>
            <w:tcBorders>
              <w:top w:val="single" w:color="auto" w:sz="4" w:space="0"/>
              <w:left w:val="single" w:color="auto" w:sz="4" w:space="0"/>
              <w:bottom w:val="single" w:color="auto" w:sz="4" w:space="0"/>
              <w:right w:val="single" w:color="auto" w:sz="4" w:space="0"/>
            </w:tcBorders>
            <w:noWrap w:val="0"/>
            <w:vAlign w:val="center"/>
          </w:tcPr>
          <w:p w14:paraId="3036A3E3">
            <w:pPr>
              <w:jc w:val="center"/>
              <w:rPr>
                <w:rFonts w:hint="eastAsia" w:ascii="宋体" w:hAnsi="宋体" w:eastAsia="宋体" w:cs="宋体"/>
                <w:sz w:val="24"/>
                <w:szCs w:val="24"/>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14:paraId="700858C3">
            <w:pPr>
              <w:jc w:val="center"/>
              <w:rPr>
                <w:rFonts w:hint="eastAsia" w:ascii="宋体" w:hAnsi="宋体" w:eastAsia="宋体" w:cs="宋体"/>
                <w:sz w:val="24"/>
                <w:szCs w:val="24"/>
              </w:rPr>
            </w:pPr>
          </w:p>
        </w:tc>
      </w:tr>
      <w:tr w14:paraId="4C8F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84" w:type="pct"/>
            <w:vMerge w:val="continue"/>
            <w:tcBorders>
              <w:left w:val="single" w:color="auto" w:sz="4" w:space="0"/>
              <w:right w:val="single" w:color="auto" w:sz="4" w:space="0"/>
            </w:tcBorders>
            <w:noWrap w:val="0"/>
            <w:vAlign w:val="center"/>
          </w:tcPr>
          <w:p w14:paraId="71FE1697">
            <w:pPr>
              <w:jc w:val="center"/>
              <w:rPr>
                <w:rFonts w:hint="eastAsia" w:ascii="宋体" w:hAnsi="宋体" w:eastAsia="宋体" w:cs="宋体"/>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center"/>
          </w:tcPr>
          <w:p w14:paraId="04939087">
            <w:pPr>
              <w:jc w:val="center"/>
              <w:rPr>
                <w:rFonts w:hint="eastAsia" w:ascii="宋体" w:hAnsi="宋体" w:eastAsia="宋体" w:cs="宋体"/>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AC32978">
            <w:pPr>
              <w:jc w:val="center"/>
              <w:rPr>
                <w:rFonts w:hint="eastAsia" w:ascii="宋体" w:hAnsi="宋体" w:eastAsia="宋体" w:cs="宋体"/>
                <w:sz w:val="24"/>
                <w:szCs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003F50F1">
            <w:pPr>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25BEE942">
            <w:pPr>
              <w:jc w:val="center"/>
              <w:rPr>
                <w:rFonts w:hint="eastAsia" w:ascii="宋体" w:hAnsi="宋体" w:eastAsia="宋体" w:cs="宋体"/>
                <w:sz w:val="24"/>
                <w:szCs w:val="24"/>
              </w:rPr>
            </w:pPr>
          </w:p>
        </w:tc>
        <w:tc>
          <w:tcPr>
            <w:tcW w:w="851" w:type="pct"/>
            <w:tcBorders>
              <w:top w:val="single" w:color="auto" w:sz="4" w:space="0"/>
              <w:left w:val="single" w:color="auto" w:sz="4" w:space="0"/>
              <w:bottom w:val="single" w:color="auto" w:sz="4" w:space="0"/>
              <w:right w:val="single" w:color="auto" w:sz="4" w:space="0"/>
            </w:tcBorders>
            <w:noWrap w:val="0"/>
            <w:vAlign w:val="center"/>
          </w:tcPr>
          <w:p w14:paraId="32A5EC4A">
            <w:pPr>
              <w:jc w:val="center"/>
              <w:rPr>
                <w:rFonts w:hint="eastAsia" w:ascii="宋体" w:hAnsi="宋体" w:eastAsia="宋体" w:cs="宋体"/>
                <w:sz w:val="24"/>
                <w:szCs w:val="24"/>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14:paraId="0C6D9922">
            <w:pPr>
              <w:jc w:val="center"/>
              <w:rPr>
                <w:rFonts w:hint="eastAsia" w:ascii="宋体" w:hAnsi="宋体" w:eastAsia="宋体" w:cs="宋体"/>
                <w:sz w:val="24"/>
                <w:szCs w:val="24"/>
              </w:rPr>
            </w:pPr>
          </w:p>
        </w:tc>
      </w:tr>
      <w:tr w14:paraId="2D2C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84" w:type="pct"/>
            <w:vMerge w:val="continue"/>
            <w:tcBorders>
              <w:left w:val="single" w:color="auto" w:sz="4" w:space="0"/>
              <w:right w:val="single" w:color="auto" w:sz="4" w:space="0"/>
            </w:tcBorders>
            <w:noWrap w:val="0"/>
            <w:vAlign w:val="center"/>
          </w:tcPr>
          <w:p w14:paraId="380C7B22">
            <w:pPr>
              <w:jc w:val="center"/>
              <w:rPr>
                <w:rFonts w:hint="eastAsia" w:ascii="宋体" w:hAnsi="宋体" w:eastAsia="宋体" w:cs="宋体"/>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center"/>
          </w:tcPr>
          <w:p w14:paraId="50CD93BA">
            <w:pPr>
              <w:jc w:val="center"/>
              <w:rPr>
                <w:rFonts w:hint="eastAsia" w:ascii="宋体" w:hAnsi="宋体" w:eastAsia="宋体" w:cs="宋体"/>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BF8A260">
            <w:pPr>
              <w:jc w:val="center"/>
              <w:rPr>
                <w:rFonts w:hint="eastAsia" w:ascii="宋体" w:hAnsi="宋体" w:eastAsia="宋体" w:cs="宋体"/>
                <w:sz w:val="24"/>
                <w:szCs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00C4399F">
            <w:pPr>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484460C">
            <w:pPr>
              <w:jc w:val="center"/>
              <w:rPr>
                <w:rFonts w:hint="eastAsia" w:ascii="宋体" w:hAnsi="宋体" w:eastAsia="宋体" w:cs="宋体"/>
                <w:sz w:val="24"/>
                <w:szCs w:val="24"/>
              </w:rPr>
            </w:pPr>
          </w:p>
        </w:tc>
        <w:tc>
          <w:tcPr>
            <w:tcW w:w="851" w:type="pct"/>
            <w:tcBorders>
              <w:top w:val="single" w:color="auto" w:sz="4" w:space="0"/>
              <w:left w:val="single" w:color="auto" w:sz="4" w:space="0"/>
              <w:bottom w:val="single" w:color="auto" w:sz="4" w:space="0"/>
              <w:right w:val="single" w:color="auto" w:sz="4" w:space="0"/>
            </w:tcBorders>
            <w:noWrap w:val="0"/>
            <w:vAlign w:val="center"/>
          </w:tcPr>
          <w:p w14:paraId="5E0A55C2">
            <w:pPr>
              <w:jc w:val="center"/>
              <w:rPr>
                <w:rFonts w:hint="eastAsia" w:ascii="宋体" w:hAnsi="宋体" w:eastAsia="宋体" w:cs="宋体"/>
                <w:sz w:val="24"/>
                <w:szCs w:val="24"/>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14:paraId="4BDB6D63">
            <w:pPr>
              <w:jc w:val="center"/>
              <w:rPr>
                <w:rFonts w:hint="eastAsia" w:ascii="宋体" w:hAnsi="宋体" w:eastAsia="宋体" w:cs="宋体"/>
                <w:sz w:val="24"/>
                <w:szCs w:val="24"/>
              </w:rPr>
            </w:pPr>
          </w:p>
        </w:tc>
      </w:tr>
      <w:tr w14:paraId="69BD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84" w:type="pct"/>
            <w:vMerge w:val="continue"/>
            <w:tcBorders>
              <w:left w:val="single" w:color="auto" w:sz="4" w:space="0"/>
              <w:right w:val="single" w:color="auto" w:sz="4" w:space="0"/>
            </w:tcBorders>
            <w:noWrap w:val="0"/>
            <w:vAlign w:val="center"/>
          </w:tcPr>
          <w:p w14:paraId="7B3A4B3E">
            <w:pPr>
              <w:jc w:val="center"/>
              <w:rPr>
                <w:rFonts w:hint="eastAsia" w:ascii="宋体" w:hAnsi="宋体" w:eastAsia="宋体" w:cs="宋体"/>
                <w:sz w:val="24"/>
                <w:szCs w:val="24"/>
              </w:rPr>
            </w:pPr>
          </w:p>
        </w:tc>
        <w:tc>
          <w:tcPr>
            <w:tcW w:w="430" w:type="pct"/>
            <w:tcBorders>
              <w:top w:val="single" w:color="auto" w:sz="4" w:space="0"/>
              <w:left w:val="single" w:color="auto" w:sz="4" w:space="0"/>
              <w:bottom w:val="single" w:color="auto" w:sz="4" w:space="0"/>
              <w:right w:val="single" w:color="auto" w:sz="4" w:space="0"/>
            </w:tcBorders>
            <w:noWrap w:val="0"/>
            <w:vAlign w:val="center"/>
          </w:tcPr>
          <w:p w14:paraId="2CD86826">
            <w:pPr>
              <w:jc w:val="center"/>
              <w:rPr>
                <w:rFonts w:hint="eastAsia" w:ascii="宋体" w:hAnsi="宋体" w:eastAsia="宋体" w:cs="宋体"/>
                <w:sz w:val="24"/>
                <w:szCs w:val="24"/>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54353A29">
            <w:pPr>
              <w:jc w:val="center"/>
              <w:rPr>
                <w:rFonts w:hint="eastAsia" w:ascii="宋体" w:hAnsi="宋体" w:eastAsia="宋体" w:cs="宋体"/>
                <w:sz w:val="24"/>
                <w:szCs w:val="24"/>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5B663034">
            <w:pPr>
              <w:jc w:val="center"/>
              <w:rPr>
                <w:rFonts w:hint="eastAsia" w:ascii="宋体" w:hAnsi="宋体" w:eastAsia="宋体" w:cs="宋体"/>
                <w:sz w:val="24"/>
                <w:szCs w:val="24"/>
              </w:rPr>
            </w:pPr>
          </w:p>
        </w:tc>
        <w:tc>
          <w:tcPr>
            <w:tcW w:w="625" w:type="pct"/>
            <w:tcBorders>
              <w:top w:val="single" w:color="auto" w:sz="4" w:space="0"/>
              <w:left w:val="single" w:color="auto" w:sz="4" w:space="0"/>
              <w:bottom w:val="single" w:color="auto" w:sz="4" w:space="0"/>
              <w:right w:val="single" w:color="auto" w:sz="4" w:space="0"/>
            </w:tcBorders>
            <w:noWrap w:val="0"/>
            <w:vAlign w:val="center"/>
          </w:tcPr>
          <w:p w14:paraId="41972A34">
            <w:pPr>
              <w:jc w:val="center"/>
              <w:rPr>
                <w:rFonts w:hint="eastAsia" w:ascii="宋体" w:hAnsi="宋体" w:eastAsia="宋体" w:cs="宋体"/>
                <w:sz w:val="24"/>
                <w:szCs w:val="24"/>
              </w:rPr>
            </w:pPr>
          </w:p>
        </w:tc>
        <w:tc>
          <w:tcPr>
            <w:tcW w:w="851" w:type="pct"/>
            <w:tcBorders>
              <w:top w:val="single" w:color="auto" w:sz="4" w:space="0"/>
              <w:left w:val="single" w:color="auto" w:sz="4" w:space="0"/>
              <w:bottom w:val="single" w:color="auto" w:sz="4" w:space="0"/>
              <w:right w:val="single" w:color="auto" w:sz="4" w:space="0"/>
            </w:tcBorders>
            <w:noWrap w:val="0"/>
            <w:vAlign w:val="center"/>
          </w:tcPr>
          <w:p w14:paraId="2AED7422">
            <w:pPr>
              <w:jc w:val="center"/>
              <w:rPr>
                <w:rFonts w:hint="eastAsia" w:ascii="宋体" w:hAnsi="宋体" w:eastAsia="宋体" w:cs="宋体"/>
                <w:sz w:val="24"/>
                <w:szCs w:val="24"/>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14:paraId="2610D1CD">
            <w:pPr>
              <w:jc w:val="center"/>
              <w:rPr>
                <w:rFonts w:hint="eastAsia" w:ascii="宋体" w:hAnsi="宋体" w:eastAsia="宋体" w:cs="宋体"/>
                <w:sz w:val="24"/>
                <w:szCs w:val="24"/>
              </w:rPr>
            </w:pPr>
          </w:p>
        </w:tc>
      </w:tr>
    </w:tbl>
    <w:p w14:paraId="73F4B2F5">
      <w:pPr>
        <w:spacing w:line="360" w:lineRule="auto"/>
        <w:ind w:firstLine="435"/>
        <w:jc w:val="center"/>
        <w:rPr>
          <w:rFonts w:hint="eastAsia"/>
          <w:b/>
          <w:bCs/>
          <w:sz w:val="24"/>
          <w:szCs w:val="24"/>
        </w:rPr>
      </w:pPr>
    </w:p>
    <w:p w14:paraId="35F3F716">
      <w:pPr>
        <w:spacing w:line="360" w:lineRule="auto"/>
        <w:ind w:firstLine="435"/>
        <w:jc w:val="center"/>
        <w:rPr>
          <w:rFonts w:hint="eastAsia"/>
          <w:b/>
          <w:bCs/>
          <w:sz w:val="24"/>
          <w:szCs w:val="24"/>
        </w:rPr>
      </w:pPr>
      <w:r>
        <w:rPr>
          <w:rFonts w:hint="eastAsia"/>
          <w:b/>
          <w:bCs/>
          <w:sz w:val="24"/>
          <w:szCs w:val="24"/>
        </w:rPr>
        <w:t>二、相关承诺</w:t>
      </w:r>
    </w:p>
    <w:p w14:paraId="3BFAA3A6">
      <w:pPr>
        <w:spacing w:line="360" w:lineRule="auto"/>
        <w:ind w:firstLine="435"/>
        <w:rPr>
          <w:rFonts w:hint="eastAsia"/>
          <w:sz w:val="24"/>
          <w:szCs w:val="24"/>
        </w:rPr>
      </w:pPr>
      <w:r>
        <w:rPr>
          <w:rFonts w:hint="eastAsia"/>
          <w:sz w:val="24"/>
          <w:szCs w:val="24"/>
        </w:rPr>
        <w:t>我公司承诺（填写“符合”或“不符合”，如未填写视为“不符合”）《中华人民共和国政府采购法》第二十二条规定。</w:t>
      </w:r>
    </w:p>
    <w:p w14:paraId="7B437B28">
      <w:pPr>
        <w:spacing w:line="360" w:lineRule="auto"/>
        <w:ind w:firstLine="435"/>
        <w:rPr>
          <w:rFonts w:hint="eastAsia"/>
          <w:sz w:val="24"/>
          <w:szCs w:val="24"/>
        </w:rPr>
      </w:pPr>
      <w:r>
        <w:rPr>
          <w:rFonts w:hint="eastAsia"/>
          <w:sz w:val="24"/>
          <w:szCs w:val="24"/>
        </w:rPr>
        <w:br w:type="page"/>
      </w:r>
    </w:p>
    <w:p w14:paraId="73C1DAD2">
      <w:pPr>
        <w:spacing w:line="360" w:lineRule="auto"/>
        <w:jc w:val="center"/>
        <w:outlineLvl w:val="0"/>
        <w:rPr>
          <w:rFonts w:hint="eastAsia"/>
          <w:b/>
          <w:sz w:val="28"/>
          <w:szCs w:val="28"/>
        </w:rPr>
      </w:pPr>
      <w:bookmarkStart w:id="47" w:name="_Toc28438"/>
      <w:bookmarkEnd w:id="47"/>
      <w:bookmarkStart w:id="48" w:name="_Toc15097"/>
      <w:bookmarkEnd w:id="48"/>
      <w:bookmarkStart w:id="49" w:name="_Toc32685"/>
      <w:bookmarkEnd w:id="49"/>
      <w:bookmarkStart w:id="50" w:name="_Toc31361"/>
      <w:r>
        <w:rPr>
          <w:rFonts w:hint="eastAsia"/>
          <w:b/>
          <w:sz w:val="28"/>
          <w:szCs w:val="28"/>
        </w:rPr>
        <w:t>三、服务报价</w:t>
      </w:r>
      <w:bookmarkEnd w:id="50"/>
    </w:p>
    <w:tbl>
      <w:tblPr>
        <w:tblStyle w:val="14"/>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39"/>
        <w:gridCol w:w="2018"/>
        <w:gridCol w:w="2563"/>
      </w:tblGrid>
      <w:tr w14:paraId="09A6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1" w:hRule="atLeast"/>
          <w:jc w:val="center"/>
        </w:trPr>
        <w:tc>
          <w:tcPr>
            <w:tcW w:w="3839" w:type="dxa"/>
            <w:tcBorders>
              <w:top w:val="single" w:color="auto" w:sz="4" w:space="0"/>
              <w:left w:val="single" w:color="auto" w:sz="4" w:space="0"/>
              <w:bottom w:val="single" w:color="auto" w:sz="4" w:space="0"/>
              <w:right w:val="single" w:color="auto" w:sz="4" w:space="0"/>
            </w:tcBorders>
            <w:vAlign w:val="center"/>
          </w:tcPr>
          <w:p w14:paraId="60E39050">
            <w:pPr>
              <w:pStyle w:val="21"/>
              <w:spacing w:line="300" w:lineRule="exact"/>
              <w:contextualSpacing/>
              <w:rPr>
                <w:rFonts w:ascii="宋体" w:hAnsi="宋体"/>
                <w:b/>
                <w:sz w:val="24"/>
                <w:szCs w:val="24"/>
              </w:rPr>
            </w:pPr>
            <w:r>
              <w:rPr>
                <w:rFonts w:hint="eastAsia" w:ascii="宋体" w:hAnsi="宋体"/>
                <w:b/>
                <w:sz w:val="24"/>
                <w:szCs w:val="24"/>
              </w:rPr>
              <w:t>服务名称</w:t>
            </w:r>
            <w:r>
              <w:rPr>
                <w:rFonts w:hint="eastAsia" w:ascii="宋体" w:hAnsi="宋体"/>
                <w:b/>
                <w:bCs/>
                <w:sz w:val="24"/>
                <w:szCs w:val="24"/>
              </w:rPr>
              <w:t>（标的名称）</w:t>
            </w:r>
          </w:p>
        </w:tc>
        <w:tc>
          <w:tcPr>
            <w:tcW w:w="2018" w:type="dxa"/>
            <w:tcBorders>
              <w:top w:val="single" w:color="auto" w:sz="4" w:space="0"/>
              <w:left w:val="single" w:color="auto" w:sz="4" w:space="0"/>
              <w:bottom w:val="single" w:color="auto" w:sz="4" w:space="0"/>
              <w:right w:val="single" w:color="auto" w:sz="4" w:space="0"/>
            </w:tcBorders>
            <w:vAlign w:val="center"/>
          </w:tcPr>
          <w:p w14:paraId="08EAA87C">
            <w:pPr>
              <w:spacing w:line="300" w:lineRule="exact"/>
              <w:contextualSpacing/>
              <w:jc w:val="center"/>
              <w:rPr>
                <w:b/>
                <w:sz w:val="24"/>
                <w:szCs w:val="24"/>
              </w:rPr>
            </w:pPr>
            <w:r>
              <w:rPr>
                <w:rFonts w:hint="eastAsia"/>
                <w:b/>
                <w:sz w:val="24"/>
                <w:szCs w:val="24"/>
              </w:rPr>
              <w:t>服务提供商</w:t>
            </w:r>
          </w:p>
        </w:tc>
        <w:tc>
          <w:tcPr>
            <w:tcW w:w="2563" w:type="dxa"/>
            <w:tcBorders>
              <w:top w:val="single" w:color="auto" w:sz="4" w:space="0"/>
              <w:left w:val="single" w:color="auto" w:sz="4" w:space="0"/>
              <w:bottom w:val="single" w:color="auto" w:sz="4" w:space="0"/>
              <w:right w:val="single" w:color="auto" w:sz="4" w:space="0"/>
            </w:tcBorders>
            <w:vAlign w:val="center"/>
          </w:tcPr>
          <w:p w14:paraId="722ED66E">
            <w:pPr>
              <w:spacing w:line="300" w:lineRule="exact"/>
              <w:contextualSpacing/>
              <w:jc w:val="center"/>
              <w:rPr>
                <w:b/>
                <w:sz w:val="24"/>
                <w:szCs w:val="24"/>
              </w:rPr>
            </w:pPr>
            <w:r>
              <w:rPr>
                <w:rFonts w:hint="eastAsia" w:ascii="宋体" w:hAnsi="宋体" w:eastAsia="宋体" w:cs="宋体"/>
                <w:b/>
                <w:sz w:val="22"/>
                <w:szCs w:val="22"/>
                <w:lang w:val="en-US" w:eastAsia="zh-CN"/>
              </w:rPr>
              <w:t>响应报价（元）</w:t>
            </w:r>
          </w:p>
        </w:tc>
      </w:tr>
      <w:tr w14:paraId="7738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50" w:hRule="atLeast"/>
          <w:jc w:val="center"/>
        </w:trPr>
        <w:tc>
          <w:tcPr>
            <w:tcW w:w="3839" w:type="dxa"/>
            <w:tcBorders>
              <w:top w:val="single" w:color="auto" w:sz="4" w:space="0"/>
              <w:left w:val="single" w:color="auto" w:sz="4" w:space="0"/>
              <w:bottom w:val="single" w:color="auto" w:sz="4" w:space="0"/>
              <w:right w:val="single" w:color="auto" w:sz="4" w:space="0"/>
            </w:tcBorders>
            <w:vAlign w:val="center"/>
          </w:tcPr>
          <w:p w14:paraId="6471571A">
            <w:pPr>
              <w:widowControl/>
              <w:spacing w:line="300" w:lineRule="exact"/>
              <w:jc w:val="center"/>
              <w:textAlignment w:val="center"/>
              <w:rPr>
                <w:rFonts w:hint="eastAsia" w:eastAsia="宋体"/>
                <w:bCs/>
                <w:color w:val="000000"/>
                <w:kern w:val="0"/>
                <w:sz w:val="24"/>
                <w:szCs w:val="24"/>
                <w:lang w:eastAsia="zh-CN"/>
              </w:rPr>
            </w:pPr>
            <w:r>
              <w:rPr>
                <w:rFonts w:hint="eastAsia"/>
                <w:bCs/>
                <w:color w:val="000000"/>
                <w:kern w:val="0"/>
                <w:sz w:val="24"/>
                <w:szCs w:val="24"/>
                <w:lang w:eastAsia="zh-CN"/>
              </w:rPr>
              <w:t>马鞍山市2026-2027年公务用车维修服务（综合类）框架协议采购</w:t>
            </w:r>
          </w:p>
        </w:tc>
        <w:tc>
          <w:tcPr>
            <w:tcW w:w="2018" w:type="dxa"/>
            <w:tcBorders>
              <w:top w:val="single" w:color="auto" w:sz="4" w:space="0"/>
              <w:left w:val="single" w:color="auto" w:sz="4" w:space="0"/>
              <w:bottom w:val="single" w:color="auto" w:sz="4" w:space="0"/>
              <w:right w:val="single" w:color="auto" w:sz="4" w:space="0"/>
            </w:tcBorders>
            <w:vAlign w:val="center"/>
          </w:tcPr>
          <w:p w14:paraId="360EBDC1">
            <w:pPr>
              <w:spacing w:line="300" w:lineRule="exact"/>
              <w:contextualSpacing/>
              <w:jc w:val="center"/>
              <w:rPr>
                <w:b/>
                <w:sz w:val="24"/>
                <w:szCs w:val="24"/>
              </w:rPr>
            </w:pPr>
          </w:p>
        </w:tc>
        <w:tc>
          <w:tcPr>
            <w:tcW w:w="2563" w:type="dxa"/>
            <w:tcBorders>
              <w:top w:val="single" w:color="auto" w:sz="4" w:space="0"/>
              <w:left w:val="single" w:color="auto" w:sz="4" w:space="0"/>
              <w:bottom w:val="single" w:color="auto" w:sz="4" w:space="0"/>
              <w:right w:val="single" w:color="auto" w:sz="4" w:space="0"/>
            </w:tcBorders>
            <w:vAlign w:val="center"/>
          </w:tcPr>
          <w:p w14:paraId="038DBC5B">
            <w:pPr>
              <w:spacing w:line="300" w:lineRule="exact"/>
              <w:contextualSpacing/>
              <w:jc w:val="left"/>
              <w:rPr>
                <w:b/>
                <w:sz w:val="24"/>
                <w:szCs w:val="24"/>
              </w:rPr>
            </w:pPr>
            <w:r>
              <w:rPr>
                <w:rFonts w:hint="eastAsia" w:ascii="宋体" w:hAnsi="宋体" w:eastAsia="宋体" w:cs="宋体"/>
                <w:b/>
                <w:sz w:val="22"/>
                <w:szCs w:val="22"/>
                <w:lang w:val="en-US" w:eastAsia="zh-CN"/>
              </w:rPr>
              <w:t>工时费单价：</w:t>
            </w:r>
            <w:r>
              <w:rPr>
                <w:rFonts w:hint="eastAsia" w:ascii="宋体" w:hAnsi="宋体" w:eastAsia="宋体" w:cs="宋体"/>
                <w:b/>
                <w:sz w:val="22"/>
                <w:szCs w:val="22"/>
                <w:u w:val="single"/>
                <w:lang w:val="en-US" w:eastAsia="zh-CN"/>
              </w:rPr>
              <w:t xml:space="preserve">         </w:t>
            </w:r>
            <w:r>
              <w:rPr>
                <w:rFonts w:hint="eastAsia" w:ascii="宋体" w:hAnsi="宋体" w:eastAsia="宋体" w:cs="宋体"/>
                <w:b/>
                <w:sz w:val="22"/>
                <w:szCs w:val="22"/>
                <w:lang w:val="en-US" w:eastAsia="zh-CN"/>
              </w:rPr>
              <w:t>元</w:t>
            </w:r>
          </w:p>
        </w:tc>
      </w:tr>
    </w:tbl>
    <w:p w14:paraId="5BF7778D">
      <w:pPr>
        <w:spacing w:line="360" w:lineRule="auto"/>
        <w:jc w:val="right"/>
        <w:rPr>
          <w:rFonts w:hint="eastAsia"/>
          <w:sz w:val="24"/>
          <w:szCs w:val="24"/>
        </w:rPr>
      </w:pPr>
      <w:r>
        <w:rPr>
          <w:rFonts w:hint="eastAsia"/>
          <w:sz w:val="24"/>
          <w:szCs w:val="24"/>
        </w:rPr>
        <w:t>供应商公章：</w:t>
      </w:r>
    </w:p>
    <w:p w14:paraId="0032FECB">
      <w:pPr>
        <w:widowControl/>
        <w:jc w:val="left"/>
        <w:sectPr>
          <w:pgSz w:w="11906" w:h="16838"/>
          <w:pgMar w:top="1440" w:right="1800" w:bottom="1440" w:left="1800" w:header="851" w:footer="992" w:gutter="0"/>
          <w:pgNumType w:fmt="decimal"/>
          <w:cols w:space="720" w:num="1"/>
          <w:docGrid w:type="lines" w:linePitch="312" w:charSpace="0"/>
        </w:sectPr>
      </w:pPr>
    </w:p>
    <w:p w14:paraId="0DEA5F22">
      <w:pPr>
        <w:rPr>
          <w:rFonts w:hint="eastAsia"/>
        </w:rPr>
      </w:pPr>
      <w:r>
        <w:rPr>
          <w:rFonts w:hint="eastAsia"/>
        </w:rPr>
        <w:t xml:space="preserve"> </w:t>
      </w:r>
    </w:p>
    <w:p w14:paraId="5571D8AF">
      <w:pPr>
        <w:pStyle w:val="3"/>
        <w:spacing w:line="400" w:lineRule="exact"/>
        <w:jc w:val="center"/>
        <w:rPr>
          <w:rFonts w:hint="eastAsia"/>
          <w:b/>
          <w:sz w:val="28"/>
          <w:szCs w:val="28"/>
        </w:rPr>
      </w:pPr>
      <w:bookmarkStart w:id="51" w:name="_Toc8334"/>
      <w:bookmarkEnd w:id="51"/>
      <w:bookmarkStart w:id="52" w:name="_Toc22721"/>
      <w:r>
        <w:rPr>
          <w:rFonts w:hint="eastAsia"/>
          <w:b/>
          <w:sz w:val="28"/>
          <w:szCs w:val="28"/>
        </w:rPr>
        <w:t>中小企业声明函（服务）</w:t>
      </w:r>
      <w:bookmarkEnd w:id="52"/>
    </w:p>
    <w:p w14:paraId="6304AA0F">
      <w:pPr>
        <w:autoSpaceDE w:val="0"/>
        <w:autoSpaceDN w:val="0"/>
        <w:spacing w:line="400" w:lineRule="exact"/>
        <w:ind w:firstLine="480" w:firstLineChars="200"/>
        <w:rPr>
          <w:rFonts w:hint="eastAsia"/>
          <w:sz w:val="24"/>
          <w:szCs w:val="24"/>
        </w:rPr>
      </w:pPr>
      <w:r>
        <w:rPr>
          <w:rFonts w:hint="eastAsia"/>
          <w:sz w:val="24"/>
          <w:szCs w:val="24"/>
        </w:rPr>
        <w:t>本公司（联合体）郑重声明，根据《政府采购促进中小企业发展管理办法》（财库〔2020〕46号）的规定，本公司（联合体）参加</w:t>
      </w:r>
      <w:r>
        <w:rPr>
          <w:rFonts w:hint="eastAsia"/>
          <w:b/>
          <w:bCs/>
          <w:sz w:val="24"/>
          <w:szCs w:val="24"/>
          <w:highlight w:val="yellow"/>
          <w:u w:val="single"/>
          <w:lang w:eastAsia="zh-CN"/>
        </w:rPr>
        <w:t>马鞍山市机关事务管理中心</w:t>
      </w:r>
      <w:r>
        <w:rPr>
          <w:rFonts w:hint="eastAsia"/>
          <w:sz w:val="24"/>
          <w:szCs w:val="24"/>
        </w:rPr>
        <w:t>的</w:t>
      </w:r>
      <w:r>
        <w:rPr>
          <w:rFonts w:hint="eastAsia"/>
          <w:b/>
          <w:bCs/>
          <w:sz w:val="24"/>
          <w:szCs w:val="24"/>
          <w:highlight w:val="yellow"/>
          <w:u w:val="single"/>
          <w:lang w:eastAsia="zh-CN"/>
        </w:rPr>
        <w:t>马鞍山市2026-2027年公务用车维修服务（综合类）框架协议采购</w:t>
      </w:r>
      <w:r>
        <w:rPr>
          <w:rFonts w:hint="eastAsia"/>
          <w:b/>
          <w:bCs/>
          <w:sz w:val="24"/>
          <w:szCs w:val="24"/>
          <w:highlight w:val="yellow"/>
          <w:u w:val="single"/>
        </w:rPr>
        <w:t>（项目编号：</w:t>
      </w:r>
      <w:r>
        <w:rPr>
          <w:rFonts w:hint="eastAsia"/>
          <w:b/>
          <w:bCs/>
          <w:sz w:val="24"/>
          <w:szCs w:val="24"/>
          <w:highlight w:val="yellow"/>
          <w:u w:val="single"/>
          <w:lang w:eastAsia="zh-CN"/>
        </w:rPr>
        <w:t>KJXY202512300585</w:t>
      </w:r>
      <w:r>
        <w:rPr>
          <w:rFonts w:hint="eastAsia"/>
          <w:b/>
          <w:bCs/>
          <w:sz w:val="24"/>
          <w:szCs w:val="24"/>
          <w:highlight w:val="yellow"/>
          <w:u w:val="single"/>
        </w:rPr>
        <w:t>）</w:t>
      </w:r>
      <w:r>
        <w:rPr>
          <w:rFonts w:hint="eastAsia"/>
          <w:sz w:val="24"/>
          <w:szCs w:val="24"/>
        </w:rPr>
        <w:t>采购活动，工程的施工单位全部由符合政策要求的中小企业（或者：服务全部由符合政策要求的中小企业承接）。相关企业（含联合体中的中小企业、签订分包意向协议的中小企业）的具体情况如下：</w:t>
      </w:r>
    </w:p>
    <w:p w14:paraId="02F3163C">
      <w:pPr>
        <w:autoSpaceDE w:val="0"/>
        <w:autoSpaceDN w:val="0"/>
        <w:spacing w:line="400" w:lineRule="exact"/>
        <w:ind w:left="80" w:leftChars="38" w:right="40" w:firstLine="482" w:firstLineChars="200"/>
        <w:rPr>
          <w:rFonts w:hint="eastAsia"/>
          <w:sz w:val="24"/>
          <w:szCs w:val="24"/>
        </w:rPr>
      </w:pPr>
      <w:r>
        <w:rPr>
          <w:rFonts w:hint="eastAsia"/>
          <w:b/>
          <w:bCs/>
          <w:sz w:val="24"/>
          <w:szCs w:val="24"/>
          <w:highlight w:val="yellow"/>
          <w:u w:val="single"/>
          <w:lang w:eastAsia="zh-CN"/>
        </w:rPr>
        <w:t>马鞍山市机关事务管理中心</w:t>
      </w:r>
      <w:r>
        <w:rPr>
          <w:rFonts w:hint="eastAsia"/>
          <w:sz w:val="24"/>
          <w:szCs w:val="24"/>
        </w:rPr>
        <w:t>的</w:t>
      </w:r>
      <w:r>
        <w:rPr>
          <w:rFonts w:hint="eastAsia"/>
          <w:b/>
          <w:bCs/>
          <w:sz w:val="24"/>
          <w:szCs w:val="24"/>
          <w:highlight w:val="yellow"/>
          <w:u w:val="single"/>
          <w:lang w:eastAsia="zh-CN"/>
        </w:rPr>
        <w:t>马鞍山市2026-2027年公务用车维修服务（综合类）框架协议采购</w:t>
      </w:r>
      <w:r>
        <w:rPr>
          <w:rFonts w:hint="eastAsia"/>
          <w:sz w:val="24"/>
          <w:szCs w:val="24"/>
        </w:rPr>
        <w:t>，属于</w:t>
      </w:r>
      <w:r>
        <w:rPr>
          <w:rFonts w:hint="eastAsia" w:asciiTheme="minorEastAsia" w:hAnsiTheme="minorEastAsia" w:eastAsiaTheme="minorEastAsia" w:cstheme="minorEastAsia"/>
          <w:b/>
          <w:bCs/>
          <w:sz w:val="24"/>
          <w:szCs w:val="24"/>
          <w:u w:val="single"/>
          <w:lang w:val="en-US" w:eastAsia="zh-CN"/>
        </w:rPr>
        <w:t>其他未列明行业</w:t>
      </w:r>
      <w:r>
        <w:rPr>
          <w:rFonts w:hint="eastAsia"/>
          <w:sz w:val="24"/>
          <w:szCs w:val="24"/>
        </w:rPr>
        <w:t>；承建（承接）企业为</w:t>
      </w:r>
      <w:r>
        <w:rPr>
          <w:rFonts w:hint="eastAsia"/>
          <w:sz w:val="24"/>
          <w:szCs w:val="24"/>
          <w:u w:val="single"/>
        </w:rPr>
        <w:t>（企业名称）</w:t>
      </w:r>
      <w:r>
        <w:rPr>
          <w:rFonts w:hint="eastAsia"/>
          <w:sz w:val="24"/>
          <w:szCs w:val="24"/>
        </w:rPr>
        <w:t>，从业人员人，营业收入为万元，资产总额为万元，属于</w:t>
      </w:r>
      <w:r>
        <w:rPr>
          <w:rFonts w:hint="eastAsia"/>
          <w:sz w:val="24"/>
          <w:szCs w:val="24"/>
          <w:u w:val="single"/>
        </w:rPr>
        <w:t>（中型企业、小型企业、微型企业）</w:t>
      </w:r>
      <w:r>
        <w:rPr>
          <w:rFonts w:hint="eastAsia"/>
          <w:sz w:val="24"/>
          <w:szCs w:val="24"/>
        </w:rPr>
        <w:t>；</w:t>
      </w:r>
    </w:p>
    <w:p w14:paraId="1D6E7AF6">
      <w:pPr>
        <w:pStyle w:val="3"/>
        <w:spacing w:line="400" w:lineRule="exact"/>
        <w:ind w:firstLine="480" w:firstLineChars="200"/>
        <w:rPr>
          <w:rFonts w:hint="eastAsia"/>
          <w:kern w:val="2"/>
          <w:sz w:val="24"/>
          <w:szCs w:val="24"/>
        </w:rPr>
      </w:pPr>
      <w:r>
        <w:rPr>
          <w:rFonts w:hint="eastAsia"/>
          <w:kern w:val="2"/>
          <w:sz w:val="24"/>
          <w:szCs w:val="24"/>
        </w:rPr>
        <w:t xml:space="preserve"> </w:t>
      </w:r>
    </w:p>
    <w:p w14:paraId="48AB1CA4">
      <w:pPr>
        <w:pStyle w:val="3"/>
        <w:spacing w:line="400" w:lineRule="exact"/>
        <w:ind w:firstLine="480" w:firstLineChars="200"/>
        <w:rPr>
          <w:rFonts w:hint="eastAsia"/>
          <w:kern w:val="2"/>
          <w:sz w:val="24"/>
          <w:szCs w:val="24"/>
        </w:rPr>
      </w:pPr>
      <w:r>
        <w:rPr>
          <w:rFonts w:hint="eastAsia"/>
          <w:kern w:val="2"/>
          <w:sz w:val="24"/>
          <w:szCs w:val="24"/>
        </w:rPr>
        <w:t>以上企业，不属于大企业的分支机构，不存在控股股东为大企业的情形，也不存在与大企业的负责人为同一人的情形。</w:t>
      </w:r>
    </w:p>
    <w:p w14:paraId="431D7FC9">
      <w:pPr>
        <w:pStyle w:val="3"/>
        <w:spacing w:line="400" w:lineRule="exact"/>
        <w:ind w:firstLine="480" w:firstLineChars="200"/>
        <w:rPr>
          <w:rFonts w:hint="eastAsia"/>
          <w:kern w:val="2"/>
          <w:sz w:val="24"/>
          <w:szCs w:val="24"/>
        </w:rPr>
      </w:pPr>
      <w:r>
        <w:rPr>
          <w:rFonts w:hint="eastAsia"/>
          <w:kern w:val="2"/>
          <w:sz w:val="24"/>
          <w:szCs w:val="24"/>
        </w:rPr>
        <w:t>本企业对上述声明内容的真实性负责。如有虚假，将依法承担相应责任。</w:t>
      </w:r>
    </w:p>
    <w:p w14:paraId="6E776782">
      <w:pPr>
        <w:pStyle w:val="3"/>
        <w:spacing w:line="400" w:lineRule="exact"/>
        <w:ind w:firstLine="480" w:firstLineChars="200"/>
        <w:jc w:val="right"/>
        <w:rPr>
          <w:rFonts w:hint="eastAsia"/>
          <w:kern w:val="2"/>
          <w:sz w:val="24"/>
          <w:szCs w:val="24"/>
        </w:rPr>
      </w:pPr>
      <w:r>
        <w:rPr>
          <w:rFonts w:hint="eastAsia"/>
          <w:kern w:val="2"/>
          <w:sz w:val="24"/>
          <w:szCs w:val="24"/>
        </w:rPr>
        <w:t>供应商（盖单位公章）：</w:t>
      </w:r>
    </w:p>
    <w:p w14:paraId="439B6E9C">
      <w:pPr>
        <w:pStyle w:val="3"/>
        <w:spacing w:line="400" w:lineRule="exact"/>
        <w:ind w:firstLine="480" w:firstLineChars="200"/>
        <w:jc w:val="right"/>
        <w:rPr>
          <w:rFonts w:hint="eastAsia"/>
          <w:kern w:val="2"/>
          <w:sz w:val="24"/>
          <w:szCs w:val="24"/>
        </w:rPr>
      </w:pPr>
      <w:r>
        <w:rPr>
          <w:rFonts w:hint="eastAsia"/>
          <w:kern w:val="2"/>
          <w:sz w:val="24"/>
          <w:szCs w:val="24"/>
        </w:rPr>
        <w:t>日期：</w:t>
      </w:r>
      <w:r>
        <w:rPr>
          <w:rFonts w:hint="eastAsia"/>
          <w:sz w:val="24"/>
          <w:szCs w:val="24"/>
          <w:u w:val="single"/>
        </w:rPr>
        <w:t>202</w:t>
      </w:r>
      <w:r>
        <w:rPr>
          <w:rFonts w:hint="eastAsia"/>
          <w:sz w:val="24"/>
          <w:szCs w:val="24"/>
          <w:u w:val="single"/>
          <w:lang w:val="en-US" w:eastAsia="zh-CN"/>
        </w:rPr>
        <w:t>6</w:t>
      </w:r>
      <w:r>
        <w:rPr>
          <w:rFonts w:hint="eastAsia"/>
          <w:sz w:val="24"/>
          <w:szCs w:val="24"/>
          <w:u w:val="single"/>
        </w:rPr>
        <w:t>年</w:t>
      </w:r>
      <w:r>
        <w:rPr>
          <w:rFonts w:hint="eastAsia"/>
          <w:sz w:val="24"/>
          <w:szCs w:val="24"/>
          <w:u w:val="single"/>
          <w:lang w:val="en-US" w:eastAsia="zh-CN"/>
        </w:rPr>
        <w:t xml:space="preserve">  </w:t>
      </w:r>
      <w:r>
        <w:rPr>
          <w:rFonts w:hint="eastAsia"/>
          <w:sz w:val="24"/>
          <w:szCs w:val="24"/>
          <w:u w:val="single"/>
        </w:rPr>
        <w:t>月</w:t>
      </w:r>
      <w:r>
        <w:rPr>
          <w:rFonts w:hint="eastAsia"/>
          <w:sz w:val="24"/>
          <w:szCs w:val="24"/>
          <w:u w:val="single"/>
          <w:lang w:val="en-US" w:eastAsia="zh-CN"/>
        </w:rPr>
        <w:t xml:space="preserve">  </w:t>
      </w:r>
      <w:r>
        <w:rPr>
          <w:rFonts w:hint="eastAsia"/>
          <w:sz w:val="24"/>
          <w:szCs w:val="24"/>
          <w:u w:val="single"/>
        </w:rPr>
        <w:t>日</w:t>
      </w:r>
    </w:p>
    <w:p w14:paraId="62B357F4">
      <w:pPr>
        <w:pStyle w:val="3"/>
        <w:spacing w:line="400" w:lineRule="exact"/>
        <w:ind w:firstLine="482" w:firstLineChars="200"/>
        <w:rPr>
          <w:rFonts w:hint="eastAsia"/>
          <w:b/>
          <w:kern w:val="2"/>
          <w:sz w:val="24"/>
          <w:szCs w:val="24"/>
        </w:rPr>
      </w:pPr>
      <w:r>
        <w:rPr>
          <w:rFonts w:hint="eastAsia"/>
          <w:b/>
          <w:kern w:val="2"/>
          <w:sz w:val="24"/>
          <w:szCs w:val="24"/>
        </w:rPr>
        <w:t>注：</w:t>
      </w:r>
    </w:p>
    <w:p w14:paraId="26CD4D8D">
      <w:pPr>
        <w:pStyle w:val="3"/>
        <w:spacing w:line="400" w:lineRule="exact"/>
        <w:ind w:firstLine="482" w:firstLineChars="200"/>
        <w:rPr>
          <w:rFonts w:hint="eastAsia"/>
          <w:b/>
          <w:kern w:val="2"/>
          <w:sz w:val="24"/>
          <w:szCs w:val="24"/>
        </w:rPr>
      </w:pPr>
      <w:r>
        <w:rPr>
          <w:rFonts w:hint="eastAsia"/>
          <w:b/>
          <w:kern w:val="2"/>
          <w:sz w:val="24"/>
          <w:szCs w:val="24"/>
        </w:rPr>
        <w:t>1、从业人员、营业收入、资产总额填报上一年度数据，无上一年度数据的新成立企业可不填报。</w:t>
      </w:r>
    </w:p>
    <w:p w14:paraId="752B64CB">
      <w:pPr>
        <w:pStyle w:val="3"/>
        <w:spacing w:line="400" w:lineRule="exact"/>
        <w:ind w:firstLine="482" w:firstLineChars="200"/>
        <w:rPr>
          <w:rFonts w:hint="eastAsia"/>
          <w:b/>
          <w:kern w:val="2"/>
          <w:sz w:val="24"/>
          <w:szCs w:val="24"/>
        </w:rPr>
      </w:pPr>
      <w:r>
        <w:rPr>
          <w:rFonts w:hint="eastAsia"/>
          <w:b/>
          <w:kern w:val="2"/>
          <w:sz w:val="24"/>
          <w:szCs w:val="24"/>
        </w:rPr>
        <w:t>2、如供应商未按要求填写上述内容，则不享受</w:t>
      </w:r>
      <w:r>
        <w:rPr>
          <w:rFonts w:hint="eastAsia"/>
          <w:b/>
          <w:bCs/>
          <w:kern w:val="2"/>
          <w:sz w:val="24"/>
          <w:szCs w:val="24"/>
        </w:rPr>
        <w:t>中小企业扶持政策</w:t>
      </w:r>
      <w:r>
        <w:rPr>
          <w:rFonts w:hint="eastAsia"/>
          <w:b/>
          <w:kern w:val="2"/>
          <w:sz w:val="24"/>
          <w:szCs w:val="24"/>
        </w:rPr>
        <w:t>。</w:t>
      </w:r>
    </w:p>
    <w:p w14:paraId="424EC3F3">
      <w:pPr>
        <w:pStyle w:val="3"/>
        <w:spacing w:line="400" w:lineRule="exact"/>
        <w:ind w:firstLine="482" w:firstLineChars="200"/>
        <w:rPr>
          <w:rFonts w:hint="eastAsia"/>
          <w:b/>
          <w:kern w:val="2"/>
          <w:sz w:val="24"/>
          <w:szCs w:val="24"/>
        </w:rPr>
      </w:pPr>
      <w:r>
        <w:rPr>
          <w:rFonts w:hint="eastAsia"/>
          <w:b/>
          <w:kern w:val="2"/>
          <w:sz w:val="24"/>
          <w:szCs w:val="24"/>
        </w:rPr>
        <w:t>3、若供应商提供的声明函内容不实，属于提供虚假材料谋取入围，依照《中华人民共和国政府采购法》等国家有关规定追究相应责任。请供应商详细阅读供应商须知前附表中关于中小企业声明的要求，谨慎声明。</w:t>
      </w:r>
    </w:p>
    <w:p w14:paraId="46C0CAF7">
      <w:pPr>
        <w:pStyle w:val="3"/>
        <w:spacing w:line="400" w:lineRule="exact"/>
        <w:ind w:firstLine="482" w:firstLineChars="200"/>
        <w:rPr>
          <w:rFonts w:hint="eastAsia"/>
          <w:b/>
          <w:kern w:val="2"/>
          <w:sz w:val="24"/>
          <w:szCs w:val="24"/>
        </w:rPr>
      </w:pPr>
      <w:r>
        <w:rPr>
          <w:rFonts w:hint="eastAsia"/>
          <w:b/>
          <w:kern w:val="2"/>
          <w:sz w:val="24"/>
          <w:szCs w:val="24"/>
        </w:rPr>
        <w:t>4、供应商在“采购文件中明确的所属行业”一栏中填写所属行业，所属行业详见“第五章  采购内容及总体要求”。</w:t>
      </w:r>
      <w:r>
        <w:rPr>
          <w:rFonts w:hint="eastAsia"/>
          <w:b/>
          <w:kern w:val="2"/>
          <w:sz w:val="24"/>
          <w:szCs w:val="24"/>
          <w:highlight w:val="yellow"/>
        </w:rPr>
        <w:t>采购文件中明确的所属行业标的品目，需在中小企业声明函中列出；所属行业标注为“/”的标的品目，无需在中小企业声明函中列出。</w:t>
      </w:r>
    </w:p>
    <w:p w14:paraId="34CD3D2E">
      <w:pPr>
        <w:pStyle w:val="3"/>
        <w:spacing w:line="400" w:lineRule="exact"/>
        <w:ind w:firstLine="482" w:firstLineChars="200"/>
        <w:rPr>
          <w:rFonts w:hint="eastAsia"/>
        </w:rPr>
      </w:pPr>
      <w:r>
        <w:rPr>
          <w:rFonts w:hint="eastAsia"/>
          <w:b/>
          <w:kern w:val="2"/>
          <w:sz w:val="24"/>
          <w:szCs w:val="24"/>
        </w:rPr>
        <w:t>5、供应商在“中型企业、小型企业、微型企业”一栏中只需填写其中一种类型。</w:t>
      </w:r>
    </w:p>
    <w:p w14:paraId="2B0A0B26">
      <w:pPr>
        <w:ind w:firstLine="482" w:firstLineChars="200"/>
        <w:rPr>
          <w:rFonts w:hint="eastAsia" w:ascii="宋体" w:hAnsi="宋体" w:eastAsia="宋体" w:cs="Times New Roman"/>
          <w:b/>
          <w:color w:val="FF0000"/>
          <w:kern w:val="2"/>
          <w:sz w:val="24"/>
          <w:szCs w:val="24"/>
          <w:highlight w:val="yellow"/>
          <w:lang w:val="en-US" w:eastAsia="zh-CN" w:bidi="ar-SA"/>
        </w:rPr>
      </w:pPr>
      <w:r>
        <w:rPr>
          <w:rFonts w:hint="eastAsia" w:ascii="宋体" w:hAnsi="宋体" w:eastAsia="宋体" w:cs="Times New Roman"/>
          <w:b/>
          <w:color w:val="FF0000"/>
          <w:kern w:val="2"/>
          <w:sz w:val="24"/>
          <w:szCs w:val="24"/>
          <w:highlight w:val="yellow"/>
          <w:lang w:val="en-US" w:eastAsia="zh-CN" w:bidi="ar-SA"/>
        </w:rPr>
        <w:t>6、供应商应根据《政府采购促进中小企业发展管理办法》（财库﹝2020﹞46号）和《关于印发中小企业划型标准规定的通知》(工信部联企业〔2011〕300号)相关规定，如实填写中小企业声明函。如有虚假，将依法承担相应责任。供应商自行登录工业和信息化部官网进行中小企业规模类型自测（查询网址https://www.miit.gov.cn/）。</w:t>
      </w:r>
    </w:p>
    <w:p w14:paraId="0C336DAA">
      <w:pPr>
        <w:pStyle w:val="3"/>
        <w:ind w:firstLine="482" w:firstLineChars="200"/>
      </w:pPr>
      <w:r>
        <w:rPr>
          <w:rFonts w:hint="eastAsia" w:ascii="宋体" w:hAnsi="宋体" w:cs="Times New Roman"/>
          <w:b/>
          <w:color w:val="FF0000"/>
          <w:kern w:val="2"/>
          <w:sz w:val="24"/>
          <w:szCs w:val="24"/>
          <w:highlight w:val="yellow"/>
          <w:lang w:val="en-US" w:eastAsia="zh-CN" w:bidi="ar-SA"/>
        </w:rPr>
        <w:t>7</w:t>
      </w:r>
      <w:r>
        <w:rPr>
          <w:rFonts w:hint="eastAsia" w:ascii="宋体" w:hAnsi="宋体" w:eastAsia="宋体" w:cs="Times New Roman"/>
          <w:b/>
          <w:color w:val="FF0000"/>
          <w:kern w:val="2"/>
          <w:sz w:val="24"/>
          <w:szCs w:val="24"/>
          <w:highlight w:val="yellow"/>
          <w:lang w:val="en-US" w:eastAsia="zh-CN" w:bidi="ar-SA"/>
        </w:rPr>
        <w:t>.填写示例：某标的名称（填写第一章 采购需求中明确的“标的名称”），属于（填写第一章 采购需求中明确的“标的所属行业”，如软件和信息技术服务业）行业；承接企业为某企业，从业人员100人，营业收入为10000万元，资产总额为5000万元，属于中型企业[</w:t>
      </w:r>
      <w:r>
        <w:rPr>
          <w:rFonts w:hint="eastAsia" w:ascii="宋体" w:hAnsi="宋体" w:cs="Times New Roman"/>
          <w:b/>
          <w:color w:val="FF0000"/>
          <w:kern w:val="2"/>
          <w:sz w:val="24"/>
          <w:szCs w:val="24"/>
          <w:highlight w:val="yellow"/>
          <w:lang w:val="en-US" w:eastAsia="zh-CN" w:bidi="ar-SA"/>
        </w:rPr>
        <w:t>供应商</w:t>
      </w:r>
      <w:r>
        <w:rPr>
          <w:rFonts w:hint="eastAsia" w:ascii="宋体" w:hAnsi="宋体" w:eastAsia="宋体" w:cs="Times New Roman"/>
          <w:b/>
          <w:color w:val="FF0000"/>
          <w:kern w:val="2"/>
          <w:sz w:val="24"/>
          <w:szCs w:val="24"/>
          <w:highlight w:val="yellow"/>
          <w:lang w:val="en-US" w:eastAsia="zh-CN" w:bidi="ar-SA"/>
        </w:rPr>
        <w:t>自行登录工业和信息化部官网进行中小企业规模类型自测（查询网址https://www.miit.gov.cn/）查询]。</w:t>
      </w:r>
    </w:p>
    <w:p w14:paraId="624EE672">
      <w:pPr>
        <w:widowControl/>
        <w:jc w:val="left"/>
        <w:rPr>
          <w:b/>
          <w:sz w:val="24"/>
          <w:szCs w:val="24"/>
        </w:rPr>
        <w:sectPr>
          <w:pgSz w:w="11906" w:h="16838"/>
          <w:pgMar w:top="1440" w:right="1800" w:bottom="1440" w:left="1800" w:header="851" w:footer="992" w:gutter="0"/>
          <w:pgNumType w:fmt="decimal"/>
          <w:cols w:space="720" w:num="1"/>
          <w:docGrid w:type="lines" w:linePitch="312" w:charSpace="0"/>
        </w:sectPr>
      </w:pPr>
    </w:p>
    <w:p w14:paraId="66FC355F">
      <w:pPr>
        <w:pStyle w:val="23"/>
        <w:spacing w:line="280" w:lineRule="exact"/>
        <w:ind w:firstLine="0" w:firstLineChars="0"/>
        <w:jc w:val="center"/>
        <w:rPr>
          <w:rFonts w:hint="eastAsia" w:ascii="宋体" w:hAnsi="宋体" w:eastAsia="宋体"/>
          <w:b/>
          <w:color w:val="FF0000"/>
        </w:rPr>
      </w:pPr>
      <w:r>
        <w:rPr>
          <w:rFonts w:hint="eastAsia" w:ascii="宋体" w:hAnsi="宋体" w:eastAsia="宋体"/>
          <w:b/>
          <w:color w:val="FF0000"/>
        </w:rPr>
        <w:t>各行业划型标准</w:t>
      </w:r>
    </w:p>
    <w:p w14:paraId="5D2E4E95">
      <w:pPr>
        <w:pStyle w:val="23"/>
        <w:spacing w:line="280" w:lineRule="exact"/>
        <w:ind w:firstLine="390" w:firstLineChars="0"/>
        <w:rPr>
          <w:rFonts w:hint="eastAsia" w:ascii="宋体" w:hAnsi="宋体" w:eastAsia="宋体"/>
          <w:color w:val="FF0000"/>
        </w:rPr>
      </w:pPr>
      <w:r>
        <w:rPr>
          <w:rFonts w:hint="eastAsia" w:ascii="宋体" w:hAnsi="宋体" w:eastAsia="宋体"/>
          <w:color w:val="FF0000"/>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olor w:val="FF0000"/>
        </w:rPr>
        <w:br w:type="textWrapping"/>
      </w:r>
      <w:r>
        <w:rPr>
          <w:rFonts w:hint="eastAsia" w:ascii="宋体" w:hAnsi="宋体" w:eastAsia="宋体"/>
          <w:color w:val="FF0000"/>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olor w:val="FF0000"/>
        </w:rPr>
        <w:br w:type="textWrapping"/>
      </w:r>
      <w:r>
        <w:rPr>
          <w:rFonts w:hint="eastAsia" w:ascii="宋体" w:hAnsi="宋体" w:eastAsia="宋体"/>
          <w:color w:val="FF0000"/>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olor w:val="FF0000"/>
        </w:rPr>
        <w:br w:type="textWrapping"/>
      </w:r>
      <w:r>
        <w:rPr>
          <w:rFonts w:hint="eastAsia" w:ascii="宋体" w:hAnsi="宋体" w:eastAsia="宋体"/>
          <w:color w:val="FF0000"/>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olor w:val="FF0000"/>
        </w:rPr>
        <w:br w:type="textWrapping"/>
      </w:r>
      <w:r>
        <w:rPr>
          <w:rFonts w:hint="eastAsia" w:ascii="宋体" w:hAnsi="宋体" w:eastAsia="宋体"/>
          <w:color w:val="FF0000"/>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olor w:val="FF0000"/>
        </w:rPr>
        <w:br w:type="textWrapping"/>
      </w:r>
      <w:r>
        <w:rPr>
          <w:rFonts w:hint="eastAsia" w:ascii="宋体" w:hAnsi="宋体" w:eastAsia="宋体"/>
          <w:color w:val="FF0000"/>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olor w:val="FF0000"/>
        </w:rPr>
        <w:br w:type="textWrapping"/>
      </w:r>
      <w:r>
        <w:rPr>
          <w:rFonts w:hint="eastAsia" w:ascii="宋体" w:hAnsi="宋体" w:eastAsia="宋体"/>
          <w:color w:val="FF0000"/>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olor w:val="FF0000"/>
        </w:rPr>
        <w:br w:type="textWrapping"/>
      </w:r>
      <w:r>
        <w:rPr>
          <w:rFonts w:hint="eastAsia" w:ascii="宋体" w:hAnsi="宋体" w:eastAsia="宋体"/>
          <w:color w:val="FF0000"/>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olor w:val="FF0000"/>
        </w:rPr>
        <w:br w:type="textWrapping"/>
      </w:r>
      <w:r>
        <w:rPr>
          <w:rFonts w:hint="eastAsia" w:ascii="宋体" w:hAnsi="宋体" w:eastAsia="宋体"/>
          <w:color w:val="FF0000"/>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olor w:val="FF0000"/>
        </w:rPr>
        <w:br w:type="textWrapping"/>
      </w:r>
      <w:r>
        <w:rPr>
          <w:rFonts w:hint="eastAsia" w:ascii="宋体" w:hAnsi="宋体" w:eastAsia="宋体"/>
          <w:color w:val="FF0000"/>
        </w:rPr>
        <w:t xml:space="preserve">  （十六）其他未列明行业。从业人员300人以下的为中小微型企业。其中，从业人员100人及以上的为中型企业；从业人员10人及以上的为小型企业；从业人员10人以下的为微型企业。</w:t>
      </w:r>
    </w:p>
    <w:p w14:paraId="17275CB0">
      <w:pPr>
        <w:widowControl/>
        <w:jc w:val="left"/>
        <w:sectPr>
          <w:pgSz w:w="11906" w:h="16838"/>
          <w:pgMar w:top="1440" w:right="1800" w:bottom="1440" w:left="1800" w:header="851" w:footer="992" w:gutter="0"/>
          <w:pgNumType w:fmt="decimal"/>
          <w:cols w:space="720" w:num="1"/>
          <w:docGrid w:type="lines" w:linePitch="312" w:charSpace="0"/>
        </w:sectPr>
      </w:pPr>
    </w:p>
    <w:p w14:paraId="00C10B1E">
      <w:pPr>
        <w:spacing w:line="360" w:lineRule="auto"/>
        <w:jc w:val="center"/>
        <w:outlineLvl w:val="0"/>
        <w:rPr>
          <w:rFonts w:hint="eastAsia"/>
          <w:b/>
          <w:sz w:val="28"/>
          <w:szCs w:val="28"/>
        </w:rPr>
      </w:pPr>
      <w:bookmarkStart w:id="53" w:name="_Toc3347"/>
      <w:bookmarkEnd w:id="53"/>
      <w:r>
        <w:rPr>
          <w:rFonts w:hint="eastAsia"/>
          <w:b/>
          <w:sz w:val="28"/>
          <w:szCs w:val="28"/>
        </w:rPr>
        <w:t>四、无重大违法记录声明函、无不良信用记录声明函</w:t>
      </w:r>
    </w:p>
    <w:p w14:paraId="592B69D0">
      <w:pPr>
        <w:wordWrap w:val="0"/>
        <w:spacing w:line="360" w:lineRule="auto"/>
        <w:ind w:firstLine="437"/>
        <w:rPr>
          <w:rFonts w:hint="eastAsia"/>
          <w:sz w:val="24"/>
          <w:szCs w:val="24"/>
        </w:rPr>
      </w:pPr>
      <w:bookmarkStart w:id="54" w:name="_Hlk16464098"/>
      <w:bookmarkEnd w:id="54"/>
      <w:r>
        <w:rPr>
          <w:rFonts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A1F51A6">
      <w:pPr>
        <w:wordWrap w:val="0"/>
        <w:spacing w:line="360" w:lineRule="auto"/>
        <w:ind w:firstLine="437"/>
        <w:rPr>
          <w:rFonts w:hint="eastAsia"/>
          <w:sz w:val="24"/>
          <w:szCs w:val="24"/>
        </w:rPr>
      </w:pPr>
      <w:r>
        <w:rPr>
          <w:rFonts w:hint="eastAsia"/>
          <w:sz w:val="24"/>
          <w:szCs w:val="24"/>
        </w:rPr>
        <w:t>2.本单位郑重声明，我单位无以下不良信用记录情形：</w:t>
      </w:r>
    </w:p>
    <w:p w14:paraId="769F02F1">
      <w:pPr>
        <w:wordWrap w:val="0"/>
        <w:spacing w:line="360" w:lineRule="auto"/>
        <w:ind w:firstLine="437"/>
        <w:rPr>
          <w:rFonts w:hint="eastAsia"/>
          <w:sz w:val="24"/>
          <w:szCs w:val="24"/>
        </w:rPr>
      </w:pPr>
      <w:r>
        <w:rPr>
          <w:rFonts w:hint="eastAsia"/>
          <w:sz w:val="24"/>
          <w:szCs w:val="24"/>
        </w:rPr>
        <w:t>（1）被人民法院列入失信被执行人；</w:t>
      </w:r>
    </w:p>
    <w:p w14:paraId="0BF337A2">
      <w:pPr>
        <w:wordWrap w:val="0"/>
        <w:spacing w:line="360" w:lineRule="auto"/>
        <w:ind w:firstLine="437"/>
        <w:rPr>
          <w:rFonts w:hint="eastAsia"/>
          <w:sz w:val="24"/>
          <w:szCs w:val="24"/>
        </w:rPr>
      </w:pPr>
      <w:r>
        <w:rPr>
          <w:rFonts w:hint="eastAsia"/>
          <w:sz w:val="24"/>
          <w:szCs w:val="24"/>
        </w:rPr>
        <w:t>（2）单位、法定代表人或拟派项目经理（项目负责人）被人民检察院列入行贿犯罪档案；</w:t>
      </w:r>
    </w:p>
    <w:p w14:paraId="071C4962">
      <w:pPr>
        <w:wordWrap w:val="0"/>
        <w:spacing w:line="360" w:lineRule="auto"/>
        <w:ind w:firstLine="437"/>
        <w:rPr>
          <w:rFonts w:hint="eastAsia"/>
          <w:sz w:val="24"/>
          <w:szCs w:val="24"/>
        </w:rPr>
      </w:pPr>
      <w:r>
        <w:rPr>
          <w:rFonts w:hint="eastAsia"/>
          <w:sz w:val="24"/>
          <w:szCs w:val="24"/>
        </w:rPr>
        <w:t>（3）被工商行政管理部门列入企业经营异常名录；</w:t>
      </w:r>
    </w:p>
    <w:p w14:paraId="44BF8312">
      <w:pPr>
        <w:wordWrap w:val="0"/>
        <w:spacing w:line="360" w:lineRule="auto"/>
        <w:ind w:firstLine="437"/>
        <w:rPr>
          <w:rFonts w:hint="eastAsia"/>
          <w:sz w:val="24"/>
          <w:szCs w:val="24"/>
        </w:rPr>
      </w:pPr>
      <w:r>
        <w:rPr>
          <w:rFonts w:hint="eastAsia"/>
          <w:sz w:val="24"/>
          <w:szCs w:val="24"/>
        </w:rPr>
        <w:t>（4）被税务部门列入重大税收违法案件当事人名单；</w:t>
      </w:r>
    </w:p>
    <w:p w14:paraId="038D1357">
      <w:pPr>
        <w:wordWrap w:val="0"/>
        <w:spacing w:line="360" w:lineRule="auto"/>
        <w:ind w:firstLine="437"/>
        <w:rPr>
          <w:rFonts w:hint="eastAsia"/>
          <w:sz w:val="24"/>
          <w:szCs w:val="24"/>
        </w:rPr>
      </w:pPr>
      <w:r>
        <w:rPr>
          <w:rFonts w:hint="eastAsia"/>
          <w:sz w:val="24"/>
          <w:szCs w:val="24"/>
        </w:rPr>
        <w:t>（5）被政府采购监管部门列入政府采购严重违法失信行为记录名单。</w:t>
      </w:r>
    </w:p>
    <w:p w14:paraId="0B0B833D">
      <w:pPr>
        <w:wordWrap w:val="0"/>
        <w:spacing w:line="360" w:lineRule="auto"/>
        <w:ind w:firstLine="437"/>
        <w:rPr>
          <w:rFonts w:hint="eastAsia"/>
          <w:sz w:val="24"/>
          <w:szCs w:val="24"/>
        </w:rPr>
      </w:pPr>
      <w:r>
        <w:rPr>
          <w:rFonts w:hint="eastAsia"/>
          <w:sz w:val="24"/>
          <w:szCs w:val="24"/>
        </w:rPr>
        <w:t>本单位对上述声明的真实性负责。如有虚假，将依法承担相应责任。</w:t>
      </w:r>
    </w:p>
    <w:p w14:paraId="528637C1">
      <w:pPr>
        <w:wordWrap w:val="0"/>
        <w:spacing w:line="360" w:lineRule="auto"/>
        <w:ind w:firstLine="437"/>
        <w:rPr>
          <w:rFonts w:hint="eastAsia"/>
          <w:sz w:val="24"/>
          <w:szCs w:val="24"/>
        </w:rPr>
      </w:pPr>
      <w:r>
        <w:rPr>
          <w:rFonts w:hint="eastAsia"/>
          <w:sz w:val="24"/>
          <w:szCs w:val="24"/>
        </w:rPr>
        <w:t>3.经我单位自行查询中国政府采购网（www.ccgp.gov.cn）、“信用中国”网站（www.creditchina.gov.cn）、国家企业信用信息公示系统（www.gsxt.gov.cn），我单位承诺不存在不良信用记录。</w:t>
      </w:r>
    </w:p>
    <w:p w14:paraId="670ABD7A">
      <w:pPr>
        <w:spacing w:line="360" w:lineRule="auto"/>
        <w:rPr>
          <w:rFonts w:hint="eastAsia"/>
          <w:sz w:val="24"/>
          <w:szCs w:val="24"/>
        </w:rPr>
      </w:pPr>
      <w:r>
        <w:rPr>
          <w:rFonts w:hint="eastAsia"/>
          <w:sz w:val="24"/>
          <w:szCs w:val="24"/>
        </w:rPr>
        <w:t xml:space="preserve"> </w:t>
      </w:r>
    </w:p>
    <w:p w14:paraId="25C4E9F8">
      <w:pPr>
        <w:spacing w:line="360" w:lineRule="auto"/>
        <w:rPr>
          <w:rFonts w:hint="eastAsia"/>
          <w:sz w:val="24"/>
          <w:szCs w:val="24"/>
        </w:rPr>
      </w:pPr>
      <w:r>
        <w:rPr>
          <w:rFonts w:hint="eastAsia"/>
          <w:sz w:val="24"/>
          <w:szCs w:val="24"/>
        </w:rPr>
        <w:t>供应商公章或电子签章：</w:t>
      </w:r>
    </w:p>
    <w:p w14:paraId="30FA4BDA">
      <w:pPr>
        <w:tabs>
          <w:tab w:val="left" w:pos="630"/>
        </w:tabs>
        <w:spacing w:line="360" w:lineRule="auto"/>
        <w:rPr>
          <w:rFonts w:hint="eastAsia"/>
          <w:sz w:val="24"/>
          <w:szCs w:val="24"/>
        </w:rPr>
      </w:pPr>
      <w:r>
        <w:rPr>
          <w:rFonts w:hint="eastAsia"/>
          <w:sz w:val="24"/>
          <w:szCs w:val="24"/>
        </w:rPr>
        <w:t xml:space="preserve"> </w:t>
      </w:r>
    </w:p>
    <w:p w14:paraId="379C4647">
      <w:pPr>
        <w:tabs>
          <w:tab w:val="left" w:pos="630"/>
        </w:tabs>
        <w:spacing w:line="360" w:lineRule="auto"/>
        <w:rPr>
          <w:rFonts w:hint="eastAsia"/>
          <w:sz w:val="24"/>
          <w:szCs w:val="24"/>
        </w:rPr>
      </w:pPr>
      <w:r>
        <w:rPr>
          <w:rFonts w:hint="eastAsia"/>
          <w:sz w:val="24"/>
          <w:szCs w:val="24"/>
        </w:rPr>
        <w:br w:type="page"/>
      </w:r>
    </w:p>
    <w:p w14:paraId="1B969C7B">
      <w:pPr>
        <w:spacing w:line="360" w:lineRule="auto"/>
        <w:jc w:val="center"/>
        <w:outlineLvl w:val="0"/>
        <w:rPr>
          <w:rFonts w:hint="eastAsia"/>
          <w:b/>
          <w:sz w:val="28"/>
          <w:szCs w:val="28"/>
        </w:rPr>
      </w:pPr>
      <w:bookmarkStart w:id="55" w:name="_Toc23286"/>
      <w:bookmarkEnd w:id="55"/>
      <w:bookmarkStart w:id="56" w:name="_Toc2546"/>
      <w:bookmarkEnd w:id="56"/>
      <w:bookmarkStart w:id="57" w:name="_Toc20524"/>
      <w:bookmarkEnd w:id="57"/>
      <w:bookmarkStart w:id="58" w:name="_Toc25582"/>
      <w:bookmarkEnd w:id="58"/>
      <w:bookmarkStart w:id="59" w:name="_Hlk11531103"/>
      <w:bookmarkEnd w:id="59"/>
      <w:bookmarkStart w:id="60" w:name="_Toc9146"/>
      <w:bookmarkEnd w:id="60"/>
      <w:bookmarkStart w:id="61" w:name="_Toc1590"/>
      <w:r>
        <w:rPr>
          <w:rFonts w:hint="eastAsia"/>
          <w:b/>
          <w:sz w:val="28"/>
          <w:szCs w:val="28"/>
        </w:rPr>
        <w:t>五</w:t>
      </w:r>
      <w:bookmarkEnd w:id="61"/>
      <w:r>
        <w:rPr>
          <w:rFonts w:hint="eastAsia"/>
          <w:b/>
          <w:sz w:val="28"/>
          <w:szCs w:val="28"/>
        </w:rPr>
        <w:t>、</w:t>
      </w:r>
      <w:bookmarkStart w:id="62" w:name="_Toc20406"/>
      <w:bookmarkEnd w:id="62"/>
      <w:bookmarkStart w:id="63" w:name="_Toc17776"/>
      <w:bookmarkEnd w:id="63"/>
      <w:bookmarkStart w:id="64" w:name="_Toc6331"/>
      <w:bookmarkEnd w:id="64"/>
      <w:r>
        <w:rPr>
          <w:rFonts w:hint="eastAsia"/>
          <w:b/>
          <w:sz w:val="28"/>
          <w:szCs w:val="28"/>
        </w:rPr>
        <w:t>响应函</w:t>
      </w:r>
    </w:p>
    <w:p w14:paraId="2CA11331">
      <w:pPr>
        <w:pStyle w:val="7"/>
        <w:spacing w:line="360" w:lineRule="auto"/>
        <w:rPr>
          <w:rFonts w:hint="eastAsia" w:ascii="宋体" w:hAnsi="宋体" w:eastAsia="宋体"/>
          <w:sz w:val="24"/>
          <w:szCs w:val="24"/>
          <w:u w:val="single"/>
          <w:lang w:eastAsia="zh-CN"/>
        </w:rPr>
      </w:pPr>
      <w:r>
        <w:rPr>
          <w:rFonts w:hint="eastAsia" w:ascii="宋体" w:hAnsi="宋体"/>
          <w:sz w:val="24"/>
          <w:szCs w:val="24"/>
        </w:rPr>
        <w:t>致：</w:t>
      </w:r>
      <w:r>
        <w:rPr>
          <w:rFonts w:hint="eastAsia" w:ascii="宋体" w:hAnsi="宋体"/>
          <w:sz w:val="24"/>
          <w:szCs w:val="24"/>
          <w:u w:val="single"/>
          <w:lang w:eastAsia="zh-CN"/>
        </w:rPr>
        <w:t>马鞍山市机关事务管理中心</w:t>
      </w:r>
    </w:p>
    <w:p w14:paraId="07EFF242">
      <w:pPr>
        <w:spacing w:line="360" w:lineRule="auto"/>
        <w:ind w:firstLine="435"/>
        <w:rPr>
          <w:rFonts w:hint="eastAsia"/>
          <w:sz w:val="24"/>
          <w:szCs w:val="24"/>
        </w:rPr>
      </w:pPr>
      <w:r>
        <w:rPr>
          <w:rFonts w:hint="eastAsia"/>
          <w:sz w:val="24"/>
          <w:szCs w:val="24"/>
        </w:rPr>
        <w:t>根据贵方的征集公告和征集邀请，我方兹宣布同意如下：</w:t>
      </w:r>
    </w:p>
    <w:p w14:paraId="6CD3D442">
      <w:pPr>
        <w:spacing w:line="360" w:lineRule="auto"/>
        <w:ind w:firstLine="480" w:firstLineChars="200"/>
        <w:rPr>
          <w:rFonts w:hint="eastAsia"/>
          <w:sz w:val="24"/>
          <w:szCs w:val="24"/>
        </w:rPr>
      </w:pPr>
      <w:r>
        <w:rPr>
          <w:rFonts w:hint="eastAsia"/>
          <w:sz w:val="24"/>
          <w:szCs w:val="24"/>
        </w:rPr>
        <w:t>1、按征集文件规定提供服务的最终投标报价见开标一览表，如我方入围，我方承诺愿意按征集文件规定缴纳履约保证金和采购代理服务费。</w:t>
      </w:r>
    </w:p>
    <w:p w14:paraId="72BD28DB">
      <w:pPr>
        <w:spacing w:line="360" w:lineRule="auto"/>
        <w:ind w:firstLine="480" w:firstLineChars="200"/>
        <w:rPr>
          <w:rFonts w:hint="eastAsia"/>
          <w:sz w:val="24"/>
          <w:szCs w:val="24"/>
        </w:rPr>
      </w:pPr>
      <w:r>
        <w:rPr>
          <w:rFonts w:hint="eastAsia"/>
          <w:sz w:val="24"/>
          <w:szCs w:val="24"/>
        </w:rPr>
        <w:t xml:space="preserve">2、我方根据征集文件的规定，严格履行合同的责任和义务,并保证于采购人要求的日期内完成服务，并通过采购人验收。 </w:t>
      </w:r>
    </w:p>
    <w:p w14:paraId="0C2D4E47">
      <w:pPr>
        <w:spacing w:line="360" w:lineRule="auto"/>
        <w:ind w:firstLine="480" w:firstLineChars="200"/>
        <w:rPr>
          <w:rFonts w:hint="eastAsia"/>
          <w:sz w:val="24"/>
          <w:szCs w:val="24"/>
        </w:rPr>
      </w:pPr>
      <w:r>
        <w:rPr>
          <w:rFonts w:hint="eastAsia"/>
          <w:sz w:val="24"/>
          <w:szCs w:val="24"/>
        </w:rPr>
        <w:t>3、我方承诺报价低于同类货物和服务的市场平均价格。</w:t>
      </w:r>
    </w:p>
    <w:p w14:paraId="5D75F673">
      <w:pPr>
        <w:spacing w:line="360" w:lineRule="auto"/>
        <w:ind w:firstLine="480" w:firstLineChars="200"/>
        <w:rPr>
          <w:rFonts w:hint="eastAsia"/>
          <w:sz w:val="24"/>
          <w:szCs w:val="24"/>
        </w:rPr>
      </w:pPr>
      <w:r>
        <w:rPr>
          <w:rFonts w:hint="eastAsia"/>
          <w:sz w:val="24"/>
          <w:szCs w:val="24"/>
        </w:rPr>
        <w:t xml:space="preserve">4、我方同意从征集文件规定的开标日期起遵循本征集文件，并在征集文件规定的投标有效期之前均具有约束力。 </w:t>
      </w:r>
    </w:p>
    <w:p w14:paraId="66195152">
      <w:pPr>
        <w:spacing w:line="360" w:lineRule="auto"/>
        <w:ind w:firstLine="480" w:firstLineChars="200"/>
        <w:rPr>
          <w:rFonts w:hint="eastAsia"/>
          <w:sz w:val="24"/>
          <w:szCs w:val="24"/>
        </w:rPr>
      </w:pPr>
      <w:r>
        <w:rPr>
          <w:rFonts w:hint="eastAsia"/>
          <w:sz w:val="24"/>
          <w:szCs w:val="24"/>
        </w:rPr>
        <w:t xml:space="preserve">5、我方声明响应文件所提供的一切资料均真实无误、及时、有效，企业运营正常。由于我方提供资料不实而造成的责任和后果由我方承担。我方同意按照贵方提出的要求，提供与投标有关的任何证据、数据或资料。 </w:t>
      </w:r>
    </w:p>
    <w:p w14:paraId="10BD0AFE">
      <w:pPr>
        <w:spacing w:line="360" w:lineRule="auto"/>
        <w:ind w:firstLine="480" w:firstLineChars="200"/>
        <w:rPr>
          <w:rFonts w:hint="eastAsia"/>
          <w:sz w:val="24"/>
          <w:szCs w:val="24"/>
        </w:rPr>
      </w:pPr>
      <w:r>
        <w:rPr>
          <w:rFonts w:hint="eastAsia"/>
          <w:sz w:val="24"/>
          <w:szCs w:val="24"/>
        </w:rPr>
        <w:t xml:space="preserve">6、我方完全理解贵方不一定接受最低报价的投标。 </w:t>
      </w:r>
    </w:p>
    <w:p w14:paraId="167911C4">
      <w:pPr>
        <w:spacing w:line="360" w:lineRule="auto"/>
        <w:ind w:firstLine="480" w:firstLineChars="200"/>
        <w:rPr>
          <w:rFonts w:hint="eastAsia"/>
          <w:sz w:val="24"/>
          <w:szCs w:val="24"/>
        </w:rPr>
      </w:pPr>
      <w:r>
        <w:rPr>
          <w:rFonts w:hint="eastAsia"/>
          <w:sz w:val="24"/>
          <w:szCs w:val="24"/>
        </w:rPr>
        <w:t>7、我方接受征集文件规定的付款方式要求。</w:t>
      </w:r>
    </w:p>
    <w:p w14:paraId="6552ACC2">
      <w:pPr>
        <w:spacing w:line="360" w:lineRule="auto"/>
        <w:ind w:firstLine="480" w:firstLineChars="200"/>
        <w:rPr>
          <w:rFonts w:hint="eastAsia"/>
          <w:sz w:val="24"/>
          <w:szCs w:val="24"/>
        </w:rPr>
      </w:pPr>
      <w:r>
        <w:rPr>
          <w:rFonts w:hint="eastAsia"/>
          <w:sz w:val="24"/>
          <w:szCs w:val="24"/>
        </w:rPr>
        <w:t>8、我方承诺我方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0D6E7988">
      <w:pPr>
        <w:spacing w:line="360" w:lineRule="auto"/>
        <w:ind w:firstLine="480" w:firstLineChars="200"/>
        <w:rPr>
          <w:rFonts w:hint="eastAsia"/>
          <w:sz w:val="24"/>
          <w:szCs w:val="24"/>
        </w:rPr>
      </w:pPr>
      <w:r>
        <w:rPr>
          <w:rFonts w:hint="eastAsia"/>
          <w:sz w:val="24"/>
          <w:szCs w:val="24"/>
        </w:rPr>
        <w:t>9、我方承诺我方或我方法定代表人或我方配备项目经理（项目负责人）未被人民检察院列入行贿犯罪档案。</w:t>
      </w:r>
    </w:p>
    <w:p w14:paraId="597A1182">
      <w:pPr>
        <w:spacing w:line="360" w:lineRule="auto"/>
        <w:ind w:firstLine="480" w:firstLineChars="200"/>
        <w:jc w:val="right"/>
        <w:rPr>
          <w:rFonts w:hint="eastAsia"/>
          <w:color w:val="FF0000"/>
          <w:sz w:val="24"/>
          <w:szCs w:val="24"/>
        </w:rPr>
      </w:pPr>
      <w:r>
        <w:rPr>
          <w:rFonts w:hint="eastAsia"/>
          <w:color w:val="FF0000"/>
          <w:sz w:val="24"/>
          <w:szCs w:val="24"/>
        </w:rPr>
        <w:t>供应商（盖单位公章）：</w:t>
      </w:r>
    </w:p>
    <w:p w14:paraId="0930EE6A">
      <w:pPr>
        <w:widowControl/>
        <w:jc w:val="left"/>
        <w:rPr>
          <w:rFonts w:hint="eastAsia"/>
          <w:sz w:val="24"/>
          <w:szCs w:val="24"/>
        </w:rPr>
      </w:pPr>
      <w:r>
        <w:rPr>
          <w:rFonts w:hint="eastAsia"/>
          <w:sz w:val="24"/>
          <w:szCs w:val="24"/>
        </w:rPr>
        <w:br w:type="page"/>
      </w:r>
    </w:p>
    <w:p w14:paraId="5E4B1512">
      <w:pPr>
        <w:spacing w:line="360" w:lineRule="auto"/>
        <w:jc w:val="center"/>
        <w:outlineLvl w:val="0"/>
        <w:rPr>
          <w:rFonts w:hint="eastAsia"/>
          <w:b/>
          <w:sz w:val="24"/>
          <w:szCs w:val="24"/>
        </w:rPr>
      </w:pPr>
      <w:bookmarkStart w:id="65" w:name="_Toc3773"/>
      <w:bookmarkEnd w:id="65"/>
      <w:bookmarkStart w:id="66" w:name="_Toc18279"/>
      <w:bookmarkEnd w:id="66"/>
      <w:bookmarkStart w:id="67" w:name="_Hlk11701496"/>
      <w:bookmarkEnd w:id="67"/>
      <w:bookmarkStart w:id="68" w:name="_Toc6752"/>
      <w:bookmarkEnd w:id="68"/>
      <w:bookmarkStart w:id="69" w:name="_Toc13022"/>
      <w:bookmarkEnd w:id="69"/>
      <w:bookmarkStart w:id="70" w:name="_Toc300210382"/>
      <w:bookmarkEnd w:id="70"/>
      <w:bookmarkStart w:id="71" w:name="_Toc457768004"/>
      <w:bookmarkEnd w:id="71"/>
      <w:bookmarkStart w:id="72" w:name="_Toc520299348"/>
      <w:bookmarkEnd w:id="72"/>
      <w:bookmarkStart w:id="73" w:name="_Toc19564"/>
      <w:bookmarkEnd w:id="73"/>
      <w:bookmarkStart w:id="74" w:name="_Toc31242"/>
      <w:r>
        <w:rPr>
          <w:rFonts w:hint="eastAsia"/>
          <w:b/>
          <w:sz w:val="24"/>
          <w:szCs w:val="24"/>
        </w:rPr>
        <w:t>六</w:t>
      </w:r>
      <w:bookmarkEnd w:id="74"/>
      <w:r>
        <w:rPr>
          <w:rFonts w:hint="eastAsia"/>
          <w:b/>
          <w:sz w:val="24"/>
          <w:szCs w:val="24"/>
        </w:rPr>
        <w:t>、</w:t>
      </w:r>
      <w:bookmarkStart w:id="75" w:name="_Toc26837"/>
      <w:bookmarkEnd w:id="75"/>
      <w:bookmarkStart w:id="76" w:name="_Toc6713"/>
      <w:bookmarkEnd w:id="76"/>
      <w:bookmarkStart w:id="77" w:name="_Toc29029"/>
      <w:bookmarkEnd w:id="77"/>
      <w:r>
        <w:rPr>
          <w:rFonts w:hint="eastAsia"/>
          <w:b/>
          <w:sz w:val="24"/>
          <w:szCs w:val="24"/>
        </w:rPr>
        <w:t>其他相关证明材料</w:t>
      </w:r>
    </w:p>
    <w:p w14:paraId="1EE9D963">
      <w:pPr>
        <w:spacing w:line="360" w:lineRule="auto"/>
        <w:ind w:firstLine="435"/>
        <w:rPr>
          <w:rFonts w:hint="eastAsia"/>
          <w:sz w:val="24"/>
          <w:szCs w:val="24"/>
        </w:rPr>
      </w:pPr>
      <w:r>
        <w:rPr>
          <w:rFonts w:hint="eastAsia"/>
          <w:sz w:val="24"/>
          <w:szCs w:val="24"/>
        </w:rPr>
        <w:t>提供符合征集公告、采购需求及资格审查方法和标准规定的相关证明文件。</w:t>
      </w:r>
    </w:p>
    <w:p w14:paraId="1F2E88A8">
      <w:pPr>
        <w:spacing w:line="360" w:lineRule="auto"/>
        <w:ind w:firstLine="480" w:firstLineChars="200"/>
        <w:rPr>
          <w:rFonts w:hint="eastAsia"/>
          <w:sz w:val="24"/>
          <w:szCs w:val="24"/>
        </w:rPr>
      </w:pPr>
      <w:r>
        <w:rPr>
          <w:rFonts w:hint="eastAsia"/>
          <w:sz w:val="24"/>
          <w:szCs w:val="24"/>
        </w:rPr>
        <w:t xml:space="preserve"> </w:t>
      </w:r>
    </w:p>
    <w:p w14:paraId="01A2E1BC">
      <w:pPr>
        <w:spacing w:line="360" w:lineRule="auto"/>
        <w:ind w:firstLine="435"/>
        <w:rPr>
          <w:rFonts w:hint="eastAsia"/>
          <w:b/>
          <w:sz w:val="24"/>
          <w:szCs w:val="24"/>
        </w:rPr>
      </w:pPr>
      <w:r>
        <w:rPr>
          <w:rFonts w:hint="eastAsia"/>
          <w:b/>
          <w:sz w:val="24"/>
          <w:szCs w:val="24"/>
        </w:rPr>
        <w:t>特别提示：</w:t>
      </w:r>
    </w:p>
    <w:p w14:paraId="343E7138">
      <w:pPr>
        <w:spacing w:line="360" w:lineRule="auto"/>
        <w:ind w:firstLine="435"/>
        <w:rPr>
          <w:rFonts w:hint="eastAsia"/>
          <w:sz w:val="24"/>
          <w:szCs w:val="24"/>
        </w:rPr>
      </w:pPr>
      <w:r>
        <w:rPr>
          <w:rFonts w:hint="eastAsia"/>
          <w:sz w:val="24"/>
          <w:szCs w:val="24"/>
        </w:rPr>
        <w:t>供应商在申请文件制作时可在此章节内上传要求上传的证明资料及承诺等。</w:t>
      </w:r>
    </w:p>
    <w:p w14:paraId="0E20B3D6">
      <w:pPr>
        <w:spacing w:line="360" w:lineRule="auto"/>
        <w:rPr>
          <w:rFonts w:hint="eastAsia"/>
          <w:sz w:val="24"/>
          <w:szCs w:val="24"/>
        </w:rPr>
      </w:pPr>
      <w:r>
        <w:rPr>
          <w:rFonts w:hint="eastAsia"/>
          <w:sz w:val="24"/>
          <w:szCs w:val="24"/>
        </w:rPr>
        <w:t xml:space="preserve"> </w:t>
      </w:r>
    </w:p>
    <w:p w14:paraId="0914F96F">
      <w:pPr>
        <w:rPr>
          <w:rFonts w:hint="eastAsia"/>
          <w:bCs/>
          <w:sz w:val="24"/>
          <w:szCs w:val="24"/>
        </w:rPr>
      </w:pPr>
      <w:r>
        <w:rPr>
          <w:rFonts w:hint="eastAsia"/>
          <w:bCs/>
          <w:sz w:val="24"/>
          <w:szCs w:val="24"/>
        </w:rPr>
        <w:t xml:space="preserve"> </w:t>
      </w:r>
    </w:p>
    <w:p w14:paraId="656CCF49">
      <w:pPr>
        <w:rPr>
          <w:rFonts w:hint="eastAsia"/>
        </w:rPr>
      </w:pPr>
      <w:r>
        <w:rPr>
          <w:rFonts w:hint="eastAsia"/>
        </w:rPr>
        <w:t xml:space="preserve"> </w:t>
      </w:r>
    </w:p>
    <w:p w14:paraId="30E0DF5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16F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5C87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5C87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0682">
    <w:pPr>
      <w:pStyle w:val="9"/>
      <w:jc w:val="center"/>
      <w:rPr>
        <w:rFonts w:asciiTheme="minorEastAsia" w:hAnsiTheme="minorEastAsia" w:eastAsiaTheme="minorEastAsia"/>
        <w:sz w:val="21"/>
        <w:szCs w:val="21"/>
      </w:rPr>
    </w:pPr>
    <w:r>
      <w:rPr>
        <w:rFonts w:asciiTheme="minorEastAsia" w:hAnsiTheme="minorEastAsia" w:eastAsiaTheme="minorEastAsia"/>
        <w:sz w:val="21"/>
        <w:szCs w:val="21"/>
      </w:rPr>
      <w:t>第</w:t>
    </w:r>
    <w:sdt>
      <w:sdtPr>
        <w:rPr>
          <w:rFonts w:asciiTheme="minorEastAsia" w:hAnsiTheme="minorEastAsia" w:eastAsiaTheme="minorEastAsia"/>
          <w:sz w:val="21"/>
          <w:szCs w:val="21"/>
        </w:rPr>
        <w:id w:val="-864518636"/>
      </w:sdtPr>
      <w:sdtEndPr>
        <w:rPr>
          <w:rFonts w:asciiTheme="minorEastAsia" w:hAnsiTheme="minorEastAsia" w:eastAsiaTheme="minorEastAsia"/>
          <w:sz w:val="21"/>
          <w:szCs w:val="21"/>
        </w:rPr>
      </w:sdtEndPr>
      <w:sdtContent>
        <w:sdt>
          <w:sdtPr>
            <w:rPr>
              <w:rFonts w:asciiTheme="minorEastAsia" w:hAnsiTheme="minorEastAsia" w:eastAsiaTheme="minorEastAsia"/>
              <w:sz w:val="21"/>
              <w:szCs w:val="21"/>
            </w:rPr>
            <w:id w:val="-1669238322"/>
          </w:sdtPr>
          <w:sdtEndPr>
            <w:rPr>
              <w:rFonts w:asciiTheme="minorEastAsia" w:hAnsiTheme="minorEastAsia" w:eastAsiaTheme="minorEastAsia"/>
              <w:sz w:val="21"/>
              <w:szCs w:val="21"/>
            </w:rPr>
          </w:sdtEndPr>
          <w:sdtContent>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17</w:t>
            </w:r>
            <w:r>
              <w:rPr>
                <w:rFonts w:asciiTheme="minorEastAsia" w:hAnsiTheme="minorEastAsia" w:eastAsiaTheme="minorEastAsia"/>
                <w:b/>
                <w:bCs/>
                <w:sz w:val="21"/>
                <w:szCs w:val="21"/>
              </w:rPr>
              <w:fldChar w:fldCharType="end"/>
            </w:r>
            <w:r>
              <w:rPr>
                <w:rFonts w:asciiTheme="minorEastAsia" w:hAnsiTheme="minorEastAsia" w:eastAsiaTheme="minorEastAsia"/>
                <w:sz w:val="21"/>
                <w:szCs w:val="21"/>
                <w:lang w:val="zh-CN"/>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19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17</w:t>
            </w:r>
            <w:r>
              <w:rPr>
                <w:rFonts w:asciiTheme="minorEastAsia" w:hAnsiTheme="minorEastAsia" w:eastAsiaTheme="minorEastAsia"/>
                <w:b/>
                <w:bCs/>
                <w:sz w:val="21"/>
                <w:szCs w:val="21"/>
              </w:rPr>
              <w:fldChar w:fldCharType="end"/>
            </w:r>
          </w:sdtContent>
        </w:sdt>
        <w:r>
          <w:rPr>
            <w:rFonts w:hint="eastAsia" w:asciiTheme="minorEastAsia" w:hAnsiTheme="minorEastAsia" w:eastAsiaTheme="minorEastAsia"/>
            <w:sz w:val="21"/>
            <w:szCs w:val="21"/>
          </w:rPr>
          <w:t xml:space="preserve"> 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6AAEE"/>
    <w:multiLevelType w:val="singleLevel"/>
    <w:tmpl w:val="CA26AAEE"/>
    <w:lvl w:ilvl="0" w:tentative="0">
      <w:start w:val="2"/>
      <w:numFmt w:val="chineseCounting"/>
      <w:suff w:val="nothing"/>
      <w:lvlText w:val="%1、"/>
      <w:lvlJc w:val="left"/>
      <w:rPr>
        <w:rFonts w:hint="eastAsia"/>
      </w:rPr>
    </w:lvl>
  </w:abstractNum>
  <w:abstractNum w:abstractNumId="1">
    <w:nsid w:val="25CE18C3"/>
    <w:multiLevelType w:val="multilevel"/>
    <w:tmpl w:val="25CE18C3"/>
    <w:lvl w:ilvl="0" w:tentative="0">
      <w:start w:val="7"/>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2B"/>
    <w:rsid w:val="00093D7C"/>
    <w:rsid w:val="000B6108"/>
    <w:rsid w:val="000E5368"/>
    <w:rsid w:val="001352D7"/>
    <w:rsid w:val="001453AD"/>
    <w:rsid w:val="00173C28"/>
    <w:rsid w:val="001A7291"/>
    <w:rsid w:val="001F5F68"/>
    <w:rsid w:val="002107FC"/>
    <w:rsid w:val="00260FB6"/>
    <w:rsid w:val="002B2B9F"/>
    <w:rsid w:val="003110A6"/>
    <w:rsid w:val="003C6F45"/>
    <w:rsid w:val="00424A84"/>
    <w:rsid w:val="00446F3C"/>
    <w:rsid w:val="00454A7C"/>
    <w:rsid w:val="004757E7"/>
    <w:rsid w:val="0048364C"/>
    <w:rsid w:val="00496DA9"/>
    <w:rsid w:val="004C2C00"/>
    <w:rsid w:val="004F7F04"/>
    <w:rsid w:val="00586FEC"/>
    <w:rsid w:val="005A09BC"/>
    <w:rsid w:val="005C3583"/>
    <w:rsid w:val="00613B03"/>
    <w:rsid w:val="006B6C41"/>
    <w:rsid w:val="006C3976"/>
    <w:rsid w:val="006E1AA6"/>
    <w:rsid w:val="007778AA"/>
    <w:rsid w:val="007A299E"/>
    <w:rsid w:val="007B70E8"/>
    <w:rsid w:val="007C4F0A"/>
    <w:rsid w:val="007D02C8"/>
    <w:rsid w:val="007F4A37"/>
    <w:rsid w:val="00850746"/>
    <w:rsid w:val="00852938"/>
    <w:rsid w:val="008B0A61"/>
    <w:rsid w:val="008D7FAA"/>
    <w:rsid w:val="008E396D"/>
    <w:rsid w:val="009250D3"/>
    <w:rsid w:val="00982FB6"/>
    <w:rsid w:val="009A4706"/>
    <w:rsid w:val="009E5A95"/>
    <w:rsid w:val="009F6691"/>
    <w:rsid w:val="00A209DE"/>
    <w:rsid w:val="00A40957"/>
    <w:rsid w:val="00A54DFA"/>
    <w:rsid w:val="00AC7522"/>
    <w:rsid w:val="00AD1F31"/>
    <w:rsid w:val="00AF21B3"/>
    <w:rsid w:val="00B52FC1"/>
    <w:rsid w:val="00B87A8B"/>
    <w:rsid w:val="00BA1632"/>
    <w:rsid w:val="00BC7CFD"/>
    <w:rsid w:val="00BE1FD4"/>
    <w:rsid w:val="00C14EEC"/>
    <w:rsid w:val="00C21797"/>
    <w:rsid w:val="00C66A0C"/>
    <w:rsid w:val="00CE4E87"/>
    <w:rsid w:val="00D96AA9"/>
    <w:rsid w:val="00DC4103"/>
    <w:rsid w:val="00E32D5A"/>
    <w:rsid w:val="00E52AB2"/>
    <w:rsid w:val="00E83D7F"/>
    <w:rsid w:val="00E914B6"/>
    <w:rsid w:val="00EA6B6C"/>
    <w:rsid w:val="00F50CDF"/>
    <w:rsid w:val="00F76E2B"/>
    <w:rsid w:val="00F77F40"/>
    <w:rsid w:val="00FB4547"/>
    <w:rsid w:val="00FD10A1"/>
    <w:rsid w:val="018067FB"/>
    <w:rsid w:val="01BB3CD7"/>
    <w:rsid w:val="020F642A"/>
    <w:rsid w:val="022B0E5C"/>
    <w:rsid w:val="022C6982"/>
    <w:rsid w:val="025A1553"/>
    <w:rsid w:val="025F28B4"/>
    <w:rsid w:val="026779BA"/>
    <w:rsid w:val="026825AB"/>
    <w:rsid w:val="02BE17A3"/>
    <w:rsid w:val="02C95F7F"/>
    <w:rsid w:val="02E84657"/>
    <w:rsid w:val="032D4760"/>
    <w:rsid w:val="035B12CD"/>
    <w:rsid w:val="03806F86"/>
    <w:rsid w:val="03BD5AE4"/>
    <w:rsid w:val="03D1333D"/>
    <w:rsid w:val="03D40ACD"/>
    <w:rsid w:val="04171A92"/>
    <w:rsid w:val="04714B20"/>
    <w:rsid w:val="047F0FEB"/>
    <w:rsid w:val="048900BC"/>
    <w:rsid w:val="04BA2023"/>
    <w:rsid w:val="04C410F4"/>
    <w:rsid w:val="051E6A56"/>
    <w:rsid w:val="052F4FBE"/>
    <w:rsid w:val="05526700"/>
    <w:rsid w:val="05810D93"/>
    <w:rsid w:val="05E27A84"/>
    <w:rsid w:val="05EE2789"/>
    <w:rsid w:val="061E4834"/>
    <w:rsid w:val="06217013"/>
    <w:rsid w:val="0664493D"/>
    <w:rsid w:val="06693D01"/>
    <w:rsid w:val="067508F8"/>
    <w:rsid w:val="06897EFF"/>
    <w:rsid w:val="06AA1D79"/>
    <w:rsid w:val="06EE06AA"/>
    <w:rsid w:val="070D0B30"/>
    <w:rsid w:val="077E1A2E"/>
    <w:rsid w:val="07D72EEC"/>
    <w:rsid w:val="07ED2710"/>
    <w:rsid w:val="080F2686"/>
    <w:rsid w:val="08AF5C17"/>
    <w:rsid w:val="08B84ACC"/>
    <w:rsid w:val="08DE695E"/>
    <w:rsid w:val="08FA50E4"/>
    <w:rsid w:val="08FA6E92"/>
    <w:rsid w:val="09336DE8"/>
    <w:rsid w:val="09491BC8"/>
    <w:rsid w:val="09776735"/>
    <w:rsid w:val="0978425B"/>
    <w:rsid w:val="09AB4631"/>
    <w:rsid w:val="09FB7366"/>
    <w:rsid w:val="0A075D0B"/>
    <w:rsid w:val="0A1931C5"/>
    <w:rsid w:val="0A2763AD"/>
    <w:rsid w:val="0A342878"/>
    <w:rsid w:val="0A354911"/>
    <w:rsid w:val="0A4D7496"/>
    <w:rsid w:val="0A6E612D"/>
    <w:rsid w:val="0B3568A8"/>
    <w:rsid w:val="0B550CF8"/>
    <w:rsid w:val="0B6D4DC3"/>
    <w:rsid w:val="0B725406"/>
    <w:rsid w:val="0B7A42BB"/>
    <w:rsid w:val="0B923CFA"/>
    <w:rsid w:val="0BC11EE9"/>
    <w:rsid w:val="0BCB0FBA"/>
    <w:rsid w:val="0C0F2856"/>
    <w:rsid w:val="0C1112F6"/>
    <w:rsid w:val="0C2A5CE1"/>
    <w:rsid w:val="0C9E058E"/>
    <w:rsid w:val="0CB64357"/>
    <w:rsid w:val="0CF34325"/>
    <w:rsid w:val="0D0711A1"/>
    <w:rsid w:val="0D224C0A"/>
    <w:rsid w:val="0D49663A"/>
    <w:rsid w:val="0D582026"/>
    <w:rsid w:val="0D6F28BC"/>
    <w:rsid w:val="0D8C6527"/>
    <w:rsid w:val="0DAD26D7"/>
    <w:rsid w:val="0DFA7935"/>
    <w:rsid w:val="0E2D7D0A"/>
    <w:rsid w:val="0E80608C"/>
    <w:rsid w:val="0E8A515C"/>
    <w:rsid w:val="0F274194"/>
    <w:rsid w:val="0F2A424A"/>
    <w:rsid w:val="0F766A26"/>
    <w:rsid w:val="0FAE07B6"/>
    <w:rsid w:val="0FBC1346"/>
    <w:rsid w:val="0FE50EF5"/>
    <w:rsid w:val="100B5E29"/>
    <w:rsid w:val="103510F8"/>
    <w:rsid w:val="10374E70"/>
    <w:rsid w:val="10487BC7"/>
    <w:rsid w:val="105772C0"/>
    <w:rsid w:val="10A5627E"/>
    <w:rsid w:val="112A47B8"/>
    <w:rsid w:val="116E48C1"/>
    <w:rsid w:val="11E16B53"/>
    <w:rsid w:val="120E7E53"/>
    <w:rsid w:val="12490E8B"/>
    <w:rsid w:val="12635AA8"/>
    <w:rsid w:val="12C879E9"/>
    <w:rsid w:val="12E82452"/>
    <w:rsid w:val="12F31522"/>
    <w:rsid w:val="134D0507"/>
    <w:rsid w:val="1356385F"/>
    <w:rsid w:val="138E4DA7"/>
    <w:rsid w:val="1399374C"/>
    <w:rsid w:val="13D008BF"/>
    <w:rsid w:val="13DF3855"/>
    <w:rsid w:val="141379A2"/>
    <w:rsid w:val="141B23B3"/>
    <w:rsid w:val="1461070D"/>
    <w:rsid w:val="14B7032D"/>
    <w:rsid w:val="14C64A14"/>
    <w:rsid w:val="14E629C1"/>
    <w:rsid w:val="14EA0703"/>
    <w:rsid w:val="15284D87"/>
    <w:rsid w:val="154716B1"/>
    <w:rsid w:val="15542020"/>
    <w:rsid w:val="15632263"/>
    <w:rsid w:val="157E0E4B"/>
    <w:rsid w:val="15C50828"/>
    <w:rsid w:val="16337E88"/>
    <w:rsid w:val="16481B85"/>
    <w:rsid w:val="16557DFE"/>
    <w:rsid w:val="16704C38"/>
    <w:rsid w:val="174C7453"/>
    <w:rsid w:val="17516A68"/>
    <w:rsid w:val="175E0F34"/>
    <w:rsid w:val="17797B1C"/>
    <w:rsid w:val="17984446"/>
    <w:rsid w:val="17A0154D"/>
    <w:rsid w:val="17A27073"/>
    <w:rsid w:val="17B22C3C"/>
    <w:rsid w:val="17B80644"/>
    <w:rsid w:val="17BE7C25"/>
    <w:rsid w:val="182C2DE0"/>
    <w:rsid w:val="182D7946"/>
    <w:rsid w:val="18351C95"/>
    <w:rsid w:val="184719C8"/>
    <w:rsid w:val="184A3267"/>
    <w:rsid w:val="186A2DD3"/>
    <w:rsid w:val="187D188E"/>
    <w:rsid w:val="18C80D5B"/>
    <w:rsid w:val="194B373A"/>
    <w:rsid w:val="19510D51"/>
    <w:rsid w:val="19520625"/>
    <w:rsid w:val="19924659"/>
    <w:rsid w:val="199B021E"/>
    <w:rsid w:val="19A30E80"/>
    <w:rsid w:val="19C41B53"/>
    <w:rsid w:val="19DE010A"/>
    <w:rsid w:val="1A077661"/>
    <w:rsid w:val="1A200723"/>
    <w:rsid w:val="1A516B2E"/>
    <w:rsid w:val="1A5328A6"/>
    <w:rsid w:val="1A7C004F"/>
    <w:rsid w:val="1A82318C"/>
    <w:rsid w:val="1AAE5D2F"/>
    <w:rsid w:val="1AD7117A"/>
    <w:rsid w:val="1AEE0821"/>
    <w:rsid w:val="1B0A429C"/>
    <w:rsid w:val="1BA23AE5"/>
    <w:rsid w:val="1BE063BC"/>
    <w:rsid w:val="1BEC6B0F"/>
    <w:rsid w:val="1C346708"/>
    <w:rsid w:val="1C8768B0"/>
    <w:rsid w:val="1CB11B06"/>
    <w:rsid w:val="1CB6536F"/>
    <w:rsid w:val="1D091942"/>
    <w:rsid w:val="1D0B56BA"/>
    <w:rsid w:val="1D3544E5"/>
    <w:rsid w:val="1D464944"/>
    <w:rsid w:val="1DB16262"/>
    <w:rsid w:val="1DC85359"/>
    <w:rsid w:val="1DDB32DF"/>
    <w:rsid w:val="1DE859FC"/>
    <w:rsid w:val="1EA23DFC"/>
    <w:rsid w:val="1EA731C1"/>
    <w:rsid w:val="1EE47F71"/>
    <w:rsid w:val="1EF1268E"/>
    <w:rsid w:val="1F061F30"/>
    <w:rsid w:val="1F10520A"/>
    <w:rsid w:val="1F282554"/>
    <w:rsid w:val="1F8B663F"/>
    <w:rsid w:val="1F8D23B7"/>
    <w:rsid w:val="1F9000F9"/>
    <w:rsid w:val="1FAA740D"/>
    <w:rsid w:val="1FBC2C9C"/>
    <w:rsid w:val="1FC3227C"/>
    <w:rsid w:val="1FDC50EC"/>
    <w:rsid w:val="1FDF2EE9"/>
    <w:rsid w:val="200D799B"/>
    <w:rsid w:val="204213F3"/>
    <w:rsid w:val="2042315B"/>
    <w:rsid w:val="20686980"/>
    <w:rsid w:val="206A3CCF"/>
    <w:rsid w:val="206C6470"/>
    <w:rsid w:val="207D242B"/>
    <w:rsid w:val="20983709"/>
    <w:rsid w:val="20A420AE"/>
    <w:rsid w:val="20D02EA3"/>
    <w:rsid w:val="21004E0A"/>
    <w:rsid w:val="21090163"/>
    <w:rsid w:val="213827F6"/>
    <w:rsid w:val="21423675"/>
    <w:rsid w:val="215D400B"/>
    <w:rsid w:val="21774677"/>
    <w:rsid w:val="219A0DBB"/>
    <w:rsid w:val="21D95D87"/>
    <w:rsid w:val="21DF0EC4"/>
    <w:rsid w:val="21F030D1"/>
    <w:rsid w:val="22993768"/>
    <w:rsid w:val="22A55C69"/>
    <w:rsid w:val="22B04FE0"/>
    <w:rsid w:val="23130E25"/>
    <w:rsid w:val="23775858"/>
    <w:rsid w:val="24051D68"/>
    <w:rsid w:val="24066BDB"/>
    <w:rsid w:val="240B2444"/>
    <w:rsid w:val="24351649"/>
    <w:rsid w:val="244D480A"/>
    <w:rsid w:val="244D65B8"/>
    <w:rsid w:val="24AA0DEA"/>
    <w:rsid w:val="24D10F97"/>
    <w:rsid w:val="24D12D46"/>
    <w:rsid w:val="252F26E8"/>
    <w:rsid w:val="25445C0D"/>
    <w:rsid w:val="25493224"/>
    <w:rsid w:val="256242E5"/>
    <w:rsid w:val="258E0C37"/>
    <w:rsid w:val="259049AF"/>
    <w:rsid w:val="25951FC5"/>
    <w:rsid w:val="25BA5ED0"/>
    <w:rsid w:val="260B04D9"/>
    <w:rsid w:val="26466C94"/>
    <w:rsid w:val="264B2FCC"/>
    <w:rsid w:val="264E03C6"/>
    <w:rsid w:val="269E759F"/>
    <w:rsid w:val="26DF7A5E"/>
    <w:rsid w:val="27167136"/>
    <w:rsid w:val="271D04C4"/>
    <w:rsid w:val="273D2914"/>
    <w:rsid w:val="277125BE"/>
    <w:rsid w:val="27A26C1B"/>
    <w:rsid w:val="27AC3BE5"/>
    <w:rsid w:val="27D36DD5"/>
    <w:rsid w:val="2818512F"/>
    <w:rsid w:val="28235F68"/>
    <w:rsid w:val="285C6DCA"/>
    <w:rsid w:val="28D63020"/>
    <w:rsid w:val="28F74D45"/>
    <w:rsid w:val="295F2681"/>
    <w:rsid w:val="299F78B6"/>
    <w:rsid w:val="29A924E3"/>
    <w:rsid w:val="29BA46F0"/>
    <w:rsid w:val="29E90B31"/>
    <w:rsid w:val="2A1D6A2D"/>
    <w:rsid w:val="2A41096D"/>
    <w:rsid w:val="2A5341FD"/>
    <w:rsid w:val="2A5A37DD"/>
    <w:rsid w:val="2A952A67"/>
    <w:rsid w:val="2A994FFC"/>
    <w:rsid w:val="2AA64C74"/>
    <w:rsid w:val="2AAF3B29"/>
    <w:rsid w:val="2AD01CF1"/>
    <w:rsid w:val="2AFE23BA"/>
    <w:rsid w:val="2B125E66"/>
    <w:rsid w:val="2B597F39"/>
    <w:rsid w:val="2BAC766F"/>
    <w:rsid w:val="2BFB76D0"/>
    <w:rsid w:val="2C121686"/>
    <w:rsid w:val="2C3B319A"/>
    <w:rsid w:val="2C464019"/>
    <w:rsid w:val="2C7A1F15"/>
    <w:rsid w:val="2CAD5E46"/>
    <w:rsid w:val="2CD07D87"/>
    <w:rsid w:val="2D482013"/>
    <w:rsid w:val="2D687FBF"/>
    <w:rsid w:val="2D7C1CBC"/>
    <w:rsid w:val="2DAA4A7C"/>
    <w:rsid w:val="2DBD030B"/>
    <w:rsid w:val="2E053A60"/>
    <w:rsid w:val="2E4B3B69"/>
    <w:rsid w:val="2E625356"/>
    <w:rsid w:val="2E6E3CFB"/>
    <w:rsid w:val="2EC76F67"/>
    <w:rsid w:val="2F087CAC"/>
    <w:rsid w:val="2F5C3B54"/>
    <w:rsid w:val="2F656EAC"/>
    <w:rsid w:val="2FA06136"/>
    <w:rsid w:val="2FC736C3"/>
    <w:rsid w:val="2FFC44A6"/>
    <w:rsid w:val="30032221"/>
    <w:rsid w:val="30085A89"/>
    <w:rsid w:val="303074BA"/>
    <w:rsid w:val="30AD0B0B"/>
    <w:rsid w:val="30B67627"/>
    <w:rsid w:val="30C419B0"/>
    <w:rsid w:val="30E42053"/>
    <w:rsid w:val="30ED53AB"/>
    <w:rsid w:val="31014425"/>
    <w:rsid w:val="31045AF3"/>
    <w:rsid w:val="317038E6"/>
    <w:rsid w:val="31E16592"/>
    <w:rsid w:val="31E22A36"/>
    <w:rsid w:val="31EC7411"/>
    <w:rsid w:val="320209E2"/>
    <w:rsid w:val="32140715"/>
    <w:rsid w:val="327F2033"/>
    <w:rsid w:val="32957AA8"/>
    <w:rsid w:val="32C64006"/>
    <w:rsid w:val="330B1B18"/>
    <w:rsid w:val="3316226B"/>
    <w:rsid w:val="33784CD4"/>
    <w:rsid w:val="33833DA5"/>
    <w:rsid w:val="33AA670F"/>
    <w:rsid w:val="34550428"/>
    <w:rsid w:val="34790D04"/>
    <w:rsid w:val="350E3B42"/>
    <w:rsid w:val="351729F7"/>
    <w:rsid w:val="35725E7F"/>
    <w:rsid w:val="35CF1523"/>
    <w:rsid w:val="35E0728C"/>
    <w:rsid w:val="35E51E9C"/>
    <w:rsid w:val="363E2205"/>
    <w:rsid w:val="365B6913"/>
    <w:rsid w:val="366854D4"/>
    <w:rsid w:val="36826596"/>
    <w:rsid w:val="368C2279"/>
    <w:rsid w:val="36D20800"/>
    <w:rsid w:val="36DE12F2"/>
    <w:rsid w:val="37353608"/>
    <w:rsid w:val="373E1CFE"/>
    <w:rsid w:val="374E2B08"/>
    <w:rsid w:val="375718D3"/>
    <w:rsid w:val="37672F62"/>
    <w:rsid w:val="379D21A9"/>
    <w:rsid w:val="386B4E07"/>
    <w:rsid w:val="38997BC6"/>
    <w:rsid w:val="389B56ED"/>
    <w:rsid w:val="38D13663"/>
    <w:rsid w:val="38F165F8"/>
    <w:rsid w:val="390141DB"/>
    <w:rsid w:val="390908A8"/>
    <w:rsid w:val="39113C01"/>
    <w:rsid w:val="39697599"/>
    <w:rsid w:val="396B1563"/>
    <w:rsid w:val="39C90037"/>
    <w:rsid w:val="39EB6200"/>
    <w:rsid w:val="3A184B1B"/>
    <w:rsid w:val="3A267238"/>
    <w:rsid w:val="3A777A93"/>
    <w:rsid w:val="3A816B64"/>
    <w:rsid w:val="3A881CA1"/>
    <w:rsid w:val="3B312338"/>
    <w:rsid w:val="3B4C2CCE"/>
    <w:rsid w:val="3B4E6A46"/>
    <w:rsid w:val="3BA1126C"/>
    <w:rsid w:val="3BE91E7F"/>
    <w:rsid w:val="3C530C88"/>
    <w:rsid w:val="3C7249B6"/>
    <w:rsid w:val="3C991F43"/>
    <w:rsid w:val="3C9E1C4F"/>
    <w:rsid w:val="3CC176EC"/>
    <w:rsid w:val="3D1E4B3E"/>
    <w:rsid w:val="3D22462E"/>
    <w:rsid w:val="3D2A703F"/>
    <w:rsid w:val="3D4F2F4A"/>
    <w:rsid w:val="3DB159B2"/>
    <w:rsid w:val="3DBB238D"/>
    <w:rsid w:val="3E1F0B6E"/>
    <w:rsid w:val="3E5541D1"/>
    <w:rsid w:val="3E5C591E"/>
    <w:rsid w:val="3E864749"/>
    <w:rsid w:val="3E8B6203"/>
    <w:rsid w:val="3E8F1850"/>
    <w:rsid w:val="3F1735F3"/>
    <w:rsid w:val="3F402B4A"/>
    <w:rsid w:val="3F516B05"/>
    <w:rsid w:val="3F9133A5"/>
    <w:rsid w:val="3F9F1F66"/>
    <w:rsid w:val="3FA255B3"/>
    <w:rsid w:val="3FD6525C"/>
    <w:rsid w:val="3FD87226"/>
    <w:rsid w:val="3FF83425"/>
    <w:rsid w:val="3FFC2448"/>
    <w:rsid w:val="40153FD6"/>
    <w:rsid w:val="406B009A"/>
    <w:rsid w:val="40956EC5"/>
    <w:rsid w:val="40FC5196"/>
    <w:rsid w:val="413466DE"/>
    <w:rsid w:val="41562AF9"/>
    <w:rsid w:val="41853789"/>
    <w:rsid w:val="42383FAC"/>
    <w:rsid w:val="42976F25"/>
    <w:rsid w:val="42E16B6F"/>
    <w:rsid w:val="43326C4D"/>
    <w:rsid w:val="43430E5B"/>
    <w:rsid w:val="43CA3C9D"/>
    <w:rsid w:val="43EA79AF"/>
    <w:rsid w:val="440A3726"/>
    <w:rsid w:val="441822E7"/>
    <w:rsid w:val="449776B0"/>
    <w:rsid w:val="44A10D67"/>
    <w:rsid w:val="45107462"/>
    <w:rsid w:val="452604DE"/>
    <w:rsid w:val="459736E0"/>
    <w:rsid w:val="45AD2A78"/>
    <w:rsid w:val="45D73ADC"/>
    <w:rsid w:val="46396545"/>
    <w:rsid w:val="464C44CA"/>
    <w:rsid w:val="465B64BB"/>
    <w:rsid w:val="46671304"/>
    <w:rsid w:val="4689127A"/>
    <w:rsid w:val="46CC73B9"/>
    <w:rsid w:val="46D6319D"/>
    <w:rsid w:val="46F030A7"/>
    <w:rsid w:val="47D96F10"/>
    <w:rsid w:val="480706A9"/>
    <w:rsid w:val="484C58AB"/>
    <w:rsid w:val="48757D08"/>
    <w:rsid w:val="487970CD"/>
    <w:rsid w:val="48B16866"/>
    <w:rsid w:val="48C93BB0"/>
    <w:rsid w:val="49755AE6"/>
    <w:rsid w:val="49971F00"/>
    <w:rsid w:val="49C16F7D"/>
    <w:rsid w:val="4A1470AD"/>
    <w:rsid w:val="4A1946C3"/>
    <w:rsid w:val="4A233794"/>
    <w:rsid w:val="4A484FA8"/>
    <w:rsid w:val="4A4A3635"/>
    <w:rsid w:val="4A4A6F73"/>
    <w:rsid w:val="4A5912DD"/>
    <w:rsid w:val="4A8A0D65"/>
    <w:rsid w:val="4A8E6E5F"/>
    <w:rsid w:val="4A9E2E1A"/>
    <w:rsid w:val="4AD66A58"/>
    <w:rsid w:val="4B076C12"/>
    <w:rsid w:val="4B1355B6"/>
    <w:rsid w:val="4B187071"/>
    <w:rsid w:val="4BA91A77"/>
    <w:rsid w:val="4BB46D99"/>
    <w:rsid w:val="4BD905AE"/>
    <w:rsid w:val="4BD9235C"/>
    <w:rsid w:val="4CB47586"/>
    <w:rsid w:val="4CB608EF"/>
    <w:rsid w:val="4CD62D3F"/>
    <w:rsid w:val="4DCB2178"/>
    <w:rsid w:val="4DE44FE8"/>
    <w:rsid w:val="4E2A50F1"/>
    <w:rsid w:val="4E8642F1"/>
    <w:rsid w:val="4EC92B5C"/>
    <w:rsid w:val="4EE80B08"/>
    <w:rsid w:val="4EF63225"/>
    <w:rsid w:val="4F7A5C04"/>
    <w:rsid w:val="4FBD3D43"/>
    <w:rsid w:val="509C604E"/>
    <w:rsid w:val="50C335DB"/>
    <w:rsid w:val="50C730CB"/>
    <w:rsid w:val="50F25C6E"/>
    <w:rsid w:val="515D3A2F"/>
    <w:rsid w:val="51F36B2D"/>
    <w:rsid w:val="521025D6"/>
    <w:rsid w:val="53513120"/>
    <w:rsid w:val="538E7ED0"/>
    <w:rsid w:val="53D8114B"/>
    <w:rsid w:val="54071A30"/>
    <w:rsid w:val="5429409D"/>
    <w:rsid w:val="54D67D81"/>
    <w:rsid w:val="54D933CD"/>
    <w:rsid w:val="55197C6D"/>
    <w:rsid w:val="55713605"/>
    <w:rsid w:val="558A46C7"/>
    <w:rsid w:val="55F61D5C"/>
    <w:rsid w:val="5608566A"/>
    <w:rsid w:val="56A25910"/>
    <w:rsid w:val="56D4209E"/>
    <w:rsid w:val="56DB78D0"/>
    <w:rsid w:val="56E61DD1"/>
    <w:rsid w:val="570566FB"/>
    <w:rsid w:val="572171C9"/>
    <w:rsid w:val="57405985"/>
    <w:rsid w:val="57782E02"/>
    <w:rsid w:val="57CA34A1"/>
    <w:rsid w:val="58896EB8"/>
    <w:rsid w:val="58C12AF6"/>
    <w:rsid w:val="590824D3"/>
    <w:rsid w:val="59284923"/>
    <w:rsid w:val="594F3C5E"/>
    <w:rsid w:val="596F4300"/>
    <w:rsid w:val="59747B68"/>
    <w:rsid w:val="598A738C"/>
    <w:rsid w:val="59914276"/>
    <w:rsid w:val="5A117165"/>
    <w:rsid w:val="5A44578C"/>
    <w:rsid w:val="5A8D425A"/>
    <w:rsid w:val="5AB83A84"/>
    <w:rsid w:val="5AE76118"/>
    <w:rsid w:val="5AEB5C08"/>
    <w:rsid w:val="5AEC372E"/>
    <w:rsid w:val="5B525C87"/>
    <w:rsid w:val="5BE2700B"/>
    <w:rsid w:val="5BF925A6"/>
    <w:rsid w:val="5C1D42D4"/>
    <w:rsid w:val="5C7165E1"/>
    <w:rsid w:val="5CAC586B"/>
    <w:rsid w:val="5CB0535B"/>
    <w:rsid w:val="5CC11316"/>
    <w:rsid w:val="5CF50FC0"/>
    <w:rsid w:val="5D1E2841"/>
    <w:rsid w:val="5D521DF5"/>
    <w:rsid w:val="5D5850AB"/>
    <w:rsid w:val="5D6361C4"/>
    <w:rsid w:val="5D810AA5"/>
    <w:rsid w:val="5D814602"/>
    <w:rsid w:val="5DE37770"/>
    <w:rsid w:val="5DFC1EDA"/>
    <w:rsid w:val="5E14191A"/>
    <w:rsid w:val="5E334442"/>
    <w:rsid w:val="5E5D3BE4"/>
    <w:rsid w:val="5E655CD1"/>
    <w:rsid w:val="5EAA5DDA"/>
    <w:rsid w:val="5EB629D1"/>
    <w:rsid w:val="5EB97DCB"/>
    <w:rsid w:val="5EC92704"/>
    <w:rsid w:val="5EE74938"/>
    <w:rsid w:val="5F49114F"/>
    <w:rsid w:val="5F5C70D4"/>
    <w:rsid w:val="5F904FD0"/>
    <w:rsid w:val="5FA12D39"/>
    <w:rsid w:val="5FB05672"/>
    <w:rsid w:val="5FFB4B3F"/>
    <w:rsid w:val="601E25DC"/>
    <w:rsid w:val="60310561"/>
    <w:rsid w:val="6031230F"/>
    <w:rsid w:val="60430294"/>
    <w:rsid w:val="606A3A73"/>
    <w:rsid w:val="60803296"/>
    <w:rsid w:val="6082798B"/>
    <w:rsid w:val="60C308ED"/>
    <w:rsid w:val="60EA6962"/>
    <w:rsid w:val="61023CAB"/>
    <w:rsid w:val="610619ED"/>
    <w:rsid w:val="613D4CE3"/>
    <w:rsid w:val="61897F29"/>
    <w:rsid w:val="619D39D4"/>
    <w:rsid w:val="61A15272"/>
    <w:rsid w:val="61BC20AC"/>
    <w:rsid w:val="61CB22EF"/>
    <w:rsid w:val="61ED495B"/>
    <w:rsid w:val="625E13B5"/>
    <w:rsid w:val="6280132C"/>
    <w:rsid w:val="6294094A"/>
    <w:rsid w:val="62B31701"/>
    <w:rsid w:val="63332842"/>
    <w:rsid w:val="63585E05"/>
    <w:rsid w:val="63690012"/>
    <w:rsid w:val="63A728E8"/>
    <w:rsid w:val="63B079EF"/>
    <w:rsid w:val="63F773CC"/>
    <w:rsid w:val="63F975E8"/>
    <w:rsid w:val="63FF2724"/>
    <w:rsid w:val="64055F8C"/>
    <w:rsid w:val="642A73AB"/>
    <w:rsid w:val="64410F8F"/>
    <w:rsid w:val="645C1924"/>
    <w:rsid w:val="648275DD"/>
    <w:rsid w:val="648844C8"/>
    <w:rsid w:val="64E262CE"/>
    <w:rsid w:val="650A312E"/>
    <w:rsid w:val="65136487"/>
    <w:rsid w:val="652341F0"/>
    <w:rsid w:val="652561BA"/>
    <w:rsid w:val="65654809"/>
    <w:rsid w:val="65AE61B0"/>
    <w:rsid w:val="65D8147F"/>
    <w:rsid w:val="66042274"/>
    <w:rsid w:val="66482160"/>
    <w:rsid w:val="664A412A"/>
    <w:rsid w:val="66811B16"/>
    <w:rsid w:val="6690267B"/>
    <w:rsid w:val="66CB01E7"/>
    <w:rsid w:val="66D460EA"/>
    <w:rsid w:val="66DB4D83"/>
    <w:rsid w:val="66F32FD6"/>
    <w:rsid w:val="66FE6CC3"/>
    <w:rsid w:val="673B1CC5"/>
    <w:rsid w:val="677376B1"/>
    <w:rsid w:val="6780592A"/>
    <w:rsid w:val="67B53825"/>
    <w:rsid w:val="67D6379C"/>
    <w:rsid w:val="67E660D5"/>
    <w:rsid w:val="6841330B"/>
    <w:rsid w:val="685A261F"/>
    <w:rsid w:val="688F22C8"/>
    <w:rsid w:val="689E075E"/>
    <w:rsid w:val="68E72104"/>
    <w:rsid w:val="68F6059A"/>
    <w:rsid w:val="690D143F"/>
    <w:rsid w:val="69341349"/>
    <w:rsid w:val="69564B94"/>
    <w:rsid w:val="69A578CA"/>
    <w:rsid w:val="69CC26B2"/>
    <w:rsid w:val="69CC30A8"/>
    <w:rsid w:val="69EC374B"/>
    <w:rsid w:val="6A116D0D"/>
    <w:rsid w:val="6A1F58CE"/>
    <w:rsid w:val="6A995680"/>
    <w:rsid w:val="6AA30F4C"/>
    <w:rsid w:val="6ABE50E7"/>
    <w:rsid w:val="6ABE6E95"/>
    <w:rsid w:val="6B1D68BE"/>
    <w:rsid w:val="6B5E41D4"/>
    <w:rsid w:val="6C2947E2"/>
    <w:rsid w:val="6C841F60"/>
    <w:rsid w:val="6CCD33BF"/>
    <w:rsid w:val="6CDF30F3"/>
    <w:rsid w:val="6CE1330F"/>
    <w:rsid w:val="6D77157D"/>
    <w:rsid w:val="6D77332B"/>
    <w:rsid w:val="6D875C64"/>
    <w:rsid w:val="6D8F68C7"/>
    <w:rsid w:val="6E070B53"/>
    <w:rsid w:val="6E146DCC"/>
    <w:rsid w:val="6E1D2124"/>
    <w:rsid w:val="6E885A8A"/>
    <w:rsid w:val="6E8E3022"/>
    <w:rsid w:val="6ECD58F9"/>
    <w:rsid w:val="6EF32E85"/>
    <w:rsid w:val="6EFE556B"/>
    <w:rsid w:val="6F176B74"/>
    <w:rsid w:val="6F541B76"/>
    <w:rsid w:val="6F7C2E7B"/>
    <w:rsid w:val="6FD9651F"/>
    <w:rsid w:val="703B7129"/>
    <w:rsid w:val="70673B2B"/>
    <w:rsid w:val="708C3591"/>
    <w:rsid w:val="708E730A"/>
    <w:rsid w:val="70BC5C25"/>
    <w:rsid w:val="70C920F0"/>
    <w:rsid w:val="70D016D0"/>
    <w:rsid w:val="70F573CC"/>
    <w:rsid w:val="713C0B14"/>
    <w:rsid w:val="71CF3736"/>
    <w:rsid w:val="7270316B"/>
    <w:rsid w:val="727367B7"/>
    <w:rsid w:val="729D1A86"/>
    <w:rsid w:val="72AA5DC0"/>
    <w:rsid w:val="73137F9A"/>
    <w:rsid w:val="73610D05"/>
    <w:rsid w:val="73E3796C"/>
    <w:rsid w:val="73EC4A73"/>
    <w:rsid w:val="73F05BE5"/>
    <w:rsid w:val="73F13E37"/>
    <w:rsid w:val="74477EFB"/>
    <w:rsid w:val="74534AF2"/>
    <w:rsid w:val="748B3D99"/>
    <w:rsid w:val="748E5B2A"/>
    <w:rsid w:val="74C94487"/>
    <w:rsid w:val="74E120FE"/>
    <w:rsid w:val="750758DC"/>
    <w:rsid w:val="7510653F"/>
    <w:rsid w:val="75510880"/>
    <w:rsid w:val="75E05002"/>
    <w:rsid w:val="76487F5B"/>
    <w:rsid w:val="766F3739"/>
    <w:rsid w:val="7684222B"/>
    <w:rsid w:val="76BD26F7"/>
    <w:rsid w:val="76DA32A9"/>
    <w:rsid w:val="76E77774"/>
    <w:rsid w:val="76EE28B0"/>
    <w:rsid w:val="776564EF"/>
    <w:rsid w:val="777F7009"/>
    <w:rsid w:val="78174088"/>
    <w:rsid w:val="7885103B"/>
    <w:rsid w:val="7892370F"/>
    <w:rsid w:val="78A05E2C"/>
    <w:rsid w:val="78A07BDA"/>
    <w:rsid w:val="78B11DE7"/>
    <w:rsid w:val="78F46178"/>
    <w:rsid w:val="792A1B99"/>
    <w:rsid w:val="792C3B64"/>
    <w:rsid w:val="79BC6C95"/>
    <w:rsid w:val="7A6D4434"/>
    <w:rsid w:val="7A7E12E9"/>
    <w:rsid w:val="7A94376E"/>
    <w:rsid w:val="7ADB314B"/>
    <w:rsid w:val="7AF83CFD"/>
    <w:rsid w:val="7B7470FC"/>
    <w:rsid w:val="7B7B27AD"/>
    <w:rsid w:val="7B937ECA"/>
    <w:rsid w:val="7BA14395"/>
    <w:rsid w:val="7BA23C69"/>
    <w:rsid w:val="7BA93249"/>
    <w:rsid w:val="7C1C7EBF"/>
    <w:rsid w:val="7C611D76"/>
    <w:rsid w:val="7C9E6B26"/>
    <w:rsid w:val="7CC3033B"/>
    <w:rsid w:val="7CC85951"/>
    <w:rsid w:val="7D6A6A08"/>
    <w:rsid w:val="7DA0067C"/>
    <w:rsid w:val="7DC223A1"/>
    <w:rsid w:val="7E412DFF"/>
    <w:rsid w:val="7E4E00D8"/>
    <w:rsid w:val="7E504091"/>
    <w:rsid w:val="7E70004F"/>
    <w:rsid w:val="7E867872"/>
    <w:rsid w:val="7E941F8F"/>
    <w:rsid w:val="7E9A0EF2"/>
    <w:rsid w:val="7ED72A0A"/>
    <w:rsid w:val="7EFE38AC"/>
    <w:rsid w:val="7F203823"/>
    <w:rsid w:val="7F2B7E16"/>
    <w:rsid w:val="7F741DC0"/>
    <w:rsid w:val="7F8738A2"/>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after="120"/>
      <w:ind w:firstLine="420" w:firstLineChars="100"/>
      <w:jc w:val="both"/>
    </w:pPr>
    <w:rPr>
      <w:rFonts w:ascii="Calibri" w:hAnsi="Calibri" w:eastAsia="宋体"/>
      <w:kern w:val="2"/>
      <w:sz w:val="21"/>
      <w:szCs w:val="22"/>
    </w:rPr>
  </w:style>
  <w:style w:type="paragraph" w:styleId="3">
    <w:name w:val="Body Text"/>
    <w:basedOn w:val="1"/>
    <w:next w:val="4"/>
    <w:link w:val="22"/>
    <w:unhideWhenUsed/>
    <w:qFormat/>
    <w:uiPriority w:val="99"/>
    <w:pPr>
      <w:jc w:val="left"/>
    </w:pPr>
    <w:rPr>
      <w:kern w:val="0"/>
      <w:sz w:val="20"/>
      <w:szCs w:val="20"/>
    </w:rPr>
  </w:style>
  <w:style w:type="paragraph" w:styleId="4">
    <w:name w:val="toc 5"/>
    <w:basedOn w:val="1"/>
    <w:next w:val="1"/>
    <w:qFormat/>
    <w:uiPriority w:val="39"/>
    <w:pPr>
      <w:ind w:left="1680" w:leftChars="800"/>
    </w:pPr>
    <w:rPr>
      <w:rFonts w:ascii="Times New Roman" w:hAnsi="Times New Roman"/>
    </w:rPr>
  </w:style>
  <w:style w:type="paragraph" w:styleId="5">
    <w:name w:val="annotation text"/>
    <w:basedOn w:val="1"/>
    <w:link w:val="26"/>
    <w:semiHidden/>
    <w:unhideWhenUsed/>
    <w:qFormat/>
    <w:uiPriority w:val="99"/>
    <w:pPr>
      <w:jc w:val="left"/>
    </w:pPr>
  </w:style>
  <w:style w:type="paragraph" w:styleId="6">
    <w:name w:val="Body Text Indent"/>
    <w:basedOn w:val="1"/>
    <w:link w:val="19"/>
    <w:semiHidden/>
    <w:unhideWhenUsed/>
    <w:qFormat/>
    <w:uiPriority w:val="99"/>
    <w:pPr>
      <w:spacing w:after="120"/>
      <w:ind w:left="420" w:leftChars="200"/>
    </w:pPr>
  </w:style>
  <w:style w:type="paragraph" w:styleId="7">
    <w:name w:val="Date"/>
    <w:basedOn w:val="1"/>
    <w:next w:val="1"/>
    <w:link w:val="24"/>
    <w:unhideWhenUsed/>
    <w:qFormat/>
    <w:uiPriority w:val="99"/>
    <w:rPr>
      <w:rFonts w:ascii="Arial" w:hAnsi="Arial" w:cs="Arial"/>
      <w:b/>
      <w:sz w:val="28"/>
      <w:szCs w:val="28"/>
    </w:rPr>
  </w:style>
  <w:style w:type="paragraph" w:styleId="8">
    <w:name w:val="Balloon Text"/>
    <w:basedOn w:val="1"/>
    <w:link w:val="28"/>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unhideWhenUsed/>
    <w:qFormat/>
    <w:uiPriority w:val="99"/>
    <w:pPr>
      <w:widowControl/>
      <w:spacing w:before="100" w:beforeAutospacing="1" w:after="100" w:line="273" w:lineRule="auto"/>
      <w:jc w:val="left"/>
    </w:pPr>
    <w:rPr>
      <w:rFonts w:ascii="Calibri" w:hAnsi="Calibri" w:cs="Times New Roman"/>
      <w:kern w:val="0"/>
      <w:sz w:val="22"/>
      <w:szCs w:val="22"/>
    </w:rPr>
  </w:style>
  <w:style w:type="paragraph" w:styleId="12">
    <w:name w:val="annotation subject"/>
    <w:basedOn w:val="5"/>
    <w:next w:val="5"/>
    <w:link w:val="27"/>
    <w:semiHidden/>
    <w:unhideWhenUsed/>
    <w:qFormat/>
    <w:uiPriority w:val="99"/>
    <w:rPr>
      <w:b/>
      <w:bCs/>
    </w:rPr>
  </w:style>
  <w:style w:type="paragraph" w:styleId="13">
    <w:name w:val="Body Text First Indent 2"/>
    <w:basedOn w:val="6"/>
    <w:link w:val="20"/>
    <w:unhideWhenUsed/>
    <w:qFormat/>
    <w:uiPriority w:val="99"/>
    <w:pPr>
      <w:spacing w:after="0"/>
      <w:ind w:left="0" w:leftChars="0" w:firstLine="420" w:firstLineChars="200"/>
    </w:pPr>
    <w:rPr>
      <w:rFonts w:ascii="Calibri" w:hAnsi="Calibri" w:cs="Calibri"/>
      <w:kern w:val="0"/>
      <w:sz w:val="20"/>
      <w:szCs w:val="20"/>
    </w:rPr>
  </w:style>
  <w:style w:type="character" w:styleId="16">
    <w:name w:val="Hyperlink"/>
    <w:basedOn w:val="15"/>
    <w:unhideWhenUsed/>
    <w:qFormat/>
    <w:uiPriority w:val="99"/>
    <w:rPr>
      <w:color w:val="0000FF"/>
      <w:u w:val="single"/>
    </w:rPr>
  </w:style>
  <w:style w:type="character" w:styleId="17">
    <w:name w:val="annotation reference"/>
    <w:basedOn w:val="15"/>
    <w:semiHidden/>
    <w:unhideWhenUsed/>
    <w:qFormat/>
    <w:uiPriority w:val="99"/>
    <w:rPr>
      <w:sz w:val="21"/>
      <w:szCs w:val="21"/>
    </w:rPr>
  </w:style>
  <w:style w:type="paragraph" w:customStyle="1" w:styleId="18">
    <w:name w:val="文档正文"/>
    <w:basedOn w:val="1"/>
    <w:qFormat/>
    <w:uiPriority w:val="0"/>
    <w:pPr>
      <w:adjustRightInd w:val="0"/>
      <w:spacing w:line="480" w:lineRule="atLeast"/>
      <w:ind w:firstLine="464" w:firstLineChars="200"/>
      <w:jc w:val="left"/>
      <w:textAlignment w:val="baseline"/>
    </w:pPr>
    <w:rPr>
      <w:rFonts w:hAnsi="Arial" w:eastAsia="仿宋"/>
      <w:kern w:val="0"/>
      <w:sz w:val="24"/>
      <w:szCs w:val="24"/>
    </w:rPr>
  </w:style>
  <w:style w:type="character" w:customStyle="1" w:styleId="19">
    <w:name w:val="正文文本缩进 Char"/>
    <w:basedOn w:val="15"/>
    <w:link w:val="6"/>
    <w:semiHidden/>
    <w:qFormat/>
    <w:uiPriority w:val="99"/>
    <w:rPr>
      <w:rFonts w:ascii="宋体" w:hAnsi="宋体" w:eastAsia="宋体" w:cs="宋体"/>
      <w:szCs w:val="21"/>
    </w:rPr>
  </w:style>
  <w:style w:type="character" w:customStyle="1" w:styleId="20">
    <w:name w:val="正文首行缩进 2 Char"/>
    <w:basedOn w:val="19"/>
    <w:link w:val="13"/>
    <w:qFormat/>
    <w:uiPriority w:val="99"/>
    <w:rPr>
      <w:rFonts w:ascii="Calibri" w:hAnsi="Calibri" w:eastAsia="宋体" w:cs="Calibri"/>
      <w:kern w:val="0"/>
      <w:sz w:val="20"/>
      <w:szCs w:val="20"/>
    </w:rPr>
  </w:style>
  <w:style w:type="paragraph" w:customStyle="1" w:styleId="21">
    <w:name w:val="节标题"/>
    <w:basedOn w:val="1"/>
    <w:next w:val="1"/>
    <w:qFormat/>
    <w:uiPriority w:val="0"/>
    <w:pPr>
      <w:widowControl/>
      <w:spacing w:line="289" w:lineRule="atLeast"/>
      <w:jc w:val="center"/>
    </w:pPr>
    <w:rPr>
      <w:rFonts w:ascii="Times New Roman" w:hAnsi="Times New Roman" w:cs="Times New Roman"/>
      <w:color w:val="000000"/>
      <w:kern w:val="0"/>
      <w:sz w:val="28"/>
      <w:szCs w:val="28"/>
    </w:rPr>
  </w:style>
  <w:style w:type="character" w:customStyle="1" w:styleId="22">
    <w:name w:val="正文文本 Char"/>
    <w:basedOn w:val="15"/>
    <w:link w:val="3"/>
    <w:qFormat/>
    <w:uiPriority w:val="99"/>
    <w:rPr>
      <w:rFonts w:ascii="宋体" w:hAnsi="宋体" w:eastAsia="宋体" w:cs="宋体"/>
      <w:kern w:val="0"/>
      <w:sz w:val="20"/>
      <w:szCs w:val="20"/>
    </w:rPr>
  </w:style>
  <w:style w:type="paragraph" w:customStyle="1" w:styleId="23">
    <w:name w:val="标书正文格式"/>
    <w:basedOn w:val="1"/>
    <w:qFormat/>
    <w:uiPriority w:val="0"/>
    <w:pPr>
      <w:widowControl/>
      <w:spacing w:line="360" w:lineRule="auto"/>
      <w:ind w:firstLine="200" w:firstLineChars="200"/>
      <w:jc w:val="left"/>
    </w:pPr>
    <w:rPr>
      <w:rFonts w:ascii="Times New Roman" w:hAnsi="Times New Roman" w:eastAsia="楷体_GB2312" w:cs="Times New Roman"/>
      <w:sz w:val="24"/>
      <w:szCs w:val="24"/>
    </w:rPr>
  </w:style>
  <w:style w:type="character" w:customStyle="1" w:styleId="24">
    <w:name w:val="日期 Char"/>
    <w:basedOn w:val="15"/>
    <w:link w:val="7"/>
    <w:qFormat/>
    <w:uiPriority w:val="99"/>
    <w:rPr>
      <w:rFonts w:ascii="Arial" w:hAnsi="Arial" w:eastAsia="宋体" w:cs="Arial"/>
      <w:b/>
      <w:sz w:val="28"/>
      <w:szCs w:val="28"/>
    </w:rPr>
  </w:style>
  <w:style w:type="character" w:customStyle="1" w:styleId="25">
    <w:name w:val="15"/>
    <w:basedOn w:val="15"/>
    <w:qFormat/>
    <w:uiPriority w:val="0"/>
    <w:rPr>
      <w:rFonts w:hint="default" w:ascii="Times New Roman" w:hAnsi="Times New Roman" w:cs="Times New Roman"/>
      <w:sz w:val="21"/>
      <w:szCs w:val="21"/>
    </w:rPr>
  </w:style>
  <w:style w:type="character" w:customStyle="1" w:styleId="26">
    <w:name w:val="批注文字 Char"/>
    <w:basedOn w:val="15"/>
    <w:link w:val="5"/>
    <w:semiHidden/>
    <w:qFormat/>
    <w:uiPriority w:val="99"/>
    <w:rPr>
      <w:rFonts w:ascii="宋体" w:hAnsi="宋体" w:eastAsia="宋体" w:cs="宋体"/>
      <w:szCs w:val="21"/>
    </w:rPr>
  </w:style>
  <w:style w:type="character" w:customStyle="1" w:styleId="27">
    <w:name w:val="批注主题 Char"/>
    <w:basedOn w:val="26"/>
    <w:link w:val="12"/>
    <w:semiHidden/>
    <w:qFormat/>
    <w:uiPriority w:val="99"/>
    <w:rPr>
      <w:rFonts w:ascii="宋体" w:hAnsi="宋体" w:eastAsia="宋体" w:cs="宋体"/>
      <w:b/>
      <w:bCs/>
      <w:szCs w:val="21"/>
    </w:rPr>
  </w:style>
  <w:style w:type="character" w:customStyle="1" w:styleId="28">
    <w:name w:val="批注框文本 Char"/>
    <w:basedOn w:val="15"/>
    <w:link w:val="8"/>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186</Words>
  <Characters>212</Characters>
  <Lines>92</Lines>
  <Paragraphs>25</Paragraphs>
  <TotalTime>33</TotalTime>
  <ScaleCrop>false</ScaleCrop>
  <LinksUpToDate>false</LinksUpToDate>
  <CharactersWithSpaces>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2025-12-18T07:18:00Z</dcterms:created>
  <dc:creator>PC</dc:creator>
  <cp:lastModifiedBy>zhehenkaimen</cp:lastModifiedBy>
  <dcterms:modified xsi:type="dcterms:W3CDTF">2026-05-08T12:01:01Z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eyJoZGlkIjoiNDMzNmQwYzVkNmEwYTYzZDQ2NTczNDk0ZWM5YTc4YWUiLCJ1c2VySWQiOiI2NzA0NzI0MDUifQ==</vt:lpwstr>
  </property>
  <property fmtid="{D5CDD505-2E9C-101B-9397-08002B2CF9AE}" pid="3" name="KSOProductBuildVer">
    <vt:lpwstr>2052-12.1.0.25865</vt:lpwstr>
  </property>
  <property fmtid="{D5CDD505-2E9C-101B-9397-08002B2CF9AE}" pid="4" name="ICV">
    <vt:lpwstr>4C2E1E13357D44B0BBD5044BF4908685_13</vt:lpwstr>
  </property>
</Properties>
</file>